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8F6" w:rsidRDefault="00C82841" w:rsidP="00884313">
      <w:pPr>
        <w:widowControl/>
        <w:jc w:val="center"/>
        <w:rPr>
          <w:rFonts w:ascii="Arial" w:hAnsi="Arial" w:cs="Arial"/>
          <w:sz w:val="22"/>
          <w:szCs w:val="22"/>
        </w:rPr>
      </w:pPr>
      <w:bookmarkStart w:id="0" w:name="_GoBack"/>
      <w:bookmarkEnd w:id="0"/>
      <w:r>
        <w:rPr>
          <w:rFonts w:ascii="Arial" w:hAnsi="Arial" w:cs="Arial"/>
          <w:sz w:val="22"/>
          <w:szCs w:val="22"/>
        </w:rPr>
        <w:t xml:space="preserve">FINAL </w:t>
      </w:r>
      <w:r w:rsidR="002E24C0" w:rsidRPr="009F5AF4">
        <w:rPr>
          <w:rFonts w:ascii="Arial" w:hAnsi="Arial" w:cs="Arial"/>
          <w:sz w:val="22"/>
          <w:szCs w:val="22"/>
        </w:rPr>
        <w:t>SUPPORTING STATEMENT</w:t>
      </w:r>
    </w:p>
    <w:p w:rsidR="00F138F6" w:rsidRDefault="002E24C0" w:rsidP="00884313">
      <w:pPr>
        <w:widowControl/>
        <w:jc w:val="center"/>
        <w:rPr>
          <w:rFonts w:ascii="Arial" w:hAnsi="Arial" w:cs="Arial"/>
          <w:sz w:val="22"/>
          <w:szCs w:val="22"/>
        </w:rPr>
      </w:pPr>
      <w:r w:rsidRPr="009F5AF4">
        <w:rPr>
          <w:rFonts w:ascii="Arial" w:hAnsi="Arial" w:cs="Arial"/>
          <w:sz w:val="22"/>
          <w:szCs w:val="22"/>
        </w:rPr>
        <w:t>FOR</w:t>
      </w:r>
    </w:p>
    <w:p w:rsidR="00F138F6" w:rsidRDefault="00F138F6" w:rsidP="00884313">
      <w:pPr>
        <w:widowControl/>
        <w:jc w:val="center"/>
        <w:rPr>
          <w:rFonts w:ascii="Arial" w:hAnsi="Arial" w:cs="Arial"/>
          <w:sz w:val="22"/>
          <w:szCs w:val="22"/>
        </w:rPr>
      </w:pPr>
      <w:r>
        <w:rPr>
          <w:rFonts w:ascii="Arial" w:hAnsi="Arial" w:cs="Arial"/>
          <w:sz w:val="22"/>
          <w:szCs w:val="22"/>
        </w:rPr>
        <w:t>10 CFR</w:t>
      </w:r>
      <w:r w:rsidR="00222DD7">
        <w:rPr>
          <w:rFonts w:ascii="Arial" w:hAnsi="Arial" w:cs="Arial"/>
          <w:sz w:val="22"/>
          <w:szCs w:val="22"/>
        </w:rPr>
        <w:t xml:space="preserve"> </w:t>
      </w:r>
      <w:proofErr w:type="gramStart"/>
      <w:r w:rsidR="00222DD7">
        <w:rPr>
          <w:rFonts w:ascii="Arial" w:hAnsi="Arial" w:cs="Arial"/>
          <w:sz w:val="22"/>
          <w:szCs w:val="22"/>
        </w:rPr>
        <w:t>PART</w:t>
      </w:r>
      <w:proofErr w:type="gramEnd"/>
      <w:r w:rsidR="002E24C0" w:rsidRPr="009F5AF4">
        <w:rPr>
          <w:rFonts w:ascii="Arial" w:hAnsi="Arial" w:cs="Arial"/>
          <w:sz w:val="22"/>
          <w:szCs w:val="22"/>
        </w:rPr>
        <w:t xml:space="preserve"> 21</w:t>
      </w:r>
    </w:p>
    <w:p w:rsidR="00F138F6" w:rsidRDefault="00222DD7" w:rsidP="00884313">
      <w:pPr>
        <w:widowControl/>
        <w:jc w:val="center"/>
        <w:rPr>
          <w:rFonts w:ascii="Arial" w:hAnsi="Arial" w:cs="Arial"/>
          <w:sz w:val="22"/>
          <w:szCs w:val="22"/>
        </w:rPr>
      </w:pPr>
      <w:r>
        <w:rPr>
          <w:rFonts w:ascii="Arial" w:hAnsi="Arial" w:cs="Arial"/>
          <w:sz w:val="22"/>
          <w:szCs w:val="22"/>
        </w:rPr>
        <w:t xml:space="preserve"> </w:t>
      </w:r>
      <w:r w:rsidR="00A879F3" w:rsidRPr="009F5AF4">
        <w:rPr>
          <w:rFonts w:ascii="Arial" w:hAnsi="Arial" w:cs="Arial"/>
          <w:sz w:val="22"/>
          <w:szCs w:val="22"/>
        </w:rPr>
        <w:t>"REPORTING OF DEFECTS AND NONCOMPLIANCE"</w:t>
      </w:r>
    </w:p>
    <w:p w:rsidR="00F138F6" w:rsidRDefault="00F138F6" w:rsidP="00884313">
      <w:pPr>
        <w:widowControl/>
        <w:jc w:val="center"/>
        <w:rPr>
          <w:rFonts w:ascii="Arial" w:hAnsi="Arial" w:cs="Arial"/>
          <w:sz w:val="22"/>
          <w:szCs w:val="22"/>
        </w:rPr>
      </w:pPr>
    </w:p>
    <w:p w:rsidR="00F138F6" w:rsidRDefault="00706C86" w:rsidP="00884313">
      <w:pPr>
        <w:widowControl/>
        <w:jc w:val="center"/>
        <w:rPr>
          <w:rFonts w:ascii="Arial" w:hAnsi="Arial" w:cs="Arial"/>
          <w:sz w:val="22"/>
          <w:szCs w:val="22"/>
        </w:rPr>
      </w:pPr>
      <w:r w:rsidRPr="009F5AF4">
        <w:rPr>
          <w:rFonts w:ascii="Arial" w:hAnsi="Arial" w:cs="Arial"/>
          <w:sz w:val="22"/>
          <w:szCs w:val="22"/>
        </w:rPr>
        <w:t>3150-0035</w:t>
      </w:r>
    </w:p>
    <w:p w:rsidR="00F138F6" w:rsidRDefault="00F138F6" w:rsidP="00884313">
      <w:pPr>
        <w:widowControl/>
        <w:jc w:val="center"/>
        <w:rPr>
          <w:rFonts w:ascii="Arial" w:hAnsi="Arial" w:cs="Arial"/>
          <w:sz w:val="22"/>
          <w:szCs w:val="22"/>
        </w:rPr>
      </w:pPr>
    </w:p>
    <w:p w:rsidR="00706C86" w:rsidRPr="009F5AF4" w:rsidRDefault="00884313" w:rsidP="00884313">
      <w:pPr>
        <w:widowControl/>
        <w:jc w:val="center"/>
        <w:rPr>
          <w:rFonts w:ascii="Arial" w:hAnsi="Arial" w:cs="Arial"/>
          <w:sz w:val="22"/>
          <w:szCs w:val="22"/>
        </w:rPr>
      </w:pPr>
      <w:r w:rsidRPr="009F5AF4">
        <w:rPr>
          <w:rFonts w:ascii="Arial" w:hAnsi="Arial" w:cs="Arial"/>
          <w:sz w:val="22"/>
          <w:szCs w:val="22"/>
        </w:rPr>
        <w:t>EXTEN</w:t>
      </w:r>
      <w:r w:rsidR="00706C86" w:rsidRPr="009F5AF4">
        <w:rPr>
          <w:rFonts w:ascii="Arial" w:hAnsi="Arial" w:cs="Arial"/>
          <w:sz w:val="22"/>
          <w:szCs w:val="22"/>
        </w:rPr>
        <w:t>SION</w:t>
      </w:r>
    </w:p>
    <w:p w:rsidR="00A879F3" w:rsidRPr="009F5AF4" w:rsidRDefault="00A879F3">
      <w:pPr>
        <w:widowControl/>
        <w:jc w:val="center"/>
        <w:rPr>
          <w:rFonts w:ascii="Arial" w:hAnsi="Arial" w:cs="Arial"/>
          <w:sz w:val="22"/>
          <w:szCs w:val="22"/>
        </w:rPr>
      </w:pPr>
    </w:p>
    <w:p w:rsidR="00A879F3" w:rsidRPr="009F5AF4" w:rsidRDefault="00A879F3">
      <w:pPr>
        <w:widowControl/>
        <w:rPr>
          <w:rFonts w:ascii="Arial" w:hAnsi="Arial" w:cs="Arial"/>
          <w:sz w:val="22"/>
          <w:szCs w:val="22"/>
        </w:rPr>
      </w:pPr>
      <w:r w:rsidRPr="009F5AF4">
        <w:rPr>
          <w:rFonts w:ascii="Arial" w:hAnsi="Arial" w:cs="Arial"/>
          <w:sz w:val="22"/>
          <w:szCs w:val="22"/>
          <w:u w:val="single"/>
        </w:rPr>
        <w:t>DESCRIPTION OF THE INFORMATION COLLECTION</w:t>
      </w:r>
    </w:p>
    <w:p w:rsidR="009D6182" w:rsidRPr="009F5AF4" w:rsidRDefault="009D6182">
      <w:pPr>
        <w:widowControl/>
        <w:rPr>
          <w:rFonts w:ascii="Arial" w:hAnsi="Arial" w:cs="Arial"/>
          <w:sz w:val="22"/>
          <w:szCs w:val="22"/>
        </w:rPr>
      </w:pPr>
    </w:p>
    <w:p w:rsidR="00A879F3" w:rsidRPr="009F5AF4" w:rsidRDefault="00222DD7">
      <w:pPr>
        <w:widowControl/>
        <w:rPr>
          <w:rFonts w:ascii="Arial" w:hAnsi="Arial" w:cs="Arial"/>
          <w:sz w:val="22"/>
          <w:szCs w:val="22"/>
        </w:rPr>
      </w:pPr>
      <w:r>
        <w:rPr>
          <w:rFonts w:ascii="Arial" w:hAnsi="Arial" w:cs="Arial"/>
          <w:sz w:val="22"/>
          <w:szCs w:val="22"/>
        </w:rPr>
        <w:t xml:space="preserve">Title </w:t>
      </w:r>
      <w:r w:rsidR="00A879F3" w:rsidRPr="009F5AF4">
        <w:rPr>
          <w:rFonts w:ascii="Arial" w:hAnsi="Arial" w:cs="Arial"/>
          <w:sz w:val="22"/>
          <w:szCs w:val="22"/>
        </w:rPr>
        <w:t>10</w:t>
      </w:r>
      <w:r>
        <w:rPr>
          <w:rFonts w:ascii="Arial" w:hAnsi="Arial" w:cs="Arial"/>
          <w:sz w:val="22"/>
          <w:szCs w:val="22"/>
        </w:rPr>
        <w:t xml:space="preserve"> of the Code of Federal Regulation (10</w:t>
      </w:r>
      <w:r w:rsidR="00A879F3" w:rsidRPr="009F5AF4">
        <w:rPr>
          <w:rFonts w:ascii="Arial" w:hAnsi="Arial" w:cs="Arial"/>
          <w:sz w:val="22"/>
          <w:szCs w:val="22"/>
        </w:rPr>
        <w:t xml:space="preserve"> CFR</w:t>
      </w:r>
      <w:r>
        <w:rPr>
          <w:rFonts w:ascii="Arial" w:hAnsi="Arial" w:cs="Arial"/>
          <w:sz w:val="22"/>
          <w:szCs w:val="22"/>
        </w:rPr>
        <w:t>) Part</w:t>
      </w:r>
      <w:r w:rsidR="00A879F3" w:rsidRPr="009F5AF4">
        <w:rPr>
          <w:rFonts w:ascii="Arial" w:hAnsi="Arial" w:cs="Arial"/>
          <w:sz w:val="22"/>
          <w:szCs w:val="22"/>
        </w:rPr>
        <w:t xml:space="preserve"> 21, "Reporting of Defects and Noncompliance," implements Section 206 of the Energy Reorganization Act of 1974 (42 U.S.C. 5846).  Section 206 requires individual directors and responsible officers of firms constructing, owning, operating, or supplying the basic components of any facility or activity licensed under the Atomic Energy Act to report immediately to the Commission the discovery of defects in basic components</w:t>
      </w:r>
      <w:r w:rsidR="004A3C8D" w:rsidRPr="009F5AF4">
        <w:rPr>
          <w:rFonts w:ascii="Arial" w:hAnsi="Arial" w:cs="Arial"/>
          <w:sz w:val="22"/>
          <w:szCs w:val="22"/>
        </w:rPr>
        <w:t xml:space="preserve"> (safety-related)</w:t>
      </w:r>
      <w:r w:rsidR="00A879F3" w:rsidRPr="009F5AF4">
        <w:rPr>
          <w:rFonts w:ascii="Arial" w:hAnsi="Arial" w:cs="Arial"/>
          <w:sz w:val="22"/>
          <w:szCs w:val="22"/>
        </w:rPr>
        <w:t xml:space="preserve"> or failures to comply that could create a substantial safety hazard (SSH).  In addition to imposing obligations on the individual directors and responsible officers of </w:t>
      </w:r>
      <w:r>
        <w:rPr>
          <w:rFonts w:ascii="Arial" w:hAnsi="Arial" w:cs="Arial"/>
          <w:sz w:val="22"/>
          <w:szCs w:val="22"/>
        </w:rPr>
        <w:t>the Nuclear Regulatory Commission (</w:t>
      </w:r>
      <w:r w:rsidR="00A879F3" w:rsidRPr="009F5AF4">
        <w:rPr>
          <w:rFonts w:ascii="Arial" w:hAnsi="Arial" w:cs="Arial"/>
          <w:sz w:val="22"/>
          <w:szCs w:val="22"/>
        </w:rPr>
        <w:t>NRC</w:t>
      </w:r>
      <w:r>
        <w:rPr>
          <w:rFonts w:ascii="Arial" w:hAnsi="Arial" w:cs="Arial"/>
          <w:sz w:val="22"/>
          <w:szCs w:val="22"/>
        </w:rPr>
        <w:t>)</w:t>
      </w:r>
      <w:r w:rsidR="00A879F3" w:rsidRPr="009F5AF4">
        <w:rPr>
          <w:rFonts w:ascii="Arial" w:hAnsi="Arial" w:cs="Arial"/>
          <w:sz w:val="22"/>
          <w:szCs w:val="22"/>
        </w:rPr>
        <w:t xml:space="preserve"> licensees, Section 206 also imposes obligations on the directors and responsible officers of non-licensees that construct facilities for, or supply basic components to, licensed facilities or activities.  Any individual officer or director who knowingly fails to comply with the notification requirements is subject to civil penalties.</w:t>
      </w:r>
    </w:p>
    <w:p w:rsidR="00A879F3" w:rsidRPr="009F5AF4" w:rsidRDefault="00A879F3">
      <w:pPr>
        <w:widowControl/>
        <w:rPr>
          <w:rFonts w:ascii="Arial" w:hAnsi="Arial" w:cs="Arial"/>
          <w:sz w:val="22"/>
          <w:szCs w:val="22"/>
        </w:rPr>
      </w:pPr>
    </w:p>
    <w:p w:rsidR="00A879F3" w:rsidRPr="009F5AF4" w:rsidRDefault="00222DD7">
      <w:pPr>
        <w:widowControl/>
        <w:rPr>
          <w:rFonts w:ascii="Arial" w:hAnsi="Arial" w:cs="Arial"/>
          <w:sz w:val="22"/>
          <w:szCs w:val="22"/>
        </w:rPr>
      </w:pPr>
      <w:r>
        <w:rPr>
          <w:rFonts w:ascii="Arial" w:hAnsi="Arial" w:cs="Arial"/>
          <w:sz w:val="22"/>
          <w:szCs w:val="22"/>
        </w:rPr>
        <w:t xml:space="preserve">Part 21 of 10 CFR </w:t>
      </w:r>
      <w:r w:rsidR="00A879F3" w:rsidRPr="009F5AF4">
        <w:rPr>
          <w:rFonts w:ascii="Arial" w:hAnsi="Arial" w:cs="Arial"/>
          <w:sz w:val="22"/>
          <w:szCs w:val="22"/>
        </w:rPr>
        <w:t>contains reporting and recordkeeping requirements which ensure that the NRC is informed of safety defects so that the agency can take appropriate regulatory action.  Records are required to be maintained so that technical issues may be effectively resolved and to facilitate enforceability of the regulations.</w:t>
      </w:r>
    </w:p>
    <w:p w:rsidR="00A879F3" w:rsidRPr="009F5AF4" w:rsidRDefault="00A879F3">
      <w:pPr>
        <w:widowControl/>
        <w:rPr>
          <w:rFonts w:ascii="Arial" w:hAnsi="Arial" w:cs="Arial"/>
          <w:sz w:val="22"/>
          <w:szCs w:val="22"/>
        </w:rPr>
      </w:pPr>
    </w:p>
    <w:p w:rsidR="00A879F3" w:rsidRPr="009F5AF4" w:rsidRDefault="00A879F3">
      <w:pPr>
        <w:widowControl/>
        <w:rPr>
          <w:rFonts w:ascii="Arial" w:hAnsi="Arial" w:cs="Arial"/>
          <w:sz w:val="22"/>
          <w:szCs w:val="22"/>
        </w:rPr>
      </w:pPr>
    </w:p>
    <w:p w:rsidR="00A879F3" w:rsidRPr="009F5AF4" w:rsidRDefault="00F80DEC" w:rsidP="00F80DEC">
      <w:pPr>
        <w:pStyle w:val="Level1"/>
        <w:widowControl/>
        <w:tabs>
          <w:tab w:val="left" w:pos="-1440"/>
        </w:tabs>
        <w:rPr>
          <w:rFonts w:ascii="Arial" w:hAnsi="Arial" w:cs="Arial"/>
          <w:sz w:val="22"/>
          <w:szCs w:val="22"/>
        </w:rPr>
      </w:pPr>
      <w:r w:rsidRPr="009F5AF4">
        <w:rPr>
          <w:rFonts w:ascii="Arial" w:hAnsi="Arial" w:cs="Arial"/>
          <w:sz w:val="22"/>
          <w:szCs w:val="22"/>
        </w:rPr>
        <w:t>A.</w:t>
      </w:r>
      <w:r w:rsidRPr="009F5AF4">
        <w:rPr>
          <w:rFonts w:ascii="Arial" w:hAnsi="Arial" w:cs="Arial"/>
          <w:sz w:val="22"/>
          <w:szCs w:val="22"/>
        </w:rPr>
        <w:tab/>
      </w:r>
      <w:r w:rsidR="00A879F3" w:rsidRPr="009F5AF4">
        <w:rPr>
          <w:rFonts w:ascii="Arial" w:hAnsi="Arial" w:cs="Arial"/>
          <w:sz w:val="22"/>
          <w:szCs w:val="22"/>
          <w:u w:val="single"/>
        </w:rPr>
        <w:t>JUSTIFICATION</w:t>
      </w:r>
    </w:p>
    <w:p w:rsidR="00A879F3" w:rsidRPr="009F5AF4" w:rsidRDefault="00A879F3">
      <w:pPr>
        <w:widowControl/>
        <w:rPr>
          <w:rFonts w:ascii="Arial" w:hAnsi="Arial" w:cs="Arial"/>
          <w:sz w:val="22"/>
          <w:szCs w:val="22"/>
        </w:rPr>
      </w:pPr>
    </w:p>
    <w:p w:rsidR="00A879F3" w:rsidRPr="009F5AF4" w:rsidRDefault="00A879F3">
      <w:pPr>
        <w:widowControl/>
        <w:tabs>
          <w:tab w:val="left" w:pos="-1440"/>
        </w:tabs>
        <w:ind w:left="1440" w:hanging="720"/>
        <w:rPr>
          <w:rFonts w:ascii="Arial" w:hAnsi="Arial" w:cs="Arial"/>
          <w:sz w:val="22"/>
          <w:szCs w:val="22"/>
        </w:rPr>
      </w:pPr>
      <w:r w:rsidRPr="009F5AF4">
        <w:rPr>
          <w:rFonts w:ascii="Arial" w:hAnsi="Arial" w:cs="Arial"/>
          <w:sz w:val="22"/>
          <w:szCs w:val="22"/>
        </w:rPr>
        <w:t>1.</w:t>
      </w:r>
      <w:r w:rsidRPr="009F5AF4">
        <w:rPr>
          <w:rFonts w:ascii="Arial" w:hAnsi="Arial" w:cs="Arial"/>
          <w:sz w:val="22"/>
          <w:szCs w:val="22"/>
        </w:rPr>
        <w:tab/>
      </w:r>
      <w:r w:rsidRPr="009F5AF4">
        <w:rPr>
          <w:rFonts w:ascii="Arial" w:hAnsi="Arial" w:cs="Arial"/>
          <w:sz w:val="22"/>
          <w:szCs w:val="22"/>
          <w:u w:val="single"/>
        </w:rPr>
        <w:t>Need for and Practical Utility of the Collection of Information</w:t>
      </w:r>
    </w:p>
    <w:p w:rsidR="00A879F3" w:rsidRPr="009F5AF4" w:rsidRDefault="00A879F3">
      <w:pPr>
        <w:widowControl/>
      </w:pPr>
    </w:p>
    <w:p w:rsidR="00A879F3" w:rsidRPr="009F5AF4" w:rsidRDefault="00A879F3">
      <w:pPr>
        <w:widowControl/>
        <w:ind w:left="1440"/>
        <w:rPr>
          <w:rFonts w:ascii="Arial" w:hAnsi="Arial" w:cs="Arial"/>
          <w:sz w:val="22"/>
          <w:szCs w:val="22"/>
        </w:rPr>
      </w:pPr>
      <w:r w:rsidRPr="009F5AF4">
        <w:rPr>
          <w:rFonts w:ascii="Arial" w:hAnsi="Arial" w:cs="Arial"/>
          <w:sz w:val="22"/>
          <w:szCs w:val="22"/>
          <w:u w:val="single"/>
        </w:rPr>
        <w:t>10 CFR 21.21(a)</w:t>
      </w:r>
      <w:r w:rsidRPr="009F5AF4">
        <w:rPr>
          <w:rFonts w:ascii="Arial" w:hAnsi="Arial" w:cs="Arial"/>
          <w:sz w:val="22"/>
          <w:szCs w:val="22"/>
        </w:rPr>
        <w:t xml:space="preserve"> requires</w:t>
      </w:r>
      <w:r w:rsidR="007846BC" w:rsidRPr="009F5AF4">
        <w:rPr>
          <w:rFonts w:ascii="Arial" w:hAnsi="Arial" w:cs="Arial"/>
          <w:sz w:val="22"/>
          <w:szCs w:val="22"/>
        </w:rPr>
        <w:t xml:space="preserve"> each individual, corporation, partnership, commercial grade dedicating entity, or other entity subject to the regulations in this part</w:t>
      </w:r>
      <w:r w:rsidRPr="009F5AF4">
        <w:rPr>
          <w:rFonts w:ascii="Arial" w:hAnsi="Arial" w:cs="Arial"/>
          <w:sz w:val="22"/>
          <w:szCs w:val="22"/>
        </w:rPr>
        <w:t xml:space="preserve"> to adopt appropriate procedures to:</w:t>
      </w:r>
    </w:p>
    <w:p w:rsidR="00A879F3" w:rsidRPr="009F5AF4" w:rsidRDefault="00A879F3">
      <w:pPr>
        <w:widowControl/>
        <w:rPr>
          <w:rFonts w:ascii="Arial" w:hAnsi="Arial" w:cs="Arial"/>
          <w:sz w:val="22"/>
          <w:szCs w:val="22"/>
        </w:rPr>
      </w:pPr>
    </w:p>
    <w:p w:rsidR="00A879F3" w:rsidRPr="009F5AF4" w:rsidRDefault="007846BC">
      <w:pPr>
        <w:widowControl/>
        <w:tabs>
          <w:tab w:val="left" w:pos="-1440"/>
        </w:tabs>
        <w:ind w:left="2160" w:hanging="720"/>
        <w:rPr>
          <w:rFonts w:ascii="Arial" w:hAnsi="Arial" w:cs="Arial"/>
          <w:sz w:val="22"/>
          <w:szCs w:val="22"/>
        </w:rPr>
      </w:pPr>
      <w:r w:rsidRPr="009F5AF4">
        <w:rPr>
          <w:rFonts w:ascii="Arial" w:hAnsi="Arial" w:cs="Arial"/>
          <w:sz w:val="22"/>
          <w:szCs w:val="22"/>
        </w:rPr>
        <w:t>(1)</w:t>
      </w:r>
      <w:r w:rsidRPr="009F5AF4">
        <w:rPr>
          <w:rFonts w:ascii="Arial" w:hAnsi="Arial" w:cs="Arial"/>
          <w:sz w:val="22"/>
          <w:szCs w:val="22"/>
        </w:rPr>
        <w:tab/>
        <w:t>E</w:t>
      </w:r>
      <w:r w:rsidR="00A879F3" w:rsidRPr="009F5AF4">
        <w:rPr>
          <w:rFonts w:ascii="Arial" w:hAnsi="Arial" w:cs="Arial"/>
          <w:sz w:val="22"/>
          <w:szCs w:val="22"/>
        </w:rPr>
        <w:t>valuate deviations and failures to comply to determine whether a defect exists that could result in an SSH.  Depending upon the outcome of the evaluation, a report of the defect must be submitted to NRC as discussed under 10 CFR 21.21(d</w:t>
      </w:r>
      <w:proofErr w:type="gramStart"/>
      <w:r w:rsidR="00A879F3" w:rsidRPr="009F5AF4">
        <w:rPr>
          <w:rFonts w:ascii="Arial" w:hAnsi="Arial" w:cs="Arial"/>
          <w:sz w:val="22"/>
          <w:szCs w:val="22"/>
        </w:rPr>
        <w:t>)(</w:t>
      </w:r>
      <w:proofErr w:type="gramEnd"/>
      <w:r w:rsidR="00A879F3" w:rsidRPr="009F5AF4">
        <w:rPr>
          <w:rFonts w:ascii="Arial" w:hAnsi="Arial" w:cs="Arial"/>
          <w:sz w:val="22"/>
          <w:szCs w:val="22"/>
        </w:rPr>
        <w:t xml:space="preserve">1) below.  </w:t>
      </w:r>
    </w:p>
    <w:p w:rsidR="00A879F3" w:rsidRPr="009F5AF4" w:rsidRDefault="00A879F3">
      <w:pPr>
        <w:widowControl/>
        <w:rPr>
          <w:rFonts w:ascii="Arial" w:hAnsi="Arial" w:cs="Arial"/>
          <w:sz w:val="22"/>
          <w:szCs w:val="22"/>
        </w:rPr>
      </w:pPr>
    </w:p>
    <w:p w:rsidR="00A879F3" w:rsidRPr="009F5AF4" w:rsidRDefault="007846BC">
      <w:pPr>
        <w:widowControl/>
        <w:tabs>
          <w:tab w:val="left" w:pos="-1440"/>
        </w:tabs>
        <w:ind w:left="2160" w:hanging="720"/>
        <w:rPr>
          <w:rFonts w:ascii="Arial" w:hAnsi="Arial" w:cs="Arial"/>
          <w:sz w:val="22"/>
          <w:szCs w:val="22"/>
        </w:rPr>
      </w:pPr>
      <w:r w:rsidRPr="009F5AF4">
        <w:rPr>
          <w:rFonts w:ascii="Arial" w:hAnsi="Arial" w:cs="Arial"/>
          <w:sz w:val="22"/>
          <w:szCs w:val="22"/>
        </w:rPr>
        <w:t>(2)</w:t>
      </w:r>
      <w:r w:rsidRPr="009F5AF4">
        <w:rPr>
          <w:rFonts w:ascii="Arial" w:hAnsi="Arial" w:cs="Arial"/>
          <w:sz w:val="22"/>
          <w:szCs w:val="22"/>
        </w:rPr>
        <w:tab/>
        <w:t>Ensure that if the supplier</w:t>
      </w:r>
      <w:r w:rsidR="00A879F3" w:rsidRPr="009F5AF4">
        <w:rPr>
          <w:rFonts w:ascii="Arial" w:hAnsi="Arial" w:cs="Arial"/>
          <w:sz w:val="22"/>
          <w:szCs w:val="22"/>
        </w:rPr>
        <w:t xml:space="preserve"> or licensee cannot complete an evaluation of either the failure to comply or deviation within 60 days of its discovery, an interim written report should be submitted to the Commission describing the deviation or the failure to comply.  The report must be submitted within 60 days of discovery of the deviation or the failure to comply.</w:t>
      </w:r>
    </w:p>
    <w:p w:rsidR="00A879F3" w:rsidRPr="009F5AF4" w:rsidRDefault="00A879F3">
      <w:pPr>
        <w:widowControl/>
        <w:rPr>
          <w:rFonts w:ascii="Arial" w:hAnsi="Arial" w:cs="Arial"/>
          <w:sz w:val="22"/>
          <w:szCs w:val="22"/>
        </w:rPr>
      </w:pPr>
    </w:p>
    <w:p w:rsidR="00A879F3" w:rsidRPr="009F5AF4" w:rsidRDefault="007846BC">
      <w:pPr>
        <w:widowControl/>
        <w:tabs>
          <w:tab w:val="left" w:pos="-1440"/>
        </w:tabs>
        <w:ind w:left="2160" w:hanging="720"/>
        <w:rPr>
          <w:rFonts w:ascii="Arial" w:hAnsi="Arial" w:cs="Arial"/>
          <w:sz w:val="22"/>
          <w:szCs w:val="22"/>
        </w:rPr>
      </w:pPr>
      <w:r w:rsidRPr="009F5AF4">
        <w:rPr>
          <w:rFonts w:ascii="Arial" w:hAnsi="Arial" w:cs="Arial"/>
          <w:sz w:val="22"/>
          <w:szCs w:val="22"/>
        </w:rPr>
        <w:t>(3)</w:t>
      </w:r>
      <w:r w:rsidRPr="009F5AF4">
        <w:rPr>
          <w:rFonts w:ascii="Arial" w:hAnsi="Arial" w:cs="Arial"/>
          <w:sz w:val="22"/>
          <w:szCs w:val="22"/>
        </w:rPr>
        <w:tab/>
        <w:t>E</w:t>
      </w:r>
      <w:r w:rsidR="00A879F3" w:rsidRPr="009F5AF4">
        <w:rPr>
          <w:rFonts w:ascii="Arial" w:hAnsi="Arial" w:cs="Arial"/>
          <w:sz w:val="22"/>
          <w:szCs w:val="22"/>
        </w:rPr>
        <w:t>nsure that a director or responsible officer of a company covered by 10 CFR</w:t>
      </w:r>
      <w:r w:rsidR="00222DD7">
        <w:rPr>
          <w:rFonts w:ascii="Arial" w:hAnsi="Arial" w:cs="Arial"/>
          <w:sz w:val="22"/>
          <w:szCs w:val="22"/>
        </w:rPr>
        <w:t xml:space="preserve"> Part</w:t>
      </w:r>
      <w:r w:rsidR="00A879F3" w:rsidRPr="009F5AF4">
        <w:rPr>
          <w:rFonts w:ascii="Arial" w:hAnsi="Arial" w:cs="Arial"/>
          <w:sz w:val="22"/>
          <w:szCs w:val="22"/>
        </w:rPr>
        <w:t xml:space="preserve"> 21 be notified within 5 working days of the determination, </w:t>
      </w:r>
      <w:r w:rsidR="00A879F3" w:rsidRPr="009F5AF4">
        <w:rPr>
          <w:rFonts w:ascii="Arial" w:hAnsi="Arial" w:cs="Arial"/>
          <w:sz w:val="22"/>
          <w:szCs w:val="22"/>
        </w:rPr>
        <w:lastRenderedPageBreak/>
        <w:t>based on the evaluation under 10 CFR 21.21(a)(1) and (2) above, that a defect or failure to comply exists.</w:t>
      </w:r>
    </w:p>
    <w:p w:rsidR="00A879F3" w:rsidRPr="009F5AF4" w:rsidRDefault="00A879F3">
      <w:pPr>
        <w:widowControl/>
        <w:rPr>
          <w:rFonts w:ascii="Arial" w:hAnsi="Arial" w:cs="Arial"/>
          <w:sz w:val="22"/>
          <w:szCs w:val="22"/>
        </w:rPr>
      </w:pPr>
    </w:p>
    <w:p w:rsidR="00A879F3" w:rsidRPr="009F5AF4" w:rsidRDefault="00A879F3">
      <w:pPr>
        <w:widowControl/>
        <w:ind w:left="1440"/>
        <w:rPr>
          <w:rFonts w:ascii="Arial" w:hAnsi="Arial" w:cs="Arial"/>
          <w:sz w:val="22"/>
          <w:szCs w:val="22"/>
        </w:rPr>
      </w:pPr>
      <w:r w:rsidRPr="009F5AF4">
        <w:rPr>
          <w:rFonts w:ascii="Arial" w:hAnsi="Arial" w:cs="Arial"/>
          <w:sz w:val="22"/>
          <w:szCs w:val="22"/>
          <w:u w:val="single"/>
        </w:rPr>
        <w:t>10 CFR 21.21(b)</w:t>
      </w:r>
      <w:r w:rsidRPr="009F5AF4">
        <w:rPr>
          <w:rFonts w:ascii="Arial" w:hAnsi="Arial" w:cs="Arial"/>
          <w:sz w:val="22"/>
          <w:szCs w:val="22"/>
        </w:rPr>
        <w:t xml:space="preserve"> requires that a </w:t>
      </w:r>
      <w:r w:rsidR="007846BC" w:rsidRPr="009F5AF4">
        <w:rPr>
          <w:rFonts w:ascii="Arial" w:hAnsi="Arial" w:cs="Arial"/>
          <w:sz w:val="22"/>
          <w:szCs w:val="22"/>
        </w:rPr>
        <w:t xml:space="preserve">supplier </w:t>
      </w:r>
      <w:r w:rsidRPr="009F5AF4">
        <w:rPr>
          <w:rFonts w:ascii="Arial" w:hAnsi="Arial" w:cs="Arial"/>
          <w:sz w:val="22"/>
          <w:szCs w:val="22"/>
        </w:rPr>
        <w:t>that lacks the ability and/or information to perform an evaluation of a deviation transmit information to the purchasers of, or affected licensees that, possess the basic component within 5 working days of the determination.  The purchasers or affected licensees are then expected to evaluate the information as discussed under 10 CFR 21.21(a</w:t>
      </w:r>
      <w:proofErr w:type="gramStart"/>
      <w:r w:rsidRPr="009F5AF4">
        <w:rPr>
          <w:rFonts w:ascii="Arial" w:hAnsi="Arial" w:cs="Arial"/>
          <w:sz w:val="22"/>
          <w:szCs w:val="22"/>
        </w:rPr>
        <w:t>)(</w:t>
      </w:r>
      <w:proofErr w:type="gramEnd"/>
      <w:r w:rsidRPr="009F5AF4">
        <w:rPr>
          <w:rFonts w:ascii="Arial" w:hAnsi="Arial" w:cs="Arial"/>
          <w:sz w:val="22"/>
          <w:szCs w:val="22"/>
        </w:rPr>
        <w:t>1) above.</w:t>
      </w:r>
    </w:p>
    <w:p w:rsidR="00A879F3" w:rsidRPr="009F5AF4" w:rsidRDefault="00A879F3">
      <w:pPr>
        <w:widowControl/>
        <w:rPr>
          <w:rFonts w:ascii="Arial" w:hAnsi="Arial" w:cs="Arial"/>
          <w:sz w:val="22"/>
          <w:szCs w:val="22"/>
        </w:rPr>
      </w:pPr>
    </w:p>
    <w:p w:rsidR="00A879F3" w:rsidRPr="009F5AF4" w:rsidRDefault="00A879F3">
      <w:pPr>
        <w:widowControl/>
        <w:ind w:left="1440"/>
        <w:rPr>
          <w:rFonts w:ascii="Arial" w:hAnsi="Arial" w:cs="Arial"/>
          <w:sz w:val="22"/>
          <w:szCs w:val="22"/>
        </w:rPr>
      </w:pPr>
      <w:r w:rsidRPr="009F5AF4">
        <w:rPr>
          <w:rFonts w:ascii="Arial" w:hAnsi="Arial" w:cs="Arial"/>
          <w:sz w:val="22"/>
          <w:szCs w:val="22"/>
          <w:u w:val="single"/>
        </w:rPr>
        <w:t>10 CFR 21.21(d)(1)</w:t>
      </w:r>
      <w:r w:rsidRPr="009F5AF4">
        <w:rPr>
          <w:rFonts w:ascii="Arial" w:hAnsi="Arial" w:cs="Arial"/>
          <w:sz w:val="22"/>
          <w:szCs w:val="22"/>
        </w:rPr>
        <w:t xml:space="preserve"> requires that a director or responsible officer subject to 10 CFR</w:t>
      </w:r>
      <w:r w:rsidR="00222DD7">
        <w:rPr>
          <w:rFonts w:ascii="Arial" w:hAnsi="Arial" w:cs="Arial"/>
          <w:sz w:val="22"/>
          <w:szCs w:val="22"/>
        </w:rPr>
        <w:t xml:space="preserve"> Part</w:t>
      </w:r>
      <w:r w:rsidRPr="009F5AF4">
        <w:rPr>
          <w:rFonts w:ascii="Arial" w:hAnsi="Arial" w:cs="Arial"/>
          <w:sz w:val="22"/>
          <w:szCs w:val="22"/>
        </w:rPr>
        <w:t> 21, or a person designated under 10 CFR 21.21(d)(5), notify the Commission when he or she obtains information reasonably indicating a failure to comply or a defect affecting (</w:t>
      </w:r>
      <w:proofErr w:type="spellStart"/>
      <w:r w:rsidR="00FE57DD">
        <w:rPr>
          <w:rFonts w:ascii="Arial" w:hAnsi="Arial" w:cs="Arial"/>
          <w:sz w:val="22"/>
          <w:szCs w:val="22"/>
        </w:rPr>
        <w:t>i</w:t>
      </w:r>
      <w:proofErr w:type="spellEnd"/>
      <w:r w:rsidRPr="009F5AF4">
        <w:rPr>
          <w:rFonts w:ascii="Arial" w:hAnsi="Arial" w:cs="Arial"/>
          <w:sz w:val="22"/>
          <w:szCs w:val="22"/>
        </w:rPr>
        <w:t xml:space="preserve">) the </w:t>
      </w:r>
      <w:r w:rsidR="00FE57DD">
        <w:rPr>
          <w:rFonts w:ascii="Arial" w:hAnsi="Arial" w:cs="Arial"/>
          <w:sz w:val="22"/>
          <w:szCs w:val="22"/>
        </w:rPr>
        <w:t xml:space="preserve">manufacture, </w:t>
      </w:r>
      <w:r w:rsidRPr="009F5AF4">
        <w:rPr>
          <w:rFonts w:ascii="Arial" w:hAnsi="Arial" w:cs="Arial"/>
          <w:sz w:val="22"/>
          <w:szCs w:val="22"/>
        </w:rPr>
        <w:t>construction or operation of a facility or an activity within the U.S. that is subject to NRC licensing requirements and that is within his or her organization's responsibility; or (ii) a basic component that is within his or her organization's responsibility and is supplied for a facility or an activity within the U.S. that is subject to NRC licensing requirements.</w:t>
      </w:r>
    </w:p>
    <w:p w:rsidR="00A879F3" w:rsidRPr="009F5AF4" w:rsidRDefault="00A879F3">
      <w:pPr>
        <w:widowControl/>
        <w:rPr>
          <w:rFonts w:ascii="Arial" w:hAnsi="Arial" w:cs="Arial"/>
          <w:sz w:val="22"/>
          <w:szCs w:val="22"/>
        </w:rPr>
      </w:pPr>
    </w:p>
    <w:p w:rsidR="00A879F3" w:rsidRPr="009F5AF4" w:rsidRDefault="00A879F3">
      <w:pPr>
        <w:widowControl/>
        <w:ind w:left="1440"/>
        <w:rPr>
          <w:rFonts w:ascii="Arial" w:hAnsi="Arial" w:cs="Arial"/>
          <w:sz w:val="22"/>
          <w:szCs w:val="22"/>
        </w:rPr>
      </w:pPr>
      <w:r w:rsidRPr="009F5AF4">
        <w:rPr>
          <w:rFonts w:ascii="Arial" w:hAnsi="Arial" w:cs="Arial"/>
          <w:sz w:val="22"/>
          <w:szCs w:val="22"/>
          <w:u w:val="single"/>
        </w:rPr>
        <w:t>10 CFR 21.21(d</w:t>
      </w:r>
      <w:proofErr w:type="gramStart"/>
      <w:r w:rsidRPr="009F5AF4">
        <w:rPr>
          <w:rFonts w:ascii="Arial" w:hAnsi="Arial" w:cs="Arial"/>
          <w:sz w:val="22"/>
          <w:szCs w:val="22"/>
          <w:u w:val="single"/>
        </w:rPr>
        <w:t>)(</w:t>
      </w:r>
      <w:proofErr w:type="gramEnd"/>
      <w:r w:rsidRPr="009F5AF4">
        <w:rPr>
          <w:rFonts w:ascii="Arial" w:hAnsi="Arial" w:cs="Arial"/>
          <w:sz w:val="22"/>
          <w:szCs w:val="22"/>
          <w:u w:val="single"/>
        </w:rPr>
        <w:t>2)</w:t>
      </w:r>
      <w:r w:rsidRPr="009F5AF4">
        <w:rPr>
          <w:rFonts w:ascii="Arial" w:hAnsi="Arial" w:cs="Arial"/>
          <w:sz w:val="22"/>
          <w:szCs w:val="22"/>
        </w:rPr>
        <w:t xml:space="preserve"> permits the non-reporting of defects and failures to comply if the individual director or responsible officer has actual knowledge that the NRC has already been notified in writing.</w:t>
      </w:r>
    </w:p>
    <w:p w:rsidR="00A879F3" w:rsidRPr="009F5AF4" w:rsidRDefault="00A879F3">
      <w:pPr>
        <w:widowControl/>
        <w:rPr>
          <w:rFonts w:ascii="Arial" w:hAnsi="Arial" w:cs="Arial"/>
          <w:sz w:val="22"/>
          <w:szCs w:val="22"/>
        </w:rPr>
      </w:pPr>
    </w:p>
    <w:p w:rsidR="00A879F3" w:rsidRPr="009F5AF4" w:rsidRDefault="00A879F3">
      <w:pPr>
        <w:widowControl/>
        <w:ind w:left="1440"/>
        <w:rPr>
          <w:rFonts w:ascii="Arial" w:hAnsi="Arial" w:cs="Arial"/>
          <w:sz w:val="22"/>
          <w:szCs w:val="22"/>
        </w:rPr>
      </w:pPr>
      <w:r w:rsidRPr="009F5AF4">
        <w:rPr>
          <w:rFonts w:ascii="Arial" w:hAnsi="Arial" w:cs="Arial"/>
          <w:sz w:val="22"/>
          <w:szCs w:val="22"/>
          <w:u w:val="single"/>
        </w:rPr>
        <w:t>10 CFR 21.21(d)(3)(</w:t>
      </w:r>
      <w:proofErr w:type="spellStart"/>
      <w:r w:rsidRPr="009F5AF4">
        <w:rPr>
          <w:rFonts w:ascii="Arial" w:hAnsi="Arial" w:cs="Arial"/>
          <w:sz w:val="22"/>
          <w:szCs w:val="22"/>
          <w:u w:val="single"/>
        </w:rPr>
        <w:t>i</w:t>
      </w:r>
      <w:proofErr w:type="spellEnd"/>
      <w:r w:rsidRPr="009F5AF4">
        <w:rPr>
          <w:rFonts w:ascii="Arial" w:hAnsi="Arial" w:cs="Arial"/>
          <w:sz w:val="22"/>
          <w:szCs w:val="22"/>
          <w:u w:val="single"/>
        </w:rPr>
        <w:t>)</w:t>
      </w:r>
      <w:r w:rsidRPr="009F5AF4">
        <w:rPr>
          <w:rFonts w:ascii="Arial" w:hAnsi="Arial" w:cs="Arial"/>
          <w:sz w:val="22"/>
          <w:szCs w:val="22"/>
        </w:rPr>
        <w:t xml:space="preserve"> requires the Commission to be notified by the</w:t>
      </w:r>
      <w:r w:rsidR="003A7FCA" w:rsidRPr="009F5AF4">
        <w:rPr>
          <w:rFonts w:ascii="Arial" w:hAnsi="Arial" w:cs="Arial"/>
          <w:sz w:val="22"/>
          <w:szCs w:val="22"/>
        </w:rPr>
        <w:t xml:space="preserve"> supplier</w:t>
      </w:r>
      <w:r w:rsidRPr="009F5AF4">
        <w:rPr>
          <w:rFonts w:ascii="Arial" w:hAnsi="Arial" w:cs="Arial"/>
          <w:sz w:val="22"/>
          <w:szCs w:val="22"/>
        </w:rPr>
        <w:t>, licensee or dedicating entity via telephone or facsimile within two days following receipt of information by a director or responsible officer that a defect or failure to comply exists.</w:t>
      </w:r>
      <w:r w:rsidR="00CA3D22" w:rsidRPr="009F5AF4">
        <w:rPr>
          <w:rFonts w:ascii="Arial" w:hAnsi="Arial" w:cs="Arial"/>
          <w:sz w:val="22"/>
          <w:szCs w:val="22"/>
        </w:rPr>
        <w:t xml:space="preserve">  This requirement does not apply to </w:t>
      </w:r>
      <w:r w:rsidR="00DC00D2" w:rsidRPr="009F5AF4">
        <w:rPr>
          <w:rFonts w:ascii="Arial" w:hAnsi="Arial" w:cs="Arial"/>
          <w:sz w:val="22"/>
          <w:szCs w:val="22"/>
        </w:rPr>
        <w:t>interim reports described in 10 </w:t>
      </w:r>
      <w:r w:rsidR="00CA3D22" w:rsidRPr="009F5AF4">
        <w:rPr>
          <w:rFonts w:ascii="Arial" w:hAnsi="Arial" w:cs="Arial"/>
          <w:sz w:val="22"/>
          <w:szCs w:val="22"/>
        </w:rPr>
        <w:t>CFR 21.21(a</w:t>
      </w:r>
      <w:proofErr w:type="gramStart"/>
      <w:r w:rsidR="00CA3D22" w:rsidRPr="009F5AF4">
        <w:rPr>
          <w:rFonts w:ascii="Arial" w:hAnsi="Arial" w:cs="Arial"/>
          <w:sz w:val="22"/>
          <w:szCs w:val="22"/>
        </w:rPr>
        <w:t>)(</w:t>
      </w:r>
      <w:proofErr w:type="gramEnd"/>
      <w:r w:rsidR="00CA3D22" w:rsidRPr="009F5AF4">
        <w:rPr>
          <w:rFonts w:ascii="Arial" w:hAnsi="Arial" w:cs="Arial"/>
          <w:sz w:val="22"/>
          <w:szCs w:val="22"/>
        </w:rPr>
        <w:t>2).</w:t>
      </w:r>
    </w:p>
    <w:p w:rsidR="00A879F3" w:rsidRPr="009F5AF4" w:rsidRDefault="00A879F3">
      <w:pPr>
        <w:widowControl/>
        <w:rPr>
          <w:rFonts w:ascii="Arial" w:hAnsi="Arial" w:cs="Arial"/>
          <w:sz w:val="22"/>
          <w:szCs w:val="22"/>
        </w:rPr>
      </w:pPr>
    </w:p>
    <w:p w:rsidR="00A879F3" w:rsidRPr="009F5AF4" w:rsidRDefault="00A879F3">
      <w:pPr>
        <w:widowControl/>
        <w:ind w:left="1440"/>
        <w:rPr>
          <w:rFonts w:ascii="Arial" w:hAnsi="Arial" w:cs="Arial"/>
          <w:sz w:val="22"/>
          <w:szCs w:val="22"/>
        </w:rPr>
      </w:pPr>
      <w:r w:rsidRPr="009F5AF4">
        <w:rPr>
          <w:rFonts w:ascii="Arial" w:hAnsi="Arial" w:cs="Arial"/>
          <w:sz w:val="22"/>
          <w:szCs w:val="22"/>
          <w:u w:val="single"/>
        </w:rPr>
        <w:t>10 CFR 21.21(d)(3)(ii)</w:t>
      </w:r>
      <w:r w:rsidRPr="009F5AF4">
        <w:rPr>
          <w:rFonts w:ascii="Arial" w:hAnsi="Arial" w:cs="Arial"/>
          <w:sz w:val="22"/>
          <w:szCs w:val="22"/>
        </w:rPr>
        <w:t xml:space="preserve"> requires the submittal o</w:t>
      </w:r>
      <w:r w:rsidR="003A7FCA" w:rsidRPr="009F5AF4">
        <w:rPr>
          <w:rFonts w:ascii="Arial" w:hAnsi="Arial" w:cs="Arial"/>
          <w:sz w:val="22"/>
          <w:szCs w:val="22"/>
        </w:rPr>
        <w:t>f a written report by the supplier</w:t>
      </w:r>
      <w:r w:rsidRPr="009F5AF4">
        <w:rPr>
          <w:rFonts w:ascii="Arial" w:hAnsi="Arial" w:cs="Arial"/>
          <w:sz w:val="22"/>
          <w:szCs w:val="22"/>
        </w:rPr>
        <w:t>, licensee or dedicating entity to the Commission within 30 days of identification of a defect or failure to comply.  The report contents are defined in 10 CFR 21.21(d</w:t>
      </w:r>
      <w:proofErr w:type="gramStart"/>
      <w:r w:rsidRPr="009F5AF4">
        <w:rPr>
          <w:rFonts w:ascii="Arial" w:hAnsi="Arial" w:cs="Arial"/>
          <w:sz w:val="22"/>
          <w:szCs w:val="22"/>
        </w:rPr>
        <w:t>)(</w:t>
      </w:r>
      <w:proofErr w:type="gramEnd"/>
      <w:r w:rsidRPr="009F5AF4">
        <w:rPr>
          <w:rFonts w:ascii="Arial" w:hAnsi="Arial" w:cs="Arial"/>
          <w:sz w:val="22"/>
          <w:szCs w:val="22"/>
        </w:rPr>
        <w:t>4).</w:t>
      </w:r>
    </w:p>
    <w:p w:rsidR="00A879F3" w:rsidRPr="009F5AF4" w:rsidRDefault="00A879F3">
      <w:pPr>
        <w:widowControl/>
        <w:rPr>
          <w:rFonts w:ascii="Arial" w:hAnsi="Arial" w:cs="Arial"/>
          <w:sz w:val="22"/>
          <w:szCs w:val="22"/>
        </w:rPr>
      </w:pPr>
    </w:p>
    <w:p w:rsidR="00A879F3" w:rsidRPr="009F5AF4" w:rsidRDefault="00A879F3">
      <w:pPr>
        <w:widowControl/>
        <w:ind w:left="1440"/>
        <w:rPr>
          <w:rFonts w:ascii="Arial" w:hAnsi="Arial" w:cs="Arial"/>
          <w:sz w:val="22"/>
          <w:szCs w:val="22"/>
        </w:rPr>
      </w:pPr>
      <w:r w:rsidRPr="009F5AF4">
        <w:rPr>
          <w:rFonts w:ascii="Arial" w:hAnsi="Arial" w:cs="Arial"/>
          <w:sz w:val="22"/>
          <w:szCs w:val="22"/>
          <w:u w:val="single"/>
        </w:rPr>
        <w:t>10 CFR 21.21(e)</w:t>
      </w:r>
      <w:r w:rsidRPr="009F5AF4">
        <w:rPr>
          <w:rFonts w:ascii="Arial" w:hAnsi="Arial" w:cs="Arial"/>
          <w:sz w:val="22"/>
          <w:szCs w:val="22"/>
        </w:rPr>
        <w:t xml:space="preserve"> provides for the Commission to obtain from individuals subject to 10 CFR 21 any needed additional information related to a defect or failure to comply.</w:t>
      </w:r>
    </w:p>
    <w:p w:rsidR="00A879F3" w:rsidRPr="009F5AF4" w:rsidRDefault="00A879F3">
      <w:pPr>
        <w:widowControl/>
        <w:ind w:left="1440"/>
        <w:rPr>
          <w:rFonts w:ascii="Arial" w:hAnsi="Arial" w:cs="Arial"/>
          <w:sz w:val="22"/>
          <w:szCs w:val="22"/>
        </w:rPr>
      </w:pPr>
    </w:p>
    <w:p w:rsidR="00A879F3" w:rsidRPr="009F5AF4" w:rsidRDefault="00A879F3">
      <w:pPr>
        <w:widowControl/>
        <w:ind w:left="1440"/>
        <w:rPr>
          <w:rFonts w:ascii="Arial" w:hAnsi="Arial" w:cs="Arial"/>
          <w:sz w:val="22"/>
          <w:szCs w:val="22"/>
        </w:rPr>
      </w:pPr>
      <w:r w:rsidRPr="009F5AF4">
        <w:rPr>
          <w:rFonts w:ascii="Arial" w:hAnsi="Arial" w:cs="Arial"/>
          <w:sz w:val="22"/>
          <w:szCs w:val="22"/>
          <w:u w:val="single"/>
        </w:rPr>
        <w:t>10 CFR 21.51(a</w:t>
      </w:r>
      <w:proofErr w:type="gramStart"/>
      <w:r w:rsidRPr="009F5AF4">
        <w:rPr>
          <w:rFonts w:ascii="Arial" w:hAnsi="Arial" w:cs="Arial"/>
          <w:sz w:val="22"/>
          <w:szCs w:val="22"/>
          <w:u w:val="single"/>
        </w:rPr>
        <w:t>)(</w:t>
      </w:r>
      <w:proofErr w:type="gramEnd"/>
      <w:r w:rsidRPr="009F5AF4">
        <w:rPr>
          <w:rFonts w:ascii="Arial" w:hAnsi="Arial" w:cs="Arial"/>
          <w:sz w:val="22"/>
          <w:szCs w:val="22"/>
          <w:u w:val="single"/>
        </w:rPr>
        <w:t>1)</w:t>
      </w:r>
      <w:r w:rsidR="003A7FCA" w:rsidRPr="009F5AF4">
        <w:rPr>
          <w:rFonts w:ascii="Arial" w:hAnsi="Arial" w:cs="Arial"/>
          <w:sz w:val="22"/>
          <w:szCs w:val="22"/>
        </w:rPr>
        <w:t xml:space="preserve"> requires supplier</w:t>
      </w:r>
      <w:r w:rsidRPr="009F5AF4">
        <w:rPr>
          <w:rFonts w:ascii="Arial" w:hAnsi="Arial" w:cs="Arial"/>
          <w:sz w:val="22"/>
          <w:szCs w:val="22"/>
        </w:rPr>
        <w:t xml:space="preserve">s, licensees, or </w:t>
      </w:r>
      <w:r w:rsidR="003A7FCA" w:rsidRPr="009F5AF4">
        <w:rPr>
          <w:rFonts w:ascii="Arial" w:hAnsi="Arial" w:cs="Arial"/>
          <w:sz w:val="22"/>
          <w:szCs w:val="22"/>
        </w:rPr>
        <w:t xml:space="preserve">commercial grade </w:t>
      </w:r>
      <w:r w:rsidRPr="009F5AF4">
        <w:rPr>
          <w:rFonts w:ascii="Arial" w:hAnsi="Arial" w:cs="Arial"/>
          <w:sz w:val="22"/>
          <w:szCs w:val="22"/>
        </w:rPr>
        <w:t>dedicating entities to retain records of evaluations of deviations and failures to comply for 5</w:t>
      </w:r>
      <w:r w:rsidR="00DC00D2" w:rsidRPr="009F5AF4">
        <w:rPr>
          <w:rFonts w:ascii="Arial" w:hAnsi="Arial" w:cs="Arial"/>
          <w:sz w:val="22"/>
          <w:szCs w:val="22"/>
        </w:rPr>
        <w:t> </w:t>
      </w:r>
      <w:r w:rsidRPr="009F5AF4">
        <w:rPr>
          <w:rFonts w:ascii="Arial" w:hAnsi="Arial" w:cs="Arial"/>
          <w:sz w:val="22"/>
          <w:szCs w:val="22"/>
        </w:rPr>
        <w:t>years after the date of the evaluation.</w:t>
      </w:r>
    </w:p>
    <w:p w:rsidR="00A879F3" w:rsidRPr="009F5AF4" w:rsidRDefault="00A879F3">
      <w:pPr>
        <w:widowControl/>
        <w:rPr>
          <w:rFonts w:ascii="Arial" w:hAnsi="Arial" w:cs="Arial"/>
          <w:sz w:val="22"/>
          <w:szCs w:val="22"/>
        </w:rPr>
      </w:pPr>
    </w:p>
    <w:p w:rsidR="00A879F3" w:rsidRPr="009F5AF4" w:rsidRDefault="00A879F3">
      <w:pPr>
        <w:widowControl/>
        <w:ind w:left="1440"/>
        <w:rPr>
          <w:rFonts w:ascii="Arial" w:hAnsi="Arial" w:cs="Arial"/>
          <w:sz w:val="22"/>
          <w:szCs w:val="22"/>
        </w:rPr>
      </w:pPr>
      <w:r w:rsidRPr="009F5AF4">
        <w:rPr>
          <w:rFonts w:ascii="Arial" w:hAnsi="Arial" w:cs="Arial"/>
          <w:sz w:val="22"/>
          <w:szCs w:val="22"/>
          <w:u w:val="single"/>
        </w:rPr>
        <w:t>10 CFR 21.51(a)(2)</w:t>
      </w:r>
      <w:r w:rsidR="003A7FCA" w:rsidRPr="009F5AF4">
        <w:rPr>
          <w:rFonts w:ascii="Arial" w:hAnsi="Arial" w:cs="Arial"/>
          <w:sz w:val="22"/>
          <w:szCs w:val="22"/>
        </w:rPr>
        <w:t xml:space="preserve"> requires suppliers</w:t>
      </w:r>
      <w:r w:rsidRPr="009F5AF4">
        <w:rPr>
          <w:rFonts w:ascii="Arial" w:hAnsi="Arial" w:cs="Arial"/>
          <w:sz w:val="22"/>
          <w:szCs w:val="22"/>
        </w:rPr>
        <w:t xml:space="preserve"> of basic components to retain notifications of defects or failures to comply that were sent to purchasers and affected licensees for 5 years after the date of the notification.</w:t>
      </w:r>
    </w:p>
    <w:p w:rsidR="00A879F3" w:rsidRPr="009F5AF4" w:rsidRDefault="00A879F3">
      <w:pPr>
        <w:widowControl/>
        <w:rPr>
          <w:rFonts w:ascii="Arial" w:hAnsi="Arial" w:cs="Arial"/>
          <w:sz w:val="22"/>
          <w:szCs w:val="22"/>
        </w:rPr>
      </w:pPr>
    </w:p>
    <w:p w:rsidR="00A879F3" w:rsidRPr="009F5AF4" w:rsidRDefault="00A879F3">
      <w:pPr>
        <w:widowControl/>
        <w:ind w:left="1440"/>
        <w:rPr>
          <w:rFonts w:ascii="Arial" w:hAnsi="Arial" w:cs="Arial"/>
          <w:sz w:val="22"/>
          <w:szCs w:val="22"/>
        </w:rPr>
      </w:pPr>
      <w:r w:rsidRPr="009F5AF4">
        <w:rPr>
          <w:rFonts w:ascii="Arial" w:hAnsi="Arial" w:cs="Arial"/>
          <w:sz w:val="22"/>
          <w:szCs w:val="22"/>
          <w:u w:val="single"/>
        </w:rPr>
        <w:t>10 CFR 21.51(a</w:t>
      </w:r>
      <w:proofErr w:type="gramStart"/>
      <w:r w:rsidRPr="009F5AF4">
        <w:rPr>
          <w:rFonts w:ascii="Arial" w:hAnsi="Arial" w:cs="Arial"/>
          <w:sz w:val="22"/>
          <w:szCs w:val="22"/>
          <w:u w:val="single"/>
        </w:rPr>
        <w:t>)(</w:t>
      </w:r>
      <w:proofErr w:type="gramEnd"/>
      <w:r w:rsidRPr="009F5AF4">
        <w:rPr>
          <w:rFonts w:ascii="Arial" w:hAnsi="Arial" w:cs="Arial"/>
          <w:sz w:val="22"/>
          <w:szCs w:val="22"/>
          <w:u w:val="single"/>
        </w:rPr>
        <w:t>3)</w:t>
      </w:r>
      <w:r w:rsidR="003A7FCA" w:rsidRPr="009F5AF4">
        <w:rPr>
          <w:rFonts w:ascii="Arial" w:hAnsi="Arial" w:cs="Arial"/>
          <w:sz w:val="22"/>
          <w:szCs w:val="22"/>
        </w:rPr>
        <w:t xml:space="preserve"> requires suppliers</w:t>
      </w:r>
      <w:r w:rsidRPr="009F5AF4">
        <w:rPr>
          <w:rFonts w:ascii="Arial" w:hAnsi="Arial" w:cs="Arial"/>
          <w:sz w:val="22"/>
          <w:szCs w:val="22"/>
        </w:rPr>
        <w:t xml:space="preserve"> of basic components to retain a record of purchasers of basic components for 10 years after delivery of the basic component or service associated with a basic component.  </w:t>
      </w:r>
    </w:p>
    <w:p w:rsidR="00756F89" w:rsidRPr="009F5AF4" w:rsidRDefault="00756F89">
      <w:pPr>
        <w:widowControl/>
        <w:ind w:left="1440"/>
        <w:rPr>
          <w:rFonts w:ascii="Arial" w:hAnsi="Arial" w:cs="Arial"/>
          <w:sz w:val="22"/>
          <w:szCs w:val="22"/>
          <w:u w:val="single"/>
        </w:rPr>
      </w:pPr>
    </w:p>
    <w:p w:rsidR="00622844" w:rsidRPr="009F5AF4" w:rsidRDefault="00622844" w:rsidP="00622844">
      <w:pPr>
        <w:widowControl/>
        <w:ind w:left="1440"/>
        <w:rPr>
          <w:rFonts w:ascii="Arial" w:hAnsi="Arial" w:cs="Arial"/>
          <w:sz w:val="22"/>
          <w:szCs w:val="22"/>
        </w:rPr>
      </w:pPr>
      <w:bookmarkStart w:id="1" w:name="OLE_LINK6"/>
      <w:bookmarkStart w:id="2" w:name="OLE_LINK7"/>
      <w:r w:rsidRPr="009F5AF4">
        <w:rPr>
          <w:rFonts w:ascii="Arial" w:hAnsi="Arial" w:cs="Arial"/>
          <w:sz w:val="22"/>
          <w:szCs w:val="22"/>
          <w:u w:val="single"/>
        </w:rPr>
        <w:lastRenderedPageBreak/>
        <w:t>10 CFR 21.51(a)(4)</w:t>
      </w:r>
      <w:bookmarkEnd w:id="1"/>
      <w:bookmarkEnd w:id="2"/>
      <w:r w:rsidRPr="009F5AF4">
        <w:rPr>
          <w:rFonts w:ascii="Arial" w:hAnsi="Arial" w:cs="Arial"/>
          <w:sz w:val="22"/>
          <w:szCs w:val="22"/>
        </w:rPr>
        <w:t xml:space="preserve"> requires applicants for standard design certification under </w:t>
      </w:r>
      <w:bookmarkStart w:id="3" w:name="OLE_LINK9"/>
      <w:bookmarkStart w:id="4" w:name="OLE_LINK10"/>
      <w:r w:rsidRPr="009F5AF4">
        <w:rPr>
          <w:rFonts w:ascii="Arial" w:hAnsi="Arial" w:cs="Arial"/>
          <w:sz w:val="22"/>
          <w:szCs w:val="22"/>
        </w:rPr>
        <w:t>subpart B</w:t>
      </w:r>
      <w:bookmarkEnd w:id="3"/>
      <w:bookmarkEnd w:id="4"/>
      <w:r w:rsidRPr="009F5AF4">
        <w:rPr>
          <w:rFonts w:ascii="Arial" w:hAnsi="Arial" w:cs="Arial"/>
          <w:sz w:val="22"/>
          <w:szCs w:val="22"/>
        </w:rPr>
        <w:t xml:space="preserve"> of 10 CFR </w:t>
      </w:r>
      <w:r w:rsidR="00222DD7">
        <w:rPr>
          <w:rFonts w:ascii="Arial" w:hAnsi="Arial" w:cs="Arial"/>
          <w:sz w:val="22"/>
          <w:szCs w:val="22"/>
        </w:rPr>
        <w:t xml:space="preserve">Part </w:t>
      </w:r>
      <w:r w:rsidRPr="009F5AF4">
        <w:rPr>
          <w:rFonts w:ascii="Arial" w:hAnsi="Arial" w:cs="Arial"/>
          <w:sz w:val="22"/>
          <w:szCs w:val="22"/>
        </w:rPr>
        <w:t>52</w:t>
      </w:r>
      <w:r w:rsidR="00F53329" w:rsidRPr="009F5AF4">
        <w:rPr>
          <w:rFonts w:ascii="Arial" w:hAnsi="Arial" w:cs="Arial"/>
          <w:sz w:val="22"/>
          <w:szCs w:val="22"/>
        </w:rPr>
        <w:t xml:space="preserve"> “Early Site Permits; Standard Design Certifications; and Combined Licenses for Nuclear Plants</w:t>
      </w:r>
      <w:r w:rsidRPr="009F5AF4">
        <w:rPr>
          <w:rFonts w:ascii="Arial" w:hAnsi="Arial" w:cs="Arial"/>
          <w:sz w:val="22"/>
          <w:szCs w:val="22"/>
        </w:rPr>
        <w:t xml:space="preserve"> and others providing a design which is the subject of a design certification, during and following Commission adoption of a final design certification rule for that design, to retain any notifications sent to purchasers and affected licensees for a minimum of 5 years after the date of the notification, and retain a record of the purchasers for 15 years after delivery of design which is the subject of the design certification rule or service associated with the design.</w:t>
      </w:r>
    </w:p>
    <w:p w:rsidR="00622844" w:rsidRPr="009F5AF4" w:rsidRDefault="00622844" w:rsidP="00622844">
      <w:pPr>
        <w:widowControl/>
        <w:ind w:left="1440"/>
        <w:rPr>
          <w:rFonts w:ascii="Arial" w:hAnsi="Arial" w:cs="Arial"/>
          <w:sz w:val="22"/>
          <w:szCs w:val="22"/>
        </w:rPr>
      </w:pPr>
    </w:p>
    <w:p w:rsidR="00622844" w:rsidRPr="009F5AF4" w:rsidRDefault="00622844" w:rsidP="00622844">
      <w:pPr>
        <w:widowControl/>
        <w:ind w:left="1440"/>
        <w:rPr>
          <w:rFonts w:ascii="Arial" w:hAnsi="Arial" w:cs="Arial"/>
          <w:sz w:val="22"/>
          <w:szCs w:val="22"/>
        </w:rPr>
      </w:pPr>
      <w:r w:rsidRPr="009F5AF4">
        <w:rPr>
          <w:rFonts w:ascii="Arial" w:hAnsi="Arial" w:cs="Arial"/>
          <w:sz w:val="22"/>
          <w:szCs w:val="22"/>
          <w:u w:val="single"/>
        </w:rPr>
        <w:t>10 CFR 21.51(a)(5)</w:t>
      </w:r>
      <w:r w:rsidRPr="009F5AF4">
        <w:rPr>
          <w:rFonts w:ascii="Arial" w:hAnsi="Arial" w:cs="Arial"/>
          <w:sz w:val="22"/>
          <w:szCs w:val="22"/>
        </w:rPr>
        <w:t xml:space="preserve"> requires applicants for or holders of a standard design approval under subpart E of 10 CFR</w:t>
      </w:r>
      <w:r w:rsidR="00222DD7">
        <w:rPr>
          <w:rFonts w:ascii="Arial" w:hAnsi="Arial" w:cs="Arial"/>
          <w:sz w:val="22"/>
          <w:szCs w:val="22"/>
        </w:rPr>
        <w:t xml:space="preserve"> Part</w:t>
      </w:r>
      <w:r w:rsidRPr="009F5AF4">
        <w:rPr>
          <w:rFonts w:ascii="Arial" w:hAnsi="Arial" w:cs="Arial"/>
          <w:sz w:val="22"/>
          <w:szCs w:val="22"/>
        </w:rPr>
        <w:t xml:space="preserve"> 52</w:t>
      </w:r>
      <w:r w:rsidR="00F53329" w:rsidRPr="009F5AF4">
        <w:rPr>
          <w:rFonts w:ascii="Arial" w:hAnsi="Arial" w:cs="Arial"/>
          <w:sz w:val="22"/>
          <w:szCs w:val="22"/>
        </w:rPr>
        <w:t xml:space="preserve"> “Early Site Permits; Standard Design Certifications; and Combined Licenses for Nuclear Plants</w:t>
      </w:r>
      <w:r w:rsidRPr="009F5AF4">
        <w:rPr>
          <w:rFonts w:ascii="Arial" w:hAnsi="Arial" w:cs="Arial"/>
          <w:sz w:val="22"/>
          <w:szCs w:val="22"/>
        </w:rPr>
        <w:t xml:space="preserve"> and others </w:t>
      </w:r>
      <w:bookmarkStart w:id="5" w:name="OLE_LINK11"/>
      <w:bookmarkStart w:id="6" w:name="OLE_LINK12"/>
      <w:r w:rsidRPr="009F5AF4">
        <w:rPr>
          <w:rFonts w:ascii="Arial" w:hAnsi="Arial" w:cs="Arial"/>
          <w:sz w:val="22"/>
          <w:szCs w:val="22"/>
        </w:rPr>
        <w:t xml:space="preserve">providing a design which is the subject of a design approval shall retain any notifications sent to purchasers and affected licensees for a minimum of 5 years after the date of the notification, and retain a record of the purchasers for </w:t>
      </w:r>
      <w:r w:rsidR="00222DD7">
        <w:rPr>
          <w:rFonts w:ascii="Arial" w:hAnsi="Arial" w:cs="Arial"/>
          <w:sz w:val="22"/>
          <w:szCs w:val="22"/>
        </w:rPr>
        <w:br/>
      </w:r>
      <w:r w:rsidRPr="009F5AF4">
        <w:rPr>
          <w:rFonts w:ascii="Arial" w:hAnsi="Arial" w:cs="Arial"/>
          <w:sz w:val="22"/>
          <w:szCs w:val="22"/>
        </w:rPr>
        <w:t>15 years after delivery of the design which is the subject of the design approval or service associated with the design.</w:t>
      </w:r>
      <w:bookmarkEnd w:id="5"/>
      <w:bookmarkEnd w:id="6"/>
    </w:p>
    <w:p w:rsidR="00756F89" w:rsidRPr="009F5AF4" w:rsidRDefault="00756F89" w:rsidP="00622844">
      <w:pPr>
        <w:widowControl/>
        <w:ind w:left="1440"/>
        <w:rPr>
          <w:rFonts w:ascii="Arial" w:hAnsi="Arial" w:cs="Arial"/>
          <w:sz w:val="22"/>
          <w:szCs w:val="22"/>
        </w:rPr>
      </w:pPr>
    </w:p>
    <w:p w:rsidR="00A879F3" w:rsidRPr="009F5AF4" w:rsidRDefault="00A879F3">
      <w:pPr>
        <w:widowControl/>
        <w:ind w:firstLine="720"/>
        <w:rPr>
          <w:rFonts w:ascii="Arial" w:hAnsi="Arial" w:cs="Arial"/>
          <w:sz w:val="22"/>
          <w:szCs w:val="22"/>
        </w:rPr>
      </w:pPr>
      <w:r w:rsidRPr="009F5AF4">
        <w:rPr>
          <w:rFonts w:ascii="Arial" w:hAnsi="Arial" w:cs="Arial"/>
          <w:sz w:val="22"/>
          <w:szCs w:val="22"/>
        </w:rPr>
        <w:t>2.</w:t>
      </w:r>
      <w:r w:rsidRPr="009F5AF4">
        <w:rPr>
          <w:rFonts w:ascii="Arial" w:hAnsi="Arial" w:cs="Arial"/>
          <w:sz w:val="22"/>
          <w:szCs w:val="22"/>
        </w:rPr>
        <w:tab/>
      </w:r>
      <w:r w:rsidRPr="009F5AF4">
        <w:rPr>
          <w:rFonts w:ascii="Arial" w:hAnsi="Arial" w:cs="Arial"/>
          <w:sz w:val="22"/>
          <w:szCs w:val="22"/>
          <w:u w:val="single"/>
        </w:rPr>
        <w:t>Agency Use of the Information</w:t>
      </w:r>
    </w:p>
    <w:p w:rsidR="00A879F3" w:rsidRPr="009F5AF4" w:rsidRDefault="00A879F3">
      <w:pPr>
        <w:widowControl/>
        <w:rPr>
          <w:rFonts w:ascii="Arial" w:hAnsi="Arial" w:cs="Arial"/>
          <w:sz w:val="22"/>
          <w:szCs w:val="22"/>
        </w:rPr>
      </w:pPr>
    </w:p>
    <w:p w:rsidR="00A879F3" w:rsidRPr="009F5AF4" w:rsidRDefault="00A879F3">
      <w:pPr>
        <w:widowControl/>
        <w:ind w:left="1440"/>
        <w:rPr>
          <w:rFonts w:ascii="Arial" w:hAnsi="Arial" w:cs="Arial"/>
          <w:sz w:val="22"/>
          <w:szCs w:val="22"/>
        </w:rPr>
      </w:pPr>
      <w:r w:rsidRPr="009F5AF4">
        <w:rPr>
          <w:rFonts w:ascii="Arial" w:hAnsi="Arial" w:cs="Arial"/>
          <w:sz w:val="22"/>
          <w:szCs w:val="22"/>
        </w:rPr>
        <w:t>Reports submitted under 10 CFR</w:t>
      </w:r>
      <w:r w:rsidR="00222DD7">
        <w:rPr>
          <w:rFonts w:ascii="Arial" w:hAnsi="Arial" w:cs="Arial"/>
          <w:sz w:val="22"/>
          <w:szCs w:val="22"/>
        </w:rPr>
        <w:t xml:space="preserve"> Part</w:t>
      </w:r>
      <w:r w:rsidRPr="009F5AF4">
        <w:rPr>
          <w:rFonts w:ascii="Arial" w:hAnsi="Arial" w:cs="Arial"/>
          <w:sz w:val="22"/>
          <w:szCs w:val="22"/>
        </w:rPr>
        <w:t xml:space="preserve"> 21 are reviewed by the NRC staff to determine whether the reported defects or failures to comply in basic components at NRC licensed facilities or activities are potentially generic safety problems.  These reports have been the basis for the issuance of numerous NRC Information Notices, Generic Letters, and Bulletins that have contributed to the improved safety of the nuclear industry.</w:t>
      </w:r>
    </w:p>
    <w:p w:rsidR="00A879F3" w:rsidRPr="009F5AF4" w:rsidRDefault="00A879F3">
      <w:pPr>
        <w:widowControl/>
        <w:rPr>
          <w:rFonts w:ascii="Arial" w:hAnsi="Arial" w:cs="Arial"/>
          <w:sz w:val="22"/>
          <w:szCs w:val="22"/>
        </w:rPr>
      </w:pPr>
    </w:p>
    <w:p w:rsidR="00A879F3" w:rsidRPr="009F5AF4" w:rsidRDefault="00A879F3">
      <w:pPr>
        <w:widowControl/>
        <w:ind w:left="1440"/>
        <w:rPr>
          <w:rFonts w:ascii="Arial" w:hAnsi="Arial" w:cs="Arial"/>
          <w:sz w:val="22"/>
          <w:szCs w:val="22"/>
        </w:rPr>
      </w:pPr>
      <w:r w:rsidRPr="009F5AF4">
        <w:rPr>
          <w:rFonts w:ascii="Arial" w:hAnsi="Arial" w:cs="Arial"/>
          <w:sz w:val="22"/>
          <w:szCs w:val="22"/>
        </w:rPr>
        <w:t>The records required to be maintained in accordance with 10 CFR 21.51 are subject to inspection by the NRC to determine compliance with the subject regulation.  These records fall into four categories:  records relating to evaluations defined by 10 CFR 21.3, records of previously submitted reports pur</w:t>
      </w:r>
      <w:r w:rsidR="00DC00D2" w:rsidRPr="009F5AF4">
        <w:rPr>
          <w:rFonts w:ascii="Arial" w:hAnsi="Arial" w:cs="Arial"/>
          <w:sz w:val="22"/>
          <w:szCs w:val="22"/>
        </w:rPr>
        <w:t>suant to 10 </w:t>
      </w:r>
      <w:r w:rsidRPr="009F5AF4">
        <w:rPr>
          <w:rFonts w:ascii="Arial" w:hAnsi="Arial" w:cs="Arial"/>
          <w:sz w:val="22"/>
          <w:szCs w:val="22"/>
        </w:rPr>
        <w:t>CFR 21.21, records of procedures requir</w:t>
      </w:r>
      <w:r w:rsidR="00DC00D2" w:rsidRPr="009F5AF4">
        <w:rPr>
          <w:rFonts w:ascii="Arial" w:hAnsi="Arial" w:cs="Arial"/>
          <w:sz w:val="22"/>
          <w:szCs w:val="22"/>
        </w:rPr>
        <w:t>ed to assure compliance with 10 CFR</w:t>
      </w:r>
      <w:r w:rsidR="00222DD7">
        <w:rPr>
          <w:rFonts w:ascii="Arial" w:hAnsi="Arial" w:cs="Arial"/>
          <w:sz w:val="22"/>
          <w:szCs w:val="22"/>
        </w:rPr>
        <w:t xml:space="preserve"> Part</w:t>
      </w:r>
      <w:r w:rsidR="00DC00D2" w:rsidRPr="009F5AF4">
        <w:rPr>
          <w:rFonts w:ascii="Arial" w:hAnsi="Arial" w:cs="Arial"/>
          <w:sz w:val="22"/>
          <w:szCs w:val="22"/>
        </w:rPr>
        <w:t> </w:t>
      </w:r>
      <w:r w:rsidRPr="009F5AF4">
        <w:rPr>
          <w:rFonts w:ascii="Arial" w:hAnsi="Arial" w:cs="Arial"/>
          <w:sz w:val="22"/>
          <w:szCs w:val="22"/>
        </w:rPr>
        <w:t>21, and procurement documents necessary to ensure that background specifications are available to evaluate potential defects and failures to comply.</w:t>
      </w:r>
    </w:p>
    <w:p w:rsidR="00A879F3" w:rsidRPr="009F5AF4" w:rsidRDefault="00A879F3">
      <w:pPr>
        <w:widowControl/>
        <w:rPr>
          <w:rFonts w:ascii="Arial" w:hAnsi="Arial" w:cs="Arial"/>
          <w:sz w:val="22"/>
          <w:szCs w:val="22"/>
        </w:rPr>
      </w:pPr>
    </w:p>
    <w:p w:rsidR="00A879F3" w:rsidRPr="009F5AF4" w:rsidRDefault="00A879F3">
      <w:pPr>
        <w:widowControl/>
        <w:ind w:left="1440"/>
        <w:rPr>
          <w:rFonts w:ascii="Arial" w:hAnsi="Arial" w:cs="Arial"/>
          <w:sz w:val="22"/>
          <w:szCs w:val="22"/>
        </w:rPr>
      </w:pPr>
      <w:r w:rsidRPr="009F5AF4">
        <w:rPr>
          <w:rFonts w:ascii="Arial" w:hAnsi="Arial" w:cs="Arial"/>
          <w:sz w:val="22"/>
          <w:szCs w:val="22"/>
        </w:rPr>
        <w:t>Industry organizations, such as the Institut</w:t>
      </w:r>
      <w:r w:rsidR="00222DD7">
        <w:rPr>
          <w:rFonts w:ascii="Arial" w:hAnsi="Arial" w:cs="Arial"/>
          <w:sz w:val="22"/>
          <w:szCs w:val="22"/>
        </w:rPr>
        <w:t>e for Nuclear Power Operations</w:t>
      </w:r>
      <w:r w:rsidRPr="009F5AF4">
        <w:rPr>
          <w:rFonts w:ascii="Arial" w:hAnsi="Arial" w:cs="Arial"/>
          <w:sz w:val="22"/>
          <w:szCs w:val="22"/>
        </w:rPr>
        <w:t xml:space="preserve"> an</w:t>
      </w:r>
      <w:r w:rsidR="00222DD7">
        <w:rPr>
          <w:rFonts w:ascii="Arial" w:hAnsi="Arial" w:cs="Arial"/>
          <w:sz w:val="22"/>
          <w:szCs w:val="22"/>
        </w:rPr>
        <w:t>d the Nuclear Energy Institute</w:t>
      </w:r>
      <w:r w:rsidRPr="009F5AF4">
        <w:rPr>
          <w:rFonts w:ascii="Arial" w:hAnsi="Arial" w:cs="Arial"/>
          <w:sz w:val="22"/>
          <w:szCs w:val="22"/>
        </w:rPr>
        <w:t>, are urged to share and distribute such information to all affected parties as it becomes available.  The NRC further disseminates significant generic information to all affected parties via NRC Information Notices, Generic Letters, and Bulletins, and encourages the elimination of duplicate reporting.  Computer databases are used extensively by the NRC and the nuclear industry for tracking these reports.</w:t>
      </w:r>
    </w:p>
    <w:p w:rsidR="00A879F3" w:rsidRPr="009F5AF4" w:rsidRDefault="00A879F3">
      <w:pPr>
        <w:widowControl/>
        <w:rPr>
          <w:rFonts w:ascii="Arial" w:hAnsi="Arial" w:cs="Arial"/>
          <w:sz w:val="22"/>
          <w:szCs w:val="22"/>
        </w:rPr>
      </w:pPr>
    </w:p>
    <w:p w:rsidR="00A879F3" w:rsidRPr="009F5AF4" w:rsidRDefault="00A879F3">
      <w:pPr>
        <w:widowControl/>
        <w:tabs>
          <w:tab w:val="left" w:pos="-1440"/>
        </w:tabs>
        <w:ind w:left="1440" w:hanging="720"/>
        <w:rPr>
          <w:rFonts w:ascii="Arial" w:hAnsi="Arial" w:cs="Arial"/>
          <w:sz w:val="22"/>
          <w:szCs w:val="22"/>
        </w:rPr>
      </w:pPr>
      <w:r w:rsidRPr="009F5AF4">
        <w:rPr>
          <w:rFonts w:ascii="Arial" w:hAnsi="Arial" w:cs="Arial"/>
          <w:sz w:val="22"/>
          <w:szCs w:val="22"/>
        </w:rPr>
        <w:t>3.</w:t>
      </w:r>
      <w:bookmarkStart w:id="7" w:name="OLE_LINK1"/>
      <w:bookmarkStart w:id="8" w:name="OLE_LINK2"/>
      <w:r w:rsidRPr="009F5AF4">
        <w:rPr>
          <w:rFonts w:ascii="Arial" w:hAnsi="Arial" w:cs="Arial"/>
          <w:sz w:val="22"/>
          <w:szCs w:val="22"/>
        </w:rPr>
        <w:tab/>
      </w:r>
      <w:r w:rsidRPr="009F5AF4">
        <w:rPr>
          <w:rFonts w:ascii="Arial" w:hAnsi="Arial" w:cs="Arial"/>
          <w:sz w:val="22"/>
          <w:szCs w:val="22"/>
          <w:u w:val="single"/>
        </w:rPr>
        <w:t xml:space="preserve">Reduction of Burden </w:t>
      </w:r>
      <w:proofErr w:type="gramStart"/>
      <w:r w:rsidRPr="009F5AF4">
        <w:rPr>
          <w:rFonts w:ascii="Arial" w:hAnsi="Arial" w:cs="Arial"/>
          <w:sz w:val="22"/>
          <w:szCs w:val="22"/>
          <w:u w:val="single"/>
        </w:rPr>
        <w:t>Through</w:t>
      </w:r>
      <w:proofErr w:type="gramEnd"/>
      <w:r w:rsidRPr="009F5AF4">
        <w:rPr>
          <w:rFonts w:ascii="Arial" w:hAnsi="Arial" w:cs="Arial"/>
          <w:sz w:val="22"/>
          <w:szCs w:val="22"/>
          <w:u w:val="single"/>
        </w:rPr>
        <w:t xml:space="preserve"> Information Technology</w:t>
      </w:r>
    </w:p>
    <w:p w:rsidR="00A879F3" w:rsidRPr="009F5AF4" w:rsidRDefault="00A879F3">
      <w:pPr>
        <w:widowControl/>
        <w:rPr>
          <w:rFonts w:ascii="Arial" w:hAnsi="Arial" w:cs="Arial"/>
          <w:sz w:val="22"/>
          <w:szCs w:val="22"/>
        </w:rPr>
      </w:pPr>
    </w:p>
    <w:p w:rsidR="00696CBE" w:rsidRPr="009F5AF4" w:rsidRDefault="00A879F3">
      <w:pPr>
        <w:widowControl/>
        <w:ind w:left="1440"/>
        <w:rPr>
          <w:rFonts w:ascii="Arial" w:hAnsi="Arial" w:cs="Arial"/>
          <w:sz w:val="22"/>
          <w:szCs w:val="22"/>
        </w:rPr>
      </w:pPr>
      <w:r w:rsidRPr="009F5AF4">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The NRC issued a regulation on </w:t>
      </w:r>
      <w:r w:rsidRPr="009F5AF4">
        <w:rPr>
          <w:rFonts w:ascii="Arial" w:hAnsi="Arial" w:cs="Arial"/>
          <w:sz w:val="22"/>
          <w:szCs w:val="22"/>
        </w:rPr>
        <w:lastRenderedPageBreak/>
        <w:t xml:space="preserve">October 10, 2003 (68 FR 58791), consistent with the Government Paperwork Elimination Act, which allows its licensees, vendors, applicants, and members of the public the option to make submissions </w:t>
      </w:r>
      <w:bookmarkStart w:id="9" w:name="OLE_LINK3"/>
      <w:bookmarkStart w:id="10" w:name="OLE_LINK4"/>
      <w:r w:rsidRPr="009F5AF4">
        <w:rPr>
          <w:rFonts w:ascii="Arial" w:hAnsi="Arial" w:cs="Arial"/>
          <w:sz w:val="22"/>
          <w:szCs w:val="22"/>
        </w:rPr>
        <w:t xml:space="preserve">electronically via CD-ROM, e-mail, special Web-based interface, or other means.  </w:t>
      </w:r>
    </w:p>
    <w:p w:rsidR="00222DD7" w:rsidRPr="009F5AF4" w:rsidRDefault="00222DD7">
      <w:pPr>
        <w:widowControl/>
        <w:ind w:left="1440"/>
        <w:rPr>
          <w:rFonts w:ascii="Arial" w:hAnsi="Arial" w:cs="Arial"/>
          <w:sz w:val="22"/>
          <w:szCs w:val="22"/>
        </w:rPr>
      </w:pPr>
    </w:p>
    <w:p w:rsidR="00B7263C" w:rsidRPr="009F5AF4" w:rsidRDefault="00696CBE">
      <w:pPr>
        <w:widowControl/>
        <w:ind w:left="1440"/>
        <w:rPr>
          <w:rFonts w:ascii="Arial" w:hAnsi="Arial" w:cs="Arial"/>
          <w:sz w:val="22"/>
          <w:szCs w:val="22"/>
        </w:rPr>
      </w:pPr>
      <w:r w:rsidRPr="009F5AF4">
        <w:rPr>
          <w:rFonts w:ascii="Arial" w:hAnsi="Arial" w:cs="Arial"/>
          <w:sz w:val="22"/>
          <w:szCs w:val="22"/>
        </w:rPr>
        <w:t xml:space="preserve">The preferred method of initial notification is by facsimile to the NRC Operations </w:t>
      </w:r>
      <w:proofErr w:type="gramStart"/>
      <w:r w:rsidRPr="009F5AF4">
        <w:rPr>
          <w:rFonts w:ascii="Arial" w:hAnsi="Arial" w:cs="Arial"/>
          <w:sz w:val="22"/>
          <w:szCs w:val="22"/>
        </w:rPr>
        <w:t>Center</w:t>
      </w:r>
      <w:r w:rsidR="008E1E8C" w:rsidRPr="009F5AF4">
        <w:rPr>
          <w:rFonts w:ascii="Arial" w:hAnsi="Arial" w:cs="Arial"/>
          <w:sz w:val="22"/>
          <w:szCs w:val="22"/>
        </w:rPr>
        <w:t>,</w:t>
      </w:r>
      <w:proofErr w:type="gramEnd"/>
      <w:r w:rsidR="008E1E8C" w:rsidRPr="009F5AF4">
        <w:rPr>
          <w:rFonts w:ascii="Arial" w:hAnsi="Arial" w:cs="Arial"/>
          <w:sz w:val="22"/>
          <w:szCs w:val="22"/>
        </w:rPr>
        <w:t xml:space="preserve"> however, telephonic notification is permitted</w:t>
      </w:r>
      <w:r w:rsidRPr="009F5AF4">
        <w:rPr>
          <w:rFonts w:ascii="Arial" w:hAnsi="Arial" w:cs="Arial"/>
          <w:sz w:val="22"/>
          <w:szCs w:val="22"/>
        </w:rPr>
        <w:t xml:space="preserve">.  </w:t>
      </w:r>
      <w:r w:rsidR="00B7263C" w:rsidRPr="009F5AF4">
        <w:rPr>
          <w:rFonts w:ascii="Arial" w:hAnsi="Arial" w:cs="Arial"/>
          <w:sz w:val="22"/>
          <w:szCs w:val="22"/>
        </w:rPr>
        <w:t>Therefore, none of the initial notifications are received electronically.</w:t>
      </w:r>
    </w:p>
    <w:p w:rsidR="00B7263C" w:rsidRPr="009F5AF4" w:rsidRDefault="00B7263C">
      <w:pPr>
        <w:widowControl/>
        <w:ind w:left="1440"/>
        <w:rPr>
          <w:rFonts w:ascii="Arial" w:hAnsi="Arial" w:cs="Arial"/>
          <w:sz w:val="22"/>
          <w:szCs w:val="22"/>
        </w:rPr>
      </w:pPr>
    </w:p>
    <w:p w:rsidR="00A879F3" w:rsidRPr="009F5AF4" w:rsidRDefault="00696CBE">
      <w:pPr>
        <w:widowControl/>
        <w:ind w:left="1440"/>
        <w:rPr>
          <w:rFonts w:ascii="Arial" w:hAnsi="Arial" w:cs="Arial"/>
          <w:sz w:val="22"/>
          <w:szCs w:val="22"/>
        </w:rPr>
      </w:pPr>
      <w:r w:rsidRPr="009F5AF4">
        <w:rPr>
          <w:rFonts w:ascii="Arial" w:hAnsi="Arial" w:cs="Arial"/>
          <w:sz w:val="22"/>
          <w:szCs w:val="22"/>
        </w:rPr>
        <w:t xml:space="preserve">Written or electronic notification to the NRC is required within 30 days from the initial notification.  </w:t>
      </w:r>
      <w:r w:rsidR="00A879F3" w:rsidRPr="009F5AF4">
        <w:rPr>
          <w:rFonts w:ascii="Arial" w:hAnsi="Arial" w:cs="Arial"/>
          <w:sz w:val="22"/>
          <w:szCs w:val="22"/>
        </w:rPr>
        <w:t xml:space="preserve">At the current time, approximately </w:t>
      </w:r>
      <w:r w:rsidR="00B7263C" w:rsidRPr="009F5AF4">
        <w:rPr>
          <w:rFonts w:ascii="Arial" w:hAnsi="Arial" w:cs="Arial"/>
          <w:sz w:val="22"/>
          <w:szCs w:val="22"/>
        </w:rPr>
        <w:t>90</w:t>
      </w:r>
      <w:r w:rsidR="00A879F3" w:rsidRPr="009F5AF4">
        <w:rPr>
          <w:rFonts w:ascii="Arial" w:hAnsi="Arial" w:cs="Arial"/>
          <w:sz w:val="22"/>
          <w:szCs w:val="22"/>
        </w:rPr>
        <w:t>% of the</w:t>
      </w:r>
      <w:r w:rsidR="009F5AF4">
        <w:rPr>
          <w:rFonts w:ascii="Arial" w:hAnsi="Arial" w:cs="Arial"/>
          <w:sz w:val="22"/>
          <w:szCs w:val="22"/>
        </w:rPr>
        <w:t>se</w:t>
      </w:r>
      <w:r w:rsidR="00A879F3" w:rsidRPr="009F5AF4">
        <w:rPr>
          <w:rFonts w:ascii="Arial" w:hAnsi="Arial" w:cs="Arial"/>
          <w:sz w:val="22"/>
          <w:szCs w:val="22"/>
        </w:rPr>
        <w:t xml:space="preserve"> responses are submitted electronically.</w:t>
      </w:r>
      <w:bookmarkEnd w:id="9"/>
      <w:bookmarkEnd w:id="10"/>
    </w:p>
    <w:p w:rsidR="00B7263C" w:rsidRPr="009F5AF4" w:rsidRDefault="00B7263C">
      <w:pPr>
        <w:widowControl/>
        <w:ind w:left="1440"/>
        <w:rPr>
          <w:rFonts w:ascii="Arial" w:hAnsi="Arial" w:cs="Arial"/>
          <w:sz w:val="22"/>
          <w:szCs w:val="22"/>
        </w:rPr>
      </w:pPr>
    </w:p>
    <w:p w:rsidR="00B7263C" w:rsidRPr="009F5AF4" w:rsidRDefault="00B7263C">
      <w:pPr>
        <w:widowControl/>
        <w:ind w:left="1440"/>
        <w:rPr>
          <w:rFonts w:ascii="Arial" w:hAnsi="Arial" w:cs="Arial"/>
          <w:sz w:val="22"/>
          <w:szCs w:val="22"/>
        </w:rPr>
      </w:pPr>
      <w:r w:rsidRPr="009F5AF4">
        <w:rPr>
          <w:rFonts w:ascii="Arial" w:hAnsi="Arial" w:cs="Arial"/>
          <w:sz w:val="22"/>
          <w:szCs w:val="22"/>
        </w:rPr>
        <w:t>The overall percentage of electronic submissions for all Part 21 reports (both initial and 30-day reports) is estimated to be 70%.</w:t>
      </w:r>
    </w:p>
    <w:bookmarkEnd w:id="7"/>
    <w:bookmarkEnd w:id="8"/>
    <w:p w:rsidR="00706C86" w:rsidRPr="009F5AF4" w:rsidRDefault="00706C86" w:rsidP="004126B8">
      <w:pPr>
        <w:widowControl/>
        <w:tabs>
          <w:tab w:val="left" w:pos="-1440"/>
        </w:tabs>
        <w:rPr>
          <w:rFonts w:ascii="Arial" w:hAnsi="Arial" w:cs="Arial"/>
          <w:sz w:val="22"/>
          <w:szCs w:val="22"/>
        </w:rPr>
      </w:pPr>
    </w:p>
    <w:p w:rsidR="00A879F3" w:rsidRPr="009F5AF4" w:rsidRDefault="00A879F3">
      <w:pPr>
        <w:widowControl/>
        <w:tabs>
          <w:tab w:val="left" w:pos="-1440"/>
        </w:tabs>
        <w:ind w:left="1440" w:hanging="720"/>
        <w:rPr>
          <w:rFonts w:ascii="Arial" w:hAnsi="Arial" w:cs="Arial"/>
          <w:sz w:val="22"/>
          <w:szCs w:val="22"/>
        </w:rPr>
      </w:pPr>
      <w:r w:rsidRPr="009F5AF4">
        <w:rPr>
          <w:rFonts w:ascii="Arial" w:hAnsi="Arial" w:cs="Arial"/>
          <w:sz w:val="22"/>
          <w:szCs w:val="22"/>
        </w:rPr>
        <w:t>4.</w:t>
      </w:r>
      <w:r w:rsidRPr="009F5AF4">
        <w:rPr>
          <w:rFonts w:ascii="Arial" w:hAnsi="Arial" w:cs="Arial"/>
          <w:sz w:val="22"/>
          <w:szCs w:val="22"/>
        </w:rPr>
        <w:tab/>
      </w:r>
      <w:r w:rsidRPr="009F5AF4">
        <w:rPr>
          <w:rFonts w:ascii="Arial" w:hAnsi="Arial" w:cs="Arial"/>
          <w:sz w:val="22"/>
          <w:szCs w:val="22"/>
          <w:u w:val="single"/>
        </w:rPr>
        <w:t>Effort to Identify Duplication and Use Similar Information</w:t>
      </w:r>
    </w:p>
    <w:p w:rsidR="00A879F3" w:rsidRPr="009F5AF4" w:rsidRDefault="00A879F3">
      <w:pPr>
        <w:widowControl/>
        <w:rPr>
          <w:rFonts w:ascii="Arial" w:hAnsi="Arial" w:cs="Arial"/>
          <w:sz w:val="22"/>
          <w:szCs w:val="22"/>
        </w:rPr>
      </w:pPr>
    </w:p>
    <w:p w:rsidR="00A879F3" w:rsidRPr="009F5AF4" w:rsidRDefault="005A4FCF">
      <w:pPr>
        <w:widowControl/>
        <w:ind w:left="1440"/>
        <w:rPr>
          <w:rFonts w:ascii="Arial" w:hAnsi="Arial" w:cs="Arial"/>
          <w:sz w:val="22"/>
          <w:szCs w:val="22"/>
        </w:rPr>
      </w:pPr>
      <w:r w:rsidRPr="009F5AF4">
        <w:rPr>
          <w:rFonts w:ascii="Arial" w:hAnsi="Arial"/>
          <w:sz w:val="22"/>
        </w:rPr>
        <w:t xml:space="preserve">No sources of similar information are </w:t>
      </w:r>
      <w:r w:rsidRPr="009F5AF4">
        <w:rPr>
          <w:rFonts w:ascii="Arial" w:hAnsi="Arial" w:cs="Arial"/>
          <w:sz w:val="22"/>
        </w:rPr>
        <w:t xml:space="preserve">available.  </w:t>
      </w:r>
      <w:r w:rsidR="00A879F3" w:rsidRPr="009F5AF4">
        <w:rPr>
          <w:rFonts w:ascii="Arial" w:hAnsi="Arial" w:cs="Arial"/>
          <w:sz w:val="22"/>
          <w:szCs w:val="22"/>
        </w:rPr>
        <w:t>There is no duplication of requirements.  The NRC has in place an ongoing program to examine all information collections with the goal of eliminating all duplication and/or unnecessary information collections.</w:t>
      </w:r>
    </w:p>
    <w:p w:rsidR="00A879F3" w:rsidRPr="009F5AF4" w:rsidRDefault="00A879F3">
      <w:pPr>
        <w:widowControl/>
        <w:rPr>
          <w:rFonts w:ascii="Arial" w:hAnsi="Arial" w:cs="Arial"/>
          <w:sz w:val="22"/>
          <w:szCs w:val="22"/>
        </w:rPr>
      </w:pPr>
    </w:p>
    <w:p w:rsidR="00A879F3" w:rsidRPr="009F5AF4" w:rsidRDefault="00A879F3">
      <w:pPr>
        <w:widowControl/>
        <w:tabs>
          <w:tab w:val="left" w:pos="-1440"/>
        </w:tabs>
        <w:ind w:left="1440" w:hanging="720"/>
        <w:rPr>
          <w:rFonts w:ascii="Arial" w:hAnsi="Arial" w:cs="Arial"/>
          <w:sz w:val="22"/>
          <w:szCs w:val="22"/>
        </w:rPr>
      </w:pPr>
      <w:r w:rsidRPr="009F5AF4">
        <w:rPr>
          <w:rFonts w:ascii="Arial" w:hAnsi="Arial" w:cs="Arial"/>
          <w:sz w:val="22"/>
          <w:szCs w:val="22"/>
        </w:rPr>
        <w:t>5.</w:t>
      </w:r>
      <w:r w:rsidRPr="009F5AF4">
        <w:rPr>
          <w:rFonts w:ascii="Arial" w:hAnsi="Arial" w:cs="Arial"/>
          <w:sz w:val="22"/>
          <w:szCs w:val="22"/>
        </w:rPr>
        <w:tab/>
      </w:r>
      <w:bookmarkStart w:id="11" w:name="OLE_LINK5"/>
      <w:r w:rsidRPr="009F5AF4">
        <w:rPr>
          <w:rFonts w:ascii="Arial" w:hAnsi="Arial" w:cs="Arial"/>
          <w:sz w:val="22"/>
          <w:szCs w:val="22"/>
          <w:u w:val="single"/>
        </w:rPr>
        <w:t>Effort to Reduce Small Business Burden</w:t>
      </w:r>
    </w:p>
    <w:p w:rsidR="00A879F3" w:rsidRPr="009F5AF4" w:rsidRDefault="00A879F3">
      <w:pPr>
        <w:widowControl/>
        <w:rPr>
          <w:rFonts w:ascii="Arial" w:hAnsi="Arial" w:cs="Arial"/>
          <w:sz w:val="22"/>
          <w:szCs w:val="22"/>
        </w:rPr>
      </w:pPr>
    </w:p>
    <w:p w:rsidR="00A879F3" w:rsidRDefault="00A879F3">
      <w:pPr>
        <w:widowControl/>
        <w:ind w:left="1440"/>
        <w:rPr>
          <w:rFonts w:ascii="Arial" w:hAnsi="Arial" w:cs="Arial"/>
          <w:sz w:val="22"/>
          <w:szCs w:val="22"/>
        </w:rPr>
      </w:pPr>
      <w:r w:rsidRPr="009F5AF4">
        <w:rPr>
          <w:rFonts w:ascii="Arial" w:hAnsi="Arial" w:cs="Arial"/>
          <w:sz w:val="22"/>
          <w:szCs w:val="22"/>
        </w:rPr>
        <w:t xml:space="preserve">Approximately </w:t>
      </w:r>
      <w:r w:rsidR="007755B8">
        <w:rPr>
          <w:rFonts w:ascii="Arial" w:hAnsi="Arial" w:cs="Arial"/>
          <w:sz w:val="22"/>
          <w:szCs w:val="22"/>
        </w:rPr>
        <w:t>2,000</w:t>
      </w:r>
      <w:r w:rsidRPr="009F5AF4">
        <w:rPr>
          <w:rFonts w:ascii="Arial" w:hAnsi="Arial" w:cs="Arial"/>
          <w:sz w:val="22"/>
          <w:szCs w:val="22"/>
        </w:rPr>
        <w:t xml:space="preserve"> licensees and other organizations are under the scope of 10 CFR</w:t>
      </w:r>
      <w:r w:rsidR="00222DD7">
        <w:rPr>
          <w:rFonts w:ascii="Arial" w:hAnsi="Arial" w:cs="Arial"/>
          <w:sz w:val="22"/>
          <w:szCs w:val="22"/>
        </w:rPr>
        <w:t xml:space="preserve"> Part</w:t>
      </w:r>
      <w:r w:rsidRPr="009F5AF4">
        <w:rPr>
          <w:rFonts w:ascii="Arial" w:hAnsi="Arial" w:cs="Arial"/>
          <w:sz w:val="22"/>
          <w:szCs w:val="22"/>
        </w:rPr>
        <w:t xml:space="preserve"> 21.  </w:t>
      </w:r>
      <w:r w:rsidR="0094530D" w:rsidRPr="009F5AF4">
        <w:rPr>
          <w:rFonts w:ascii="Arial" w:hAnsi="Arial" w:cs="Arial"/>
          <w:sz w:val="22"/>
          <w:szCs w:val="22"/>
        </w:rPr>
        <w:t>While the number of small businesses contributing to this total is not known, it c</w:t>
      </w:r>
      <w:r w:rsidR="001D6DFE" w:rsidRPr="009F5AF4">
        <w:rPr>
          <w:rFonts w:ascii="Arial" w:hAnsi="Arial" w:cs="Arial"/>
          <w:sz w:val="22"/>
          <w:szCs w:val="22"/>
        </w:rPr>
        <w:t>an safely be concluded that</w:t>
      </w:r>
      <w:r w:rsidRPr="009F5AF4">
        <w:rPr>
          <w:rFonts w:ascii="Arial" w:hAnsi="Arial" w:cs="Arial"/>
          <w:sz w:val="22"/>
          <w:szCs w:val="22"/>
        </w:rPr>
        <w:t xml:space="preserve"> small businesses</w:t>
      </w:r>
      <w:r w:rsidR="0094530D" w:rsidRPr="009F5AF4">
        <w:rPr>
          <w:rFonts w:ascii="Arial" w:hAnsi="Arial" w:cs="Arial"/>
          <w:sz w:val="22"/>
          <w:szCs w:val="22"/>
        </w:rPr>
        <w:t xml:space="preserve"> falling under the reporting require</w:t>
      </w:r>
      <w:r w:rsidR="008D2BFD" w:rsidRPr="009F5AF4">
        <w:rPr>
          <w:rFonts w:ascii="Arial" w:hAnsi="Arial" w:cs="Arial"/>
          <w:sz w:val="22"/>
          <w:szCs w:val="22"/>
        </w:rPr>
        <w:t>ments of 10 CFR</w:t>
      </w:r>
      <w:r w:rsidR="00222DD7">
        <w:rPr>
          <w:rFonts w:ascii="Arial" w:hAnsi="Arial" w:cs="Arial"/>
          <w:sz w:val="22"/>
          <w:szCs w:val="22"/>
        </w:rPr>
        <w:t xml:space="preserve"> Part</w:t>
      </w:r>
      <w:r w:rsidR="008D2BFD" w:rsidRPr="009F5AF4">
        <w:rPr>
          <w:rFonts w:ascii="Arial" w:hAnsi="Arial" w:cs="Arial"/>
          <w:sz w:val="22"/>
          <w:szCs w:val="22"/>
        </w:rPr>
        <w:t xml:space="preserve"> 21 would be most </w:t>
      </w:r>
      <w:r w:rsidR="0094530D" w:rsidRPr="009F5AF4">
        <w:rPr>
          <w:rFonts w:ascii="Arial" w:hAnsi="Arial" w:cs="Arial"/>
          <w:sz w:val="22"/>
          <w:szCs w:val="22"/>
        </w:rPr>
        <w:t>likely involved in supplying basic components or services associated with basic components to other licensees</w:t>
      </w:r>
      <w:r w:rsidRPr="009F5AF4">
        <w:rPr>
          <w:rFonts w:ascii="Arial" w:hAnsi="Arial" w:cs="Arial"/>
          <w:sz w:val="22"/>
          <w:szCs w:val="22"/>
        </w:rPr>
        <w:t xml:space="preserve">.  The </w:t>
      </w:r>
      <w:r w:rsidR="00515F00" w:rsidRPr="009F5AF4">
        <w:rPr>
          <w:rFonts w:ascii="Arial" w:hAnsi="Arial" w:cs="Arial"/>
          <w:sz w:val="22"/>
          <w:szCs w:val="22"/>
        </w:rPr>
        <w:t>majority of the burden associated with the reporting of defects</w:t>
      </w:r>
      <w:r w:rsidR="001D6DFE" w:rsidRPr="009F5AF4">
        <w:rPr>
          <w:rFonts w:ascii="Arial" w:hAnsi="Arial" w:cs="Arial"/>
          <w:sz w:val="22"/>
          <w:szCs w:val="22"/>
        </w:rPr>
        <w:t xml:space="preserve"> and noncompliance</w:t>
      </w:r>
      <w:r w:rsidR="00515F00" w:rsidRPr="009F5AF4">
        <w:rPr>
          <w:rFonts w:ascii="Arial" w:hAnsi="Arial" w:cs="Arial"/>
          <w:sz w:val="22"/>
          <w:szCs w:val="22"/>
        </w:rPr>
        <w:t xml:space="preserve"> </w:t>
      </w:r>
      <w:r w:rsidR="00201AE0" w:rsidRPr="009F5AF4">
        <w:rPr>
          <w:rFonts w:ascii="Arial" w:hAnsi="Arial" w:cs="Arial"/>
          <w:sz w:val="22"/>
          <w:szCs w:val="22"/>
        </w:rPr>
        <w:t xml:space="preserve">in this extension </w:t>
      </w:r>
      <w:r w:rsidR="00515F00" w:rsidRPr="009F5AF4">
        <w:rPr>
          <w:rFonts w:ascii="Arial" w:hAnsi="Arial" w:cs="Arial"/>
          <w:sz w:val="22"/>
          <w:szCs w:val="22"/>
        </w:rPr>
        <w:t xml:space="preserve">is associated with the determination of whether an identified deficiency could create a SSH.  </w:t>
      </w:r>
      <w:r w:rsidR="00222DD7">
        <w:rPr>
          <w:rFonts w:ascii="Arial" w:hAnsi="Arial" w:cs="Arial"/>
          <w:sz w:val="22"/>
          <w:szCs w:val="22"/>
        </w:rPr>
        <w:t>Part 21 of 10 CFR</w:t>
      </w:r>
      <w:r w:rsidR="0094530D" w:rsidRPr="009F5AF4">
        <w:rPr>
          <w:rFonts w:ascii="Arial" w:hAnsi="Arial" w:cs="Arial"/>
          <w:sz w:val="22"/>
          <w:szCs w:val="22"/>
        </w:rPr>
        <w:t xml:space="preserve"> is </w:t>
      </w:r>
      <w:r w:rsidR="001D6DFE" w:rsidRPr="009F5AF4">
        <w:rPr>
          <w:rFonts w:ascii="Arial" w:hAnsi="Arial" w:cs="Arial"/>
          <w:sz w:val="22"/>
          <w:szCs w:val="22"/>
        </w:rPr>
        <w:t>written in a manner that permits a supplier o</w:t>
      </w:r>
      <w:r w:rsidR="00201AE0" w:rsidRPr="009F5AF4">
        <w:rPr>
          <w:rFonts w:ascii="Arial" w:hAnsi="Arial" w:cs="Arial"/>
          <w:sz w:val="22"/>
          <w:szCs w:val="22"/>
        </w:rPr>
        <w:t>f basic</w:t>
      </w:r>
      <w:r w:rsidR="003A7FCA" w:rsidRPr="009F5AF4">
        <w:rPr>
          <w:rFonts w:ascii="Arial" w:hAnsi="Arial" w:cs="Arial"/>
          <w:sz w:val="22"/>
          <w:szCs w:val="22"/>
        </w:rPr>
        <w:t xml:space="preserve"> components, for</w:t>
      </w:r>
      <w:r w:rsidR="00201AE0" w:rsidRPr="009F5AF4">
        <w:rPr>
          <w:rFonts w:ascii="Arial" w:hAnsi="Arial" w:cs="Arial"/>
          <w:sz w:val="22"/>
          <w:szCs w:val="22"/>
        </w:rPr>
        <w:t xml:space="preserve"> this </w:t>
      </w:r>
      <w:r w:rsidR="003A7FCA" w:rsidRPr="009F5AF4">
        <w:rPr>
          <w:rFonts w:ascii="Arial" w:hAnsi="Arial" w:cs="Arial"/>
          <w:sz w:val="22"/>
          <w:szCs w:val="22"/>
        </w:rPr>
        <w:t xml:space="preserve">example </w:t>
      </w:r>
      <w:r w:rsidR="001D6DFE" w:rsidRPr="009F5AF4">
        <w:rPr>
          <w:rFonts w:ascii="Arial" w:hAnsi="Arial" w:cs="Arial"/>
          <w:sz w:val="22"/>
          <w:szCs w:val="22"/>
        </w:rPr>
        <w:t>a small b</w:t>
      </w:r>
      <w:r w:rsidR="00515F00" w:rsidRPr="009F5AF4">
        <w:rPr>
          <w:rFonts w:ascii="Arial" w:hAnsi="Arial" w:cs="Arial"/>
          <w:sz w:val="22"/>
          <w:szCs w:val="22"/>
        </w:rPr>
        <w:t>usiness</w:t>
      </w:r>
      <w:r w:rsidR="001D6DFE" w:rsidRPr="009F5AF4">
        <w:rPr>
          <w:rFonts w:ascii="Arial" w:hAnsi="Arial" w:cs="Arial"/>
          <w:sz w:val="22"/>
          <w:szCs w:val="22"/>
        </w:rPr>
        <w:t>,</w:t>
      </w:r>
      <w:r w:rsidR="00515F00" w:rsidRPr="009F5AF4">
        <w:rPr>
          <w:rFonts w:ascii="Arial" w:hAnsi="Arial" w:cs="Arial"/>
          <w:sz w:val="22"/>
          <w:szCs w:val="22"/>
        </w:rPr>
        <w:t xml:space="preserve"> to reduce the burden associated with</w:t>
      </w:r>
      <w:r w:rsidR="00201AE0" w:rsidRPr="009F5AF4">
        <w:rPr>
          <w:rFonts w:ascii="Arial" w:hAnsi="Arial" w:cs="Arial"/>
          <w:sz w:val="22"/>
          <w:szCs w:val="22"/>
        </w:rPr>
        <w:t xml:space="preserve"> this</w:t>
      </w:r>
      <w:r w:rsidR="00F92AF3" w:rsidRPr="009F5AF4">
        <w:rPr>
          <w:rFonts w:ascii="Arial" w:hAnsi="Arial" w:cs="Arial"/>
          <w:sz w:val="22"/>
          <w:szCs w:val="22"/>
        </w:rPr>
        <w:t xml:space="preserve"> reporting</w:t>
      </w:r>
      <w:r w:rsidR="00201AE0" w:rsidRPr="009F5AF4">
        <w:rPr>
          <w:rFonts w:ascii="Arial" w:hAnsi="Arial" w:cs="Arial"/>
          <w:sz w:val="22"/>
          <w:szCs w:val="22"/>
        </w:rPr>
        <w:t xml:space="preserve"> </w:t>
      </w:r>
      <w:r w:rsidR="003A7FCA" w:rsidRPr="009F5AF4">
        <w:rPr>
          <w:rFonts w:ascii="Arial" w:hAnsi="Arial" w:cs="Arial"/>
          <w:sz w:val="22"/>
          <w:szCs w:val="22"/>
        </w:rPr>
        <w:t>requirement</w:t>
      </w:r>
      <w:r w:rsidR="00F92AF3" w:rsidRPr="009F5AF4">
        <w:rPr>
          <w:rFonts w:ascii="Arial" w:hAnsi="Arial" w:cs="Arial"/>
          <w:sz w:val="22"/>
          <w:szCs w:val="22"/>
        </w:rPr>
        <w:t>s</w:t>
      </w:r>
      <w:r w:rsidR="003A7FCA" w:rsidRPr="009F5AF4">
        <w:rPr>
          <w:rFonts w:ascii="Arial" w:hAnsi="Arial" w:cs="Arial"/>
          <w:sz w:val="22"/>
          <w:szCs w:val="22"/>
        </w:rPr>
        <w:t xml:space="preserve"> </w:t>
      </w:r>
      <w:r w:rsidR="001D6DFE" w:rsidRPr="009F5AF4">
        <w:rPr>
          <w:rFonts w:ascii="Arial" w:hAnsi="Arial" w:cs="Arial"/>
          <w:sz w:val="22"/>
          <w:szCs w:val="22"/>
        </w:rPr>
        <w:t xml:space="preserve">if </w:t>
      </w:r>
      <w:r w:rsidR="005D007B" w:rsidRPr="009F5AF4">
        <w:rPr>
          <w:rFonts w:ascii="Arial" w:hAnsi="Arial" w:cs="Arial"/>
          <w:sz w:val="22"/>
          <w:szCs w:val="22"/>
        </w:rPr>
        <w:t xml:space="preserve">the supplier </w:t>
      </w:r>
      <w:r w:rsidR="001D6DFE" w:rsidRPr="009F5AF4">
        <w:rPr>
          <w:rFonts w:ascii="Arial" w:hAnsi="Arial" w:cs="Arial"/>
          <w:sz w:val="22"/>
          <w:szCs w:val="22"/>
        </w:rPr>
        <w:t xml:space="preserve">concludes </w:t>
      </w:r>
      <w:r w:rsidR="005D007B" w:rsidRPr="009F5AF4">
        <w:rPr>
          <w:rFonts w:ascii="Arial" w:hAnsi="Arial" w:cs="Arial"/>
          <w:sz w:val="22"/>
          <w:szCs w:val="22"/>
        </w:rPr>
        <w:t>that it does not have the capability to perform the evaluation to det</w:t>
      </w:r>
      <w:r w:rsidR="00201AE0" w:rsidRPr="009F5AF4">
        <w:rPr>
          <w:rFonts w:ascii="Arial" w:hAnsi="Arial" w:cs="Arial"/>
          <w:sz w:val="22"/>
          <w:szCs w:val="22"/>
        </w:rPr>
        <w:t xml:space="preserve">ermine if a deficiency </w:t>
      </w:r>
      <w:r w:rsidR="001D6DFE" w:rsidRPr="009F5AF4">
        <w:rPr>
          <w:rFonts w:ascii="Arial" w:hAnsi="Arial" w:cs="Arial"/>
          <w:sz w:val="22"/>
          <w:szCs w:val="22"/>
        </w:rPr>
        <w:t>that could create a SSH exists.  T</w:t>
      </w:r>
      <w:r w:rsidR="005D007B" w:rsidRPr="009F5AF4">
        <w:rPr>
          <w:rFonts w:ascii="Arial" w:hAnsi="Arial" w:cs="Arial"/>
          <w:sz w:val="22"/>
          <w:szCs w:val="22"/>
        </w:rPr>
        <w:t xml:space="preserve">he supplier </w:t>
      </w:r>
      <w:r w:rsidR="00201AE0" w:rsidRPr="009F5AF4">
        <w:rPr>
          <w:rFonts w:ascii="Arial" w:hAnsi="Arial" w:cs="Arial"/>
          <w:sz w:val="22"/>
          <w:szCs w:val="22"/>
        </w:rPr>
        <w:t xml:space="preserve">still </w:t>
      </w:r>
      <w:r w:rsidR="005D007B" w:rsidRPr="009F5AF4">
        <w:rPr>
          <w:rFonts w:ascii="Arial" w:hAnsi="Arial" w:cs="Arial"/>
          <w:sz w:val="22"/>
          <w:szCs w:val="22"/>
        </w:rPr>
        <w:t>must</w:t>
      </w:r>
      <w:r w:rsidR="00201AE0" w:rsidRPr="009F5AF4">
        <w:rPr>
          <w:rFonts w:ascii="Arial" w:hAnsi="Arial" w:cs="Arial"/>
          <w:sz w:val="22"/>
          <w:szCs w:val="22"/>
        </w:rPr>
        <w:t xml:space="preserve"> </w:t>
      </w:r>
      <w:r w:rsidR="005D007B" w:rsidRPr="009F5AF4">
        <w:rPr>
          <w:rFonts w:ascii="Arial" w:hAnsi="Arial" w:cs="Arial"/>
          <w:sz w:val="22"/>
          <w:szCs w:val="22"/>
        </w:rPr>
        <w:t xml:space="preserve">inform the purchasers or affected licensees </w:t>
      </w:r>
      <w:r w:rsidR="00201AE0" w:rsidRPr="009F5AF4">
        <w:rPr>
          <w:rFonts w:ascii="Arial" w:hAnsi="Arial" w:cs="Arial"/>
          <w:sz w:val="22"/>
          <w:szCs w:val="22"/>
        </w:rPr>
        <w:t xml:space="preserve">of this basic component </w:t>
      </w:r>
      <w:r w:rsidR="005D007B" w:rsidRPr="009F5AF4">
        <w:rPr>
          <w:rFonts w:ascii="Arial" w:hAnsi="Arial" w:cs="Arial"/>
          <w:sz w:val="22"/>
          <w:szCs w:val="22"/>
        </w:rPr>
        <w:t>so that the purchasers or affected licensees may evaluate the</w:t>
      </w:r>
      <w:r w:rsidR="001D6DFE" w:rsidRPr="009F5AF4">
        <w:rPr>
          <w:rFonts w:ascii="Arial" w:hAnsi="Arial" w:cs="Arial"/>
          <w:sz w:val="22"/>
          <w:szCs w:val="22"/>
        </w:rPr>
        <w:t xml:space="preserve"> deviation or failure to comply.</w:t>
      </w:r>
    </w:p>
    <w:p w:rsidR="007755B8" w:rsidRDefault="007755B8">
      <w:pPr>
        <w:widowControl/>
        <w:ind w:left="1440"/>
        <w:rPr>
          <w:rFonts w:ascii="Arial" w:hAnsi="Arial" w:cs="Arial"/>
          <w:sz w:val="22"/>
          <w:szCs w:val="22"/>
        </w:rPr>
      </w:pPr>
    </w:p>
    <w:p w:rsidR="007755B8" w:rsidRPr="009F5AF4" w:rsidRDefault="007755B8">
      <w:pPr>
        <w:widowControl/>
        <w:ind w:left="1440"/>
        <w:rPr>
          <w:rFonts w:ascii="Arial" w:hAnsi="Arial" w:cs="Arial"/>
          <w:sz w:val="22"/>
          <w:szCs w:val="22"/>
        </w:rPr>
      </w:pPr>
      <w:r>
        <w:rPr>
          <w:rFonts w:ascii="Arial" w:hAnsi="Arial" w:cs="Arial"/>
          <w:sz w:val="22"/>
          <w:szCs w:val="22"/>
        </w:rPr>
        <w:t xml:space="preserve">The NRC staff estimates that </w:t>
      </w:r>
      <w:r w:rsidR="004445D0">
        <w:rPr>
          <w:rFonts w:ascii="Arial" w:hAnsi="Arial" w:cs="Arial"/>
          <w:sz w:val="22"/>
          <w:szCs w:val="22"/>
        </w:rPr>
        <w:t xml:space="preserve">20% </w:t>
      </w:r>
      <w:r>
        <w:rPr>
          <w:rFonts w:ascii="Arial" w:hAnsi="Arial" w:cs="Arial"/>
          <w:sz w:val="22"/>
          <w:szCs w:val="22"/>
        </w:rPr>
        <w:t>of the 350 respondents may be small businesses.</w:t>
      </w:r>
    </w:p>
    <w:bookmarkEnd w:id="11"/>
    <w:p w:rsidR="00A879F3" w:rsidRPr="009F5AF4" w:rsidRDefault="00A879F3">
      <w:pPr>
        <w:widowControl/>
        <w:rPr>
          <w:rFonts w:ascii="Arial" w:hAnsi="Arial" w:cs="Arial"/>
          <w:sz w:val="22"/>
          <w:szCs w:val="22"/>
        </w:rPr>
      </w:pPr>
    </w:p>
    <w:p w:rsidR="00A879F3" w:rsidRPr="009F5AF4" w:rsidRDefault="00A879F3">
      <w:pPr>
        <w:widowControl/>
        <w:tabs>
          <w:tab w:val="left" w:pos="-1440"/>
        </w:tabs>
        <w:ind w:left="1440" w:hanging="720"/>
        <w:rPr>
          <w:rFonts w:ascii="Arial" w:hAnsi="Arial" w:cs="Arial"/>
          <w:sz w:val="22"/>
          <w:szCs w:val="22"/>
        </w:rPr>
      </w:pPr>
      <w:r w:rsidRPr="009F5AF4">
        <w:rPr>
          <w:rFonts w:ascii="Arial" w:hAnsi="Arial" w:cs="Arial"/>
          <w:sz w:val="22"/>
          <w:szCs w:val="22"/>
        </w:rPr>
        <w:t>6.</w:t>
      </w:r>
      <w:r w:rsidRPr="009F5AF4">
        <w:rPr>
          <w:rFonts w:ascii="Arial" w:hAnsi="Arial" w:cs="Arial"/>
          <w:sz w:val="22"/>
          <w:szCs w:val="22"/>
        </w:rPr>
        <w:tab/>
      </w:r>
      <w:r w:rsidRPr="009F5AF4">
        <w:rPr>
          <w:rFonts w:ascii="Arial" w:hAnsi="Arial" w:cs="Arial"/>
          <w:sz w:val="22"/>
          <w:szCs w:val="22"/>
          <w:u w:val="single"/>
        </w:rPr>
        <w:t>Consequences to Federal Program or Policy Activities if the Collection is Not Conducted or is Conducted Less Frequently</w:t>
      </w:r>
    </w:p>
    <w:p w:rsidR="00A879F3" w:rsidRPr="009F5AF4" w:rsidRDefault="00A879F3">
      <w:pPr>
        <w:widowControl/>
        <w:rPr>
          <w:rFonts w:ascii="Arial" w:hAnsi="Arial" w:cs="Arial"/>
          <w:sz w:val="22"/>
          <w:szCs w:val="22"/>
        </w:rPr>
      </w:pPr>
    </w:p>
    <w:p w:rsidR="00A879F3" w:rsidRPr="009F5AF4" w:rsidRDefault="00A879F3">
      <w:pPr>
        <w:widowControl/>
        <w:ind w:left="1440"/>
        <w:rPr>
          <w:rFonts w:ascii="Arial" w:hAnsi="Arial" w:cs="Arial"/>
          <w:sz w:val="22"/>
          <w:szCs w:val="22"/>
        </w:rPr>
      </w:pPr>
      <w:r w:rsidRPr="009F5AF4">
        <w:rPr>
          <w:rFonts w:ascii="Arial" w:hAnsi="Arial" w:cs="Arial"/>
          <w:sz w:val="22"/>
          <w:szCs w:val="22"/>
        </w:rPr>
        <w:t>The 10 CFR</w:t>
      </w:r>
      <w:r w:rsidR="0041187D">
        <w:rPr>
          <w:rFonts w:ascii="Arial" w:hAnsi="Arial" w:cs="Arial"/>
          <w:sz w:val="22"/>
          <w:szCs w:val="22"/>
        </w:rPr>
        <w:t xml:space="preserve"> Part</w:t>
      </w:r>
      <w:r w:rsidRPr="009F5AF4">
        <w:rPr>
          <w:rFonts w:ascii="Arial" w:hAnsi="Arial" w:cs="Arial"/>
          <w:sz w:val="22"/>
          <w:szCs w:val="22"/>
        </w:rPr>
        <w:t xml:space="preserve"> 21 </w:t>
      </w:r>
      <w:proofErr w:type="gramStart"/>
      <w:r w:rsidRPr="009F5AF4">
        <w:rPr>
          <w:rFonts w:ascii="Arial" w:hAnsi="Arial" w:cs="Arial"/>
          <w:sz w:val="22"/>
          <w:szCs w:val="22"/>
        </w:rPr>
        <w:t>regulation</w:t>
      </w:r>
      <w:proofErr w:type="gramEnd"/>
      <w:r w:rsidRPr="009F5AF4">
        <w:rPr>
          <w:rFonts w:ascii="Arial" w:hAnsi="Arial" w:cs="Arial"/>
          <w:sz w:val="22"/>
          <w:szCs w:val="22"/>
        </w:rPr>
        <w:t xml:space="preserve"> requires the </w:t>
      </w:r>
      <w:r w:rsidR="00FA6BCA" w:rsidRPr="009F5AF4">
        <w:rPr>
          <w:rFonts w:ascii="Arial" w:hAnsi="Arial" w:cs="Arial"/>
          <w:sz w:val="22"/>
          <w:szCs w:val="22"/>
        </w:rPr>
        <w:t xml:space="preserve">initial </w:t>
      </w:r>
      <w:r w:rsidRPr="009F5AF4">
        <w:rPr>
          <w:rFonts w:ascii="Arial" w:hAnsi="Arial" w:cs="Arial"/>
          <w:sz w:val="22"/>
          <w:szCs w:val="22"/>
        </w:rPr>
        <w:t xml:space="preserve">reporting of defects and failures to comply </w:t>
      </w:r>
      <w:r w:rsidR="00FA6BCA" w:rsidRPr="009F5AF4">
        <w:rPr>
          <w:rFonts w:ascii="Arial" w:hAnsi="Arial" w:cs="Arial"/>
          <w:sz w:val="22"/>
          <w:szCs w:val="22"/>
        </w:rPr>
        <w:t xml:space="preserve">by a responsible officer </w:t>
      </w:r>
      <w:r w:rsidR="00696CBE" w:rsidRPr="009F5AF4">
        <w:rPr>
          <w:rFonts w:ascii="Arial" w:hAnsi="Arial" w:cs="Arial"/>
          <w:sz w:val="22"/>
          <w:szCs w:val="22"/>
        </w:rPr>
        <w:t xml:space="preserve">of the licensee, vendor, or applicant </w:t>
      </w:r>
      <w:r w:rsidR="00FA6BCA" w:rsidRPr="009F5AF4">
        <w:rPr>
          <w:rFonts w:ascii="Arial" w:hAnsi="Arial" w:cs="Arial"/>
          <w:sz w:val="22"/>
          <w:szCs w:val="22"/>
        </w:rPr>
        <w:t xml:space="preserve">within 2 days </w:t>
      </w:r>
      <w:r w:rsidRPr="009F5AF4">
        <w:rPr>
          <w:rFonts w:ascii="Arial" w:hAnsi="Arial" w:cs="Arial"/>
          <w:sz w:val="22"/>
          <w:szCs w:val="22"/>
        </w:rPr>
        <w:t xml:space="preserve">after </w:t>
      </w:r>
      <w:r w:rsidR="00FA6BCA" w:rsidRPr="009F5AF4">
        <w:rPr>
          <w:rFonts w:ascii="Arial" w:hAnsi="Arial" w:cs="Arial"/>
          <w:sz w:val="22"/>
          <w:szCs w:val="22"/>
        </w:rPr>
        <w:t>being notified of the evaluation results</w:t>
      </w:r>
      <w:r w:rsidRPr="009F5AF4">
        <w:rPr>
          <w:rFonts w:ascii="Arial" w:hAnsi="Arial" w:cs="Arial"/>
          <w:sz w:val="22"/>
          <w:szCs w:val="22"/>
        </w:rPr>
        <w:t>.</w:t>
      </w:r>
      <w:r w:rsidR="00FA6BCA" w:rsidRPr="009F5AF4">
        <w:rPr>
          <w:rFonts w:ascii="Arial" w:hAnsi="Arial" w:cs="Arial"/>
          <w:sz w:val="22"/>
          <w:szCs w:val="22"/>
        </w:rPr>
        <w:t xml:space="preserve">  Written or electronic </w:t>
      </w:r>
      <w:r w:rsidR="00FA6BCA" w:rsidRPr="009F5AF4">
        <w:rPr>
          <w:rFonts w:ascii="Arial" w:hAnsi="Arial" w:cs="Arial"/>
          <w:sz w:val="22"/>
          <w:szCs w:val="22"/>
        </w:rPr>
        <w:lastRenderedPageBreak/>
        <w:t>notification to the NRC is required within 30 days</w:t>
      </w:r>
      <w:r w:rsidR="003F1EF4" w:rsidRPr="009F5AF4">
        <w:rPr>
          <w:rFonts w:ascii="Arial" w:hAnsi="Arial" w:cs="Arial"/>
          <w:sz w:val="22"/>
          <w:szCs w:val="22"/>
        </w:rPr>
        <w:t xml:space="preserve"> from the initial notification</w:t>
      </w:r>
      <w:r w:rsidR="00FA6BCA" w:rsidRPr="009F5AF4">
        <w:rPr>
          <w:rFonts w:ascii="Arial" w:hAnsi="Arial" w:cs="Arial"/>
          <w:sz w:val="22"/>
          <w:szCs w:val="22"/>
        </w:rPr>
        <w:t xml:space="preserve">.  </w:t>
      </w:r>
      <w:r w:rsidR="00CD5F6A" w:rsidRPr="009F5AF4">
        <w:rPr>
          <w:rFonts w:ascii="Arial" w:hAnsi="Arial" w:cs="Arial"/>
          <w:sz w:val="22"/>
          <w:szCs w:val="22"/>
        </w:rPr>
        <w:t>Less frequent reporting would reduce</w:t>
      </w:r>
      <w:r w:rsidRPr="009F5AF4">
        <w:rPr>
          <w:rFonts w:ascii="Arial" w:hAnsi="Arial" w:cs="Arial"/>
          <w:sz w:val="22"/>
          <w:szCs w:val="22"/>
        </w:rPr>
        <w:t xml:space="preserve"> NRC effectiveness in the area of assessing potentially generic safety issues and in disseminating such information to affected parties.</w:t>
      </w:r>
    </w:p>
    <w:p w:rsidR="00A879F3" w:rsidRDefault="00A879F3">
      <w:pPr>
        <w:widowControl/>
        <w:rPr>
          <w:rFonts w:ascii="Arial" w:hAnsi="Arial" w:cs="Arial"/>
          <w:sz w:val="22"/>
          <w:szCs w:val="22"/>
        </w:rPr>
      </w:pPr>
    </w:p>
    <w:p w:rsidR="00A879F3" w:rsidRPr="009F5AF4" w:rsidRDefault="00A879F3">
      <w:pPr>
        <w:widowControl/>
        <w:tabs>
          <w:tab w:val="left" w:pos="-1440"/>
        </w:tabs>
        <w:ind w:left="1440" w:hanging="720"/>
        <w:rPr>
          <w:rFonts w:ascii="Arial" w:hAnsi="Arial" w:cs="Arial"/>
          <w:sz w:val="22"/>
          <w:szCs w:val="22"/>
        </w:rPr>
      </w:pPr>
      <w:r w:rsidRPr="009F5AF4">
        <w:rPr>
          <w:rFonts w:ascii="Arial" w:hAnsi="Arial" w:cs="Arial"/>
          <w:sz w:val="22"/>
          <w:szCs w:val="22"/>
        </w:rPr>
        <w:t>7.</w:t>
      </w:r>
      <w:r w:rsidRPr="009F5AF4">
        <w:rPr>
          <w:rFonts w:ascii="Arial" w:hAnsi="Arial" w:cs="Arial"/>
          <w:sz w:val="22"/>
          <w:szCs w:val="22"/>
        </w:rPr>
        <w:tab/>
      </w:r>
      <w:r w:rsidRPr="009F5AF4">
        <w:rPr>
          <w:rFonts w:ascii="Arial" w:hAnsi="Arial" w:cs="Arial"/>
          <w:sz w:val="22"/>
          <w:szCs w:val="22"/>
          <w:u w:val="single"/>
        </w:rPr>
        <w:t xml:space="preserve">Circumstances which Justify Variation from </w:t>
      </w:r>
      <w:r w:rsidR="0041187D">
        <w:rPr>
          <w:rFonts w:ascii="Arial" w:hAnsi="Arial" w:cs="Arial"/>
          <w:sz w:val="22"/>
          <w:szCs w:val="22"/>
          <w:u w:val="single"/>
        </w:rPr>
        <w:t>the Office of Management and Budget (OMB)</w:t>
      </w:r>
      <w:r w:rsidRPr="009F5AF4">
        <w:rPr>
          <w:rFonts w:ascii="Arial" w:hAnsi="Arial" w:cs="Arial"/>
          <w:sz w:val="22"/>
          <w:szCs w:val="22"/>
          <w:u w:val="single"/>
        </w:rPr>
        <w:t xml:space="preserve"> Guidelines</w:t>
      </w:r>
    </w:p>
    <w:p w:rsidR="00A879F3" w:rsidRPr="009F5AF4" w:rsidRDefault="00A879F3">
      <w:pPr>
        <w:widowControl/>
        <w:rPr>
          <w:rFonts w:ascii="Arial" w:hAnsi="Arial" w:cs="Arial"/>
          <w:sz w:val="22"/>
          <w:szCs w:val="22"/>
        </w:rPr>
      </w:pPr>
    </w:p>
    <w:p w:rsidR="00A879F3" w:rsidRPr="009F5AF4" w:rsidRDefault="00A879F3">
      <w:pPr>
        <w:widowControl/>
        <w:ind w:left="1440"/>
        <w:rPr>
          <w:rFonts w:ascii="Arial" w:hAnsi="Arial" w:cs="Arial"/>
          <w:sz w:val="22"/>
          <w:szCs w:val="22"/>
        </w:rPr>
      </w:pPr>
      <w:r w:rsidRPr="009F5AF4">
        <w:rPr>
          <w:rFonts w:ascii="Arial" w:hAnsi="Arial" w:cs="Arial"/>
          <w:sz w:val="22"/>
          <w:szCs w:val="22"/>
        </w:rPr>
        <w:t>The 10 CFR</w:t>
      </w:r>
      <w:r w:rsidR="0041187D">
        <w:rPr>
          <w:rFonts w:ascii="Arial" w:hAnsi="Arial" w:cs="Arial"/>
          <w:sz w:val="22"/>
          <w:szCs w:val="22"/>
        </w:rPr>
        <w:t xml:space="preserve"> Part</w:t>
      </w:r>
      <w:r w:rsidRPr="009F5AF4">
        <w:rPr>
          <w:rFonts w:ascii="Arial" w:hAnsi="Arial" w:cs="Arial"/>
          <w:sz w:val="22"/>
          <w:szCs w:val="22"/>
        </w:rPr>
        <w:t xml:space="preserve"> 21 regulation requires the reporting of defects and failures to comply that could create an SSH in facilities or activities licensed by the NRC.  This information is needed within two days by telephone or facsimile and 30 days by written report to ensure that the NRC receives prompt notification of these defects and failures to comply, evaluates them, and is able to promptly disseminate to other licensees information regarding those defects and failures to comply that are determined to be potentially generic safety problems.</w:t>
      </w:r>
    </w:p>
    <w:p w:rsidR="00A879F3" w:rsidRPr="009F5AF4" w:rsidRDefault="00A879F3">
      <w:pPr>
        <w:widowControl/>
        <w:rPr>
          <w:rFonts w:ascii="Arial" w:hAnsi="Arial" w:cs="Arial"/>
          <w:sz w:val="22"/>
          <w:szCs w:val="22"/>
        </w:rPr>
      </w:pPr>
    </w:p>
    <w:p w:rsidR="009B66A7" w:rsidRPr="009F5AF4" w:rsidRDefault="00F92AF3">
      <w:pPr>
        <w:widowControl/>
        <w:ind w:left="1440"/>
        <w:rPr>
          <w:rFonts w:ascii="Arial" w:hAnsi="Arial" w:cs="Arial"/>
          <w:sz w:val="22"/>
          <w:szCs w:val="22"/>
        </w:rPr>
      </w:pPr>
      <w:r w:rsidRPr="009F5AF4">
        <w:rPr>
          <w:rFonts w:ascii="Arial" w:hAnsi="Arial" w:cs="Arial"/>
          <w:sz w:val="22"/>
          <w:szCs w:val="22"/>
        </w:rPr>
        <w:t>T</w:t>
      </w:r>
      <w:r w:rsidR="00A879F3" w:rsidRPr="009F5AF4">
        <w:rPr>
          <w:rFonts w:ascii="Arial" w:hAnsi="Arial" w:cs="Arial"/>
          <w:sz w:val="22"/>
          <w:szCs w:val="22"/>
        </w:rPr>
        <w:t xml:space="preserve">he 10 CFR </w:t>
      </w:r>
      <w:r w:rsidR="0041187D">
        <w:rPr>
          <w:rFonts w:ascii="Arial" w:hAnsi="Arial" w:cs="Arial"/>
          <w:sz w:val="22"/>
          <w:szCs w:val="22"/>
        </w:rPr>
        <w:t xml:space="preserve">Part </w:t>
      </w:r>
      <w:r w:rsidR="00A879F3" w:rsidRPr="009F5AF4">
        <w:rPr>
          <w:rFonts w:ascii="Arial" w:hAnsi="Arial" w:cs="Arial"/>
          <w:sz w:val="22"/>
          <w:szCs w:val="22"/>
        </w:rPr>
        <w:t>21 regulation requires reco</w:t>
      </w:r>
      <w:r w:rsidRPr="009F5AF4">
        <w:rPr>
          <w:rFonts w:ascii="Arial" w:hAnsi="Arial" w:cs="Arial"/>
          <w:sz w:val="22"/>
          <w:szCs w:val="22"/>
        </w:rPr>
        <w:t xml:space="preserve">rds </w:t>
      </w:r>
      <w:r w:rsidR="00511A06" w:rsidRPr="009F5AF4">
        <w:rPr>
          <w:rFonts w:ascii="Arial" w:hAnsi="Arial" w:cs="Arial"/>
          <w:sz w:val="22"/>
          <w:szCs w:val="22"/>
        </w:rPr>
        <w:t xml:space="preserve">be retained beyond the 3 </w:t>
      </w:r>
      <w:r w:rsidR="00A879F3" w:rsidRPr="009F5AF4">
        <w:rPr>
          <w:rFonts w:ascii="Arial" w:hAnsi="Arial" w:cs="Arial"/>
          <w:sz w:val="22"/>
          <w:szCs w:val="22"/>
        </w:rPr>
        <w:t>year limit established by OMB.  This longer retention is required because review of experience with existing records in re</w:t>
      </w:r>
      <w:r w:rsidR="001606E0" w:rsidRPr="009F5AF4">
        <w:rPr>
          <w:rFonts w:ascii="Arial" w:hAnsi="Arial" w:cs="Arial"/>
          <w:sz w:val="22"/>
          <w:szCs w:val="22"/>
        </w:rPr>
        <w:t xml:space="preserve">cent reviews indicates that a 3 </w:t>
      </w:r>
      <w:r w:rsidR="00A879F3" w:rsidRPr="009F5AF4">
        <w:rPr>
          <w:rFonts w:ascii="Arial" w:hAnsi="Arial" w:cs="Arial"/>
          <w:sz w:val="22"/>
          <w:szCs w:val="22"/>
        </w:rPr>
        <w:t xml:space="preserve">year retention </w:t>
      </w:r>
      <w:r w:rsidR="001606E0" w:rsidRPr="009F5AF4">
        <w:rPr>
          <w:rFonts w:ascii="Arial" w:hAnsi="Arial" w:cs="Arial"/>
          <w:sz w:val="22"/>
          <w:szCs w:val="22"/>
        </w:rPr>
        <w:t xml:space="preserve">period </w:t>
      </w:r>
      <w:r w:rsidR="00A879F3" w:rsidRPr="009F5AF4">
        <w:rPr>
          <w:rFonts w:ascii="Arial" w:hAnsi="Arial" w:cs="Arial"/>
          <w:sz w:val="22"/>
          <w:szCs w:val="22"/>
        </w:rPr>
        <w:t>would not be adequate for review and evaluation of recurring defects.  It is necessar</w:t>
      </w:r>
      <w:r w:rsidR="001606E0" w:rsidRPr="009F5AF4">
        <w:rPr>
          <w:rFonts w:ascii="Arial" w:hAnsi="Arial" w:cs="Arial"/>
          <w:sz w:val="22"/>
          <w:szCs w:val="22"/>
        </w:rPr>
        <w:t xml:space="preserve">y to be able to verify that a defect that could create a SSH </w:t>
      </w:r>
      <w:r w:rsidR="00A879F3" w:rsidRPr="009F5AF4">
        <w:rPr>
          <w:rFonts w:ascii="Arial" w:hAnsi="Arial" w:cs="Arial"/>
          <w:sz w:val="22"/>
          <w:szCs w:val="22"/>
        </w:rPr>
        <w:t xml:space="preserve">has been adequately </w:t>
      </w:r>
      <w:r w:rsidR="00756F89" w:rsidRPr="009F5AF4">
        <w:rPr>
          <w:rFonts w:ascii="Arial" w:hAnsi="Arial" w:cs="Arial"/>
          <w:sz w:val="22"/>
          <w:szCs w:val="22"/>
        </w:rPr>
        <w:t xml:space="preserve">identified, </w:t>
      </w:r>
      <w:r w:rsidR="00A879F3" w:rsidRPr="009F5AF4">
        <w:rPr>
          <w:rFonts w:ascii="Arial" w:hAnsi="Arial" w:cs="Arial"/>
          <w:sz w:val="22"/>
          <w:szCs w:val="22"/>
        </w:rPr>
        <w:t xml:space="preserve">evaluated, reported, and corrected as required.  Records of evaluations are therefore required to be </w:t>
      </w:r>
      <w:r w:rsidRPr="009F5AF4">
        <w:rPr>
          <w:rFonts w:ascii="Arial" w:hAnsi="Arial" w:cs="Arial"/>
          <w:sz w:val="22"/>
          <w:szCs w:val="22"/>
        </w:rPr>
        <w:t xml:space="preserve">retained for 5 years.  Supplier </w:t>
      </w:r>
      <w:r w:rsidR="00A879F3" w:rsidRPr="009F5AF4">
        <w:rPr>
          <w:rFonts w:ascii="Arial" w:hAnsi="Arial" w:cs="Arial"/>
          <w:sz w:val="22"/>
          <w:szCs w:val="22"/>
        </w:rPr>
        <w:t>notifications to purchasers/affected licensees are retained for 5 years.  Supplier records of the identification of purchasers of basic components are retained for 10 years after delivery of the basic component.</w:t>
      </w:r>
      <w:r w:rsidR="0039573A" w:rsidRPr="009F5AF4">
        <w:rPr>
          <w:rFonts w:ascii="Arial" w:hAnsi="Arial" w:cs="Arial"/>
          <w:sz w:val="22"/>
          <w:szCs w:val="22"/>
        </w:rPr>
        <w:t xml:space="preserve">  </w:t>
      </w:r>
    </w:p>
    <w:p w:rsidR="009B66A7" w:rsidRPr="009F5AF4" w:rsidRDefault="009B66A7">
      <w:pPr>
        <w:widowControl/>
        <w:ind w:left="1440"/>
        <w:rPr>
          <w:rFonts w:ascii="Arial" w:hAnsi="Arial" w:cs="Arial"/>
          <w:sz w:val="22"/>
          <w:szCs w:val="22"/>
        </w:rPr>
      </w:pPr>
    </w:p>
    <w:p w:rsidR="00A879F3" w:rsidRPr="009F5AF4" w:rsidRDefault="00FA67F3" w:rsidP="00DA63C2">
      <w:pPr>
        <w:widowControl/>
        <w:ind w:left="1440"/>
        <w:rPr>
          <w:rFonts w:ascii="Arial" w:hAnsi="Arial" w:cs="Arial"/>
          <w:sz w:val="22"/>
          <w:szCs w:val="22"/>
        </w:rPr>
      </w:pPr>
      <w:r w:rsidRPr="009F5AF4">
        <w:rPr>
          <w:rFonts w:ascii="Arial" w:hAnsi="Arial" w:cs="Arial"/>
          <w:sz w:val="22"/>
          <w:szCs w:val="22"/>
        </w:rPr>
        <w:t xml:space="preserve">The </w:t>
      </w:r>
      <w:r w:rsidR="00DA63C2" w:rsidRPr="009F5AF4">
        <w:rPr>
          <w:rFonts w:ascii="Arial" w:hAnsi="Arial" w:cs="Arial"/>
          <w:sz w:val="22"/>
          <w:szCs w:val="22"/>
        </w:rPr>
        <w:t xml:space="preserve">10 CFR </w:t>
      </w:r>
      <w:r w:rsidR="0041187D">
        <w:rPr>
          <w:rFonts w:ascii="Arial" w:hAnsi="Arial" w:cs="Arial"/>
          <w:sz w:val="22"/>
          <w:szCs w:val="22"/>
        </w:rPr>
        <w:t xml:space="preserve">Part </w:t>
      </w:r>
      <w:r w:rsidR="00DA63C2" w:rsidRPr="009F5AF4">
        <w:rPr>
          <w:rFonts w:ascii="Arial" w:hAnsi="Arial" w:cs="Arial"/>
          <w:sz w:val="22"/>
          <w:szCs w:val="22"/>
        </w:rPr>
        <w:t>21</w:t>
      </w:r>
      <w:r w:rsidR="009B66A7" w:rsidRPr="009F5AF4">
        <w:rPr>
          <w:rFonts w:ascii="Arial" w:hAnsi="Arial" w:cs="Arial"/>
          <w:sz w:val="22"/>
          <w:szCs w:val="22"/>
        </w:rPr>
        <w:t xml:space="preserve"> </w:t>
      </w:r>
      <w:r w:rsidRPr="009F5AF4">
        <w:rPr>
          <w:rFonts w:ascii="Arial" w:hAnsi="Arial" w:cs="Arial"/>
          <w:sz w:val="22"/>
          <w:szCs w:val="22"/>
        </w:rPr>
        <w:t xml:space="preserve">regulation also </w:t>
      </w:r>
      <w:r w:rsidR="009B66A7" w:rsidRPr="009F5AF4">
        <w:rPr>
          <w:rFonts w:ascii="Arial" w:hAnsi="Arial" w:cs="Arial"/>
          <w:sz w:val="22"/>
          <w:szCs w:val="22"/>
        </w:rPr>
        <w:t>imposes</w:t>
      </w:r>
      <w:r w:rsidR="0039573A" w:rsidRPr="009F5AF4">
        <w:rPr>
          <w:rFonts w:ascii="Arial" w:hAnsi="Arial" w:cs="Arial"/>
          <w:sz w:val="22"/>
          <w:szCs w:val="22"/>
        </w:rPr>
        <w:t xml:space="preserve"> record retention requirements for new reactor</w:t>
      </w:r>
      <w:r w:rsidR="008C5E46" w:rsidRPr="009F5AF4">
        <w:rPr>
          <w:rFonts w:ascii="Arial" w:hAnsi="Arial" w:cs="Arial"/>
          <w:sz w:val="22"/>
          <w:szCs w:val="22"/>
        </w:rPr>
        <w:t xml:space="preserve"> licensing </w:t>
      </w:r>
      <w:r w:rsidR="009C360E" w:rsidRPr="009F5AF4">
        <w:rPr>
          <w:rFonts w:ascii="Arial" w:hAnsi="Arial" w:cs="Arial"/>
          <w:sz w:val="22"/>
          <w:szCs w:val="22"/>
        </w:rPr>
        <w:t xml:space="preserve">activities </w:t>
      </w:r>
      <w:r w:rsidR="008C5E46" w:rsidRPr="009F5AF4">
        <w:rPr>
          <w:rFonts w:ascii="Arial" w:hAnsi="Arial" w:cs="Arial"/>
          <w:sz w:val="22"/>
          <w:szCs w:val="22"/>
        </w:rPr>
        <w:t>under 10 CFR Part 52</w:t>
      </w:r>
      <w:r w:rsidR="00DA63C2" w:rsidRPr="009F5AF4">
        <w:rPr>
          <w:rFonts w:ascii="Arial" w:hAnsi="Arial" w:cs="Arial"/>
          <w:sz w:val="22"/>
          <w:szCs w:val="22"/>
        </w:rPr>
        <w:t xml:space="preserve"> </w:t>
      </w:r>
      <w:r w:rsidR="009B66A7" w:rsidRPr="009F5AF4">
        <w:rPr>
          <w:rFonts w:ascii="Arial" w:hAnsi="Arial" w:cs="Arial"/>
          <w:sz w:val="22"/>
          <w:szCs w:val="22"/>
        </w:rPr>
        <w:t>“Early Site Permits; Standard Design Certifications; and Combined Licenses for Nuclear Plants.</w:t>
      </w:r>
      <w:r w:rsidR="00C40473">
        <w:rPr>
          <w:rFonts w:ascii="Arial" w:hAnsi="Arial" w:cs="Arial"/>
          <w:sz w:val="22"/>
          <w:szCs w:val="22"/>
        </w:rPr>
        <w:t>”</w:t>
      </w:r>
      <w:r w:rsidR="009B66A7" w:rsidRPr="009F5AF4">
        <w:rPr>
          <w:rFonts w:ascii="Arial" w:hAnsi="Arial" w:cs="Arial"/>
          <w:sz w:val="22"/>
          <w:szCs w:val="22"/>
        </w:rPr>
        <w:t xml:space="preserve"> </w:t>
      </w:r>
      <w:r w:rsidR="00DC00D2" w:rsidRPr="009F5AF4">
        <w:rPr>
          <w:rFonts w:ascii="Arial" w:hAnsi="Arial" w:cs="Arial"/>
          <w:sz w:val="22"/>
          <w:szCs w:val="22"/>
        </w:rPr>
        <w:t xml:space="preserve"> The 10 CFR</w:t>
      </w:r>
      <w:r w:rsidR="0041187D">
        <w:rPr>
          <w:rFonts w:ascii="Arial" w:hAnsi="Arial" w:cs="Arial"/>
          <w:sz w:val="22"/>
          <w:szCs w:val="22"/>
        </w:rPr>
        <w:t xml:space="preserve"> Part</w:t>
      </w:r>
      <w:r w:rsidR="00DC00D2" w:rsidRPr="009F5AF4">
        <w:rPr>
          <w:rFonts w:ascii="Arial" w:hAnsi="Arial" w:cs="Arial"/>
          <w:sz w:val="22"/>
          <w:szCs w:val="22"/>
        </w:rPr>
        <w:t> </w:t>
      </w:r>
      <w:r w:rsidRPr="009F5AF4">
        <w:rPr>
          <w:rFonts w:ascii="Arial" w:hAnsi="Arial" w:cs="Arial"/>
          <w:sz w:val="22"/>
          <w:szCs w:val="22"/>
        </w:rPr>
        <w:t>52</w:t>
      </w:r>
      <w:r w:rsidR="00DA63C2" w:rsidRPr="009F5AF4">
        <w:rPr>
          <w:rFonts w:ascii="Arial" w:hAnsi="Arial" w:cs="Arial"/>
          <w:sz w:val="22"/>
          <w:szCs w:val="22"/>
        </w:rPr>
        <w:t xml:space="preserve"> </w:t>
      </w:r>
      <w:r w:rsidRPr="009F5AF4">
        <w:rPr>
          <w:rFonts w:ascii="Arial" w:hAnsi="Arial" w:cs="Arial"/>
          <w:sz w:val="22"/>
          <w:szCs w:val="22"/>
        </w:rPr>
        <w:t xml:space="preserve">process </w:t>
      </w:r>
      <w:r w:rsidR="00DA63C2" w:rsidRPr="009F5AF4">
        <w:rPr>
          <w:rFonts w:ascii="Arial" w:hAnsi="Arial" w:cs="Arial"/>
          <w:sz w:val="22"/>
          <w:szCs w:val="22"/>
        </w:rPr>
        <w:t xml:space="preserve">provides for a standard design approval, which is subsequently referenced in a final standard design certification rule, and that standard design certification is, in turn referenced in a combined license issued by the NRC.  </w:t>
      </w:r>
      <w:r w:rsidRPr="009F5AF4">
        <w:rPr>
          <w:rFonts w:ascii="Arial" w:hAnsi="Arial" w:cs="Arial"/>
          <w:sz w:val="22"/>
          <w:szCs w:val="22"/>
        </w:rPr>
        <w:t xml:space="preserve">The NRC imposes </w:t>
      </w:r>
      <w:r w:rsidR="00DA63C2" w:rsidRPr="009F5AF4">
        <w:rPr>
          <w:rFonts w:ascii="Arial" w:hAnsi="Arial" w:cs="Arial"/>
          <w:sz w:val="22"/>
          <w:szCs w:val="22"/>
        </w:rPr>
        <w:t xml:space="preserve">longer </w:t>
      </w:r>
      <w:r w:rsidR="009C360E" w:rsidRPr="009F5AF4">
        <w:rPr>
          <w:rFonts w:ascii="Arial" w:hAnsi="Arial" w:cs="Arial"/>
          <w:sz w:val="22"/>
          <w:szCs w:val="22"/>
        </w:rPr>
        <w:t xml:space="preserve">retention times for </w:t>
      </w:r>
      <w:r w:rsidR="00DA63C2" w:rsidRPr="009F5AF4">
        <w:rPr>
          <w:rFonts w:ascii="Arial" w:hAnsi="Arial" w:cs="Arial"/>
          <w:sz w:val="22"/>
          <w:szCs w:val="22"/>
        </w:rPr>
        <w:t>record</w:t>
      </w:r>
      <w:r w:rsidR="009C360E" w:rsidRPr="009F5AF4">
        <w:rPr>
          <w:rFonts w:ascii="Arial" w:hAnsi="Arial" w:cs="Arial"/>
          <w:sz w:val="22"/>
          <w:szCs w:val="22"/>
        </w:rPr>
        <w:t>s</w:t>
      </w:r>
      <w:r w:rsidR="00DA63C2" w:rsidRPr="009F5AF4">
        <w:rPr>
          <w:rFonts w:ascii="Arial" w:hAnsi="Arial" w:cs="Arial"/>
          <w:sz w:val="22"/>
          <w:szCs w:val="22"/>
        </w:rPr>
        <w:t xml:space="preserve"> associated with Part 52 licensing beca</w:t>
      </w:r>
      <w:r w:rsidR="0041187D">
        <w:rPr>
          <w:rFonts w:ascii="Arial" w:hAnsi="Arial" w:cs="Arial"/>
          <w:sz w:val="22"/>
          <w:szCs w:val="22"/>
        </w:rPr>
        <w:t>use of the potentially longer “regulatory life”</w:t>
      </w:r>
      <w:r w:rsidR="00DA63C2" w:rsidRPr="009F5AF4">
        <w:rPr>
          <w:rFonts w:ascii="Arial" w:hAnsi="Arial" w:cs="Arial"/>
          <w:sz w:val="22"/>
          <w:szCs w:val="22"/>
        </w:rPr>
        <w:t xml:space="preserve"> of a referenced license, standard design approval or standard design certification.  Therefore, t</w:t>
      </w:r>
      <w:r w:rsidR="009B66A7" w:rsidRPr="009F5AF4">
        <w:rPr>
          <w:rFonts w:ascii="Arial" w:hAnsi="Arial" w:cs="Arial"/>
          <w:sz w:val="22"/>
          <w:szCs w:val="22"/>
        </w:rPr>
        <w:t xml:space="preserve">hose entities </w:t>
      </w:r>
      <w:r w:rsidR="00455EBB" w:rsidRPr="009F5AF4">
        <w:rPr>
          <w:rFonts w:ascii="Arial" w:hAnsi="Arial" w:cs="Arial"/>
          <w:sz w:val="22"/>
          <w:szCs w:val="22"/>
        </w:rPr>
        <w:t>providing a</w:t>
      </w:r>
      <w:r w:rsidR="009B66A7" w:rsidRPr="009F5AF4">
        <w:rPr>
          <w:rFonts w:ascii="Arial" w:hAnsi="Arial" w:cs="Arial"/>
          <w:sz w:val="22"/>
          <w:szCs w:val="22"/>
        </w:rPr>
        <w:t xml:space="preserve"> certified design or design approval shall r</w:t>
      </w:r>
      <w:r w:rsidR="00DA63C2" w:rsidRPr="009F5AF4">
        <w:rPr>
          <w:rFonts w:ascii="Arial" w:hAnsi="Arial" w:cs="Arial"/>
          <w:sz w:val="22"/>
          <w:szCs w:val="22"/>
        </w:rPr>
        <w:t xml:space="preserve">etain any notifications sent to </w:t>
      </w:r>
      <w:r w:rsidR="009B66A7" w:rsidRPr="009F5AF4">
        <w:rPr>
          <w:rFonts w:ascii="Arial" w:hAnsi="Arial" w:cs="Arial"/>
          <w:sz w:val="22"/>
          <w:szCs w:val="22"/>
        </w:rPr>
        <w:t>purchasers and affected licensees for a minimum of 5 years after the date of the notification, and retain a record of the purchasers for 15 years after delivery of the design which is the subject of the design approval or service associated with the design.</w:t>
      </w:r>
    </w:p>
    <w:p w:rsidR="00A879F3" w:rsidRPr="009F5AF4" w:rsidRDefault="00A879F3">
      <w:pPr>
        <w:widowControl/>
        <w:rPr>
          <w:rFonts w:ascii="Arial" w:hAnsi="Arial" w:cs="Arial"/>
          <w:sz w:val="22"/>
          <w:szCs w:val="22"/>
        </w:rPr>
      </w:pPr>
    </w:p>
    <w:p w:rsidR="00C82841" w:rsidRDefault="00A879F3" w:rsidP="00C82841">
      <w:pPr>
        <w:widowControl/>
        <w:ind w:left="1440" w:hanging="720"/>
        <w:rPr>
          <w:rFonts w:ascii="Arial" w:hAnsi="Arial" w:cs="Arial"/>
          <w:sz w:val="22"/>
          <w:szCs w:val="22"/>
          <w:u w:val="single"/>
        </w:rPr>
      </w:pPr>
      <w:r w:rsidRPr="009F5AF4">
        <w:rPr>
          <w:rFonts w:ascii="Arial" w:hAnsi="Arial" w:cs="Arial"/>
          <w:sz w:val="22"/>
          <w:szCs w:val="22"/>
        </w:rPr>
        <w:t>8.</w:t>
      </w:r>
      <w:r w:rsidRPr="009F5AF4">
        <w:rPr>
          <w:rFonts w:ascii="Arial" w:hAnsi="Arial" w:cs="Arial"/>
          <w:sz w:val="22"/>
          <w:szCs w:val="22"/>
        </w:rPr>
        <w:tab/>
      </w:r>
      <w:r w:rsidRPr="009F5AF4">
        <w:rPr>
          <w:rFonts w:ascii="Arial" w:hAnsi="Arial" w:cs="Arial"/>
          <w:sz w:val="22"/>
          <w:szCs w:val="22"/>
          <w:u w:val="single"/>
        </w:rPr>
        <w:t xml:space="preserve">Consultation </w:t>
      </w:r>
      <w:proofErr w:type="gramStart"/>
      <w:r w:rsidRPr="009F5AF4">
        <w:rPr>
          <w:rFonts w:ascii="Arial" w:hAnsi="Arial" w:cs="Arial"/>
          <w:sz w:val="22"/>
          <w:szCs w:val="22"/>
          <w:u w:val="single"/>
        </w:rPr>
        <w:t>Outside</w:t>
      </w:r>
      <w:proofErr w:type="gramEnd"/>
      <w:r w:rsidRPr="009F5AF4">
        <w:rPr>
          <w:rFonts w:ascii="Arial" w:hAnsi="Arial" w:cs="Arial"/>
          <w:sz w:val="22"/>
          <w:szCs w:val="22"/>
          <w:u w:val="single"/>
        </w:rPr>
        <w:t xml:space="preserve"> the NRC</w:t>
      </w:r>
    </w:p>
    <w:p w:rsidR="00C82841" w:rsidRDefault="00C82841" w:rsidP="00C82841">
      <w:pPr>
        <w:widowControl/>
        <w:ind w:left="1440" w:hanging="720"/>
        <w:rPr>
          <w:rFonts w:ascii="Arial" w:hAnsi="Arial" w:cs="Arial"/>
          <w:sz w:val="22"/>
          <w:szCs w:val="22"/>
        </w:rPr>
      </w:pPr>
    </w:p>
    <w:p w:rsidR="005A4FCF" w:rsidRPr="00C82841" w:rsidRDefault="00C82841" w:rsidP="00C82841">
      <w:pPr>
        <w:widowControl/>
        <w:ind w:left="1440"/>
        <w:rPr>
          <w:rFonts w:ascii="Arial" w:hAnsi="Arial"/>
          <w:sz w:val="22"/>
          <w:szCs w:val="22"/>
        </w:rPr>
      </w:pPr>
      <w:r w:rsidRPr="00C82841">
        <w:rPr>
          <w:rFonts w:ascii="Arial" w:hAnsi="Arial" w:cs="Arial"/>
          <w:sz w:val="22"/>
          <w:szCs w:val="22"/>
        </w:rPr>
        <w:t xml:space="preserve">Opportunity for public comment on the information collection requirements for this clearance package was published In the </w:t>
      </w:r>
      <w:r w:rsidRPr="00C82841">
        <w:rPr>
          <w:rFonts w:ascii="Arial" w:hAnsi="Arial" w:cs="Arial"/>
          <w:i/>
          <w:iCs/>
          <w:sz w:val="22"/>
          <w:szCs w:val="22"/>
        </w:rPr>
        <w:t>Federal Register</w:t>
      </w:r>
      <w:r w:rsidRPr="00C82841">
        <w:rPr>
          <w:rFonts w:ascii="Arial" w:hAnsi="Arial" w:cs="Arial"/>
          <w:sz w:val="22"/>
          <w:szCs w:val="22"/>
        </w:rPr>
        <w:t xml:space="preserve"> on August 14, 2013 (78 FR 49551).  No comments were received</w:t>
      </w:r>
      <w:r w:rsidR="00FA35B1" w:rsidRPr="00C82841">
        <w:rPr>
          <w:rFonts w:ascii="Arial" w:hAnsi="Arial"/>
          <w:sz w:val="22"/>
          <w:szCs w:val="22"/>
        </w:rPr>
        <w:t>.</w:t>
      </w:r>
    </w:p>
    <w:p w:rsidR="005A4FCF" w:rsidRPr="009F5AF4" w:rsidRDefault="005A4FCF">
      <w:pPr>
        <w:widowControl/>
        <w:ind w:left="1440"/>
        <w:rPr>
          <w:rFonts w:ascii="Shruti" w:hAnsi="Shruti" w:cs="Shruti"/>
          <w:sz w:val="22"/>
          <w:szCs w:val="22"/>
        </w:rPr>
      </w:pPr>
    </w:p>
    <w:p w:rsidR="004445D0" w:rsidRDefault="004445D0">
      <w:pPr>
        <w:widowControl/>
        <w:autoSpaceDE/>
        <w:autoSpaceDN/>
        <w:adjustRightInd/>
        <w:rPr>
          <w:rFonts w:ascii="Arial" w:hAnsi="Arial" w:cs="Arial"/>
          <w:sz w:val="22"/>
          <w:szCs w:val="22"/>
        </w:rPr>
      </w:pPr>
      <w:r>
        <w:rPr>
          <w:rFonts w:ascii="Arial" w:hAnsi="Arial" w:cs="Arial"/>
          <w:sz w:val="22"/>
          <w:szCs w:val="22"/>
        </w:rPr>
        <w:br w:type="page"/>
      </w:r>
    </w:p>
    <w:p w:rsidR="00A879F3" w:rsidRPr="009F5AF4" w:rsidRDefault="00A879F3">
      <w:pPr>
        <w:widowControl/>
        <w:tabs>
          <w:tab w:val="left" w:pos="-1440"/>
        </w:tabs>
        <w:ind w:left="1440" w:hanging="720"/>
        <w:rPr>
          <w:rFonts w:ascii="Arial" w:hAnsi="Arial" w:cs="Arial"/>
          <w:sz w:val="22"/>
          <w:szCs w:val="22"/>
        </w:rPr>
      </w:pPr>
      <w:r w:rsidRPr="009F5AF4">
        <w:rPr>
          <w:rFonts w:ascii="Arial" w:hAnsi="Arial" w:cs="Arial"/>
          <w:sz w:val="22"/>
          <w:szCs w:val="22"/>
        </w:rPr>
        <w:lastRenderedPageBreak/>
        <w:t>9.</w:t>
      </w:r>
      <w:r w:rsidRPr="009F5AF4">
        <w:rPr>
          <w:rFonts w:ascii="Arial" w:hAnsi="Arial" w:cs="Arial"/>
          <w:sz w:val="22"/>
          <w:szCs w:val="22"/>
        </w:rPr>
        <w:tab/>
      </w:r>
      <w:r w:rsidRPr="009F5AF4">
        <w:rPr>
          <w:rFonts w:ascii="Arial" w:hAnsi="Arial" w:cs="Arial"/>
          <w:sz w:val="22"/>
          <w:szCs w:val="22"/>
          <w:u w:val="single"/>
        </w:rPr>
        <w:t>Payment or Gift to Respondents</w:t>
      </w:r>
    </w:p>
    <w:p w:rsidR="00A879F3" w:rsidRPr="009F5AF4" w:rsidRDefault="00A879F3">
      <w:pPr>
        <w:widowControl/>
        <w:rPr>
          <w:rFonts w:ascii="Arial" w:hAnsi="Arial" w:cs="Arial"/>
          <w:sz w:val="22"/>
          <w:szCs w:val="22"/>
        </w:rPr>
      </w:pPr>
    </w:p>
    <w:p w:rsidR="00A879F3" w:rsidRPr="009F5AF4" w:rsidRDefault="00A879F3">
      <w:pPr>
        <w:widowControl/>
        <w:ind w:left="1440"/>
        <w:rPr>
          <w:rFonts w:ascii="Arial" w:hAnsi="Arial" w:cs="Arial"/>
          <w:sz w:val="22"/>
          <w:szCs w:val="22"/>
        </w:rPr>
      </w:pPr>
      <w:r w:rsidRPr="009F5AF4">
        <w:rPr>
          <w:rFonts w:ascii="Arial" w:hAnsi="Arial" w:cs="Arial"/>
          <w:sz w:val="22"/>
          <w:szCs w:val="22"/>
        </w:rPr>
        <w:t>Not applicable.</w:t>
      </w:r>
    </w:p>
    <w:p w:rsidR="004445D0" w:rsidRDefault="004445D0">
      <w:pPr>
        <w:widowControl/>
        <w:tabs>
          <w:tab w:val="left" w:pos="-1440"/>
        </w:tabs>
        <w:ind w:left="1440" w:hanging="720"/>
        <w:rPr>
          <w:rFonts w:ascii="Arial" w:hAnsi="Arial" w:cs="Arial"/>
          <w:sz w:val="22"/>
          <w:szCs w:val="22"/>
        </w:rPr>
      </w:pPr>
    </w:p>
    <w:p w:rsidR="00A879F3" w:rsidRPr="009F5AF4" w:rsidRDefault="00A879F3">
      <w:pPr>
        <w:widowControl/>
        <w:tabs>
          <w:tab w:val="left" w:pos="-1440"/>
        </w:tabs>
        <w:ind w:left="1440" w:hanging="720"/>
        <w:rPr>
          <w:rFonts w:ascii="Arial" w:hAnsi="Arial" w:cs="Arial"/>
          <w:sz w:val="22"/>
          <w:szCs w:val="22"/>
        </w:rPr>
      </w:pPr>
      <w:r w:rsidRPr="009F5AF4">
        <w:rPr>
          <w:rFonts w:ascii="Arial" w:hAnsi="Arial" w:cs="Arial"/>
          <w:sz w:val="22"/>
          <w:szCs w:val="22"/>
        </w:rPr>
        <w:t>10.</w:t>
      </w:r>
      <w:r w:rsidRPr="009F5AF4">
        <w:rPr>
          <w:rFonts w:ascii="Arial" w:hAnsi="Arial" w:cs="Arial"/>
          <w:sz w:val="22"/>
          <w:szCs w:val="22"/>
        </w:rPr>
        <w:tab/>
      </w:r>
      <w:r w:rsidRPr="009F5AF4">
        <w:rPr>
          <w:rFonts w:ascii="Arial" w:hAnsi="Arial" w:cs="Arial"/>
          <w:sz w:val="22"/>
          <w:szCs w:val="22"/>
          <w:u w:val="single"/>
        </w:rPr>
        <w:t>Confidentiality of the Information</w:t>
      </w:r>
    </w:p>
    <w:p w:rsidR="00A879F3" w:rsidRPr="009F5AF4" w:rsidRDefault="00A879F3">
      <w:pPr>
        <w:widowControl/>
        <w:rPr>
          <w:rFonts w:ascii="Arial" w:hAnsi="Arial" w:cs="Arial"/>
          <w:sz w:val="22"/>
          <w:szCs w:val="22"/>
        </w:rPr>
      </w:pPr>
    </w:p>
    <w:p w:rsidR="005A4FCF" w:rsidRPr="009F5AF4" w:rsidRDefault="00DC00D2" w:rsidP="00B47923">
      <w:pPr>
        <w:widowControl/>
        <w:ind w:left="1440"/>
        <w:rPr>
          <w:rFonts w:ascii="Arial" w:hAnsi="Arial" w:cs="Arial"/>
          <w:sz w:val="22"/>
          <w:szCs w:val="22"/>
        </w:rPr>
      </w:pPr>
      <w:r w:rsidRPr="009F5AF4">
        <w:rPr>
          <w:rFonts w:ascii="Arial" w:hAnsi="Arial" w:cs="Arial"/>
          <w:sz w:val="22"/>
          <w:szCs w:val="22"/>
        </w:rPr>
        <w:t xml:space="preserve">Confidential and proprietary information is protected in accordance with NRC regulations </w:t>
      </w:r>
      <w:r w:rsidR="00FE57DD">
        <w:rPr>
          <w:rFonts w:ascii="Arial" w:hAnsi="Arial" w:cs="Arial"/>
          <w:sz w:val="22"/>
          <w:szCs w:val="22"/>
        </w:rPr>
        <w:t xml:space="preserve">in </w:t>
      </w:r>
      <w:r w:rsidRPr="009F5AF4">
        <w:rPr>
          <w:rFonts w:ascii="Arial" w:hAnsi="Arial" w:cs="Arial"/>
          <w:sz w:val="22"/>
          <w:szCs w:val="22"/>
        </w:rPr>
        <w:t xml:space="preserve">10 CFR 9.17(a) and 10 CFR 2.390(b).  However, </w:t>
      </w:r>
      <w:r w:rsidR="00284466" w:rsidRPr="009F5AF4">
        <w:rPr>
          <w:rFonts w:ascii="Arial" w:hAnsi="Arial" w:cs="Arial"/>
          <w:sz w:val="22"/>
          <w:szCs w:val="22"/>
        </w:rPr>
        <w:t xml:space="preserve">no </w:t>
      </w:r>
      <w:r w:rsidRPr="009F5AF4">
        <w:rPr>
          <w:rFonts w:ascii="Arial" w:hAnsi="Arial" w:cs="Arial"/>
          <w:sz w:val="22"/>
          <w:szCs w:val="22"/>
        </w:rPr>
        <w:t xml:space="preserve">information normally considered confidential or proprietary is requested.  </w:t>
      </w:r>
    </w:p>
    <w:p w:rsidR="00A879F3" w:rsidRPr="009F5AF4" w:rsidRDefault="00A879F3">
      <w:pPr>
        <w:widowControl/>
        <w:rPr>
          <w:rFonts w:ascii="Arial" w:hAnsi="Arial" w:cs="Arial"/>
          <w:sz w:val="22"/>
          <w:szCs w:val="22"/>
        </w:rPr>
      </w:pPr>
    </w:p>
    <w:p w:rsidR="00A879F3" w:rsidRPr="009F5AF4" w:rsidRDefault="00A879F3">
      <w:pPr>
        <w:widowControl/>
        <w:tabs>
          <w:tab w:val="left" w:pos="-1440"/>
        </w:tabs>
        <w:ind w:left="1440" w:hanging="720"/>
        <w:rPr>
          <w:rFonts w:ascii="Arial" w:hAnsi="Arial" w:cs="Arial"/>
          <w:sz w:val="22"/>
          <w:szCs w:val="22"/>
        </w:rPr>
      </w:pPr>
      <w:r w:rsidRPr="009F5AF4">
        <w:rPr>
          <w:rFonts w:ascii="Arial" w:hAnsi="Arial" w:cs="Arial"/>
          <w:sz w:val="22"/>
          <w:szCs w:val="22"/>
        </w:rPr>
        <w:t>11.</w:t>
      </w:r>
      <w:r w:rsidRPr="009F5AF4">
        <w:rPr>
          <w:rFonts w:ascii="Arial" w:hAnsi="Arial" w:cs="Arial"/>
          <w:sz w:val="22"/>
          <w:szCs w:val="22"/>
        </w:rPr>
        <w:tab/>
      </w:r>
      <w:r w:rsidRPr="009F5AF4">
        <w:rPr>
          <w:rFonts w:ascii="Arial" w:hAnsi="Arial" w:cs="Arial"/>
          <w:sz w:val="22"/>
          <w:szCs w:val="22"/>
          <w:u w:val="single"/>
        </w:rPr>
        <w:t>Justification for Sensitive Questions</w:t>
      </w:r>
    </w:p>
    <w:p w:rsidR="00A879F3" w:rsidRPr="009F5AF4" w:rsidRDefault="00A879F3">
      <w:pPr>
        <w:widowControl/>
        <w:rPr>
          <w:rFonts w:ascii="Arial" w:hAnsi="Arial" w:cs="Arial"/>
          <w:sz w:val="22"/>
          <w:szCs w:val="22"/>
        </w:rPr>
      </w:pPr>
    </w:p>
    <w:p w:rsidR="00A879F3" w:rsidRPr="009F5AF4" w:rsidRDefault="00A879F3">
      <w:pPr>
        <w:widowControl/>
        <w:ind w:left="1440"/>
        <w:rPr>
          <w:rFonts w:ascii="Arial" w:hAnsi="Arial" w:cs="Arial"/>
          <w:sz w:val="22"/>
          <w:szCs w:val="22"/>
        </w:rPr>
      </w:pPr>
      <w:r w:rsidRPr="009F5AF4">
        <w:rPr>
          <w:rFonts w:ascii="Arial" w:hAnsi="Arial" w:cs="Arial"/>
          <w:sz w:val="22"/>
          <w:szCs w:val="22"/>
        </w:rPr>
        <w:t xml:space="preserve">This </w:t>
      </w:r>
      <w:r w:rsidR="00C75A05">
        <w:rPr>
          <w:rFonts w:ascii="Arial" w:hAnsi="Arial" w:cs="Arial"/>
          <w:sz w:val="22"/>
          <w:szCs w:val="22"/>
        </w:rPr>
        <w:t>information collection</w:t>
      </w:r>
      <w:r w:rsidRPr="009F5AF4">
        <w:rPr>
          <w:rFonts w:ascii="Arial" w:hAnsi="Arial" w:cs="Arial"/>
          <w:sz w:val="22"/>
          <w:szCs w:val="22"/>
        </w:rPr>
        <w:t xml:space="preserve"> does not request sensitive information.</w:t>
      </w:r>
    </w:p>
    <w:p w:rsidR="00A879F3" w:rsidRPr="009F5AF4" w:rsidRDefault="00A879F3">
      <w:pPr>
        <w:widowControl/>
        <w:rPr>
          <w:rFonts w:ascii="Arial" w:hAnsi="Arial" w:cs="Arial"/>
          <w:sz w:val="22"/>
          <w:szCs w:val="22"/>
        </w:rPr>
      </w:pPr>
    </w:p>
    <w:p w:rsidR="005A4FCF" w:rsidRPr="009F5AF4" w:rsidRDefault="00A879F3" w:rsidP="00BC7035">
      <w:pPr>
        <w:widowControl/>
        <w:tabs>
          <w:tab w:val="left" w:pos="-1440"/>
        </w:tabs>
        <w:ind w:left="1440" w:hanging="720"/>
        <w:rPr>
          <w:rFonts w:ascii="Arial" w:hAnsi="Arial" w:cs="Arial"/>
          <w:sz w:val="22"/>
          <w:szCs w:val="22"/>
        </w:rPr>
      </w:pPr>
      <w:r w:rsidRPr="009F5AF4">
        <w:rPr>
          <w:rFonts w:ascii="Arial" w:hAnsi="Arial" w:cs="Arial"/>
          <w:sz w:val="22"/>
          <w:szCs w:val="22"/>
        </w:rPr>
        <w:t>12.</w:t>
      </w:r>
      <w:r w:rsidRPr="009F5AF4">
        <w:rPr>
          <w:rFonts w:ascii="Arial" w:hAnsi="Arial" w:cs="Arial"/>
          <w:sz w:val="22"/>
          <w:szCs w:val="22"/>
        </w:rPr>
        <w:tab/>
      </w:r>
      <w:r w:rsidRPr="009F5AF4">
        <w:rPr>
          <w:rFonts w:ascii="Arial" w:hAnsi="Arial" w:cs="Arial"/>
          <w:sz w:val="22"/>
          <w:szCs w:val="22"/>
          <w:u w:val="single"/>
        </w:rPr>
        <w:t>Estimated Industry Burden and Burden Hour Cost</w:t>
      </w:r>
    </w:p>
    <w:p w:rsidR="00BC7035" w:rsidRPr="009F5AF4" w:rsidRDefault="00BC7035" w:rsidP="00BC7035">
      <w:pPr>
        <w:widowControl/>
        <w:tabs>
          <w:tab w:val="left" w:pos="-1440"/>
        </w:tabs>
        <w:ind w:left="1440" w:hanging="720"/>
        <w:rPr>
          <w:rFonts w:ascii="Arial" w:hAnsi="Arial" w:cs="Arial"/>
          <w:sz w:val="22"/>
          <w:szCs w:val="22"/>
        </w:rPr>
      </w:pPr>
    </w:p>
    <w:p w:rsidR="00B7263C" w:rsidRPr="009F5AF4" w:rsidRDefault="00A879F3" w:rsidP="004D1C95">
      <w:pPr>
        <w:widowControl/>
        <w:ind w:left="1440"/>
        <w:rPr>
          <w:rFonts w:ascii="Arial" w:hAnsi="Arial" w:cs="Arial"/>
          <w:sz w:val="22"/>
          <w:szCs w:val="22"/>
        </w:rPr>
      </w:pPr>
      <w:r w:rsidRPr="009F5AF4">
        <w:rPr>
          <w:rFonts w:ascii="Arial" w:hAnsi="Arial" w:cs="Arial"/>
          <w:sz w:val="22"/>
          <w:szCs w:val="22"/>
        </w:rPr>
        <w:t>The total burden to respondents for reporting</w:t>
      </w:r>
      <w:r w:rsidR="000B210A">
        <w:rPr>
          <w:rFonts w:ascii="Arial" w:hAnsi="Arial" w:cs="Arial"/>
          <w:sz w:val="22"/>
          <w:szCs w:val="22"/>
        </w:rPr>
        <w:t>,</w:t>
      </w:r>
      <w:r w:rsidRPr="009F5AF4">
        <w:rPr>
          <w:rFonts w:ascii="Arial" w:hAnsi="Arial" w:cs="Arial"/>
          <w:sz w:val="22"/>
          <w:szCs w:val="22"/>
        </w:rPr>
        <w:t xml:space="preserve"> recordkeeping</w:t>
      </w:r>
      <w:r w:rsidR="000B210A">
        <w:rPr>
          <w:rFonts w:ascii="Arial" w:hAnsi="Arial" w:cs="Arial"/>
          <w:sz w:val="22"/>
          <w:szCs w:val="22"/>
        </w:rPr>
        <w:t>, and third party disclosure</w:t>
      </w:r>
      <w:r w:rsidRPr="009F5AF4">
        <w:rPr>
          <w:rFonts w:ascii="Arial" w:hAnsi="Arial" w:cs="Arial"/>
          <w:sz w:val="22"/>
          <w:szCs w:val="22"/>
        </w:rPr>
        <w:t xml:space="preserve"> in accordance with 10 CFR 21 is estimated to be </w:t>
      </w:r>
      <w:r w:rsidR="00F673D4">
        <w:rPr>
          <w:rFonts w:ascii="Arial" w:hAnsi="Arial" w:cs="Arial"/>
          <w:sz w:val="22"/>
          <w:szCs w:val="22"/>
        </w:rPr>
        <w:t>34,705</w:t>
      </w:r>
      <w:r w:rsidR="00B7263C" w:rsidRPr="009F5AF4">
        <w:rPr>
          <w:rFonts w:ascii="Arial" w:hAnsi="Arial" w:cs="Arial"/>
          <w:sz w:val="22"/>
          <w:szCs w:val="22"/>
        </w:rPr>
        <w:t xml:space="preserve"> </w:t>
      </w:r>
      <w:r w:rsidRPr="009F5AF4">
        <w:rPr>
          <w:rFonts w:ascii="Arial" w:hAnsi="Arial" w:cs="Arial"/>
          <w:sz w:val="22"/>
          <w:szCs w:val="22"/>
        </w:rPr>
        <w:t>hours with an estim</w:t>
      </w:r>
      <w:r w:rsidR="001606E0" w:rsidRPr="009F5AF4">
        <w:rPr>
          <w:rFonts w:ascii="Arial" w:hAnsi="Arial" w:cs="Arial"/>
          <w:sz w:val="22"/>
          <w:szCs w:val="22"/>
        </w:rPr>
        <w:t xml:space="preserve">ated cost of </w:t>
      </w:r>
      <w:r w:rsidR="00B7263C" w:rsidRPr="009F5AF4">
        <w:rPr>
          <w:rFonts w:ascii="Arial" w:hAnsi="Arial" w:cs="Arial"/>
          <w:sz w:val="22"/>
          <w:szCs w:val="22"/>
        </w:rPr>
        <w:t>$</w:t>
      </w:r>
      <w:r w:rsidR="00F673D4">
        <w:rPr>
          <w:rFonts w:ascii="Arial" w:hAnsi="Arial" w:cs="Arial"/>
          <w:sz w:val="22"/>
          <w:szCs w:val="22"/>
        </w:rPr>
        <w:t>9,439,760</w:t>
      </w:r>
      <w:r w:rsidR="00160015">
        <w:rPr>
          <w:rFonts w:ascii="Arial" w:hAnsi="Arial" w:cs="Arial"/>
          <w:sz w:val="22"/>
          <w:szCs w:val="22"/>
        </w:rPr>
        <w:t xml:space="preserve"> </w:t>
      </w:r>
      <w:r w:rsidR="00ED0D44" w:rsidRPr="009F5AF4">
        <w:rPr>
          <w:rFonts w:ascii="Arial" w:hAnsi="Arial" w:cs="Arial"/>
          <w:sz w:val="22"/>
          <w:szCs w:val="22"/>
        </w:rPr>
        <w:t>at $27</w:t>
      </w:r>
      <w:r w:rsidR="00B7263C" w:rsidRPr="009F5AF4">
        <w:rPr>
          <w:rFonts w:ascii="Arial" w:hAnsi="Arial" w:cs="Arial"/>
          <w:sz w:val="22"/>
          <w:szCs w:val="22"/>
        </w:rPr>
        <w:t>2</w:t>
      </w:r>
      <w:r w:rsidRPr="009F5AF4">
        <w:rPr>
          <w:rFonts w:ascii="Arial" w:hAnsi="Arial" w:cs="Arial"/>
          <w:sz w:val="22"/>
          <w:szCs w:val="22"/>
        </w:rPr>
        <w:t xml:space="preserve"> per ho</w:t>
      </w:r>
      <w:r w:rsidR="00B7263C" w:rsidRPr="009F5AF4">
        <w:rPr>
          <w:rFonts w:ascii="Arial" w:hAnsi="Arial" w:cs="Arial"/>
          <w:sz w:val="22"/>
          <w:szCs w:val="22"/>
        </w:rPr>
        <w:t>ur of professional staff time.</w:t>
      </w:r>
    </w:p>
    <w:p w:rsidR="00B7263C" w:rsidRPr="009F5AF4" w:rsidRDefault="00B7263C" w:rsidP="004D1C95">
      <w:pPr>
        <w:widowControl/>
        <w:ind w:left="1440"/>
        <w:rPr>
          <w:rFonts w:ascii="Arial" w:hAnsi="Arial" w:cs="Arial"/>
          <w:sz w:val="22"/>
          <w:szCs w:val="22"/>
        </w:rPr>
      </w:pPr>
    </w:p>
    <w:p w:rsidR="00EF3708" w:rsidRPr="009F5AF4" w:rsidRDefault="00A879F3" w:rsidP="004D1C95">
      <w:pPr>
        <w:widowControl/>
        <w:ind w:left="1440"/>
        <w:rPr>
          <w:rFonts w:ascii="Arial" w:hAnsi="Arial" w:cs="Arial"/>
          <w:sz w:val="22"/>
          <w:szCs w:val="22"/>
        </w:rPr>
      </w:pPr>
      <w:r w:rsidRPr="009F5AF4">
        <w:rPr>
          <w:rFonts w:ascii="Arial" w:hAnsi="Arial" w:cs="Arial"/>
          <w:sz w:val="22"/>
          <w:szCs w:val="22"/>
        </w:rPr>
        <w:t xml:space="preserve">This estimate includes </w:t>
      </w:r>
      <w:r w:rsidR="00B7263C" w:rsidRPr="009F5AF4">
        <w:rPr>
          <w:rFonts w:ascii="Arial" w:hAnsi="Arial" w:cs="Arial"/>
          <w:sz w:val="22"/>
          <w:szCs w:val="22"/>
        </w:rPr>
        <w:t xml:space="preserve">9,420 hours for reporting, </w:t>
      </w:r>
      <w:r w:rsidR="00F673D4">
        <w:rPr>
          <w:rFonts w:ascii="Arial" w:hAnsi="Arial" w:cs="Arial"/>
          <w:sz w:val="22"/>
          <w:szCs w:val="22"/>
        </w:rPr>
        <w:t>25,190</w:t>
      </w:r>
      <w:r w:rsidRPr="009F5AF4">
        <w:rPr>
          <w:rFonts w:ascii="Arial" w:hAnsi="Arial" w:cs="Arial"/>
          <w:sz w:val="22"/>
          <w:szCs w:val="22"/>
        </w:rPr>
        <w:t xml:space="preserve"> hours for recordkeeping</w:t>
      </w:r>
      <w:r w:rsidR="00B7263C" w:rsidRPr="009F5AF4">
        <w:rPr>
          <w:rFonts w:ascii="Arial" w:hAnsi="Arial" w:cs="Arial"/>
          <w:sz w:val="22"/>
          <w:szCs w:val="22"/>
        </w:rPr>
        <w:t>, and 95 hours for third-party disclosures.</w:t>
      </w:r>
      <w:r w:rsidRPr="009F5AF4">
        <w:rPr>
          <w:rFonts w:ascii="Arial" w:hAnsi="Arial" w:cs="Arial"/>
          <w:sz w:val="22"/>
          <w:szCs w:val="22"/>
        </w:rPr>
        <w:t xml:space="preserve">  Details are included in th</w:t>
      </w:r>
      <w:r w:rsidR="004D1C95" w:rsidRPr="009F5AF4">
        <w:rPr>
          <w:rFonts w:ascii="Arial" w:hAnsi="Arial" w:cs="Arial"/>
          <w:sz w:val="22"/>
          <w:szCs w:val="22"/>
        </w:rPr>
        <w:t xml:space="preserve">e attached industry burden tables (Table </w:t>
      </w:r>
      <w:r w:rsidR="00EF3708" w:rsidRPr="009F5AF4">
        <w:rPr>
          <w:rFonts w:ascii="Arial" w:hAnsi="Arial" w:cs="Arial"/>
          <w:sz w:val="22"/>
          <w:szCs w:val="22"/>
        </w:rPr>
        <w:t>1-3</w:t>
      </w:r>
      <w:r w:rsidR="004D1C95" w:rsidRPr="009F5AF4">
        <w:rPr>
          <w:rFonts w:ascii="Arial" w:hAnsi="Arial" w:cs="Arial"/>
          <w:sz w:val="22"/>
          <w:szCs w:val="22"/>
        </w:rPr>
        <w:t>)</w:t>
      </w:r>
      <w:r w:rsidR="00EF3708" w:rsidRPr="009F5AF4">
        <w:rPr>
          <w:rFonts w:ascii="Arial" w:hAnsi="Arial" w:cs="Arial"/>
          <w:sz w:val="22"/>
          <w:szCs w:val="22"/>
        </w:rPr>
        <w:t>.</w:t>
      </w:r>
    </w:p>
    <w:p w:rsidR="00EF3708" w:rsidRPr="009F5AF4" w:rsidRDefault="00EF3708" w:rsidP="004D1C95">
      <w:pPr>
        <w:widowControl/>
        <w:ind w:left="1440"/>
        <w:rPr>
          <w:rFonts w:ascii="Arial" w:hAnsi="Arial" w:cs="Arial"/>
          <w:sz w:val="22"/>
          <w:szCs w:val="22"/>
        </w:rPr>
      </w:pPr>
    </w:p>
    <w:p w:rsidR="00160015" w:rsidRDefault="004D1C95" w:rsidP="004D1C95">
      <w:pPr>
        <w:widowControl/>
        <w:ind w:left="1440"/>
        <w:rPr>
          <w:rFonts w:ascii="Arial" w:hAnsi="Arial" w:cs="Arial"/>
          <w:sz w:val="22"/>
          <w:szCs w:val="22"/>
        </w:rPr>
      </w:pPr>
      <w:r w:rsidRPr="009F5AF4">
        <w:rPr>
          <w:rFonts w:ascii="Arial" w:hAnsi="Arial" w:cs="Arial"/>
          <w:sz w:val="22"/>
          <w:szCs w:val="22"/>
        </w:rPr>
        <w:t>The estimated number of reports is based upon the average number of reports received pe</w:t>
      </w:r>
      <w:r w:rsidR="00EF3708" w:rsidRPr="009F5AF4">
        <w:rPr>
          <w:rFonts w:ascii="Arial" w:hAnsi="Arial" w:cs="Arial"/>
          <w:sz w:val="22"/>
          <w:szCs w:val="22"/>
        </w:rPr>
        <w:t>r year for the past three years (2010 – 2012)</w:t>
      </w:r>
      <w:r w:rsidR="000B210A">
        <w:rPr>
          <w:rFonts w:ascii="Arial" w:hAnsi="Arial" w:cs="Arial"/>
          <w:sz w:val="22"/>
          <w:szCs w:val="22"/>
        </w:rPr>
        <w:t>.</w:t>
      </w:r>
      <w:r w:rsidRPr="009F5AF4">
        <w:rPr>
          <w:rFonts w:ascii="Arial" w:hAnsi="Arial" w:cs="Arial"/>
          <w:sz w:val="22"/>
          <w:szCs w:val="22"/>
        </w:rPr>
        <w:t xml:space="preserve">  </w:t>
      </w:r>
      <w:r w:rsidR="00160015" w:rsidRPr="009F5AF4">
        <w:rPr>
          <w:rFonts w:ascii="Arial" w:hAnsi="Arial" w:cs="Arial"/>
          <w:sz w:val="22"/>
          <w:szCs w:val="22"/>
        </w:rPr>
        <w:t>During the three-year period from 2010-2012, the NRC received 228 Part 21 reports.  The number of distinct issues was 144.  Therefore the estimated average number of issues reviewed by the NRC is about 48 issues per year (144 issues / 3 years = 48 issues per year).</w:t>
      </w:r>
    </w:p>
    <w:p w:rsidR="00160015" w:rsidRDefault="00160015" w:rsidP="004D1C95">
      <w:pPr>
        <w:widowControl/>
        <w:ind w:left="1440"/>
        <w:rPr>
          <w:rFonts w:ascii="Arial" w:hAnsi="Arial" w:cs="Arial"/>
          <w:sz w:val="22"/>
          <w:szCs w:val="22"/>
        </w:rPr>
      </w:pPr>
    </w:p>
    <w:p w:rsidR="00160015" w:rsidRDefault="00160015" w:rsidP="004D1C95">
      <w:pPr>
        <w:widowControl/>
        <w:ind w:left="1440"/>
        <w:rPr>
          <w:rFonts w:ascii="Arial" w:hAnsi="Arial" w:cs="Arial"/>
          <w:sz w:val="22"/>
          <w:szCs w:val="22"/>
        </w:rPr>
      </w:pPr>
      <w:r>
        <w:rPr>
          <w:rFonts w:ascii="Arial" w:hAnsi="Arial" w:cs="Arial"/>
          <w:sz w:val="22"/>
          <w:szCs w:val="22"/>
        </w:rPr>
        <w:t xml:space="preserve">The number of </w:t>
      </w:r>
      <w:proofErr w:type="spellStart"/>
      <w:r>
        <w:rPr>
          <w:rFonts w:ascii="Arial" w:hAnsi="Arial" w:cs="Arial"/>
          <w:sz w:val="22"/>
          <w:szCs w:val="22"/>
        </w:rPr>
        <w:t>recordkeepers</w:t>
      </w:r>
      <w:proofErr w:type="spellEnd"/>
      <w:r>
        <w:rPr>
          <w:rFonts w:ascii="Arial" w:hAnsi="Arial" w:cs="Arial"/>
          <w:sz w:val="22"/>
          <w:szCs w:val="22"/>
        </w:rPr>
        <w:t xml:space="preserve"> is based on the estimated number of licensees, vendors, and fuel facilities who are keeping records under 10 CFR 21.51.</w:t>
      </w:r>
    </w:p>
    <w:p w:rsidR="00160015" w:rsidRDefault="00160015" w:rsidP="004D1C95">
      <w:pPr>
        <w:widowControl/>
        <w:ind w:left="1440"/>
        <w:rPr>
          <w:rFonts w:ascii="Arial" w:hAnsi="Arial" w:cs="Arial"/>
          <w:sz w:val="22"/>
          <w:szCs w:val="22"/>
        </w:rPr>
      </w:pPr>
    </w:p>
    <w:p w:rsidR="00A879F3" w:rsidRPr="009F5AF4" w:rsidRDefault="00A879F3" w:rsidP="004D1C95">
      <w:pPr>
        <w:widowControl/>
        <w:ind w:left="1440"/>
        <w:rPr>
          <w:rFonts w:ascii="Arial" w:hAnsi="Arial" w:cs="Arial"/>
          <w:sz w:val="22"/>
          <w:szCs w:val="22"/>
        </w:rPr>
      </w:pPr>
      <w:r w:rsidRPr="009F5AF4">
        <w:rPr>
          <w:rFonts w:ascii="Arial" w:hAnsi="Arial" w:cs="Arial"/>
          <w:sz w:val="22"/>
          <w:szCs w:val="22"/>
        </w:rPr>
        <w:t>The estimated cost per burden hour is based upon NRC</w:t>
      </w:r>
      <w:r w:rsidR="004D1C95" w:rsidRPr="009F5AF4">
        <w:rPr>
          <w:rFonts w:ascii="Arial" w:hAnsi="Arial" w:cs="Arial"/>
          <w:sz w:val="22"/>
          <w:szCs w:val="22"/>
        </w:rPr>
        <w:t>’</w:t>
      </w:r>
      <w:r w:rsidRPr="009F5AF4">
        <w:rPr>
          <w:rFonts w:ascii="Arial" w:hAnsi="Arial" w:cs="Arial"/>
          <w:sz w:val="22"/>
          <w:szCs w:val="22"/>
        </w:rPr>
        <w:t>s annual fee recovery rate, as published in NRC</w:t>
      </w:r>
      <w:r w:rsidR="004D1C95" w:rsidRPr="009F5AF4">
        <w:rPr>
          <w:rFonts w:ascii="Arial" w:hAnsi="Arial" w:cs="Arial"/>
          <w:sz w:val="22"/>
          <w:szCs w:val="22"/>
        </w:rPr>
        <w:t>’</w:t>
      </w:r>
      <w:r w:rsidRPr="009F5AF4">
        <w:rPr>
          <w:rFonts w:ascii="Arial" w:hAnsi="Arial" w:cs="Arial"/>
          <w:sz w:val="22"/>
          <w:szCs w:val="22"/>
        </w:rPr>
        <w:t xml:space="preserve">s annual fee recovery rule. </w:t>
      </w:r>
    </w:p>
    <w:p w:rsidR="00A879F3" w:rsidRPr="009F5AF4" w:rsidRDefault="00A879F3" w:rsidP="00012F9A">
      <w:pPr>
        <w:widowControl/>
        <w:rPr>
          <w:rFonts w:ascii="Arial" w:hAnsi="Arial" w:cs="Arial"/>
          <w:sz w:val="22"/>
          <w:szCs w:val="22"/>
        </w:rPr>
      </w:pPr>
    </w:p>
    <w:p w:rsidR="00A879F3" w:rsidRPr="009F5AF4" w:rsidRDefault="00A879F3">
      <w:pPr>
        <w:widowControl/>
        <w:tabs>
          <w:tab w:val="left" w:pos="-1440"/>
        </w:tabs>
        <w:ind w:left="1440" w:hanging="720"/>
        <w:rPr>
          <w:rFonts w:ascii="Arial" w:hAnsi="Arial" w:cs="Arial"/>
          <w:sz w:val="22"/>
          <w:szCs w:val="22"/>
        </w:rPr>
      </w:pPr>
      <w:r w:rsidRPr="009F5AF4">
        <w:rPr>
          <w:rFonts w:ascii="Arial" w:hAnsi="Arial" w:cs="Arial"/>
          <w:sz w:val="22"/>
          <w:szCs w:val="22"/>
        </w:rPr>
        <w:t>13.</w:t>
      </w:r>
      <w:r w:rsidRPr="009F5AF4">
        <w:rPr>
          <w:rFonts w:ascii="Arial" w:hAnsi="Arial" w:cs="Arial"/>
          <w:sz w:val="22"/>
          <w:szCs w:val="22"/>
        </w:rPr>
        <w:tab/>
      </w:r>
      <w:r w:rsidRPr="009F5AF4">
        <w:rPr>
          <w:rFonts w:ascii="Arial" w:hAnsi="Arial" w:cs="Arial"/>
          <w:sz w:val="22"/>
          <w:szCs w:val="22"/>
          <w:u w:val="single"/>
        </w:rPr>
        <w:t>Estimate of Other Additional Costs</w:t>
      </w:r>
    </w:p>
    <w:p w:rsidR="005A4FCF" w:rsidRPr="009F5AF4" w:rsidRDefault="005A4FCF">
      <w:pPr>
        <w:widowControl/>
        <w:ind w:left="1440"/>
        <w:rPr>
          <w:rFonts w:ascii="Arial" w:hAnsi="Arial" w:cs="Arial"/>
          <w:sz w:val="22"/>
          <w:szCs w:val="22"/>
        </w:rPr>
      </w:pPr>
    </w:p>
    <w:p w:rsidR="00A879F3" w:rsidRPr="009F5AF4" w:rsidRDefault="00A879F3">
      <w:pPr>
        <w:widowControl/>
        <w:ind w:left="1440"/>
        <w:rPr>
          <w:rFonts w:ascii="Arial" w:hAnsi="Arial" w:cs="Arial"/>
          <w:sz w:val="22"/>
          <w:szCs w:val="22"/>
        </w:rPr>
      </w:pPr>
      <w:r w:rsidRPr="009F5AF4">
        <w:rPr>
          <w:rFonts w:ascii="Arial" w:hAnsi="Arial" w:cs="Arial"/>
          <w:sz w:val="22"/>
          <w:szCs w:val="22"/>
        </w:rPr>
        <w:t>The quantity of records to be maintained is roughly proportional to the recordkeeping burden.  Based on the number of pages maintained for a typical clearance, the records storage cost has been determined to be .0004 times the recordkeeping burden cost.  Therefore, the storage cost for this clearanc</w:t>
      </w:r>
      <w:r w:rsidR="00EF3708" w:rsidRPr="009F5AF4">
        <w:rPr>
          <w:rFonts w:ascii="Arial" w:hAnsi="Arial" w:cs="Arial"/>
          <w:sz w:val="22"/>
          <w:szCs w:val="22"/>
        </w:rPr>
        <w:t>e is estimated to be $</w:t>
      </w:r>
      <w:r w:rsidR="00C75A05">
        <w:rPr>
          <w:rFonts w:ascii="Arial" w:hAnsi="Arial" w:cs="Arial"/>
          <w:sz w:val="22"/>
          <w:szCs w:val="22"/>
        </w:rPr>
        <w:t>2,741</w:t>
      </w:r>
      <w:r w:rsidR="00DE3451" w:rsidRPr="009F5AF4">
        <w:rPr>
          <w:rFonts w:ascii="Arial" w:hAnsi="Arial" w:cs="Arial"/>
          <w:sz w:val="22"/>
          <w:szCs w:val="22"/>
        </w:rPr>
        <w:t xml:space="preserve"> (</w:t>
      </w:r>
      <w:r w:rsidR="00F673D4">
        <w:rPr>
          <w:rFonts w:ascii="Arial" w:hAnsi="Arial" w:cs="Arial"/>
          <w:sz w:val="22"/>
          <w:szCs w:val="22"/>
        </w:rPr>
        <w:t>25,190</w:t>
      </w:r>
      <w:r w:rsidR="00EF3708" w:rsidRPr="009F5AF4">
        <w:rPr>
          <w:rFonts w:ascii="Arial" w:hAnsi="Arial" w:cs="Arial"/>
          <w:sz w:val="22"/>
          <w:szCs w:val="22"/>
        </w:rPr>
        <w:t xml:space="preserve"> hours x $272</w:t>
      </w:r>
      <w:r w:rsidRPr="009F5AF4">
        <w:rPr>
          <w:rFonts w:ascii="Arial" w:hAnsi="Arial" w:cs="Arial"/>
          <w:sz w:val="22"/>
          <w:szCs w:val="22"/>
        </w:rPr>
        <w:t>/hour x .0004).</w:t>
      </w:r>
    </w:p>
    <w:p w:rsidR="00A879F3" w:rsidRPr="009F5AF4" w:rsidRDefault="00A879F3">
      <w:pPr>
        <w:widowControl/>
        <w:rPr>
          <w:rFonts w:ascii="Arial" w:hAnsi="Arial" w:cs="Arial"/>
          <w:sz w:val="22"/>
          <w:szCs w:val="22"/>
        </w:rPr>
      </w:pPr>
    </w:p>
    <w:p w:rsidR="00A879F3" w:rsidRPr="009F5AF4" w:rsidRDefault="00A879F3">
      <w:pPr>
        <w:widowControl/>
        <w:tabs>
          <w:tab w:val="left" w:pos="-1440"/>
        </w:tabs>
        <w:ind w:left="1440" w:hanging="720"/>
        <w:rPr>
          <w:rFonts w:ascii="Arial" w:hAnsi="Arial" w:cs="Arial"/>
          <w:sz w:val="22"/>
          <w:szCs w:val="22"/>
        </w:rPr>
      </w:pPr>
      <w:r w:rsidRPr="009F5AF4">
        <w:rPr>
          <w:rFonts w:ascii="Arial" w:hAnsi="Arial" w:cs="Arial"/>
          <w:sz w:val="22"/>
          <w:szCs w:val="22"/>
        </w:rPr>
        <w:t>14.</w:t>
      </w:r>
      <w:r w:rsidRPr="009F5AF4">
        <w:rPr>
          <w:rFonts w:ascii="Arial" w:hAnsi="Arial" w:cs="Arial"/>
          <w:sz w:val="22"/>
          <w:szCs w:val="22"/>
        </w:rPr>
        <w:tab/>
      </w:r>
      <w:r w:rsidRPr="009F5AF4">
        <w:rPr>
          <w:rFonts w:ascii="Arial" w:hAnsi="Arial" w:cs="Arial"/>
          <w:sz w:val="22"/>
          <w:szCs w:val="22"/>
          <w:u w:val="single"/>
        </w:rPr>
        <w:t>Estimated Annual Cost to the Federal Government</w:t>
      </w:r>
    </w:p>
    <w:p w:rsidR="00A879F3" w:rsidRPr="009F5AF4" w:rsidRDefault="00A879F3" w:rsidP="00EF3708">
      <w:pPr>
        <w:widowControl/>
        <w:tabs>
          <w:tab w:val="center" w:pos="4680"/>
        </w:tabs>
        <w:rPr>
          <w:rFonts w:ascii="Arial" w:hAnsi="Arial" w:cs="Arial"/>
          <w:sz w:val="22"/>
          <w:szCs w:val="22"/>
        </w:rPr>
      </w:pPr>
    </w:p>
    <w:p w:rsidR="00A879F3" w:rsidRPr="009F5AF4" w:rsidRDefault="0041187D">
      <w:pPr>
        <w:widowControl/>
        <w:ind w:left="1440"/>
        <w:rPr>
          <w:rFonts w:ascii="Arial" w:hAnsi="Arial" w:cs="Arial"/>
          <w:sz w:val="22"/>
          <w:szCs w:val="22"/>
        </w:rPr>
      </w:pPr>
      <w:r>
        <w:rPr>
          <w:rFonts w:ascii="Arial" w:hAnsi="Arial" w:cs="Arial"/>
          <w:sz w:val="22"/>
          <w:szCs w:val="22"/>
        </w:rPr>
        <w:t xml:space="preserve">The </w:t>
      </w:r>
      <w:r w:rsidR="00A879F3" w:rsidRPr="009F5AF4">
        <w:rPr>
          <w:rFonts w:ascii="Arial" w:hAnsi="Arial" w:cs="Arial"/>
          <w:sz w:val="22"/>
          <w:szCs w:val="22"/>
        </w:rPr>
        <w:t>NRC currently reviews reports by issue, not by the type of report (</w:t>
      </w:r>
      <w:r w:rsidR="00F149C1" w:rsidRPr="009F5AF4">
        <w:rPr>
          <w:rFonts w:ascii="Arial" w:hAnsi="Arial" w:cs="Arial"/>
          <w:sz w:val="22"/>
          <w:szCs w:val="22"/>
        </w:rPr>
        <w:t xml:space="preserve">e.g. </w:t>
      </w:r>
      <w:r w:rsidR="00A879F3" w:rsidRPr="009F5AF4">
        <w:rPr>
          <w:rFonts w:ascii="Arial" w:hAnsi="Arial" w:cs="Arial"/>
          <w:sz w:val="22"/>
          <w:szCs w:val="22"/>
        </w:rPr>
        <w:t xml:space="preserve">initial notification, </w:t>
      </w:r>
      <w:r w:rsidR="00080B37" w:rsidRPr="009F5AF4">
        <w:rPr>
          <w:rFonts w:ascii="Arial" w:hAnsi="Arial" w:cs="Arial"/>
          <w:sz w:val="22"/>
          <w:szCs w:val="22"/>
        </w:rPr>
        <w:t xml:space="preserve">interim reports, written </w:t>
      </w:r>
      <w:r w:rsidR="00A879F3" w:rsidRPr="009F5AF4">
        <w:rPr>
          <w:rFonts w:ascii="Arial" w:hAnsi="Arial" w:cs="Arial"/>
          <w:sz w:val="22"/>
          <w:szCs w:val="22"/>
        </w:rPr>
        <w:t>reports within 30 days, or reports if not resolved within 6</w:t>
      </w:r>
      <w:r w:rsidR="00FA6F55" w:rsidRPr="009F5AF4">
        <w:rPr>
          <w:rFonts w:ascii="Arial" w:hAnsi="Arial" w:cs="Arial"/>
          <w:sz w:val="22"/>
          <w:szCs w:val="22"/>
        </w:rPr>
        <w:t>0 days).  During the</w:t>
      </w:r>
      <w:r w:rsidR="00BF2963" w:rsidRPr="009F5AF4">
        <w:rPr>
          <w:rFonts w:ascii="Arial" w:hAnsi="Arial" w:cs="Arial"/>
          <w:sz w:val="22"/>
          <w:szCs w:val="22"/>
        </w:rPr>
        <w:t xml:space="preserve"> three-year</w:t>
      </w:r>
      <w:r w:rsidR="00FA6F55" w:rsidRPr="009F5AF4">
        <w:rPr>
          <w:rFonts w:ascii="Arial" w:hAnsi="Arial" w:cs="Arial"/>
          <w:sz w:val="22"/>
          <w:szCs w:val="22"/>
        </w:rPr>
        <w:t xml:space="preserve"> per</w:t>
      </w:r>
      <w:r w:rsidR="00080B37" w:rsidRPr="009F5AF4">
        <w:rPr>
          <w:rFonts w:ascii="Arial" w:hAnsi="Arial" w:cs="Arial"/>
          <w:sz w:val="22"/>
          <w:szCs w:val="22"/>
        </w:rPr>
        <w:t xml:space="preserve">iod </w:t>
      </w:r>
      <w:r w:rsidR="00BF2963" w:rsidRPr="009F5AF4">
        <w:rPr>
          <w:rFonts w:ascii="Arial" w:hAnsi="Arial" w:cs="Arial"/>
          <w:sz w:val="22"/>
          <w:szCs w:val="22"/>
        </w:rPr>
        <w:t xml:space="preserve">from </w:t>
      </w:r>
      <w:r w:rsidR="003F1EF4" w:rsidRPr="009F5AF4">
        <w:rPr>
          <w:rFonts w:ascii="Arial" w:hAnsi="Arial" w:cs="Arial"/>
          <w:sz w:val="22"/>
          <w:szCs w:val="22"/>
        </w:rPr>
        <w:t>2010</w:t>
      </w:r>
      <w:r w:rsidR="00080B37" w:rsidRPr="009F5AF4">
        <w:rPr>
          <w:rFonts w:ascii="Arial" w:hAnsi="Arial" w:cs="Arial"/>
          <w:sz w:val="22"/>
          <w:szCs w:val="22"/>
        </w:rPr>
        <w:t>-</w:t>
      </w:r>
      <w:r w:rsidR="003F1EF4" w:rsidRPr="009F5AF4">
        <w:rPr>
          <w:rFonts w:ascii="Arial" w:hAnsi="Arial" w:cs="Arial"/>
          <w:sz w:val="22"/>
          <w:szCs w:val="22"/>
        </w:rPr>
        <w:t>2012</w:t>
      </w:r>
      <w:r w:rsidR="00080B37" w:rsidRPr="009F5AF4">
        <w:rPr>
          <w:rFonts w:ascii="Arial" w:hAnsi="Arial" w:cs="Arial"/>
          <w:sz w:val="22"/>
          <w:szCs w:val="22"/>
        </w:rPr>
        <w:t xml:space="preserve">, </w:t>
      </w:r>
      <w:r w:rsidR="00BF2963" w:rsidRPr="009F5AF4">
        <w:rPr>
          <w:rFonts w:ascii="Arial" w:hAnsi="Arial" w:cs="Arial"/>
          <w:sz w:val="22"/>
          <w:szCs w:val="22"/>
        </w:rPr>
        <w:t xml:space="preserve">the </w:t>
      </w:r>
      <w:r w:rsidR="00080B37" w:rsidRPr="009F5AF4">
        <w:rPr>
          <w:rFonts w:ascii="Arial" w:hAnsi="Arial" w:cs="Arial"/>
          <w:sz w:val="22"/>
          <w:szCs w:val="22"/>
        </w:rPr>
        <w:t xml:space="preserve">NRC </w:t>
      </w:r>
      <w:r w:rsidR="00080B37" w:rsidRPr="009F5AF4">
        <w:rPr>
          <w:rFonts w:ascii="Arial" w:hAnsi="Arial" w:cs="Arial"/>
          <w:sz w:val="22"/>
          <w:szCs w:val="22"/>
        </w:rPr>
        <w:lastRenderedPageBreak/>
        <w:t xml:space="preserve">received </w:t>
      </w:r>
      <w:r w:rsidR="003F1EF4" w:rsidRPr="009F5AF4">
        <w:rPr>
          <w:rFonts w:ascii="Arial" w:hAnsi="Arial" w:cs="Arial"/>
          <w:sz w:val="22"/>
          <w:szCs w:val="22"/>
        </w:rPr>
        <w:t xml:space="preserve">228 </w:t>
      </w:r>
      <w:r w:rsidR="00F149C1" w:rsidRPr="009F5AF4">
        <w:rPr>
          <w:rFonts w:ascii="Arial" w:hAnsi="Arial" w:cs="Arial"/>
          <w:sz w:val="22"/>
          <w:szCs w:val="22"/>
        </w:rPr>
        <w:t xml:space="preserve">Part </w:t>
      </w:r>
      <w:r w:rsidR="00A879F3" w:rsidRPr="009F5AF4">
        <w:rPr>
          <w:rFonts w:ascii="Arial" w:hAnsi="Arial" w:cs="Arial"/>
          <w:sz w:val="22"/>
          <w:szCs w:val="22"/>
        </w:rPr>
        <w:t>21 reports.  The number</w:t>
      </w:r>
      <w:r w:rsidR="00080B37" w:rsidRPr="009F5AF4">
        <w:rPr>
          <w:rFonts w:ascii="Arial" w:hAnsi="Arial" w:cs="Arial"/>
          <w:sz w:val="22"/>
          <w:szCs w:val="22"/>
        </w:rPr>
        <w:t xml:space="preserve"> of distinct issues was </w:t>
      </w:r>
      <w:r w:rsidR="003F1EF4" w:rsidRPr="009F5AF4">
        <w:rPr>
          <w:rFonts w:ascii="Arial" w:hAnsi="Arial" w:cs="Arial"/>
          <w:sz w:val="22"/>
          <w:szCs w:val="22"/>
        </w:rPr>
        <w:t>144</w:t>
      </w:r>
      <w:r w:rsidR="007864B5" w:rsidRPr="009F5AF4">
        <w:rPr>
          <w:rFonts w:ascii="Arial" w:hAnsi="Arial" w:cs="Arial"/>
          <w:sz w:val="22"/>
          <w:szCs w:val="22"/>
        </w:rPr>
        <w:t xml:space="preserve">.  Therefore the estimated average number of issues reviewed by the NRC is </w:t>
      </w:r>
      <w:r w:rsidR="00A879F3" w:rsidRPr="009F5AF4">
        <w:rPr>
          <w:rFonts w:ascii="Arial" w:hAnsi="Arial" w:cs="Arial"/>
          <w:sz w:val="22"/>
          <w:szCs w:val="22"/>
        </w:rPr>
        <w:t>about</w:t>
      </w:r>
      <w:r w:rsidR="003C481A" w:rsidRPr="009F5AF4">
        <w:rPr>
          <w:rFonts w:ascii="Arial" w:hAnsi="Arial" w:cs="Arial"/>
          <w:sz w:val="22"/>
          <w:szCs w:val="22"/>
        </w:rPr>
        <w:t xml:space="preserve"> </w:t>
      </w:r>
      <w:r w:rsidR="003F1EF4" w:rsidRPr="009F5AF4">
        <w:rPr>
          <w:rFonts w:ascii="Arial" w:hAnsi="Arial" w:cs="Arial"/>
          <w:sz w:val="22"/>
          <w:szCs w:val="22"/>
        </w:rPr>
        <w:t xml:space="preserve">48 </w:t>
      </w:r>
      <w:r w:rsidR="003C481A" w:rsidRPr="009F5AF4">
        <w:rPr>
          <w:rFonts w:ascii="Arial" w:hAnsi="Arial" w:cs="Arial"/>
          <w:sz w:val="22"/>
          <w:szCs w:val="22"/>
        </w:rPr>
        <w:t>issues per year</w:t>
      </w:r>
      <w:r w:rsidR="00BF2963" w:rsidRPr="009F5AF4">
        <w:rPr>
          <w:rFonts w:ascii="Arial" w:hAnsi="Arial" w:cs="Arial"/>
          <w:sz w:val="22"/>
          <w:szCs w:val="22"/>
        </w:rPr>
        <w:t xml:space="preserve"> (144 issues / 3 years = 48 issues per year)</w:t>
      </w:r>
      <w:r w:rsidR="007864B5" w:rsidRPr="009F5AF4">
        <w:rPr>
          <w:rFonts w:ascii="Arial" w:hAnsi="Arial" w:cs="Arial"/>
          <w:sz w:val="22"/>
          <w:szCs w:val="22"/>
        </w:rPr>
        <w:t>.</w:t>
      </w:r>
      <w:r w:rsidR="00EF3708" w:rsidRPr="009F5AF4">
        <w:rPr>
          <w:rFonts w:ascii="Arial" w:hAnsi="Arial" w:cs="Arial"/>
          <w:sz w:val="22"/>
          <w:szCs w:val="22"/>
        </w:rPr>
        <w:t xml:space="preserve">  At 49 hours per issue, the total cost to the Federal government is $639,744 (48 issues x 49 hours per issues x $272/hr).</w:t>
      </w:r>
    </w:p>
    <w:p w:rsidR="00EF3708" w:rsidRPr="009F5AF4" w:rsidRDefault="00EF3708">
      <w:pPr>
        <w:widowControl/>
        <w:ind w:left="1440"/>
        <w:rPr>
          <w:rFonts w:ascii="Arial" w:hAnsi="Arial" w:cs="Arial"/>
          <w:sz w:val="22"/>
          <w:szCs w:val="22"/>
        </w:rPr>
      </w:pPr>
    </w:p>
    <w:p w:rsidR="00EF3708" w:rsidRPr="009F5AF4" w:rsidRDefault="00EF3708" w:rsidP="00EF3708">
      <w:pPr>
        <w:widowControl/>
        <w:tabs>
          <w:tab w:val="center" w:pos="4680"/>
        </w:tabs>
        <w:jc w:val="center"/>
        <w:rPr>
          <w:rFonts w:ascii="Arial" w:hAnsi="Arial" w:cs="Arial"/>
          <w:sz w:val="22"/>
          <w:szCs w:val="22"/>
          <w:u w:val="single"/>
        </w:rPr>
      </w:pPr>
      <w:r w:rsidRPr="009F5AF4">
        <w:rPr>
          <w:rFonts w:ascii="Arial" w:hAnsi="Arial" w:cs="Arial"/>
          <w:sz w:val="22"/>
          <w:szCs w:val="22"/>
          <w:u w:val="single"/>
        </w:rPr>
        <w:t>NRC Annual Burden Table</w:t>
      </w:r>
    </w:p>
    <w:p w:rsidR="00EF3708" w:rsidRPr="009F5AF4" w:rsidRDefault="00EF3708" w:rsidP="00EF3708">
      <w:pPr>
        <w:widowControl/>
        <w:tabs>
          <w:tab w:val="center" w:pos="4680"/>
        </w:tabs>
        <w:rPr>
          <w:rFonts w:ascii="Arial" w:hAnsi="Arial" w:cs="Arial"/>
          <w:sz w:val="22"/>
          <w:szCs w:val="22"/>
        </w:rPr>
      </w:pPr>
    </w:p>
    <w:tbl>
      <w:tblPr>
        <w:tblW w:w="0" w:type="auto"/>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2"/>
        <w:gridCol w:w="1476"/>
        <w:gridCol w:w="1378"/>
        <w:gridCol w:w="1681"/>
        <w:gridCol w:w="2189"/>
      </w:tblGrid>
      <w:tr w:rsidR="00EF3708" w:rsidRPr="009F5AF4" w:rsidTr="00DB62B0">
        <w:tc>
          <w:tcPr>
            <w:tcW w:w="1412" w:type="dxa"/>
          </w:tcPr>
          <w:p w:rsidR="00EF3708" w:rsidRPr="009F5AF4" w:rsidRDefault="00EF3708" w:rsidP="00DB62B0">
            <w:pPr>
              <w:widowControl/>
              <w:jc w:val="center"/>
              <w:rPr>
                <w:rFonts w:ascii="Arial" w:hAnsi="Arial" w:cs="Arial"/>
                <w:sz w:val="22"/>
                <w:szCs w:val="22"/>
              </w:rPr>
            </w:pPr>
            <w:r w:rsidRPr="009F5AF4">
              <w:rPr>
                <w:rFonts w:ascii="Arial" w:hAnsi="Arial" w:cs="Arial"/>
                <w:sz w:val="22"/>
                <w:szCs w:val="22"/>
                <w:u w:val="single"/>
              </w:rPr>
              <w:t>Activity</w:t>
            </w:r>
          </w:p>
          <w:p w:rsidR="00EF3708" w:rsidRPr="009F5AF4" w:rsidRDefault="00EF3708" w:rsidP="00DB62B0">
            <w:pPr>
              <w:widowControl/>
              <w:tabs>
                <w:tab w:val="left" w:pos="-1440"/>
              </w:tabs>
              <w:jc w:val="center"/>
              <w:rPr>
                <w:rFonts w:ascii="Arial" w:hAnsi="Arial" w:cs="Arial"/>
                <w:sz w:val="22"/>
                <w:szCs w:val="22"/>
              </w:rPr>
            </w:pPr>
          </w:p>
        </w:tc>
        <w:tc>
          <w:tcPr>
            <w:tcW w:w="1476" w:type="dxa"/>
          </w:tcPr>
          <w:p w:rsidR="00EF3708" w:rsidRPr="009F5AF4" w:rsidRDefault="00EF3708" w:rsidP="00EF3708">
            <w:pPr>
              <w:widowControl/>
              <w:tabs>
                <w:tab w:val="left" w:pos="-1440"/>
              </w:tabs>
              <w:jc w:val="center"/>
              <w:rPr>
                <w:rFonts w:ascii="Arial" w:hAnsi="Arial" w:cs="Arial"/>
                <w:sz w:val="22"/>
                <w:szCs w:val="22"/>
                <w:u w:val="single"/>
              </w:rPr>
            </w:pPr>
            <w:r w:rsidRPr="009F5AF4">
              <w:rPr>
                <w:rFonts w:ascii="Arial" w:hAnsi="Arial" w:cs="Arial"/>
                <w:sz w:val="22"/>
                <w:szCs w:val="22"/>
                <w:u w:val="single"/>
              </w:rPr>
              <w:t>Distinct Issues per year</w:t>
            </w:r>
          </w:p>
        </w:tc>
        <w:tc>
          <w:tcPr>
            <w:tcW w:w="1378" w:type="dxa"/>
          </w:tcPr>
          <w:p w:rsidR="00EF3708" w:rsidRPr="009F5AF4" w:rsidRDefault="00EF3708" w:rsidP="00DB62B0">
            <w:pPr>
              <w:widowControl/>
              <w:jc w:val="center"/>
              <w:rPr>
                <w:rFonts w:ascii="Arial" w:hAnsi="Arial" w:cs="Arial"/>
                <w:sz w:val="22"/>
                <w:szCs w:val="22"/>
                <w:u w:val="single"/>
              </w:rPr>
            </w:pPr>
            <w:r w:rsidRPr="009F5AF4">
              <w:rPr>
                <w:rFonts w:ascii="Arial" w:hAnsi="Arial" w:cs="Arial"/>
                <w:sz w:val="22"/>
                <w:szCs w:val="22"/>
                <w:u w:val="single"/>
              </w:rPr>
              <w:t>Effort</w:t>
            </w:r>
          </w:p>
          <w:p w:rsidR="00EF3708" w:rsidRPr="009F5AF4" w:rsidRDefault="00EF3708" w:rsidP="00DB62B0">
            <w:pPr>
              <w:widowControl/>
              <w:jc w:val="center"/>
              <w:rPr>
                <w:rFonts w:ascii="Arial" w:hAnsi="Arial" w:cs="Arial"/>
                <w:sz w:val="22"/>
                <w:szCs w:val="22"/>
              </w:rPr>
            </w:pPr>
            <w:r w:rsidRPr="009F5AF4">
              <w:rPr>
                <w:rFonts w:ascii="Arial" w:hAnsi="Arial" w:cs="Arial"/>
                <w:sz w:val="22"/>
                <w:szCs w:val="22"/>
                <w:u w:val="single"/>
              </w:rPr>
              <w:t>(hour/issue)</w:t>
            </w:r>
          </w:p>
        </w:tc>
        <w:tc>
          <w:tcPr>
            <w:tcW w:w="1681" w:type="dxa"/>
          </w:tcPr>
          <w:p w:rsidR="00EF3708" w:rsidRPr="009F5AF4" w:rsidRDefault="00EF3708" w:rsidP="00DB62B0">
            <w:pPr>
              <w:widowControl/>
              <w:tabs>
                <w:tab w:val="left" w:pos="-1440"/>
              </w:tabs>
              <w:jc w:val="center"/>
              <w:rPr>
                <w:rFonts w:ascii="Arial" w:hAnsi="Arial" w:cs="Arial"/>
                <w:sz w:val="22"/>
                <w:szCs w:val="22"/>
                <w:u w:val="single"/>
              </w:rPr>
            </w:pPr>
            <w:r w:rsidRPr="009F5AF4">
              <w:rPr>
                <w:rFonts w:ascii="Arial" w:hAnsi="Arial" w:cs="Arial"/>
                <w:sz w:val="22"/>
                <w:szCs w:val="22"/>
                <w:u w:val="single"/>
              </w:rPr>
              <w:t>Total Burden</w:t>
            </w:r>
          </w:p>
          <w:p w:rsidR="00EF3708" w:rsidRPr="009F5AF4" w:rsidRDefault="00EF3708" w:rsidP="00DB62B0">
            <w:pPr>
              <w:widowControl/>
              <w:tabs>
                <w:tab w:val="left" w:pos="-1440"/>
              </w:tabs>
              <w:jc w:val="center"/>
              <w:rPr>
                <w:rFonts w:ascii="Arial" w:hAnsi="Arial" w:cs="Arial"/>
                <w:sz w:val="22"/>
                <w:szCs w:val="22"/>
              </w:rPr>
            </w:pPr>
            <w:r w:rsidRPr="009F5AF4">
              <w:rPr>
                <w:rFonts w:ascii="Arial" w:hAnsi="Arial" w:cs="Arial"/>
                <w:sz w:val="22"/>
                <w:szCs w:val="22"/>
                <w:u w:val="single"/>
              </w:rPr>
              <w:t>(hour/year)</w:t>
            </w:r>
          </w:p>
        </w:tc>
        <w:tc>
          <w:tcPr>
            <w:tcW w:w="2189" w:type="dxa"/>
          </w:tcPr>
          <w:p w:rsidR="00EF3708" w:rsidRPr="009F5AF4" w:rsidRDefault="00EF3708" w:rsidP="00DB62B0">
            <w:pPr>
              <w:widowControl/>
              <w:tabs>
                <w:tab w:val="left" w:pos="-1440"/>
              </w:tabs>
              <w:jc w:val="center"/>
              <w:rPr>
                <w:rFonts w:ascii="Arial" w:hAnsi="Arial" w:cs="Arial"/>
                <w:sz w:val="22"/>
                <w:szCs w:val="22"/>
                <w:u w:val="single"/>
              </w:rPr>
            </w:pPr>
            <w:r w:rsidRPr="009F5AF4">
              <w:rPr>
                <w:rFonts w:ascii="Arial" w:hAnsi="Arial" w:cs="Arial"/>
                <w:sz w:val="22"/>
                <w:szCs w:val="22"/>
                <w:u w:val="single"/>
              </w:rPr>
              <w:t>Total Cost</w:t>
            </w:r>
          </w:p>
          <w:p w:rsidR="00EF3708" w:rsidRPr="009F5AF4" w:rsidRDefault="00EF3708" w:rsidP="00DB62B0">
            <w:pPr>
              <w:widowControl/>
              <w:tabs>
                <w:tab w:val="left" w:pos="-1440"/>
              </w:tabs>
              <w:jc w:val="center"/>
              <w:rPr>
                <w:rFonts w:ascii="Arial" w:hAnsi="Arial" w:cs="Arial"/>
                <w:sz w:val="22"/>
                <w:szCs w:val="22"/>
              </w:rPr>
            </w:pPr>
            <w:r w:rsidRPr="009F5AF4">
              <w:rPr>
                <w:rFonts w:ascii="Arial" w:hAnsi="Arial" w:cs="Arial"/>
                <w:sz w:val="22"/>
                <w:szCs w:val="22"/>
                <w:u w:val="single"/>
              </w:rPr>
              <w:t>@$272/hour</w:t>
            </w:r>
          </w:p>
        </w:tc>
      </w:tr>
      <w:tr w:rsidR="00EF3708" w:rsidRPr="009F5AF4" w:rsidTr="00DB62B0">
        <w:tc>
          <w:tcPr>
            <w:tcW w:w="1412" w:type="dxa"/>
          </w:tcPr>
          <w:p w:rsidR="00EF3708" w:rsidRPr="009F5AF4" w:rsidRDefault="00EF3708" w:rsidP="00DB62B0">
            <w:pPr>
              <w:widowControl/>
              <w:tabs>
                <w:tab w:val="left" w:pos="-1440"/>
              </w:tabs>
              <w:jc w:val="center"/>
              <w:rPr>
                <w:rFonts w:ascii="Arial" w:hAnsi="Arial" w:cs="Arial"/>
                <w:sz w:val="22"/>
                <w:szCs w:val="22"/>
              </w:rPr>
            </w:pPr>
            <w:r w:rsidRPr="009F5AF4">
              <w:rPr>
                <w:rFonts w:ascii="Arial" w:hAnsi="Arial" w:cs="Arial"/>
                <w:sz w:val="22"/>
                <w:szCs w:val="22"/>
              </w:rPr>
              <w:t>Review</w:t>
            </w:r>
          </w:p>
          <w:p w:rsidR="00EF3708" w:rsidRPr="009F5AF4" w:rsidRDefault="00EF3708" w:rsidP="00DB62B0">
            <w:pPr>
              <w:widowControl/>
              <w:tabs>
                <w:tab w:val="left" w:pos="-1440"/>
              </w:tabs>
              <w:jc w:val="center"/>
              <w:rPr>
                <w:rFonts w:ascii="Arial" w:hAnsi="Arial" w:cs="Arial"/>
                <w:sz w:val="22"/>
                <w:szCs w:val="22"/>
              </w:rPr>
            </w:pPr>
            <w:r w:rsidRPr="009F5AF4">
              <w:rPr>
                <w:rFonts w:ascii="Arial" w:hAnsi="Arial" w:cs="Arial"/>
                <w:sz w:val="22"/>
                <w:szCs w:val="22"/>
              </w:rPr>
              <w:t>10 CFR 21 issues</w:t>
            </w:r>
          </w:p>
        </w:tc>
        <w:tc>
          <w:tcPr>
            <w:tcW w:w="1476" w:type="dxa"/>
          </w:tcPr>
          <w:p w:rsidR="00EF3708" w:rsidRPr="009F5AF4" w:rsidRDefault="00EF3708" w:rsidP="00DB62B0">
            <w:pPr>
              <w:widowControl/>
              <w:tabs>
                <w:tab w:val="left" w:pos="-1440"/>
              </w:tabs>
              <w:jc w:val="center"/>
              <w:rPr>
                <w:rFonts w:ascii="Arial" w:hAnsi="Arial" w:cs="Arial"/>
                <w:sz w:val="22"/>
                <w:szCs w:val="22"/>
              </w:rPr>
            </w:pPr>
          </w:p>
          <w:p w:rsidR="00EF3708" w:rsidRPr="009F5AF4" w:rsidRDefault="00EF3708" w:rsidP="00DB62B0">
            <w:pPr>
              <w:widowControl/>
              <w:tabs>
                <w:tab w:val="left" w:pos="-1440"/>
              </w:tabs>
              <w:jc w:val="center"/>
              <w:rPr>
                <w:rFonts w:ascii="Arial" w:hAnsi="Arial" w:cs="Arial"/>
                <w:sz w:val="22"/>
                <w:szCs w:val="22"/>
                <w:u w:val="single"/>
              </w:rPr>
            </w:pPr>
            <w:r w:rsidRPr="009F5AF4">
              <w:rPr>
                <w:rFonts w:ascii="Arial" w:hAnsi="Arial" w:cs="Arial"/>
                <w:sz w:val="22"/>
                <w:szCs w:val="22"/>
              </w:rPr>
              <w:t>48</w:t>
            </w:r>
          </w:p>
        </w:tc>
        <w:tc>
          <w:tcPr>
            <w:tcW w:w="1378" w:type="dxa"/>
          </w:tcPr>
          <w:p w:rsidR="00EF3708" w:rsidRPr="009F5AF4" w:rsidRDefault="00EF3708" w:rsidP="00DB62B0">
            <w:pPr>
              <w:widowControl/>
              <w:jc w:val="center"/>
              <w:rPr>
                <w:rFonts w:ascii="Arial" w:hAnsi="Arial" w:cs="Arial"/>
                <w:sz w:val="22"/>
                <w:szCs w:val="22"/>
              </w:rPr>
            </w:pPr>
          </w:p>
          <w:p w:rsidR="00EF3708" w:rsidRPr="009F5AF4" w:rsidRDefault="00EF3708" w:rsidP="00DB62B0">
            <w:pPr>
              <w:widowControl/>
              <w:jc w:val="center"/>
              <w:rPr>
                <w:rFonts w:ascii="Arial" w:hAnsi="Arial" w:cs="Arial"/>
                <w:sz w:val="22"/>
                <w:szCs w:val="22"/>
              </w:rPr>
            </w:pPr>
            <w:r w:rsidRPr="009F5AF4">
              <w:rPr>
                <w:rFonts w:ascii="Arial" w:hAnsi="Arial" w:cs="Arial"/>
                <w:sz w:val="22"/>
                <w:szCs w:val="22"/>
              </w:rPr>
              <w:t>49</w:t>
            </w:r>
          </w:p>
        </w:tc>
        <w:tc>
          <w:tcPr>
            <w:tcW w:w="1681" w:type="dxa"/>
          </w:tcPr>
          <w:p w:rsidR="00EF3708" w:rsidRPr="009F5AF4" w:rsidRDefault="00EF3708" w:rsidP="00DB62B0">
            <w:pPr>
              <w:widowControl/>
              <w:tabs>
                <w:tab w:val="left" w:pos="-1440"/>
              </w:tabs>
              <w:jc w:val="center"/>
              <w:rPr>
                <w:rFonts w:ascii="Arial" w:hAnsi="Arial" w:cs="Arial"/>
                <w:sz w:val="22"/>
                <w:szCs w:val="22"/>
              </w:rPr>
            </w:pPr>
          </w:p>
          <w:p w:rsidR="00EF3708" w:rsidRPr="009F5AF4" w:rsidRDefault="00EF3708" w:rsidP="00DB62B0">
            <w:pPr>
              <w:widowControl/>
              <w:tabs>
                <w:tab w:val="left" w:pos="-1440"/>
              </w:tabs>
              <w:jc w:val="center"/>
              <w:rPr>
                <w:rFonts w:ascii="Arial" w:hAnsi="Arial" w:cs="Arial"/>
                <w:sz w:val="22"/>
                <w:szCs w:val="22"/>
              </w:rPr>
            </w:pPr>
            <w:r w:rsidRPr="009F5AF4">
              <w:rPr>
                <w:rFonts w:ascii="Arial" w:hAnsi="Arial" w:cs="Arial"/>
                <w:sz w:val="22"/>
                <w:szCs w:val="22"/>
              </w:rPr>
              <w:t>2,352</w:t>
            </w:r>
          </w:p>
        </w:tc>
        <w:tc>
          <w:tcPr>
            <w:tcW w:w="2189" w:type="dxa"/>
          </w:tcPr>
          <w:p w:rsidR="00EF3708" w:rsidRPr="009F5AF4" w:rsidRDefault="00EF3708" w:rsidP="00DB62B0">
            <w:pPr>
              <w:widowControl/>
              <w:tabs>
                <w:tab w:val="left" w:pos="-1440"/>
              </w:tabs>
              <w:jc w:val="center"/>
              <w:rPr>
                <w:rFonts w:ascii="Arial" w:hAnsi="Arial" w:cs="Arial"/>
                <w:sz w:val="22"/>
                <w:szCs w:val="22"/>
              </w:rPr>
            </w:pPr>
          </w:p>
          <w:p w:rsidR="00EF3708" w:rsidRPr="009F5AF4" w:rsidRDefault="00EF3708" w:rsidP="00DB62B0">
            <w:pPr>
              <w:widowControl/>
              <w:tabs>
                <w:tab w:val="left" w:pos="-1440"/>
              </w:tabs>
              <w:jc w:val="center"/>
              <w:rPr>
                <w:rFonts w:ascii="Arial" w:hAnsi="Arial" w:cs="Arial"/>
                <w:sz w:val="22"/>
                <w:szCs w:val="22"/>
              </w:rPr>
            </w:pPr>
            <w:r w:rsidRPr="009F5AF4">
              <w:rPr>
                <w:rFonts w:ascii="Arial" w:hAnsi="Arial" w:cs="Arial"/>
                <w:sz w:val="22"/>
                <w:szCs w:val="22"/>
              </w:rPr>
              <w:t>$639,744</w:t>
            </w:r>
          </w:p>
        </w:tc>
      </w:tr>
    </w:tbl>
    <w:p w:rsidR="00EF3708" w:rsidRPr="009F5AF4" w:rsidRDefault="00EF3708" w:rsidP="00EF3708">
      <w:pPr>
        <w:widowControl/>
        <w:rPr>
          <w:rFonts w:ascii="Arial" w:hAnsi="Arial" w:cs="Arial"/>
          <w:sz w:val="22"/>
          <w:szCs w:val="22"/>
        </w:rPr>
      </w:pPr>
    </w:p>
    <w:p w:rsidR="00A879F3" w:rsidRPr="009F5AF4" w:rsidRDefault="00FA6F55">
      <w:pPr>
        <w:widowControl/>
        <w:ind w:left="1440"/>
        <w:rPr>
          <w:rFonts w:ascii="Arial" w:hAnsi="Arial" w:cs="Arial"/>
          <w:sz w:val="22"/>
          <w:szCs w:val="22"/>
        </w:rPr>
      </w:pPr>
      <w:r w:rsidRPr="009F5AF4">
        <w:rPr>
          <w:rFonts w:ascii="Arial" w:hAnsi="Arial" w:cs="Arial"/>
          <w:sz w:val="22"/>
          <w:szCs w:val="22"/>
        </w:rPr>
        <w:t xml:space="preserve">During the period </w:t>
      </w:r>
      <w:r w:rsidR="003F1EF4" w:rsidRPr="009F5AF4">
        <w:rPr>
          <w:rFonts w:ascii="Arial" w:hAnsi="Arial" w:cs="Arial"/>
          <w:sz w:val="22"/>
          <w:szCs w:val="22"/>
        </w:rPr>
        <w:t>2010-2012</w:t>
      </w:r>
      <w:r w:rsidR="00A879F3" w:rsidRPr="009F5AF4">
        <w:rPr>
          <w:rFonts w:ascii="Arial" w:hAnsi="Arial" w:cs="Arial"/>
          <w:sz w:val="22"/>
          <w:szCs w:val="22"/>
        </w:rPr>
        <w:t xml:space="preserve">, </w:t>
      </w:r>
      <w:r w:rsidR="00BF2963" w:rsidRPr="009F5AF4">
        <w:rPr>
          <w:rFonts w:ascii="Arial" w:hAnsi="Arial" w:cs="Arial"/>
          <w:sz w:val="22"/>
          <w:szCs w:val="22"/>
        </w:rPr>
        <w:t>no exemption requests were received.</w:t>
      </w:r>
      <w:r w:rsidR="00A879F3" w:rsidRPr="009F5AF4">
        <w:rPr>
          <w:rFonts w:ascii="Arial" w:hAnsi="Arial" w:cs="Arial"/>
          <w:sz w:val="22"/>
          <w:szCs w:val="22"/>
        </w:rPr>
        <w:t xml:space="preserve">  No applications purs</w:t>
      </w:r>
      <w:r w:rsidR="00B771DB" w:rsidRPr="009F5AF4">
        <w:rPr>
          <w:rFonts w:ascii="Arial" w:hAnsi="Arial" w:cs="Arial"/>
          <w:sz w:val="22"/>
          <w:szCs w:val="22"/>
        </w:rPr>
        <w:t xml:space="preserve">uant to 10 CFR 21.7, </w:t>
      </w:r>
      <w:r w:rsidR="00FC4275" w:rsidRPr="009F5AF4">
        <w:rPr>
          <w:rFonts w:ascii="Arial" w:hAnsi="Arial" w:cs="Arial"/>
          <w:sz w:val="22"/>
          <w:szCs w:val="22"/>
        </w:rPr>
        <w:t>“</w:t>
      </w:r>
      <w:r w:rsidR="00B771DB" w:rsidRPr="009F5AF4">
        <w:rPr>
          <w:rFonts w:ascii="Arial" w:hAnsi="Arial" w:cs="Arial"/>
          <w:sz w:val="22"/>
          <w:szCs w:val="22"/>
        </w:rPr>
        <w:t>Exemptions</w:t>
      </w:r>
      <w:r w:rsidR="00FC4275" w:rsidRPr="009F5AF4">
        <w:rPr>
          <w:rFonts w:ascii="Arial" w:hAnsi="Arial" w:cs="Arial"/>
          <w:sz w:val="22"/>
          <w:szCs w:val="22"/>
        </w:rPr>
        <w:t xml:space="preserve">” are </w:t>
      </w:r>
      <w:r w:rsidR="00A879F3" w:rsidRPr="009F5AF4">
        <w:rPr>
          <w:rFonts w:ascii="Arial" w:hAnsi="Arial" w:cs="Arial"/>
          <w:sz w:val="22"/>
          <w:szCs w:val="22"/>
        </w:rPr>
        <w:t>anticipated</w:t>
      </w:r>
      <w:r w:rsidR="00BF2963" w:rsidRPr="009F5AF4">
        <w:rPr>
          <w:rFonts w:ascii="Arial" w:hAnsi="Arial" w:cs="Arial"/>
          <w:sz w:val="22"/>
          <w:szCs w:val="22"/>
        </w:rPr>
        <w:t xml:space="preserve"> in the upcoming clearance period</w:t>
      </w:r>
      <w:r w:rsidR="00A879F3" w:rsidRPr="009F5AF4">
        <w:rPr>
          <w:rFonts w:ascii="Arial" w:hAnsi="Arial" w:cs="Arial"/>
          <w:sz w:val="22"/>
          <w:szCs w:val="22"/>
        </w:rPr>
        <w:t xml:space="preserve">; </w:t>
      </w:r>
      <w:r w:rsidR="00BF2963" w:rsidRPr="009F5AF4">
        <w:rPr>
          <w:rFonts w:ascii="Arial" w:hAnsi="Arial" w:cs="Arial"/>
          <w:sz w:val="22"/>
          <w:szCs w:val="22"/>
        </w:rPr>
        <w:t>therefore</w:t>
      </w:r>
      <w:r w:rsidR="00A879F3" w:rsidRPr="009F5AF4">
        <w:rPr>
          <w:rFonts w:ascii="Arial" w:hAnsi="Arial" w:cs="Arial"/>
          <w:sz w:val="22"/>
          <w:szCs w:val="22"/>
        </w:rPr>
        <w:t>, no burden is estimated</w:t>
      </w:r>
      <w:r w:rsidR="00BF2963" w:rsidRPr="009F5AF4">
        <w:rPr>
          <w:rFonts w:ascii="Arial" w:hAnsi="Arial" w:cs="Arial"/>
          <w:sz w:val="22"/>
          <w:szCs w:val="22"/>
        </w:rPr>
        <w:t xml:space="preserve"> for this requirement.</w:t>
      </w:r>
    </w:p>
    <w:p w:rsidR="00A879F3" w:rsidRPr="009F5AF4" w:rsidRDefault="00A879F3">
      <w:pPr>
        <w:widowControl/>
        <w:rPr>
          <w:rFonts w:ascii="Arial" w:hAnsi="Arial" w:cs="Arial"/>
          <w:sz w:val="22"/>
          <w:szCs w:val="22"/>
        </w:rPr>
      </w:pPr>
    </w:p>
    <w:p w:rsidR="00A879F3" w:rsidRPr="009F5AF4" w:rsidRDefault="00A879F3">
      <w:pPr>
        <w:widowControl/>
        <w:ind w:left="1440"/>
        <w:rPr>
          <w:rFonts w:ascii="Arial" w:hAnsi="Arial" w:cs="Arial"/>
          <w:sz w:val="22"/>
          <w:szCs w:val="22"/>
        </w:rPr>
      </w:pPr>
      <w:r w:rsidRPr="009F5AF4">
        <w:rPr>
          <w:rFonts w:ascii="Arial" w:hAnsi="Arial" w:cs="Arial"/>
          <w:sz w:val="22"/>
          <w:szCs w:val="22"/>
        </w:rPr>
        <w:t>The estimated cost per burden hour is based upon NRC</w:t>
      </w:r>
      <w:r w:rsidR="00F94FB0" w:rsidRPr="009F5AF4">
        <w:rPr>
          <w:rFonts w:ascii="Arial" w:hAnsi="Arial" w:cs="Arial"/>
          <w:sz w:val="22"/>
          <w:szCs w:val="22"/>
        </w:rPr>
        <w:t>’</w:t>
      </w:r>
      <w:r w:rsidRPr="009F5AF4">
        <w:rPr>
          <w:rFonts w:ascii="Arial" w:hAnsi="Arial" w:cs="Arial"/>
          <w:sz w:val="22"/>
          <w:szCs w:val="22"/>
        </w:rPr>
        <w:t>s annual fee recovery rate, as published in NRC</w:t>
      </w:r>
      <w:r w:rsidR="00F94FB0" w:rsidRPr="009F5AF4">
        <w:rPr>
          <w:rFonts w:ascii="Arial" w:hAnsi="Arial" w:cs="Arial"/>
          <w:sz w:val="22"/>
          <w:szCs w:val="22"/>
        </w:rPr>
        <w:t>’</w:t>
      </w:r>
      <w:r w:rsidRPr="009F5AF4">
        <w:rPr>
          <w:rFonts w:ascii="Arial" w:hAnsi="Arial" w:cs="Arial"/>
          <w:sz w:val="22"/>
          <w:szCs w:val="22"/>
        </w:rPr>
        <w:t>s annual fee recovery rule.  Where applicable, this cost is fully recovered by fee assessments to NRC licensees pursuant to 10 CFR 170. Licensees that are non-profit education institutions or Government agencies are exempt from fee recovery under 10 CFR 170.11.</w:t>
      </w:r>
    </w:p>
    <w:p w:rsidR="00A879F3" w:rsidRPr="009F5AF4" w:rsidRDefault="00A879F3">
      <w:pPr>
        <w:widowControl/>
        <w:rPr>
          <w:rFonts w:ascii="Arial" w:hAnsi="Arial" w:cs="Arial"/>
          <w:sz w:val="22"/>
          <w:szCs w:val="22"/>
        </w:rPr>
      </w:pPr>
    </w:p>
    <w:p w:rsidR="00332EB9" w:rsidRPr="009F5AF4" w:rsidRDefault="00A879F3" w:rsidP="00AE3418">
      <w:pPr>
        <w:widowControl/>
        <w:tabs>
          <w:tab w:val="left" w:pos="-1440"/>
        </w:tabs>
        <w:ind w:left="1440" w:hanging="720"/>
        <w:rPr>
          <w:rFonts w:ascii="Arial" w:hAnsi="Arial" w:cs="Arial"/>
          <w:sz w:val="22"/>
          <w:szCs w:val="22"/>
        </w:rPr>
      </w:pPr>
      <w:r w:rsidRPr="009F5AF4">
        <w:rPr>
          <w:rFonts w:ascii="Arial" w:hAnsi="Arial" w:cs="Arial"/>
          <w:sz w:val="22"/>
          <w:szCs w:val="22"/>
        </w:rPr>
        <w:t>15.</w:t>
      </w:r>
      <w:r w:rsidRPr="009F5AF4">
        <w:rPr>
          <w:rFonts w:ascii="Arial" w:hAnsi="Arial" w:cs="Arial"/>
          <w:sz w:val="22"/>
          <w:szCs w:val="22"/>
        </w:rPr>
        <w:tab/>
      </w:r>
      <w:r w:rsidRPr="009F5AF4">
        <w:rPr>
          <w:rFonts w:ascii="Arial" w:hAnsi="Arial" w:cs="Arial"/>
          <w:sz w:val="22"/>
          <w:szCs w:val="22"/>
          <w:u w:val="single"/>
        </w:rPr>
        <w:t>Reasons for Changes in Burden or Cost</w:t>
      </w:r>
    </w:p>
    <w:p w:rsidR="00332EB9" w:rsidRPr="009F5AF4" w:rsidRDefault="00332EB9">
      <w:pPr>
        <w:widowControl/>
        <w:ind w:left="1440"/>
        <w:rPr>
          <w:rFonts w:ascii="Arial" w:hAnsi="Arial" w:cs="Arial"/>
          <w:sz w:val="22"/>
          <w:szCs w:val="22"/>
        </w:rPr>
      </w:pPr>
    </w:p>
    <w:p w:rsidR="00A879F3" w:rsidRDefault="00A879F3" w:rsidP="00160015">
      <w:pPr>
        <w:widowControl/>
        <w:ind w:left="1440"/>
        <w:rPr>
          <w:rFonts w:ascii="Arial" w:hAnsi="Arial" w:cs="Arial"/>
          <w:sz w:val="22"/>
          <w:szCs w:val="22"/>
        </w:rPr>
      </w:pPr>
      <w:r w:rsidRPr="009F5AF4">
        <w:rPr>
          <w:rFonts w:ascii="Arial" w:hAnsi="Arial" w:cs="Arial"/>
          <w:sz w:val="22"/>
          <w:szCs w:val="22"/>
        </w:rPr>
        <w:t>The estimated burden i</w:t>
      </w:r>
      <w:r w:rsidR="00FB3DBC" w:rsidRPr="009F5AF4">
        <w:rPr>
          <w:rFonts w:ascii="Arial" w:hAnsi="Arial" w:cs="Arial"/>
          <w:sz w:val="22"/>
          <w:szCs w:val="22"/>
        </w:rPr>
        <w:t xml:space="preserve">ncreased by </w:t>
      </w:r>
      <w:r w:rsidR="00160015">
        <w:rPr>
          <w:rFonts w:ascii="Arial" w:hAnsi="Arial" w:cs="Arial"/>
          <w:sz w:val="22"/>
          <w:szCs w:val="22"/>
        </w:rPr>
        <w:t>25,</w:t>
      </w:r>
      <w:r w:rsidR="002E2E3A">
        <w:rPr>
          <w:rFonts w:ascii="Arial" w:hAnsi="Arial" w:cs="Arial"/>
          <w:sz w:val="22"/>
          <w:szCs w:val="22"/>
        </w:rPr>
        <w:t>77</w:t>
      </w:r>
      <w:r w:rsidR="00160015">
        <w:rPr>
          <w:rFonts w:ascii="Arial" w:hAnsi="Arial" w:cs="Arial"/>
          <w:sz w:val="22"/>
          <w:szCs w:val="22"/>
        </w:rPr>
        <w:t>9</w:t>
      </w:r>
      <w:r w:rsidR="00FB3DBC" w:rsidRPr="009F5AF4">
        <w:rPr>
          <w:rFonts w:ascii="Arial" w:hAnsi="Arial" w:cs="Arial"/>
          <w:sz w:val="22"/>
          <w:szCs w:val="22"/>
        </w:rPr>
        <w:t xml:space="preserve"> hours from </w:t>
      </w:r>
      <w:r w:rsidR="007740D2" w:rsidRPr="009F5AF4">
        <w:rPr>
          <w:rFonts w:ascii="Arial" w:hAnsi="Arial" w:cs="Arial"/>
          <w:sz w:val="22"/>
          <w:szCs w:val="22"/>
        </w:rPr>
        <w:t>8,926</w:t>
      </w:r>
      <w:r w:rsidR="00FB3DBC" w:rsidRPr="009F5AF4">
        <w:rPr>
          <w:rFonts w:ascii="Arial" w:hAnsi="Arial" w:cs="Arial"/>
          <w:sz w:val="22"/>
          <w:szCs w:val="22"/>
        </w:rPr>
        <w:t xml:space="preserve"> hours (5,350 hours for reporting and </w:t>
      </w:r>
      <w:r w:rsidR="007740D2" w:rsidRPr="009F5AF4">
        <w:rPr>
          <w:rFonts w:ascii="Arial" w:hAnsi="Arial" w:cs="Arial"/>
          <w:sz w:val="22"/>
          <w:szCs w:val="22"/>
        </w:rPr>
        <w:t>3,576</w:t>
      </w:r>
      <w:r w:rsidR="004D1C95" w:rsidRPr="009F5AF4">
        <w:rPr>
          <w:rFonts w:ascii="Arial" w:hAnsi="Arial" w:cs="Arial"/>
          <w:sz w:val="22"/>
          <w:szCs w:val="22"/>
        </w:rPr>
        <w:t xml:space="preserve"> hours for recordkeeping)</w:t>
      </w:r>
      <w:r w:rsidR="00EF3708" w:rsidRPr="009F5AF4">
        <w:rPr>
          <w:rFonts w:ascii="Arial" w:hAnsi="Arial" w:cs="Arial"/>
          <w:sz w:val="22"/>
          <w:szCs w:val="22"/>
        </w:rPr>
        <w:t xml:space="preserve"> to </w:t>
      </w:r>
      <w:r w:rsidR="002E2E3A">
        <w:rPr>
          <w:rFonts w:ascii="Arial" w:hAnsi="Arial" w:cs="Arial"/>
          <w:sz w:val="22"/>
          <w:szCs w:val="22"/>
        </w:rPr>
        <w:t>34,705</w:t>
      </w:r>
      <w:r w:rsidR="00EF3708" w:rsidRPr="009F5AF4">
        <w:rPr>
          <w:rFonts w:ascii="Arial" w:hAnsi="Arial" w:cs="Arial"/>
          <w:sz w:val="22"/>
          <w:szCs w:val="22"/>
        </w:rPr>
        <w:t xml:space="preserve"> hours (9,420 hours reporting + </w:t>
      </w:r>
      <w:r w:rsidR="002E2E3A">
        <w:rPr>
          <w:rFonts w:ascii="Arial" w:hAnsi="Arial" w:cs="Arial"/>
          <w:sz w:val="22"/>
          <w:szCs w:val="22"/>
        </w:rPr>
        <w:t>25,190</w:t>
      </w:r>
      <w:r w:rsidR="00160015">
        <w:rPr>
          <w:rFonts w:ascii="Arial" w:hAnsi="Arial" w:cs="Arial"/>
          <w:sz w:val="22"/>
          <w:szCs w:val="22"/>
        </w:rPr>
        <w:t xml:space="preserve"> hours</w:t>
      </w:r>
      <w:r w:rsidR="00EF3708" w:rsidRPr="009F5AF4">
        <w:rPr>
          <w:rFonts w:ascii="Arial" w:hAnsi="Arial" w:cs="Arial"/>
          <w:sz w:val="22"/>
          <w:szCs w:val="22"/>
        </w:rPr>
        <w:t xml:space="preserve"> recordkeeping + 95 hours third-party disclosure)</w:t>
      </w:r>
      <w:r w:rsidR="00160015">
        <w:rPr>
          <w:rFonts w:ascii="Arial" w:hAnsi="Arial" w:cs="Arial"/>
          <w:sz w:val="22"/>
          <w:szCs w:val="22"/>
        </w:rPr>
        <w:t xml:space="preserve">.  </w:t>
      </w:r>
      <w:r w:rsidR="004D1C95" w:rsidRPr="009F5AF4">
        <w:rPr>
          <w:rFonts w:ascii="Arial" w:hAnsi="Arial" w:cs="Arial"/>
          <w:sz w:val="22"/>
          <w:szCs w:val="22"/>
        </w:rPr>
        <w:t xml:space="preserve">This increase in the estimate is </w:t>
      </w:r>
      <w:r w:rsidRPr="009F5AF4">
        <w:rPr>
          <w:rFonts w:ascii="Arial" w:hAnsi="Arial" w:cs="Arial"/>
          <w:sz w:val="22"/>
          <w:szCs w:val="22"/>
        </w:rPr>
        <w:t xml:space="preserve">based on </w:t>
      </w:r>
      <w:r w:rsidR="00F673D4">
        <w:rPr>
          <w:rFonts w:ascii="Arial" w:hAnsi="Arial" w:cs="Arial"/>
          <w:sz w:val="22"/>
          <w:szCs w:val="22"/>
        </w:rPr>
        <w:t xml:space="preserve">an increase </w:t>
      </w:r>
      <w:r w:rsidRPr="009F5AF4">
        <w:rPr>
          <w:rFonts w:ascii="Arial" w:hAnsi="Arial" w:cs="Arial"/>
          <w:sz w:val="22"/>
          <w:szCs w:val="22"/>
        </w:rPr>
        <w:t>actual number of reports received d</w:t>
      </w:r>
      <w:r w:rsidR="00FB3DBC" w:rsidRPr="009F5AF4">
        <w:rPr>
          <w:rFonts w:ascii="Arial" w:hAnsi="Arial" w:cs="Arial"/>
          <w:sz w:val="22"/>
          <w:szCs w:val="22"/>
        </w:rPr>
        <w:t>uring the past three years (</w:t>
      </w:r>
      <w:r w:rsidR="00160015">
        <w:rPr>
          <w:rFonts w:ascii="Arial" w:hAnsi="Arial" w:cs="Arial"/>
          <w:sz w:val="22"/>
          <w:szCs w:val="22"/>
        </w:rPr>
        <w:t>2010-2012) and a correction in the calculation of recordkeeping hours.</w:t>
      </w:r>
    </w:p>
    <w:p w:rsidR="002E2E3A" w:rsidRPr="002E2E3A" w:rsidRDefault="002E2E3A">
      <w:pPr>
        <w:widowControl/>
        <w:ind w:left="1440"/>
        <w:rPr>
          <w:rFonts w:ascii="Arial" w:hAnsi="Arial" w:cs="Arial"/>
          <w:bCs/>
          <w:color w:val="000000"/>
          <w:sz w:val="22"/>
          <w:szCs w:val="22"/>
        </w:rPr>
      </w:pPr>
    </w:p>
    <w:tbl>
      <w:tblPr>
        <w:tblW w:w="9880" w:type="dxa"/>
        <w:tblInd w:w="93" w:type="dxa"/>
        <w:tblLook w:val="04A0" w:firstRow="1" w:lastRow="0" w:firstColumn="1" w:lastColumn="0" w:noHBand="0" w:noVBand="1"/>
      </w:tblPr>
      <w:tblGrid>
        <w:gridCol w:w="2920"/>
        <w:gridCol w:w="1720"/>
        <w:gridCol w:w="1806"/>
        <w:gridCol w:w="1720"/>
        <w:gridCol w:w="1714"/>
      </w:tblGrid>
      <w:tr w:rsidR="002E2E3A" w:rsidRPr="002E2E3A" w:rsidTr="002E2E3A">
        <w:trPr>
          <w:trHeight w:val="300"/>
        </w:trPr>
        <w:tc>
          <w:tcPr>
            <w:tcW w:w="98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E3A" w:rsidRPr="002E2E3A" w:rsidRDefault="002E2E3A" w:rsidP="002E2E3A">
            <w:pPr>
              <w:widowControl/>
              <w:autoSpaceDE/>
              <w:autoSpaceDN/>
              <w:adjustRightInd/>
              <w:jc w:val="center"/>
              <w:rPr>
                <w:rFonts w:ascii="Arial" w:hAnsi="Arial" w:cs="Arial"/>
                <w:b/>
                <w:bCs/>
                <w:color w:val="000000"/>
                <w:sz w:val="22"/>
                <w:szCs w:val="22"/>
              </w:rPr>
            </w:pPr>
            <w:r w:rsidRPr="002E2E3A">
              <w:rPr>
                <w:rFonts w:ascii="Arial" w:hAnsi="Arial" w:cs="Arial"/>
                <w:b/>
                <w:bCs/>
                <w:color w:val="000000"/>
                <w:sz w:val="22"/>
                <w:szCs w:val="22"/>
              </w:rPr>
              <w:t>BURDEN HOURS</w:t>
            </w:r>
          </w:p>
        </w:tc>
      </w:tr>
      <w:tr w:rsidR="002E2E3A" w:rsidRPr="002E2E3A" w:rsidTr="002E2E3A">
        <w:trPr>
          <w:trHeight w:val="600"/>
        </w:trPr>
        <w:tc>
          <w:tcPr>
            <w:tcW w:w="2920" w:type="dxa"/>
            <w:tcBorders>
              <w:top w:val="nil"/>
              <w:left w:val="single" w:sz="4" w:space="0" w:color="auto"/>
              <w:bottom w:val="single" w:sz="4" w:space="0" w:color="auto"/>
              <w:right w:val="single" w:sz="4" w:space="0" w:color="auto"/>
            </w:tcBorders>
            <w:shd w:val="clear" w:color="auto" w:fill="auto"/>
            <w:hideMark/>
          </w:tcPr>
          <w:p w:rsidR="002E2E3A" w:rsidRPr="002E2E3A" w:rsidRDefault="002E2E3A" w:rsidP="002E2E3A">
            <w:pPr>
              <w:widowControl/>
              <w:autoSpaceDE/>
              <w:autoSpaceDN/>
              <w:adjustRightInd/>
              <w:rPr>
                <w:rFonts w:ascii="Arial" w:hAnsi="Arial" w:cs="Arial"/>
                <w:b/>
                <w:bCs/>
                <w:color w:val="000000"/>
                <w:sz w:val="22"/>
                <w:szCs w:val="22"/>
              </w:rPr>
            </w:pPr>
            <w:r w:rsidRPr="002E2E3A">
              <w:rPr>
                <w:rFonts w:ascii="Arial" w:hAnsi="Arial" w:cs="Arial"/>
                <w:b/>
                <w:bCs/>
                <w:color w:val="000000"/>
                <w:sz w:val="22"/>
                <w:szCs w:val="22"/>
              </w:rPr>
              <w:t> </w:t>
            </w:r>
          </w:p>
        </w:tc>
        <w:tc>
          <w:tcPr>
            <w:tcW w:w="1720" w:type="dxa"/>
            <w:tcBorders>
              <w:top w:val="nil"/>
              <w:left w:val="nil"/>
              <w:bottom w:val="single" w:sz="4" w:space="0" w:color="auto"/>
              <w:right w:val="single" w:sz="4" w:space="0" w:color="auto"/>
            </w:tcBorders>
            <w:shd w:val="clear" w:color="auto" w:fill="auto"/>
            <w:hideMark/>
          </w:tcPr>
          <w:p w:rsidR="002E2E3A" w:rsidRPr="002E2E3A" w:rsidRDefault="002E2E3A" w:rsidP="002E2E3A">
            <w:pPr>
              <w:widowControl/>
              <w:autoSpaceDE/>
              <w:autoSpaceDN/>
              <w:adjustRightInd/>
              <w:jc w:val="center"/>
              <w:rPr>
                <w:rFonts w:ascii="Arial" w:hAnsi="Arial" w:cs="Arial"/>
                <w:b/>
                <w:bCs/>
                <w:color w:val="000000"/>
                <w:sz w:val="22"/>
                <w:szCs w:val="22"/>
              </w:rPr>
            </w:pPr>
            <w:r w:rsidRPr="002E2E3A">
              <w:rPr>
                <w:rFonts w:ascii="Arial" w:hAnsi="Arial" w:cs="Arial"/>
                <w:b/>
                <w:bCs/>
                <w:color w:val="000000"/>
                <w:sz w:val="22"/>
                <w:szCs w:val="22"/>
              </w:rPr>
              <w:t>Reporting</w:t>
            </w:r>
          </w:p>
        </w:tc>
        <w:tc>
          <w:tcPr>
            <w:tcW w:w="1800" w:type="dxa"/>
            <w:tcBorders>
              <w:top w:val="nil"/>
              <w:left w:val="nil"/>
              <w:bottom w:val="single" w:sz="4" w:space="0" w:color="auto"/>
              <w:right w:val="single" w:sz="4" w:space="0" w:color="auto"/>
            </w:tcBorders>
            <w:shd w:val="clear" w:color="auto" w:fill="auto"/>
            <w:hideMark/>
          </w:tcPr>
          <w:p w:rsidR="002E2E3A" w:rsidRPr="002E2E3A" w:rsidRDefault="002E2E3A" w:rsidP="002E2E3A">
            <w:pPr>
              <w:widowControl/>
              <w:autoSpaceDE/>
              <w:autoSpaceDN/>
              <w:adjustRightInd/>
              <w:jc w:val="center"/>
              <w:rPr>
                <w:rFonts w:ascii="Arial" w:hAnsi="Arial" w:cs="Arial"/>
                <w:b/>
                <w:bCs/>
                <w:color w:val="000000"/>
                <w:sz w:val="22"/>
                <w:szCs w:val="22"/>
              </w:rPr>
            </w:pPr>
            <w:r w:rsidRPr="002E2E3A">
              <w:rPr>
                <w:rFonts w:ascii="Arial" w:hAnsi="Arial" w:cs="Arial"/>
                <w:b/>
                <w:bCs/>
                <w:color w:val="000000"/>
                <w:sz w:val="22"/>
                <w:szCs w:val="22"/>
              </w:rPr>
              <w:t>Recordkeeping</w:t>
            </w:r>
          </w:p>
        </w:tc>
        <w:tc>
          <w:tcPr>
            <w:tcW w:w="1720" w:type="dxa"/>
            <w:tcBorders>
              <w:top w:val="nil"/>
              <w:left w:val="nil"/>
              <w:bottom w:val="single" w:sz="4" w:space="0" w:color="auto"/>
              <w:right w:val="single" w:sz="4" w:space="0" w:color="auto"/>
            </w:tcBorders>
            <w:shd w:val="clear" w:color="auto" w:fill="auto"/>
            <w:hideMark/>
          </w:tcPr>
          <w:p w:rsidR="002E2E3A" w:rsidRPr="002E2E3A" w:rsidRDefault="002E2E3A" w:rsidP="002E2E3A">
            <w:pPr>
              <w:widowControl/>
              <w:autoSpaceDE/>
              <w:autoSpaceDN/>
              <w:adjustRightInd/>
              <w:jc w:val="center"/>
              <w:rPr>
                <w:rFonts w:ascii="Arial" w:hAnsi="Arial" w:cs="Arial"/>
                <w:b/>
                <w:bCs/>
                <w:color w:val="000000"/>
                <w:sz w:val="22"/>
                <w:szCs w:val="22"/>
              </w:rPr>
            </w:pPr>
            <w:r w:rsidRPr="002E2E3A">
              <w:rPr>
                <w:rFonts w:ascii="Arial" w:hAnsi="Arial" w:cs="Arial"/>
                <w:b/>
                <w:bCs/>
                <w:color w:val="000000"/>
                <w:sz w:val="22"/>
                <w:szCs w:val="22"/>
              </w:rPr>
              <w:t>Third Party Disclosure</w:t>
            </w:r>
          </w:p>
        </w:tc>
        <w:tc>
          <w:tcPr>
            <w:tcW w:w="1720" w:type="dxa"/>
            <w:tcBorders>
              <w:top w:val="nil"/>
              <w:left w:val="nil"/>
              <w:bottom w:val="single" w:sz="4" w:space="0" w:color="auto"/>
              <w:right w:val="single" w:sz="4" w:space="0" w:color="auto"/>
            </w:tcBorders>
            <w:shd w:val="clear" w:color="auto" w:fill="auto"/>
            <w:hideMark/>
          </w:tcPr>
          <w:p w:rsidR="002E2E3A" w:rsidRPr="002E2E3A" w:rsidRDefault="002E2E3A" w:rsidP="002E2E3A">
            <w:pPr>
              <w:widowControl/>
              <w:autoSpaceDE/>
              <w:autoSpaceDN/>
              <w:adjustRightInd/>
              <w:jc w:val="center"/>
              <w:rPr>
                <w:rFonts w:ascii="Arial" w:hAnsi="Arial" w:cs="Arial"/>
                <w:b/>
                <w:bCs/>
                <w:color w:val="000000"/>
                <w:sz w:val="22"/>
                <w:szCs w:val="22"/>
              </w:rPr>
            </w:pPr>
            <w:r w:rsidRPr="002E2E3A">
              <w:rPr>
                <w:rFonts w:ascii="Arial" w:hAnsi="Arial" w:cs="Arial"/>
                <w:b/>
                <w:bCs/>
                <w:color w:val="000000"/>
                <w:sz w:val="22"/>
                <w:szCs w:val="22"/>
              </w:rPr>
              <w:t>TOTAL</w:t>
            </w:r>
          </w:p>
        </w:tc>
      </w:tr>
      <w:tr w:rsidR="002E2E3A" w:rsidRPr="002E2E3A" w:rsidTr="002E2E3A">
        <w:trPr>
          <w:trHeight w:val="300"/>
        </w:trPr>
        <w:tc>
          <w:tcPr>
            <w:tcW w:w="2920" w:type="dxa"/>
            <w:tcBorders>
              <w:top w:val="nil"/>
              <w:left w:val="single" w:sz="4" w:space="0" w:color="auto"/>
              <w:bottom w:val="single" w:sz="4" w:space="0" w:color="auto"/>
              <w:right w:val="single" w:sz="4" w:space="0" w:color="auto"/>
            </w:tcBorders>
            <w:shd w:val="clear" w:color="auto" w:fill="auto"/>
            <w:hideMark/>
          </w:tcPr>
          <w:p w:rsidR="002E2E3A" w:rsidRPr="002E2E3A" w:rsidRDefault="002E2E3A" w:rsidP="002E2E3A">
            <w:pPr>
              <w:widowControl/>
              <w:autoSpaceDE/>
              <w:autoSpaceDN/>
              <w:adjustRightInd/>
              <w:rPr>
                <w:rFonts w:ascii="Arial" w:hAnsi="Arial" w:cs="Arial"/>
                <w:b/>
                <w:bCs/>
                <w:color w:val="000000"/>
                <w:sz w:val="22"/>
                <w:szCs w:val="22"/>
              </w:rPr>
            </w:pPr>
            <w:r w:rsidRPr="002E2E3A">
              <w:rPr>
                <w:rFonts w:ascii="Arial" w:hAnsi="Arial" w:cs="Arial"/>
                <w:b/>
                <w:bCs/>
                <w:color w:val="000000"/>
                <w:sz w:val="22"/>
                <w:szCs w:val="22"/>
              </w:rPr>
              <w:t>2010 submission</w:t>
            </w:r>
          </w:p>
        </w:tc>
        <w:tc>
          <w:tcPr>
            <w:tcW w:w="1720" w:type="dxa"/>
            <w:tcBorders>
              <w:top w:val="nil"/>
              <w:left w:val="nil"/>
              <w:bottom w:val="single" w:sz="4" w:space="0" w:color="auto"/>
              <w:right w:val="single" w:sz="4" w:space="0" w:color="auto"/>
            </w:tcBorders>
            <w:shd w:val="clear" w:color="auto" w:fill="auto"/>
            <w:hideMark/>
          </w:tcPr>
          <w:p w:rsidR="002E2E3A" w:rsidRPr="002E2E3A" w:rsidRDefault="002E2E3A" w:rsidP="002E2E3A">
            <w:pPr>
              <w:widowControl/>
              <w:autoSpaceDE/>
              <w:autoSpaceDN/>
              <w:adjustRightInd/>
              <w:jc w:val="right"/>
              <w:rPr>
                <w:rFonts w:ascii="Arial" w:hAnsi="Arial" w:cs="Arial"/>
                <w:color w:val="000000"/>
                <w:sz w:val="22"/>
                <w:szCs w:val="22"/>
              </w:rPr>
            </w:pPr>
            <w:r w:rsidRPr="002E2E3A">
              <w:rPr>
                <w:rFonts w:ascii="Arial" w:hAnsi="Arial" w:cs="Arial"/>
                <w:color w:val="000000"/>
                <w:sz w:val="22"/>
                <w:szCs w:val="22"/>
              </w:rPr>
              <w:t>5,350</w:t>
            </w:r>
          </w:p>
        </w:tc>
        <w:tc>
          <w:tcPr>
            <w:tcW w:w="1800" w:type="dxa"/>
            <w:tcBorders>
              <w:top w:val="nil"/>
              <w:left w:val="nil"/>
              <w:bottom w:val="single" w:sz="4" w:space="0" w:color="auto"/>
              <w:right w:val="single" w:sz="4" w:space="0" w:color="auto"/>
            </w:tcBorders>
            <w:shd w:val="clear" w:color="auto" w:fill="auto"/>
            <w:hideMark/>
          </w:tcPr>
          <w:p w:rsidR="002E2E3A" w:rsidRPr="002E2E3A" w:rsidRDefault="002E2E3A" w:rsidP="002E2E3A">
            <w:pPr>
              <w:widowControl/>
              <w:autoSpaceDE/>
              <w:autoSpaceDN/>
              <w:adjustRightInd/>
              <w:jc w:val="right"/>
              <w:rPr>
                <w:rFonts w:ascii="Arial" w:hAnsi="Arial" w:cs="Arial"/>
                <w:color w:val="000000"/>
                <w:sz w:val="22"/>
                <w:szCs w:val="22"/>
              </w:rPr>
            </w:pPr>
            <w:r w:rsidRPr="002E2E3A">
              <w:rPr>
                <w:rFonts w:ascii="Arial" w:hAnsi="Arial" w:cs="Arial"/>
                <w:color w:val="000000"/>
                <w:sz w:val="22"/>
                <w:szCs w:val="22"/>
              </w:rPr>
              <w:t>3,576</w:t>
            </w:r>
          </w:p>
        </w:tc>
        <w:tc>
          <w:tcPr>
            <w:tcW w:w="1720" w:type="dxa"/>
            <w:tcBorders>
              <w:top w:val="nil"/>
              <w:left w:val="nil"/>
              <w:bottom w:val="single" w:sz="4" w:space="0" w:color="auto"/>
              <w:right w:val="single" w:sz="4" w:space="0" w:color="auto"/>
            </w:tcBorders>
            <w:shd w:val="clear" w:color="auto" w:fill="auto"/>
            <w:hideMark/>
          </w:tcPr>
          <w:p w:rsidR="002E2E3A" w:rsidRPr="002E2E3A" w:rsidRDefault="002E2E3A" w:rsidP="002E2E3A">
            <w:pPr>
              <w:widowControl/>
              <w:autoSpaceDE/>
              <w:autoSpaceDN/>
              <w:adjustRightInd/>
              <w:jc w:val="right"/>
              <w:rPr>
                <w:rFonts w:ascii="Arial" w:hAnsi="Arial" w:cs="Arial"/>
                <w:color w:val="000000"/>
                <w:sz w:val="22"/>
                <w:szCs w:val="22"/>
              </w:rPr>
            </w:pPr>
            <w:r w:rsidRPr="002E2E3A">
              <w:rPr>
                <w:rFonts w:ascii="Arial" w:hAnsi="Arial" w:cs="Arial"/>
                <w:color w:val="000000"/>
                <w:sz w:val="22"/>
                <w:szCs w:val="22"/>
              </w:rPr>
              <w:t>0</w:t>
            </w:r>
          </w:p>
        </w:tc>
        <w:tc>
          <w:tcPr>
            <w:tcW w:w="1720" w:type="dxa"/>
            <w:tcBorders>
              <w:top w:val="nil"/>
              <w:left w:val="nil"/>
              <w:bottom w:val="single" w:sz="4" w:space="0" w:color="auto"/>
              <w:right w:val="single" w:sz="4" w:space="0" w:color="auto"/>
            </w:tcBorders>
            <w:shd w:val="clear" w:color="auto" w:fill="auto"/>
            <w:hideMark/>
          </w:tcPr>
          <w:p w:rsidR="002E2E3A" w:rsidRPr="002E2E3A" w:rsidRDefault="002E2E3A" w:rsidP="002E2E3A">
            <w:pPr>
              <w:widowControl/>
              <w:autoSpaceDE/>
              <w:autoSpaceDN/>
              <w:adjustRightInd/>
              <w:jc w:val="right"/>
              <w:rPr>
                <w:rFonts w:ascii="Arial" w:hAnsi="Arial" w:cs="Arial"/>
                <w:color w:val="000000"/>
                <w:sz w:val="22"/>
                <w:szCs w:val="22"/>
              </w:rPr>
            </w:pPr>
            <w:r w:rsidRPr="002E2E3A">
              <w:rPr>
                <w:rFonts w:ascii="Arial" w:hAnsi="Arial" w:cs="Arial"/>
                <w:color w:val="000000"/>
                <w:sz w:val="22"/>
                <w:szCs w:val="22"/>
              </w:rPr>
              <w:t>8,926</w:t>
            </w:r>
          </w:p>
        </w:tc>
      </w:tr>
      <w:tr w:rsidR="002E2E3A" w:rsidRPr="002E2E3A" w:rsidTr="002E2E3A">
        <w:trPr>
          <w:trHeight w:val="300"/>
        </w:trPr>
        <w:tc>
          <w:tcPr>
            <w:tcW w:w="2920" w:type="dxa"/>
            <w:tcBorders>
              <w:top w:val="nil"/>
              <w:left w:val="single" w:sz="4" w:space="0" w:color="auto"/>
              <w:bottom w:val="single" w:sz="4" w:space="0" w:color="auto"/>
              <w:right w:val="single" w:sz="4" w:space="0" w:color="auto"/>
            </w:tcBorders>
            <w:shd w:val="clear" w:color="auto" w:fill="auto"/>
            <w:hideMark/>
          </w:tcPr>
          <w:p w:rsidR="002E2E3A" w:rsidRPr="002E2E3A" w:rsidRDefault="002E2E3A" w:rsidP="002E2E3A">
            <w:pPr>
              <w:widowControl/>
              <w:autoSpaceDE/>
              <w:autoSpaceDN/>
              <w:adjustRightInd/>
              <w:rPr>
                <w:rFonts w:ascii="Arial" w:hAnsi="Arial" w:cs="Arial"/>
                <w:b/>
                <w:bCs/>
                <w:color w:val="000000"/>
                <w:sz w:val="22"/>
                <w:szCs w:val="22"/>
              </w:rPr>
            </w:pPr>
            <w:r w:rsidRPr="002E2E3A">
              <w:rPr>
                <w:rFonts w:ascii="Arial" w:hAnsi="Arial" w:cs="Arial"/>
                <w:b/>
                <w:bCs/>
                <w:color w:val="000000"/>
                <w:sz w:val="22"/>
                <w:szCs w:val="22"/>
              </w:rPr>
              <w:t>Current submission</w:t>
            </w:r>
          </w:p>
        </w:tc>
        <w:tc>
          <w:tcPr>
            <w:tcW w:w="1720" w:type="dxa"/>
            <w:tcBorders>
              <w:top w:val="nil"/>
              <w:left w:val="nil"/>
              <w:bottom w:val="single" w:sz="4" w:space="0" w:color="auto"/>
              <w:right w:val="single" w:sz="4" w:space="0" w:color="auto"/>
            </w:tcBorders>
            <w:shd w:val="clear" w:color="auto" w:fill="auto"/>
            <w:hideMark/>
          </w:tcPr>
          <w:p w:rsidR="002E2E3A" w:rsidRPr="002E2E3A" w:rsidRDefault="002E2E3A" w:rsidP="002E2E3A">
            <w:pPr>
              <w:widowControl/>
              <w:autoSpaceDE/>
              <w:autoSpaceDN/>
              <w:adjustRightInd/>
              <w:jc w:val="right"/>
              <w:rPr>
                <w:rFonts w:ascii="Arial" w:hAnsi="Arial" w:cs="Arial"/>
                <w:color w:val="000000"/>
                <w:sz w:val="22"/>
                <w:szCs w:val="22"/>
              </w:rPr>
            </w:pPr>
            <w:r w:rsidRPr="002E2E3A">
              <w:rPr>
                <w:rFonts w:ascii="Arial" w:hAnsi="Arial" w:cs="Arial"/>
                <w:color w:val="000000"/>
                <w:sz w:val="22"/>
                <w:szCs w:val="22"/>
              </w:rPr>
              <w:t>9,420</w:t>
            </w:r>
          </w:p>
        </w:tc>
        <w:tc>
          <w:tcPr>
            <w:tcW w:w="1800" w:type="dxa"/>
            <w:tcBorders>
              <w:top w:val="nil"/>
              <w:left w:val="nil"/>
              <w:bottom w:val="single" w:sz="4" w:space="0" w:color="auto"/>
              <w:right w:val="single" w:sz="4" w:space="0" w:color="auto"/>
            </w:tcBorders>
            <w:shd w:val="clear" w:color="auto" w:fill="auto"/>
            <w:hideMark/>
          </w:tcPr>
          <w:p w:rsidR="002E2E3A" w:rsidRPr="002E2E3A" w:rsidRDefault="002E2E3A" w:rsidP="002E2E3A">
            <w:pPr>
              <w:widowControl/>
              <w:autoSpaceDE/>
              <w:autoSpaceDN/>
              <w:adjustRightInd/>
              <w:jc w:val="right"/>
              <w:rPr>
                <w:rFonts w:ascii="Arial" w:hAnsi="Arial" w:cs="Arial"/>
                <w:color w:val="000000"/>
                <w:sz w:val="22"/>
                <w:szCs w:val="22"/>
              </w:rPr>
            </w:pPr>
            <w:r w:rsidRPr="002E2E3A">
              <w:rPr>
                <w:rFonts w:ascii="Arial" w:hAnsi="Arial" w:cs="Arial"/>
                <w:color w:val="000000"/>
                <w:sz w:val="22"/>
                <w:szCs w:val="22"/>
              </w:rPr>
              <w:t xml:space="preserve">25,190 </w:t>
            </w:r>
          </w:p>
        </w:tc>
        <w:tc>
          <w:tcPr>
            <w:tcW w:w="1720" w:type="dxa"/>
            <w:tcBorders>
              <w:top w:val="nil"/>
              <w:left w:val="nil"/>
              <w:bottom w:val="single" w:sz="4" w:space="0" w:color="auto"/>
              <w:right w:val="single" w:sz="4" w:space="0" w:color="auto"/>
            </w:tcBorders>
            <w:shd w:val="clear" w:color="auto" w:fill="auto"/>
            <w:hideMark/>
          </w:tcPr>
          <w:p w:rsidR="002E2E3A" w:rsidRPr="002E2E3A" w:rsidRDefault="002E2E3A" w:rsidP="002E2E3A">
            <w:pPr>
              <w:widowControl/>
              <w:autoSpaceDE/>
              <w:autoSpaceDN/>
              <w:adjustRightInd/>
              <w:jc w:val="right"/>
              <w:rPr>
                <w:rFonts w:ascii="Arial" w:hAnsi="Arial" w:cs="Arial"/>
                <w:color w:val="000000"/>
                <w:sz w:val="22"/>
                <w:szCs w:val="22"/>
              </w:rPr>
            </w:pPr>
            <w:r w:rsidRPr="002E2E3A">
              <w:rPr>
                <w:rFonts w:ascii="Arial" w:hAnsi="Arial" w:cs="Arial"/>
                <w:color w:val="000000"/>
                <w:sz w:val="22"/>
                <w:szCs w:val="22"/>
              </w:rPr>
              <w:t>95</w:t>
            </w:r>
          </w:p>
        </w:tc>
        <w:tc>
          <w:tcPr>
            <w:tcW w:w="1720" w:type="dxa"/>
            <w:tcBorders>
              <w:top w:val="nil"/>
              <w:left w:val="nil"/>
              <w:bottom w:val="single" w:sz="4" w:space="0" w:color="auto"/>
              <w:right w:val="single" w:sz="4" w:space="0" w:color="auto"/>
            </w:tcBorders>
            <w:shd w:val="clear" w:color="auto" w:fill="auto"/>
            <w:hideMark/>
          </w:tcPr>
          <w:p w:rsidR="002E2E3A" w:rsidRPr="002E2E3A" w:rsidRDefault="002E2E3A" w:rsidP="002E2E3A">
            <w:pPr>
              <w:widowControl/>
              <w:autoSpaceDE/>
              <w:autoSpaceDN/>
              <w:adjustRightInd/>
              <w:jc w:val="right"/>
              <w:rPr>
                <w:rFonts w:ascii="Arial" w:hAnsi="Arial" w:cs="Arial"/>
                <w:color w:val="000000"/>
                <w:sz w:val="22"/>
                <w:szCs w:val="22"/>
              </w:rPr>
            </w:pPr>
            <w:r w:rsidRPr="002E2E3A">
              <w:rPr>
                <w:rFonts w:ascii="Arial" w:hAnsi="Arial" w:cs="Arial"/>
                <w:color w:val="000000"/>
                <w:sz w:val="22"/>
                <w:szCs w:val="22"/>
              </w:rPr>
              <w:t>34,705</w:t>
            </w:r>
          </w:p>
        </w:tc>
      </w:tr>
      <w:tr w:rsidR="002E2E3A" w:rsidRPr="002E2E3A" w:rsidTr="002E2E3A">
        <w:trPr>
          <w:trHeight w:val="300"/>
        </w:trPr>
        <w:tc>
          <w:tcPr>
            <w:tcW w:w="2920" w:type="dxa"/>
            <w:tcBorders>
              <w:top w:val="nil"/>
              <w:left w:val="single" w:sz="4" w:space="0" w:color="auto"/>
              <w:bottom w:val="single" w:sz="4" w:space="0" w:color="auto"/>
              <w:right w:val="single" w:sz="4" w:space="0" w:color="auto"/>
            </w:tcBorders>
            <w:shd w:val="clear" w:color="auto" w:fill="auto"/>
            <w:hideMark/>
          </w:tcPr>
          <w:p w:rsidR="002E2E3A" w:rsidRPr="002E2E3A" w:rsidRDefault="002E2E3A" w:rsidP="002E2E3A">
            <w:pPr>
              <w:widowControl/>
              <w:autoSpaceDE/>
              <w:autoSpaceDN/>
              <w:adjustRightInd/>
              <w:rPr>
                <w:rFonts w:ascii="Arial" w:hAnsi="Arial" w:cs="Arial"/>
                <w:b/>
                <w:bCs/>
                <w:color w:val="000000"/>
                <w:sz w:val="22"/>
                <w:szCs w:val="22"/>
              </w:rPr>
            </w:pPr>
            <w:r w:rsidRPr="002E2E3A">
              <w:rPr>
                <w:rFonts w:ascii="Arial" w:hAnsi="Arial" w:cs="Arial"/>
                <w:b/>
                <w:bCs/>
                <w:color w:val="000000"/>
                <w:sz w:val="22"/>
                <w:szCs w:val="22"/>
              </w:rPr>
              <w:t>Burden Change</w:t>
            </w:r>
          </w:p>
        </w:tc>
        <w:tc>
          <w:tcPr>
            <w:tcW w:w="1720" w:type="dxa"/>
            <w:tcBorders>
              <w:top w:val="nil"/>
              <w:left w:val="nil"/>
              <w:bottom w:val="single" w:sz="4" w:space="0" w:color="auto"/>
              <w:right w:val="single" w:sz="4" w:space="0" w:color="auto"/>
            </w:tcBorders>
            <w:shd w:val="clear" w:color="auto" w:fill="auto"/>
            <w:hideMark/>
          </w:tcPr>
          <w:p w:rsidR="002E2E3A" w:rsidRPr="002E2E3A" w:rsidRDefault="002E2E3A" w:rsidP="002E2E3A">
            <w:pPr>
              <w:widowControl/>
              <w:autoSpaceDE/>
              <w:autoSpaceDN/>
              <w:adjustRightInd/>
              <w:jc w:val="right"/>
              <w:rPr>
                <w:rFonts w:ascii="Arial" w:hAnsi="Arial" w:cs="Arial"/>
                <w:color w:val="000000"/>
                <w:sz w:val="22"/>
                <w:szCs w:val="22"/>
              </w:rPr>
            </w:pPr>
            <w:r w:rsidRPr="002E2E3A">
              <w:rPr>
                <w:rFonts w:ascii="Arial" w:hAnsi="Arial" w:cs="Arial"/>
                <w:color w:val="000000"/>
                <w:sz w:val="22"/>
                <w:szCs w:val="22"/>
              </w:rPr>
              <w:t>4,070</w:t>
            </w:r>
          </w:p>
        </w:tc>
        <w:tc>
          <w:tcPr>
            <w:tcW w:w="1800" w:type="dxa"/>
            <w:tcBorders>
              <w:top w:val="nil"/>
              <w:left w:val="nil"/>
              <w:bottom w:val="single" w:sz="4" w:space="0" w:color="auto"/>
              <w:right w:val="single" w:sz="4" w:space="0" w:color="auto"/>
            </w:tcBorders>
            <w:shd w:val="clear" w:color="auto" w:fill="auto"/>
            <w:hideMark/>
          </w:tcPr>
          <w:p w:rsidR="002E2E3A" w:rsidRPr="002E2E3A" w:rsidRDefault="002E2E3A" w:rsidP="002E2E3A">
            <w:pPr>
              <w:widowControl/>
              <w:autoSpaceDE/>
              <w:autoSpaceDN/>
              <w:adjustRightInd/>
              <w:jc w:val="right"/>
              <w:rPr>
                <w:rFonts w:ascii="Arial" w:hAnsi="Arial" w:cs="Arial"/>
                <w:color w:val="000000"/>
                <w:sz w:val="22"/>
                <w:szCs w:val="22"/>
              </w:rPr>
            </w:pPr>
            <w:r w:rsidRPr="002E2E3A">
              <w:rPr>
                <w:rFonts w:ascii="Arial" w:hAnsi="Arial" w:cs="Arial"/>
                <w:color w:val="000000"/>
                <w:sz w:val="22"/>
                <w:szCs w:val="22"/>
              </w:rPr>
              <w:t>21,614</w:t>
            </w:r>
          </w:p>
        </w:tc>
        <w:tc>
          <w:tcPr>
            <w:tcW w:w="1720" w:type="dxa"/>
            <w:tcBorders>
              <w:top w:val="nil"/>
              <w:left w:val="nil"/>
              <w:bottom w:val="single" w:sz="4" w:space="0" w:color="auto"/>
              <w:right w:val="single" w:sz="4" w:space="0" w:color="auto"/>
            </w:tcBorders>
            <w:shd w:val="clear" w:color="auto" w:fill="auto"/>
            <w:hideMark/>
          </w:tcPr>
          <w:p w:rsidR="002E2E3A" w:rsidRPr="002E2E3A" w:rsidRDefault="002E2E3A" w:rsidP="002E2E3A">
            <w:pPr>
              <w:widowControl/>
              <w:autoSpaceDE/>
              <w:autoSpaceDN/>
              <w:adjustRightInd/>
              <w:jc w:val="right"/>
              <w:rPr>
                <w:rFonts w:ascii="Arial" w:hAnsi="Arial" w:cs="Arial"/>
                <w:color w:val="000000"/>
                <w:sz w:val="22"/>
                <w:szCs w:val="22"/>
              </w:rPr>
            </w:pPr>
            <w:r w:rsidRPr="002E2E3A">
              <w:rPr>
                <w:rFonts w:ascii="Arial" w:hAnsi="Arial" w:cs="Arial"/>
                <w:color w:val="000000"/>
                <w:sz w:val="22"/>
                <w:szCs w:val="22"/>
              </w:rPr>
              <w:t>95</w:t>
            </w:r>
          </w:p>
        </w:tc>
        <w:tc>
          <w:tcPr>
            <w:tcW w:w="1720" w:type="dxa"/>
            <w:tcBorders>
              <w:top w:val="nil"/>
              <w:left w:val="nil"/>
              <w:bottom w:val="single" w:sz="4" w:space="0" w:color="auto"/>
              <w:right w:val="single" w:sz="4" w:space="0" w:color="auto"/>
            </w:tcBorders>
            <w:shd w:val="clear" w:color="auto" w:fill="auto"/>
            <w:hideMark/>
          </w:tcPr>
          <w:p w:rsidR="002E2E3A" w:rsidRPr="002E2E3A" w:rsidRDefault="002E2E3A" w:rsidP="002E2E3A">
            <w:pPr>
              <w:widowControl/>
              <w:autoSpaceDE/>
              <w:autoSpaceDN/>
              <w:adjustRightInd/>
              <w:jc w:val="right"/>
              <w:rPr>
                <w:rFonts w:ascii="Arial" w:hAnsi="Arial" w:cs="Arial"/>
                <w:color w:val="000000"/>
                <w:sz w:val="22"/>
                <w:szCs w:val="22"/>
              </w:rPr>
            </w:pPr>
            <w:r w:rsidRPr="002E2E3A">
              <w:rPr>
                <w:rFonts w:ascii="Arial" w:hAnsi="Arial" w:cs="Arial"/>
                <w:color w:val="000000"/>
                <w:sz w:val="22"/>
                <w:szCs w:val="22"/>
              </w:rPr>
              <w:t>25,779</w:t>
            </w:r>
          </w:p>
        </w:tc>
      </w:tr>
    </w:tbl>
    <w:p w:rsidR="002E2E3A" w:rsidRPr="002E2E3A" w:rsidRDefault="002E2E3A">
      <w:pPr>
        <w:widowControl/>
        <w:ind w:left="1440"/>
        <w:rPr>
          <w:rFonts w:ascii="Arial" w:hAnsi="Arial" w:cs="Arial"/>
          <w:i/>
          <w:sz w:val="22"/>
          <w:szCs w:val="22"/>
          <w:u w:val="single"/>
        </w:rPr>
      </w:pPr>
    </w:p>
    <w:p w:rsidR="002E2E3A" w:rsidRPr="009F5AF4" w:rsidRDefault="00160015" w:rsidP="002E2E3A">
      <w:pPr>
        <w:widowControl/>
        <w:ind w:left="1440"/>
        <w:rPr>
          <w:rFonts w:ascii="Arial" w:hAnsi="Arial" w:cs="Arial"/>
          <w:sz w:val="22"/>
          <w:szCs w:val="22"/>
        </w:rPr>
      </w:pPr>
      <w:proofErr w:type="gramStart"/>
      <w:r w:rsidRPr="00160015">
        <w:rPr>
          <w:rFonts w:ascii="Arial" w:hAnsi="Arial" w:cs="Arial"/>
          <w:i/>
          <w:sz w:val="22"/>
          <w:szCs w:val="22"/>
          <w:u w:val="single"/>
        </w:rPr>
        <w:t>Reporting</w:t>
      </w:r>
      <w:r>
        <w:rPr>
          <w:rFonts w:ascii="Arial" w:hAnsi="Arial" w:cs="Arial"/>
          <w:sz w:val="22"/>
          <w:szCs w:val="22"/>
        </w:rPr>
        <w:t>.</w:t>
      </w:r>
      <w:proofErr w:type="gramEnd"/>
      <w:r>
        <w:rPr>
          <w:rFonts w:ascii="Arial" w:hAnsi="Arial" w:cs="Arial"/>
          <w:sz w:val="22"/>
          <w:szCs w:val="22"/>
        </w:rPr>
        <w:t xml:space="preserve">  The estimated reporting burden increased from 5,350 hours to 9,420 hours, an increase of </w:t>
      </w:r>
      <w:r w:rsidR="0065212E">
        <w:rPr>
          <w:rFonts w:ascii="Arial" w:hAnsi="Arial" w:cs="Arial"/>
          <w:sz w:val="22"/>
          <w:szCs w:val="22"/>
        </w:rPr>
        <w:t xml:space="preserve">4,070 hours.  Reporting estimates are based on actual data from 2010-2012.  </w:t>
      </w:r>
      <w:r w:rsidR="002E2E3A" w:rsidRPr="009F5AF4">
        <w:rPr>
          <w:rFonts w:ascii="Arial" w:hAnsi="Arial" w:cs="Arial"/>
          <w:sz w:val="22"/>
          <w:szCs w:val="22"/>
        </w:rPr>
        <w:t xml:space="preserve">The increase in burden is due to an increase in the number of interim reports (from 2 to 28) and 30-day reports (from 35 to 48).  These estimates are based on actual data from the past three years.  </w:t>
      </w:r>
    </w:p>
    <w:p w:rsidR="002E2E3A" w:rsidRDefault="002E2E3A" w:rsidP="002E2E3A">
      <w:pPr>
        <w:widowControl/>
        <w:ind w:left="1440"/>
        <w:rPr>
          <w:rFonts w:ascii="Arial" w:hAnsi="Arial" w:cs="Arial"/>
          <w:sz w:val="22"/>
          <w:szCs w:val="22"/>
        </w:rPr>
      </w:pPr>
    </w:p>
    <w:p w:rsidR="002E2E3A" w:rsidRDefault="002E2E3A" w:rsidP="002E2E3A">
      <w:pPr>
        <w:widowControl/>
        <w:ind w:left="1440"/>
        <w:rPr>
          <w:rFonts w:ascii="Arial" w:hAnsi="Arial" w:cs="Arial"/>
          <w:sz w:val="22"/>
          <w:szCs w:val="22"/>
        </w:rPr>
      </w:pPr>
      <w:proofErr w:type="gramStart"/>
      <w:r w:rsidRPr="0065212E">
        <w:rPr>
          <w:rFonts w:ascii="Arial" w:hAnsi="Arial" w:cs="Arial"/>
          <w:i/>
          <w:sz w:val="22"/>
          <w:szCs w:val="22"/>
          <w:u w:val="single"/>
        </w:rPr>
        <w:lastRenderedPageBreak/>
        <w:t>Recordkeeping</w:t>
      </w:r>
      <w:r>
        <w:rPr>
          <w:rFonts w:ascii="Arial" w:hAnsi="Arial" w:cs="Arial"/>
          <w:sz w:val="22"/>
          <w:szCs w:val="22"/>
        </w:rPr>
        <w:t>.</w:t>
      </w:r>
      <w:proofErr w:type="gramEnd"/>
      <w:r>
        <w:rPr>
          <w:rFonts w:ascii="Arial" w:hAnsi="Arial" w:cs="Arial"/>
          <w:sz w:val="22"/>
          <w:szCs w:val="22"/>
        </w:rPr>
        <w:t xml:space="preserve">  For this submission, the NRC staff reviewed the recordkeeping requirements in Part 21 and corrected and updated the number of </w:t>
      </w:r>
      <w:proofErr w:type="spellStart"/>
      <w:r>
        <w:rPr>
          <w:rFonts w:ascii="Arial" w:hAnsi="Arial" w:cs="Arial"/>
          <w:sz w:val="22"/>
          <w:szCs w:val="22"/>
        </w:rPr>
        <w:t>recordkeepers</w:t>
      </w:r>
      <w:proofErr w:type="spellEnd"/>
      <w:r>
        <w:rPr>
          <w:rFonts w:ascii="Arial" w:hAnsi="Arial" w:cs="Arial"/>
          <w:sz w:val="22"/>
          <w:szCs w:val="22"/>
        </w:rPr>
        <w:t xml:space="preserve"> and burden estimates as follows:</w:t>
      </w:r>
    </w:p>
    <w:p w:rsidR="002E2E3A" w:rsidRDefault="002E2E3A">
      <w:pPr>
        <w:widowControl/>
        <w:ind w:left="1440"/>
        <w:rPr>
          <w:rFonts w:ascii="Arial" w:hAnsi="Arial" w:cs="Arial"/>
          <w:sz w:val="22"/>
          <w:szCs w:val="22"/>
        </w:rPr>
      </w:pPr>
    </w:p>
    <w:p w:rsidR="0065212E" w:rsidRDefault="0065212E" w:rsidP="0065212E">
      <w:pPr>
        <w:pStyle w:val="ListParagraph"/>
        <w:widowControl/>
        <w:numPr>
          <w:ilvl w:val="0"/>
          <w:numId w:val="6"/>
        </w:numPr>
        <w:rPr>
          <w:rFonts w:ascii="Arial" w:hAnsi="Arial" w:cs="Arial"/>
          <w:sz w:val="22"/>
          <w:szCs w:val="22"/>
        </w:rPr>
      </w:pPr>
      <w:r>
        <w:rPr>
          <w:rFonts w:ascii="Arial" w:hAnsi="Arial" w:cs="Arial"/>
          <w:sz w:val="22"/>
          <w:szCs w:val="22"/>
        </w:rPr>
        <w:t xml:space="preserve">On the recordkeeping table, the requirement in 21.51(a)(1) </w:t>
      </w:r>
      <w:r w:rsidR="00F40059">
        <w:rPr>
          <w:rFonts w:ascii="Arial" w:hAnsi="Arial" w:cs="Arial"/>
          <w:sz w:val="22"/>
          <w:szCs w:val="22"/>
        </w:rPr>
        <w:t xml:space="preserve">for licensees, vendors, and fuel facilities </w:t>
      </w:r>
      <w:r w:rsidR="002E2E3A">
        <w:rPr>
          <w:rFonts w:ascii="Arial" w:hAnsi="Arial" w:cs="Arial"/>
          <w:sz w:val="22"/>
          <w:szCs w:val="22"/>
        </w:rPr>
        <w:t>to retain evaluations for</w:t>
      </w:r>
      <w:r>
        <w:rPr>
          <w:rFonts w:ascii="Arial" w:hAnsi="Arial" w:cs="Arial"/>
          <w:sz w:val="22"/>
          <w:szCs w:val="22"/>
        </w:rPr>
        <w:t xml:space="preserve"> 5 years was combined with the requirement in 21.51(a)(2) to retain notifications for 5 years, because the staff determined that these requirements related to the documentation for a single issue and constituted a single record.</w:t>
      </w:r>
    </w:p>
    <w:p w:rsidR="002E2E3A" w:rsidRDefault="002E2E3A" w:rsidP="002E2E3A">
      <w:pPr>
        <w:pStyle w:val="ListParagraph"/>
        <w:widowControl/>
        <w:ind w:left="2160"/>
        <w:rPr>
          <w:rFonts w:ascii="Arial" w:hAnsi="Arial" w:cs="Arial"/>
          <w:sz w:val="22"/>
          <w:szCs w:val="22"/>
        </w:rPr>
      </w:pPr>
    </w:p>
    <w:p w:rsidR="0065212E" w:rsidRDefault="00895BE6" w:rsidP="0065212E">
      <w:pPr>
        <w:pStyle w:val="ListParagraph"/>
        <w:widowControl/>
        <w:numPr>
          <w:ilvl w:val="0"/>
          <w:numId w:val="6"/>
        </w:numPr>
        <w:rPr>
          <w:rFonts w:ascii="Arial" w:hAnsi="Arial" w:cs="Arial"/>
          <w:sz w:val="22"/>
          <w:szCs w:val="22"/>
        </w:rPr>
      </w:pPr>
      <w:r>
        <w:rPr>
          <w:rFonts w:ascii="Arial" w:hAnsi="Arial" w:cs="Arial"/>
          <w:sz w:val="22"/>
          <w:szCs w:val="22"/>
        </w:rPr>
        <w:t>The</w:t>
      </w:r>
      <w:r w:rsidR="002E2E3A">
        <w:rPr>
          <w:rFonts w:ascii="Arial" w:hAnsi="Arial" w:cs="Arial"/>
          <w:sz w:val="22"/>
          <w:szCs w:val="22"/>
        </w:rPr>
        <w:t xml:space="preserve"> number of respondents for</w:t>
      </w:r>
      <w:r w:rsidR="0065212E" w:rsidRPr="0065212E">
        <w:rPr>
          <w:rFonts w:ascii="Arial" w:hAnsi="Arial" w:cs="Arial"/>
          <w:sz w:val="22"/>
          <w:szCs w:val="22"/>
        </w:rPr>
        <w:t xml:space="preserve"> 21.51(a</w:t>
      </w:r>
      <w:proofErr w:type="gramStart"/>
      <w:r w:rsidR="0065212E" w:rsidRPr="0065212E">
        <w:rPr>
          <w:rFonts w:ascii="Arial" w:hAnsi="Arial" w:cs="Arial"/>
          <w:sz w:val="22"/>
          <w:szCs w:val="22"/>
        </w:rPr>
        <w:t>)(</w:t>
      </w:r>
      <w:proofErr w:type="gramEnd"/>
      <w:r w:rsidR="0065212E" w:rsidRPr="0065212E">
        <w:rPr>
          <w:rFonts w:ascii="Arial" w:hAnsi="Arial" w:cs="Arial"/>
          <w:sz w:val="22"/>
          <w:szCs w:val="22"/>
        </w:rPr>
        <w:t xml:space="preserve">3) was corrected.  </w:t>
      </w:r>
      <w:r w:rsidR="0041187D">
        <w:rPr>
          <w:rFonts w:ascii="Arial" w:hAnsi="Arial" w:cs="Arial"/>
          <w:sz w:val="22"/>
          <w:szCs w:val="22"/>
        </w:rPr>
        <w:t>Section 21.51(a</w:t>
      </w:r>
      <w:proofErr w:type="gramStart"/>
      <w:r w:rsidR="0041187D">
        <w:rPr>
          <w:rFonts w:ascii="Arial" w:hAnsi="Arial" w:cs="Arial"/>
          <w:sz w:val="22"/>
          <w:szCs w:val="22"/>
        </w:rPr>
        <w:t>)(</w:t>
      </w:r>
      <w:proofErr w:type="gramEnd"/>
      <w:r w:rsidR="0041187D">
        <w:rPr>
          <w:rFonts w:ascii="Arial" w:hAnsi="Arial" w:cs="Arial"/>
          <w:sz w:val="22"/>
          <w:szCs w:val="22"/>
        </w:rPr>
        <w:t xml:space="preserve">3) of </w:t>
      </w:r>
      <w:r w:rsidR="0065212E" w:rsidRPr="0065212E">
        <w:rPr>
          <w:rFonts w:ascii="Arial" w:hAnsi="Arial" w:cs="Arial"/>
          <w:sz w:val="22"/>
          <w:szCs w:val="22"/>
        </w:rPr>
        <w:t xml:space="preserve">10 CFR requires that </w:t>
      </w:r>
      <w:r w:rsidR="0065212E">
        <w:rPr>
          <w:rFonts w:ascii="Arial" w:hAnsi="Arial" w:cs="Arial"/>
          <w:sz w:val="22"/>
          <w:szCs w:val="22"/>
        </w:rPr>
        <w:t>s</w:t>
      </w:r>
      <w:r w:rsidR="0065212E" w:rsidRPr="0065212E">
        <w:rPr>
          <w:rFonts w:ascii="Arial" w:hAnsi="Arial" w:cs="Arial"/>
          <w:sz w:val="22"/>
          <w:szCs w:val="22"/>
        </w:rPr>
        <w:t>uppliers of basic components retain a record of the purchasers of basic components for 10 years after delivery.</w:t>
      </w:r>
      <w:r w:rsidR="0065212E">
        <w:rPr>
          <w:rFonts w:ascii="Arial" w:hAnsi="Arial" w:cs="Arial"/>
          <w:sz w:val="22"/>
          <w:szCs w:val="22"/>
        </w:rPr>
        <w:t xml:space="preserve">  The NRC staff estimates that there are 350 suppliers of basic components who must retain records of purchasers.  In the previous submission, the estimated number of </w:t>
      </w:r>
      <w:proofErr w:type="spellStart"/>
      <w:r w:rsidR="0065212E">
        <w:rPr>
          <w:rFonts w:ascii="Arial" w:hAnsi="Arial" w:cs="Arial"/>
          <w:sz w:val="22"/>
          <w:szCs w:val="22"/>
        </w:rPr>
        <w:t>recordkeepers</w:t>
      </w:r>
      <w:proofErr w:type="spellEnd"/>
      <w:r>
        <w:rPr>
          <w:rFonts w:ascii="Arial" w:hAnsi="Arial" w:cs="Arial"/>
          <w:sz w:val="22"/>
          <w:szCs w:val="22"/>
        </w:rPr>
        <w:t xml:space="preserve"> reflected the number of</w:t>
      </w:r>
      <w:r w:rsidR="0065212E">
        <w:rPr>
          <w:rFonts w:ascii="Arial" w:hAnsi="Arial" w:cs="Arial"/>
          <w:sz w:val="22"/>
          <w:szCs w:val="22"/>
        </w:rPr>
        <w:t xml:space="preserve"> suppliers who had a reportable condition</w:t>
      </w:r>
      <w:r>
        <w:rPr>
          <w:rFonts w:ascii="Arial" w:hAnsi="Arial" w:cs="Arial"/>
          <w:sz w:val="22"/>
          <w:szCs w:val="22"/>
        </w:rPr>
        <w:t>, rather than all suppliers of basic components who were keeping records of purchasers</w:t>
      </w:r>
      <w:r w:rsidR="0065212E">
        <w:rPr>
          <w:rFonts w:ascii="Arial" w:hAnsi="Arial" w:cs="Arial"/>
          <w:sz w:val="22"/>
          <w:szCs w:val="22"/>
        </w:rPr>
        <w:t>.  The NRC staff has correc</w:t>
      </w:r>
      <w:r>
        <w:rPr>
          <w:rFonts w:ascii="Arial" w:hAnsi="Arial" w:cs="Arial"/>
          <w:sz w:val="22"/>
          <w:szCs w:val="22"/>
        </w:rPr>
        <w:t xml:space="preserve">ted the number of </w:t>
      </w:r>
      <w:proofErr w:type="spellStart"/>
      <w:r>
        <w:rPr>
          <w:rFonts w:ascii="Arial" w:hAnsi="Arial" w:cs="Arial"/>
          <w:sz w:val="22"/>
          <w:szCs w:val="22"/>
        </w:rPr>
        <w:t>recordkeepers</w:t>
      </w:r>
      <w:proofErr w:type="spellEnd"/>
      <w:r>
        <w:rPr>
          <w:rFonts w:ascii="Arial" w:hAnsi="Arial" w:cs="Arial"/>
          <w:sz w:val="22"/>
          <w:szCs w:val="22"/>
        </w:rPr>
        <w:t xml:space="preserve"> from 48 to 350 </w:t>
      </w:r>
      <w:proofErr w:type="spellStart"/>
      <w:r>
        <w:rPr>
          <w:rFonts w:ascii="Arial" w:hAnsi="Arial" w:cs="Arial"/>
          <w:sz w:val="22"/>
          <w:szCs w:val="22"/>
        </w:rPr>
        <w:t>recordkeepers</w:t>
      </w:r>
      <w:proofErr w:type="spellEnd"/>
      <w:r>
        <w:rPr>
          <w:rFonts w:ascii="Arial" w:hAnsi="Arial" w:cs="Arial"/>
          <w:sz w:val="22"/>
          <w:szCs w:val="22"/>
        </w:rPr>
        <w:t>, resulting in an increase of 21,753.5 hours for this requirement.</w:t>
      </w:r>
    </w:p>
    <w:p w:rsidR="002E2E3A" w:rsidRPr="002E2E3A" w:rsidRDefault="002E2E3A" w:rsidP="002E2E3A">
      <w:pPr>
        <w:pStyle w:val="ListParagraph"/>
        <w:rPr>
          <w:rFonts w:ascii="Arial" w:hAnsi="Arial" w:cs="Arial"/>
          <w:sz w:val="22"/>
          <w:szCs w:val="22"/>
        </w:rPr>
      </w:pPr>
    </w:p>
    <w:p w:rsidR="00895BE6" w:rsidRPr="0065212E" w:rsidRDefault="00895BE6" w:rsidP="0065212E">
      <w:pPr>
        <w:pStyle w:val="ListParagraph"/>
        <w:widowControl/>
        <w:numPr>
          <w:ilvl w:val="0"/>
          <w:numId w:val="6"/>
        </w:numPr>
        <w:rPr>
          <w:rFonts w:ascii="Arial" w:hAnsi="Arial" w:cs="Arial"/>
          <w:sz w:val="22"/>
          <w:szCs w:val="22"/>
        </w:rPr>
      </w:pPr>
      <w:r>
        <w:rPr>
          <w:rFonts w:ascii="Arial" w:hAnsi="Arial" w:cs="Arial"/>
          <w:sz w:val="22"/>
          <w:szCs w:val="22"/>
        </w:rPr>
        <w:t xml:space="preserve">On the recordkeeping table, </w:t>
      </w:r>
      <w:r w:rsidR="00F40059">
        <w:rPr>
          <w:rFonts w:ascii="Arial" w:hAnsi="Arial" w:cs="Arial"/>
          <w:sz w:val="22"/>
          <w:szCs w:val="22"/>
        </w:rPr>
        <w:t>requirements for applicants and holders of design certifications to retain notifications for 5 years and purchase records for 15 years were combined.  T</w:t>
      </w:r>
      <w:r>
        <w:rPr>
          <w:rFonts w:ascii="Arial" w:hAnsi="Arial" w:cs="Arial"/>
          <w:sz w:val="22"/>
          <w:szCs w:val="22"/>
        </w:rPr>
        <w:t>he requirement</w:t>
      </w:r>
      <w:r w:rsidR="00F40059">
        <w:rPr>
          <w:rFonts w:ascii="Arial" w:hAnsi="Arial" w:cs="Arial"/>
          <w:sz w:val="22"/>
          <w:szCs w:val="22"/>
        </w:rPr>
        <w:t>s</w:t>
      </w:r>
      <w:r>
        <w:rPr>
          <w:rFonts w:ascii="Arial" w:hAnsi="Arial" w:cs="Arial"/>
          <w:sz w:val="22"/>
          <w:szCs w:val="22"/>
        </w:rPr>
        <w:t xml:space="preserve"> </w:t>
      </w:r>
      <w:r w:rsidR="00F40059">
        <w:rPr>
          <w:rFonts w:ascii="Arial" w:hAnsi="Arial" w:cs="Arial"/>
          <w:sz w:val="22"/>
          <w:szCs w:val="22"/>
        </w:rPr>
        <w:t>in 21.51(a</w:t>
      </w:r>
      <w:proofErr w:type="gramStart"/>
      <w:r w:rsidR="00F40059">
        <w:rPr>
          <w:rFonts w:ascii="Arial" w:hAnsi="Arial" w:cs="Arial"/>
          <w:sz w:val="22"/>
          <w:szCs w:val="22"/>
        </w:rPr>
        <w:t>)(</w:t>
      </w:r>
      <w:proofErr w:type="gramEnd"/>
      <w:r w:rsidR="00F40059">
        <w:rPr>
          <w:rFonts w:ascii="Arial" w:hAnsi="Arial" w:cs="Arial"/>
          <w:sz w:val="22"/>
          <w:szCs w:val="22"/>
        </w:rPr>
        <w:t xml:space="preserve">4) </w:t>
      </w:r>
      <w:r>
        <w:rPr>
          <w:rFonts w:ascii="Arial" w:hAnsi="Arial" w:cs="Arial"/>
          <w:sz w:val="22"/>
          <w:szCs w:val="22"/>
        </w:rPr>
        <w:t xml:space="preserve">for </w:t>
      </w:r>
      <w:r w:rsidR="00F40059">
        <w:rPr>
          <w:rFonts w:ascii="Arial" w:hAnsi="Arial" w:cs="Arial"/>
          <w:sz w:val="22"/>
          <w:szCs w:val="22"/>
        </w:rPr>
        <w:t>a</w:t>
      </w:r>
      <w:r w:rsidR="00F40059" w:rsidRPr="00F40059">
        <w:rPr>
          <w:rFonts w:ascii="Arial" w:hAnsi="Arial" w:cs="Arial"/>
          <w:sz w:val="22"/>
          <w:szCs w:val="22"/>
        </w:rPr>
        <w:t xml:space="preserve">pplicants for standard design certification under subpart B of part 52 </w:t>
      </w:r>
      <w:r w:rsidR="00F40059">
        <w:rPr>
          <w:rFonts w:ascii="Arial" w:hAnsi="Arial" w:cs="Arial"/>
          <w:sz w:val="22"/>
          <w:szCs w:val="22"/>
        </w:rPr>
        <w:t>to retain notifications for 5 years and purchase records for 15 years was combined with the requirement in 21.51(a)(5) for a</w:t>
      </w:r>
      <w:r w:rsidR="00F40059" w:rsidRPr="00F40059">
        <w:rPr>
          <w:rFonts w:ascii="Arial" w:hAnsi="Arial" w:cs="Arial"/>
          <w:sz w:val="22"/>
          <w:szCs w:val="22"/>
        </w:rPr>
        <w:t>pplicants for or holders of a standard design approval</w:t>
      </w:r>
      <w:r w:rsidR="002E2E3A">
        <w:rPr>
          <w:rFonts w:ascii="Arial" w:hAnsi="Arial" w:cs="Arial"/>
          <w:sz w:val="22"/>
          <w:szCs w:val="22"/>
        </w:rPr>
        <w:t xml:space="preserve"> to retain notifications for 5 years and purchase records for 15 years.</w:t>
      </w:r>
      <w:r w:rsidR="00F673D4">
        <w:rPr>
          <w:rFonts w:ascii="Arial" w:hAnsi="Arial" w:cs="Arial"/>
          <w:sz w:val="22"/>
          <w:szCs w:val="22"/>
        </w:rPr>
        <w:t xml:space="preserve">  The number of </w:t>
      </w:r>
      <w:proofErr w:type="spellStart"/>
      <w:r w:rsidR="00F673D4">
        <w:rPr>
          <w:rFonts w:ascii="Arial" w:hAnsi="Arial" w:cs="Arial"/>
          <w:sz w:val="22"/>
          <w:szCs w:val="22"/>
        </w:rPr>
        <w:t>recordkeepers</w:t>
      </w:r>
      <w:proofErr w:type="spellEnd"/>
      <w:r w:rsidR="00F673D4">
        <w:rPr>
          <w:rFonts w:ascii="Arial" w:hAnsi="Arial" w:cs="Arial"/>
          <w:sz w:val="22"/>
          <w:szCs w:val="22"/>
        </w:rPr>
        <w:t xml:space="preserve"> for these requirements decreased from 11 to 10 based on the actual number of known applicants and holders of design certifications.</w:t>
      </w:r>
    </w:p>
    <w:p w:rsidR="00160015" w:rsidRDefault="00160015">
      <w:pPr>
        <w:widowControl/>
        <w:ind w:left="1440"/>
        <w:rPr>
          <w:rFonts w:ascii="Arial" w:hAnsi="Arial" w:cs="Arial"/>
          <w:sz w:val="22"/>
          <w:szCs w:val="22"/>
        </w:rPr>
      </w:pPr>
    </w:p>
    <w:p w:rsidR="004445D0" w:rsidRDefault="002E2E3A">
      <w:pPr>
        <w:widowControl/>
        <w:ind w:left="1440"/>
        <w:rPr>
          <w:rFonts w:ascii="Arial" w:hAnsi="Arial" w:cs="Arial"/>
          <w:sz w:val="22"/>
          <w:szCs w:val="22"/>
        </w:rPr>
      </w:pPr>
      <w:r>
        <w:rPr>
          <w:rFonts w:ascii="Arial" w:hAnsi="Arial" w:cs="Arial"/>
          <w:sz w:val="22"/>
          <w:szCs w:val="22"/>
        </w:rPr>
        <w:t xml:space="preserve">The number of responses for the collection increased from 122 responses (74 reporting responses + 48 </w:t>
      </w:r>
      <w:proofErr w:type="spellStart"/>
      <w:r>
        <w:rPr>
          <w:rFonts w:ascii="Arial" w:hAnsi="Arial" w:cs="Arial"/>
          <w:sz w:val="22"/>
          <w:szCs w:val="22"/>
        </w:rPr>
        <w:t>recordkeepers</w:t>
      </w:r>
      <w:proofErr w:type="spellEnd"/>
      <w:r>
        <w:rPr>
          <w:rFonts w:ascii="Arial" w:hAnsi="Arial" w:cs="Arial"/>
          <w:sz w:val="22"/>
          <w:szCs w:val="22"/>
        </w:rPr>
        <w:t xml:space="preserve">) to 447 responses (96 reporting responses + 350 </w:t>
      </w:r>
      <w:proofErr w:type="spellStart"/>
      <w:r>
        <w:rPr>
          <w:rFonts w:ascii="Arial" w:hAnsi="Arial" w:cs="Arial"/>
          <w:sz w:val="22"/>
          <w:szCs w:val="22"/>
        </w:rPr>
        <w:t>recordkeepers</w:t>
      </w:r>
      <w:proofErr w:type="spellEnd"/>
      <w:r>
        <w:rPr>
          <w:rFonts w:ascii="Arial" w:hAnsi="Arial" w:cs="Arial"/>
          <w:sz w:val="22"/>
          <w:szCs w:val="22"/>
        </w:rPr>
        <w:t xml:space="preserve"> + 1 third party disclosure response).  The increase is primarily due to the correction in the number of </w:t>
      </w:r>
      <w:proofErr w:type="spellStart"/>
      <w:r>
        <w:rPr>
          <w:rFonts w:ascii="Arial" w:hAnsi="Arial" w:cs="Arial"/>
          <w:sz w:val="22"/>
          <w:szCs w:val="22"/>
        </w:rPr>
        <w:t>recordkeepers</w:t>
      </w:r>
      <w:proofErr w:type="spellEnd"/>
      <w:r>
        <w:rPr>
          <w:rFonts w:ascii="Arial" w:hAnsi="Arial" w:cs="Arial"/>
          <w:sz w:val="22"/>
          <w:szCs w:val="22"/>
        </w:rPr>
        <w:t xml:space="preserve"> for the collection, from 48 to 350 to include all entities subject to Part 21 who are selling basic components and keeping records of their purchasers.</w:t>
      </w:r>
    </w:p>
    <w:p w:rsidR="004445D0" w:rsidRDefault="004445D0">
      <w:pPr>
        <w:widowControl/>
        <w:autoSpaceDE/>
        <w:autoSpaceDN/>
        <w:adjustRightInd/>
        <w:rPr>
          <w:rFonts w:ascii="Arial" w:hAnsi="Arial" w:cs="Arial"/>
          <w:sz w:val="22"/>
          <w:szCs w:val="22"/>
        </w:rPr>
      </w:pPr>
      <w:r>
        <w:rPr>
          <w:rFonts w:ascii="Arial" w:hAnsi="Arial" w:cs="Arial"/>
          <w:sz w:val="22"/>
          <w:szCs w:val="22"/>
        </w:rPr>
        <w:br w:type="page"/>
      </w:r>
    </w:p>
    <w:p w:rsidR="002E2E3A" w:rsidRDefault="002E2E3A">
      <w:pPr>
        <w:widowControl/>
        <w:ind w:left="1440"/>
        <w:rPr>
          <w:rFonts w:ascii="Arial" w:hAnsi="Arial" w:cs="Arial"/>
          <w:sz w:val="22"/>
          <w:szCs w:val="22"/>
        </w:rPr>
      </w:pPr>
    </w:p>
    <w:p w:rsidR="002E2E3A" w:rsidRPr="00160015" w:rsidRDefault="002E2E3A">
      <w:pPr>
        <w:widowControl/>
        <w:ind w:left="1440"/>
        <w:rPr>
          <w:rFonts w:ascii="Arial" w:hAnsi="Arial" w:cs="Arial"/>
          <w:sz w:val="22"/>
          <w:szCs w:val="22"/>
        </w:rPr>
      </w:pPr>
    </w:p>
    <w:tbl>
      <w:tblPr>
        <w:tblW w:w="9325" w:type="dxa"/>
        <w:tblInd w:w="648" w:type="dxa"/>
        <w:tblLook w:val="04A0" w:firstRow="1" w:lastRow="0" w:firstColumn="1" w:lastColumn="0" w:noHBand="0" w:noVBand="1"/>
      </w:tblPr>
      <w:tblGrid>
        <w:gridCol w:w="2365"/>
        <w:gridCol w:w="1720"/>
        <w:gridCol w:w="1806"/>
        <w:gridCol w:w="1720"/>
        <w:gridCol w:w="1714"/>
      </w:tblGrid>
      <w:tr w:rsidR="00160015" w:rsidRPr="00160015" w:rsidTr="00160015">
        <w:trPr>
          <w:trHeight w:val="300"/>
        </w:trPr>
        <w:tc>
          <w:tcPr>
            <w:tcW w:w="932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0015" w:rsidRPr="00160015" w:rsidRDefault="00160015" w:rsidP="00160015">
            <w:pPr>
              <w:widowControl/>
              <w:autoSpaceDE/>
              <w:autoSpaceDN/>
              <w:adjustRightInd/>
              <w:jc w:val="center"/>
              <w:rPr>
                <w:rFonts w:ascii="Arial" w:hAnsi="Arial" w:cs="Arial"/>
                <w:b/>
                <w:bCs/>
                <w:color w:val="000000"/>
                <w:sz w:val="22"/>
                <w:szCs w:val="22"/>
              </w:rPr>
            </w:pPr>
            <w:r w:rsidRPr="00160015">
              <w:rPr>
                <w:rFonts w:ascii="Arial" w:hAnsi="Arial" w:cs="Arial"/>
                <w:b/>
                <w:bCs/>
                <w:color w:val="000000"/>
                <w:sz w:val="22"/>
                <w:szCs w:val="22"/>
              </w:rPr>
              <w:t>RESPONSES</w:t>
            </w:r>
          </w:p>
        </w:tc>
      </w:tr>
      <w:tr w:rsidR="00160015" w:rsidRPr="00160015" w:rsidTr="00160015">
        <w:trPr>
          <w:trHeight w:val="600"/>
        </w:trPr>
        <w:tc>
          <w:tcPr>
            <w:tcW w:w="2365" w:type="dxa"/>
            <w:tcBorders>
              <w:top w:val="nil"/>
              <w:left w:val="single" w:sz="4" w:space="0" w:color="auto"/>
              <w:bottom w:val="single" w:sz="4" w:space="0" w:color="auto"/>
              <w:right w:val="single" w:sz="4" w:space="0" w:color="auto"/>
            </w:tcBorders>
            <w:shd w:val="clear" w:color="auto" w:fill="auto"/>
            <w:hideMark/>
          </w:tcPr>
          <w:p w:rsidR="00160015" w:rsidRPr="00160015" w:rsidRDefault="00160015" w:rsidP="00160015">
            <w:pPr>
              <w:widowControl/>
              <w:autoSpaceDE/>
              <w:autoSpaceDN/>
              <w:adjustRightInd/>
              <w:rPr>
                <w:rFonts w:ascii="Arial" w:hAnsi="Arial" w:cs="Arial"/>
                <w:bCs/>
                <w:color w:val="000000"/>
                <w:sz w:val="22"/>
                <w:szCs w:val="22"/>
              </w:rPr>
            </w:pPr>
            <w:r w:rsidRPr="00160015">
              <w:rPr>
                <w:rFonts w:ascii="Arial" w:hAnsi="Arial" w:cs="Arial"/>
                <w:bCs/>
                <w:color w:val="000000"/>
                <w:sz w:val="22"/>
                <w:szCs w:val="22"/>
              </w:rPr>
              <w:t> </w:t>
            </w:r>
          </w:p>
        </w:tc>
        <w:tc>
          <w:tcPr>
            <w:tcW w:w="1720" w:type="dxa"/>
            <w:tcBorders>
              <w:top w:val="nil"/>
              <w:left w:val="nil"/>
              <w:bottom w:val="single" w:sz="4" w:space="0" w:color="auto"/>
              <w:right w:val="single" w:sz="4" w:space="0" w:color="auto"/>
            </w:tcBorders>
            <w:shd w:val="clear" w:color="auto" w:fill="auto"/>
            <w:hideMark/>
          </w:tcPr>
          <w:p w:rsidR="00160015" w:rsidRPr="00160015" w:rsidRDefault="00160015" w:rsidP="00160015">
            <w:pPr>
              <w:widowControl/>
              <w:autoSpaceDE/>
              <w:autoSpaceDN/>
              <w:adjustRightInd/>
              <w:jc w:val="center"/>
              <w:rPr>
                <w:rFonts w:ascii="Arial" w:hAnsi="Arial" w:cs="Arial"/>
                <w:bCs/>
                <w:color w:val="000000"/>
                <w:sz w:val="22"/>
                <w:szCs w:val="22"/>
              </w:rPr>
            </w:pPr>
            <w:r w:rsidRPr="00160015">
              <w:rPr>
                <w:rFonts w:ascii="Arial" w:hAnsi="Arial" w:cs="Arial"/>
                <w:bCs/>
                <w:color w:val="000000"/>
                <w:sz w:val="22"/>
                <w:szCs w:val="22"/>
              </w:rPr>
              <w:t>Reporting</w:t>
            </w:r>
          </w:p>
        </w:tc>
        <w:tc>
          <w:tcPr>
            <w:tcW w:w="1806" w:type="dxa"/>
            <w:tcBorders>
              <w:top w:val="nil"/>
              <w:left w:val="nil"/>
              <w:bottom w:val="single" w:sz="4" w:space="0" w:color="auto"/>
              <w:right w:val="single" w:sz="4" w:space="0" w:color="auto"/>
            </w:tcBorders>
            <w:shd w:val="clear" w:color="auto" w:fill="auto"/>
            <w:hideMark/>
          </w:tcPr>
          <w:p w:rsidR="00160015" w:rsidRPr="00160015" w:rsidRDefault="00160015" w:rsidP="00160015">
            <w:pPr>
              <w:widowControl/>
              <w:autoSpaceDE/>
              <w:autoSpaceDN/>
              <w:adjustRightInd/>
              <w:jc w:val="center"/>
              <w:rPr>
                <w:rFonts w:ascii="Arial" w:hAnsi="Arial" w:cs="Arial"/>
                <w:bCs/>
                <w:color w:val="000000"/>
                <w:sz w:val="22"/>
                <w:szCs w:val="22"/>
              </w:rPr>
            </w:pPr>
            <w:proofErr w:type="spellStart"/>
            <w:r w:rsidRPr="00160015">
              <w:rPr>
                <w:rFonts w:ascii="Arial" w:hAnsi="Arial" w:cs="Arial"/>
                <w:bCs/>
                <w:color w:val="000000"/>
                <w:sz w:val="22"/>
                <w:szCs w:val="22"/>
              </w:rPr>
              <w:t>Recordkeepers</w:t>
            </w:r>
            <w:proofErr w:type="spellEnd"/>
          </w:p>
        </w:tc>
        <w:tc>
          <w:tcPr>
            <w:tcW w:w="1720" w:type="dxa"/>
            <w:tcBorders>
              <w:top w:val="nil"/>
              <w:left w:val="nil"/>
              <w:bottom w:val="single" w:sz="4" w:space="0" w:color="auto"/>
              <w:right w:val="single" w:sz="4" w:space="0" w:color="auto"/>
            </w:tcBorders>
            <w:shd w:val="clear" w:color="auto" w:fill="auto"/>
            <w:hideMark/>
          </w:tcPr>
          <w:p w:rsidR="00160015" w:rsidRPr="00160015" w:rsidRDefault="00160015" w:rsidP="00160015">
            <w:pPr>
              <w:widowControl/>
              <w:autoSpaceDE/>
              <w:autoSpaceDN/>
              <w:adjustRightInd/>
              <w:jc w:val="center"/>
              <w:rPr>
                <w:rFonts w:ascii="Arial" w:hAnsi="Arial" w:cs="Arial"/>
                <w:bCs/>
                <w:color w:val="000000"/>
                <w:sz w:val="22"/>
                <w:szCs w:val="22"/>
              </w:rPr>
            </w:pPr>
            <w:r w:rsidRPr="00160015">
              <w:rPr>
                <w:rFonts w:ascii="Arial" w:hAnsi="Arial" w:cs="Arial"/>
                <w:bCs/>
                <w:color w:val="000000"/>
                <w:sz w:val="22"/>
                <w:szCs w:val="22"/>
              </w:rPr>
              <w:t>Third Party Disclosure</w:t>
            </w:r>
          </w:p>
        </w:tc>
        <w:tc>
          <w:tcPr>
            <w:tcW w:w="1714" w:type="dxa"/>
            <w:tcBorders>
              <w:top w:val="nil"/>
              <w:left w:val="nil"/>
              <w:bottom w:val="single" w:sz="4" w:space="0" w:color="auto"/>
              <w:right w:val="single" w:sz="4" w:space="0" w:color="auto"/>
            </w:tcBorders>
            <w:shd w:val="clear" w:color="auto" w:fill="auto"/>
            <w:hideMark/>
          </w:tcPr>
          <w:p w:rsidR="00160015" w:rsidRPr="00160015" w:rsidRDefault="00160015" w:rsidP="00160015">
            <w:pPr>
              <w:widowControl/>
              <w:autoSpaceDE/>
              <w:autoSpaceDN/>
              <w:adjustRightInd/>
              <w:jc w:val="center"/>
              <w:rPr>
                <w:rFonts w:ascii="Arial" w:hAnsi="Arial" w:cs="Arial"/>
                <w:bCs/>
                <w:color w:val="000000"/>
                <w:sz w:val="22"/>
                <w:szCs w:val="22"/>
              </w:rPr>
            </w:pPr>
            <w:r w:rsidRPr="00160015">
              <w:rPr>
                <w:rFonts w:ascii="Arial" w:hAnsi="Arial" w:cs="Arial"/>
                <w:bCs/>
                <w:color w:val="000000"/>
                <w:sz w:val="22"/>
                <w:szCs w:val="22"/>
              </w:rPr>
              <w:t>TOTAL</w:t>
            </w:r>
          </w:p>
        </w:tc>
      </w:tr>
      <w:tr w:rsidR="00160015" w:rsidRPr="00160015" w:rsidTr="00160015">
        <w:trPr>
          <w:trHeight w:val="300"/>
        </w:trPr>
        <w:tc>
          <w:tcPr>
            <w:tcW w:w="2365" w:type="dxa"/>
            <w:tcBorders>
              <w:top w:val="nil"/>
              <w:left w:val="single" w:sz="4" w:space="0" w:color="auto"/>
              <w:bottom w:val="single" w:sz="4" w:space="0" w:color="auto"/>
              <w:right w:val="single" w:sz="4" w:space="0" w:color="auto"/>
            </w:tcBorders>
            <w:shd w:val="clear" w:color="auto" w:fill="auto"/>
            <w:hideMark/>
          </w:tcPr>
          <w:p w:rsidR="00160015" w:rsidRPr="00160015" w:rsidRDefault="00160015" w:rsidP="00160015">
            <w:pPr>
              <w:widowControl/>
              <w:autoSpaceDE/>
              <w:autoSpaceDN/>
              <w:adjustRightInd/>
              <w:rPr>
                <w:rFonts w:ascii="Arial" w:hAnsi="Arial" w:cs="Arial"/>
                <w:bCs/>
                <w:color w:val="000000"/>
                <w:sz w:val="22"/>
                <w:szCs w:val="22"/>
              </w:rPr>
            </w:pPr>
            <w:r w:rsidRPr="00160015">
              <w:rPr>
                <w:rFonts w:ascii="Arial" w:hAnsi="Arial" w:cs="Arial"/>
                <w:bCs/>
                <w:color w:val="000000"/>
                <w:sz w:val="22"/>
                <w:szCs w:val="22"/>
              </w:rPr>
              <w:t>2010 submission</w:t>
            </w:r>
          </w:p>
        </w:tc>
        <w:tc>
          <w:tcPr>
            <w:tcW w:w="1720" w:type="dxa"/>
            <w:tcBorders>
              <w:top w:val="nil"/>
              <w:left w:val="nil"/>
              <w:bottom w:val="single" w:sz="4" w:space="0" w:color="auto"/>
              <w:right w:val="single" w:sz="4" w:space="0" w:color="auto"/>
            </w:tcBorders>
            <w:shd w:val="clear" w:color="auto" w:fill="auto"/>
            <w:hideMark/>
          </w:tcPr>
          <w:p w:rsidR="00160015" w:rsidRPr="00160015" w:rsidRDefault="00160015" w:rsidP="00160015">
            <w:pPr>
              <w:widowControl/>
              <w:autoSpaceDE/>
              <w:autoSpaceDN/>
              <w:adjustRightInd/>
              <w:jc w:val="right"/>
              <w:rPr>
                <w:rFonts w:ascii="Arial" w:hAnsi="Arial" w:cs="Arial"/>
                <w:color w:val="000000"/>
                <w:sz w:val="22"/>
                <w:szCs w:val="22"/>
              </w:rPr>
            </w:pPr>
            <w:r w:rsidRPr="00160015">
              <w:rPr>
                <w:rFonts w:ascii="Arial" w:hAnsi="Arial" w:cs="Arial"/>
                <w:color w:val="000000"/>
                <w:sz w:val="22"/>
                <w:szCs w:val="22"/>
              </w:rPr>
              <w:t>74</w:t>
            </w:r>
          </w:p>
        </w:tc>
        <w:tc>
          <w:tcPr>
            <w:tcW w:w="1806" w:type="dxa"/>
            <w:tcBorders>
              <w:top w:val="nil"/>
              <w:left w:val="nil"/>
              <w:bottom w:val="single" w:sz="4" w:space="0" w:color="auto"/>
              <w:right w:val="single" w:sz="4" w:space="0" w:color="auto"/>
            </w:tcBorders>
            <w:shd w:val="clear" w:color="auto" w:fill="auto"/>
            <w:hideMark/>
          </w:tcPr>
          <w:p w:rsidR="00160015" w:rsidRPr="00160015" w:rsidRDefault="00160015" w:rsidP="00160015">
            <w:pPr>
              <w:widowControl/>
              <w:autoSpaceDE/>
              <w:autoSpaceDN/>
              <w:adjustRightInd/>
              <w:jc w:val="right"/>
              <w:rPr>
                <w:rFonts w:ascii="Arial" w:hAnsi="Arial" w:cs="Arial"/>
                <w:color w:val="000000"/>
                <w:sz w:val="22"/>
                <w:szCs w:val="22"/>
              </w:rPr>
            </w:pPr>
            <w:r w:rsidRPr="00160015">
              <w:rPr>
                <w:rFonts w:ascii="Arial" w:hAnsi="Arial" w:cs="Arial"/>
                <w:color w:val="000000"/>
                <w:sz w:val="22"/>
                <w:szCs w:val="22"/>
              </w:rPr>
              <w:t>48</w:t>
            </w:r>
          </w:p>
        </w:tc>
        <w:tc>
          <w:tcPr>
            <w:tcW w:w="1720" w:type="dxa"/>
            <w:tcBorders>
              <w:top w:val="nil"/>
              <w:left w:val="nil"/>
              <w:bottom w:val="single" w:sz="4" w:space="0" w:color="auto"/>
              <w:right w:val="single" w:sz="4" w:space="0" w:color="auto"/>
            </w:tcBorders>
            <w:shd w:val="clear" w:color="auto" w:fill="auto"/>
            <w:hideMark/>
          </w:tcPr>
          <w:p w:rsidR="00160015" w:rsidRPr="00160015" w:rsidRDefault="00160015" w:rsidP="00160015">
            <w:pPr>
              <w:widowControl/>
              <w:autoSpaceDE/>
              <w:autoSpaceDN/>
              <w:adjustRightInd/>
              <w:jc w:val="right"/>
              <w:rPr>
                <w:rFonts w:ascii="Arial" w:hAnsi="Arial" w:cs="Arial"/>
                <w:color w:val="000000"/>
                <w:sz w:val="22"/>
                <w:szCs w:val="22"/>
              </w:rPr>
            </w:pPr>
            <w:r w:rsidRPr="00160015">
              <w:rPr>
                <w:rFonts w:ascii="Arial" w:hAnsi="Arial" w:cs="Arial"/>
                <w:color w:val="000000"/>
                <w:sz w:val="22"/>
                <w:szCs w:val="22"/>
              </w:rPr>
              <w:t>0</w:t>
            </w:r>
          </w:p>
        </w:tc>
        <w:tc>
          <w:tcPr>
            <w:tcW w:w="1714" w:type="dxa"/>
            <w:tcBorders>
              <w:top w:val="nil"/>
              <w:left w:val="nil"/>
              <w:bottom w:val="single" w:sz="4" w:space="0" w:color="auto"/>
              <w:right w:val="single" w:sz="4" w:space="0" w:color="auto"/>
            </w:tcBorders>
            <w:shd w:val="clear" w:color="auto" w:fill="auto"/>
            <w:hideMark/>
          </w:tcPr>
          <w:p w:rsidR="00160015" w:rsidRPr="00160015" w:rsidRDefault="00160015" w:rsidP="00160015">
            <w:pPr>
              <w:widowControl/>
              <w:autoSpaceDE/>
              <w:autoSpaceDN/>
              <w:adjustRightInd/>
              <w:jc w:val="right"/>
              <w:rPr>
                <w:rFonts w:ascii="Arial" w:hAnsi="Arial" w:cs="Arial"/>
                <w:color w:val="000000"/>
                <w:sz w:val="22"/>
                <w:szCs w:val="22"/>
              </w:rPr>
            </w:pPr>
            <w:r w:rsidRPr="00160015">
              <w:rPr>
                <w:rFonts w:ascii="Arial" w:hAnsi="Arial" w:cs="Arial"/>
                <w:color w:val="000000"/>
                <w:sz w:val="22"/>
                <w:szCs w:val="22"/>
              </w:rPr>
              <w:t>122</w:t>
            </w:r>
          </w:p>
        </w:tc>
      </w:tr>
      <w:tr w:rsidR="00160015" w:rsidRPr="00160015" w:rsidTr="00160015">
        <w:trPr>
          <w:trHeight w:val="300"/>
        </w:trPr>
        <w:tc>
          <w:tcPr>
            <w:tcW w:w="2365" w:type="dxa"/>
            <w:tcBorders>
              <w:top w:val="nil"/>
              <w:left w:val="single" w:sz="4" w:space="0" w:color="auto"/>
              <w:bottom w:val="single" w:sz="4" w:space="0" w:color="auto"/>
              <w:right w:val="single" w:sz="4" w:space="0" w:color="auto"/>
            </w:tcBorders>
            <w:shd w:val="clear" w:color="auto" w:fill="auto"/>
            <w:hideMark/>
          </w:tcPr>
          <w:p w:rsidR="00160015" w:rsidRPr="00160015" w:rsidRDefault="00160015" w:rsidP="00160015">
            <w:pPr>
              <w:widowControl/>
              <w:autoSpaceDE/>
              <w:autoSpaceDN/>
              <w:adjustRightInd/>
              <w:rPr>
                <w:rFonts w:ascii="Arial" w:hAnsi="Arial" w:cs="Arial"/>
                <w:bCs/>
                <w:color w:val="000000"/>
                <w:sz w:val="22"/>
                <w:szCs w:val="22"/>
              </w:rPr>
            </w:pPr>
            <w:r w:rsidRPr="00160015">
              <w:rPr>
                <w:rFonts w:ascii="Arial" w:hAnsi="Arial" w:cs="Arial"/>
                <w:bCs/>
                <w:color w:val="000000"/>
                <w:sz w:val="22"/>
                <w:szCs w:val="22"/>
              </w:rPr>
              <w:t>Current submission</w:t>
            </w:r>
          </w:p>
        </w:tc>
        <w:tc>
          <w:tcPr>
            <w:tcW w:w="1720" w:type="dxa"/>
            <w:tcBorders>
              <w:top w:val="nil"/>
              <w:left w:val="nil"/>
              <w:bottom w:val="single" w:sz="4" w:space="0" w:color="auto"/>
              <w:right w:val="single" w:sz="4" w:space="0" w:color="auto"/>
            </w:tcBorders>
            <w:shd w:val="clear" w:color="auto" w:fill="auto"/>
            <w:hideMark/>
          </w:tcPr>
          <w:p w:rsidR="00160015" w:rsidRPr="00160015" w:rsidRDefault="00160015" w:rsidP="00160015">
            <w:pPr>
              <w:widowControl/>
              <w:autoSpaceDE/>
              <w:autoSpaceDN/>
              <w:adjustRightInd/>
              <w:jc w:val="right"/>
              <w:rPr>
                <w:rFonts w:ascii="Arial" w:hAnsi="Arial" w:cs="Arial"/>
                <w:color w:val="000000"/>
                <w:sz w:val="22"/>
                <w:szCs w:val="22"/>
              </w:rPr>
            </w:pPr>
            <w:r w:rsidRPr="00160015">
              <w:rPr>
                <w:rFonts w:ascii="Arial" w:hAnsi="Arial" w:cs="Arial"/>
                <w:color w:val="000000"/>
                <w:sz w:val="22"/>
                <w:szCs w:val="22"/>
              </w:rPr>
              <w:t>96</w:t>
            </w:r>
          </w:p>
        </w:tc>
        <w:tc>
          <w:tcPr>
            <w:tcW w:w="1806" w:type="dxa"/>
            <w:tcBorders>
              <w:top w:val="nil"/>
              <w:left w:val="nil"/>
              <w:bottom w:val="single" w:sz="4" w:space="0" w:color="auto"/>
              <w:right w:val="single" w:sz="4" w:space="0" w:color="auto"/>
            </w:tcBorders>
            <w:shd w:val="clear" w:color="auto" w:fill="auto"/>
            <w:hideMark/>
          </w:tcPr>
          <w:p w:rsidR="00160015" w:rsidRPr="00160015" w:rsidRDefault="00160015" w:rsidP="00160015">
            <w:pPr>
              <w:widowControl/>
              <w:autoSpaceDE/>
              <w:autoSpaceDN/>
              <w:adjustRightInd/>
              <w:jc w:val="right"/>
              <w:rPr>
                <w:rFonts w:ascii="Arial" w:hAnsi="Arial" w:cs="Arial"/>
                <w:color w:val="000000"/>
                <w:sz w:val="22"/>
                <w:szCs w:val="22"/>
              </w:rPr>
            </w:pPr>
            <w:r w:rsidRPr="00160015">
              <w:rPr>
                <w:rFonts w:ascii="Arial" w:hAnsi="Arial" w:cs="Arial"/>
                <w:color w:val="000000"/>
                <w:sz w:val="22"/>
                <w:szCs w:val="22"/>
              </w:rPr>
              <w:t>350</w:t>
            </w:r>
          </w:p>
        </w:tc>
        <w:tc>
          <w:tcPr>
            <w:tcW w:w="1720" w:type="dxa"/>
            <w:tcBorders>
              <w:top w:val="nil"/>
              <w:left w:val="nil"/>
              <w:bottom w:val="single" w:sz="4" w:space="0" w:color="auto"/>
              <w:right w:val="single" w:sz="4" w:space="0" w:color="auto"/>
            </w:tcBorders>
            <w:shd w:val="clear" w:color="auto" w:fill="auto"/>
            <w:hideMark/>
          </w:tcPr>
          <w:p w:rsidR="00160015" w:rsidRPr="00160015" w:rsidRDefault="00160015" w:rsidP="00160015">
            <w:pPr>
              <w:widowControl/>
              <w:autoSpaceDE/>
              <w:autoSpaceDN/>
              <w:adjustRightInd/>
              <w:jc w:val="right"/>
              <w:rPr>
                <w:rFonts w:ascii="Arial" w:hAnsi="Arial" w:cs="Arial"/>
                <w:color w:val="000000"/>
                <w:sz w:val="22"/>
                <w:szCs w:val="22"/>
              </w:rPr>
            </w:pPr>
            <w:r w:rsidRPr="00160015">
              <w:rPr>
                <w:rFonts w:ascii="Arial" w:hAnsi="Arial" w:cs="Arial"/>
                <w:color w:val="000000"/>
                <w:sz w:val="22"/>
                <w:szCs w:val="22"/>
              </w:rPr>
              <w:t>1</w:t>
            </w:r>
          </w:p>
        </w:tc>
        <w:tc>
          <w:tcPr>
            <w:tcW w:w="1714" w:type="dxa"/>
            <w:tcBorders>
              <w:top w:val="nil"/>
              <w:left w:val="nil"/>
              <w:bottom w:val="single" w:sz="4" w:space="0" w:color="auto"/>
              <w:right w:val="single" w:sz="4" w:space="0" w:color="auto"/>
            </w:tcBorders>
            <w:shd w:val="clear" w:color="auto" w:fill="auto"/>
            <w:hideMark/>
          </w:tcPr>
          <w:p w:rsidR="00160015" w:rsidRPr="00160015" w:rsidRDefault="00160015" w:rsidP="00160015">
            <w:pPr>
              <w:widowControl/>
              <w:autoSpaceDE/>
              <w:autoSpaceDN/>
              <w:adjustRightInd/>
              <w:jc w:val="right"/>
              <w:rPr>
                <w:rFonts w:ascii="Arial" w:hAnsi="Arial" w:cs="Arial"/>
                <w:color w:val="000000"/>
                <w:sz w:val="22"/>
                <w:szCs w:val="22"/>
              </w:rPr>
            </w:pPr>
            <w:r w:rsidRPr="00160015">
              <w:rPr>
                <w:rFonts w:ascii="Arial" w:hAnsi="Arial" w:cs="Arial"/>
                <w:color w:val="000000"/>
                <w:sz w:val="22"/>
                <w:szCs w:val="22"/>
              </w:rPr>
              <w:t>447</w:t>
            </w:r>
          </w:p>
        </w:tc>
      </w:tr>
      <w:tr w:rsidR="00160015" w:rsidRPr="00160015" w:rsidTr="00160015">
        <w:trPr>
          <w:trHeight w:val="300"/>
        </w:trPr>
        <w:tc>
          <w:tcPr>
            <w:tcW w:w="2365" w:type="dxa"/>
            <w:tcBorders>
              <w:top w:val="nil"/>
              <w:left w:val="single" w:sz="4" w:space="0" w:color="auto"/>
              <w:bottom w:val="single" w:sz="4" w:space="0" w:color="auto"/>
              <w:right w:val="single" w:sz="4" w:space="0" w:color="auto"/>
            </w:tcBorders>
            <w:shd w:val="clear" w:color="auto" w:fill="auto"/>
            <w:hideMark/>
          </w:tcPr>
          <w:p w:rsidR="00160015" w:rsidRPr="00160015" w:rsidRDefault="00160015" w:rsidP="00160015">
            <w:pPr>
              <w:widowControl/>
              <w:autoSpaceDE/>
              <w:autoSpaceDN/>
              <w:adjustRightInd/>
              <w:rPr>
                <w:rFonts w:ascii="Arial" w:hAnsi="Arial" w:cs="Arial"/>
                <w:bCs/>
                <w:color w:val="000000"/>
                <w:sz w:val="22"/>
                <w:szCs w:val="22"/>
              </w:rPr>
            </w:pPr>
            <w:r w:rsidRPr="00160015">
              <w:rPr>
                <w:rFonts w:ascii="Arial" w:hAnsi="Arial" w:cs="Arial"/>
                <w:bCs/>
                <w:color w:val="000000"/>
                <w:sz w:val="22"/>
                <w:szCs w:val="22"/>
              </w:rPr>
              <w:t>Change in Responses</w:t>
            </w:r>
          </w:p>
        </w:tc>
        <w:tc>
          <w:tcPr>
            <w:tcW w:w="1720" w:type="dxa"/>
            <w:tcBorders>
              <w:top w:val="nil"/>
              <w:left w:val="nil"/>
              <w:bottom w:val="single" w:sz="4" w:space="0" w:color="auto"/>
              <w:right w:val="single" w:sz="4" w:space="0" w:color="auto"/>
            </w:tcBorders>
            <w:shd w:val="clear" w:color="auto" w:fill="auto"/>
            <w:hideMark/>
          </w:tcPr>
          <w:p w:rsidR="00160015" w:rsidRPr="00160015" w:rsidRDefault="00160015" w:rsidP="00160015">
            <w:pPr>
              <w:widowControl/>
              <w:autoSpaceDE/>
              <w:autoSpaceDN/>
              <w:adjustRightInd/>
              <w:jc w:val="right"/>
              <w:rPr>
                <w:rFonts w:ascii="Arial" w:hAnsi="Arial" w:cs="Arial"/>
                <w:color w:val="000000"/>
                <w:sz w:val="22"/>
                <w:szCs w:val="22"/>
              </w:rPr>
            </w:pPr>
            <w:r w:rsidRPr="00160015">
              <w:rPr>
                <w:rFonts w:ascii="Arial" w:hAnsi="Arial" w:cs="Arial"/>
                <w:color w:val="000000"/>
                <w:sz w:val="22"/>
                <w:szCs w:val="22"/>
              </w:rPr>
              <w:t>22</w:t>
            </w:r>
          </w:p>
        </w:tc>
        <w:tc>
          <w:tcPr>
            <w:tcW w:w="1806" w:type="dxa"/>
            <w:tcBorders>
              <w:top w:val="nil"/>
              <w:left w:val="nil"/>
              <w:bottom w:val="single" w:sz="4" w:space="0" w:color="auto"/>
              <w:right w:val="single" w:sz="4" w:space="0" w:color="auto"/>
            </w:tcBorders>
            <w:shd w:val="clear" w:color="auto" w:fill="auto"/>
            <w:hideMark/>
          </w:tcPr>
          <w:p w:rsidR="00160015" w:rsidRPr="00160015" w:rsidRDefault="00160015" w:rsidP="00160015">
            <w:pPr>
              <w:widowControl/>
              <w:autoSpaceDE/>
              <w:autoSpaceDN/>
              <w:adjustRightInd/>
              <w:jc w:val="right"/>
              <w:rPr>
                <w:rFonts w:ascii="Arial" w:hAnsi="Arial" w:cs="Arial"/>
                <w:color w:val="000000"/>
                <w:sz w:val="22"/>
                <w:szCs w:val="22"/>
              </w:rPr>
            </w:pPr>
            <w:r w:rsidRPr="00160015">
              <w:rPr>
                <w:rFonts w:ascii="Arial" w:hAnsi="Arial" w:cs="Arial"/>
                <w:color w:val="000000"/>
                <w:sz w:val="22"/>
                <w:szCs w:val="22"/>
              </w:rPr>
              <w:t>302</w:t>
            </w:r>
          </w:p>
        </w:tc>
        <w:tc>
          <w:tcPr>
            <w:tcW w:w="1720" w:type="dxa"/>
            <w:tcBorders>
              <w:top w:val="nil"/>
              <w:left w:val="nil"/>
              <w:bottom w:val="single" w:sz="4" w:space="0" w:color="auto"/>
              <w:right w:val="single" w:sz="4" w:space="0" w:color="auto"/>
            </w:tcBorders>
            <w:shd w:val="clear" w:color="auto" w:fill="auto"/>
            <w:hideMark/>
          </w:tcPr>
          <w:p w:rsidR="00160015" w:rsidRPr="00160015" w:rsidRDefault="00160015" w:rsidP="00160015">
            <w:pPr>
              <w:widowControl/>
              <w:autoSpaceDE/>
              <w:autoSpaceDN/>
              <w:adjustRightInd/>
              <w:jc w:val="right"/>
              <w:rPr>
                <w:rFonts w:ascii="Arial" w:hAnsi="Arial" w:cs="Arial"/>
                <w:color w:val="000000"/>
                <w:sz w:val="22"/>
                <w:szCs w:val="22"/>
              </w:rPr>
            </w:pPr>
            <w:r w:rsidRPr="00160015">
              <w:rPr>
                <w:rFonts w:ascii="Arial" w:hAnsi="Arial" w:cs="Arial"/>
                <w:color w:val="000000"/>
                <w:sz w:val="22"/>
                <w:szCs w:val="22"/>
              </w:rPr>
              <w:t>1</w:t>
            </w:r>
          </w:p>
        </w:tc>
        <w:tc>
          <w:tcPr>
            <w:tcW w:w="1714" w:type="dxa"/>
            <w:tcBorders>
              <w:top w:val="nil"/>
              <w:left w:val="nil"/>
              <w:bottom w:val="single" w:sz="4" w:space="0" w:color="auto"/>
              <w:right w:val="single" w:sz="4" w:space="0" w:color="auto"/>
            </w:tcBorders>
            <w:shd w:val="clear" w:color="auto" w:fill="auto"/>
            <w:hideMark/>
          </w:tcPr>
          <w:p w:rsidR="00160015" w:rsidRPr="00160015" w:rsidRDefault="00160015" w:rsidP="00160015">
            <w:pPr>
              <w:widowControl/>
              <w:autoSpaceDE/>
              <w:autoSpaceDN/>
              <w:adjustRightInd/>
              <w:jc w:val="right"/>
              <w:rPr>
                <w:rFonts w:ascii="Arial" w:hAnsi="Arial" w:cs="Arial"/>
                <w:color w:val="000000"/>
                <w:sz w:val="22"/>
                <w:szCs w:val="22"/>
              </w:rPr>
            </w:pPr>
            <w:r w:rsidRPr="00160015">
              <w:rPr>
                <w:rFonts w:ascii="Arial" w:hAnsi="Arial" w:cs="Arial"/>
                <w:color w:val="000000"/>
                <w:sz w:val="22"/>
                <w:szCs w:val="22"/>
              </w:rPr>
              <w:t>325</w:t>
            </w:r>
          </w:p>
        </w:tc>
      </w:tr>
    </w:tbl>
    <w:p w:rsidR="00160015" w:rsidRDefault="00160015">
      <w:pPr>
        <w:widowControl/>
        <w:ind w:left="1440"/>
        <w:rPr>
          <w:rFonts w:ascii="Arial" w:hAnsi="Arial" w:cs="Arial"/>
          <w:sz w:val="22"/>
          <w:szCs w:val="22"/>
        </w:rPr>
      </w:pPr>
    </w:p>
    <w:p w:rsidR="00717D9B" w:rsidRPr="002E2E3A" w:rsidRDefault="00717D9B" w:rsidP="005B4A48">
      <w:pPr>
        <w:ind w:left="1440"/>
        <w:rPr>
          <w:rFonts w:ascii="Arial" w:hAnsi="Arial" w:cs="Arial"/>
          <w:sz w:val="22"/>
          <w:szCs w:val="22"/>
        </w:rPr>
      </w:pPr>
      <w:r w:rsidRPr="009F5AF4">
        <w:rPr>
          <w:rFonts w:ascii="Arial" w:hAnsi="Arial" w:cs="Arial"/>
          <w:sz w:val="22"/>
          <w:szCs w:val="22"/>
        </w:rPr>
        <w:t xml:space="preserve">In this submission, third-party disclosure requirements have been broken out separately from reporting requirements.  In the last submission, the requirement under </w:t>
      </w:r>
      <w:r w:rsidRPr="009F5AF4">
        <w:rPr>
          <w:rFonts w:ascii="Arial" w:hAnsi="Arial" w:cs="Arial"/>
          <w:sz w:val="22"/>
          <w:szCs w:val="18"/>
        </w:rPr>
        <w:t xml:space="preserve">10 CFR 21.21(b) was included as a reporting requirement.  </w:t>
      </w:r>
      <w:r w:rsidR="005B4A48">
        <w:rPr>
          <w:rFonts w:ascii="Arial" w:hAnsi="Arial" w:cs="Arial"/>
          <w:sz w:val="22"/>
          <w:szCs w:val="18"/>
        </w:rPr>
        <w:t xml:space="preserve">This requirement specifies that a </w:t>
      </w:r>
      <w:r w:rsidR="005B4A48" w:rsidRPr="005B4A48">
        <w:rPr>
          <w:rFonts w:ascii="Arial" w:hAnsi="Arial" w:cs="Arial"/>
          <w:sz w:val="22"/>
          <w:szCs w:val="22"/>
        </w:rPr>
        <w:t>supplier of basic components must inform the purchasers or affected licensees of their inability to perform the evaluation to determine if a defect exists.</w:t>
      </w:r>
      <w:r w:rsidR="005B4A48">
        <w:rPr>
          <w:rFonts w:ascii="Arial" w:hAnsi="Arial" w:cs="Arial"/>
          <w:sz w:val="22"/>
          <w:szCs w:val="22"/>
        </w:rPr>
        <w:t xml:space="preserve">  </w:t>
      </w:r>
      <w:r w:rsidRPr="009F5AF4">
        <w:rPr>
          <w:rFonts w:ascii="Arial" w:hAnsi="Arial" w:cs="Arial"/>
          <w:sz w:val="22"/>
          <w:szCs w:val="18"/>
        </w:rPr>
        <w:t>The requirement is now correctly categorized as a third-party disclosure requirement (total of 95 hours</w:t>
      </w:r>
      <w:r w:rsidRPr="002E2E3A">
        <w:rPr>
          <w:rFonts w:ascii="Arial" w:hAnsi="Arial" w:cs="Arial"/>
          <w:sz w:val="22"/>
          <w:szCs w:val="22"/>
        </w:rPr>
        <w:t>).</w:t>
      </w:r>
    </w:p>
    <w:p w:rsidR="00A879F3" w:rsidRPr="009F5AF4" w:rsidRDefault="00A879F3">
      <w:pPr>
        <w:widowControl/>
        <w:rPr>
          <w:rFonts w:ascii="Arial" w:hAnsi="Arial" w:cs="Arial"/>
          <w:sz w:val="22"/>
          <w:szCs w:val="22"/>
        </w:rPr>
      </w:pPr>
    </w:p>
    <w:p w:rsidR="00A879F3" w:rsidRPr="009F5AF4" w:rsidRDefault="004D1C95">
      <w:pPr>
        <w:widowControl/>
        <w:ind w:left="1440"/>
        <w:rPr>
          <w:rFonts w:ascii="Arial" w:hAnsi="Arial" w:cs="Arial"/>
          <w:sz w:val="22"/>
          <w:szCs w:val="22"/>
        </w:rPr>
      </w:pPr>
      <w:r w:rsidRPr="009F5AF4">
        <w:rPr>
          <w:rFonts w:ascii="Arial" w:hAnsi="Arial" w:cs="Arial"/>
          <w:sz w:val="22"/>
          <w:szCs w:val="22"/>
        </w:rPr>
        <w:t>The hourly rate changed from $</w:t>
      </w:r>
      <w:r w:rsidR="00F94FB0" w:rsidRPr="009F5AF4">
        <w:rPr>
          <w:rFonts w:ascii="Arial" w:hAnsi="Arial" w:cs="Arial"/>
          <w:sz w:val="22"/>
          <w:szCs w:val="22"/>
        </w:rPr>
        <w:t xml:space="preserve">257 </w:t>
      </w:r>
      <w:r w:rsidRPr="009F5AF4">
        <w:rPr>
          <w:rFonts w:ascii="Arial" w:hAnsi="Arial" w:cs="Arial"/>
          <w:sz w:val="22"/>
          <w:szCs w:val="22"/>
        </w:rPr>
        <w:t xml:space="preserve">to </w:t>
      </w:r>
      <w:r w:rsidR="0017331C" w:rsidRPr="009F5AF4">
        <w:rPr>
          <w:rFonts w:ascii="Arial" w:hAnsi="Arial" w:cs="Arial"/>
          <w:sz w:val="22"/>
          <w:szCs w:val="22"/>
        </w:rPr>
        <w:t>$</w:t>
      </w:r>
      <w:r w:rsidR="00717D9B" w:rsidRPr="009F5AF4">
        <w:rPr>
          <w:rFonts w:ascii="Arial" w:hAnsi="Arial" w:cs="Arial"/>
          <w:sz w:val="22"/>
          <w:szCs w:val="22"/>
        </w:rPr>
        <w:t>272</w:t>
      </w:r>
      <w:r w:rsidR="00F94FB0" w:rsidRPr="009F5AF4">
        <w:rPr>
          <w:rFonts w:ascii="Arial" w:hAnsi="Arial" w:cs="Arial"/>
          <w:sz w:val="22"/>
          <w:szCs w:val="22"/>
        </w:rPr>
        <w:t xml:space="preserve"> per </w:t>
      </w:r>
      <w:r w:rsidR="00BC0482" w:rsidRPr="009F5AF4">
        <w:rPr>
          <w:rFonts w:ascii="Arial" w:hAnsi="Arial" w:cs="Arial"/>
          <w:sz w:val="22"/>
          <w:szCs w:val="22"/>
        </w:rPr>
        <w:t>hour</w:t>
      </w:r>
      <w:r w:rsidR="00A879F3" w:rsidRPr="009F5AF4">
        <w:rPr>
          <w:rFonts w:ascii="Arial" w:hAnsi="Arial" w:cs="Arial"/>
          <w:sz w:val="22"/>
          <w:szCs w:val="22"/>
        </w:rPr>
        <w:t>.  The estimated cost per burden hour is based upon NRC</w:t>
      </w:r>
      <w:r w:rsidRPr="009F5AF4">
        <w:rPr>
          <w:rFonts w:ascii="Arial" w:hAnsi="Arial" w:cs="Arial"/>
          <w:sz w:val="22"/>
          <w:szCs w:val="22"/>
        </w:rPr>
        <w:t>’</w:t>
      </w:r>
      <w:r w:rsidR="00A879F3" w:rsidRPr="009F5AF4">
        <w:rPr>
          <w:rFonts w:ascii="Arial" w:hAnsi="Arial" w:cs="Arial"/>
          <w:sz w:val="22"/>
          <w:szCs w:val="22"/>
        </w:rPr>
        <w:t>s annual fee recovery rate, as published in NRC</w:t>
      </w:r>
      <w:r w:rsidRPr="009F5AF4">
        <w:rPr>
          <w:rFonts w:ascii="Arial" w:hAnsi="Arial" w:cs="Arial"/>
          <w:sz w:val="22"/>
          <w:szCs w:val="22"/>
        </w:rPr>
        <w:t>’</w:t>
      </w:r>
      <w:r w:rsidR="00A879F3" w:rsidRPr="009F5AF4">
        <w:rPr>
          <w:rFonts w:ascii="Arial" w:hAnsi="Arial" w:cs="Arial"/>
          <w:sz w:val="22"/>
          <w:szCs w:val="22"/>
        </w:rPr>
        <w:t xml:space="preserve">s annual fee recovery rule. </w:t>
      </w:r>
    </w:p>
    <w:p w:rsidR="00A879F3" w:rsidRPr="009F5AF4" w:rsidRDefault="00A879F3">
      <w:pPr>
        <w:widowControl/>
        <w:rPr>
          <w:rFonts w:ascii="Arial" w:hAnsi="Arial" w:cs="Arial"/>
          <w:sz w:val="22"/>
          <w:szCs w:val="22"/>
        </w:rPr>
      </w:pPr>
    </w:p>
    <w:p w:rsidR="00A879F3" w:rsidRPr="009F5AF4" w:rsidRDefault="00A879F3">
      <w:pPr>
        <w:widowControl/>
        <w:ind w:left="1440"/>
        <w:rPr>
          <w:rFonts w:ascii="Arial" w:hAnsi="Arial" w:cs="Arial"/>
          <w:sz w:val="22"/>
          <w:szCs w:val="22"/>
        </w:rPr>
      </w:pPr>
      <w:r w:rsidRPr="009F5AF4">
        <w:rPr>
          <w:rFonts w:ascii="Arial" w:hAnsi="Arial" w:cs="Arial"/>
          <w:sz w:val="22"/>
          <w:szCs w:val="22"/>
        </w:rPr>
        <w:t>It is important to note that these estimates are based on historical data.  The number of 10 CFR</w:t>
      </w:r>
      <w:r w:rsidR="0041187D">
        <w:rPr>
          <w:rFonts w:ascii="Arial" w:hAnsi="Arial" w:cs="Arial"/>
          <w:sz w:val="22"/>
          <w:szCs w:val="22"/>
        </w:rPr>
        <w:t xml:space="preserve"> Part</w:t>
      </w:r>
      <w:r w:rsidRPr="009F5AF4">
        <w:rPr>
          <w:rFonts w:ascii="Arial" w:hAnsi="Arial" w:cs="Arial"/>
          <w:sz w:val="22"/>
          <w:szCs w:val="22"/>
        </w:rPr>
        <w:t xml:space="preserve"> 21 reports generated or received in any given year is dependent upon the number or issues that arise, that is, this is an event-based burden, not a burden as a consequence of a regular reporting requirement.</w:t>
      </w:r>
    </w:p>
    <w:p w:rsidR="00A879F3" w:rsidRPr="009F5AF4" w:rsidRDefault="00A879F3">
      <w:pPr>
        <w:widowControl/>
        <w:rPr>
          <w:rFonts w:ascii="Arial" w:hAnsi="Arial" w:cs="Arial"/>
          <w:sz w:val="22"/>
          <w:szCs w:val="22"/>
        </w:rPr>
      </w:pPr>
    </w:p>
    <w:p w:rsidR="00A879F3" w:rsidRPr="009F5AF4" w:rsidRDefault="00A879F3">
      <w:pPr>
        <w:widowControl/>
        <w:tabs>
          <w:tab w:val="left" w:pos="-1440"/>
        </w:tabs>
        <w:ind w:left="1440" w:hanging="720"/>
        <w:rPr>
          <w:rFonts w:ascii="Arial" w:hAnsi="Arial" w:cs="Arial"/>
          <w:sz w:val="22"/>
          <w:szCs w:val="22"/>
        </w:rPr>
      </w:pPr>
      <w:r w:rsidRPr="009F5AF4">
        <w:rPr>
          <w:rFonts w:ascii="Arial" w:hAnsi="Arial" w:cs="Arial"/>
          <w:sz w:val="22"/>
          <w:szCs w:val="22"/>
        </w:rPr>
        <w:t>16.</w:t>
      </w:r>
      <w:r w:rsidRPr="009F5AF4">
        <w:rPr>
          <w:rFonts w:ascii="Arial" w:hAnsi="Arial" w:cs="Arial"/>
          <w:sz w:val="22"/>
          <w:szCs w:val="22"/>
        </w:rPr>
        <w:tab/>
      </w:r>
      <w:r w:rsidRPr="009F5AF4">
        <w:rPr>
          <w:rFonts w:ascii="Arial" w:hAnsi="Arial" w:cs="Arial"/>
          <w:sz w:val="22"/>
          <w:szCs w:val="22"/>
          <w:u w:val="single"/>
        </w:rPr>
        <w:t>Publication for Statistical Use</w:t>
      </w:r>
    </w:p>
    <w:p w:rsidR="00332EB9" w:rsidRPr="009F5AF4" w:rsidRDefault="00332EB9">
      <w:pPr>
        <w:widowControl/>
        <w:ind w:left="1440"/>
        <w:rPr>
          <w:rFonts w:ascii="Arial" w:hAnsi="Arial" w:cs="Arial"/>
          <w:sz w:val="22"/>
          <w:szCs w:val="22"/>
        </w:rPr>
      </w:pPr>
    </w:p>
    <w:p w:rsidR="00A879F3" w:rsidRPr="009F5AF4" w:rsidRDefault="00A879F3">
      <w:pPr>
        <w:widowControl/>
        <w:ind w:left="1440"/>
        <w:rPr>
          <w:rFonts w:ascii="Arial" w:hAnsi="Arial" w:cs="Arial"/>
          <w:sz w:val="22"/>
          <w:szCs w:val="22"/>
        </w:rPr>
      </w:pPr>
      <w:r w:rsidRPr="009F5AF4">
        <w:rPr>
          <w:rFonts w:ascii="Arial" w:hAnsi="Arial" w:cs="Arial"/>
          <w:sz w:val="22"/>
          <w:szCs w:val="22"/>
        </w:rPr>
        <w:t>The data collected through this regulation provide input for generic communications issued by the NRC such as Information Notices, Generic Letters, and Bulletins.  Each report received is coded and entered into a computer database system that is used for tracking these reports.  The data are not published except as reflected in Notices</w:t>
      </w:r>
      <w:r w:rsidR="0041187D">
        <w:rPr>
          <w:rFonts w:ascii="Arial" w:hAnsi="Arial" w:cs="Arial"/>
          <w:sz w:val="22"/>
          <w:szCs w:val="22"/>
        </w:rPr>
        <w:t xml:space="preserve"> and Bulletins.  Incoming 10 CFR Part</w:t>
      </w:r>
      <w:r w:rsidRPr="009F5AF4">
        <w:rPr>
          <w:rFonts w:ascii="Arial" w:hAnsi="Arial" w:cs="Arial"/>
          <w:sz w:val="22"/>
          <w:szCs w:val="22"/>
        </w:rPr>
        <w:t xml:space="preserve"> 21 Reports are posted to the NRC</w:t>
      </w:r>
      <w:r w:rsidR="004D1C95" w:rsidRPr="009F5AF4">
        <w:rPr>
          <w:rFonts w:ascii="Arial" w:hAnsi="Arial" w:cs="Arial"/>
          <w:sz w:val="22"/>
          <w:szCs w:val="22"/>
        </w:rPr>
        <w:t>’</w:t>
      </w:r>
      <w:r w:rsidRPr="009F5AF4">
        <w:rPr>
          <w:rFonts w:ascii="Arial" w:hAnsi="Arial" w:cs="Arial"/>
          <w:sz w:val="22"/>
          <w:szCs w:val="22"/>
        </w:rPr>
        <w:t>s public Web page.</w:t>
      </w:r>
    </w:p>
    <w:p w:rsidR="00A879F3" w:rsidRPr="009F5AF4" w:rsidRDefault="00A879F3">
      <w:pPr>
        <w:widowControl/>
        <w:rPr>
          <w:rFonts w:ascii="Arial" w:hAnsi="Arial" w:cs="Arial"/>
          <w:sz w:val="22"/>
          <w:szCs w:val="22"/>
        </w:rPr>
      </w:pPr>
    </w:p>
    <w:p w:rsidR="00A879F3" w:rsidRPr="009F5AF4" w:rsidRDefault="00A879F3">
      <w:pPr>
        <w:widowControl/>
        <w:tabs>
          <w:tab w:val="left" w:pos="-1440"/>
        </w:tabs>
        <w:ind w:left="1440" w:hanging="720"/>
        <w:rPr>
          <w:rFonts w:ascii="Arial" w:hAnsi="Arial" w:cs="Arial"/>
          <w:sz w:val="22"/>
          <w:szCs w:val="22"/>
        </w:rPr>
      </w:pPr>
      <w:r w:rsidRPr="009F5AF4">
        <w:rPr>
          <w:rFonts w:ascii="Arial" w:hAnsi="Arial" w:cs="Arial"/>
          <w:sz w:val="22"/>
          <w:szCs w:val="22"/>
        </w:rPr>
        <w:t>17.</w:t>
      </w:r>
      <w:r w:rsidRPr="009F5AF4">
        <w:rPr>
          <w:rFonts w:ascii="Arial" w:hAnsi="Arial" w:cs="Arial"/>
          <w:sz w:val="22"/>
          <w:szCs w:val="22"/>
        </w:rPr>
        <w:tab/>
      </w:r>
      <w:r w:rsidRPr="009F5AF4">
        <w:rPr>
          <w:rFonts w:ascii="Arial" w:hAnsi="Arial" w:cs="Arial"/>
          <w:sz w:val="22"/>
          <w:szCs w:val="22"/>
          <w:u w:val="single"/>
        </w:rPr>
        <w:t>Reason for Not Displaying the Expiration Date</w:t>
      </w:r>
    </w:p>
    <w:p w:rsidR="00A879F3" w:rsidRPr="009F5AF4" w:rsidRDefault="00A879F3">
      <w:pPr>
        <w:widowControl/>
        <w:rPr>
          <w:rFonts w:ascii="Arial" w:hAnsi="Arial" w:cs="Arial"/>
          <w:sz w:val="22"/>
          <w:szCs w:val="22"/>
        </w:rPr>
      </w:pPr>
    </w:p>
    <w:p w:rsidR="00A879F3" w:rsidRPr="009F5AF4" w:rsidRDefault="00A879F3">
      <w:pPr>
        <w:widowControl/>
        <w:ind w:left="1440"/>
        <w:rPr>
          <w:rFonts w:ascii="Arial" w:hAnsi="Arial" w:cs="Arial"/>
          <w:sz w:val="22"/>
          <w:szCs w:val="22"/>
        </w:rPr>
      </w:pPr>
      <w:r w:rsidRPr="009F5AF4">
        <w:rPr>
          <w:rFonts w:ascii="Arial" w:hAnsi="Arial" w:cs="Arial"/>
          <w:sz w:val="22"/>
          <w:szCs w:val="22"/>
        </w:rPr>
        <w:t xml:space="preserve">The requirement is contained in a regulation.  </w:t>
      </w:r>
      <w:proofErr w:type="gramStart"/>
      <w:r w:rsidRPr="009F5AF4">
        <w:rPr>
          <w:rFonts w:ascii="Arial" w:hAnsi="Arial" w:cs="Arial"/>
          <w:sz w:val="22"/>
          <w:szCs w:val="22"/>
        </w:rPr>
        <w:t>Amending the Code of Federal Regulations to display information that, in an annual publication, could become obsolete, would be unduly burdensome and too difficult to keep current.</w:t>
      </w:r>
      <w:proofErr w:type="gramEnd"/>
    </w:p>
    <w:p w:rsidR="00A879F3" w:rsidRPr="009F5AF4" w:rsidRDefault="00A879F3">
      <w:pPr>
        <w:widowControl/>
        <w:rPr>
          <w:rFonts w:ascii="Arial" w:hAnsi="Arial" w:cs="Arial"/>
          <w:sz w:val="22"/>
          <w:szCs w:val="22"/>
        </w:rPr>
      </w:pPr>
    </w:p>
    <w:p w:rsidR="00A879F3" w:rsidRPr="009F5AF4" w:rsidRDefault="00A879F3">
      <w:pPr>
        <w:widowControl/>
        <w:tabs>
          <w:tab w:val="left" w:pos="-1440"/>
        </w:tabs>
        <w:ind w:left="1440" w:hanging="720"/>
        <w:rPr>
          <w:rFonts w:ascii="Arial" w:hAnsi="Arial" w:cs="Arial"/>
          <w:sz w:val="22"/>
          <w:szCs w:val="22"/>
        </w:rPr>
      </w:pPr>
      <w:r w:rsidRPr="009F5AF4">
        <w:rPr>
          <w:rFonts w:ascii="Arial" w:hAnsi="Arial" w:cs="Arial"/>
          <w:sz w:val="22"/>
          <w:szCs w:val="22"/>
        </w:rPr>
        <w:t>18.</w:t>
      </w:r>
      <w:r w:rsidRPr="009F5AF4">
        <w:rPr>
          <w:rFonts w:ascii="Arial" w:hAnsi="Arial" w:cs="Arial"/>
          <w:sz w:val="22"/>
          <w:szCs w:val="22"/>
        </w:rPr>
        <w:tab/>
      </w:r>
      <w:r w:rsidRPr="009F5AF4">
        <w:rPr>
          <w:rFonts w:ascii="Arial" w:hAnsi="Arial" w:cs="Arial"/>
          <w:sz w:val="22"/>
          <w:szCs w:val="22"/>
          <w:u w:val="single"/>
        </w:rPr>
        <w:t>Exceptions to the Certification Statement</w:t>
      </w:r>
    </w:p>
    <w:p w:rsidR="00A879F3" w:rsidRPr="009F5AF4" w:rsidRDefault="00A879F3">
      <w:pPr>
        <w:widowControl/>
        <w:rPr>
          <w:rFonts w:ascii="Arial" w:hAnsi="Arial" w:cs="Arial"/>
          <w:sz w:val="22"/>
          <w:szCs w:val="22"/>
        </w:rPr>
      </w:pPr>
    </w:p>
    <w:p w:rsidR="00A879F3" w:rsidRPr="009F5AF4" w:rsidRDefault="00A879F3">
      <w:pPr>
        <w:widowControl/>
        <w:ind w:left="1440"/>
        <w:rPr>
          <w:rFonts w:ascii="Arial" w:hAnsi="Arial" w:cs="Arial"/>
          <w:sz w:val="22"/>
          <w:szCs w:val="22"/>
        </w:rPr>
      </w:pPr>
      <w:r w:rsidRPr="009F5AF4">
        <w:rPr>
          <w:rFonts w:ascii="Arial" w:hAnsi="Arial" w:cs="Arial"/>
          <w:sz w:val="22"/>
          <w:szCs w:val="22"/>
        </w:rPr>
        <w:t>Not applicable.</w:t>
      </w:r>
    </w:p>
    <w:p w:rsidR="00A879F3" w:rsidRPr="009F5AF4" w:rsidRDefault="00A879F3">
      <w:pPr>
        <w:widowControl/>
        <w:rPr>
          <w:rFonts w:ascii="Arial" w:hAnsi="Arial" w:cs="Arial"/>
          <w:sz w:val="22"/>
          <w:szCs w:val="22"/>
        </w:rPr>
      </w:pPr>
    </w:p>
    <w:p w:rsidR="004445D0" w:rsidRDefault="004445D0">
      <w:pPr>
        <w:widowControl/>
        <w:autoSpaceDE/>
        <w:autoSpaceDN/>
        <w:adjustRightInd/>
        <w:rPr>
          <w:rFonts w:ascii="Arial" w:hAnsi="Arial" w:cs="Arial"/>
          <w:sz w:val="22"/>
          <w:szCs w:val="22"/>
        </w:rPr>
      </w:pPr>
      <w:r>
        <w:rPr>
          <w:rFonts w:ascii="Arial" w:hAnsi="Arial" w:cs="Arial"/>
          <w:sz w:val="22"/>
          <w:szCs w:val="22"/>
        </w:rPr>
        <w:br w:type="page"/>
      </w:r>
    </w:p>
    <w:p w:rsidR="00A879F3" w:rsidRPr="009F5AF4" w:rsidRDefault="00F80DEC">
      <w:pPr>
        <w:pStyle w:val="Level1"/>
        <w:widowControl/>
        <w:tabs>
          <w:tab w:val="left" w:pos="-1440"/>
          <w:tab w:val="num" w:pos="720"/>
        </w:tabs>
        <w:rPr>
          <w:rFonts w:ascii="Arial" w:hAnsi="Arial" w:cs="Arial"/>
          <w:sz w:val="22"/>
          <w:szCs w:val="22"/>
        </w:rPr>
      </w:pPr>
      <w:r w:rsidRPr="009F5AF4">
        <w:rPr>
          <w:rFonts w:ascii="Arial" w:hAnsi="Arial" w:cs="Arial"/>
          <w:sz w:val="22"/>
          <w:szCs w:val="22"/>
        </w:rPr>
        <w:lastRenderedPageBreak/>
        <w:t>B.</w:t>
      </w:r>
      <w:r w:rsidRPr="009F5AF4">
        <w:rPr>
          <w:rFonts w:ascii="Arial" w:hAnsi="Arial" w:cs="Arial"/>
          <w:sz w:val="22"/>
          <w:szCs w:val="22"/>
        </w:rPr>
        <w:tab/>
      </w:r>
      <w:r w:rsidR="00A879F3" w:rsidRPr="009F5AF4">
        <w:rPr>
          <w:rFonts w:ascii="Arial" w:hAnsi="Arial" w:cs="Arial"/>
          <w:sz w:val="22"/>
          <w:szCs w:val="22"/>
          <w:u w:val="single"/>
        </w:rPr>
        <w:t>COLLECTIONS OF INFORMATION EMPLOYING STATISTICAL METHODS</w:t>
      </w:r>
    </w:p>
    <w:p w:rsidR="00A879F3" w:rsidRPr="009F5AF4" w:rsidRDefault="00A879F3">
      <w:pPr>
        <w:widowControl/>
        <w:rPr>
          <w:rFonts w:ascii="Arial" w:hAnsi="Arial" w:cs="Arial"/>
          <w:sz w:val="22"/>
          <w:szCs w:val="22"/>
        </w:rPr>
      </w:pPr>
    </w:p>
    <w:p w:rsidR="00A879F3" w:rsidRPr="009F5AF4" w:rsidRDefault="00A879F3">
      <w:pPr>
        <w:widowControl/>
        <w:ind w:left="720"/>
        <w:rPr>
          <w:rFonts w:ascii="Arial" w:hAnsi="Arial" w:cs="Arial"/>
          <w:sz w:val="22"/>
          <w:szCs w:val="22"/>
        </w:rPr>
      </w:pPr>
      <w:r w:rsidRPr="009F5AF4">
        <w:rPr>
          <w:rFonts w:ascii="Arial" w:hAnsi="Arial" w:cs="Arial"/>
          <w:sz w:val="22"/>
          <w:szCs w:val="22"/>
        </w:rPr>
        <w:t xml:space="preserve">Statistical methods are not used in the collection of information.  </w:t>
      </w:r>
    </w:p>
    <w:p w:rsidR="00A879F3" w:rsidRDefault="00A879F3">
      <w:pPr>
        <w:widowControl/>
      </w:pPr>
    </w:p>
    <w:p w:rsidR="004445D0" w:rsidRDefault="004445D0">
      <w:pPr>
        <w:widowControl/>
      </w:pPr>
    </w:p>
    <w:p w:rsidR="004445D0" w:rsidRPr="009F5AF4" w:rsidRDefault="004445D0">
      <w:pPr>
        <w:widowControl/>
        <w:sectPr w:rsidR="004445D0" w:rsidRPr="009F5AF4" w:rsidSect="00222DD7">
          <w:footerReference w:type="default" r:id="rId9"/>
          <w:type w:val="continuous"/>
          <w:pgSz w:w="12240" w:h="15840"/>
          <w:pgMar w:top="1440" w:right="1440" w:bottom="1440" w:left="1440" w:header="1440" w:footer="1275" w:gutter="0"/>
          <w:cols w:space="720"/>
          <w:noEndnote/>
          <w:titlePg/>
          <w:docGrid w:linePitch="326"/>
        </w:sectPr>
      </w:pPr>
    </w:p>
    <w:p w:rsidR="00A879F3" w:rsidRPr="009F5AF4" w:rsidRDefault="008F04F8" w:rsidP="008F04F8">
      <w:pPr>
        <w:widowControl/>
        <w:jc w:val="center"/>
        <w:rPr>
          <w:rFonts w:ascii="Arial" w:hAnsi="Arial" w:cs="Arial"/>
          <w:sz w:val="22"/>
          <w:szCs w:val="22"/>
          <w:u w:val="single"/>
        </w:rPr>
      </w:pPr>
      <w:r w:rsidRPr="009F5AF4">
        <w:rPr>
          <w:rFonts w:ascii="Arial" w:hAnsi="Arial" w:cs="Arial"/>
          <w:sz w:val="22"/>
          <w:szCs w:val="22"/>
          <w:u w:val="single"/>
        </w:rPr>
        <w:lastRenderedPageBreak/>
        <w:t>Table 1</w:t>
      </w:r>
    </w:p>
    <w:p w:rsidR="008F04F8" w:rsidRPr="009F5AF4" w:rsidRDefault="008F04F8" w:rsidP="008F04F8">
      <w:pPr>
        <w:widowControl/>
        <w:tabs>
          <w:tab w:val="center" w:pos="4680"/>
        </w:tabs>
        <w:jc w:val="center"/>
        <w:rPr>
          <w:rFonts w:ascii="Arial" w:hAnsi="Arial" w:cs="Arial"/>
          <w:sz w:val="22"/>
          <w:szCs w:val="22"/>
        </w:rPr>
      </w:pPr>
      <w:r w:rsidRPr="009F5AF4">
        <w:rPr>
          <w:rFonts w:ascii="Arial" w:hAnsi="Arial" w:cs="Arial"/>
          <w:sz w:val="22"/>
          <w:szCs w:val="22"/>
          <w:u w:val="single"/>
        </w:rPr>
        <w:t xml:space="preserve">Industry </w:t>
      </w:r>
      <w:r w:rsidR="00A879F3" w:rsidRPr="009F5AF4">
        <w:rPr>
          <w:rFonts w:ascii="Arial" w:hAnsi="Arial" w:cs="Arial"/>
          <w:sz w:val="22"/>
          <w:szCs w:val="22"/>
          <w:u w:val="single"/>
        </w:rPr>
        <w:t>Reporting Requirements</w:t>
      </w:r>
      <w:r w:rsidR="00436E5F" w:rsidRPr="009F5AF4">
        <w:rPr>
          <w:rFonts w:ascii="Arial" w:hAnsi="Arial" w:cs="Arial"/>
          <w:sz w:val="22"/>
          <w:szCs w:val="22"/>
          <w:u w:val="single"/>
        </w:rPr>
        <w:t xml:space="preserve"> for </w:t>
      </w:r>
      <w:r w:rsidRPr="009F5AF4">
        <w:rPr>
          <w:rFonts w:ascii="Arial" w:hAnsi="Arial" w:cs="Arial"/>
          <w:sz w:val="22"/>
          <w:szCs w:val="22"/>
          <w:u w:val="single"/>
        </w:rPr>
        <w:t>10 CFR 21</w:t>
      </w:r>
    </w:p>
    <w:p w:rsidR="00A879F3" w:rsidRPr="009F5AF4" w:rsidRDefault="00A879F3">
      <w:pPr>
        <w:widowControl/>
        <w:ind w:left="-576" w:right="-576"/>
      </w:pPr>
    </w:p>
    <w:tbl>
      <w:tblPr>
        <w:tblW w:w="0" w:type="auto"/>
        <w:tblInd w:w="-420" w:type="dxa"/>
        <w:tblCellMar>
          <w:left w:w="120" w:type="dxa"/>
          <w:right w:w="120" w:type="dxa"/>
        </w:tblCellMar>
        <w:tblLook w:val="0000" w:firstRow="0" w:lastRow="0" w:firstColumn="0" w:lastColumn="0" w:noHBand="0" w:noVBand="0"/>
      </w:tblPr>
      <w:tblGrid>
        <w:gridCol w:w="3973"/>
        <w:gridCol w:w="1506"/>
        <w:gridCol w:w="1545"/>
        <w:gridCol w:w="1638"/>
        <w:gridCol w:w="1358"/>
      </w:tblGrid>
      <w:tr w:rsidR="003F1EF4" w:rsidRPr="009F5AF4" w:rsidTr="00BA2387">
        <w:trPr>
          <w:trHeight w:val="593"/>
        </w:trPr>
        <w:tc>
          <w:tcPr>
            <w:tcW w:w="0" w:type="auto"/>
            <w:tcBorders>
              <w:top w:val="single" w:sz="7" w:space="0" w:color="000000"/>
              <w:left w:val="single" w:sz="7" w:space="0" w:color="000000"/>
              <w:bottom w:val="single" w:sz="7" w:space="0" w:color="000000"/>
              <w:right w:val="single" w:sz="7" w:space="0" w:color="000000"/>
            </w:tcBorders>
          </w:tcPr>
          <w:p w:rsidR="003F1EF4" w:rsidRPr="009F5AF4" w:rsidRDefault="003F1EF4" w:rsidP="00CF7A97">
            <w:pPr>
              <w:spacing w:line="120" w:lineRule="exact"/>
              <w:jc w:val="center"/>
            </w:pPr>
          </w:p>
          <w:p w:rsidR="003F1EF4" w:rsidRPr="009F5AF4" w:rsidRDefault="003F1EF4" w:rsidP="00CF7A97">
            <w:pPr>
              <w:widowControl/>
              <w:spacing w:after="58"/>
              <w:jc w:val="center"/>
              <w:rPr>
                <w:rFonts w:ascii="Arial" w:hAnsi="Arial" w:cs="Arial"/>
                <w:sz w:val="18"/>
                <w:szCs w:val="18"/>
              </w:rPr>
            </w:pPr>
            <w:r w:rsidRPr="009F5AF4">
              <w:rPr>
                <w:rFonts w:ascii="Arial" w:hAnsi="Arial" w:cs="Arial"/>
                <w:sz w:val="18"/>
                <w:szCs w:val="18"/>
              </w:rPr>
              <w:t>Section</w:t>
            </w:r>
          </w:p>
        </w:tc>
        <w:tc>
          <w:tcPr>
            <w:tcW w:w="0" w:type="auto"/>
            <w:tcBorders>
              <w:top w:val="single" w:sz="7" w:space="0" w:color="000000"/>
              <w:left w:val="single" w:sz="7" w:space="0" w:color="000000"/>
              <w:bottom w:val="single" w:sz="7" w:space="0" w:color="000000"/>
              <w:right w:val="single" w:sz="7" w:space="0" w:color="000000"/>
            </w:tcBorders>
          </w:tcPr>
          <w:p w:rsidR="003F1EF4" w:rsidRPr="009F5AF4" w:rsidRDefault="003F1EF4">
            <w:pPr>
              <w:spacing w:line="120" w:lineRule="exact"/>
              <w:rPr>
                <w:rFonts w:ascii="Arial" w:hAnsi="Arial" w:cs="Arial"/>
                <w:sz w:val="18"/>
                <w:szCs w:val="18"/>
              </w:rPr>
            </w:pPr>
          </w:p>
          <w:p w:rsidR="003F1EF4" w:rsidRPr="009F5AF4" w:rsidRDefault="003F1EF4">
            <w:pPr>
              <w:widowControl/>
              <w:spacing w:after="58"/>
              <w:jc w:val="center"/>
              <w:rPr>
                <w:rFonts w:ascii="Arial" w:hAnsi="Arial" w:cs="Arial"/>
                <w:sz w:val="18"/>
                <w:szCs w:val="18"/>
              </w:rPr>
            </w:pPr>
            <w:r w:rsidRPr="009F5AF4">
              <w:rPr>
                <w:rFonts w:ascii="Arial" w:hAnsi="Arial" w:cs="Arial"/>
                <w:sz w:val="18"/>
                <w:szCs w:val="18"/>
              </w:rPr>
              <w:t>No. of  Responses</w:t>
            </w:r>
            <w:r w:rsidR="001E4400" w:rsidRPr="009F5AF4">
              <w:rPr>
                <w:rStyle w:val="FootnoteReference"/>
                <w:rFonts w:ascii="Arial" w:hAnsi="Arial" w:cs="Arial"/>
                <w:sz w:val="18"/>
                <w:szCs w:val="18"/>
                <w:vertAlign w:val="superscript"/>
              </w:rPr>
              <w:footnoteReference w:id="1"/>
            </w:r>
          </w:p>
        </w:tc>
        <w:tc>
          <w:tcPr>
            <w:tcW w:w="0" w:type="auto"/>
            <w:tcBorders>
              <w:top w:val="single" w:sz="7" w:space="0" w:color="000000"/>
              <w:left w:val="single" w:sz="7" w:space="0" w:color="000000"/>
              <w:bottom w:val="single" w:sz="7" w:space="0" w:color="000000"/>
              <w:right w:val="single" w:sz="7" w:space="0" w:color="000000"/>
            </w:tcBorders>
          </w:tcPr>
          <w:p w:rsidR="003F1EF4" w:rsidRPr="009F5AF4" w:rsidRDefault="003F1EF4">
            <w:pPr>
              <w:spacing w:line="120" w:lineRule="exact"/>
              <w:rPr>
                <w:rFonts w:ascii="Arial" w:hAnsi="Arial" w:cs="Arial"/>
                <w:sz w:val="18"/>
                <w:szCs w:val="18"/>
              </w:rPr>
            </w:pPr>
          </w:p>
          <w:p w:rsidR="003F1EF4" w:rsidRPr="009F5AF4" w:rsidRDefault="003F1EF4">
            <w:pPr>
              <w:widowControl/>
              <w:spacing w:after="58"/>
              <w:jc w:val="center"/>
              <w:rPr>
                <w:rFonts w:ascii="Arial" w:hAnsi="Arial" w:cs="Arial"/>
                <w:sz w:val="18"/>
                <w:szCs w:val="18"/>
              </w:rPr>
            </w:pPr>
            <w:r w:rsidRPr="009F5AF4">
              <w:rPr>
                <w:rFonts w:ascii="Arial" w:hAnsi="Arial" w:cs="Arial"/>
                <w:sz w:val="18"/>
                <w:szCs w:val="18"/>
              </w:rPr>
              <w:t>Burden Per Response</w:t>
            </w:r>
          </w:p>
        </w:tc>
        <w:tc>
          <w:tcPr>
            <w:tcW w:w="0" w:type="auto"/>
            <w:tcBorders>
              <w:top w:val="single" w:sz="7" w:space="0" w:color="000000"/>
              <w:left w:val="single" w:sz="7" w:space="0" w:color="000000"/>
              <w:bottom w:val="single" w:sz="7" w:space="0" w:color="000000"/>
              <w:right w:val="single" w:sz="7" w:space="0" w:color="000000"/>
            </w:tcBorders>
          </w:tcPr>
          <w:p w:rsidR="003F1EF4" w:rsidRPr="009F5AF4" w:rsidRDefault="003F1EF4">
            <w:pPr>
              <w:spacing w:line="120" w:lineRule="exact"/>
              <w:rPr>
                <w:rFonts w:ascii="Arial" w:hAnsi="Arial" w:cs="Arial"/>
                <w:sz w:val="18"/>
                <w:szCs w:val="18"/>
              </w:rPr>
            </w:pPr>
          </w:p>
          <w:p w:rsidR="003F1EF4" w:rsidRPr="009F5AF4" w:rsidRDefault="003F1EF4">
            <w:pPr>
              <w:widowControl/>
              <w:spacing w:after="58"/>
              <w:jc w:val="center"/>
              <w:rPr>
                <w:rFonts w:ascii="Arial" w:hAnsi="Arial" w:cs="Arial"/>
                <w:sz w:val="18"/>
                <w:szCs w:val="18"/>
              </w:rPr>
            </w:pPr>
            <w:r w:rsidRPr="009F5AF4">
              <w:rPr>
                <w:rFonts w:ascii="Arial" w:hAnsi="Arial" w:cs="Arial"/>
                <w:sz w:val="18"/>
                <w:szCs w:val="18"/>
              </w:rPr>
              <w:t xml:space="preserve">Total Annual Burden Hours </w:t>
            </w:r>
          </w:p>
        </w:tc>
        <w:tc>
          <w:tcPr>
            <w:tcW w:w="0" w:type="auto"/>
            <w:tcBorders>
              <w:top w:val="single" w:sz="7" w:space="0" w:color="000000"/>
              <w:left w:val="single" w:sz="7" w:space="0" w:color="000000"/>
              <w:bottom w:val="single" w:sz="7" w:space="0" w:color="000000"/>
              <w:right w:val="single" w:sz="7" w:space="0" w:color="000000"/>
            </w:tcBorders>
          </w:tcPr>
          <w:p w:rsidR="003F1EF4" w:rsidRPr="009F5AF4" w:rsidRDefault="003F1EF4">
            <w:pPr>
              <w:spacing w:line="120" w:lineRule="exact"/>
              <w:rPr>
                <w:rFonts w:ascii="Arial" w:hAnsi="Arial" w:cs="Arial"/>
                <w:sz w:val="18"/>
                <w:szCs w:val="18"/>
              </w:rPr>
            </w:pPr>
          </w:p>
          <w:p w:rsidR="003F1EF4" w:rsidRPr="009F5AF4" w:rsidRDefault="003F1EF4" w:rsidP="00F94FB0">
            <w:pPr>
              <w:widowControl/>
              <w:spacing w:after="58"/>
              <w:jc w:val="center"/>
              <w:rPr>
                <w:rFonts w:ascii="Arial" w:hAnsi="Arial" w:cs="Arial"/>
                <w:sz w:val="18"/>
                <w:szCs w:val="18"/>
              </w:rPr>
            </w:pPr>
            <w:r w:rsidRPr="009F5AF4">
              <w:rPr>
                <w:rFonts w:ascii="Arial" w:hAnsi="Arial" w:cs="Arial"/>
                <w:sz w:val="18"/>
                <w:szCs w:val="18"/>
              </w:rPr>
              <w:t>Cost @ $</w:t>
            </w:r>
            <w:r w:rsidR="00FC1A09" w:rsidRPr="009F5AF4">
              <w:rPr>
                <w:rFonts w:ascii="Arial" w:hAnsi="Arial" w:cs="Arial"/>
                <w:sz w:val="18"/>
                <w:szCs w:val="18"/>
              </w:rPr>
              <w:t>272</w:t>
            </w:r>
            <w:r w:rsidRPr="009F5AF4">
              <w:rPr>
                <w:rFonts w:ascii="Arial" w:hAnsi="Arial" w:cs="Arial"/>
                <w:sz w:val="18"/>
                <w:szCs w:val="18"/>
              </w:rPr>
              <w:t>/hr)</w:t>
            </w:r>
          </w:p>
        </w:tc>
      </w:tr>
      <w:tr w:rsidR="00FC1A09" w:rsidRPr="009F5AF4" w:rsidTr="00DB62B0">
        <w:trPr>
          <w:trHeight w:val="593"/>
        </w:trPr>
        <w:tc>
          <w:tcPr>
            <w:tcW w:w="0" w:type="auto"/>
            <w:tcBorders>
              <w:top w:val="single" w:sz="7" w:space="0" w:color="000000"/>
              <w:left w:val="single" w:sz="7" w:space="0" w:color="000000"/>
              <w:bottom w:val="single" w:sz="7" w:space="0" w:color="000000"/>
              <w:right w:val="single" w:sz="7" w:space="0" w:color="000000"/>
            </w:tcBorders>
          </w:tcPr>
          <w:p w:rsidR="00FC1A09" w:rsidRPr="009F5AF4" w:rsidRDefault="00FC1A09">
            <w:pPr>
              <w:spacing w:line="120" w:lineRule="exact"/>
              <w:rPr>
                <w:rFonts w:ascii="Arial" w:hAnsi="Arial" w:cs="Arial"/>
                <w:sz w:val="18"/>
                <w:szCs w:val="18"/>
              </w:rPr>
            </w:pPr>
          </w:p>
          <w:p w:rsidR="00FC1A09" w:rsidRPr="009F5AF4" w:rsidRDefault="00FC1A09">
            <w:pPr>
              <w:widowControl/>
              <w:spacing w:after="58"/>
              <w:rPr>
                <w:rFonts w:ascii="Arial" w:hAnsi="Arial" w:cs="Arial"/>
                <w:sz w:val="18"/>
                <w:szCs w:val="18"/>
              </w:rPr>
            </w:pPr>
            <w:r w:rsidRPr="009F5AF4">
              <w:rPr>
                <w:rFonts w:ascii="Arial" w:hAnsi="Arial" w:cs="Arial"/>
                <w:sz w:val="18"/>
                <w:szCs w:val="18"/>
              </w:rPr>
              <w:t>10 CFR 21.7 (requests for exemption)</w:t>
            </w:r>
          </w:p>
        </w:tc>
        <w:tc>
          <w:tcPr>
            <w:tcW w:w="0" w:type="auto"/>
            <w:tcBorders>
              <w:top w:val="single" w:sz="7" w:space="0" w:color="000000"/>
              <w:left w:val="single" w:sz="7" w:space="0" w:color="000000"/>
              <w:bottom w:val="single" w:sz="7" w:space="0" w:color="000000"/>
              <w:right w:val="single" w:sz="7" w:space="0" w:color="000000"/>
            </w:tcBorders>
          </w:tcPr>
          <w:p w:rsidR="00FC1A09" w:rsidRPr="009F5AF4" w:rsidRDefault="00FC1A09">
            <w:pPr>
              <w:spacing w:line="120" w:lineRule="exact"/>
              <w:rPr>
                <w:rFonts w:ascii="Arial" w:hAnsi="Arial" w:cs="Arial"/>
                <w:sz w:val="18"/>
                <w:szCs w:val="18"/>
              </w:rPr>
            </w:pPr>
          </w:p>
          <w:p w:rsidR="00FC1A09" w:rsidRPr="009F5AF4" w:rsidRDefault="00FC1A09">
            <w:pPr>
              <w:widowControl/>
              <w:spacing w:after="58"/>
              <w:jc w:val="right"/>
              <w:rPr>
                <w:rFonts w:ascii="Arial" w:hAnsi="Arial" w:cs="Arial"/>
                <w:sz w:val="18"/>
                <w:szCs w:val="18"/>
              </w:rPr>
            </w:pPr>
            <w:r w:rsidRPr="009F5AF4">
              <w:rPr>
                <w:rFonts w:ascii="Arial" w:hAnsi="Arial" w:cs="Arial"/>
                <w:sz w:val="18"/>
                <w:szCs w:val="18"/>
              </w:rPr>
              <w:t>0</w:t>
            </w:r>
          </w:p>
        </w:tc>
        <w:tc>
          <w:tcPr>
            <w:tcW w:w="0" w:type="auto"/>
            <w:tcBorders>
              <w:top w:val="single" w:sz="7" w:space="0" w:color="000000"/>
              <w:left w:val="single" w:sz="7" w:space="0" w:color="000000"/>
              <w:bottom w:val="single" w:sz="7" w:space="0" w:color="000000"/>
              <w:right w:val="single" w:sz="7" w:space="0" w:color="000000"/>
            </w:tcBorders>
          </w:tcPr>
          <w:p w:rsidR="00FC1A09" w:rsidRPr="009F5AF4" w:rsidRDefault="00FC1A09">
            <w:pPr>
              <w:spacing w:line="120" w:lineRule="exact"/>
              <w:rPr>
                <w:rFonts w:ascii="Arial" w:hAnsi="Arial" w:cs="Arial"/>
                <w:sz w:val="18"/>
                <w:szCs w:val="18"/>
              </w:rPr>
            </w:pPr>
          </w:p>
          <w:p w:rsidR="00FC1A09" w:rsidRPr="009F5AF4" w:rsidRDefault="00C57C08">
            <w:pPr>
              <w:widowControl/>
              <w:spacing w:after="58"/>
              <w:jc w:val="right"/>
              <w:rPr>
                <w:rFonts w:ascii="Arial" w:hAnsi="Arial" w:cs="Arial"/>
                <w:sz w:val="18"/>
                <w:szCs w:val="18"/>
              </w:rPr>
            </w:pPr>
            <w:r w:rsidRPr="009F5AF4">
              <w:rPr>
                <w:rFonts w:ascii="Arial" w:hAnsi="Arial" w:cs="Arial"/>
                <w:sz w:val="18"/>
                <w:szCs w:val="18"/>
              </w:rPr>
              <w:t>40</w:t>
            </w:r>
          </w:p>
        </w:tc>
        <w:tc>
          <w:tcPr>
            <w:tcW w:w="0" w:type="auto"/>
            <w:tcBorders>
              <w:top w:val="single" w:sz="7" w:space="0" w:color="000000"/>
              <w:left w:val="single" w:sz="7" w:space="0" w:color="000000"/>
              <w:bottom w:val="single" w:sz="7" w:space="0" w:color="000000"/>
              <w:right w:val="single" w:sz="7" w:space="0" w:color="000000"/>
            </w:tcBorders>
            <w:vAlign w:val="center"/>
          </w:tcPr>
          <w:p w:rsidR="00FC1A09" w:rsidRPr="009F5AF4" w:rsidRDefault="00FC1A09">
            <w:pPr>
              <w:jc w:val="right"/>
              <w:rPr>
                <w:rFonts w:ascii="Arial" w:hAnsi="Arial" w:cs="Arial"/>
                <w:color w:val="000000"/>
                <w:sz w:val="18"/>
                <w:szCs w:val="18"/>
              </w:rPr>
            </w:pPr>
            <w:r w:rsidRPr="009F5AF4">
              <w:rPr>
                <w:rFonts w:ascii="Arial" w:hAnsi="Arial" w:cs="Arial"/>
                <w:color w:val="000000"/>
                <w:sz w:val="18"/>
                <w:szCs w:val="18"/>
              </w:rPr>
              <w:t>0</w:t>
            </w:r>
          </w:p>
        </w:tc>
        <w:tc>
          <w:tcPr>
            <w:tcW w:w="0" w:type="auto"/>
            <w:tcBorders>
              <w:top w:val="single" w:sz="7" w:space="0" w:color="000000"/>
              <w:left w:val="single" w:sz="7" w:space="0" w:color="000000"/>
              <w:bottom w:val="single" w:sz="7" w:space="0" w:color="000000"/>
              <w:right w:val="single" w:sz="7" w:space="0" w:color="000000"/>
            </w:tcBorders>
            <w:vAlign w:val="center"/>
          </w:tcPr>
          <w:p w:rsidR="00FC1A09" w:rsidRPr="009F5AF4" w:rsidRDefault="00FC1A09" w:rsidP="00FC1A09">
            <w:pPr>
              <w:jc w:val="right"/>
              <w:rPr>
                <w:rFonts w:ascii="Arial" w:hAnsi="Arial" w:cs="Arial"/>
                <w:color w:val="000000"/>
                <w:sz w:val="18"/>
                <w:szCs w:val="18"/>
              </w:rPr>
            </w:pPr>
            <w:r w:rsidRPr="009F5AF4">
              <w:rPr>
                <w:rFonts w:ascii="Arial" w:hAnsi="Arial" w:cs="Arial"/>
                <w:color w:val="000000"/>
                <w:sz w:val="18"/>
                <w:szCs w:val="18"/>
              </w:rPr>
              <w:t xml:space="preserve"> $0                   </w:t>
            </w:r>
          </w:p>
        </w:tc>
      </w:tr>
      <w:tr w:rsidR="00FC1A09" w:rsidRPr="009F5AF4" w:rsidTr="00DB62B0">
        <w:trPr>
          <w:trHeight w:hRule="exact" w:val="768"/>
        </w:trPr>
        <w:tc>
          <w:tcPr>
            <w:tcW w:w="0" w:type="auto"/>
            <w:tcBorders>
              <w:top w:val="single" w:sz="7" w:space="0" w:color="000000"/>
              <w:left w:val="single" w:sz="7" w:space="0" w:color="000000"/>
              <w:bottom w:val="single" w:sz="7" w:space="0" w:color="000000"/>
              <w:right w:val="single" w:sz="7" w:space="0" w:color="000000"/>
            </w:tcBorders>
          </w:tcPr>
          <w:p w:rsidR="00FC1A09" w:rsidRPr="009F5AF4" w:rsidRDefault="00FC1A09">
            <w:pPr>
              <w:spacing w:line="120" w:lineRule="exact"/>
              <w:rPr>
                <w:rFonts w:ascii="Arial" w:hAnsi="Arial" w:cs="Arial"/>
                <w:sz w:val="18"/>
                <w:szCs w:val="18"/>
              </w:rPr>
            </w:pPr>
          </w:p>
          <w:p w:rsidR="00FC1A09" w:rsidRPr="009F5AF4" w:rsidRDefault="00FC1A09">
            <w:pPr>
              <w:widowControl/>
              <w:spacing w:after="58"/>
              <w:rPr>
                <w:rFonts w:ascii="Arial" w:hAnsi="Arial" w:cs="Arial"/>
                <w:sz w:val="18"/>
                <w:szCs w:val="18"/>
              </w:rPr>
            </w:pPr>
            <w:r w:rsidRPr="009F5AF4">
              <w:rPr>
                <w:rFonts w:ascii="Arial" w:hAnsi="Arial" w:cs="Arial"/>
                <w:sz w:val="18"/>
                <w:szCs w:val="18"/>
              </w:rPr>
              <w:t>10 CFR 21.21(a)(2) Interim report (evaluation cannot be resolved in 60 days) *</w:t>
            </w:r>
          </w:p>
        </w:tc>
        <w:tc>
          <w:tcPr>
            <w:tcW w:w="0" w:type="auto"/>
            <w:tcBorders>
              <w:top w:val="single" w:sz="7" w:space="0" w:color="000000"/>
              <w:left w:val="single" w:sz="7" w:space="0" w:color="000000"/>
              <w:bottom w:val="single" w:sz="7" w:space="0" w:color="000000"/>
              <w:right w:val="single" w:sz="7" w:space="0" w:color="000000"/>
            </w:tcBorders>
          </w:tcPr>
          <w:p w:rsidR="00FC1A09" w:rsidRPr="009F5AF4" w:rsidRDefault="00FC1A09">
            <w:pPr>
              <w:spacing w:line="120" w:lineRule="exact"/>
              <w:rPr>
                <w:rFonts w:ascii="Arial" w:hAnsi="Arial" w:cs="Arial"/>
                <w:sz w:val="18"/>
                <w:szCs w:val="18"/>
              </w:rPr>
            </w:pPr>
          </w:p>
          <w:p w:rsidR="00FC1A09" w:rsidRPr="009F5AF4" w:rsidRDefault="00FC1A09">
            <w:pPr>
              <w:widowControl/>
              <w:spacing w:after="58"/>
              <w:jc w:val="right"/>
              <w:rPr>
                <w:rFonts w:ascii="Arial" w:hAnsi="Arial" w:cs="Arial"/>
                <w:sz w:val="18"/>
                <w:szCs w:val="18"/>
              </w:rPr>
            </w:pPr>
            <w:r w:rsidRPr="009F5AF4">
              <w:rPr>
                <w:rFonts w:ascii="Arial" w:hAnsi="Arial" w:cs="Arial"/>
                <w:sz w:val="18"/>
                <w:szCs w:val="18"/>
              </w:rPr>
              <w:t>28</w:t>
            </w:r>
          </w:p>
        </w:tc>
        <w:tc>
          <w:tcPr>
            <w:tcW w:w="0" w:type="auto"/>
            <w:tcBorders>
              <w:top w:val="single" w:sz="7" w:space="0" w:color="000000"/>
              <w:left w:val="single" w:sz="7" w:space="0" w:color="000000"/>
              <w:bottom w:val="single" w:sz="7" w:space="0" w:color="000000"/>
              <w:right w:val="single" w:sz="7" w:space="0" w:color="000000"/>
            </w:tcBorders>
          </w:tcPr>
          <w:p w:rsidR="00FC1A09" w:rsidRPr="009F5AF4" w:rsidRDefault="00FC1A09">
            <w:pPr>
              <w:spacing w:line="120" w:lineRule="exact"/>
              <w:rPr>
                <w:rFonts w:ascii="Arial" w:hAnsi="Arial" w:cs="Arial"/>
                <w:sz w:val="18"/>
                <w:szCs w:val="18"/>
              </w:rPr>
            </w:pPr>
          </w:p>
          <w:p w:rsidR="00FC1A09" w:rsidRPr="009F5AF4" w:rsidRDefault="00FC1A09">
            <w:pPr>
              <w:widowControl/>
              <w:spacing w:after="58"/>
              <w:jc w:val="right"/>
              <w:rPr>
                <w:rFonts w:ascii="Arial" w:hAnsi="Arial" w:cs="Arial"/>
                <w:sz w:val="18"/>
                <w:szCs w:val="18"/>
              </w:rPr>
            </w:pPr>
            <w:r w:rsidRPr="009F5AF4">
              <w:rPr>
                <w:rFonts w:ascii="Arial" w:hAnsi="Arial" w:cs="Arial"/>
                <w:sz w:val="18"/>
                <w:szCs w:val="18"/>
              </w:rPr>
              <w:t>95</w:t>
            </w:r>
          </w:p>
        </w:tc>
        <w:tc>
          <w:tcPr>
            <w:tcW w:w="0" w:type="auto"/>
            <w:tcBorders>
              <w:top w:val="single" w:sz="7" w:space="0" w:color="000000"/>
              <w:left w:val="single" w:sz="7" w:space="0" w:color="000000"/>
              <w:bottom w:val="single" w:sz="7" w:space="0" w:color="000000"/>
              <w:right w:val="single" w:sz="7" w:space="0" w:color="000000"/>
            </w:tcBorders>
            <w:vAlign w:val="center"/>
          </w:tcPr>
          <w:p w:rsidR="00FC1A09" w:rsidRPr="009F5AF4" w:rsidRDefault="00FC1A09">
            <w:pPr>
              <w:jc w:val="right"/>
              <w:rPr>
                <w:rFonts w:ascii="Arial" w:hAnsi="Arial" w:cs="Arial"/>
                <w:color w:val="000000"/>
                <w:sz w:val="18"/>
                <w:szCs w:val="18"/>
              </w:rPr>
            </w:pPr>
            <w:r w:rsidRPr="009F5AF4">
              <w:rPr>
                <w:rFonts w:ascii="Arial" w:hAnsi="Arial" w:cs="Arial"/>
                <w:color w:val="000000"/>
                <w:sz w:val="18"/>
                <w:szCs w:val="18"/>
              </w:rPr>
              <w:t xml:space="preserve">          2,660 </w:t>
            </w:r>
          </w:p>
        </w:tc>
        <w:tc>
          <w:tcPr>
            <w:tcW w:w="0" w:type="auto"/>
            <w:tcBorders>
              <w:top w:val="single" w:sz="7" w:space="0" w:color="000000"/>
              <w:left w:val="single" w:sz="7" w:space="0" w:color="000000"/>
              <w:bottom w:val="single" w:sz="7" w:space="0" w:color="000000"/>
              <w:right w:val="single" w:sz="7" w:space="0" w:color="000000"/>
            </w:tcBorders>
            <w:vAlign w:val="center"/>
          </w:tcPr>
          <w:p w:rsidR="00FC1A09" w:rsidRPr="009F5AF4" w:rsidRDefault="00FC1A09" w:rsidP="00FC1A09">
            <w:pPr>
              <w:jc w:val="right"/>
              <w:rPr>
                <w:rFonts w:ascii="Arial" w:hAnsi="Arial" w:cs="Arial"/>
                <w:color w:val="000000"/>
                <w:sz w:val="18"/>
                <w:szCs w:val="18"/>
              </w:rPr>
            </w:pPr>
            <w:r w:rsidRPr="009F5AF4">
              <w:rPr>
                <w:rFonts w:ascii="Arial" w:hAnsi="Arial" w:cs="Arial"/>
                <w:color w:val="000000"/>
                <w:sz w:val="18"/>
                <w:szCs w:val="18"/>
              </w:rPr>
              <w:t xml:space="preserve">$723,520 </w:t>
            </w:r>
          </w:p>
          <w:p w:rsidR="00FC1A09" w:rsidRPr="009F5AF4" w:rsidRDefault="00FC1A09">
            <w:pPr>
              <w:jc w:val="right"/>
              <w:rPr>
                <w:rFonts w:ascii="Arial" w:hAnsi="Arial" w:cs="Arial"/>
                <w:color w:val="000000"/>
                <w:sz w:val="18"/>
                <w:szCs w:val="18"/>
              </w:rPr>
            </w:pPr>
            <w:r w:rsidRPr="009F5AF4">
              <w:rPr>
                <w:rFonts w:ascii="Arial" w:hAnsi="Arial" w:cs="Arial"/>
                <w:color w:val="000000"/>
                <w:sz w:val="18"/>
                <w:szCs w:val="18"/>
              </w:rPr>
              <w:t xml:space="preserve"> </w:t>
            </w:r>
          </w:p>
        </w:tc>
      </w:tr>
      <w:tr w:rsidR="00FC1A09" w:rsidRPr="009F5AF4" w:rsidTr="00DB62B0">
        <w:trPr>
          <w:trHeight w:val="593"/>
        </w:trPr>
        <w:tc>
          <w:tcPr>
            <w:tcW w:w="0" w:type="auto"/>
            <w:tcBorders>
              <w:top w:val="single" w:sz="7" w:space="0" w:color="000000"/>
              <w:left w:val="single" w:sz="7" w:space="0" w:color="000000"/>
              <w:bottom w:val="single" w:sz="7" w:space="0" w:color="000000"/>
              <w:right w:val="single" w:sz="7" w:space="0" w:color="000000"/>
            </w:tcBorders>
          </w:tcPr>
          <w:p w:rsidR="00FC1A09" w:rsidRPr="009F5AF4" w:rsidRDefault="00FC1A09">
            <w:pPr>
              <w:spacing w:line="120" w:lineRule="exact"/>
              <w:rPr>
                <w:rFonts w:ascii="Arial" w:hAnsi="Arial" w:cs="Arial"/>
                <w:sz w:val="18"/>
                <w:szCs w:val="18"/>
              </w:rPr>
            </w:pPr>
          </w:p>
          <w:p w:rsidR="00FC1A09" w:rsidRPr="009F5AF4" w:rsidRDefault="00FC1A09">
            <w:pPr>
              <w:widowControl/>
              <w:spacing w:after="58"/>
              <w:rPr>
                <w:rFonts w:ascii="Arial" w:hAnsi="Arial" w:cs="Arial"/>
                <w:sz w:val="18"/>
                <w:szCs w:val="18"/>
              </w:rPr>
            </w:pPr>
            <w:r w:rsidRPr="009F5AF4">
              <w:rPr>
                <w:rFonts w:ascii="Arial" w:hAnsi="Arial" w:cs="Arial"/>
                <w:sz w:val="18"/>
                <w:szCs w:val="18"/>
              </w:rPr>
              <w:t>10 CFR 21.21(d)(3)(</w:t>
            </w:r>
            <w:proofErr w:type="spellStart"/>
            <w:r w:rsidRPr="009F5AF4">
              <w:rPr>
                <w:rFonts w:ascii="Arial" w:hAnsi="Arial" w:cs="Arial"/>
                <w:sz w:val="18"/>
                <w:szCs w:val="18"/>
              </w:rPr>
              <w:t>i</w:t>
            </w:r>
            <w:proofErr w:type="spellEnd"/>
            <w:r w:rsidRPr="009F5AF4">
              <w:rPr>
                <w:rFonts w:ascii="Arial" w:hAnsi="Arial" w:cs="Arial"/>
                <w:sz w:val="18"/>
                <w:szCs w:val="18"/>
              </w:rPr>
              <w:t>) Initial notification by facsimile or telephone</w:t>
            </w:r>
          </w:p>
        </w:tc>
        <w:tc>
          <w:tcPr>
            <w:tcW w:w="0" w:type="auto"/>
            <w:tcBorders>
              <w:top w:val="single" w:sz="7" w:space="0" w:color="000000"/>
              <w:left w:val="single" w:sz="7" w:space="0" w:color="000000"/>
              <w:bottom w:val="single" w:sz="7" w:space="0" w:color="000000"/>
              <w:right w:val="single" w:sz="7" w:space="0" w:color="000000"/>
            </w:tcBorders>
          </w:tcPr>
          <w:p w:rsidR="00FC1A09" w:rsidRPr="009F5AF4" w:rsidRDefault="00FC1A09">
            <w:pPr>
              <w:spacing w:line="120" w:lineRule="exact"/>
              <w:rPr>
                <w:rFonts w:ascii="Arial" w:hAnsi="Arial" w:cs="Arial"/>
                <w:sz w:val="18"/>
                <w:szCs w:val="18"/>
              </w:rPr>
            </w:pPr>
          </w:p>
          <w:p w:rsidR="00FC1A09" w:rsidRPr="009F5AF4" w:rsidRDefault="00FC1A09">
            <w:pPr>
              <w:widowControl/>
              <w:spacing w:after="58"/>
              <w:jc w:val="right"/>
              <w:rPr>
                <w:rFonts w:ascii="Arial" w:hAnsi="Arial" w:cs="Arial"/>
                <w:sz w:val="18"/>
                <w:szCs w:val="18"/>
              </w:rPr>
            </w:pPr>
            <w:r w:rsidRPr="009F5AF4">
              <w:rPr>
                <w:rFonts w:ascii="Arial" w:hAnsi="Arial" w:cs="Arial"/>
                <w:sz w:val="18"/>
                <w:szCs w:val="18"/>
              </w:rPr>
              <w:t>20</w:t>
            </w:r>
          </w:p>
        </w:tc>
        <w:tc>
          <w:tcPr>
            <w:tcW w:w="0" w:type="auto"/>
            <w:tcBorders>
              <w:top w:val="single" w:sz="7" w:space="0" w:color="000000"/>
              <w:left w:val="single" w:sz="7" w:space="0" w:color="000000"/>
              <w:bottom w:val="single" w:sz="7" w:space="0" w:color="000000"/>
              <w:right w:val="single" w:sz="7" w:space="0" w:color="000000"/>
            </w:tcBorders>
          </w:tcPr>
          <w:p w:rsidR="00FC1A09" w:rsidRPr="009F5AF4" w:rsidRDefault="00FC1A09">
            <w:pPr>
              <w:spacing w:line="120" w:lineRule="exact"/>
              <w:rPr>
                <w:rFonts w:ascii="Arial" w:hAnsi="Arial" w:cs="Arial"/>
                <w:sz w:val="18"/>
                <w:szCs w:val="18"/>
              </w:rPr>
            </w:pPr>
          </w:p>
          <w:p w:rsidR="00FC1A09" w:rsidRPr="009F5AF4" w:rsidRDefault="00FC1A09">
            <w:pPr>
              <w:widowControl/>
              <w:spacing w:after="58"/>
              <w:jc w:val="right"/>
              <w:rPr>
                <w:rFonts w:ascii="Arial" w:hAnsi="Arial" w:cs="Arial"/>
                <w:sz w:val="18"/>
                <w:szCs w:val="18"/>
              </w:rPr>
            </w:pPr>
            <w:r w:rsidRPr="009F5AF4">
              <w:rPr>
                <w:rFonts w:ascii="Arial" w:hAnsi="Arial" w:cs="Arial"/>
                <w:sz w:val="18"/>
                <w:szCs w:val="18"/>
              </w:rPr>
              <w:t>2</w:t>
            </w:r>
          </w:p>
        </w:tc>
        <w:tc>
          <w:tcPr>
            <w:tcW w:w="0" w:type="auto"/>
            <w:tcBorders>
              <w:top w:val="single" w:sz="7" w:space="0" w:color="000000"/>
              <w:left w:val="single" w:sz="7" w:space="0" w:color="000000"/>
              <w:bottom w:val="single" w:sz="7" w:space="0" w:color="000000"/>
              <w:right w:val="single" w:sz="7" w:space="0" w:color="000000"/>
            </w:tcBorders>
            <w:vAlign w:val="center"/>
          </w:tcPr>
          <w:p w:rsidR="00FC1A09" w:rsidRPr="009F5AF4" w:rsidRDefault="00FC1A09">
            <w:pPr>
              <w:jc w:val="right"/>
              <w:rPr>
                <w:rFonts w:ascii="Arial" w:hAnsi="Arial" w:cs="Arial"/>
                <w:color w:val="000000"/>
                <w:sz w:val="18"/>
                <w:szCs w:val="18"/>
              </w:rPr>
            </w:pPr>
            <w:r w:rsidRPr="009F5AF4">
              <w:rPr>
                <w:rFonts w:ascii="Arial" w:hAnsi="Arial" w:cs="Arial"/>
                <w:color w:val="000000"/>
                <w:sz w:val="18"/>
                <w:szCs w:val="18"/>
              </w:rPr>
              <w:t xml:space="preserve">               40 </w:t>
            </w:r>
          </w:p>
        </w:tc>
        <w:tc>
          <w:tcPr>
            <w:tcW w:w="0" w:type="auto"/>
            <w:tcBorders>
              <w:top w:val="single" w:sz="7" w:space="0" w:color="000000"/>
              <w:left w:val="single" w:sz="7" w:space="0" w:color="000000"/>
              <w:bottom w:val="single" w:sz="7" w:space="0" w:color="000000"/>
              <w:right w:val="single" w:sz="7" w:space="0" w:color="000000"/>
            </w:tcBorders>
            <w:vAlign w:val="center"/>
          </w:tcPr>
          <w:p w:rsidR="00FC1A09" w:rsidRPr="009F5AF4" w:rsidRDefault="00FC1A09" w:rsidP="00FC1A09">
            <w:pPr>
              <w:jc w:val="right"/>
              <w:rPr>
                <w:rFonts w:ascii="Arial" w:hAnsi="Arial" w:cs="Arial"/>
                <w:color w:val="000000"/>
                <w:sz w:val="18"/>
                <w:szCs w:val="18"/>
              </w:rPr>
            </w:pPr>
            <w:r w:rsidRPr="009F5AF4">
              <w:rPr>
                <w:rFonts w:ascii="Arial" w:hAnsi="Arial" w:cs="Arial"/>
                <w:color w:val="000000"/>
                <w:sz w:val="18"/>
                <w:szCs w:val="18"/>
              </w:rPr>
              <w:t xml:space="preserve"> $10,880 </w:t>
            </w:r>
          </w:p>
        </w:tc>
      </w:tr>
      <w:tr w:rsidR="00FC1A09" w:rsidRPr="009F5AF4" w:rsidTr="00DB62B0">
        <w:trPr>
          <w:trHeight w:val="609"/>
        </w:trPr>
        <w:tc>
          <w:tcPr>
            <w:tcW w:w="0" w:type="auto"/>
            <w:tcBorders>
              <w:top w:val="single" w:sz="7" w:space="0" w:color="000000"/>
              <w:left w:val="single" w:sz="7" w:space="0" w:color="000000"/>
              <w:bottom w:val="single" w:sz="7" w:space="0" w:color="000000"/>
              <w:right w:val="single" w:sz="7" w:space="0" w:color="000000"/>
            </w:tcBorders>
          </w:tcPr>
          <w:p w:rsidR="00FC1A09" w:rsidRPr="009F5AF4" w:rsidRDefault="00FC1A09">
            <w:pPr>
              <w:spacing w:line="120" w:lineRule="exact"/>
              <w:rPr>
                <w:rFonts w:ascii="Arial" w:hAnsi="Arial" w:cs="Arial"/>
                <w:sz w:val="18"/>
                <w:szCs w:val="18"/>
              </w:rPr>
            </w:pPr>
          </w:p>
          <w:p w:rsidR="00FC1A09" w:rsidRPr="009F5AF4" w:rsidRDefault="00FC1A09">
            <w:pPr>
              <w:widowControl/>
              <w:spacing w:after="58"/>
              <w:rPr>
                <w:rFonts w:ascii="Arial" w:hAnsi="Arial" w:cs="Arial"/>
                <w:sz w:val="18"/>
                <w:szCs w:val="18"/>
              </w:rPr>
            </w:pPr>
            <w:r w:rsidRPr="009F5AF4">
              <w:rPr>
                <w:rFonts w:ascii="Arial" w:hAnsi="Arial" w:cs="Arial"/>
                <w:sz w:val="18"/>
                <w:szCs w:val="18"/>
              </w:rPr>
              <w:t>10 CFR 21.21(d)(3)(ii)  30</w:t>
            </w:r>
            <w:r w:rsidRPr="009F5AF4">
              <w:rPr>
                <w:rFonts w:ascii="Arial" w:hAnsi="Arial" w:cs="Arial"/>
                <w:sz w:val="18"/>
                <w:szCs w:val="18"/>
              </w:rPr>
              <w:noBreakHyphen/>
              <w:t>day written notification</w:t>
            </w:r>
          </w:p>
        </w:tc>
        <w:tc>
          <w:tcPr>
            <w:tcW w:w="0" w:type="auto"/>
            <w:tcBorders>
              <w:top w:val="single" w:sz="7" w:space="0" w:color="000000"/>
              <w:left w:val="single" w:sz="7" w:space="0" w:color="000000"/>
              <w:bottom w:val="single" w:sz="7" w:space="0" w:color="000000"/>
              <w:right w:val="single" w:sz="7" w:space="0" w:color="000000"/>
            </w:tcBorders>
          </w:tcPr>
          <w:p w:rsidR="00FC1A09" w:rsidRPr="009F5AF4" w:rsidRDefault="00FC1A09">
            <w:pPr>
              <w:spacing w:line="120" w:lineRule="exact"/>
              <w:rPr>
                <w:rFonts w:ascii="Arial" w:hAnsi="Arial" w:cs="Arial"/>
                <w:sz w:val="18"/>
                <w:szCs w:val="18"/>
              </w:rPr>
            </w:pPr>
          </w:p>
          <w:p w:rsidR="00FC1A09" w:rsidRPr="009F5AF4" w:rsidRDefault="00FC1A09">
            <w:pPr>
              <w:widowControl/>
              <w:spacing w:after="58"/>
              <w:jc w:val="right"/>
              <w:rPr>
                <w:rFonts w:ascii="Arial" w:hAnsi="Arial" w:cs="Arial"/>
                <w:sz w:val="18"/>
                <w:szCs w:val="18"/>
              </w:rPr>
            </w:pPr>
            <w:r w:rsidRPr="009F5AF4">
              <w:rPr>
                <w:rFonts w:ascii="Arial" w:hAnsi="Arial" w:cs="Arial"/>
                <w:sz w:val="18"/>
                <w:szCs w:val="18"/>
              </w:rPr>
              <w:t>48</w:t>
            </w:r>
          </w:p>
        </w:tc>
        <w:tc>
          <w:tcPr>
            <w:tcW w:w="0" w:type="auto"/>
            <w:tcBorders>
              <w:top w:val="single" w:sz="7" w:space="0" w:color="000000"/>
              <w:left w:val="single" w:sz="7" w:space="0" w:color="000000"/>
              <w:bottom w:val="single" w:sz="7" w:space="0" w:color="000000"/>
              <w:right w:val="single" w:sz="7" w:space="0" w:color="000000"/>
            </w:tcBorders>
          </w:tcPr>
          <w:p w:rsidR="00FC1A09" w:rsidRPr="009F5AF4" w:rsidRDefault="00FC1A09">
            <w:pPr>
              <w:spacing w:line="120" w:lineRule="exact"/>
              <w:rPr>
                <w:rFonts w:ascii="Arial" w:hAnsi="Arial" w:cs="Arial"/>
                <w:sz w:val="18"/>
                <w:szCs w:val="18"/>
              </w:rPr>
            </w:pPr>
          </w:p>
          <w:p w:rsidR="00FC1A09" w:rsidRPr="009F5AF4" w:rsidRDefault="00FC1A09">
            <w:pPr>
              <w:widowControl/>
              <w:spacing w:after="58"/>
              <w:jc w:val="right"/>
              <w:rPr>
                <w:rFonts w:ascii="Arial" w:hAnsi="Arial" w:cs="Arial"/>
                <w:sz w:val="18"/>
                <w:szCs w:val="18"/>
              </w:rPr>
            </w:pPr>
            <w:r w:rsidRPr="009F5AF4">
              <w:rPr>
                <w:rFonts w:ascii="Arial" w:hAnsi="Arial" w:cs="Arial"/>
                <w:sz w:val="18"/>
                <w:szCs w:val="18"/>
              </w:rPr>
              <w:t>140</w:t>
            </w:r>
          </w:p>
        </w:tc>
        <w:tc>
          <w:tcPr>
            <w:tcW w:w="0" w:type="auto"/>
            <w:tcBorders>
              <w:top w:val="single" w:sz="7" w:space="0" w:color="000000"/>
              <w:left w:val="single" w:sz="7" w:space="0" w:color="000000"/>
              <w:bottom w:val="single" w:sz="7" w:space="0" w:color="000000"/>
              <w:right w:val="single" w:sz="7" w:space="0" w:color="000000"/>
            </w:tcBorders>
            <w:vAlign w:val="center"/>
          </w:tcPr>
          <w:p w:rsidR="00FC1A09" w:rsidRPr="009F5AF4" w:rsidRDefault="00FC1A09">
            <w:pPr>
              <w:jc w:val="right"/>
              <w:rPr>
                <w:rFonts w:ascii="Arial" w:hAnsi="Arial" w:cs="Arial"/>
                <w:color w:val="000000"/>
                <w:sz w:val="18"/>
                <w:szCs w:val="18"/>
              </w:rPr>
            </w:pPr>
            <w:r w:rsidRPr="009F5AF4">
              <w:rPr>
                <w:rFonts w:ascii="Arial" w:hAnsi="Arial" w:cs="Arial"/>
                <w:color w:val="000000"/>
                <w:sz w:val="18"/>
                <w:szCs w:val="18"/>
              </w:rPr>
              <w:t xml:space="preserve">          6,720 </w:t>
            </w:r>
          </w:p>
        </w:tc>
        <w:tc>
          <w:tcPr>
            <w:tcW w:w="0" w:type="auto"/>
            <w:tcBorders>
              <w:top w:val="single" w:sz="7" w:space="0" w:color="000000"/>
              <w:left w:val="single" w:sz="7" w:space="0" w:color="000000"/>
              <w:bottom w:val="single" w:sz="7" w:space="0" w:color="000000"/>
              <w:right w:val="single" w:sz="7" w:space="0" w:color="000000"/>
            </w:tcBorders>
            <w:vAlign w:val="center"/>
          </w:tcPr>
          <w:p w:rsidR="00FC1A09" w:rsidRPr="009F5AF4" w:rsidRDefault="00FC1A09" w:rsidP="00FC1A09">
            <w:pPr>
              <w:jc w:val="right"/>
              <w:rPr>
                <w:rFonts w:ascii="Arial" w:hAnsi="Arial" w:cs="Arial"/>
                <w:color w:val="000000"/>
                <w:sz w:val="18"/>
                <w:szCs w:val="18"/>
              </w:rPr>
            </w:pPr>
            <w:r w:rsidRPr="009F5AF4">
              <w:rPr>
                <w:rFonts w:ascii="Arial" w:hAnsi="Arial" w:cs="Arial"/>
                <w:color w:val="000000"/>
                <w:sz w:val="18"/>
                <w:szCs w:val="18"/>
              </w:rPr>
              <w:t xml:space="preserve"> $1,827,840 </w:t>
            </w:r>
          </w:p>
        </w:tc>
      </w:tr>
      <w:tr w:rsidR="00012F9A" w:rsidRPr="009F5AF4" w:rsidTr="00DB62B0">
        <w:trPr>
          <w:trHeight w:val="380"/>
        </w:trPr>
        <w:tc>
          <w:tcPr>
            <w:tcW w:w="0" w:type="auto"/>
            <w:tcBorders>
              <w:top w:val="single" w:sz="7" w:space="0" w:color="000000"/>
              <w:left w:val="single" w:sz="7" w:space="0" w:color="000000"/>
              <w:bottom w:val="single" w:sz="7" w:space="0" w:color="000000"/>
              <w:right w:val="single" w:sz="7" w:space="0" w:color="000000"/>
            </w:tcBorders>
          </w:tcPr>
          <w:p w:rsidR="00012F9A" w:rsidRPr="009F5AF4" w:rsidRDefault="00012F9A">
            <w:pPr>
              <w:spacing w:line="120" w:lineRule="exact"/>
              <w:rPr>
                <w:rFonts w:ascii="Arial" w:hAnsi="Arial" w:cs="Arial"/>
                <w:sz w:val="18"/>
                <w:szCs w:val="18"/>
              </w:rPr>
            </w:pPr>
          </w:p>
          <w:p w:rsidR="00012F9A" w:rsidRPr="009F5AF4" w:rsidRDefault="00012F9A">
            <w:pPr>
              <w:widowControl/>
              <w:spacing w:after="58"/>
              <w:rPr>
                <w:rFonts w:ascii="Arial" w:hAnsi="Arial" w:cs="Arial"/>
                <w:sz w:val="18"/>
                <w:szCs w:val="18"/>
              </w:rPr>
            </w:pPr>
            <w:r w:rsidRPr="009F5AF4">
              <w:rPr>
                <w:rFonts w:ascii="Arial" w:hAnsi="Arial" w:cs="Arial"/>
                <w:sz w:val="18"/>
                <w:szCs w:val="18"/>
              </w:rPr>
              <w:t>TOTAL</w:t>
            </w:r>
          </w:p>
        </w:tc>
        <w:tc>
          <w:tcPr>
            <w:tcW w:w="0" w:type="auto"/>
            <w:tcBorders>
              <w:top w:val="single" w:sz="7" w:space="0" w:color="000000"/>
              <w:left w:val="single" w:sz="7" w:space="0" w:color="000000"/>
              <w:bottom w:val="single" w:sz="7" w:space="0" w:color="000000"/>
              <w:right w:val="single" w:sz="7" w:space="0" w:color="000000"/>
            </w:tcBorders>
          </w:tcPr>
          <w:p w:rsidR="00012F9A" w:rsidRPr="009F5AF4" w:rsidRDefault="00012F9A">
            <w:pPr>
              <w:spacing w:line="120" w:lineRule="exact"/>
              <w:rPr>
                <w:rFonts w:ascii="Arial" w:hAnsi="Arial" w:cs="Arial"/>
                <w:sz w:val="18"/>
                <w:szCs w:val="18"/>
              </w:rPr>
            </w:pPr>
          </w:p>
          <w:p w:rsidR="00012F9A" w:rsidRPr="009F5AF4" w:rsidRDefault="00E32284">
            <w:pPr>
              <w:widowControl/>
              <w:spacing w:after="58"/>
              <w:jc w:val="right"/>
              <w:rPr>
                <w:rFonts w:ascii="Arial" w:hAnsi="Arial" w:cs="Arial"/>
                <w:sz w:val="18"/>
                <w:szCs w:val="18"/>
              </w:rPr>
            </w:pPr>
            <w:r w:rsidRPr="009F5AF4">
              <w:rPr>
                <w:rFonts w:ascii="Arial" w:hAnsi="Arial" w:cs="Arial"/>
                <w:sz w:val="18"/>
                <w:szCs w:val="18"/>
              </w:rPr>
              <w:t>96</w:t>
            </w:r>
          </w:p>
        </w:tc>
        <w:tc>
          <w:tcPr>
            <w:tcW w:w="0" w:type="auto"/>
            <w:tcBorders>
              <w:top w:val="single" w:sz="7" w:space="0" w:color="000000"/>
              <w:left w:val="single" w:sz="7" w:space="0" w:color="000000"/>
              <w:bottom w:val="single" w:sz="7" w:space="0" w:color="000000"/>
              <w:right w:val="single" w:sz="7" w:space="0" w:color="000000"/>
            </w:tcBorders>
          </w:tcPr>
          <w:p w:rsidR="00012F9A" w:rsidRPr="009F5AF4" w:rsidRDefault="00012F9A">
            <w:pPr>
              <w:spacing w:line="120" w:lineRule="exact"/>
              <w:rPr>
                <w:rFonts w:ascii="Arial" w:hAnsi="Arial" w:cs="Arial"/>
                <w:sz w:val="18"/>
                <w:szCs w:val="18"/>
              </w:rPr>
            </w:pPr>
          </w:p>
          <w:p w:rsidR="00012F9A" w:rsidRPr="009F5AF4" w:rsidRDefault="00012F9A">
            <w:pPr>
              <w:widowControl/>
              <w:spacing w:after="58"/>
              <w:jc w:val="right"/>
              <w:rPr>
                <w:rFonts w:ascii="Arial" w:hAnsi="Arial" w:cs="Arial"/>
                <w:sz w:val="18"/>
                <w:szCs w:val="18"/>
              </w:rPr>
            </w:pPr>
          </w:p>
        </w:tc>
        <w:tc>
          <w:tcPr>
            <w:tcW w:w="0" w:type="auto"/>
            <w:tcBorders>
              <w:top w:val="single" w:sz="7" w:space="0" w:color="000000"/>
              <w:left w:val="single" w:sz="7" w:space="0" w:color="000000"/>
              <w:bottom w:val="single" w:sz="7" w:space="0" w:color="000000"/>
              <w:right w:val="single" w:sz="7" w:space="0" w:color="000000"/>
            </w:tcBorders>
            <w:vAlign w:val="center"/>
          </w:tcPr>
          <w:p w:rsidR="00012F9A" w:rsidRPr="009F5AF4" w:rsidRDefault="00012F9A" w:rsidP="00012F9A">
            <w:pPr>
              <w:jc w:val="right"/>
              <w:rPr>
                <w:rFonts w:ascii="Arial" w:hAnsi="Arial" w:cs="Arial"/>
                <w:color w:val="000000"/>
                <w:sz w:val="18"/>
                <w:szCs w:val="18"/>
              </w:rPr>
            </w:pPr>
            <w:r w:rsidRPr="009F5AF4">
              <w:rPr>
                <w:rFonts w:ascii="Arial" w:hAnsi="Arial" w:cs="Arial"/>
                <w:color w:val="000000"/>
                <w:sz w:val="18"/>
                <w:szCs w:val="18"/>
              </w:rPr>
              <w:t xml:space="preserve">          9,420 </w:t>
            </w:r>
          </w:p>
        </w:tc>
        <w:tc>
          <w:tcPr>
            <w:tcW w:w="0" w:type="auto"/>
            <w:tcBorders>
              <w:top w:val="single" w:sz="7" w:space="0" w:color="000000"/>
              <w:left w:val="single" w:sz="7" w:space="0" w:color="000000"/>
              <w:bottom w:val="single" w:sz="7" w:space="0" w:color="000000"/>
              <w:right w:val="single" w:sz="7" w:space="0" w:color="000000"/>
            </w:tcBorders>
            <w:vAlign w:val="center"/>
          </w:tcPr>
          <w:p w:rsidR="00012F9A" w:rsidRPr="009F5AF4" w:rsidRDefault="00012F9A">
            <w:pPr>
              <w:rPr>
                <w:rFonts w:ascii="Arial" w:hAnsi="Arial" w:cs="Arial"/>
                <w:color w:val="000000"/>
                <w:sz w:val="18"/>
                <w:szCs w:val="18"/>
              </w:rPr>
            </w:pPr>
            <w:r w:rsidRPr="009F5AF4">
              <w:rPr>
                <w:rFonts w:ascii="Arial" w:hAnsi="Arial" w:cs="Arial"/>
                <w:color w:val="000000"/>
                <w:sz w:val="18"/>
                <w:szCs w:val="18"/>
              </w:rPr>
              <w:t xml:space="preserve"> $   2,562,240 </w:t>
            </w:r>
          </w:p>
        </w:tc>
      </w:tr>
    </w:tbl>
    <w:p w:rsidR="00A879F3" w:rsidRPr="009F5AF4" w:rsidRDefault="00A879F3" w:rsidP="008D20BA">
      <w:pPr>
        <w:widowControl/>
        <w:ind w:right="-450"/>
        <w:rPr>
          <w:rFonts w:ascii="Arial" w:hAnsi="Arial" w:cs="Arial"/>
          <w:sz w:val="22"/>
          <w:szCs w:val="22"/>
        </w:rPr>
      </w:pPr>
    </w:p>
    <w:p w:rsidR="00A879F3" w:rsidRPr="009F5AF4" w:rsidRDefault="00CA3D22" w:rsidP="00264C26">
      <w:pPr>
        <w:widowControl/>
        <w:ind w:left="-450" w:right="-450"/>
        <w:rPr>
          <w:rFonts w:ascii="Arial" w:hAnsi="Arial" w:cs="Arial"/>
          <w:sz w:val="22"/>
          <w:szCs w:val="22"/>
        </w:rPr>
      </w:pPr>
      <w:r w:rsidRPr="009F5AF4">
        <w:rPr>
          <w:rFonts w:ascii="Arial" w:hAnsi="Arial" w:cs="Arial"/>
          <w:sz w:val="22"/>
          <w:szCs w:val="22"/>
        </w:rPr>
        <w:t xml:space="preserve">* </w:t>
      </w:r>
      <w:r w:rsidRPr="009F5AF4">
        <w:rPr>
          <w:rFonts w:ascii="Arial" w:hAnsi="Arial" w:cs="Arial"/>
          <w:sz w:val="18"/>
          <w:szCs w:val="18"/>
        </w:rPr>
        <w:t>= Requirement to submit initial notification under</w:t>
      </w:r>
      <w:r w:rsidRPr="009F5AF4">
        <w:rPr>
          <w:rFonts w:ascii="Arial" w:hAnsi="Arial" w:cs="Arial"/>
          <w:sz w:val="22"/>
          <w:szCs w:val="22"/>
        </w:rPr>
        <w:t xml:space="preserve"> </w:t>
      </w:r>
      <w:r w:rsidRPr="009F5AF4">
        <w:rPr>
          <w:rFonts w:ascii="Arial" w:hAnsi="Arial" w:cs="Arial"/>
          <w:sz w:val="18"/>
          <w:szCs w:val="18"/>
        </w:rPr>
        <w:t>10 CFR 21.21(d</w:t>
      </w:r>
      <w:proofErr w:type="gramStart"/>
      <w:r w:rsidRPr="009F5AF4">
        <w:rPr>
          <w:rFonts w:ascii="Arial" w:hAnsi="Arial" w:cs="Arial"/>
          <w:sz w:val="18"/>
          <w:szCs w:val="18"/>
        </w:rPr>
        <w:t>)(</w:t>
      </w:r>
      <w:proofErr w:type="gramEnd"/>
      <w:r w:rsidRPr="009F5AF4">
        <w:rPr>
          <w:rFonts w:ascii="Arial" w:hAnsi="Arial" w:cs="Arial"/>
          <w:sz w:val="18"/>
          <w:szCs w:val="18"/>
        </w:rPr>
        <w:t>3)(</w:t>
      </w:r>
      <w:proofErr w:type="spellStart"/>
      <w:r w:rsidRPr="009F5AF4">
        <w:rPr>
          <w:rFonts w:ascii="Arial" w:hAnsi="Arial" w:cs="Arial"/>
          <w:sz w:val="18"/>
          <w:szCs w:val="18"/>
        </w:rPr>
        <w:t>i</w:t>
      </w:r>
      <w:proofErr w:type="spellEnd"/>
      <w:r w:rsidRPr="009F5AF4">
        <w:rPr>
          <w:rFonts w:ascii="Arial" w:hAnsi="Arial" w:cs="Arial"/>
          <w:sz w:val="18"/>
          <w:szCs w:val="18"/>
        </w:rPr>
        <w:t>) does not apply to interim reports</w:t>
      </w:r>
      <w:r w:rsidR="00264C26" w:rsidRPr="009F5AF4">
        <w:rPr>
          <w:rFonts w:ascii="Arial" w:hAnsi="Arial" w:cs="Arial"/>
          <w:sz w:val="18"/>
          <w:szCs w:val="18"/>
        </w:rPr>
        <w:t>.</w:t>
      </w:r>
    </w:p>
    <w:p w:rsidR="007A668D" w:rsidRPr="009F5AF4" w:rsidRDefault="007A668D">
      <w:pPr>
        <w:widowControl/>
        <w:autoSpaceDE/>
        <w:autoSpaceDN/>
        <w:adjustRightInd/>
        <w:rPr>
          <w:rFonts w:ascii="Arial" w:hAnsi="Arial" w:cs="Arial"/>
          <w:sz w:val="22"/>
          <w:szCs w:val="22"/>
        </w:rPr>
      </w:pPr>
    </w:p>
    <w:p w:rsidR="007A668D" w:rsidRPr="009F5AF4" w:rsidRDefault="007A668D">
      <w:pPr>
        <w:widowControl/>
        <w:autoSpaceDE/>
        <w:autoSpaceDN/>
        <w:adjustRightInd/>
        <w:rPr>
          <w:rFonts w:ascii="Arial" w:hAnsi="Arial" w:cs="Arial"/>
          <w:sz w:val="22"/>
          <w:szCs w:val="22"/>
        </w:rPr>
      </w:pPr>
    </w:p>
    <w:p w:rsidR="007A668D" w:rsidRPr="009F5AF4" w:rsidRDefault="007A668D">
      <w:pPr>
        <w:widowControl/>
        <w:autoSpaceDE/>
        <w:autoSpaceDN/>
        <w:adjustRightInd/>
        <w:rPr>
          <w:rFonts w:ascii="Arial" w:hAnsi="Arial" w:cs="Arial"/>
          <w:sz w:val="22"/>
          <w:szCs w:val="22"/>
        </w:rPr>
      </w:pPr>
    </w:p>
    <w:p w:rsidR="007A668D" w:rsidRPr="009F5AF4" w:rsidRDefault="007A668D">
      <w:pPr>
        <w:widowControl/>
        <w:autoSpaceDE/>
        <w:autoSpaceDN/>
        <w:adjustRightInd/>
        <w:rPr>
          <w:rFonts w:ascii="Arial" w:hAnsi="Arial" w:cs="Arial"/>
          <w:sz w:val="22"/>
          <w:szCs w:val="22"/>
        </w:rPr>
      </w:pPr>
    </w:p>
    <w:p w:rsidR="007A668D" w:rsidRPr="009F5AF4" w:rsidRDefault="007A668D">
      <w:pPr>
        <w:widowControl/>
        <w:autoSpaceDE/>
        <w:autoSpaceDN/>
        <w:adjustRightInd/>
        <w:rPr>
          <w:rFonts w:ascii="Arial" w:hAnsi="Arial" w:cs="Arial"/>
          <w:sz w:val="22"/>
          <w:szCs w:val="22"/>
        </w:rPr>
      </w:pPr>
      <w:r w:rsidRPr="009F5AF4">
        <w:rPr>
          <w:rFonts w:ascii="Arial" w:hAnsi="Arial" w:cs="Arial"/>
          <w:sz w:val="22"/>
          <w:szCs w:val="22"/>
        </w:rPr>
        <w:br w:type="page"/>
      </w:r>
    </w:p>
    <w:p w:rsidR="008F04F8" w:rsidRPr="009F5AF4" w:rsidRDefault="008F04F8" w:rsidP="008F04F8">
      <w:pPr>
        <w:widowControl/>
        <w:tabs>
          <w:tab w:val="center" w:pos="4680"/>
        </w:tabs>
        <w:rPr>
          <w:rFonts w:ascii="Arial" w:hAnsi="Arial" w:cs="Arial"/>
          <w:sz w:val="22"/>
          <w:szCs w:val="22"/>
        </w:rPr>
      </w:pPr>
    </w:p>
    <w:p w:rsidR="008F04F8" w:rsidRPr="009F5AF4" w:rsidRDefault="008F04F8" w:rsidP="008F04F8">
      <w:pPr>
        <w:widowControl/>
        <w:jc w:val="center"/>
        <w:rPr>
          <w:rFonts w:ascii="Arial" w:hAnsi="Arial" w:cs="Arial"/>
          <w:sz w:val="22"/>
          <w:szCs w:val="22"/>
          <w:u w:val="single"/>
        </w:rPr>
      </w:pPr>
      <w:r w:rsidRPr="009F5AF4">
        <w:rPr>
          <w:rFonts w:ascii="Arial" w:hAnsi="Arial" w:cs="Arial"/>
          <w:sz w:val="22"/>
          <w:szCs w:val="22"/>
          <w:u w:val="single"/>
        </w:rPr>
        <w:t>Table 2</w:t>
      </w:r>
    </w:p>
    <w:p w:rsidR="008F04F8" w:rsidRPr="009F5AF4" w:rsidRDefault="008F04F8" w:rsidP="008F04F8">
      <w:pPr>
        <w:widowControl/>
        <w:tabs>
          <w:tab w:val="center" w:pos="4680"/>
        </w:tabs>
        <w:jc w:val="center"/>
        <w:rPr>
          <w:rFonts w:ascii="Arial" w:hAnsi="Arial" w:cs="Arial"/>
          <w:sz w:val="22"/>
          <w:szCs w:val="22"/>
        </w:rPr>
      </w:pPr>
      <w:r w:rsidRPr="009F5AF4">
        <w:rPr>
          <w:rFonts w:ascii="Arial" w:hAnsi="Arial" w:cs="Arial"/>
          <w:sz w:val="22"/>
          <w:szCs w:val="22"/>
          <w:u w:val="single"/>
        </w:rPr>
        <w:t>Industry Recordkeeping Requirements</w:t>
      </w:r>
      <w:r w:rsidR="00436E5F" w:rsidRPr="009F5AF4">
        <w:rPr>
          <w:rFonts w:ascii="Arial" w:hAnsi="Arial" w:cs="Arial"/>
          <w:sz w:val="22"/>
          <w:szCs w:val="22"/>
          <w:u w:val="single"/>
        </w:rPr>
        <w:t xml:space="preserve"> for </w:t>
      </w:r>
      <w:r w:rsidRPr="009F5AF4">
        <w:rPr>
          <w:rFonts w:ascii="Arial" w:hAnsi="Arial" w:cs="Arial"/>
          <w:sz w:val="22"/>
          <w:szCs w:val="22"/>
          <w:u w:val="single"/>
        </w:rPr>
        <w:t>10 CFR 21</w:t>
      </w:r>
    </w:p>
    <w:p w:rsidR="00A41416" w:rsidRDefault="00A41416">
      <w:pPr>
        <w:widowControl/>
        <w:autoSpaceDE/>
        <w:autoSpaceDN/>
        <w:adjustRightInd/>
        <w:rPr>
          <w:rFonts w:ascii="Arial" w:hAnsi="Arial" w:cs="Arial"/>
          <w:sz w:val="18"/>
          <w:szCs w:val="18"/>
        </w:rPr>
      </w:pPr>
    </w:p>
    <w:tbl>
      <w:tblPr>
        <w:tblW w:w="9195" w:type="dxa"/>
        <w:tblInd w:w="93" w:type="dxa"/>
        <w:tblLook w:val="04A0" w:firstRow="1" w:lastRow="0" w:firstColumn="1" w:lastColumn="0" w:noHBand="0" w:noVBand="1"/>
      </w:tblPr>
      <w:tblGrid>
        <w:gridCol w:w="2805"/>
        <w:gridCol w:w="1597"/>
        <w:gridCol w:w="1598"/>
        <w:gridCol w:w="1597"/>
        <w:gridCol w:w="1598"/>
      </w:tblGrid>
      <w:tr w:rsidR="00A41416" w:rsidRPr="00A41416" w:rsidTr="00A41416">
        <w:trPr>
          <w:trHeight w:val="510"/>
        </w:trPr>
        <w:tc>
          <w:tcPr>
            <w:tcW w:w="28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41416" w:rsidRPr="00A41416" w:rsidRDefault="00A41416" w:rsidP="00A41416">
            <w:pPr>
              <w:widowControl/>
              <w:autoSpaceDE/>
              <w:autoSpaceDN/>
              <w:adjustRightInd/>
              <w:rPr>
                <w:rFonts w:ascii="Arial" w:hAnsi="Arial" w:cs="Arial"/>
                <w:color w:val="000000"/>
                <w:sz w:val="20"/>
                <w:szCs w:val="20"/>
              </w:rPr>
            </w:pPr>
            <w:r w:rsidRPr="00A41416">
              <w:rPr>
                <w:rFonts w:ascii="Arial" w:hAnsi="Arial" w:cs="Arial"/>
                <w:color w:val="000000"/>
                <w:sz w:val="20"/>
                <w:szCs w:val="20"/>
              </w:rPr>
              <w:t>Section</w:t>
            </w:r>
          </w:p>
        </w:tc>
        <w:tc>
          <w:tcPr>
            <w:tcW w:w="1597" w:type="dxa"/>
            <w:tcBorders>
              <w:top w:val="single" w:sz="4" w:space="0" w:color="auto"/>
              <w:left w:val="nil"/>
              <w:bottom w:val="single" w:sz="4" w:space="0" w:color="auto"/>
              <w:right w:val="single" w:sz="4" w:space="0" w:color="auto"/>
            </w:tcBorders>
            <w:shd w:val="clear" w:color="auto" w:fill="auto"/>
            <w:vAlign w:val="bottom"/>
            <w:hideMark/>
          </w:tcPr>
          <w:p w:rsidR="00A41416" w:rsidRPr="00A41416" w:rsidRDefault="00A41416" w:rsidP="00A41416">
            <w:pPr>
              <w:widowControl/>
              <w:autoSpaceDE/>
              <w:autoSpaceDN/>
              <w:adjustRightInd/>
              <w:jc w:val="center"/>
              <w:rPr>
                <w:rFonts w:ascii="Arial" w:hAnsi="Arial" w:cs="Arial"/>
                <w:color w:val="000000"/>
                <w:sz w:val="20"/>
                <w:szCs w:val="20"/>
              </w:rPr>
            </w:pPr>
            <w:r w:rsidRPr="00A41416">
              <w:rPr>
                <w:rFonts w:ascii="Arial" w:hAnsi="Arial" w:cs="Arial"/>
                <w:color w:val="000000"/>
                <w:sz w:val="20"/>
                <w:szCs w:val="20"/>
              </w:rPr>
              <w:t xml:space="preserve">Number of </w:t>
            </w:r>
            <w:proofErr w:type="spellStart"/>
            <w:r w:rsidRPr="00A41416">
              <w:rPr>
                <w:rFonts w:ascii="Arial" w:hAnsi="Arial" w:cs="Arial"/>
                <w:color w:val="000000"/>
                <w:sz w:val="20"/>
                <w:szCs w:val="20"/>
              </w:rPr>
              <w:t>Recordkeepers</w:t>
            </w:r>
            <w:proofErr w:type="spellEnd"/>
          </w:p>
        </w:tc>
        <w:tc>
          <w:tcPr>
            <w:tcW w:w="1598" w:type="dxa"/>
            <w:tcBorders>
              <w:top w:val="single" w:sz="4" w:space="0" w:color="auto"/>
              <w:left w:val="nil"/>
              <w:bottom w:val="single" w:sz="4" w:space="0" w:color="auto"/>
              <w:right w:val="single" w:sz="4" w:space="0" w:color="auto"/>
            </w:tcBorders>
            <w:shd w:val="clear" w:color="auto" w:fill="auto"/>
            <w:vAlign w:val="bottom"/>
            <w:hideMark/>
          </w:tcPr>
          <w:p w:rsidR="00A41416" w:rsidRPr="00A41416" w:rsidRDefault="00A41416" w:rsidP="00A41416">
            <w:pPr>
              <w:widowControl/>
              <w:autoSpaceDE/>
              <w:autoSpaceDN/>
              <w:adjustRightInd/>
              <w:jc w:val="center"/>
              <w:rPr>
                <w:rFonts w:ascii="Arial" w:hAnsi="Arial" w:cs="Arial"/>
                <w:color w:val="000000"/>
                <w:sz w:val="20"/>
                <w:szCs w:val="20"/>
              </w:rPr>
            </w:pPr>
            <w:r w:rsidRPr="00A41416">
              <w:rPr>
                <w:rFonts w:ascii="Arial" w:hAnsi="Arial" w:cs="Arial"/>
                <w:color w:val="000000"/>
                <w:sz w:val="20"/>
                <w:szCs w:val="20"/>
              </w:rPr>
              <w:t xml:space="preserve">Hours Per </w:t>
            </w:r>
            <w:proofErr w:type="spellStart"/>
            <w:r w:rsidRPr="00A41416">
              <w:rPr>
                <w:rFonts w:ascii="Arial" w:hAnsi="Arial" w:cs="Arial"/>
                <w:color w:val="000000"/>
                <w:sz w:val="20"/>
                <w:szCs w:val="20"/>
              </w:rPr>
              <w:t>Recordkeeper</w:t>
            </w:r>
            <w:proofErr w:type="spellEnd"/>
          </w:p>
        </w:tc>
        <w:tc>
          <w:tcPr>
            <w:tcW w:w="1597" w:type="dxa"/>
            <w:tcBorders>
              <w:top w:val="single" w:sz="4" w:space="0" w:color="auto"/>
              <w:left w:val="nil"/>
              <w:bottom w:val="single" w:sz="4" w:space="0" w:color="auto"/>
              <w:right w:val="single" w:sz="4" w:space="0" w:color="auto"/>
            </w:tcBorders>
            <w:shd w:val="clear" w:color="auto" w:fill="auto"/>
            <w:vAlign w:val="bottom"/>
            <w:hideMark/>
          </w:tcPr>
          <w:p w:rsidR="00A41416" w:rsidRPr="00A41416" w:rsidRDefault="00A41416" w:rsidP="00A41416">
            <w:pPr>
              <w:widowControl/>
              <w:autoSpaceDE/>
              <w:autoSpaceDN/>
              <w:adjustRightInd/>
              <w:jc w:val="center"/>
              <w:rPr>
                <w:rFonts w:ascii="Arial" w:hAnsi="Arial" w:cs="Arial"/>
                <w:color w:val="000000"/>
                <w:sz w:val="20"/>
                <w:szCs w:val="20"/>
              </w:rPr>
            </w:pPr>
            <w:r w:rsidRPr="00A41416">
              <w:rPr>
                <w:rFonts w:ascii="Arial" w:hAnsi="Arial" w:cs="Arial"/>
                <w:color w:val="000000"/>
                <w:sz w:val="20"/>
                <w:szCs w:val="20"/>
              </w:rPr>
              <w:t xml:space="preserve"> Total Annual Burden Hours </w:t>
            </w:r>
          </w:p>
        </w:tc>
        <w:tc>
          <w:tcPr>
            <w:tcW w:w="1598" w:type="dxa"/>
            <w:tcBorders>
              <w:top w:val="single" w:sz="4" w:space="0" w:color="auto"/>
              <w:left w:val="nil"/>
              <w:bottom w:val="single" w:sz="4" w:space="0" w:color="auto"/>
              <w:right w:val="single" w:sz="4" w:space="0" w:color="auto"/>
            </w:tcBorders>
            <w:shd w:val="clear" w:color="auto" w:fill="auto"/>
            <w:vAlign w:val="bottom"/>
            <w:hideMark/>
          </w:tcPr>
          <w:p w:rsidR="00A41416" w:rsidRPr="00A41416" w:rsidRDefault="00A41416" w:rsidP="00A41416">
            <w:pPr>
              <w:widowControl/>
              <w:autoSpaceDE/>
              <w:autoSpaceDN/>
              <w:adjustRightInd/>
              <w:jc w:val="center"/>
              <w:rPr>
                <w:rFonts w:ascii="Arial" w:hAnsi="Arial" w:cs="Arial"/>
                <w:color w:val="000000"/>
                <w:sz w:val="20"/>
                <w:szCs w:val="20"/>
              </w:rPr>
            </w:pPr>
            <w:r w:rsidRPr="00A41416">
              <w:rPr>
                <w:rFonts w:ascii="Arial" w:hAnsi="Arial" w:cs="Arial"/>
                <w:color w:val="000000"/>
                <w:sz w:val="20"/>
                <w:szCs w:val="20"/>
              </w:rPr>
              <w:t>Cost  @ $272/hr)</w:t>
            </w:r>
          </w:p>
        </w:tc>
      </w:tr>
      <w:tr w:rsidR="00F673D4" w:rsidRPr="00A41416" w:rsidTr="00A41416">
        <w:trPr>
          <w:trHeight w:val="1530"/>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F673D4" w:rsidRPr="00A41416" w:rsidRDefault="00F673D4" w:rsidP="00A41416">
            <w:pPr>
              <w:widowControl/>
              <w:autoSpaceDE/>
              <w:autoSpaceDN/>
              <w:adjustRightInd/>
              <w:rPr>
                <w:rFonts w:ascii="Arial" w:hAnsi="Arial" w:cs="Arial"/>
                <w:color w:val="000000"/>
                <w:sz w:val="20"/>
                <w:szCs w:val="20"/>
              </w:rPr>
            </w:pPr>
            <w:r w:rsidRPr="00A41416">
              <w:rPr>
                <w:rFonts w:ascii="Arial" w:hAnsi="Arial" w:cs="Arial"/>
                <w:color w:val="000000"/>
                <w:sz w:val="20"/>
                <w:szCs w:val="20"/>
              </w:rPr>
              <w:t xml:space="preserve">10 CFR 21.51(a)(1) (retain evaluations for 5 years) and  10 CFR 21.51(a)(2) (retain notifications for 5 years) </w:t>
            </w:r>
          </w:p>
        </w:tc>
        <w:tc>
          <w:tcPr>
            <w:tcW w:w="1597" w:type="dxa"/>
            <w:tcBorders>
              <w:top w:val="nil"/>
              <w:left w:val="nil"/>
              <w:bottom w:val="single" w:sz="4" w:space="0" w:color="auto"/>
              <w:right w:val="single" w:sz="4" w:space="0" w:color="auto"/>
            </w:tcBorders>
            <w:shd w:val="clear" w:color="auto" w:fill="auto"/>
            <w:vAlign w:val="bottom"/>
            <w:hideMark/>
          </w:tcPr>
          <w:p w:rsidR="00F673D4" w:rsidRDefault="00F673D4">
            <w:pPr>
              <w:jc w:val="right"/>
              <w:rPr>
                <w:rFonts w:ascii="Arial" w:hAnsi="Arial" w:cs="Arial"/>
                <w:color w:val="000000"/>
                <w:sz w:val="20"/>
                <w:szCs w:val="20"/>
              </w:rPr>
            </w:pPr>
            <w:r>
              <w:rPr>
                <w:rFonts w:ascii="Arial" w:hAnsi="Arial" w:cs="Arial"/>
                <w:color w:val="000000"/>
                <w:sz w:val="20"/>
                <w:szCs w:val="20"/>
              </w:rPr>
              <w:t>48</w:t>
            </w:r>
          </w:p>
        </w:tc>
        <w:tc>
          <w:tcPr>
            <w:tcW w:w="1598" w:type="dxa"/>
            <w:tcBorders>
              <w:top w:val="nil"/>
              <w:left w:val="nil"/>
              <w:bottom w:val="single" w:sz="4" w:space="0" w:color="auto"/>
              <w:right w:val="single" w:sz="4" w:space="0" w:color="auto"/>
            </w:tcBorders>
            <w:shd w:val="clear" w:color="auto" w:fill="auto"/>
            <w:vAlign w:val="bottom"/>
            <w:hideMark/>
          </w:tcPr>
          <w:p w:rsidR="00F673D4" w:rsidRDefault="00F673D4">
            <w:pPr>
              <w:jc w:val="right"/>
              <w:rPr>
                <w:rFonts w:ascii="Arial" w:hAnsi="Arial" w:cs="Arial"/>
                <w:color w:val="000000"/>
                <w:sz w:val="20"/>
                <w:szCs w:val="20"/>
              </w:rPr>
            </w:pPr>
            <w:r>
              <w:rPr>
                <w:rFonts w:ascii="Arial" w:hAnsi="Arial" w:cs="Arial"/>
                <w:color w:val="000000"/>
                <w:sz w:val="20"/>
                <w:szCs w:val="20"/>
              </w:rPr>
              <w:t>2.5</w:t>
            </w:r>
          </w:p>
        </w:tc>
        <w:tc>
          <w:tcPr>
            <w:tcW w:w="1597" w:type="dxa"/>
            <w:tcBorders>
              <w:top w:val="nil"/>
              <w:left w:val="nil"/>
              <w:bottom w:val="single" w:sz="4" w:space="0" w:color="auto"/>
              <w:right w:val="single" w:sz="4" w:space="0" w:color="auto"/>
            </w:tcBorders>
            <w:shd w:val="clear" w:color="auto" w:fill="auto"/>
            <w:vAlign w:val="bottom"/>
            <w:hideMark/>
          </w:tcPr>
          <w:p w:rsidR="00F673D4" w:rsidRDefault="00F673D4">
            <w:pPr>
              <w:rPr>
                <w:rFonts w:ascii="Arial" w:hAnsi="Arial" w:cs="Arial"/>
                <w:color w:val="000000"/>
                <w:sz w:val="20"/>
                <w:szCs w:val="20"/>
              </w:rPr>
            </w:pPr>
            <w:r>
              <w:rPr>
                <w:rFonts w:ascii="Arial" w:hAnsi="Arial" w:cs="Arial"/>
                <w:color w:val="000000"/>
                <w:sz w:val="20"/>
                <w:szCs w:val="20"/>
              </w:rPr>
              <w:t xml:space="preserve">                  120 </w:t>
            </w:r>
          </w:p>
        </w:tc>
        <w:tc>
          <w:tcPr>
            <w:tcW w:w="1598" w:type="dxa"/>
            <w:tcBorders>
              <w:top w:val="nil"/>
              <w:left w:val="nil"/>
              <w:bottom w:val="nil"/>
              <w:right w:val="single" w:sz="4" w:space="0" w:color="auto"/>
            </w:tcBorders>
            <w:shd w:val="clear" w:color="auto" w:fill="auto"/>
            <w:vAlign w:val="bottom"/>
            <w:hideMark/>
          </w:tcPr>
          <w:p w:rsidR="00F673D4" w:rsidRDefault="00F673D4">
            <w:pPr>
              <w:jc w:val="right"/>
              <w:rPr>
                <w:rFonts w:ascii="Arial" w:hAnsi="Arial" w:cs="Arial"/>
                <w:color w:val="000000"/>
                <w:sz w:val="20"/>
                <w:szCs w:val="20"/>
              </w:rPr>
            </w:pPr>
            <w:r>
              <w:rPr>
                <w:rFonts w:ascii="Arial" w:hAnsi="Arial" w:cs="Arial"/>
                <w:color w:val="000000"/>
                <w:sz w:val="20"/>
                <w:szCs w:val="20"/>
              </w:rPr>
              <w:t xml:space="preserve">$32,640 </w:t>
            </w:r>
          </w:p>
        </w:tc>
      </w:tr>
      <w:tr w:rsidR="00F673D4" w:rsidRPr="00A41416" w:rsidTr="00A41416">
        <w:trPr>
          <w:trHeight w:val="1020"/>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F673D4" w:rsidRPr="00A41416" w:rsidRDefault="00F673D4" w:rsidP="00A41416">
            <w:pPr>
              <w:widowControl/>
              <w:autoSpaceDE/>
              <w:autoSpaceDN/>
              <w:adjustRightInd/>
              <w:rPr>
                <w:rFonts w:ascii="Arial" w:hAnsi="Arial" w:cs="Arial"/>
                <w:color w:val="000000"/>
                <w:sz w:val="20"/>
                <w:szCs w:val="20"/>
              </w:rPr>
            </w:pPr>
            <w:r w:rsidRPr="00A41416">
              <w:rPr>
                <w:rFonts w:ascii="Arial" w:hAnsi="Arial" w:cs="Arial"/>
                <w:color w:val="000000"/>
                <w:sz w:val="20"/>
                <w:szCs w:val="20"/>
              </w:rPr>
              <w:t>10 CFR 21.51(a)(3) - retain purchase records for 10 years</w:t>
            </w:r>
          </w:p>
        </w:tc>
        <w:tc>
          <w:tcPr>
            <w:tcW w:w="1597" w:type="dxa"/>
            <w:tcBorders>
              <w:top w:val="nil"/>
              <w:left w:val="nil"/>
              <w:bottom w:val="single" w:sz="4" w:space="0" w:color="auto"/>
              <w:right w:val="single" w:sz="4" w:space="0" w:color="auto"/>
            </w:tcBorders>
            <w:shd w:val="clear" w:color="auto" w:fill="auto"/>
            <w:noWrap/>
            <w:vAlign w:val="bottom"/>
            <w:hideMark/>
          </w:tcPr>
          <w:p w:rsidR="00F673D4" w:rsidRDefault="00F673D4">
            <w:pPr>
              <w:jc w:val="right"/>
              <w:rPr>
                <w:rFonts w:ascii="Arial" w:hAnsi="Arial" w:cs="Arial"/>
                <w:color w:val="000000"/>
                <w:sz w:val="20"/>
                <w:szCs w:val="20"/>
              </w:rPr>
            </w:pPr>
            <w:r>
              <w:rPr>
                <w:rFonts w:ascii="Arial" w:hAnsi="Arial" w:cs="Arial"/>
                <w:color w:val="000000"/>
                <w:sz w:val="20"/>
                <w:szCs w:val="20"/>
              </w:rPr>
              <w:t>350</w:t>
            </w:r>
          </w:p>
        </w:tc>
        <w:tc>
          <w:tcPr>
            <w:tcW w:w="1598" w:type="dxa"/>
            <w:tcBorders>
              <w:top w:val="nil"/>
              <w:left w:val="nil"/>
              <w:bottom w:val="single" w:sz="4" w:space="0" w:color="auto"/>
              <w:right w:val="single" w:sz="4" w:space="0" w:color="auto"/>
            </w:tcBorders>
            <w:shd w:val="clear" w:color="auto" w:fill="auto"/>
            <w:noWrap/>
            <w:vAlign w:val="bottom"/>
            <w:hideMark/>
          </w:tcPr>
          <w:p w:rsidR="00F673D4" w:rsidRDefault="00F673D4">
            <w:pPr>
              <w:jc w:val="right"/>
              <w:rPr>
                <w:rFonts w:ascii="Arial" w:hAnsi="Arial" w:cs="Arial"/>
                <w:color w:val="000000"/>
                <w:sz w:val="20"/>
                <w:szCs w:val="20"/>
              </w:rPr>
            </w:pPr>
            <w:r>
              <w:rPr>
                <w:rFonts w:ascii="Arial" w:hAnsi="Arial" w:cs="Arial"/>
                <w:color w:val="000000"/>
                <w:sz w:val="20"/>
                <w:szCs w:val="20"/>
              </w:rPr>
              <w:t>69.5</w:t>
            </w:r>
          </w:p>
        </w:tc>
        <w:tc>
          <w:tcPr>
            <w:tcW w:w="1597" w:type="dxa"/>
            <w:tcBorders>
              <w:top w:val="nil"/>
              <w:left w:val="nil"/>
              <w:bottom w:val="single" w:sz="4" w:space="0" w:color="auto"/>
              <w:right w:val="single" w:sz="4" w:space="0" w:color="auto"/>
            </w:tcBorders>
            <w:shd w:val="clear" w:color="auto" w:fill="auto"/>
            <w:vAlign w:val="bottom"/>
            <w:hideMark/>
          </w:tcPr>
          <w:p w:rsidR="00F673D4" w:rsidRDefault="00F673D4">
            <w:pPr>
              <w:rPr>
                <w:rFonts w:ascii="Arial" w:hAnsi="Arial" w:cs="Arial"/>
                <w:color w:val="000000"/>
                <w:sz w:val="20"/>
                <w:szCs w:val="20"/>
              </w:rPr>
            </w:pPr>
            <w:r>
              <w:rPr>
                <w:rFonts w:ascii="Arial" w:hAnsi="Arial" w:cs="Arial"/>
                <w:color w:val="000000"/>
                <w:sz w:val="20"/>
                <w:szCs w:val="20"/>
              </w:rPr>
              <w:t xml:space="preserve">             24,325 </w:t>
            </w:r>
          </w:p>
        </w:tc>
        <w:tc>
          <w:tcPr>
            <w:tcW w:w="1598" w:type="dxa"/>
            <w:tcBorders>
              <w:top w:val="single" w:sz="4" w:space="0" w:color="auto"/>
              <w:left w:val="nil"/>
              <w:bottom w:val="nil"/>
              <w:right w:val="single" w:sz="4" w:space="0" w:color="auto"/>
            </w:tcBorders>
            <w:shd w:val="clear" w:color="auto" w:fill="auto"/>
            <w:vAlign w:val="bottom"/>
            <w:hideMark/>
          </w:tcPr>
          <w:p w:rsidR="00F673D4" w:rsidRDefault="00F673D4">
            <w:pPr>
              <w:jc w:val="right"/>
              <w:rPr>
                <w:rFonts w:ascii="Arial" w:hAnsi="Arial" w:cs="Arial"/>
                <w:color w:val="000000"/>
                <w:sz w:val="20"/>
                <w:szCs w:val="20"/>
              </w:rPr>
            </w:pPr>
            <w:r>
              <w:rPr>
                <w:rFonts w:ascii="Arial" w:hAnsi="Arial" w:cs="Arial"/>
                <w:color w:val="000000"/>
                <w:sz w:val="20"/>
                <w:szCs w:val="20"/>
              </w:rPr>
              <w:t xml:space="preserve">$6,616,400 </w:t>
            </w:r>
          </w:p>
        </w:tc>
      </w:tr>
      <w:tr w:rsidR="00F673D4" w:rsidRPr="00A41416" w:rsidTr="00A41416">
        <w:trPr>
          <w:trHeight w:val="2295"/>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F673D4" w:rsidRPr="00A41416" w:rsidRDefault="00F673D4" w:rsidP="00A41416">
            <w:pPr>
              <w:widowControl/>
              <w:autoSpaceDE/>
              <w:autoSpaceDN/>
              <w:adjustRightInd/>
              <w:rPr>
                <w:rFonts w:ascii="Arial" w:hAnsi="Arial" w:cs="Arial"/>
                <w:color w:val="000000"/>
                <w:sz w:val="20"/>
                <w:szCs w:val="20"/>
              </w:rPr>
            </w:pPr>
            <w:r w:rsidRPr="00A41416">
              <w:rPr>
                <w:rFonts w:ascii="Arial" w:hAnsi="Arial" w:cs="Arial"/>
                <w:color w:val="000000"/>
                <w:sz w:val="20"/>
                <w:szCs w:val="20"/>
              </w:rPr>
              <w:t>10 CFR 21.51(a)(4) (notifications  5 years /  purchase records 15 years) and 10 CFR 21.51(a)(5) (notifications  5 years /  purchase records 15 years)</w:t>
            </w:r>
          </w:p>
        </w:tc>
        <w:tc>
          <w:tcPr>
            <w:tcW w:w="1597" w:type="dxa"/>
            <w:tcBorders>
              <w:top w:val="nil"/>
              <w:left w:val="nil"/>
              <w:bottom w:val="single" w:sz="4" w:space="0" w:color="auto"/>
              <w:right w:val="single" w:sz="4" w:space="0" w:color="auto"/>
            </w:tcBorders>
            <w:shd w:val="clear" w:color="auto" w:fill="auto"/>
            <w:vAlign w:val="bottom"/>
            <w:hideMark/>
          </w:tcPr>
          <w:p w:rsidR="00F673D4" w:rsidRDefault="00F673D4">
            <w:pPr>
              <w:jc w:val="right"/>
              <w:rPr>
                <w:rFonts w:ascii="Arial" w:hAnsi="Arial" w:cs="Arial"/>
                <w:color w:val="000000"/>
                <w:sz w:val="20"/>
                <w:szCs w:val="20"/>
              </w:rPr>
            </w:pPr>
            <w:r>
              <w:rPr>
                <w:rFonts w:ascii="Arial" w:hAnsi="Arial" w:cs="Arial"/>
                <w:color w:val="000000"/>
                <w:sz w:val="20"/>
                <w:szCs w:val="20"/>
              </w:rPr>
              <w:t>10</w:t>
            </w:r>
          </w:p>
        </w:tc>
        <w:tc>
          <w:tcPr>
            <w:tcW w:w="1598" w:type="dxa"/>
            <w:tcBorders>
              <w:top w:val="nil"/>
              <w:left w:val="nil"/>
              <w:bottom w:val="single" w:sz="4" w:space="0" w:color="auto"/>
              <w:right w:val="single" w:sz="4" w:space="0" w:color="auto"/>
            </w:tcBorders>
            <w:shd w:val="clear" w:color="auto" w:fill="auto"/>
            <w:vAlign w:val="bottom"/>
            <w:hideMark/>
          </w:tcPr>
          <w:p w:rsidR="00F673D4" w:rsidRDefault="00F673D4">
            <w:pPr>
              <w:jc w:val="right"/>
              <w:rPr>
                <w:rFonts w:ascii="Arial" w:hAnsi="Arial" w:cs="Arial"/>
                <w:color w:val="000000"/>
                <w:sz w:val="20"/>
                <w:szCs w:val="20"/>
              </w:rPr>
            </w:pPr>
            <w:r>
              <w:rPr>
                <w:rFonts w:ascii="Arial" w:hAnsi="Arial" w:cs="Arial"/>
                <w:color w:val="000000"/>
                <w:sz w:val="20"/>
                <w:szCs w:val="20"/>
              </w:rPr>
              <w:t>74.5</w:t>
            </w:r>
          </w:p>
        </w:tc>
        <w:tc>
          <w:tcPr>
            <w:tcW w:w="1597" w:type="dxa"/>
            <w:tcBorders>
              <w:top w:val="nil"/>
              <w:left w:val="nil"/>
              <w:bottom w:val="single" w:sz="4" w:space="0" w:color="auto"/>
              <w:right w:val="single" w:sz="4" w:space="0" w:color="auto"/>
            </w:tcBorders>
            <w:shd w:val="clear" w:color="auto" w:fill="auto"/>
            <w:vAlign w:val="bottom"/>
            <w:hideMark/>
          </w:tcPr>
          <w:p w:rsidR="00F673D4" w:rsidRDefault="00F673D4">
            <w:pPr>
              <w:rPr>
                <w:rFonts w:ascii="Arial" w:hAnsi="Arial" w:cs="Arial"/>
                <w:color w:val="000000"/>
                <w:sz w:val="20"/>
                <w:szCs w:val="20"/>
              </w:rPr>
            </w:pPr>
            <w:r>
              <w:rPr>
                <w:rFonts w:ascii="Arial" w:hAnsi="Arial" w:cs="Arial"/>
                <w:color w:val="000000"/>
                <w:sz w:val="20"/>
                <w:szCs w:val="20"/>
              </w:rPr>
              <w:t xml:space="preserve">                  745 </w:t>
            </w:r>
          </w:p>
        </w:tc>
        <w:tc>
          <w:tcPr>
            <w:tcW w:w="1598" w:type="dxa"/>
            <w:tcBorders>
              <w:top w:val="single" w:sz="4" w:space="0" w:color="auto"/>
              <w:left w:val="nil"/>
              <w:bottom w:val="nil"/>
              <w:right w:val="single" w:sz="4" w:space="0" w:color="auto"/>
            </w:tcBorders>
            <w:shd w:val="clear" w:color="auto" w:fill="auto"/>
            <w:vAlign w:val="bottom"/>
            <w:hideMark/>
          </w:tcPr>
          <w:p w:rsidR="00F673D4" w:rsidRDefault="00F673D4">
            <w:pPr>
              <w:jc w:val="right"/>
              <w:rPr>
                <w:rFonts w:ascii="Arial" w:hAnsi="Arial" w:cs="Arial"/>
                <w:color w:val="000000"/>
                <w:sz w:val="20"/>
                <w:szCs w:val="20"/>
              </w:rPr>
            </w:pPr>
            <w:r>
              <w:rPr>
                <w:rFonts w:ascii="Arial" w:hAnsi="Arial" w:cs="Arial"/>
                <w:color w:val="000000"/>
                <w:sz w:val="20"/>
                <w:szCs w:val="20"/>
              </w:rPr>
              <w:t xml:space="preserve">$202,640 </w:t>
            </w:r>
          </w:p>
        </w:tc>
      </w:tr>
      <w:tr w:rsidR="00F673D4" w:rsidRPr="00A41416" w:rsidTr="00A41416">
        <w:trPr>
          <w:trHeight w:val="255"/>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F673D4" w:rsidRPr="00A41416" w:rsidRDefault="00F673D4" w:rsidP="00A41416">
            <w:pPr>
              <w:widowControl/>
              <w:autoSpaceDE/>
              <w:autoSpaceDN/>
              <w:adjustRightInd/>
              <w:rPr>
                <w:rFonts w:ascii="Arial" w:hAnsi="Arial" w:cs="Arial"/>
                <w:color w:val="000000"/>
                <w:sz w:val="20"/>
                <w:szCs w:val="20"/>
              </w:rPr>
            </w:pPr>
            <w:r w:rsidRPr="00A41416">
              <w:rPr>
                <w:rFonts w:ascii="Arial" w:hAnsi="Arial" w:cs="Arial"/>
                <w:color w:val="000000"/>
                <w:sz w:val="20"/>
                <w:szCs w:val="20"/>
              </w:rPr>
              <w:t>TOTAL</w:t>
            </w:r>
          </w:p>
        </w:tc>
        <w:tc>
          <w:tcPr>
            <w:tcW w:w="1597" w:type="dxa"/>
            <w:tcBorders>
              <w:top w:val="nil"/>
              <w:left w:val="nil"/>
              <w:bottom w:val="single" w:sz="4" w:space="0" w:color="auto"/>
              <w:right w:val="single" w:sz="4" w:space="0" w:color="auto"/>
            </w:tcBorders>
            <w:shd w:val="clear" w:color="auto" w:fill="auto"/>
            <w:vAlign w:val="bottom"/>
            <w:hideMark/>
          </w:tcPr>
          <w:p w:rsidR="00F673D4" w:rsidRDefault="00F673D4">
            <w:pPr>
              <w:jc w:val="right"/>
              <w:rPr>
                <w:rFonts w:ascii="Arial" w:hAnsi="Arial" w:cs="Arial"/>
                <w:color w:val="000000"/>
                <w:sz w:val="20"/>
                <w:szCs w:val="20"/>
              </w:rPr>
            </w:pPr>
            <w:r>
              <w:rPr>
                <w:rFonts w:ascii="Arial" w:hAnsi="Arial" w:cs="Arial"/>
                <w:color w:val="000000"/>
                <w:sz w:val="20"/>
                <w:szCs w:val="20"/>
              </w:rPr>
              <w:t>350</w:t>
            </w:r>
          </w:p>
        </w:tc>
        <w:tc>
          <w:tcPr>
            <w:tcW w:w="1598" w:type="dxa"/>
            <w:tcBorders>
              <w:top w:val="nil"/>
              <w:left w:val="nil"/>
              <w:bottom w:val="single" w:sz="4" w:space="0" w:color="auto"/>
              <w:right w:val="single" w:sz="4" w:space="0" w:color="auto"/>
            </w:tcBorders>
            <w:shd w:val="clear" w:color="auto" w:fill="auto"/>
            <w:vAlign w:val="bottom"/>
            <w:hideMark/>
          </w:tcPr>
          <w:p w:rsidR="00F673D4" w:rsidRDefault="00F673D4">
            <w:pPr>
              <w:rPr>
                <w:rFonts w:ascii="Arial" w:hAnsi="Arial" w:cs="Arial"/>
                <w:color w:val="000000"/>
                <w:sz w:val="20"/>
                <w:szCs w:val="20"/>
              </w:rPr>
            </w:pPr>
            <w:r>
              <w:rPr>
                <w:rFonts w:ascii="Arial" w:hAnsi="Arial" w:cs="Arial"/>
                <w:color w:val="000000"/>
                <w:sz w:val="20"/>
                <w:szCs w:val="20"/>
              </w:rPr>
              <w:t> </w:t>
            </w:r>
          </w:p>
        </w:tc>
        <w:tc>
          <w:tcPr>
            <w:tcW w:w="1597" w:type="dxa"/>
            <w:tcBorders>
              <w:top w:val="nil"/>
              <w:left w:val="nil"/>
              <w:bottom w:val="single" w:sz="4" w:space="0" w:color="auto"/>
              <w:right w:val="single" w:sz="4" w:space="0" w:color="auto"/>
            </w:tcBorders>
            <w:shd w:val="clear" w:color="auto" w:fill="auto"/>
            <w:vAlign w:val="bottom"/>
            <w:hideMark/>
          </w:tcPr>
          <w:p w:rsidR="00F673D4" w:rsidRDefault="00F673D4">
            <w:pPr>
              <w:jc w:val="right"/>
              <w:rPr>
                <w:rFonts w:ascii="Arial" w:hAnsi="Arial" w:cs="Arial"/>
                <w:color w:val="000000"/>
                <w:sz w:val="20"/>
                <w:szCs w:val="20"/>
              </w:rPr>
            </w:pPr>
            <w:r>
              <w:rPr>
                <w:rFonts w:ascii="Arial" w:hAnsi="Arial" w:cs="Arial"/>
                <w:color w:val="000000"/>
                <w:sz w:val="20"/>
                <w:szCs w:val="20"/>
              </w:rPr>
              <w:t xml:space="preserve">             25,190 </w:t>
            </w:r>
          </w:p>
        </w:tc>
        <w:tc>
          <w:tcPr>
            <w:tcW w:w="1598" w:type="dxa"/>
            <w:tcBorders>
              <w:top w:val="single" w:sz="4" w:space="0" w:color="auto"/>
              <w:left w:val="nil"/>
              <w:bottom w:val="single" w:sz="4" w:space="0" w:color="auto"/>
              <w:right w:val="single" w:sz="4" w:space="0" w:color="auto"/>
            </w:tcBorders>
            <w:shd w:val="clear" w:color="auto" w:fill="auto"/>
            <w:vAlign w:val="bottom"/>
            <w:hideMark/>
          </w:tcPr>
          <w:p w:rsidR="00F673D4" w:rsidRDefault="00F673D4">
            <w:pPr>
              <w:jc w:val="right"/>
              <w:rPr>
                <w:rFonts w:ascii="Arial" w:hAnsi="Arial" w:cs="Arial"/>
                <w:color w:val="000000"/>
                <w:sz w:val="20"/>
                <w:szCs w:val="20"/>
              </w:rPr>
            </w:pPr>
            <w:r>
              <w:rPr>
                <w:rFonts w:ascii="Arial" w:hAnsi="Arial" w:cs="Arial"/>
                <w:color w:val="000000"/>
                <w:sz w:val="20"/>
                <w:szCs w:val="20"/>
              </w:rPr>
              <w:t xml:space="preserve">$6,851,680 </w:t>
            </w:r>
          </w:p>
        </w:tc>
      </w:tr>
    </w:tbl>
    <w:p w:rsidR="00A41416" w:rsidRDefault="00A41416">
      <w:pPr>
        <w:widowControl/>
        <w:autoSpaceDE/>
        <w:autoSpaceDN/>
        <w:adjustRightInd/>
        <w:rPr>
          <w:rFonts w:ascii="Arial" w:hAnsi="Arial" w:cs="Arial"/>
          <w:sz w:val="18"/>
          <w:szCs w:val="18"/>
        </w:rPr>
      </w:pPr>
    </w:p>
    <w:p w:rsidR="00A41416" w:rsidRDefault="00A41416">
      <w:pPr>
        <w:widowControl/>
        <w:autoSpaceDE/>
        <w:autoSpaceDN/>
        <w:adjustRightInd/>
        <w:rPr>
          <w:rFonts w:ascii="Arial" w:hAnsi="Arial" w:cs="Arial"/>
          <w:sz w:val="18"/>
          <w:szCs w:val="18"/>
        </w:rPr>
      </w:pPr>
    </w:p>
    <w:p w:rsidR="00E32284" w:rsidRPr="009F5AF4" w:rsidRDefault="00E32284">
      <w:pPr>
        <w:widowControl/>
        <w:autoSpaceDE/>
        <w:autoSpaceDN/>
        <w:adjustRightInd/>
        <w:rPr>
          <w:rFonts w:ascii="Arial" w:hAnsi="Arial" w:cs="Arial"/>
          <w:sz w:val="22"/>
          <w:szCs w:val="22"/>
          <w:u w:val="single"/>
        </w:rPr>
      </w:pPr>
      <w:r w:rsidRPr="009F5AF4">
        <w:rPr>
          <w:rFonts w:ascii="Arial" w:hAnsi="Arial" w:cs="Arial"/>
          <w:sz w:val="22"/>
          <w:szCs w:val="22"/>
          <w:u w:val="single"/>
        </w:rPr>
        <w:br w:type="page"/>
      </w:r>
    </w:p>
    <w:p w:rsidR="00012F9A" w:rsidRPr="009F5AF4" w:rsidRDefault="00012F9A" w:rsidP="00012F9A">
      <w:pPr>
        <w:widowControl/>
        <w:jc w:val="center"/>
        <w:rPr>
          <w:rFonts w:ascii="Arial" w:hAnsi="Arial" w:cs="Arial"/>
          <w:sz w:val="22"/>
          <w:szCs w:val="22"/>
          <w:u w:val="single"/>
        </w:rPr>
      </w:pPr>
      <w:r w:rsidRPr="009F5AF4">
        <w:rPr>
          <w:rFonts w:ascii="Arial" w:hAnsi="Arial" w:cs="Arial"/>
          <w:sz w:val="22"/>
          <w:szCs w:val="22"/>
          <w:u w:val="single"/>
        </w:rPr>
        <w:lastRenderedPageBreak/>
        <w:t>Table 3</w:t>
      </w:r>
    </w:p>
    <w:p w:rsidR="00012F9A" w:rsidRPr="009F5AF4" w:rsidRDefault="00012F9A" w:rsidP="00012F9A">
      <w:pPr>
        <w:widowControl/>
        <w:tabs>
          <w:tab w:val="center" w:pos="4680"/>
        </w:tabs>
        <w:jc w:val="center"/>
        <w:rPr>
          <w:rFonts w:ascii="Arial" w:hAnsi="Arial" w:cs="Arial"/>
          <w:sz w:val="22"/>
          <w:szCs w:val="22"/>
        </w:rPr>
      </w:pPr>
      <w:r w:rsidRPr="009F5AF4">
        <w:rPr>
          <w:rFonts w:ascii="Arial" w:hAnsi="Arial" w:cs="Arial"/>
          <w:sz w:val="22"/>
          <w:szCs w:val="22"/>
          <w:u w:val="single"/>
        </w:rPr>
        <w:t>Industry Third Party Disclosure Requirements for 10 CFR 21</w:t>
      </w:r>
    </w:p>
    <w:p w:rsidR="00012F9A" w:rsidRPr="009F5AF4" w:rsidRDefault="00012F9A" w:rsidP="00012F9A">
      <w:pPr>
        <w:widowControl/>
        <w:ind w:left="-576" w:right="-576"/>
      </w:pPr>
    </w:p>
    <w:tbl>
      <w:tblPr>
        <w:tblW w:w="0" w:type="auto"/>
        <w:tblInd w:w="-420" w:type="dxa"/>
        <w:tblCellMar>
          <w:left w:w="120" w:type="dxa"/>
          <w:right w:w="120" w:type="dxa"/>
        </w:tblCellMar>
        <w:tblLook w:val="0000" w:firstRow="0" w:lastRow="0" w:firstColumn="0" w:lastColumn="0" w:noHBand="0" w:noVBand="0"/>
      </w:tblPr>
      <w:tblGrid>
        <w:gridCol w:w="3890"/>
        <w:gridCol w:w="1536"/>
        <w:gridCol w:w="1594"/>
        <w:gridCol w:w="1720"/>
        <w:gridCol w:w="1280"/>
      </w:tblGrid>
      <w:tr w:rsidR="00012F9A" w:rsidRPr="009F5AF4" w:rsidTr="00DB62B0">
        <w:trPr>
          <w:trHeight w:val="593"/>
        </w:trPr>
        <w:tc>
          <w:tcPr>
            <w:tcW w:w="0" w:type="auto"/>
            <w:tcBorders>
              <w:top w:val="single" w:sz="7" w:space="0" w:color="000000"/>
              <w:left w:val="single" w:sz="7" w:space="0" w:color="000000"/>
              <w:bottom w:val="single" w:sz="7" w:space="0" w:color="000000"/>
              <w:right w:val="single" w:sz="7" w:space="0" w:color="000000"/>
            </w:tcBorders>
          </w:tcPr>
          <w:p w:rsidR="00012F9A" w:rsidRPr="009F5AF4" w:rsidRDefault="00012F9A" w:rsidP="00DB62B0">
            <w:pPr>
              <w:spacing w:line="120" w:lineRule="exact"/>
              <w:jc w:val="center"/>
            </w:pPr>
          </w:p>
          <w:p w:rsidR="00012F9A" w:rsidRPr="009F5AF4" w:rsidRDefault="00012F9A" w:rsidP="00DB62B0">
            <w:pPr>
              <w:widowControl/>
              <w:spacing w:after="58"/>
              <w:jc w:val="center"/>
              <w:rPr>
                <w:rFonts w:ascii="Arial" w:hAnsi="Arial" w:cs="Arial"/>
                <w:sz w:val="18"/>
                <w:szCs w:val="18"/>
              </w:rPr>
            </w:pPr>
            <w:r w:rsidRPr="009F5AF4">
              <w:rPr>
                <w:rFonts w:ascii="Arial" w:hAnsi="Arial" w:cs="Arial"/>
                <w:sz w:val="18"/>
                <w:szCs w:val="18"/>
              </w:rPr>
              <w:t>Section</w:t>
            </w:r>
          </w:p>
        </w:tc>
        <w:tc>
          <w:tcPr>
            <w:tcW w:w="0" w:type="auto"/>
            <w:tcBorders>
              <w:top w:val="single" w:sz="7" w:space="0" w:color="000000"/>
              <w:left w:val="single" w:sz="7" w:space="0" w:color="000000"/>
              <w:bottom w:val="single" w:sz="7" w:space="0" w:color="000000"/>
              <w:right w:val="single" w:sz="7" w:space="0" w:color="000000"/>
            </w:tcBorders>
          </w:tcPr>
          <w:p w:rsidR="00012F9A" w:rsidRPr="009F5AF4" w:rsidRDefault="00012F9A" w:rsidP="00DB62B0">
            <w:pPr>
              <w:spacing w:line="120" w:lineRule="exact"/>
              <w:rPr>
                <w:rFonts w:ascii="Arial" w:hAnsi="Arial" w:cs="Arial"/>
                <w:sz w:val="18"/>
                <w:szCs w:val="18"/>
              </w:rPr>
            </w:pPr>
          </w:p>
          <w:p w:rsidR="00012F9A" w:rsidRPr="009F5AF4" w:rsidRDefault="00012F9A" w:rsidP="00DB62B0">
            <w:pPr>
              <w:widowControl/>
              <w:spacing w:after="58"/>
              <w:jc w:val="center"/>
              <w:rPr>
                <w:rFonts w:ascii="Arial" w:hAnsi="Arial" w:cs="Arial"/>
                <w:sz w:val="18"/>
                <w:szCs w:val="18"/>
              </w:rPr>
            </w:pPr>
            <w:r w:rsidRPr="009F5AF4">
              <w:rPr>
                <w:rFonts w:ascii="Arial" w:hAnsi="Arial" w:cs="Arial"/>
                <w:sz w:val="18"/>
                <w:szCs w:val="18"/>
              </w:rPr>
              <w:t>No. of  Responses</w:t>
            </w:r>
            <w:r w:rsidRPr="009F5AF4">
              <w:rPr>
                <w:rStyle w:val="FootnoteReference"/>
                <w:rFonts w:ascii="Arial" w:hAnsi="Arial" w:cs="Arial"/>
                <w:sz w:val="18"/>
                <w:szCs w:val="18"/>
                <w:vertAlign w:val="superscript"/>
              </w:rPr>
              <w:footnoteReference w:id="2"/>
            </w:r>
          </w:p>
        </w:tc>
        <w:tc>
          <w:tcPr>
            <w:tcW w:w="0" w:type="auto"/>
            <w:tcBorders>
              <w:top w:val="single" w:sz="7" w:space="0" w:color="000000"/>
              <w:left w:val="single" w:sz="7" w:space="0" w:color="000000"/>
              <w:bottom w:val="single" w:sz="7" w:space="0" w:color="000000"/>
              <w:right w:val="single" w:sz="7" w:space="0" w:color="000000"/>
            </w:tcBorders>
          </w:tcPr>
          <w:p w:rsidR="00012F9A" w:rsidRPr="009F5AF4" w:rsidRDefault="00012F9A" w:rsidP="00DB62B0">
            <w:pPr>
              <w:spacing w:line="120" w:lineRule="exact"/>
              <w:rPr>
                <w:rFonts w:ascii="Arial" w:hAnsi="Arial" w:cs="Arial"/>
                <w:sz w:val="18"/>
                <w:szCs w:val="18"/>
              </w:rPr>
            </w:pPr>
          </w:p>
          <w:p w:rsidR="00012F9A" w:rsidRPr="009F5AF4" w:rsidRDefault="00012F9A" w:rsidP="00DB62B0">
            <w:pPr>
              <w:widowControl/>
              <w:spacing w:after="58"/>
              <w:jc w:val="center"/>
              <w:rPr>
                <w:rFonts w:ascii="Arial" w:hAnsi="Arial" w:cs="Arial"/>
                <w:sz w:val="18"/>
                <w:szCs w:val="18"/>
              </w:rPr>
            </w:pPr>
            <w:r w:rsidRPr="009F5AF4">
              <w:rPr>
                <w:rFonts w:ascii="Arial" w:hAnsi="Arial" w:cs="Arial"/>
                <w:sz w:val="18"/>
                <w:szCs w:val="18"/>
              </w:rPr>
              <w:t>Burden Per Response</w:t>
            </w:r>
          </w:p>
        </w:tc>
        <w:tc>
          <w:tcPr>
            <w:tcW w:w="0" w:type="auto"/>
            <w:tcBorders>
              <w:top w:val="single" w:sz="7" w:space="0" w:color="000000"/>
              <w:left w:val="single" w:sz="7" w:space="0" w:color="000000"/>
              <w:bottom w:val="single" w:sz="7" w:space="0" w:color="000000"/>
              <w:right w:val="single" w:sz="7" w:space="0" w:color="000000"/>
            </w:tcBorders>
          </w:tcPr>
          <w:p w:rsidR="00012F9A" w:rsidRPr="009F5AF4" w:rsidRDefault="00012F9A" w:rsidP="00DB62B0">
            <w:pPr>
              <w:spacing w:line="120" w:lineRule="exact"/>
              <w:rPr>
                <w:rFonts w:ascii="Arial" w:hAnsi="Arial" w:cs="Arial"/>
                <w:sz w:val="18"/>
                <w:szCs w:val="18"/>
              </w:rPr>
            </w:pPr>
          </w:p>
          <w:p w:rsidR="00012F9A" w:rsidRPr="009F5AF4" w:rsidRDefault="00012F9A" w:rsidP="00DB62B0">
            <w:pPr>
              <w:widowControl/>
              <w:spacing w:after="58"/>
              <w:jc w:val="center"/>
              <w:rPr>
                <w:rFonts w:ascii="Arial" w:hAnsi="Arial" w:cs="Arial"/>
                <w:sz w:val="18"/>
                <w:szCs w:val="18"/>
              </w:rPr>
            </w:pPr>
            <w:r w:rsidRPr="009F5AF4">
              <w:rPr>
                <w:rFonts w:ascii="Arial" w:hAnsi="Arial" w:cs="Arial"/>
                <w:sz w:val="18"/>
                <w:szCs w:val="18"/>
              </w:rPr>
              <w:t xml:space="preserve">Total Annual Burden Hours </w:t>
            </w:r>
          </w:p>
        </w:tc>
        <w:tc>
          <w:tcPr>
            <w:tcW w:w="0" w:type="auto"/>
            <w:tcBorders>
              <w:top w:val="single" w:sz="7" w:space="0" w:color="000000"/>
              <w:left w:val="single" w:sz="7" w:space="0" w:color="000000"/>
              <w:bottom w:val="single" w:sz="7" w:space="0" w:color="000000"/>
              <w:right w:val="single" w:sz="7" w:space="0" w:color="000000"/>
            </w:tcBorders>
          </w:tcPr>
          <w:p w:rsidR="00012F9A" w:rsidRPr="009F5AF4" w:rsidRDefault="00012F9A" w:rsidP="00DB62B0">
            <w:pPr>
              <w:spacing w:line="120" w:lineRule="exact"/>
              <w:rPr>
                <w:rFonts w:ascii="Arial" w:hAnsi="Arial" w:cs="Arial"/>
                <w:sz w:val="18"/>
                <w:szCs w:val="18"/>
              </w:rPr>
            </w:pPr>
          </w:p>
          <w:p w:rsidR="00012F9A" w:rsidRPr="009F5AF4" w:rsidRDefault="00012F9A" w:rsidP="00DB62B0">
            <w:pPr>
              <w:widowControl/>
              <w:spacing w:after="58"/>
              <w:jc w:val="center"/>
              <w:rPr>
                <w:rFonts w:ascii="Arial" w:hAnsi="Arial" w:cs="Arial"/>
                <w:sz w:val="18"/>
                <w:szCs w:val="18"/>
              </w:rPr>
            </w:pPr>
            <w:r w:rsidRPr="009F5AF4">
              <w:rPr>
                <w:rFonts w:ascii="Arial" w:hAnsi="Arial" w:cs="Arial"/>
                <w:sz w:val="18"/>
                <w:szCs w:val="18"/>
              </w:rPr>
              <w:t>Cost @ $272/hr)</w:t>
            </w:r>
          </w:p>
        </w:tc>
      </w:tr>
      <w:tr w:rsidR="00012F9A" w:rsidRPr="009F5AF4" w:rsidTr="00DB62B0">
        <w:trPr>
          <w:trHeight w:val="593"/>
        </w:trPr>
        <w:tc>
          <w:tcPr>
            <w:tcW w:w="0" w:type="auto"/>
            <w:tcBorders>
              <w:top w:val="single" w:sz="7" w:space="0" w:color="000000"/>
              <w:left w:val="single" w:sz="7" w:space="0" w:color="000000"/>
              <w:bottom w:val="single" w:sz="7" w:space="0" w:color="000000"/>
              <w:right w:val="single" w:sz="7" w:space="0" w:color="000000"/>
            </w:tcBorders>
          </w:tcPr>
          <w:p w:rsidR="00012F9A" w:rsidRPr="009F5AF4" w:rsidRDefault="00012F9A" w:rsidP="00DB62B0">
            <w:pPr>
              <w:spacing w:line="120" w:lineRule="exact"/>
              <w:rPr>
                <w:rFonts w:ascii="Arial" w:hAnsi="Arial" w:cs="Arial"/>
                <w:sz w:val="18"/>
                <w:szCs w:val="18"/>
              </w:rPr>
            </w:pPr>
          </w:p>
          <w:p w:rsidR="00012F9A" w:rsidRPr="009F5AF4" w:rsidRDefault="00012F9A" w:rsidP="00DB62B0">
            <w:pPr>
              <w:widowControl/>
              <w:rPr>
                <w:rFonts w:ascii="Arial" w:hAnsi="Arial" w:cs="Arial"/>
                <w:sz w:val="18"/>
                <w:szCs w:val="18"/>
              </w:rPr>
            </w:pPr>
            <w:r w:rsidRPr="009F5AF4">
              <w:rPr>
                <w:rFonts w:ascii="Arial" w:hAnsi="Arial" w:cs="Arial"/>
                <w:sz w:val="18"/>
                <w:szCs w:val="18"/>
              </w:rPr>
              <w:t>10 CFR 21.21(b)  Supplier does not have capability to perform evaluation</w:t>
            </w:r>
          </w:p>
        </w:tc>
        <w:tc>
          <w:tcPr>
            <w:tcW w:w="0" w:type="auto"/>
            <w:tcBorders>
              <w:top w:val="single" w:sz="7" w:space="0" w:color="000000"/>
              <w:left w:val="single" w:sz="7" w:space="0" w:color="000000"/>
              <w:bottom w:val="single" w:sz="7" w:space="0" w:color="000000"/>
              <w:right w:val="single" w:sz="7" w:space="0" w:color="000000"/>
            </w:tcBorders>
          </w:tcPr>
          <w:p w:rsidR="00012F9A" w:rsidRPr="009F5AF4" w:rsidRDefault="00012F9A" w:rsidP="00DB62B0">
            <w:pPr>
              <w:spacing w:line="120" w:lineRule="exact"/>
              <w:rPr>
                <w:rFonts w:ascii="Arial" w:hAnsi="Arial" w:cs="Arial"/>
                <w:sz w:val="18"/>
                <w:szCs w:val="18"/>
              </w:rPr>
            </w:pPr>
          </w:p>
          <w:p w:rsidR="00012F9A" w:rsidRPr="009F5AF4" w:rsidRDefault="00012F9A" w:rsidP="00DB62B0">
            <w:pPr>
              <w:widowControl/>
              <w:spacing w:after="58"/>
              <w:jc w:val="right"/>
              <w:rPr>
                <w:rFonts w:ascii="Arial" w:hAnsi="Arial" w:cs="Arial"/>
                <w:sz w:val="18"/>
                <w:szCs w:val="18"/>
              </w:rPr>
            </w:pPr>
            <w:r w:rsidRPr="009F5AF4">
              <w:rPr>
                <w:rFonts w:ascii="Arial" w:hAnsi="Arial" w:cs="Arial"/>
                <w:sz w:val="18"/>
                <w:szCs w:val="18"/>
              </w:rPr>
              <w:t>1</w:t>
            </w:r>
          </w:p>
        </w:tc>
        <w:tc>
          <w:tcPr>
            <w:tcW w:w="0" w:type="auto"/>
            <w:tcBorders>
              <w:top w:val="single" w:sz="7" w:space="0" w:color="000000"/>
              <w:left w:val="single" w:sz="7" w:space="0" w:color="000000"/>
              <w:bottom w:val="single" w:sz="7" w:space="0" w:color="000000"/>
              <w:right w:val="single" w:sz="7" w:space="0" w:color="000000"/>
            </w:tcBorders>
          </w:tcPr>
          <w:p w:rsidR="00012F9A" w:rsidRPr="009F5AF4" w:rsidRDefault="00012F9A" w:rsidP="00DB62B0">
            <w:pPr>
              <w:spacing w:line="120" w:lineRule="exact"/>
              <w:rPr>
                <w:rFonts w:ascii="Arial" w:hAnsi="Arial" w:cs="Arial"/>
                <w:sz w:val="18"/>
                <w:szCs w:val="18"/>
              </w:rPr>
            </w:pPr>
          </w:p>
          <w:p w:rsidR="00012F9A" w:rsidRPr="009F5AF4" w:rsidRDefault="00012F9A" w:rsidP="00DB62B0">
            <w:pPr>
              <w:widowControl/>
              <w:spacing w:after="58"/>
              <w:jc w:val="right"/>
              <w:rPr>
                <w:rFonts w:ascii="Arial" w:hAnsi="Arial" w:cs="Arial"/>
                <w:sz w:val="18"/>
                <w:szCs w:val="18"/>
              </w:rPr>
            </w:pPr>
            <w:r w:rsidRPr="009F5AF4">
              <w:rPr>
                <w:rFonts w:ascii="Arial" w:hAnsi="Arial" w:cs="Arial"/>
                <w:sz w:val="18"/>
                <w:szCs w:val="18"/>
              </w:rPr>
              <w:t>95</w:t>
            </w:r>
          </w:p>
        </w:tc>
        <w:tc>
          <w:tcPr>
            <w:tcW w:w="0" w:type="auto"/>
            <w:tcBorders>
              <w:top w:val="single" w:sz="7" w:space="0" w:color="000000"/>
              <w:left w:val="single" w:sz="7" w:space="0" w:color="000000"/>
              <w:bottom w:val="single" w:sz="7" w:space="0" w:color="000000"/>
              <w:right w:val="single" w:sz="7" w:space="0" w:color="000000"/>
            </w:tcBorders>
            <w:vAlign w:val="center"/>
          </w:tcPr>
          <w:p w:rsidR="00012F9A" w:rsidRPr="009F5AF4" w:rsidRDefault="00012F9A" w:rsidP="00DB62B0">
            <w:pPr>
              <w:jc w:val="right"/>
              <w:rPr>
                <w:rFonts w:ascii="Arial" w:hAnsi="Arial" w:cs="Arial"/>
                <w:color w:val="000000"/>
                <w:sz w:val="18"/>
                <w:szCs w:val="18"/>
              </w:rPr>
            </w:pPr>
            <w:r w:rsidRPr="009F5AF4">
              <w:rPr>
                <w:rFonts w:ascii="Arial" w:hAnsi="Arial" w:cs="Arial"/>
                <w:color w:val="000000"/>
                <w:sz w:val="18"/>
                <w:szCs w:val="18"/>
              </w:rPr>
              <w:t xml:space="preserve">               95 </w:t>
            </w:r>
          </w:p>
        </w:tc>
        <w:tc>
          <w:tcPr>
            <w:tcW w:w="0" w:type="auto"/>
            <w:tcBorders>
              <w:top w:val="single" w:sz="7" w:space="0" w:color="000000"/>
              <w:left w:val="single" w:sz="7" w:space="0" w:color="000000"/>
              <w:bottom w:val="single" w:sz="7" w:space="0" w:color="000000"/>
              <w:right w:val="single" w:sz="7" w:space="0" w:color="000000"/>
            </w:tcBorders>
            <w:vAlign w:val="center"/>
          </w:tcPr>
          <w:p w:rsidR="00012F9A" w:rsidRPr="009F5AF4" w:rsidRDefault="00012F9A" w:rsidP="00DB62B0">
            <w:pPr>
              <w:jc w:val="right"/>
              <w:rPr>
                <w:rFonts w:ascii="Arial" w:hAnsi="Arial" w:cs="Arial"/>
                <w:color w:val="000000"/>
                <w:sz w:val="18"/>
                <w:szCs w:val="18"/>
              </w:rPr>
            </w:pPr>
            <w:r w:rsidRPr="009F5AF4">
              <w:rPr>
                <w:rFonts w:ascii="Arial" w:hAnsi="Arial" w:cs="Arial"/>
                <w:color w:val="000000"/>
                <w:sz w:val="18"/>
                <w:szCs w:val="18"/>
              </w:rPr>
              <w:t xml:space="preserve"> $25,840 </w:t>
            </w:r>
          </w:p>
        </w:tc>
      </w:tr>
    </w:tbl>
    <w:p w:rsidR="00012F9A" w:rsidRPr="009F5AF4" w:rsidRDefault="00012F9A" w:rsidP="00012F9A">
      <w:pPr>
        <w:widowControl/>
        <w:ind w:left="-576" w:right="-576"/>
        <w:rPr>
          <w:rFonts w:ascii="Arial" w:hAnsi="Arial" w:cs="Arial"/>
          <w:sz w:val="22"/>
          <w:szCs w:val="22"/>
        </w:rPr>
      </w:pPr>
    </w:p>
    <w:p w:rsidR="00012F9A" w:rsidRPr="009F5AF4" w:rsidRDefault="00012F9A">
      <w:pPr>
        <w:widowControl/>
        <w:rPr>
          <w:rFonts w:ascii="Arial" w:hAnsi="Arial" w:cs="Arial"/>
          <w:sz w:val="22"/>
          <w:szCs w:val="22"/>
        </w:rPr>
      </w:pPr>
    </w:p>
    <w:p w:rsidR="00012F9A" w:rsidRPr="009F5AF4" w:rsidRDefault="00012F9A">
      <w:pPr>
        <w:widowControl/>
        <w:rPr>
          <w:rFonts w:ascii="Arial" w:hAnsi="Arial" w:cs="Arial"/>
          <w:sz w:val="22"/>
          <w:szCs w:val="22"/>
        </w:rPr>
      </w:pPr>
    </w:p>
    <w:p w:rsidR="00436E5F" w:rsidRPr="009F5AF4" w:rsidRDefault="00436E5F">
      <w:pPr>
        <w:widowControl/>
        <w:rPr>
          <w:rFonts w:ascii="Arial" w:hAnsi="Arial" w:cs="Arial"/>
          <w:sz w:val="22"/>
          <w:szCs w:val="22"/>
        </w:rPr>
      </w:pPr>
      <w:r w:rsidRPr="009F5AF4">
        <w:rPr>
          <w:rFonts w:ascii="Arial" w:hAnsi="Arial" w:cs="Arial"/>
          <w:sz w:val="22"/>
          <w:szCs w:val="22"/>
        </w:rPr>
        <w:t>Reporting:</w:t>
      </w:r>
      <w:r w:rsidRPr="009F5AF4">
        <w:rPr>
          <w:rFonts w:ascii="Arial" w:hAnsi="Arial" w:cs="Arial"/>
          <w:sz w:val="22"/>
          <w:szCs w:val="22"/>
        </w:rPr>
        <w:tab/>
      </w:r>
      <w:r w:rsidRPr="009F5AF4">
        <w:rPr>
          <w:rFonts w:ascii="Arial" w:hAnsi="Arial" w:cs="Arial"/>
          <w:sz w:val="22"/>
          <w:szCs w:val="22"/>
        </w:rPr>
        <w:tab/>
      </w:r>
      <w:r w:rsidR="00F673D4">
        <w:rPr>
          <w:rFonts w:ascii="Arial" w:hAnsi="Arial" w:cs="Arial"/>
          <w:sz w:val="22"/>
          <w:szCs w:val="22"/>
        </w:rPr>
        <w:tab/>
        <w:t xml:space="preserve">9,420 </w:t>
      </w:r>
      <w:r w:rsidRPr="009F5AF4">
        <w:rPr>
          <w:rFonts w:ascii="Arial" w:hAnsi="Arial" w:cs="Arial"/>
          <w:sz w:val="22"/>
          <w:szCs w:val="22"/>
        </w:rPr>
        <w:t>hours</w:t>
      </w:r>
    </w:p>
    <w:p w:rsidR="00436E5F" w:rsidRDefault="00436E5F">
      <w:pPr>
        <w:widowControl/>
        <w:rPr>
          <w:rFonts w:ascii="Arial" w:hAnsi="Arial" w:cs="Arial"/>
          <w:sz w:val="22"/>
          <w:szCs w:val="22"/>
        </w:rPr>
      </w:pPr>
      <w:r w:rsidRPr="009F5AF4">
        <w:rPr>
          <w:rFonts w:ascii="Arial" w:hAnsi="Arial" w:cs="Arial"/>
          <w:sz w:val="22"/>
          <w:szCs w:val="22"/>
        </w:rPr>
        <w:t>Recordkeeping:</w:t>
      </w:r>
      <w:r w:rsidRPr="009F5AF4">
        <w:rPr>
          <w:rFonts w:ascii="Arial" w:hAnsi="Arial" w:cs="Arial"/>
          <w:sz w:val="22"/>
          <w:szCs w:val="22"/>
        </w:rPr>
        <w:tab/>
      </w:r>
      <w:r w:rsidR="00F673D4">
        <w:rPr>
          <w:rFonts w:ascii="Arial" w:hAnsi="Arial" w:cs="Arial"/>
          <w:sz w:val="22"/>
          <w:szCs w:val="22"/>
        </w:rPr>
        <w:tab/>
        <w:t xml:space="preserve">25,190 </w:t>
      </w:r>
      <w:r w:rsidRPr="009F5AF4">
        <w:rPr>
          <w:rFonts w:ascii="Arial" w:hAnsi="Arial" w:cs="Arial"/>
          <w:sz w:val="22"/>
          <w:szCs w:val="22"/>
        </w:rPr>
        <w:t>hours</w:t>
      </w:r>
    </w:p>
    <w:p w:rsidR="00F673D4" w:rsidRPr="009F5AF4" w:rsidRDefault="00F673D4">
      <w:pPr>
        <w:widowControl/>
        <w:rPr>
          <w:rFonts w:ascii="Arial" w:hAnsi="Arial" w:cs="Arial"/>
          <w:sz w:val="22"/>
          <w:szCs w:val="22"/>
        </w:rPr>
      </w:pPr>
      <w:r>
        <w:rPr>
          <w:rFonts w:ascii="Arial" w:hAnsi="Arial" w:cs="Arial"/>
          <w:sz w:val="22"/>
          <w:szCs w:val="22"/>
        </w:rPr>
        <w:t>Third Party Disclosure:</w:t>
      </w:r>
      <w:r>
        <w:rPr>
          <w:rFonts w:ascii="Arial" w:hAnsi="Arial" w:cs="Arial"/>
          <w:sz w:val="22"/>
          <w:szCs w:val="22"/>
        </w:rPr>
        <w:tab/>
        <w:t>95 hours</w:t>
      </w:r>
    </w:p>
    <w:p w:rsidR="00436E5F" w:rsidRPr="009F5AF4" w:rsidRDefault="00436E5F">
      <w:pPr>
        <w:widowControl/>
        <w:rPr>
          <w:rFonts w:ascii="Arial" w:hAnsi="Arial" w:cs="Arial"/>
          <w:sz w:val="22"/>
          <w:szCs w:val="22"/>
        </w:rPr>
      </w:pPr>
      <w:r w:rsidRPr="009F5AF4">
        <w:rPr>
          <w:rFonts w:ascii="Arial" w:hAnsi="Arial" w:cs="Arial"/>
          <w:sz w:val="22"/>
          <w:szCs w:val="22"/>
        </w:rPr>
        <w:t>Total:</w:t>
      </w:r>
      <w:r w:rsidRPr="009F5AF4">
        <w:rPr>
          <w:rFonts w:ascii="Arial" w:hAnsi="Arial" w:cs="Arial"/>
          <w:sz w:val="22"/>
          <w:szCs w:val="22"/>
        </w:rPr>
        <w:tab/>
      </w:r>
      <w:r w:rsidRPr="009F5AF4">
        <w:rPr>
          <w:rFonts w:ascii="Arial" w:hAnsi="Arial" w:cs="Arial"/>
          <w:sz w:val="22"/>
          <w:szCs w:val="22"/>
        </w:rPr>
        <w:tab/>
      </w:r>
      <w:r w:rsidRPr="009F5AF4">
        <w:rPr>
          <w:rFonts w:ascii="Arial" w:hAnsi="Arial" w:cs="Arial"/>
          <w:sz w:val="22"/>
          <w:szCs w:val="22"/>
        </w:rPr>
        <w:tab/>
      </w:r>
      <w:r w:rsidR="00F673D4">
        <w:rPr>
          <w:rFonts w:ascii="Arial" w:hAnsi="Arial" w:cs="Arial"/>
          <w:sz w:val="22"/>
          <w:szCs w:val="22"/>
        </w:rPr>
        <w:tab/>
        <w:t>34,705</w:t>
      </w:r>
      <w:r w:rsidRPr="009F5AF4">
        <w:rPr>
          <w:rFonts w:ascii="Arial" w:hAnsi="Arial" w:cs="Arial"/>
          <w:sz w:val="22"/>
          <w:szCs w:val="22"/>
        </w:rPr>
        <w:t xml:space="preserve"> hours / $</w:t>
      </w:r>
      <w:r w:rsidR="00F673D4">
        <w:rPr>
          <w:rFonts w:ascii="Arial" w:hAnsi="Arial" w:cs="Arial"/>
          <w:sz w:val="22"/>
          <w:szCs w:val="22"/>
        </w:rPr>
        <w:t xml:space="preserve">9,439,760 </w:t>
      </w:r>
      <w:r w:rsidRPr="009F5AF4">
        <w:rPr>
          <w:rFonts w:ascii="Arial" w:hAnsi="Arial" w:cs="Arial"/>
          <w:sz w:val="22"/>
          <w:szCs w:val="22"/>
        </w:rPr>
        <w:t>(</w:t>
      </w:r>
      <w:r w:rsidR="00F673D4">
        <w:rPr>
          <w:rFonts w:ascii="Arial" w:hAnsi="Arial" w:cs="Arial"/>
          <w:sz w:val="22"/>
          <w:szCs w:val="22"/>
        </w:rPr>
        <w:t>34,705 x $272</w:t>
      </w:r>
      <w:r w:rsidRPr="009F5AF4">
        <w:rPr>
          <w:rFonts w:ascii="Arial" w:hAnsi="Arial" w:cs="Arial"/>
          <w:sz w:val="22"/>
          <w:szCs w:val="22"/>
        </w:rPr>
        <w:t>/hr)</w:t>
      </w:r>
    </w:p>
    <w:p w:rsidR="00F673D4" w:rsidRDefault="00436E5F">
      <w:pPr>
        <w:widowControl/>
        <w:rPr>
          <w:rFonts w:ascii="Arial" w:hAnsi="Arial" w:cs="Arial"/>
          <w:sz w:val="22"/>
          <w:szCs w:val="22"/>
        </w:rPr>
      </w:pPr>
      <w:r w:rsidRPr="009F5AF4">
        <w:rPr>
          <w:rFonts w:ascii="Arial" w:hAnsi="Arial" w:cs="Arial"/>
          <w:sz w:val="22"/>
          <w:szCs w:val="22"/>
        </w:rPr>
        <w:t>Responses:</w:t>
      </w:r>
      <w:r w:rsidRPr="009F5AF4">
        <w:rPr>
          <w:rFonts w:ascii="Arial" w:hAnsi="Arial" w:cs="Arial"/>
          <w:sz w:val="22"/>
          <w:szCs w:val="22"/>
        </w:rPr>
        <w:tab/>
      </w:r>
      <w:r w:rsidRPr="009F5AF4">
        <w:rPr>
          <w:rFonts w:ascii="Arial" w:hAnsi="Arial" w:cs="Arial"/>
          <w:sz w:val="22"/>
          <w:szCs w:val="22"/>
        </w:rPr>
        <w:tab/>
      </w:r>
      <w:r w:rsidR="00F673D4">
        <w:rPr>
          <w:rFonts w:ascii="Arial" w:hAnsi="Arial" w:cs="Arial"/>
          <w:sz w:val="22"/>
          <w:szCs w:val="22"/>
        </w:rPr>
        <w:tab/>
        <w:t>447</w:t>
      </w:r>
      <w:r w:rsidRPr="009F5AF4">
        <w:rPr>
          <w:rFonts w:ascii="Arial" w:hAnsi="Arial" w:cs="Arial"/>
          <w:sz w:val="22"/>
          <w:szCs w:val="22"/>
        </w:rPr>
        <w:t xml:space="preserve"> (</w:t>
      </w:r>
      <w:r w:rsidR="00F673D4">
        <w:rPr>
          <w:rFonts w:ascii="Arial" w:hAnsi="Arial" w:cs="Arial"/>
          <w:sz w:val="22"/>
          <w:szCs w:val="22"/>
        </w:rPr>
        <w:t>96</w:t>
      </w:r>
      <w:r w:rsidRPr="009F5AF4">
        <w:rPr>
          <w:rFonts w:ascii="Arial" w:hAnsi="Arial" w:cs="Arial"/>
          <w:sz w:val="22"/>
          <w:szCs w:val="22"/>
        </w:rPr>
        <w:t xml:space="preserve"> reporting responses </w:t>
      </w:r>
      <w:r w:rsidR="00F673D4">
        <w:rPr>
          <w:rFonts w:ascii="Arial" w:hAnsi="Arial" w:cs="Arial"/>
          <w:sz w:val="22"/>
          <w:szCs w:val="22"/>
        </w:rPr>
        <w:t>+ 1 third party disclosure +</w:t>
      </w:r>
      <w:r w:rsidRPr="009F5AF4">
        <w:rPr>
          <w:rFonts w:ascii="Arial" w:hAnsi="Arial" w:cs="Arial"/>
          <w:sz w:val="22"/>
          <w:szCs w:val="22"/>
        </w:rPr>
        <w:t xml:space="preserve"> </w:t>
      </w:r>
      <w:r w:rsidR="00F673D4">
        <w:rPr>
          <w:rFonts w:ascii="Arial" w:hAnsi="Arial" w:cs="Arial"/>
          <w:sz w:val="22"/>
          <w:szCs w:val="22"/>
        </w:rPr>
        <w:t>350</w:t>
      </w:r>
      <w:r w:rsidRPr="009F5AF4">
        <w:rPr>
          <w:rFonts w:ascii="Arial" w:hAnsi="Arial" w:cs="Arial"/>
          <w:sz w:val="22"/>
          <w:szCs w:val="22"/>
        </w:rPr>
        <w:t xml:space="preserve"> </w:t>
      </w:r>
    </w:p>
    <w:p w:rsidR="00436E5F" w:rsidRPr="009F5AF4" w:rsidRDefault="00436E5F" w:rsidP="00F673D4">
      <w:pPr>
        <w:widowControl/>
        <w:ind w:left="2880"/>
        <w:rPr>
          <w:rFonts w:ascii="Arial" w:hAnsi="Arial" w:cs="Arial"/>
          <w:sz w:val="22"/>
          <w:szCs w:val="22"/>
        </w:rPr>
      </w:pPr>
      <w:proofErr w:type="spellStart"/>
      <w:proofErr w:type="gramStart"/>
      <w:r w:rsidRPr="009F5AF4">
        <w:rPr>
          <w:rFonts w:ascii="Arial" w:hAnsi="Arial" w:cs="Arial"/>
          <w:sz w:val="22"/>
          <w:szCs w:val="22"/>
        </w:rPr>
        <w:t>recordkeepers</w:t>
      </w:r>
      <w:proofErr w:type="spellEnd"/>
      <w:proofErr w:type="gramEnd"/>
      <w:r w:rsidRPr="009F5AF4">
        <w:rPr>
          <w:rFonts w:ascii="Arial" w:hAnsi="Arial" w:cs="Arial"/>
          <w:sz w:val="22"/>
          <w:szCs w:val="22"/>
        </w:rPr>
        <w:t>)</w:t>
      </w:r>
    </w:p>
    <w:p w:rsidR="00436E5F" w:rsidRDefault="00436E5F">
      <w:pPr>
        <w:widowControl/>
        <w:rPr>
          <w:rFonts w:ascii="Arial" w:hAnsi="Arial" w:cs="Arial"/>
          <w:sz w:val="22"/>
          <w:szCs w:val="22"/>
        </w:rPr>
      </w:pPr>
      <w:r w:rsidRPr="009F5AF4">
        <w:rPr>
          <w:rFonts w:ascii="Arial" w:hAnsi="Arial" w:cs="Arial"/>
          <w:sz w:val="22"/>
          <w:szCs w:val="22"/>
        </w:rPr>
        <w:t>Respondents:</w:t>
      </w:r>
      <w:r w:rsidRPr="009F5AF4">
        <w:rPr>
          <w:rFonts w:ascii="Arial" w:hAnsi="Arial" w:cs="Arial"/>
          <w:sz w:val="22"/>
          <w:szCs w:val="22"/>
        </w:rPr>
        <w:tab/>
      </w:r>
      <w:r w:rsidRPr="009F5AF4">
        <w:rPr>
          <w:rFonts w:ascii="Arial" w:hAnsi="Arial" w:cs="Arial"/>
          <w:sz w:val="22"/>
          <w:szCs w:val="22"/>
        </w:rPr>
        <w:tab/>
      </w:r>
      <w:r w:rsidR="00F673D4">
        <w:rPr>
          <w:rFonts w:ascii="Arial" w:hAnsi="Arial" w:cs="Arial"/>
          <w:sz w:val="22"/>
          <w:szCs w:val="22"/>
        </w:rPr>
        <w:tab/>
      </w:r>
      <w:r w:rsidR="00FF16F1">
        <w:rPr>
          <w:rFonts w:ascii="Arial" w:hAnsi="Arial" w:cs="Arial"/>
          <w:sz w:val="22"/>
          <w:szCs w:val="22"/>
        </w:rPr>
        <w:t>350 (unduplicated total of</w:t>
      </w:r>
      <w:r w:rsidR="00F673D4">
        <w:rPr>
          <w:rFonts w:ascii="Arial" w:hAnsi="Arial" w:cs="Arial"/>
          <w:sz w:val="22"/>
          <w:szCs w:val="22"/>
        </w:rPr>
        <w:t xml:space="preserve"> respondents and </w:t>
      </w:r>
      <w:proofErr w:type="spellStart"/>
      <w:r w:rsidR="00F673D4">
        <w:rPr>
          <w:rFonts w:ascii="Arial" w:hAnsi="Arial" w:cs="Arial"/>
          <w:sz w:val="22"/>
          <w:szCs w:val="22"/>
        </w:rPr>
        <w:t>recordkeepers</w:t>
      </w:r>
      <w:proofErr w:type="spellEnd"/>
      <w:r w:rsidR="00F673D4">
        <w:rPr>
          <w:rFonts w:ascii="Arial" w:hAnsi="Arial" w:cs="Arial"/>
          <w:sz w:val="22"/>
          <w:szCs w:val="22"/>
        </w:rPr>
        <w:t>)</w:t>
      </w:r>
    </w:p>
    <w:sectPr w:rsidR="00436E5F" w:rsidSect="00436E5F">
      <w:pgSz w:w="12240" w:h="15840"/>
      <w:pgMar w:top="1440" w:right="1440" w:bottom="1440" w:left="1440" w:header="144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A09" w:rsidRDefault="00DF4A09" w:rsidP="002E24C0">
      <w:r>
        <w:separator/>
      </w:r>
    </w:p>
  </w:endnote>
  <w:endnote w:type="continuationSeparator" w:id="0">
    <w:p w:rsidR="00DF4A09" w:rsidRDefault="00DF4A09" w:rsidP="002E2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5B8" w:rsidRPr="002E24C0" w:rsidRDefault="00990F3A">
    <w:pPr>
      <w:pStyle w:val="Footer"/>
      <w:jc w:val="center"/>
      <w:rPr>
        <w:rFonts w:ascii="Arial" w:hAnsi="Arial" w:cs="Arial"/>
        <w:sz w:val="22"/>
        <w:szCs w:val="22"/>
      </w:rPr>
    </w:pPr>
    <w:r w:rsidRPr="002E24C0">
      <w:rPr>
        <w:rFonts w:ascii="Arial" w:hAnsi="Arial" w:cs="Arial"/>
        <w:sz w:val="22"/>
        <w:szCs w:val="22"/>
      </w:rPr>
      <w:fldChar w:fldCharType="begin"/>
    </w:r>
    <w:r w:rsidR="007755B8" w:rsidRPr="002E24C0">
      <w:rPr>
        <w:rFonts w:ascii="Arial" w:hAnsi="Arial" w:cs="Arial"/>
        <w:sz w:val="22"/>
        <w:szCs w:val="22"/>
      </w:rPr>
      <w:instrText xml:space="preserve"> PAGE   \* MERGEFORMAT </w:instrText>
    </w:r>
    <w:r w:rsidRPr="002E24C0">
      <w:rPr>
        <w:rFonts w:ascii="Arial" w:hAnsi="Arial" w:cs="Arial"/>
        <w:sz w:val="22"/>
        <w:szCs w:val="22"/>
      </w:rPr>
      <w:fldChar w:fldCharType="separate"/>
    </w:r>
    <w:r w:rsidR="00CB4504">
      <w:rPr>
        <w:rFonts w:ascii="Arial" w:hAnsi="Arial" w:cs="Arial"/>
        <w:noProof/>
        <w:sz w:val="22"/>
        <w:szCs w:val="22"/>
      </w:rPr>
      <w:t>13</w:t>
    </w:r>
    <w:r w:rsidRPr="002E24C0">
      <w:rP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A09" w:rsidRDefault="00DF4A09" w:rsidP="002E24C0">
      <w:r>
        <w:separator/>
      </w:r>
    </w:p>
  </w:footnote>
  <w:footnote w:type="continuationSeparator" w:id="0">
    <w:p w:rsidR="00DF4A09" w:rsidRDefault="00DF4A09" w:rsidP="002E24C0">
      <w:r>
        <w:continuationSeparator/>
      </w:r>
    </w:p>
  </w:footnote>
  <w:footnote w:id="1">
    <w:p w:rsidR="007755B8" w:rsidRPr="001E4400" w:rsidRDefault="007755B8">
      <w:pPr>
        <w:pStyle w:val="FootnoteText"/>
        <w:rPr>
          <w:rFonts w:ascii="Arial" w:hAnsi="Arial" w:cs="Arial"/>
        </w:rPr>
      </w:pPr>
      <w:r w:rsidRPr="00717D9B">
        <w:rPr>
          <w:rStyle w:val="FootnoteReference"/>
          <w:rFonts w:ascii="Arial" w:hAnsi="Arial" w:cs="Arial"/>
          <w:vertAlign w:val="superscript"/>
        </w:rPr>
        <w:footnoteRef/>
      </w:r>
      <w:r w:rsidRPr="00717D9B">
        <w:rPr>
          <w:rFonts w:ascii="Arial" w:hAnsi="Arial" w:cs="Arial"/>
          <w:vertAlign w:val="superscript"/>
        </w:rPr>
        <w:t xml:space="preserve"> </w:t>
      </w:r>
      <w:r w:rsidRPr="00717D9B">
        <w:rPr>
          <w:rFonts w:ascii="Arial" w:hAnsi="Arial" w:cs="Arial"/>
          <w:sz w:val="18"/>
        </w:rPr>
        <w:t xml:space="preserve">Burden calculations are based on the number of estimated responses.  An estimated </w:t>
      </w:r>
      <w:r>
        <w:rPr>
          <w:rFonts w:ascii="Arial" w:hAnsi="Arial" w:cs="Arial"/>
          <w:sz w:val="18"/>
        </w:rPr>
        <w:t>2,000 licensees, vendors, and fuel facilities</w:t>
      </w:r>
      <w:r w:rsidRPr="00717D9B">
        <w:rPr>
          <w:rFonts w:ascii="Arial" w:hAnsi="Arial" w:cs="Arial"/>
          <w:sz w:val="18"/>
        </w:rPr>
        <w:t xml:space="preserve"> are subject to Part 21; however, only </w:t>
      </w:r>
      <w:r>
        <w:rPr>
          <w:rFonts w:ascii="Arial" w:hAnsi="Arial" w:cs="Arial"/>
          <w:sz w:val="18"/>
        </w:rPr>
        <w:t xml:space="preserve">350 </w:t>
      </w:r>
      <w:r w:rsidRPr="00717D9B">
        <w:rPr>
          <w:rFonts w:ascii="Arial" w:hAnsi="Arial" w:cs="Arial"/>
          <w:sz w:val="18"/>
        </w:rPr>
        <w:t xml:space="preserve">of these entities are anticipated to </w:t>
      </w:r>
      <w:r w:rsidRPr="000B210A">
        <w:rPr>
          <w:rFonts w:ascii="Arial" w:hAnsi="Arial" w:cs="Arial"/>
          <w:sz w:val="18"/>
        </w:rPr>
        <w:t>submit a</w:t>
      </w:r>
      <w:r>
        <w:rPr>
          <w:rFonts w:ascii="Arial" w:hAnsi="Arial" w:cs="Arial"/>
          <w:sz w:val="18"/>
        </w:rPr>
        <w:t xml:space="preserve"> </w:t>
      </w:r>
      <w:r w:rsidRPr="000B210A">
        <w:rPr>
          <w:rFonts w:ascii="Arial" w:hAnsi="Arial" w:cs="Arial"/>
          <w:sz w:val="18"/>
        </w:rPr>
        <w:t>report</w:t>
      </w:r>
      <w:r>
        <w:rPr>
          <w:rFonts w:ascii="Arial" w:hAnsi="Arial" w:cs="Arial"/>
          <w:sz w:val="18"/>
        </w:rPr>
        <w:t xml:space="preserve"> or maintain records </w:t>
      </w:r>
      <w:r w:rsidRPr="00717D9B">
        <w:rPr>
          <w:rFonts w:ascii="Arial" w:hAnsi="Arial" w:cs="Arial"/>
          <w:sz w:val="18"/>
        </w:rPr>
        <w:t>during the current clearance period.</w:t>
      </w:r>
    </w:p>
  </w:footnote>
  <w:footnote w:id="2">
    <w:p w:rsidR="007755B8" w:rsidRPr="001E4400" w:rsidRDefault="007755B8" w:rsidP="00012F9A">
      <w:pPr>
        <w:pStyle w:val="FootnoteText"/>
        <w:rPr>
          <w:rFonts w:ascii="Arial" w:hAnsi="Arial" w:cs="Arial"/>
        </w:rPr>
      </w:pPr>
      <w:r w:rsidRPr="00A41416">
        <w:rPr>
          <w:rStyle w:val="FootnoteReference"/>
          <w:rFonts w:ascii="Arial" w:hAnsi="Arial" w:cs="Arial"/>
          <w:vertAlign w:val="superscript"/>
        </w:rPr>
        <w:footnoteRef/>
      </w:r>
      <w:r w:rsidRPr="001E4400">
        <w:rPr>
          <w:rFonts w:ascii="Arial" w:hAnsi="Arial" w:cs="Arial"/>
        </w:rPr>
        <w:t xml:space="preserve"> Burden calculations are based on the number of estimate</w:t>
      </w:r>
      <w:r>
        <w:rPr>
          <w:rFonts w:ascii="Arial" w:hAnsi="Arial" w:cs="Arial"/>
        </w:rPr>
        <w:t xml:space="preserve">d responses.  An estimated 2,000 licensees, applicants, and vendors are subject to Part 21; however, </w:t>
      </w:r>
      <w:r w:rsidRPr="009F5AF4">
        <w:rPr>
          <w:rFonts w:ascii="Arial" w:hAnsi="Arial" w:cs="Arial"/>
        </w:rPr>
        <w:t xml:space="preserve">only </w:t>
      </w:r>
      <w:r>
        <w:rPr>
          <w:rFonts w:ascii="Arial" w:hAnsi="Arial" w:cs="Arial"/>
        </w:rPr>
        <w:t xml:space="preserve">350 </w:t>
      </w:r>
      <w:r w:rsidRPr="009F5AF4">
        <w:rPr>
          <w:rFonts w:ascii="Arial" w:hAnsi="Arial" w:cs="Arial"/>
        </w:rPr>
        <w:t>of these</w:t>
      </w:r>
      <w:r>
        <w:rPr>
          <w:rFonts w:ascii="Arial" w:hAnsi="Arial" w:cs="Arial"/>
        </w:rPr>
        <w:t xml:space="preserve"> entities are anticipated to submit a report or maintain records during the current clearance period.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28601811"/>
    <w:multiLevelType w:val="hybridMultilevel"/>
    <w:tmpl w:val="E954D1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8836228"/>
    <w:multiLevelType w:val="hybridMultilevel"/>
    <w:tmpl w:val="D28261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5F35A73"/>
    <w:multiLevelType w:val="hybridMultilevel"/>
    <w:tmpl w:val="5BA6831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C86635A"/>
    <w:multiLevelType w:val="hybridMultilevel"/>
    <w:tmpl w:val="941200C4"/>
    <w:lvl w:ilvl="0" w:tplc="5322D28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FF41DC"/>
    <w:multiLevelType w:val="hybridMultilevel"/>
    <w:tmpl w:val="A5648D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9F3"/>
    <w:rsid w:val="00012F9A"/>
    <w:rsid w:val="00013A08"/>
    <w:rsid w:val="00037773"/>
    <w:rsid w:val="0004247F"/>
    <w:rsid w:val="000578FE"/>
    <w:rsid w:val="00080B37"/>
    <w:rsid w:val="000B210A"/>
    <w:rsid w:val="000B5925"/>
    <w:rsid w:val="000D3B56"/>
    <w:rsid w:val="000F4EEA"/>
    <w:rsid w:val="00131F88"/>
    <w:rsid w:val="00135CD5"/>
    <w:rsid w:val="00136142"/>
    <w:rsid w:val="00160015"/>
    <w:rsid w:val="001606E0"/>
    <w:rsid w:val="001612D9"/>
    <w:rsid w:val="0017331C"/>
    <w:rsid w:val="0019208A"/>
    <w:rsid w:val="001B411C"/>
    <w:rsid w:val="001D4C8A"/>
    <w:rsid w:val="001D6DFE"/>
    <w:rsid w:val="001E4400"/>
    <w:rsid w:val="00201AE0"/>
    <w:rsid w:val="00204CFE"/>
    <w:rsid w:val="00222DD7"/>
    <w:rsid w:val="00235F34"/>
    <w:rsid w:val="002422E3"/>
    <w:rsid w:val="00264C26"/>
    <w:rsid w:val="00284466"/>
    <w:rsid w:val="002905B5"/>
    <w:rsid w:val="002A536D"/>
    <w:rsid w:val="002E24C0"/>
    <w:rsid w:val="002E2E3A"/>
    <w:rsid w:val="002F02B5"/>
    <w:rsid w:val="00314017"/>
    <w:rsid w:val="00332EB9"/>
    <w:rsid w:val="00342076"/>
    <w:rsid w:val="0034295E"/>
    <w:rsid w:val="00350754"/>
    <w:rsid w:val="003555EE"/>
    <w:rsid w:val="00360F2A"/>
    <w:rsid w:val="0039573A"/>
    <w:rsid w:val="003A7FCA"/>
    <w:rsid w:val="003C481A"/>
    <w:rsid w:val="003E3964"/>
    <w:rsid w:val="003E791B"/>
    <w:rsid w:val="003F1EF4"/>
    <w:rsid w:val="003F2E54"/>
    <w:rsid w:val="00401479"/>
    <w:rsid w:val="0041187D"/>
    <w:rsid w:val="004126B8"/>
    <w:rsid w:val="00436E5F"/>
    <w:rsid w:val="004445D0"/>
    <w:rsid w:val="00455EBB"/>
    <w:rsid w:val="004A3C8D"/>
    <w:rsid w:val="004B6B6A"/>
    <w:rsid w:val="004D1C95"/>
    <w:rsid w:val="004D40D2"/>
    <w:rsid w:val="004F3271"/>
    <w:rsid w:val="00511A06"/>
    <w:rsid w:val="00515F00"/>
    <w:rsid w:val="005270B4"/>
    <w:rsid w:val="00540AA9"/>
    <w:rsid w:val="00552B34"/>
    <w:rsid w:val="00563D45"/>
    <w:rsid w:val="005A4FCF"/>
    <w:rsid w:val="005B4A48"/>
    <w:rsid w:val="005B5084"/>
    <w:rsid w:val="005D007B"/>
    <w:rsid w:val="005E434F"/>
    <w:rsid w:val="005F04D1"/>
    <w:rsid w:val="005F08A1"/>
    <w:rsid w:val="00607FBF"/>
    <w:rsid w:val="00622844"/>
    <w:rsid w:val="006278EF"/>
    <w:rsid w:val="006420C8"/>
    <w:rsid w:val="0065212E"/>
    <w:rsid w:val="00696CBE"/>
    <w:rsid w:val="006A44D1"/>
    <w:rsid w:val="006B223E"/>
    <w:rsid w:val="00701C73"/>
    <w:rsid w:val="00703D38"/>
    <w:rsid w:val="00706C86"/>
    <w:rsid w:val="0070785D"/>
    <w:rsid w:val="007128A3"/>
    <w:rsid w:val="007166AF"/>
    <w:rsid w:val="00717D9B"/>
    <w:rsid w:val="00735182"/>
    <w:rsid w:val="00735DAB"/>
    <w:rsid w:val="00756F89"/>
    <w:rsid w:val="00770562"/>
    <w:rsid w:val="007740D2"/>
    <w:rsid w:val="007755B8"/>
    <w:rsid w:val="00776BEE"/>
    <w:rsid w:val="007846BC"/>
    <w:rsid w:val="007864B5"/>
    <w:rsid w:val="007A0FD6"/>
    <w:rsid w:val="007A668D"/>
    <w:rsid w:val="007A7CF9"/>
    <w:rsid w:val="007C5FE7"/>
    <w:rsid w:val="007C76C2"/>
    <w:rsid w:val="007D084A"/>
    <w:rsid w:val="007D0A68"/>
    <w:rsid w:val="008507AE"/>
    <w:rsid w:val="008673D3"/>
    <w:rsid w:val="00884313"/>
    <w:rsid w:val="00895BE6"/>
    <w:rsid w:val="008C5E46"/>
    <w:rsid w:val="008C78E9"/>
    <w:rsid w:val="008D20BA"/>
    <w:rsid w:val="008D2BFD"/>
    <w:rsid w:val="008E1E8C"/>
    <w:rsid w:val="008E74E2"/>
    <w:rsid w:val="008F04F8"/>
    <w:rsid w:val="008F196E"/>
    <w:rsid w:val="008F76A0"/>
    <w:rsid w:val="0091482B"/>
    <w:rsid w:val="00914C84"/>
    <w:rsid w:val="0094530D"/>
    <w:rsid w:val="00990F3A"/>
    <w:rsid w:val="00993D71"/>
    <w:rsid w:val="009B0EC9"/>
    <w:rsid w:val="009B66A7"/>
    <w:rsid w:val="009C360E"/>
    <w:rsid w:val="009D6182"/>
    <w:rsid w:val="009D63F0"/>
    <w:rsid w:val="009F1337"/>
    <w:rsid w:val="009F21FB"/>
    <w:rsid w:val="009F5AF4"/>
    <w:rsid w:val="00A1740D"/>
    <w:rsid w:val="00A33871"/>
    <w:rsid w:val="00A41416"/>
    <w:rsid w:val="00A7724D"/>
    <w:rsid w:val="00A879F3"/>
    <w:rsid w:val="00A96F4A"/>
    <w:rsid w:val="00AA0247"/>
    <w:rsid w:val="00AC394C"/>
    <w:rsid w:val="00AE3418"/>
    <w:rsid w:val="00AF2BD9"/>
    <w:rsid w:val="00B47923"/>
    <w:rsid w:val="00B61E9B"/>
    <w:rsid w:val="00B7263C"/>
    <w:rsid w:val="00B771DB"/>
    <w:rsid w:val="00BA2387"/>
    <w:rsid w:val="00BC0482"/>
    <w:rsid w:val="00BC553B"/>
    <w:rsid w:val="00BC7035"/>
    <w:rsid w:val="00BC7239"/>
    <w:rsid w:val="00BE4E5C"/>
    <w:rsid w:val="00BE6570"/>
    <w:rsid w:val="00BF2963"/>
    <w:rsid w:val="00C0309A"/>
    <w:rsid w:val="00C231CA"/>
    <w:rsid w:val="00C40473"/>
    <w:rsid w:val="00C55D8F"/>
    <w:rsid w:val="00C57C08"/>
    <w:rsid w:val="00C64828"/>
    <w:rsid w:val="00C65979"/>
    <w:rsid w:val="00C72855"/>
    <w:rsid w:val="00C75A05"/>
    <w:rsid w:val="00C82841"/>
    <w:rsid w:val="00C917CA"/>
    <w:rsid w:val="00CA3D22"/>
    <w:rsid w:val="00CB4504"/>
    <w:rsid w:val="00CD5F6A"/>
    <w:rsid w:val="00CF2FB4"/>
    <w:rsid w:val="00CF7A97"/>
    <w:rsid w:val="00D1496C"/>
    <w:rsid w:val="00D16FA7"/>
    <w:rsid w:val="00D26D64"/>
    <w:rsid w:val="00D54A35"/>
    <w:rsid w:val="00D552A8"/>
    <w:rsid w:val="00D55541"/>
    <w:rsid w:val="00D6403F"/>
    <w:rsid w:val="00D84B6A"/>
    <w:rsid w:val="00D93135"/>
    <w:rsid w:val="00D9599B"/>
    <w:rsid w:val="00DA63C2"/>
    <w:rsid w:val="00DB62B0"/>
    <w:rsid w:val="00DC00D2"/>
    <w:rsid w:val="00DD1A0D"/>
    <w:rsid w:val="00DE3451"/>
    <w:rsid w:val="00DF4A09"/>
    <w:rsid w:val="00E32284"/>
    <w:rsid w:val="00E44D86"/>
    <w:rsid w:val="00E514D4"/>
    <w:rsid w:val="00E60096"/>
    <w:rsid w:val="00E75232"/>
    <w:rsid w:val="00E836BE"/>
    <w:rsid w:val="00E97817"/>
    <w:rsid w:val="00ED0D44"/>
    <w:rsid w:val="00EE2DAE"/>
    <w:rsid w:val="00EE5CA3"/>
    <w:rsid w:val="00EF3708"/>
    <w:rsid w:val="00EF6BA6"/>
    <w:rsid w:val="00F01EEB"/>
    <w:rsid w:val="00F04F2B"/>
    <w:rsid w:val="00F138F6"/>
    <w:rsid w:val="00F149C1"/>
    <w:rsid w:val="00F23553"/>
    <w:rsid w:val="00F40059"/>
    <w:rsid w:val="00F40EB6"/>
    <w:rsid w:val="00F53329"/>
    <w:rsid w:val="00F673D4"/>
    <w:rsid w:val="00F80DEC"/>
    <w:rsid w:val="00F92AF3"/>
    <w:rsid w:val="00F94FB0"/>
    <w:rsid w:val="00FA35B1"/>
    <w:rsid w:val="00FA67F3"/>
    <w:rsid w:val="00FA6BCA"/>
    <w:rsid w:val="00FA6F55"/>
    <w:rsid w:val="00FB3DBC"/>
    <w:rsid w:val="00FC1A09"/>
    <w:rsid w:val="00FC4275"/>
    <w:rsid w:val="00FC7F18"/>
    <w:rsid w:val="00FE57DD"/>
    <w:rsid w:val="00FF1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81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97817"/>
  </w:style>
  <w:style w:type="paragraph" w:customStyle="1" w:styleId="Level1">
    <w:name w:val="Level 1"/>
    <w:basedOn w:val="Normal"/>
    <w:rsid w:val="00E97817"/>
    <w:pPr>
      <w:ind w:left="720" w:hanging="720"/>
      <w:outlineLvl w:val="0"/>
    </w:pPr>
  </w:style>
  <w:style w:type="table" w:styleId="TableGrid">
    <w:name w:val="Table Grid"/>
    <w:basedOn w:val="TableNormal"/>
    <w:rsid w:val="00080B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2E24C0"/>
    <w:pPr>
      <w:tabs>
        <w:tab w:val="center" w:pos="4680"/>
        <w:tab w:val="right" w:pos="9360"/>
      </w:tabs>
    </w:pPr>
  </w:style>
  <w:style w:type="character" w:customStyle="1" w:styleId="HeaderChar">
    <w:name w:val="Header Char"/>
    <w:basedOn w:val="DefaultParagraphFont"/>
    <w:link w:val="Header"/>
    <w:rsid w:val="002E24C0"/>
    <w:rPr>
      <w:sz w:val="24"/>
      <w:szCs w:val="24"/>
    </w:rPr>
  </w:style>
  <w:style w:type="paragraph" w:styleId="Footer">
    <w:name w:val="footer"/>
    <w:basedOn w:val="Normal"/>
    <w:link w:val="FooterChar"/>
    <w:uiPriority w:val="99"/>
    <w:rsid w:val="002E24C0"/>
    <w:pPr>
      <w:tabs>
        <w:tab w:val="center" w:pos="4680"/>
        <w:tab w:val="right" w:pos="9360"/>
      </w:tabs>
    </w:pPr>
  </w:style>
  <w:style w:type="character" w:customStyle="1" w:styleId="FooterChar">
    <w:name w:val="Footer Char"/>
    <w:basedOn w:val="DefaultParagraphFont"/>
    <w:link w:val="Footer"/>
    <w:uiPriority w:val="99"/>
    <w:rsid w:val="002E24C0"/>
    <w:rPr>
      <w:sz w:val="24"/>
      <w:szCs w:val="24"/>
    </w:rPr>
  </w:style>
  <w:style w:type="character" w:styleId="CommentReference">
    <w:name w:val="annotation reference"/>
    <w:basedOn w:val="DefaultParagraphFont"/>
    <w:rsid w:val="00CD5F6A"/>
    <w:rPr>
      <w:sz w:val="16"/>
      <w:szCs w:val="16"/>
    </w:rPr>
  </w:style>
  <w:style w:type="paragraph" w:styleId="CommentText">
    <w:name w:val="annotation text"/>
    <w:basedOn w:val="Normal"/>
    <w:link w:val="CommentTextChar"/>
    <w:rsid w:val="00CD5F6A"/>
    <w:rPr>
      <w:sz w:val="20"/>
      <w:szCs w:val="20"/>
    </w:rPr>
  </w:style>
  <w:style w:type="character" w:customStyle="1" w:styleId="CommentTextChar">
    <w:name w:val="Comment Text Char"/>
    <w:basedOn w:val="DefaultParagraphFont"/>
    <w:link w:val="CommentText"/>
    <w:rsid w:val="00CD5F6A"/>
  </w:style>
  <w:style w:type="paragraph" w:styleId="CommentSubject">
    <w:name w:val="annotation subject"/>
    <w:basedOn w:val="CommentText"/>
    <w:next w:val="CommentText"/>
    <w:link w:val="CommentSubjectChar"/>
    <w:rsid w:val="00CD5F6A"/>
    <w:rPr>
      <w:b/>
      <w:bCs/>
    </w:rPr>
  </w:style>
  <w:style w:type="character" w:customStyle="1" w:styleId="CommentSubjectChar">
    <w:name w:val="Comment Subject Char"/>
    <w:basedOn w:val="CommentTextChar"/>
    <w:link w:val="CommentSubject"/>
    <w:rsid w:val="00CD5F6A"/>
    <w:rPr>
      <w:b/>
      <w:bCs/>
    </w:rPr>
  </w:style>
  <w:style w:type="paragraph" w:styleId="BalloonText">
    <w:name w:val="Balloon Text"/>
    <w:basedOn w:val="Normal"/>
    <w:link w:val="BalloonTextChar"/>
    <w:rsid w:val="00CD5F6A"/>
    <w:rPr>
      <w:rFonts w:ascii="Tahoma" w:hAnsi="Tahoma" w:cs="Tahoma"/>
      <w:sz w:val="16"/>
      <w:szCs w:val="16"/>
    </w:rPr>
  </w:style>
  <w:style w:type="character" w:customStyle="1" w:styleId="BalloonTextChar">
    <w:name w:val="Balloon Text Char"/>
    <w:basedOn w:val="DefaultParagraphFont"/>
    <w:link w:val="BalloonText"/>
    <w:rsid w:val="00CD5F6A"/>
    <w:rPr>
      <w:rFonts w:ascii="Tahoma" w:hAnsi="Tahoma" w:cs="Tahoma"/>
      <w:sz w:val="16"/>
      <w:szCs w:val="16"/>
    </w:rPr>
  </w:style>
  <w:style w:type="paragraph" w:styleId="FootnoteText">
    <w:name w:val="footnote text"/>
    <w:basedOn w:val="Normal"/>
    <w:link w:val="FootnoteTextChar"/>
    <w:rsid w:val="001E4400"/>
    <w:rPr>
      <w:sz w:val="20"/>
      <w:szCs w:val="20"/>
    </w:rPr>
  </w:style>
  <w:style w:type="character" w:customStyle="1" w:styleId="FootnoteTextChar">
    <w:name w:val="Footnote Text Char"/>
    <w:basedOn w:val="DefaultParagraphFont"/>
    <w:link w:val="FootnoteText"/>
    <w:rsid w:val="001E4400"/>
  </w:style>
  <w:style w:type="paragraph" w:styleId="ListParagraph">
    <w:name w:val="List Paragraph"/>
    <w:basedOn w:val="Normal"/>
    <w:uiPriority w:val="34"/>
    <w:qFormat/>
    <w:rsid w:val="00EF6B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81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97817"/>
  </w:style>
  <w:style w:type="paragraph" w:customStyle="1" w:styleId="Level1">
    <w:name w:val="Level 1"/>
    <w:basedOn w:val="Normal"/>
    <w:rsid w:val="00E97817"/>
    <w:pPr>
      <w:ind w:left="720" w:hanging="720"/>
      <w:outlineLvl w:val="0"/>
    </w:pPr>
  </w:style>
  <w:style w:type="table" w:styleId="TableGrid">
    <w:name w:val="Table Grid"/>
    <w:basedOn w:val="TableNormal"/>
    <w:rsid w:val="00080B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2E24C0"/>
    <w:pPr>
      <w:tabs>
        <w:tab w:val="center" w:pos="4680"/>
        <w:tab w:val="right" w:pos="9360"/>
      </w:tabs>
    </w:pPr>
  </w:style>
  <w:style w:type="character" w:customStyle="1" w:styleId="HeaderChar">
    <w:name w:val="Header Char"/>
    <w:basedOn w:val="DefaultParagraphFont"/>
    <w:link w:val="Header"/>
    <w:rsid w:val="002E24C0"/>
    <w:rPr>
      <w:sz w:val="24"/>
      <w:szCs w:val="24"/>
    </w:rPr>
  </w:style>
  <w:style w:type="paragraph" w:styleId="Footer">
    <w:name w:val="footer"/>
    <w:basedOn w:val="Normal"/>
    <w:link w:val="FooterChar"/>
    <w:uiPriority w:val="99"/>
    <w:rsid w:val="002E24C0"/>
    <w:pPr>
      <w:tabs>
        <w:tab w:val="center" w:pos="4680"/>
        <w:tab w:val="right" w:pos="9360"/>
      </w:tabs>
    </w:pPr>
  </w:style>
  <w:style w:type="character" w:customStyle="1" w:styleId="FooterChar">
    <w:name w:val="Footer Char"/>
    <w:basedOn w:val="DefaultParagraphFont"/>
    <w:link w:val="Footer"/>
    <w:uiPriority w:val="99"/>
    <w:rsid w:val="002E24C0"/>
    <w:rPr>
      <w:sz w:val="24"/>
      <w:szCs w:val="24"/>
    </w:rPr>
  </w:style>
  <w:style w:type="character" w:styleId="CommentReference">
    <w:name w:val="annotation reference"/>
    <w:basedOn w:val="DefaultParagraphFont"/>
    <w:rsid w:val="00CD5F6A"/>
    <w:rPr>
      <w:sz w:val="16"/>
      <w:szCs w:val="16"/>
    </w:rPr>
  </w:style>
  <w:style w:type="paragraph" w:styleId="CommentText">
    <w:name w:val="annotation text"/>
    <w:basedOn w:val="Normal"/>
    <w:link w:val="CommentTextChar"/>
    <w:rsid w:val="00CD5F6A"/>
    <w:rPr>
      <w:sz w:val="20"/>
      <w:szCs w:val="20"/>
    </w:rPr>
  </w:style>
  <w:style w:type="character" w:customStyle="1" w:styleId="CommentTextChar">
    <w:name w:val="Comment Text Char"/>
    <w:basedOn w:val="DefaultParagraphFont"/>
    <w:link w:val="CommentText"/>
    <w:rsid w:val="00CD5F6A"/>
  </w:style>
  <w:style w:type="paragraph" w:styleId="CommentSubject">
    <w:name w:val="annotation subject"/>
    <w:basedOn w:val="CommentText"/>
    <w:next w:val="CommentText"/>
    <w:link w:val="CommentSubjectChar"/>
    <w:rsid w:val="00CD5F6A"/>
    <w:rPr>
      <w:b/>
      <w:bCs/>
    </w:rPr>
  </w:style>
  <w:style w:type="character" w:customStyle="1" w:styleId="CommentSubjectChar">
    <w:name w:val="Comment Subject Char"/>
    <w:basedOn w:val="CommentTextChar"/>
    <w:link w:val="CommentSubject"/>
    <w:rsid w:val="00CD5F6A"/>
    <w:rPr>
      <w:b/>
      <w:bCs/>
    </w:rPr>
  </w:style>
  <w:style w:type="paragraph" w:styleId="BalloonText">
    <w:name w:val="Balloon Text"/>
    <w:basedOn w:val="Normal"/>
    <w:link w:val="BalloonTextChar"/>
    <w:rsid w:val="00CD5F6A"/>
    <w:rPr>
      <w:rFonts w:ascii="Tahoma" w:hAnsi="Tahoma" w:cs="Tahoma"/>
      <w:sz w:val="16"/>
      <w:szCs w:val="16"/>
    </w:rPr>
  </w:style>
  <w:style w:type="character" w:customStyle="1" w:styleId="BalloonTextChar">
    <w:name w:val="Balloon Text Char"/>
    <w:basedOn w:val="DefaultParagraphFont"/>
    <w:link w:val="BalloonText"/>
    <w:rsid w:val="00CD5F6A"/>
    <w:rPr>
      <w:rFonts w:ascii="Tahoma" w:hAnsi="Tahoma" w:cs="Tahoma"/>
      <w:sz w:val="16"/>
      <w:szCs w:val="16"/>
    </w:rPr>
  </w:style>
  <w:style w:type="paragraph" w:styleId="FootnoteText">
    <w:name w:val="footnote text"/>
    <w:basedOn w:val="Normal"/>
    <w:link w:val="FootnoteTextChar"/>
    <w:rsid w:val="001E4400"/>
    <w:rPr>
      <w:sz w:val="20"/>
      <w:szCs w:val="20"/>
    </w:rPr>
  </w:style>
  <w:style w:type="character" w:customStyle="1" w:styleId="FootnoteTextChar">
    <w:name w:val="Footnote Text Char"/>
    <w:basedOn w:val="DefaultParagraphFont"/>
    <w:link w:val="FootnoteText"/>
    <w:rsid w:val="001E4400"/>
  </w:style>
  <w:style w:type="paragraph" w:styleId="ListParagraph">
    <w:name w:val="List Paragraph"/>
    <w:basedOn w:val="Normal"/>
    <w:uiPriority w:val="34"/>
    <w:qFormat/>
    <w:rsid w:val="00EF6B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9009">
      <w:bodyDiv w:val="1"/>
      <w:marLeft w:val="0"/>
      <w:marRight w:val="0"/>
      <w:marTop w:val="0"/>
      <w:marBottom w:val="0"/>
      <w:divBdr>
        <w:top w:val="none" w:sz="0" w:space="0" w:color="auto"/>
        <w:left w:val="none" w:sz="0" w:space="0" w:color="auto"/>
        <w:bottom w:val="none" w:sz="0" w:space="0" w:color="auto"/>
        <w:right w:val="none" w:sz="0" w:space="0" w:color="auto"/>
      </w:divBdr>
    </w:div>
    <w:div w:id="120928784">
      <w:bodyDiv w:val="1"/>
      <w:marLeft w:val="0"/>
      <w:marRight w:val="0"/>
      <w:marTop w:val="0"/>
      <w:marBottom w:val="0"/>
      <w:divBdr>
        <w:top w:val="none" w:sz="0" w:space="0" w:color="auto"/>
        <w:left w:val="none" w:sz="0" w:space="0" w:color="auto"/>
        <w:bottom w:val="none" w:sz="0" w:space="0" w:color="auto"/>
        <w:right w:val="none" w:sz="0" w:space="0" w:color="auto"/>
      </w:divBdr>
    </w:div>
    <w:div w:id="469859786">
      <w:bodyDiv w:val="1"/>
      <w:marLeft w:val="0"/>
      <w:marRight w:val="0"/>
      <w:marTop w:val="0"/>
      <w:marBottom w:val="0"/>
      <w:divBdr>
        <w:top w:val="none" w:sz="0" w:space="0" w:color="auto"/>
        <w:left w:val="none" w:sz="0" w:space="0" w:color="auto"/>
        <w:bottom w:val="none" w:sz="0" w:space="0" w:color="auto"/>
        <w:right w:val="none" w:sz="0" w:space="0" w:color="auto"/>
      </w:divBdr>
    </w:div>
    <w:div w:id="979387095">
      <w:bodyDiv w:val="1"/>
      <w:marLeft w:val="0"/>
      <w:marRight w:val="0"/>
      <w:marTop w:val="0"/>
      <w:marBottom w:val="0"/>
      <w:divBdr>
        <w:top w:val="none" w:sz="0" w:space="0" w:color="auto"/>
        <w:left w:val="none" w:sz="0" w:space="0" w:color="auto"/>
        <w:bottom w:val="none" w:sz="0" w:space="0" w:color="auto"/>
        <w:right w:val="none" w:sz="0" w:space="0" w:color="auto"/>
      </w:divBdr>
    </w:div>
    <w:div w:id="982731178">
      <w:bodyDiv w:val="1"/>
      <w:marLeft w:val="0"/>
      <w:marRight w:val="0"/>
      <w:marTop w:val="0"/>
      <w:marBottom w:val="0"/>
      <w:divBdr>
        <w:top w:val="none" w:sz="0" w:space="0" w:color="auto"/>
        <w:left w:val="none" w:sz="0" w:space="0" w:color="auto"/>
        <w:bottom w:val="none" w:sz="0" w:space="0" w:color="auto"/>
        <w:right w:val="none" w:sz="0" w:space="0" w:color="auto"/>
      </w:divBdr>
    </w:div>
    <w:div w:id="1149640157">
      <w:bodyDiv w:val="1"/>
      <w:marLeft w:val="0"/>
      <w:marRight w:val="0"/>
      <w:marTop w:val="0"/>
      <w:marBottom w:val="0"/>
      <w:divBdr>
        <w:top w:val="none" w:sz="0" w:space="0" w:color="auto"/>
        <w:left w:val="none" w:sz="0" w:space="0" w:color="auto"/>
        <w:bottom w:val="none" w:sz="0" w:space="0" w:color="auto"/>
        <w:right w:val="none" w:sz="0" w:space="0" w:color="auto"/>
      </w:divBdr>
    </w:div>
    <w:div w:id="1850750490">
      <w:bodyDiv w:val="1"/>
      <w:marLeft w:val="0"/>
      <w:marRight w:val="0"/>
      <w:marTop w:val="0"/>
      <w:marBottom w:val="0"/>
      <w:divBdr>
        <w:top w:val="none" w:sz="0" w:space="0" w:color="auto"/>
        <w:left w:val="none" w:sz="0" w:space="0" w:color="auto"/>
        <w:bottom w:val="none" w:sz="0" w:space="0" w:color="auto"/>
        <w:right w:val="none" w:sz="0" w:space="0" w:color="auto"/>
      </w:divBdr>
      <w:divsChild>
        <w:div w:id="472453541">
          <w:marLeft w:val="0"/>
          <w:marRight w:val="0"/>
          <w:marTop w:val="0"/>
          <w:marBottom w:val="0"/>
          <w:divBdr>
            <w:top w:val="none" w:sz="0" w:space="0" w:color="auto"/>
            <w:left w:val="none" w:sz="0" w:space="0" w:color="auto"/>
            <w:bottom w:val="none" w:sz="0" w:space="0" w:color="auto"/>
            <w:right w:val="none" w:sz="0" w:space="0" w:color="auto"/>
          </w:divBdr>
          <w:divsChild>
            <w:div w:id="305091714">
              <w:marLeft w:val="0"/>
              <w:marRight w:val="0"/>
              <w:marTop w:val="0"/>
              <w:marBottom w:val="0"/>
              <w:divBdr>
                <w:top w:val="none" w:sz="0" w:space="0" w:color="auto"/>
                <w:left w:val="none" w:sz="0" w:space="0" w:color="auto"/>
                <w:bottom w:val="none" w:sz="0" w:space="0" w:color="auto"/>
                <w:right w:val="none" w:sz="0" w:space="0" w:color="auto"/>
              </w:divBdr>
              <w:divsChild>
                <w:div w:id="1938173679">
                  <w:marLeft w:val="0"/>
                  <w:marRight w:val="0"/>
                  <w:marTop w:val="0"/>
                  <w:marBottom w:val="0"/>
                  <w:divBdr>
                    <w:top w:val="none" w:sz="0" w:space="0" w:color="auto"/>
                    <w:left w:val="none" w:sz="0" w:space="0" w:color="auto"/>
                    <w:bottom w:val="none" w:sz="0" w:space="0" w:color="auto"/>
                    <w:right w:val="none" w:sz="0" w:space="0" w:color="auto"/>
                  </w:divBdr>
                  <w:divsChild>
                    <w:div w:id="1254124277">
                      <w:marLeft w:val="0"/>
                      <w:marRight w:val="0"/>
                      <w:marTop w:val="0"/>
                      <w:marBottom w:val="0"/>
                      <w:divBdr>
                        <w:top w:val="none" w:sz="0" w:space="0" w:color="auto"/>
                        <w:left w:val="none" w:sz="0" w:space="0" w:color="auto"/>
                        <w:bottom w:val="none" w:sz="0" w:space="0" w:color="auto"/>
                        <w:right w:val="none" w:sz="0" w:space="0" w:color="auto"/>
                      </w:divBdr>
                      <w:divsChild>
                        <w:div w:id="147845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AEC7BE-5288-4131-801C-33DCD627D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3739</Words>
  <Characters>21316</Characters>
  <Application>Microsoft Office Word</Application>
  <DocSecurity>4</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25005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SJP</dc:creator>
  <cp:lastModifiedBy>KEB1</cp:lastModifiedBy>
  <cp:revision>2</cp:revision>
  <cp:lastPrinted>2010-09-09T18:04:00Z</cp:lastPrinted>
  <dcterms:created xsi:type="dcterms:W3CDTF">2013-12-03T21:29:00Z</dcterms:created>
  <dcterms:modified xsi:type="dcterms:W3CDTF">2013-12-03T21:29:00Z</dcterms:modified>
</cp:coreProperties>
</file>