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97" w:rsidRPr="00D54C3E" w:rsidRDefault="00242497" w:rsidP="00242497">
      <w:pPr>
        <w:jc w:val="center"/>
        <w:rPr>
          <w:sz w:val="22"/>
          <w:szCs w:val="22"/>
          <w:highlight w:val="white"/>
        </w:rPr>
      </w:pPr>
      <w:r w:rsidRPr="00D54C3E">
        <w:rPr>
          <w:sz w:val="22"/>
          <w:szCs w:val="22"/>
          <w:lang w:val="en-CA"/>
        </w:rPr>
        <w:fldChar w:fldCharType="begin"/>
      </w:r>
      <w:r w:rsidRPr="00D54C3E">
        <w:rPr>
          <w:sz w:val="22"/>
          <w:szCs w:val="22"/>
          <w:lang w:val="en-CA"/>
        </w:rPr>
        <w:instrText xml:space="preserve"> SEQ CHAPTER \h \r 1</w:instrText>
      </w:r>
      <w:r w:rsidRPr="00D54C3E">
        <w:rPr>
          <w:sz w:val="22"/>
          <w:szCs w:val="22"/>
          <w:lang w:val="en-CA"/>
        </w:rPr>
        <w:fldChar w:fldCharType="end"/>
      </w:r>
      <w:r w:rsidRPr="00D54C3E">
        <w:rPr>
          <w:sz w:val="22"/>
          <w:szCs w:val="22"/>
          <w:highlight w:val="white"/>
        </w:rPr>
        <w:t xml:space="preserve">SUPPORTING STATEMENT </w:t>
      </w:r>
    </w:p>
    <w:p w:rsidR="00242497" w:rsidRPr="00D54C3E" w:rsidRDefault="00242497" w:rsidP="00242497">
      <w:pPr>
        <w:jc w:val="center"/>
        <w:rPr>
          <w:sz w:val="22"/>
          <w:szCs w:val="22"/>
          <w:highlight w:val="white"/>
        </w:rPr>
      </w:pPr>
      <w:r w:rsidRPr="00D54C3E">
        <w:rPr>
          <w:sz w:val="22"/>
          <w:szCs w:val="22"/>
          <w:highlight w:val="white"/>
        </w:rPr>
        <w:t>UNITED STATES INTERNATIONAL TRADE COMMISSION QUESTIONNAIRE</w:t>
      </w:r>
    </w:p>
    <w:p w:rsidR="00242497" w:rsidRDefault="001B6191" w:rsidP="001B6191">
      <w:pPr>
        <w:pStyle w:val="Heading1"/>
        <w:rPr>
          <w:i w:val="0"/>
        </w:rPr>
      </w:pPr>
      <w:r w:rsidRPr="00CA584A">
        <w:t>Trade, Investment, and Industrial Policies in In</w:t>
      </w:r>
      <w:r>
        <w:t>dia: Effects on the U.S. Economy</w:t>
      </w:r>
    </w:p>
    <w:p w:rsidR="001B6191" w:rsidRPr="001B6191" w:rsidRDefault="001B6191" w:rsidP="001B6191">
      <w:pPr>
        <w:rPr>
          <w:highlight w:val="white"/>
        </w:rPr>
      </w:pPr>
    </w:p>
    <w:p w:rsidR="00C73F16" w:rsidRPr="00D54C3E" w:rsidRDefault="00242497" w:rsidP="00FF3FF8">
      <w:pPr>
        <w:jc w:val="center"/>
        <w:rPr>
          <w:bCs/>
          <w:sz w:val="22"/>
          <w:szCs w:val="22"/>
          <w:highlight w:val="white"/>
        </w:rPr>
      </w:pPr>
      <w:r w:rsidRPr="00D54C3E">
        <w:rPr>
          <w:sz w:val="22"/>
          <w:szCs w:val="22"/>
          <w:highlight w:val="white"/>
        </w:rPr>
        <w:t xml:space="preserve">Part </w:t>
      </w:r>
      <w:proofErr w:type="gramStart"/>
      <w:r w:rsidR="00FF3FF8" w:rsidRPr="00D54C3E">
        <w:rPr>
          <w:sz w:val="22"/>
          <w:szCs w:val="22"/>
          <w:highlight w:val="white"/>
        </w:rPr>
        <w:t>A</w:t>
      </w:r>
      <w:r w:rsidRPr="00D54C3E">
        <w:rPr>
          <w:sz w:val="22"/>
          <w:szCs w:val="22"/>
          <w:highlight w:val="white"/>
        </w:rPr>
        <w:t>—</w:t>
      </w:r>
      <w:proofErr w:type="gramEnd"/>
      <w:r w:rsidR="00FF3FF8" w:rsidRPr="00D54C3E">
        <w:rPr>
          <w:bCs/>
          <w:sz w:val="22"/>
          <w:szCs w:val="22"/>
          <w:highlight w:val="white"/>
        </w:rPr>
        <w:t>Justification</w:t>
      </w:r>
    </w:p>
    <w:p w:rsidR="00FF3FF8" w:rsidRPr="00064AEC" w:rsidRDefault="00FF3FF8" w:rsidP="00FF3FF8">
      <w:pPr>
        <w:jc w:val="center"/>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 xml:space="preserve">Request for </w:t>
      </w:r>
      <w:r w:rsidR="00E65F4A" w:rsidRPr="00D54C3E">
        <w:rPr>
          <w:b/>
          <w:bCs/>
          <w:sz w:val="22"/>
          <w:szCs w:val="22"/>
          <w:highlight w:val="white"/>
        </w:rPr>
        <w:t>regular</w:t>
      </w:r>
      <w:r w:rsidRPr="00D54C3E">
        <w:rPr>
          <w:b/>
          <w:bCs/>
          <w:sz w:val="22"/>
          <w:szCs w:val="22"/>
          <w:highlight w:val="white"/>
        </w:rPr>
        <w:t xml:space="preserve"> action</w:t>
      </w:r>
    </w:p>
    <w:p w:rsidR="00AF35D2" w:rsidRPr="00D54C3E" w:rsidRDefault="00AF35D2" w:rsidP="00064AEC">
      <w:pPr>
        <w:pStyle w:val="NoSpacing"/>
        <w:rPr>
          <w:sz w:val="22"/>
          <w:szCs w:val="22"/>
          <w:highlight w:val="white"/>
        </w:rPr>
      </w:pPr>
      <w:r w:rsidRPr="00D54C3E">
        <w:rPr>
          <w:sz w:val="22"/>
          <w:szCs w:val="22"/>
          <w:highlight w:val="white"/>
        </w:rPr>
        <w:t>The U.S. International Trade Commission (</w:t>
      </w:r>
      <w:r w:rsidR="00CC2EF8" w:rsidRPr="00D54C3E">
        <w:rPr>
          <w:sz w:val="22"/>
          <w:szCs w:val="22"/>
          <w:highlight w:val="white"/>
        </w:rPr>
        <w:t xml:space="preserve">USITC or </w:t>
      </w:r>
      <w:r w:rsidRPr="00D54C3E">
        <w:rPr>
          <w:sz w:val="22"/>
          <w:szCs w:val="22"/>
          <w:highlight w:val="white"/>
        </w:rPr>
        <w:t>Commis</w:t>
      </w:r>
      <w:r w:rsidR="00E65F4A" w:rsidRPr="00D54C3E">
        <w:rPr>
          <w:sz w:val="22"/>
          <w:szCs w:val="22"/>
          <w:highlight w:val="white"/>
        </w:rPr>
        <w:t xml:space="preserve">sion) is seeking approval </w:t>
      </w:r>
      <w:r w:rsidR="007D09C8" w:rsidRPr="00D54C3E">
        <w:rPr>
          <w:sz w:val="22"/>
          <w:szCs w:val="22"/>
          <w:highlight w:val="white"/>
        </w:rPr>
        <w:t xml:space="preserve">for use </w:t>
      </w:r>
      <w:r w:rsidRPr="00D54C3E">
        <w:rPr>
          <w:sz w:val="22"/>
          <w:szCs w:val="22"/>
          <w:highlight w:val="white"/>
        </w:rPr>
        <w:t xml:space="preserve">of a questionnaire in connection with </w:t>
      </w:r>
      <w:r w:rsidR="007D09C8" w:rsidRPr="00D54C3E">
        <w:rPr>
          <w:sz w:val="22"/>
          <w:szCs w:val="22"/>
          <w:highlight w:val="white"/>
        </w:rPr>
        <w:t>a report it is preparing for the</w:t>
      </w:r>
      <w:r w:rsidR="00921746">
        <w:rPr>
          <w:sz w:val="22"/>
          <w:szCs w:val="22"/>
          <w:highlight w:val="white"/>
        </w:rPr>
        <w:t xml:space="preserve"> U.S. House Ways and Means Committee and the</w:t>
      </w:r>
      <w:r w:rsidR="007D09C8" w:rsidRPr="00D54C3E">
        <w:rPr>
          <w:sz w:val="22"/>
          <w:szCs w:val="22"/>
          <w:highlight w:val="white"/>
        </w:rPr>
        <w:t xml:space="preserve"> </w:t>
      </w:r>
      <w:r w:rsidR="00B0644F" w:rsidRPr="00D54C3E">
        <w:rPr>
          <w:sz w:val="22"/>
          <w:szCs w:val="22"/>
          <w:highlight w:val="white"/>
        </w:rPr>
        <w:t xml:space="preserve">U.S. </w:t>
      </w:r>
      <w:r w:rsidR="004A6FDE" w:rsidRPr="00D54C3E">
        <w:rPr>
          <w:sz w:val="22"/>
          <w:szCs w:val="22"/>
          <w:highlight w:val="white"/>
        </w:rPr>
        <w:t>Senate Committee on Finance (Committee</w:t>
      </w:r>
      <w:r w:rsidR="00921746">
        <w:rPr>
          <w:sz w:val="22"/>
          <w:szCs w:val="22"/>
          <w:highlight w:val="white"/>
        </w:rPr>
        <w:t>s</w:t>
      </w:r>
      <w:r w:rsidR="004A6FDE" w:rsidRPr="00D54C3E">
        <w:rPr>
          <w:sz w:val="22"/>
          <w:szCs w:val="22"/>
          <w:highlight w:val="white"/>
        </w:rPr>
        <w:t>)</w:t>
      </w:r>
      <w:r w:rsidR="007D09C8" w:rsidRPr="00D54C3E">
        <w:rPr>
          <w:sz w:val="22"/>
          <w:szCs w:val="22"/>
          <w:highlight w:val="white"/>
        </w:rPr>
        <w:t xml:space="preserve">. The Commission’s report, </w:t>
      </w:r>
      <w:r w:rsidR="00921746" w:rsidRPr="00CA584A">
        <w:rPr>
          <w:i/>
          <w:sz w:val="22"/>
          <w:szCs w:val="22"/>
        </w:rPr>
        <w:t>Trade, Investment, and Industrial Policies in In</w:t>
      </w:r>
      <w:r w:rsidR="00921746">
        <w:rPr>
          <w:i/>
          <w:sz w:val="22"/>
          <w:szCs w:val="22"/>
        </w:rPr>
        <w:t>dia: Effects on the U.S. Economy</w:t>
      </w:r>
      <w:r w:rsidR="00C22783">
        <w:rPr>
          <w:sz w:val="22"/>
          <w:szCs w:val="22"/>
        </w:rPr>
        <w:t xml:space="preserve"> </w:t>
      </w:r>
      <w:r w:rsidR="007D09C8" w:rsidRPr="00D54C3E">
        <w:rPr>
          <w:bCs/>
          <w:sz w:val="22"/>
          <w:szCs w:val="22"/>
          <w:highlight w:val="white"/>
        </w:rPr>
        <w:t>(Inv. no. 332-</w:t>
      </w:r>
      <w:r w:rsidR="004A6FDE" w:rsidRPr="00D54C3E">
        <w:rPr>
          <w:bCs/>
          <w:sz w:val="22"/>
          <w:szCs w:val="22"/>
          <w:highlight w:val="white"/>
        </w:rPr>
        <w:t>54</w:t>
      </w:r>
      <w:r w:rsidR="00921746">
        <w:rPr>
          <w:bCs/>
          <w:sz w:val="22"/>
          <w:szCs w:val="22"/>
          <w:highlight w:val="white"/>
        </w:rPr>
        <w:t>3</w:t>
      </w:r>
      <w:r w:rsidR="002E6D78" w:rsidRPr="00D54C3E">
        <w:rPr>
          <w:bCs/>
          <w:sz w:val="22"/>
          <w:szCs w:val="22"/>
          <w:highlight w:val="white"/>
        </w:rPr>
        <w:t>)</w:t>
      </w:r>
      <w:r w:rsidR="00A80F9A" w:rsidRPr="00D54C3E">
        <w:rPr>
          <w:bCs/>
          <w:sz w:val="22"/>
          <w:szCs w:val="22"/>
          <w:highlight w:val="white"/>
        </w:rPr>
        <w:t xml:space="preserve">, </w:t>
      </w:r>
      <w:r w:rsidR="007D09C8" w:rsidRPr="00D54C3E">
        <w:rPr>
          <w:sz w:val="22"/>
          <w:szCs w:val="22"/>
          <w:highlight w:val="white"/>
        </w:rPr>
        <w:t xml:space="preserve">was requested by the </w:t>
      </w:r>
      <w:r w:rsidR="004A6FDE" w:rsidRPr="00D54C3E">
        <w:rPr>
          <w:sz w:val="22"/>
          <w:szCs w:val="22"/>
          <w:highlight w:val="white"/>
        </w:rPr>
        <w:t>Committee</w:t>
      </w:r>
      <w:r w:rsidR="00921746">
        <w:rPr>
          <w:sz w:val="22"/>
          <w:szCs w:val="22"/>
          <w:highlight w:val="white"/>
        </w:rPr>
        <w:t>s</w:t>
      </w:r>
      <w:r w:rsidR="007D09C8" w:rsidRPr="00D54C3E">
        <w:rPr>
          <w:sz w:val="22"/>
          <w:szCs w:val="22"/>
          <w:highlight w:val="white"/>
        </w:rPr>
        <w:t xml:space="preserve"> on </w:t>
      </w:r>
      <w:r w:rsidR="00921746">
        <w:rPr>
          <w:sz w:val="22"/>
          <w:szCs w:val="22"/>
          <w:highlight w:val="white"/>
        </w:rPr>
        <w:t>August 2</w:t>
      </w:r>
      <w:r w:rsidR="004A6FDE" w:rsidRPr="00D54C3E">
        <w:rPr>
          <w:sz w:val="22"/>
          <w:szCs w:val="22"/>
          <w:highlight w:val="white"/>
        </w:rPr>
        <w:t>, 201</w:t>
      </w:r>
      <w:r w:rsidR="00921746">
        <w:rPr>
          <w:sz w:val="22"/>
          <w:szCs w:val="22"/>
          <w:highlight w:val="white"/>
        </w:rPr>
        <w:t>3</w:t>
      </w:r>
      <w:r w:rsidR="007D09C8" w:rsidRPr="00D54C3E">
        <w:rPr>
          <w:sz w:val="22"/>
          <w:szCs w:val="22"/>
          <w:highlight w:val="white"/>
        </w:rPr>
        <w:t xml:space="preserve">. </w:t>
      </w:r>
      <w:r w:rsidR="00B24293" w:rsidRPr="00D54C3E">
        <w:rPr>
          <w:sz w:val="22"/>
          <w:szCs w:val="22"/>
          <w:highlight w:val="white"/>
        </w:rPr>
        <w:t xml:space="preserve">The </w:t>
      </w:r>
      <w:r w:rsidR="00921746">
        <w:rPr>
          <w:sz w:val="22"/>
          <w:szCs w:val="22"/>
          <w:highlight w:val="white"/>
        </w:rPr>
        <w:t>Committees</w:t>
      </w:r>
      <w:r w:rsidR="00B24293" w:rsidRPr="00D54C3E">
        <w:rPr>
          <w:sz w:val="22"/>
          <w:szCs w:val="22"/>
          <w:highlight w:val="white"/>
        </w:rPr>
        <w:t xml:space="preserve"> requested that the Commission transmit its report by </w:t>
      </w:r>
      <w:r w:rsidR="00921746">
        <w:rPr>
          <w:sz w:val="22"/>
          <w:szCs w:val="22"/>
          <w:highlight w:val="white"/>
        </w:rPr>
        <w:t>November 31, 2014 (subsequently tolled to December 15, 2014 as a result of the government shutdown)</w:t>
      </w:r>
      <w:r w:rsidR="00B24293" w:rsidRPr="00D54C3E">
        <w:rPr>
          <w:sz w:val="22"/>
          <w:szCs w:val="22"/>
          <w:highlight w:val="white"/>
        </w:rPr>
        <w:t xml:space="preserve">. </w:t>
      </w:r>
      <w:r w:rsidR="002E6D78" w:rsidRPr="00D54C3E">
        <w:rPr>
          <w:sz w:val="22"/>
          <w:szCs w:val="22"/>
          <w:highlight w:val="white"/>
        </w:rPr>
        <w:t xml:space="preserve">Questionnaires are </w:t>
      </w:r>
      <w:r w:rsidR="004A6FDE" w:rsidRPr="00D54C3E">
        <w:rPr>
          <w:sz w:val="22"/>
          <w:szCs w:val="22"/>
          <w:highlight w:val="white"/>
        </w:rPr>
        <w:t>one</w:t>
      </w:r>
      <w:r w:rsidR="002E6D78" w:rsidRPr="00D54C3E">
        <w:rPr>
          <w:sz w:val="22"/>
          <w:szCs w:val="22"/>
          <w:highlight w:val="white"/>
        </w:rPr>
        <w:t xml:space="preserve"> </w:t>
      </w:r>
      <w:r w:rsidR="00B24293" w:rsidRPr="00D54C3E">
        <w:rPr>
          <w:sz w:val="22"/>
          <w:szCs w:val="22"/>
          <w:highlight w:val="white"/>
        </w:rPr>
        <w:t>method</w:t>
      </w:r>
      <w:r w:rsidR="002E6D78" w:rsidRPr="00D54C3E">
        <w:rPr>
          <w:sz w:val="22"/>
          <w:szCs w:val="22"/>
          <w:highlight w:val="white"/>
        </w:rPr>
        <w:t xml:space="preserve"> by which the Commission will collect information </w:t>
      </w:r>
      <w:r w:rsidR="001B6191">
        <w:rPr>
          <w:sz w:val="22"/>
          <w:szCs w:val="22"/>
          <w:highlight w:val="white"/>
        </w:rPr>
        <w:t>for</w:t>
      </w:r>
      <w:r w:rsidRPr="00D54C3E">
        <w:rPr>
          <w:sz w:val="22"/>
          <w:szCs w:val="22"/>
          <w:highlight w:val="white"/>
        </w:rPr>
        <w:t xml:space="preserve"> </w:t>
      </w:r>
      <w:r w:rsidR="00EE39B1" w:rsidRPr="00D54C3E">
        <w:rPr>
          <w:sz w:val="22"/>
          <w:szCs w:val="22"/>
          <w:highlight w:val="white"/>
        </w:rPr>
        <w:t>this</w:t>
      </w:r>
      <w:r w:rsidR="007D09C8" w:rsidRPr="00D54C3E">
        <w:rPr>
          <w:sz w:val="22"/>
          <w:szCs w:val="22"/>
          <w:highlight w:val="white"/>
        </w:rPr>
        <w:t xml:space="preserve"> request</w:t>
      </w:r>
      <w:r w:rsidRPr="00D54C3E">
        <w:rPr>
          <w:sz w:val="22"/>
          <w:szCs w:val="22"/>
          <w:highlight w:val="white"/>
        </w:rPr>
        <w:t>.</w:t>
      </w:r>
      <w:r w:rsidR="00B24293" w:rsidRPr="00D54C3E">
        <w:rPr>
          <w:sz w:val="22"/>
          <w:szCs w:val="22"/>
          <w:highlight w:val="white"/>
        </w:rPr>
        <w:t xml:space="preserve"> </w:t>
      </w:r>
    </w:p>
    <w:p w:rsidR="001D17FE" w:rsidRPr="00D54C3E" w:rsidRDefault="001D17FE" w:rsidP="00064AEC">
      <w:pPr>
        <w:pStyle w:val="NoSpacing"/>
        <w:rPr>
          <w:sz w:val="22"/>
          <w:szCs w:val="22"/>
          <w:highlight w:val="white"/>
        </w:rPr>
      </w:pPr>
    </w:p>
    <w:p w:rsidR="001D17FE" w:rsidRPr="00D54C3E" w:rsidRDefault="001D17FE" w:rsidP="001D17FE">
      <w:pPr>
        <w:pStyle w:val="NoSpacing"/>
        <w:rPr>
          <w:sz w:val="22"/>
          <w:szCs w:val="22"/>
          <w:highlight w:val="white"/>
        </w:rPr>
      </w:pPr>
      <w:r w:rsidRPr="00D54C3E">
        <w:rPr>
          <w:sz w:val="22"/>
          <w:szCs w:val="22"/>
          <w:highlight w:val="white"/>
        </w:rPr>
        <w:t xml:space="preserve">On </w:t>
      </w:r>
      <w:r w:rsidR="00A37EA2">
        <w:rPr>
          <w:sz w:val="22"/>
          <w:szCs w:val="22"/>
          <w:highlight w:val="white"/>
        </w:rPr>
        <w:t>November 14</w:t>
      </w:r>
      <w:r w:rsidRPr="00D54C3E">
        <w:rPr>
          <w:sz w:val="22"/>
          <w:szCs w:val="22"/>
          <w:highlight w:val="white"/>
        </w:rPr>
        <w:t>, 201</w:t>
      </w:r>
      <w:r w:rsidR="004A6FDE" w:rsidRPr="00D54C3E">
        <w:rPr>
          <w:sz w:val="22"/>
          <w:szCs w:val="22"/>
          <w:highlight w:val="white"/>
        </w:rPr>
        <w:t>3</w:t>
      </w:r>
      <w:r w:rsidRPr="00D54C3E">
        <w:rPr>
          <w:sz w:val="22"/>
          <w:szCs w:val="22"/>
          <w:highlight w:val="white"/>
        </w:rPr>
        <w:t xml:space="preserve"> the Commission </w:t>
      </w:r>
      <w:r w:rsidR="0058248E" w:rsidRPr="00D54C3E">
        <w:rPr>
          <w:sz w:val="22"/>
          <w:szCs w:val="22"/>
          <w:highlight w:val="white"/>
        </w:rPr>
        <w:t>posted its draft questionnaire on its website</w:t>
      </w:r>
      <w:r w:rsidR="00CA35D4" w:rsidRPr="00D54C3E">
        <w:rPr>
          <w:sz w:val="22"/>
          <w:szCs w:val="22"/>
          <w:highlight w:val="white"/>
        </w:rPr>
        <w:t xml:space="preserve"> (</w:t>
      </w:r>
      <w:hyperlink r:id="rId9" w:history="1">
        <w:r w:rsidR="00A37EA2" w:rsidRPr="00951AB3">
          <w:rPr>
            <w:rStyle w:val="Hyperlink"/>
            <w:sz w:val="22"/>
            <w:szCs w:val="22"/>
          </w:rPr>
          <w:t>http://pubapps2.usitc.gov/comments_332_543/</w:t>
        </w:r>
      </w:hyperlink>
      <w:r w:rsidR="00CA35D4" w:rsidRPr="00D54C3E">
        <w:rPr>
          <w:sz w:val="22"/>
          <w:szCs w:val="22"/>
          <w:highlight w:val="white"/>
        </w:rPr>
        <w:t>)</w:t>
      </w:r>
      <w:r w:rsidR="0058248E" w:rsidRPr="00D54C3E">
        <w:rPr>
          <w:sz w:val="22"/>
          <w:szCs w:val="22"/>
          <w:highlight w:val="white"/>
        </w:rPr>
        <w:t xml:space="preserve">, and </w:t>
      </w:r>
      <w:r w:rsidRPr="00D54C3E">
        <w:rPr>
          <w:sz w:val="22"/>
          <w:szCs w:val="22"/>
          <w:highlight w:val="white"/>
        </w:rPr>
        <w:t xml:space="preserve">published a request </w:t>
      </w:r>
      <w:r w:rsidR="00A12B25" w:rsidRPr="00D54C3E">
        <w:rPr>
          <w:sz w:val="22"/>
          <w:szCs w:val="22"/>
          <w:highlight w:val="white"/>
        </w:rPr>
        <w:t xml:space="preserve">for public comments </w:t>
      </w:r>
      <w:r w:rsidR="0058248E" w:rsidRPr="00D54C3E">
        <w:rPr>
          <w:sz w:val="22"/>
          <w:szCs w:val="22"/>
          <w:highlight w:val="white"/>
        </w:rPr>
        <w:t xml:space="preserve">in the Federal Register </w:t>
      </w:r>
      <w:r w:rsidRPr="00D54C3E">
        <w:rPr>
          <w:sz w:val="22"/>
          <w:szCs w:val="22"/>
          <w:highlight w:val="white"/>
        </w:rPr>
        <w:t xml:space="preserve">on </w:t>
      </w:r>
      <w:r w:rsidR="0058248E" w:rsidRPr="00D54C3E">
        <w:rPr>
          <w:sz w:val="22"/>
          <w:szCs w:val="22"/>
          <w:highlight w:val="white"/>
        </w:rPr>
        <w:t>the</w:t>
      </w:r>
      <w:r w:rsidRPr="00D54C3E">
        <w:rPr>
          <w:sz w:val="22"/>
          <w:szCs w:val="22"/>
          <w:highlight w:val="white"/>
        </w:rPr>
        <w:t xml:space="preserve"> draft. Public comments will be accepted through </w:t>
      </w:r>
      <w:r w:rsidR="00A37EA2">
        <w:rPr>
          <w:sz w:val="22"/>
          <w:szCs w:val="22"/>
          <w:highlight w:val="white"/>
        </w:rPr>
        <w:t>January 14</w:t>
      </w:r>
      <w:r w:rsidRPr="00D54C3E">
        <w:rPr>
          <w:sz w:val="22"/>
          <w:szCs w:val="22"/>
          <w:highlight w:val="white"/>
        </w:rPr>
        <w:t>, 201</w:t>
      </w:r>
      <w:r w:rsidR="00A37EA2">
        <w:rPr>
          <w:sz w:val="22"/>
          <w:szCs w:val="22"/>
          <w:highlight w:val="white"/>
        </w:rPr>
        <w:t>4</w:t>
      </w:r>
      <w:r w:rsidRPr="00D54C3E">
        <w:rPr>
          <w:sz w:val="22"/>
          <w:szCs w:val="22"/>
          <w:highlight w:val="white"/>
        </w:rPr>
        <w:t>.</w:t>
      </w:r>
    </w:p>
    <w:p w:rsidR="001D17FE" w:rsidRPr="00D54C3E" w:rsidRDefault="001D17FE" w:rsidP="001D17FE">
      <w:pPr>
        <w:pStyle w:val="NoSpacing"/>
        <w:rPr>
          <w:sz w:val="22"/>
          <w:szCs w:val="22"/>
          <w:highlight w:val="white"/>
        </w:rPr>
      </w:pPr>
    </w:p>
    <w:p w:rsidR="00AF35D2" w:rsidRPr="005D2E32" w:rsidRDefault="00886E2A" w:rsidP="00064AEC">
      <w:pPr>
        <w:pStyle w:val="NoSpacing"/>
        <w:rPr>
          <w:sz w:val="22"/>
          <w:szCs w:val="22"/>
        </w:rPr>
      </w:pPr>
      <w:r w:rsidRPr="00D54C3E">
        <w:rPr>
          <w:sz w:val="22"/>
          <w:szCs w:val="22"/>
          <w:highlight w:val="white"/>
        </w:rPr>
        <w:t xml:space="preserve">Pursuant to </w:t>
      </w:r>
      <w:r w:rsidR="008669C3" w:rsidRPr="00D54C3E">
        <w:rPr>
          <w:sz w:val="22"/>
          <w:szCs w:val="22"/>
          <w:highlight w:val="white"/>
        </w:rPr>
        <w:t>section 332(g) of the Tariff Act of 1930 (19 U.S.C. 1332(g)</w:t>
      </w:r>
      <w:r w:rsidR="00E73EE5" w:rsidRPr="00D54C3E">
        <w:rPr>
          <w:sz w:val="22"/>
          <w:szCs w:val="22"/>
          <w:highlight w:val="white"/>
        </w:rPr>
        <w:t>)</w:t>
      </w:r>
      <w:r w:rsidR="008669C3" w:rsidRPr="00D54C3E">
        <w:rPr>
          <w:sz w:val="22"/>
          <w:szCs w:val="22"/>
          <w:highlight w:val="white"/>
        </w:rPr>
        <w:t xml:space="preserve"> and the </w:t>
      </w:r>
      <w:r w:rsidRPr="00D54C3E">
        <w:rPr>
          <w:sz w:val="22"/>
          <w:szCs w:val="22"/>
          <w:highlight w:val="white"/>
        </w:rPr>
        <w:t xml:space="preserve">authority delegated by the President </w:t>
      </w:r>
      <w:r w:rsidR="00847B03" w:rsidRPr="00D54C3E">
        <w:rPr>
          <w:sz w:val="22"/>
          <w:szCs w:val="22"/>
          <w:highlight w:val="white"/>
        </w:rPr>
        <w:t xml:space="preserve">of the United States to the </w:t>
      </w:r>
      <w:r w:rsidR="00F17923" w:rsidRPr="00D54C3E">
        <w:rPr>
          <w:sz w:val="22"/>
          <w:szCs w:val="22"/>
          <w:highlight w:val="white"/>
        </w:rPr>
        <w:t>U.S. Senate Committee on Finance</w:t>
      </w:r>
      <w:r w:rsidR="005E064C" w:rsidRPr="00D54C3E">
        <w:rPr>
          <w:sz w:val="22"/>
          <w:szCs w:val="22"/>
          <w:highlight w:val="white"/>
        </w:rPr>
        <w:t xml:space="preserve"> </w:t>
      </w:r>
      <w:r w:rsidR="00AF35D2" w:rsidRPr="00D54C3E">
        <w:rPr>
          <w:sz w:val="22"/>
          <w:szCs w:val="22"/>
          <w:highlight w:val="white"/>
        </w:rPr>
        <w:t>under</w:t>
      </w:r>
      <w:r w:rsidR="008669C3" w:rsidRPr="00D54C3E">
        <w:rPr>
          <w:sz w:val="22"/>
          <w:szCs w:val="22"/>
          <w:highlight w:val="white"/>
        </w:rPr>
        <w:t xml:space="preserve"> Executive Order 12661,</w:t>
      </w:r>
      <w:r w:rsidR="00A80F9A" w:rsidRPr="00D54C3E">
        <w:rPr>
          <w:sz w:val="22"/>
          <w:szCs w:val="22"/>
          <w:highlight w:val="white"/>
        </w:rPr>
        <w:t xml:space="preserve"> </w:t>
      </w:r>
      <w:r w:rsidR="00AF35D2" w:rsidRPr="00D54C3E">
        <w:rPr>
          <w:sz w:val="22"/>
          <w:szCs w:val="22"/>
          <w:highlight w:val="white"/>
        </w:rPr>
        <w:t xml:space="preserve">the Commission, whenever requested, “shall put at the disposal of the </w:t>
      </w:r>
      <w:r w:rsidR="008669C3" w:rsidRPr="00D54C3E">
        <w:rPr>
          <w:sz w:val="22"/>
          <w:szCs w:val="22"/>
          <w:highlight w:val="white"/>
        </w:rPr>
        <w:t>President</w:t>
      </w:r>
      <w:r w:rsidR="00A80F9A" w:rsidRPr="00D54C3E">
        <w:rPr>
          <w:sz w:val="22"/>
          <w:szCs w:val="22"/>
          <w:highlight w:val="white"/>
        </w:rPr>
        <w:t xml:space="preserve"> </w:t>
      </w:r>
      <w:r w:rsidR="00AF35D2" w:rsidRPr="00D54C3E">
        <w:rPr>
          <w:sz w:val="22"/>
          <w:szCs w:val="22"/>
          <w:highlight w:val="white"/>
        </w:rPr>
        <w:t>“</w:t>
      </w:r>
      <w:r w:rsidR="008669C3" w:rsidRPr="00D54C3E">
        <w:rPr>
          <w:sz w:val="22"/>
          <w:szCs w:val="22"/>
          <w:highlight w:val="white"/>
        </w:rPr>
        <w:t xml:space="preserve">[…] </w:t>
      </w:r>
      <w:r w:rsidR="00AF35D2" w:rsidRPr="00D54C3E">
        <w:rPr>
          <w:sz w:val="22"/>
          <w:szCs w:val="22"/>
          <w:highlight w:val="white"/>
        </w:rPr>
        <w:t xml:space="preserve">all information at its command, and shall make such investigations and reports as may be requested by </w:t>
      </w:r>
      <w:r w:rsidR="008669C3" w:rsidRPr="00D54C3E">
        <w:rPr>
          <w:sz w:val="22"/>
          <w:szCs w:val="22"/>
          <w:highlight w:val="white"/>
        </w:rPr>
        <w:t>the President […]</w:t>
      </w:r>
      <w:r w:rsidR="00AF35D2" w:rsidRPr="00D54C3E">
        <w:rPr>
          <w:sz w:val="22"/>
          <w:szCs w:val="22"/>
          <w:highlight w:val="white"/>
        </w:rPr>
        <w:t>.</w:t>
      </w:r>
      <w:r w:rsidR="00CF5F67" w:rsidRPr="00D54C3E">
        <w:rPr>
          <w:sz w:val="22"/>
          <w:szCs w:val="22"/>
          <w:highlight w:val="white"/>
        </w:rPr>
        <w:t>”</w:t>
      </w:r>
      <w:r w:rsidR="00AF35D2" w:rsidRPr="00D54C3E">
        <w:rPr>
          <w:sz w:val="22"/>
          <w:szCs w:val="22"/>
          <w:highlight w:val="white"/>
        </w:rPr>
        <w:t xml:space="preserve"> Section 333(a) of the Tariff Act of 1930 authorizes the Commission, in carrying out its functions and duties in connection with any investigation authorized by law, to obtain information, including by subpoena or other order to furnish information.</w:t>
      </w:r>
      <w:r w:rsidR="00AF35D2" w:rsidRPr="005D2E32">
        <w:rPr>
          <w:sz w:val="22"/>
          <w:szCs w:val="22"/>
        </w:rPr>
        <w:t xml:space="preserve"> Copies of section 332(g) and section 333(a) of the Tariff Act of 1930 are attached </w:t>
      </w:r>
      <w:r w:rsidR="00E73EE5" w:rsidRPr="005D2E32">
        <w:rPr>
          <w:sz w:val="22"/>
          <w:szCs w:val="22"/>
        </w:rPr>
        <w:t>as supplementary documents</w:t>
      </w:r>
      <w:r w:rsidR="00AF35D2" w:rsidRPr="005D2E32">
        <w:rPr>
          <w:sz w:val="22"/>
          <w:szCs w:val="22"/>
        </w:rPr>
        <w:t>.</w:t>
      </w:r>
    </w:p>
    <w:p w:rsidR="00AF35D2" w:rsidRPr="00D54C3E" w:rsidRDefault="00AF35D2" w:rsidP="00064AEC">
      <w:pPr>
        <w:pStyle w:val="NoSpacing"/>
        <w:rPr>
          <w:sz w:val="22"/>
          <w:szCs w:val="22"/>
          <w:highlight w:val="white"/>
        </w:rPr>
      </w:pPr>
    </w:p>
    <w:p w:rsidR="00AF35D2" w:rsidRPr="00D54C3E" w:rsidRDefault="00AF35D2" w:rsidP="00064AEC">
      <w:pPr>
        <w:pStyle w:val="NoSpacing"/>
        <w:rPr>
          <w:sz w:val="22"/>
          <w:szCs w:val="22"/>
        </w:rPr>
      </w:pPr>
      <w:r w:rsidRPr="00D54C3E">
        <w:rPr>
          <w:sz w:val="22"/>
          <w:szCs w:val="22"/>
        </w:rPr>
        <w:t xml:space="preserve">As indicated above, </w:t>
      </w:r>
      <w:r w:rsidR="00DC681D" w:rsidRPr="00D54C3E">
        <w:rPr>
          <w:sz w:val="22"/>
          <w:szCs w:val="22"/>
        </w:rPr>
        <w:t xml:space="preserve">the report is due to </w:t>
      </w:r>
      <w:r w:rsidR="004A6FDE" w:rsidRPr="00D54C3E">
        <w:rPr>
          <w:sz w:val="22"/>
          <w:szCs w:val="22"/>
        </w:rPr>
        <w:t xml:space="preserve">the </w:t>
      </w:r>
      <w:r w:rsidR="00921746">
        <w:rPr>
          <w:sz w:val="22"/>
          <w:szCs w:val="22"/>
        </w:rPr>
        <w:t>Committees</w:t>
      </w:r>
      <w:r w:rsidR="00DC681D" w:rsidRPr="00D54C3E">
        <w:rPr>
          <w:sz w:val="22"/>
          <w:szCs w:val="22"/>
        </w:rPr>
        <w:t xml:space="preserve"> </w:t>
      </w:r>
      <w:r w:rsidRPr="00D54C3E">
        <w:rPr>
          <w:sz w:val="22"/>
          <w:szCs w:val="22"/>
        </w:rPr>
        <w:t xml:space="preserve">by </w:t>
      </w:r>
      <w:r w:rsidR="00A37EA2">
        <w:rPr>
          <w:sz w:val="22"/>
          <w:szCs w:val="22"/>
        </w:rPr>
        <w:t>December 15</w:t>
      </w:r>
      <w:r w:rsidR="00C91C7D" w:rsidRPr="00D54C3E">
        <w:rPr>
          <w:sz w:val="22"/>
          <w:szCs w:val="22"/>
        </w:rPr>
        <w:t>, 201</w:t>
      </w:r>
      <w:r w:rsidR="00A37EA2">
        <w:rPr>
          <w:sz w:val="22"/>
          <w:szCs w:val="22"/>
        </w:rPr>
        <w:t>5</w:t>
      </w:r>
      <w:r w:rsidRPr="00D54C3E">
        <w:rPr>
          <w:sz w:val="22"/>
          <w:szCs w:val="22"/>
        </w:rPr>
        <w:t xml:space="preserve">. This deadline necessitates prompt issuance of questionnaires. The questionnaires are tentatively scheduled to be mailed </w:t>
      </w:r>
      <w:r w:rsidR="001C0E63" w:rsidRPr="00D54C3E">
        <w:rPr>
          <w:sz w:val="22"/>
          <w:szCs w:val="22"/>
        </w:rPr>
        <w:t xml:space="preserve">to respondents </w:t>
      </w:r>
      <w:r w:rsidRPr="00D54C3E">
        <w:rPr>
          <w:sz w:val="22"/>
          <w:szCs w:val="22"/>
        </w:rPr>
        <w:t xml:space="preserve">on or </w:t>
      </w:r>
      <w:r w:rsidR="007C1227" w:rsidRPr="00D54C3E">
        <w:rPr>
          <w:sz w:val="22"/>
          <w:szCs w:val="22"/>
        </w:rPr>
        <w:t>before</w:t>
      </w:r>
      <w:r w:rsidR="00C63B56" w:rsidRPr="00D54C3E">
        <w:rPr>
          <w:sz w:val="22"/>
          <w:szCs w:val="22"/>
        </w:rPr>
        <w:t xml:space="preserve"> </w:t>
      </w:r>
      <w:r w:rsidR="00A37EA2">
        <w:rPr>
          <w:sz w:val="22"/>
          <w:szCs w:val="22"/>
        </w:rPr>
        <w:t>February 11, 2014</w:t>
      </w:r>
      <w:r w:rsidRPr="00D54C3E">
        <w:rPr>
          <w:sz w:val="22"/>
          <w:szCs w:val="22"/>
        </w:rPr>
        <w:t xml:space="preserve"> in order</w:t>
      </w:r>
      <w:r w:rsidR="004741C4" w:rsidRPr="00D54C3E">
        <w:rPr>
          <w:sz w:val="22"/>
          <w:szCs w:val="22"/>
        </w:rPr>
        <w:t xml:space="preserve"> to</w:t>
      </w:r>
      <w:r w:rsidRPr="00D54C3E">
        <w:rPr>
          <w:sz w:val="22"/>
          <w:szCs w:val="22"/>
        </w:rPr>
        <w:t xml:space="preserve"> </w:t>
      </w:r>
      <w:r w:rsidR="001C0E63" w:rsidRPr="00D54C3E">
        <w:rPr>
          <w:sz w:val="22"/>
          <w:szCs w:val="22"/>
        </w:rPr>
        <w:t>allow</w:t>
      </w:r>
      <w:r w:rsidRPr="00D54C3E">
        <w:rPr>
          <w:sz w:val="22"/>
          <w:szCs w:val="22"/>
        </w:rPr>
        <w:t xml:space="preserve"> sufficient time </w:t>
      </w:r>
      <w:r w:rsidR="00DC681D" w:rsidRPr="00D54C3E">
        <w:rPr>
          <w:sz w:val="22"/>
          <w:szCs w:val="22"/>
        </w:rPr>
        <w:t xml:space="preserve">for </w:t>
      </w:r>
      <w:r w:rsidR="00CA35D4" w:rsidRPr="00D54C3E">
        <w:rPr>
          <w:sz w:val="22"/>
          <w:szCs w:val="22"/>
        </w:rPr>
        <w:t xml:space="preserve">each </w:t>
      </w:r>
      <w:r w:rsidR="00DC681D" w:rsidRPr="00D54C3E">
        <w:rPr>
          <w:sz w:val="22"/>
          <w:szCs w:val="22"/>
        </w:rPr>
        <w:t>recipient to complete</w:t>
      </w:r>
      <w:r w:rsidRPr="00D54C3E">
        <w:rPr>
          <w:sz w:val="22"/>
          <w:szCs w:val="22"/>
        </w:rPr>
        <w:t xml:space="preserve"> the questionnaire, which </w:t>
      </w:r>
      <w:r w:rsidR="00DC681D" w:rsidRPr="00D54C3E">
        <w:rPr>
          <w:sz w:val="22"/>
          <w:szCs w:val="22"/>
        </w:rPr>
        <w:t>is</w:t>
      </w:r>
      <w:r w:rsidRPr="00D54C3E">
        <w:rPr>
          <w:sz w:val="22"/>
          <w:szCs w:val="22"/>
        </w:rPr>
        <w:t xml:space="preserve"> due back to the Commission by </w:t>
      </w:r>
      <w:r w:rsidR="00A37EA2">
        <w:rPr>
          <w:sz w:val="22"/>
          <w:szCs w:val="22"/>
        </w:rPr>
        <w:t>March 18</w:t>
      </w:r>
      <w:r w:rsidR="00C91C7D" w:rsidRPr="00D54C3E">
        <w:rPr>
          <w:sz w:val="22"/>
          <w:szCs w:val="22"/>
        </w:rPr>
        <w:t>,</w:t>
      </w:r>
      <w:r w:rsidR="00A37EA2">
        <w:rPr>
          <w:sz w:val="22"/>
          <w:szCs w:val="22"/>
        </w:rPr>
        <w:t xml:space="preserve"> 2014</w:t>
      </w:r>
      <w:r w:rsidR="00E73EE5" w:rsidRPr="00D54C3E">
        <w:rPr>
          <w:sz w:val="22"/>
          <w:szCs w:val="22"/>
        </w:rPr>
        <w:t>.</w:t>
      </w:r>
    </w:p>
    <w:p w:rsidR="00AF35D2" w:rsidRPr="00D54C3E" w:rsidRDefault="00AF35D2" w:rsidP="00064AEC">
      <w:pPr>
        <w:pStyle w:val="NoSpacing"/>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Purpose</w:t>
      </w:r>
    </w:p>
    <w:p w:rsidR="00844967" w:rsidRPr="00844967" w:rsidRDefault="00844967" w:rsidP="00844967">
      <w:pPr>
        <w:pStyle w:val="NoSpacing"/>
        <w:rPr>
          <w:sz w:val="22"/>
          <w:szCs w:val="22"/>
        </w:rPr>
      </w:pPr>
      <w:r w:rsidRPr="00844967">
        <w:rPr>
          <w:sz w:val="22"/>
          <w:szCs w:val="22"/>
        </w:rPr>
        <w:t xml:space="preserve">The information collected from questionnaires will be aggregated by the Commission and presented in a public report to the Committees </w:t>
      </w:r>
      <w:r>
        <w:rPr>
          <w:sz w:val="22"/>
          <w:szCs w:val="22"/>
        </w:rPr>
        <w:t>that</w:t>
      </w:r>
      <w:r w:rsidRPr="00844967">
        <w:rPr>
          <w:sz w:val="22"/>
          <w:szCs w:val="22"/>
        </w:rPr>
        <w:t xml:space="preserve"> will examine the effects of Indian industrial policies that discriminate against U.S. imports and investment.</w:t>
      </w:r>
      <w:r w:rsidR="00C22783">
        <w:rPr>
          <w:sz w:val="22"/>
          <w:szCs w:val="22"/>
        </w:rPr>
        <w:t xml:space="preserve"> </w:t>
      </w:r>
      <w:r w:rsidRPr="00844967">
        <w:rPr>
          <w:sz w:val="22"/>
          <w:szCs w:val="22"/>
        </w:rPr>
        <w:t xml:space="preserve">The information to be collected is critical to the Commission's task in addressing the elements of the Committees’ request, since such data are not publicly available. </w:t>
      </w:r>
    </w:p>
    <w:p w:rsidR="00844967" w:rsidRPr="00844967" w:rsidRDefault="00844967" w:rsidP="00844967">
      <w:pPr>
        <w:pStyle w:val="NoSpacing"/>
        <w:rPr>
          <w:sz w:val="22"/>
          <w:szCs w:val="22"/>
        </w:rPr>
      </w:pPr>
    </w:p>
    <w:p w:rsidR="00B43DFB" w:rsidRDefault="00844967" w:rsidP="00844967">
      <w:pPr>
        <w:pStyle w:val="NoSpacing"/>
        <w:rPr>
          <w:sz w:val="22"/>
          <w:szCs w:val="22"/>
        </w:rPr>
      </w:pPr>
      <w:r w:rsidRPr="00844967">
        <w:rPr>
          <w:sz w:val="22"/>
          <w:szCs w:val="22"/>
        </w:rPr>
        <w:t xml:space="preserve">In the letter requesting the study, the Committees directed the USITC to (1) provide an overview of trends and policies in India affecting trade and foreign direct investment; (2) identify the significant policies currently maintained by India; (3) present case studies examining the effect of measures on large and small companies; (4) quantify the economic effects of Indian measures on the U.S. economy; and (5) survey U.S. companies about </w:t>
      </w:r>
      <w:r w:rsidR="00546B61">
        <w:rPr>
          <w:sz w:val="22"/>
          <w:szCs w:val="22"/>
        </w:rPr>
        <w:t xml:space="preserve">their perceptions of </w:t>
      </w:r>
      <w:r w:rsidRPr="00844967">
        <w:rPr>
          <w:sz w:val="22"/>
          <w:szCs w:val="22"/>
        </w:rPr>
        <w:t>recent changes in Indian policies and the effect these changes have had on company strategies towards India.</w:t>
      </w:r>
    </w:p>
    <w:p w:rsidR="00844967" w:rsidRPr="00D54C3E" w:rsidRDefault="00844967" w:rsidP="00844967">
      <w:pPr>
        <w:pStyle w:val="NoSpacing"/>
        <w:rPr>
          <w:sz w:val="22"/>
          <w:szCs w:val="22"/>
        </w:rPr>
      </w:pPr>
    </w:p>
    <w:p w:rsidR="00E02112" w:rsidRPr="00D54C3E" w:rsidRDefault="00DC681D" w:rsidP="00064AEC">
      <w:pPr>
        <w:pStyle w:val="NoSpacing"/>
        <w:rPr>
          <w:sz w:val="22"/>
          <w:szCs w:val="22"/>
        </w:rPr>
      </w:pPr>
      <w:r w:rsidRPr="00D54C3E">
        <w:rPr>
          <w:sz w:val="22"/>
          <w:szCs w:val="22"/>
        </w:rPr>
        <w:t>T</w:t>
      </w:r>
      <w:r w:rsidR="00E02112" w:rsidRPr="00D54C3E">
        <w:rPr>
          <w:sz w:val="22"/>
          <w:szCs w:val="22"/>
        </w:rPr>
        <w:t xml:space="preserve">he </w:t>
      </w:r>
      <w:r w:rsidR="00921746">
        <w:rPr>
          <w:sz w:val="22"/>
          <w:szCs w:val="22"/>
        </w:rPr>
        <w:t>Committees</w:t>
      </w:r>
      <w:r w:rsidR="00E02112" w:rsidRPr="00D54C3E">
        <w:rPr>
          <w:sz w:val="22"/>
          <w:szCs w:val="22"/>
        </w:rPr>
        <w:t xml:space="preserve"> specified that the Commission’s report be based on a review of available data, including </w:t>
      </w:r>
      <w:r w:rsidR="00152DE7" w:rsidRPr="00D54C3E">
        <w:rPr>
          <w:sz w:val="22"/>
          <w:szCs w:val="22"/>
        </w:rPr>
        <w:t xml:space="preserve">a survey of U.S. firms in selected industries particularly </w:t>
      </w:r>
      <w:r w:rsidR="00844967">
        <w:rPr>
          <w:sz w:val="22"/>
          <w:szCs w:val="22"/>
        </w:rPr>
        <w:t>affected by Indian industrial policies</w:t>
      </w:r>
      <w:r w:rsidR="00E02112" w:rsidRPr="00D54C3E">
        <w:rPr>
          <w:sz w:val="22"/>
          <w:szCs w:val="22"/>
        </w:rPr>
        <w:t xml:space="preserve">. The </w:t>
      </w:r>
      <w:r w:rsidR="00D32C65" w:rsidRPr="00D54C3E">
        <w:rPr>
          <w:sz w:val="22"/>
          <w:szCs w:val="22"/>
        </w:rPr>
        <w:t xml:space="preserve">use of </w:t>
      </w:r>
      <w:r w:rsidR="00E02112" w:rsidRPr="00D54C3E">
        <w:rPr>
          <w:sz w:val="22"/>
          <w:szCs w:val="22"/>
        </w:rPr>
        <w:lastRenderedPageBreak/>
        <w:t>a questionnaire</w:t>
      </w:r>
      <w:r w:rsidR="00D32C65" w:rsidRPr="00D54C3E">
        <w:rPr>
          <w:sz w:val="22"/>
          <w:szCs w:val="22"/>
        </w:rPr>
        <w:t xml:space="preserve"> to collect </w:t>
      </w:r>
      <w:r w:rsidR="000A24D7" w:rsidRPr="00D54C3E">
        <w:rPr>
          <w:sz w:val="22"/>
          <w:szCs w:val="22"/>
        </w:rPr>
        <w:t>relevant information is thus a</w:t>
      </w:r>
      <w:r w:rsidR="00A80F9A" w:rsidRPr="00D54C3E">
        <w:rPr>
          <w:sz w:val="22"/>
          <w:szCs w:val="22"/>
        </w:rPr>
        <w:t xml:space="preserve">n </w:t>
      </w:r>
      <w:r w:rsidR="00B24293" w:rsidRPr="00D54C3E">
        <w:rPr>
          <w:sz w:val="22"/>
          <w:szCs w:val="22"/>
        </w:rPr>
        <w:t>integral</w:t>
      </w:r>
      <w:r w:rsidR="000A24D7" w:rsidRPr="00D54C3E">
        <w:rPr>
          <w:sz w:val="22"/>
          <w:szCs w:val="22"/>
        </w:rPr>
        <w:t xml:space="preserve"> </w:t>
      </w:r>
      <w:r w:rsidR="00D32C65" w:rsidRPr="00D54C3E">
        <w:rPr>
          <w:sz w:val="22"/>
          <w:szCs w:val="22"/>
        </w:rPr>
        <w:t xml:space="preserve">part of the </w:t>
      </w:r>
      <w:r w:rsidR="00921746">
        <w:rPr>
          <w:sz w:val="22"/>
          <w:szCs w:val="22"/>
        </w:rPr>
        <w:t>Committees’</w:t>
      </w:r>
      <w:r w:rsidR="00D32C65" w:rsidRPr="00D54C3E">
        <w:rPr>
          <w:sz w:val="22"/>
          <w:szCs w:val="22"/>
        </w:rPr>
        <w:t xml:space="preserve"> request and will aid the Commission </w:t>
      </w:r>
      <w:r w:rsidR="001A4521" w:rsidRPr="00D54C3E">
        <w:rPr>
          <w:sz w:val="22"/>
          <w:szCs w:val="22"/>
        </w:rPr>
        <w:t>in</w:t>
      </w:r>
      <w:r w:rsidR="00D32C65" w:rsidRPr="00D54C3E">
        <w:rPr>
          <w:sz w:val="22"/>
          <w:szCs w:val="22"/>
        </w:rPr>
        <w:t xml:space="preserve"> fulfill</w:t>
      </w:r>
      <w:r w:rsidR="001A4521" w:rsidRPr="00D54C3E">
        <w:rPr>
          <w:sz w:val="22"/>
          <w:szCs w:val="22"/>
        </w:rPr>
        <w:t>ing</w:t>
      </w:r>
      <w:r w:rsidR="00D32C65" w:rsidRPr="00D54C3E">
        <w:rPr>
          <w:sz w:val="22"/>
          <w:szCs w:val="22"/>
        </w:rPr>
        <w:t xml:space="preserve"> its statutory duty to provide </w:t>
      </w:r>
      <w:r w:rsidR="001A4521" w:rsidRPr="00D54C3E">
        <w:rPr>
          <w:sz w:val="22"/>
          <w:szCs w:val="22"/>
        </w:rPr>
        <w:t xml:space="preserve">the </w:t>
      </w:r>
      <w:r w:rsidRPr="00D54C3E">
        <w:rPr>
          <w:sz w:val="22"/>
          <w:szCs w:val="22"/>
        </w:rPr>
        <w:t xml:space="preserve">requested </w:t>
      </w:r>
      <w:r w:rsidR="00D32C65" w:rsidRPr="00D54C3E">
        <w:rPr>
          <w:sz w:val="22"/>
          <w:szCs w:val="22"/>
        </w:rPr>
        <w:t>information</w:t>
      </w:r>
      <w:r w:rsidRPr="00D54C3E">
        <w:rPr>
          <w:sz w:val="22"/>
          <w:szCs w:val="22"/>
        </w:rPr>
        <w:t>.</w:t>
      </w:r>
    </w:p>
    <w:p w:rsidR="00AF35D2" w:rsidRPr="00D54C3E" w:rsidRDefault="00AF35D2" w:rsidP="00064AEC">
      <w:pPr>
        <w:pStyle w:val="NoSpacing"/>
        <w:rPr>
          <w:sz w:val="22"/>
          <w:szCs w:val="22"/>
          <w:highlight w:val="white"/>
        </w:rPr>
      </w:pPr>
    </w:p>
    <w:p w:rsidR="00AF35D2" w:rsidRPr="00D54C3E" w:rsidRDefault="001A4521" w:rsidP="00064AEC">
      <w:pPr>
        <w:pStyle w:val="NoSpacing"/>
        <w:rPr>
          <w:sz w:val="22"/>
          <w:szCs w:val="22"/>
          <w:highlight w:val="white"/>
        </w:rPr>
      </w:pPr>
      <w:r w:rsidRPr="00D54C3E">
        <w:rPr>
          <w:sz w:val="22"/>
          <w:szCs w:val="22"/>
          <w:highlight w:val="white"/>
        </w:rPr>
        <w:t>As drafted, t</w:t>
      </w:r>
      <w:r w:rsidR="00AF35D2" w:rsidRPr="00D54C3E">
        <w:rPr>
          <w:sz w:val="22"/>
          <w:szCs w:val="22"/>
          <w:highlight w:val="white"/>
        </w:rPr>
        <w:t xml:space="preserve">he questionnaire </w:t>
      </w:r>
      <w:r w:rsidR="00751522" w:rsidRPr="00D54C3E">
        <w:rPr>
          <w:sz w:val="22"/>
          <w:szCs w:val="22"/>
          <w:highlight w:val="white"/>
        </w:rPr>
        <w:t>mandates</w:t>
      </w:r>
      <w:r w:rsidR="00AF35D2" w:rsidRPr="00D54C3E">
        <w:rPr>
          <w:sz w:val="22"/>
          <w:szCs w:val="22"/>
          <w:highlight w:val="white"/>
        </w:rPr>
        <w:t xml:space="preserve"> </w:t>
      </w:r>
      <w:r w:rsidR="00751522" w:rsidRPr="00D54C3E">
        <w:rPr>
          <w:sz w:val="22"/>
          <w:szCs w:val="22"/>
          <w:highlight w:val="white"/>
        </w:rPr>
        <w:t xml:space="preserve">a </w:t>
      </w:r>
      <w:r w:rsidR="00AF35D2" w:rsidRPr="00D54C3E">
        <w:rPr>
          <w:sz w:val="22"/>
          <w:szCs w:val="22"/>
          <w:highlight w:val="white"/>
        </w:rPr>
        <w:t xml:space="preserve">response </w:t>
      </w:r>
      <w:r w:rsidR="00751522" w:rsidRPr="00D54C3E">
        <w:rPr>
          <w:sz w:val="22"/>
          <w:szCs w:val="22"/>
          <w:highlight w:val="white"/>
        </w:rPr>
        <w:t>from recipients</w:t>
      </w:r>
      <w:r w:rsidR="00AF35D2" w:rsidRPr="00D54C3E">
        <w:rPr>
          <w:sz w:val="22"/>
          <w:szCs w:val="22"/>
          <w:highlight w:val="white"/>
        </w:rPr>
        <w:t xml:space="preserve">. </w:t>
      </w:r>
      <w:r w:rsidR="00A042BE" w:rsidRPr="00D54C3E">
        <w:rPr>
          <w:sz w:val="22"/>
          <w:szCs w:val="22"/>
          <w:highlight w:val="white"/>
        </w:rPr>
        <w:t>P</w:t>
      </w:r>
      <w:r w:rsidR="00AF35D2" w:rsidRPr="00D54C3E">
        <w:rPr>
          <w:sz w:val="22"/>
          <w:szCs w:val="22"/>
          <w:highlight w:val="white"/>
        </w:rPr>
        <w:t xml:space="preserve">ursuant to section 333(a) of the Tariff Act of 1930, </w:t>
      </w:r>
      <w:r w:rsidR="00A042BE" w:rsidRPr="00D54C3E">
        <w:rPr>
          <w:sz w:val="22"/>
          <w:szCs w:val="22"/>
          <w:highlight w:val="white"/>
        </w:rPr>
        <w:t xml:space="preserve">the Commission </w:t>
      </w:r>
      <w:r w:rsidR="00AF35D2" w:rsidRPr="00D54C3E">
        <w:rPr>
          <w:sz w:val="22"/>
          <w:szCs w:val="22"/>
          <w:highlight w:val="white"/>
        </w:rPr>
        <w:t xml:space="preserve">is authorized to compel persons, firms, a partnership, a corporation, or an association to furnish in writing, in such detail and in such form as the Commission may prescribe, information in their possession pertaining to such investigation. Failure to require mandatory responses would likely significantly depress response rates. Without a robust response, the Commission will be unable to furnish the information requested by the </w:t>
      </w:r>
      <w:r w:rsidR="00921746">
        <w:rPr>
          <w:sz w:val="22"/>
          <w:szCs w:val="22"/>
          <w:highlight w:val="white"/>
        </w:rPr>
        <w:t>Committees</w:t>
      </w:r>
      <w:r w:rsidR="00CC2EF8" w:rsidRPr="00D54C3E">
        <w:rPr>
          <w:sz w:val="22"/>
          <w:szCs w:val="22"/>
          <w:highlight w:val="white"/>
        </w:rPr>
        <w:t xml:space="preserve"> </w:t>
      </w:r>
      <w:r w:rsidR="00AF35D2" w:rsidRPr="00D54C3E">
        <w:rPr>
          <w:sz w:val="22"/>
          <w:szCs w:val="22"/>
          <w:highlight w:val="white"/>
        </w:rPr>
        <w:t>and will be unable to satisfactorily discharge its responsibility under section 332(g) of the Tariff Act of 1930.</w:t>
      </w:r>
    </w:p>
    <w:p w:rsidR="00AF35D2" w:rsidRPr="00D54C3E" w:rsidRDefault="00AF35D2" w:rsidP="00064AEC">
      <w:pPr>
        <w:pStyle w:val="NoSpacing"/>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Use of technology</w:t>
      </w:r>
    </w:p>
    <w:p w:rsidR="000A06A8" w:rsidRPr="00D54C3E" w:rsidRDefault="00AF35D2" w:rsidP="00064AEC">
      <w:pPr>
        <w:pStyle w:val="NoSpacing"/>
        <w:rPr>
          <w:sz w:val="22"/>
          <w:szCs w:val="22"/>
        </w:rPr>
      </w:pPr>
      <w:r w:rsidRPr="00D54C3E">
        <w:rPr>
          <w:sz w:val="22"/>
          <w:szCs w:val="22"/>
        </w:rPr>
        <w:t>All available information technology has been incorporated into the questionnaire d</w:t>
      </w:r>
      <w:r w:rsidR="00105F8D" w:rsidRPr="00D54C3E">
        <w:rPr>
          <w:sz w:val="22"/>
          <w:szCs w:val="22"/>
        </w:rPr>
        <w:t xml:space="preserve">esign, including the use of Adobe Form Fillable </w:t>
      </w:r>
      <w:r w:rsidR="00CC2EF8" w:rsidRPr="00D54C3E">
        <w:rPr>
          <w:sz w:val="22"/>
          <w:szCs w:val="22"/>
        </w:rPr>
        <w:t xml:space="preserve">software </w:t>
      </w:r>
      <w:r w:rsidRPr="00D54C3E">
        <w:rPr>
          <w:sz w:val="22"/>
          <w:szCs w:val="22"/>
        </w:rPr>
        <w:t xml:space="preserve">that will allow respondents to complete the questionnaire electronically. This interactive </w:t>
      </w:r>
      <w:r w:rsidR="00105F8D" w:rsidRPr="00D54C3E">
        <w:rPr>
          <w:sz w:val="22"/>
          <w:szCs w:val="22"/>
        </w:rPr>
        <w:t>Adobe Form</w:t>
      </w:r>
      <w:r w:rsidR="00CC2EF8" w:rsidRPr="00D54C3E">
        <w:rPr>
          <w:sz w:val="22"/>
          <w:szCs w:val="22"/>
        </w:rPr>
        <w:t xml:space="preserve">, </w:t>
      </w:r>
      <w:r w:rsidR="00057DE6" w:rsidRPr="00D54C3E">
        <w:rPr>
          <w:sz w:val="22"/>
          <w:szCs w:val="22"/>
        </w:rPr>
        <w:t>which incorporate</w:t>
      </w:r>
      <w:r w:rsidR="00CC2EF8" w:rsidRPr="00D54C3E">
        <w:rPr>
          <w:sz w:val="22"/>
          <w:szCs w:val="22"/>
        </w:rPr>
        <w:t>s</w:t>
      </w:r>
      <w:r w:rsidR="00057DE6" w:rsidRPr="00D54C3E">
        <w:rPr>
          <w:sz w:val="22"/>
          <w:szCs w:val="22"/>
        </w:rPr>
        <w:t xml:space="preserve"> quality control functions, submission buttons, and summation functions</w:t>
      </w:r>
      <w:r w:rsidR="00002851" w:rsidRPr="00D54C3E">
        <w:rPr>
          <w:sz w:val="22"/>
          <w:szCs w:val="22"/>
        </w:rPr>
        <w:t>,</w:t>
      </w:r>
      <w:r w:rsidR="00CC2EF8" w:rsidRPr="00D54C3E">
        <w:rPr>
          <w:sz w:val="22"/>
          <w:szCs w:val="22"/>
        </w:rPr>
        <w:t xml:space="preserve"> </w:t>
      </w:r>
      <w:r w:rsidRPr="00D54C3E">
        <w:rPr>
          <w:sz w:val="22"/>
          <w:szCs w:val="22"/>
        </w:rPr>
        <w:t xml:space="preserve">will be available for download from the USITC website at </w:t>
      </w:r>
      <w:hyperlink r:id="rId10" w:history="1">
        <w:r w:rsidR="00546B61" w:rsidRPr="005D2E32">
          <w:rPr>
            <w:rStyle w:val="Hyperlink"/>
            <w:sz w:val="22"/>
            <w:szCs w:val="22"/>
          </w:rPr>
          <w:t>http://www.usitc.gov/indiasurvey</w:t>
        </w:r>
      </w:hyperlink>
      <w:r w:rsidR="009C2D04" w:rsidRPr="005D2E32">
        <w:rPr>
          <w:sz w:val="22"/>
          <w:szCs w:val="22"/>
        </w:rPr>
        <w:t>.</w:t>
      </w:r>
      <w:r w:rsidRPr="005D2E32">
        <w:rPr>
          <w:sz w:val="22"/>
          <w:szCs w:val="22"/>
        </w:rPr>
        <w:t xml:space="preserve"> While recipients will not be required to submit their questionnaire</w:t>
      </w:r>
      <w:r w:rsidRPr="00D54C3E">
        <w:rPr>
          <w:sz w:val="22"/>
          <w:szCs w:val="22"/>
        </w:rPr>
        <w:t xml:space="preserve"> response</w:t>
      </w:r>
      <w:r w:rsidR="009F6489" w:rsidRPr="00D54C3E">
        <w:rPr>
          <w:sz w:val="22"/>
          <w:szCs w:val="22"/>
        </w:rPr>
        <w:t>s</w:t>
      </w:r>
      <w:r w:rsidRPr="00D54C3E">
        <w:rPr>
          <w:sz w:val="22"/>
          <w:szCs w:val="22"/>
        </w:rPr>
        <w:t xml:space="preserve"> electronically, they will be able to provide the</w:t>
      </w:r>
      <w:r w:rsidR="00CC2EF8" w:rsidRPr="00D54C3E">
        <w:rPr>
          <w:sz w:val="22"/>
          <w:szCs w:val="22"/>
        </w:rPr>
        <w:t>ir</w:t>
      </w:r>
      <w:r w:rsidRPr="00D54C3E">
        <w:rPr>
          <w:sz w:val="22"/>
          <w:szCs w:val="22"/>
        </w:rPr>
        <w:t xml:space="preserve"> responses via electronic submission of the questionnaire through a secure upload system or via email</w:t>
      </w:r>
      <w:r w:rsidR="00105F8D" w:rsidRPr="00D54C3E">
        <w:rPr>
          <w:sz w:val="22"/>
          <w:szCs w:val="22"/>
        </w:rPr>
        <w:t xml:space="preserve">. </w:t>
      </w:r>
    </w:p>
    <w:p w:rsidR="000A06A8" w:rsidRPr="00D54C3E" w:rsidRDefault="000A06A8" w:rsidP="00064AEC">
      <w:pPr>
        <w:pStyle w:val="NoSpacing"/>
        <w:rPr>
          <w:sz w:val="22"/>
          <w:szCs w:val="22"/>
        </w:rPr>
      </w:pPr>
    </w:p>
    <w:p w:rsidR="00AF35D2" w:rsidRPr="00D54C3E" w:rsidRDefault="00AF35D2" w:rsidP="00064AEC">
      <w:pPr>
        <w:pStyle w:val="NoSpacing"/>
        <w:numPr>
          <w:ilvl w:val="0"/>
          <w:numId w:val="7"/>
        </w:numPr>
        <w:rPr>
          <w:b/>
          <w:sz w:val="22"/>
          <w:szCs w:val="22"/>
        </w:rPr>
      </w:pPr>
      <w:r w:rsidRPr="00D54C3E">
        <w:rPr>
          <w:b/>
          <w:bCs/>
          <w:sz w:val="22"/>
          <w:szCs w:val="22"/>
        </w:rPr>
        <w:t>Non-duplication of available data</w:t>
      </w:r>
    </w:p>
    <w:p w:rsidR="00880BE1" w:rsidRPr="00D54C3E" w:rsidRDefault="00300348" w:rsidP="00064AEC">
      <w:pPr>
        <w:pStyle w:val="NoSpacing"/>
        <w:rPr>
          <w:sz w:val="22"/>
          <w:szCs w:val="22"/>
        </w:rPr>
      </w:pPr>
      <w:r w:rsidRPr="00D54C3E">
        <w:rPr>
          <w:sz w:val="22"/>
          <w:szCs w:val="22"/>
        </w:rPr>
        <w:t>To the extent possible, t</w:t>
      </w:r>
      <w:r w:rsidR="00AF35D2" w:rsidRPr="00D54C3E">
        <w:rPr>
          <w:sz w:val="22"/>
          <w:szCs w:val="22"/>
        </w:rPr>
        <w:t xml:space="preserve">he Commission’s investigation will rely on existing publicly available data. </w:t>
      </w:r>
      <w:r w:rsidR="00AE6069" w:rsidRPr="00D54C3E">
        <w:rPr>
          <w:sz w:val="22"/>
          <w:szCs w:val="22"/>
        </w:rPr>
        <w:t xml:space="preserve">Commission </w:t>
      </w:r>
      <w:proofErr w:type="gramStart"/>
      <w:r w:rsidR="00C675FC" w:rsidRPr="00D54C3E">
        <w:rPr>
          <w:sz w:val="22"/>
          <w:szCs w:val="22"/>
        </w:rPr>
        <w:t>staff ha</w:t>
      </w:r>
      <w:r w:rsidR="00546B61">
        <w:rPr>
          <w:sz w:val="22"/>
          <w:szCs w:val="22"/>
        </w:rPr>
        <w:t>ve</w:t>
      </w:r>
      <w:proofErr w:type="gramEnd"/>
      <w:r w:rsidR="00AA554F" w:rsidRPr="00D54C3E">
        <w:rPr>
          <w:sz w:val="22"/>
          <w:szCs w:val="22"/>
        </w:rPr>
        <w:t xml:space="preserve"> </w:t>
      </w:r>
      <w:r w:rsidR="00AE6069" w:rsidRPr="00D54C3E">
        <w:rPr>
          <w:sz w:val="22"/>
          <w:szCs w:val="22"/>
        </w:rPr>
        <w:t xml:space="preserve">reached out to government, academic, and industry </w:t>
      </w:r>
      <w:r w:rsidR="009C2D04" w:rsidRPr="00D54C3E">
        <w:rPr>
          <w:sz w:val="22"/>
          <w:szCs w:val="22"/>
        </w:rPr>
        <w:t xml:space="preserve">leaders in </w:t>
      </w:r>
      <w:r w:rsidR="00546B61">
        <w:rPr>
          <w:sz w:val="22"/>
          <w:szCs w:val="22"/>
        </w:rPr>
        <w:t>the relevant industries</w:t>
      </w:r>
      <w:r w:rsidR="00AA554F" w:rsidRPr="00D54C3E">
        <w:rPr>
          <w:sz w:val="22"/>
          <w:szCs w:val="22"/>
        </w:rPr>
        <w:t>, and have</w:t>
      </w:r>
      <w:r w:rsidR="00AE6069" w:rsidRPr="00D54C3E">
        <w:rPr>
          <w:sz w:val="22"/>
          <w:szCs w:val="22"/>
        </w:rPr>
        <w:t xml:space="preserve"> </w:t>
      </w:r>
      <w:r w:rsidR="009C2D04" w:rsidRPr="00D54C3E">
        <w:rPr>
          <w:sz w:val="22"/>
          <w:szCs w:val="22"/>
        </w:rPr>
        <w:t>confirmed that there is no existing</w:t>
      </w:r>
      <w:r w:rsidR="00AE6069" w:rsidRPr="00D54C3E">
        <w:rPr>
          <w:sz w:val="22"/>
          <w:szCs w:val="22"/>
        </w:rPr>
        <w:t xml:space="preserve"> </w:t>
      </w:r>
      <w:r w:rsidR="00152DE7" w:rsidRPr="00D54C3E">
        <w:rPr>
          <w:sz w:val="22"/>
          <w:szCs w:val="22"/>
        </w:rPr>
        <w:t>data that</w:t>
      </w:r>
      <w:r w:rsidR="00546B61">
        <w:rPr>
          <w:sz w:val="22"/>
          <w:szCs w:val="22"/>
        </w:rPr>
        <w:t xml:space="preserve"> describe </w:t>
      </w:r>
      <w:r w:rsidR="00546B61" w:rsidRPr="00844967">
        <w:rPr>
          <w:sz w:val="22"/>
          <w:szCs w:val="22"/>
        </w:rPr>
        <w:t>U.S. companies</w:t>
      </w:r>
      <w:r w:rsidR="00546B61">
        <w:rPr>
          <w:sz w:val="22"/>
          <w:szCs w:val="22"/>
        </w:rPr>
        <w:t>’ perceptions</w:t>
      </w:r>
      <w:r w:rsidR="00546B61" w:rsidRPr="00844967">
        <w:rPr>
          <w:sz w:val="22"/>
          <w:szCs w:val="22"/>
        </w:rPr>
        <w:t xml:space="preserve"> about recent changes in Indian policies</w:t>
      </w:r>
      <w:r w:rsidR="00546B61">
        <w:rPr>
          <w:sz w:val="22"/>
          <w:szCs w:val="22"/>
        </w:rPr>
        <w:t xml:space="preserve"> and the effects these changes have had on their strategies towards India</w:t>
      </w:r>
      <w:r w:rsidR="00AE6069" w:rsidRPr="00D54C3E">
        <w:rPr>
          <w:sz w:val="22"/>
          <w:szCs w:val="22"/>
        </w:rPr>
        <w:t xml:space="preserve">. </w:t>
      </w:r>
      <w:r w:rsidR="00E73EE5" w:rsidRPr="00D54C3E">
        <w:rPr>
          <w:sz w:val="22"/>
          <w:szCs w:val="22"/>
        </w:rPr>
        <w:t>Further, a</w:t>
      </w:r>
      <w:r w:rsidR="00AF35D2" w:rsidRPr="00D54C3E">
        <w:rPr>
          <w:sz w:val="22"/>
          <w:szCs w:val="22"/>
        </w:rPr>
        <w:t xml:space="preserve">fter a thorough background search of data sources for this investigation, it has been determined that no other industry, government, or academic organizations collect or publish data that are duplicative of the data </w:t>
      </w:r>
      <w:r w:rsidR="00E73EE5" w:rsidRPr="00D54C3E">
        <w:rPr>
          <w:sz w:val="22"/>
          <w:szCs w:val="22"/>
        </w:rPr>
        <w:t>requested in the questionnaire.</w:t>
      </w:r>
    </w:p>
    <w:p w:rsidR="00AF35D2" w:rsidRPr="00D54C3E" w:rsidRDefault="00AF35D2" w:rsidP="00064AEC">
      <w:pPr>
        <w:pStyle w:val="NoSpacing"/>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Impact on small businesses</w:t>
      </w:r>
    </w:p>
    <w:p w:rsidR="00F63C38" w:rsidRDefault="00546B61" w:rsidP="00546B61">
      <w:pPr>
        <w:pStyle w:val="NoSpacing"/>
        <w:rPr>
          <w:sz w:val="22"/>
          <w:szCs w:val="22"/>
        </w:rPr>
      </w:pPr>
      <w:proofErr w:type="gramStart"/>
      <w:r>
        <w:rPr>
          <w:sz w:val="22"/>
          <w:szCs w:val="22"/>
        </w:rPr>
        <w:t>According to the U.S. Census Bureau, on average only one in 500 small firms (with less than 50 employees) in the U</w:t>
      </w:r>
      <w:r w:rsidR="004840EA">
        <w:rPr>
          <w:sz w:val="22"/>
          <w:szCs w:val="22"/>
        </w:rPr>
        <w:t>nited States exports to India.</w:t>
      </w:r>
      <w:proofErr w:type="gramEnd"/>
      <w:r w:rsidR="004840EA">
        <w:rPr>
          <w:sz w:val="22"/>
          <w:szCs w:val="22"/>
        </w:rPr>
        <w:t xml:space="preserve"> These s</w:t>
      </w:r>
      <w:r>
        <w:rPr>
          <w:sz w:val="22"/>
          <w:szCs w:val="22"/>
        </w:rPr>
        <w:t>mall firms are even less likely to have corporate affiliates in India.</w:t>
      </w:r>
      <w:r w:rsidR="00C22783">
        <w:rPr>
          <w:sz w:val="22"/>
          <w:szCs w:val="22"/>
        </w:rPr>
        <w:t xml:space="preserve"> </w:t>
      </w:r>
      <w:r>
        <w:rPr>
          <w:sz w:val="22"/>
          <w:szCs w:val="22"/>
        </w:rPr>
        <w:t>Because of the extreme scarcity of small firms that conduct business with India, this survey does not include firms with fewer than 50 employees, except in a few industries in which smaller firms are expected to be more active in India.</w:t>
      </w:r>
      <w:r>
        <w:rPr>
          <w:rStyle w:val="FootnoteReference"/>
          <w:sz w:val="22"/>
          <w:szCs w:val="22"/>
        </w:rPr>
        <w:footnoteReference w:id="1"/>
      </w:r>
      <w:r w:rsidR="00C22783">
        <w:rPr>
          <w:sz w:val="22"/>
          <w:szCs w:val="22"/>
        </w:rPr>
        <w:t xml:space="preserve"> </w:t>
      </w:r>
      <w:r>
        <w:rPr>
          <w:sz w:val="22"/>
          <w:szCs w:val="22"/>
        </w:rPr>
        <w:t xml:space="preserve">Hence relatively few </w:t>
      </w:r>
      <w:r w:rsidR="00AE6069" w:rsidRPr="00D54C3E">
        <w:rPr>
          <w:sz w:val="22"/>
          <w:szCs w:val="22"/>
        </w:rPr>
        <w:t xml:space="preserve">respondents to the questionnaire will be </w:t>
      </w:r>
      <w:r w:rsidR="00AF35D2" w:rsidRPr="00D54C3E">
        <w:rPr>
          <w:sz w:val="22"/>
          <w:szCs w:val="22"/>
        </w:rPr>
        <w:t>small business</w:t>
      </w:r>
      <w:r w:rsidR="00E73EE5" w:rsidRPr="00D54C3E">
        <w:rPr>
          <w:sz w:val="22"/>
          <w:szCs w:val="22"/>
        </w:rPr>
        <w:t>es</w:t>
      </w:r>
      <w:r w:rsidR="00AF35D2" w:rsidRPr="00D54C3E">
        <w:rPr>
          <w:sz w:val="22"/>
          <w:szCs w:val="22"/>
        </w:rPr>
        <w:t>, as specified under the Small Business Adminis</w:t>
      </w:r>
      <w:r w:rsidR="00F63C38">
        <w:rPr>
          <w:sz w:val="22"/>
          <w:szCs w:val="22"/>
        </w:rPr>
        <w:t>tration Rules (13 CFR Part 121), and</w:t>
      </w:r>
      <w:r w:rsidR="00AF35D2" w:rsidRPr="00D54C3E">
        <w:rPr>
          <w:sz w:val="22"/>
          <w:szCs w:val="22"/>
        </w:rPr>
        <w:t xml:space="preserve"> </w:t>
      </w:r>
      <w:r w:rsidR="001E3F12" w:rsidRPr="00D54C3E">
        <w:rPr>
          <w:sz w:val="22"/>
          <w:szCs w:val="22"/>
        </w:rPr>
        <w:t>very</w:t>
      </w:r>
      <w:r w:rsidR="009C2D04" w:rsidRPr="00D54C3E">
        <w:rPr>
          <w:sz w:val="22"/>
          <w:szCs w:val="22"/>
        </w:rPr>
        <w:t xml:space="preserve"> </w:t>
      </w:r>
      <w:r w:rsidR="001E3F12" w:rsidRPr="00D54C3E">
        <w:rPr>
          <w:sz w:val="22"/>
          <w:szCs w:val="22"/>
        </w:rPr>
        <w:t>small firms</w:t>
      </w:r>
      <w:r w:rsidR="009C2D04" w:rsidRPr="00D54C3E">
        <w:rPr>
          <w:sz w:val="22"/>
          <w:szCs w:val="22"/>
        </w:rPr>
        <w:t xml:space="preserve"> were eliminated from our sampling population</w:t>
      </w:r>
      <w:r w:rsidR="0055589E" w:rsidRPr="00D54C3E">
        <w:rPr>
          <w:sz w:val="22"/>
          <w:szCs w:val="22"/>
        </w:rPr>
        <w:t xml:space="preserve"> (for further detail, please see </w:t>
      </w:r>
      <w:r w:rsidR="00CA35D4" w:rsidRPr="00D54C3E">
        <w:rPr>
          <w:sz w:val="22"/>
          <w:szCs w:val="22"/>
        </w:rPr>
        <w:t xml:space="preserve">Justification </w:t>
      </w:r>
      <w:r w:rsidR="0055589E" w:rsidRPr="00D54C3E">
        <w:rPr>
          <w:sz w:val="22"/>
          <w:szCs w:val="22"/>
        </w:rPr>
        <w:t>Part B, page 2)</w:t>
      </w:r>
      <w:r w:rsidR="009C2D04" w:rsidRPr="00D54C3E">
        <w:rPr>
          <w:sz w:val="22"/>
          <w:szCs w:val="22"/>
        </w:rPr>
        <w:t xml:space="preserve">. </w:t>
      </w:r>
    </w:p>
    <w:p w:rsidR="00F63C38" w:rsidRDefault="00F63C38" w:rsidP="00546B61">
      <w:pPr>
        <w:pStyle w:val="NoSpacing"/>
        <w:rPr>
          <w:sz w:val="22"/>
          <w:szCs w:val="22"/>
        </w:rPr>
      </w:pPr>
    </w:p>
    <w:p w:rsidR="00EF272F" w:rsidRPr="00D54C3E" w:rsidRDefault="00AE6069" w:rsidP="00546B61">
      <w:pPr>
        <w:pStyle w:val="NoSpacing"/>
        <w:rPr>
          <w:sz w:val="22"/>
          <w:szCs w:val="22"/>
          <w:highlight w:val="white"/>
        </w:rPr>
      </w:pPr>
      <w:r w:rsidRPr="00D54C3E">
        <w:rPr>
          <w:sz w:val="22"/>
          <w:szCs w:val="22"/>
        </w:rPr>
        <w:t>T</w:t>
      </w:r>
      <w:r w:rsidR="00AF35D2" w:rsidRPr="00D54C3E">
        <w:rPr>
          <w:sz w:val="22"/>
          <w:szCs w:val="22"/>
          <w:highlight w:val="white"/>
        </w:rPr>
        <w:t xml:space="preserve">o minimize the reporting burden, the questionnaire was designed to be as brief as possible, consistent with information requirements. </w:t>
      </w:r>
      <w:r w:rsidR="00F63C38">
        <w:rPr>
          <w:sz w:val="22"/>
          <w:szCs w:val="22"/>
          <w:highlight w:val="white"/>
        </w:rPr>
        <w:t>Skip logic ensures that firms answer only relevant sections, based on their activity in India.</w:t>
      </w:r>
      <w:r w:rsidR="00C22783">
        <w:rPr>
          <w:sz w:val="22"/>
          <w:szCs w:val="22"/>
          <w:highlight w:val="white"/>
        </w:rPr>
        <w:t xml:space="preserve"> </w:t>
      </w:r>
      <w:r w:rsidR="00AF35D2" w:rsidRPr="00D54C3E">
        <w:rPr>
          <w:sz w:val="22"/>
          <w:szCs w:val="22"/>
          <w:highlight w:val="white"/>
        </w:rPr>
        <w:t>Ch</w:t>
      </w:r>
      <w:r w:rsidR="00F63C38">
        <w:rPr>
          <w:sz w:val="22"/>
          <w:szCs w:val="22"/>
          <w:highlight w:val="white"/>
        </w:rPr>
        <w:t>eck</w:t>
      </w:r>
      <w:r w:rsidR="00F63C38" w:rsidRPr="00D54C3E">
        <w:rPr>
          <w:sz w:val="22"/>
          <w:szCs w:val="22"/>
          <w:highlight w:val="white"/>
        </w:rPr>
        <w:t xml:space="preserve"> </w:t>
      </w:r>
      <w:r w:rsidR="00A12B25" w:rsidRPr="00D54C3E">
        <w:rPr>
          <w:sz w:val="22"/>
          <w:szCs w:val="22"/>
          <w:highlight w:val="white"/>
        </w:rPr>
        <w:t xml:space="preserve">-the-box and </w:t>
      </w:r>
      <w:r w:rsidR="00F63C38">
        <w:rPr>
          <w:sz w:val="22"/>
          <w:szCs w:val="22"/>
          <w:highlight w:val="white"/>
        </w:rPr>
        <w:t>select-from-a-</w:t>
      </w:r>
      <w:r w:rsidR="00A12B25" w:rsidRPr="00D54C3E">
        <w:rPr>
          <w:sz w:val="22"/>
          <w:szCs w:val="22"/>
          <w:highlight w:val="white"/>
        </w:rPr>
        <w:t xml:space="preserve">list response options </w:t>
      </w:r>
      <w:r w:rsidR="00AF35D2" w:rsidRPr="00D54C3E">
        <w:rPr>
          <w:sz w:val="22"/>
          <w:szCs w:val="22"/>
          <w:highlight w:val="white"/>
        </w:rPr>
        <w:t>are used where appropriate to simplify</w:t>
      </w:r>
      <w:r w:rsidR="00A12B25" w:rsidRPr="00D54C3E">
        <w:rPr>
          <w:sz w:val="22"/>
          <w:szCs w:val="22"/>
          <w:highlight w:val="white"/>
        </w:rPr>
        <w:t xml:space="preserve"> the</w:t>
      </w:r>
      <w:r w:rsidR="00AF35D2" w:rsidRPr="00D54C3E">
        <w:rPr>
          <w:sz w:val="22"/>
          <w:szCs w:val="22"/>
          <w:highlight w:val="white"/>
        </w:rPr>
        <w:t xml:space="preserve"> questionnaire. </w:t>
      </w:r>
      <w:r w:rsidR="00AC6C06" w:rsidRPr="00D54C3E">
        <w:rPr>
          <w:sz w:val="22"/>
          <w:szCs w:val="22"/>
          <w:highlight w:val="white"/>
        </w:rPr>
        <w:t>In addition</w:t>
      </w:r>
      <w:r w:rsidR="00AF35D2" w:rsidRPr="00D54C3E">
        <w:rPr>
          <w:sz w:val="22"/>
          <w:szCs w:val="22"/>
          <w:highlight w:val="white"/>
        </w:rPr>
        <w:t xml:space="preserve">, the questionnaire indicates that carefully prepared estimates are </w:t>
      </w:r>
      <w:r w:rsidR="00AF35D2" w:rsidRPr="00D54C3E">
        <w:rPr>
          <w:sz w:val="22"/>
          <w:szCs w:val="22"/>
          <w:highlight w:val="white"/>
        </w:rPr>
        <w:lastRenderedPageBreak/>
        <w:t>acceptable</w:t>
      </w:r>
      <w:r w:rsidR="00482947" w:rsidRPr="00D54C3E">
        <w:rPr>
          <w:sz w:val="22"/>
          <w:szCs w:val="22"/>
          <w:highlight w:val="white"/>
        </w:rPr>
        <w:t>, which</w:t>
      </w:r>
      <w:r w:rsidR="00002851" w:rsidRPr="00D54C3E">
        <w:rPr>
          <w:sz w:val="22"/>
          <w:szCs w:val="22"/>
          <w:highlight w:val="white"/>
        </w:rPr>
        <w:t xml:space="preserve"> </w:t>
      </w:r>
      <w:r w:rsidR="00AF35D2" w:rsidRPr="00D54C3E">
        <w:rPr>
          <w:sz w:val="22"/>
          <w:szCs w:val="22"/>
          <w:highlight w:val="white"/>
        </w:rPr>
        <w:t>should further reduce the potential burden on smaller firms that may not have sufficient administrative resources or au</w:t>
      </w:r>
      <w:r w:rsidR="00EF272F" w:rsidRPr="00D54C3E">
        <w:rPr>
          <w:sz w:val="22"/>
          <w:szCs w:val="22"/>
          <w:highlight w:val="white"/>
        </w:rPr>
        <w:t>tomated record-keeping systems.</w:t>
      </w:r>
    </w:p>
    <w:p w:rsidR="002F7E78" w:rsidRPr="00D54C3E" w:rsidRDefault="002F7E78" w:rsidP="00064AEC">
      <w:pPr>
        <w:pStyle w:val="NoSpacing"/>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Consequences of non-collection</w:t>
      </w:r>
    </w:p>
    <w:p w:rsidR="00AF35D2" w:rsidRPr="00D54C3E" w:rsidRDefault="00AF35D2" w:rsidP="00064AEC">
      <w:pPr>
        <w:pStyle w:val="NoSpacing"/>
        <w:rPr>
          <w:sz w:val="22"/>
          <w:szCs w:val="22"/>
          <w:highlight w:val="white"/>
        </w:rPr>
      </w:pPr>
      <w:r w:rsidRPr="00D54C3E">
        <w:rPr>
          <w:sz w:val="22"/>
          <w:szCs w:val="22"/>
          <w:highlight w:val="white"/>
        </w:rPr>
        <w:t xml:space="preserve">Due to the lack of suitable data from other sources, without this information collection, the Commission will be unable to fulfill the </w:t>
      </w:r>
      <w:r w:rsidR="00921746">
        <w:rPr>
          <w:sz w:val="22"/>
          <w:szCs w:val="22"/>
          <w:highlight w:val="white"/>
        </w:rPr>
        <w:t>Committees’</w:t>
      </w:r>
      <w:r w:rsidR="00482947" w:rsidRPr="00D54C3E">
        <w:rPr>
          <w:sz w:val="22"/>
          <w:szCs w:val="22"/>
          <w:highlight w:val="white"/>
        </w:rPr>
        <w:t xml:space="preserve"> </w:t>
      </w:r>
      <w:r w:rsidRPr="00D54C3E">
        <w:rPr>
          <w:sz w:val="22"/>
          <w:szCs w:val="22"/>
          <w:highlight w:val="white"/>
        </w:rPr>
        <w:t>request and therefore will be unable to satisfactorily discharge its responsibility under section 332(g) of the Tariff Act of 1930 (19 U.S.C. 1332(g)).</w:t>
      </w:r>
    </w:p>
    <w:p w:rsidR="00AF35D2" w:rsidRPr="00D54C3E" w:rsidRDefault="00AF35D2" w:rsidP="00064AEC">
      <w:pPr>
        <w:pStyle w:val="NoSpacing"/>
        <w:rPr>
          <w:sz w:val="22"/>
          <w:szCs w:val="22"/>
          <w:highlight w:val="white"/>
        </w:rPr>
      </w:pPr>
    </w:p>
    <w:p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Frequency of data collection</w:t>
      </w:r>
    </w:p>
    <w:p w:rsidR="00AF35D2" w:rsidRPr="00D54C3E" w:rsidRDefault="00AF35D2" w:rsidP="00064AEC">
      <w:pPr>
        <w:pStyle w:val="NoSpacing"/>
        <w:rPr>
          <w:sz w:val="22"/>
          <w:szCs w:val="22"/>
          <w:highlight w:val="white"/>
        </w:rPr>
      </w:pPr>
      <w:r w:rsidRPr="00D54C3E">
        <w:rPr>
          <w:sz w:val="22"/>
          <w:szCs w:val="22"/>
          <w:highlight w:val="white"/>
        </w:rPr>
        <w:t>This is a one-time, nonrecurring data collection.</w:t>
      </w:r>
    </w:p>
    <w:p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rsidR="00AF35D2" w:rsidRPr="00D54C3E" w:rsidRDefault="00C22783" w:rsidP="00064AEC">
      <w:pPr>
        <w:pStyle w:val="NoSpacing"/>
        <w:rPr>
          <w:b/>
          <w:sz w:val="22"/>
          <w:szCs w:val="22"/>
          <w:highlight w:val="white"/>
        </w:rPr>
      </w:pPr>
      <w:r>
        <w:rPr>
          <w:b/>
          <w:bCs/>
          <w:sz w:val="22"/>
          <w:szCs w:val="22"/>
          <w:highlight w:val="white"/>
        </w:rPr>
        <w:t xml:space="preserve"> </w:t>
      </w:r>
      <w:r w:rsidR="00064AEC" w:rsidRPr="00D54C3E">
        <w:rPr>
          <w:b/>
          <w:bCs/>
          <w:sz w:val="22"/>
          <w:szCs w:val="22"/>
          <w:highlight w:val="white"/>
        </w:rPr>
        <w:t xml:space="preserve">  </w:t>
      </w:r>
      <w:r>
        <w:rPr>
          <w:b/>
          <w:bCs/>
          <w:sz w:val="22"/>
          <w:szCs w:val="22"/>
          <w:highlight w:val="white"/>
        </w:rPr>
        <w:t xml:space="preserve"> </w:t>
      </w:r>
      <w:r w:rsidR="00064AEC" w:rsidRPr="00D54C3E">
        <w:rPr>
          <w:b/>
          <w:bCs/>
          <w:sz w:val="22"/>
          <w:szCs w:val="22"/>
          <w:highlight w:val="white"/>
        </w:rPr>
        <w:t xml:space="preserve">  8a. </w:t>
      </w:r>
      <w:r w:rsidR="00AF35D2" w:rsidRPr="00D54C3E">
        <w:rPr>
          <w:b/>
          <w:bCs/>
          <w:sz w:val="22"/>
          <w:szCs w:val="22"/>
          <w:highlight w:val="white"/>
        </w:rPr>
        <w:t xml:space="preserve">Consistency with 5 </w:t>
      </w:r>
      <w:smartTag w:uri="urn:schemas-microsoft-com:office:smarttags" w:element="stockticker">
        <w:r w:rsidR="00AF35D2" w:rsidRPr="00D54C3E">
          <w:rPr>
            <w:b/>
            <w:bCs/>
            <w:sz w:val="22"/>
            <w:szCs w:val="22"/>
            <w:highlight w:val="white"/>
          </w:rPr>
          <w:t>CFR</w:t>
        </w:r>
      </w:smartTag>
      <w:r w:rsidR="00AF35D2" w:rsidRPr="00D54C3E">
        <w:rPr>
          <w:b/>
          <w:bCs/>
          <w:sz w:val="22"/>
          <w:szCs w:val="22"/>
          <w:highlight w:val="white"/>
        </w:rPr>
        <w:t xml:space="preserve"> 1320.6 guidelines</w:t>
      </w:r>
    </w:p>
    <w:p w:rsidR="00AF35D2" w:rsidRPr="00D54C3E" w:rsidRDefault="00AF35D2" w:rsidP="00064AEC">
      <w:pPr>
        <w:pStyle w:val="NoSpacing"/>
        <w:rPr>
          <w:sz w:val="22"/>
          <w:szCs w:val="22"/>
          <w:highlight w:val="white"/>
        </w:rPr>
      </w:pPr>
      <w:r w:rsidRPr="00D54C3E">
        <w:rPr>
          <w:sz w:val="22"/>
          <w:szCs w:val="22"/>
          <w:highlight w:val="white"/>
        </w:rPr>
        <w:t xml:space="preserve">No special circumstances exist that require the collection to be conducted in a manner inconsistent with the guidelines of 5 CFR 1320.6. If any respondents do not maintain information in the format requested by the questionnaire, they are </w:t>
      </w:r>
      <w:r w:rsidR="00990771" w:rsidRPr="00D54C3E">
        <w:rPr>
          <w:sz w:val="22"/>
          <w:szCs w:val="22"/>
          <w:highlight w:val="white"/>
        </w:rPr>
        <w:t>requested</w:t>
      </w:r>
      <w:r w:rsidRPr="00D54C3E">
        <w:rPr>
          <w:sz w:val="22"/>
          <w:szCs w:val="22"/>
          <w:highlight w:val="white"/>
        </w:rPr>
        <w:t xml:space="preserve"> to submit carefully prepared estimates based upon available information.</w:t>
      </w:r>
    </w:p>
    <w:p w:rsidR="00AF35D2" w:rsidRPr="00D54C3E" w:rsidRDefault="00AF35D2" w:rsidP="00064AEC">
      <w:pPr>
        <w:pStyle w:val="NoSpacing"/>
        <w:rPr>
          <w:sz w:val="22"/>
          <w:szCs w:val="22"/>
          <w:highlight w:val="white"/>
        </w:rPr>
      </w:pPr>
    </w:p>
    <w:p w:rsidR="00AF35D2" w:rsidRPr="00D54C3E" w:rsidRDefault="00064AEC" w:rsidP="00064AEC">
      <w:pPr>
        <w:pStyle w:val="NoSpacing"/>
        <w:rPr>
          <w:sz w:val="22"/>
          <w:szCs w:val="22"/>
          <w:highlight w:val="white"/>
        </w:rPr>
      </w:pPr>
      <w:r w:rsidRPr="00D54C3E">
        <w:rPr>
          <w:b/>
          <w:bCs/>
          <w:sz w:val="22"/>
          <w:szCs w:val="22"/>
          <w:highlight w:val="white"/>
        </w:rPr>
        <w:t xml:space="preserve">    </w:t>
      </w:r>
      <w:r w:rsidR="00C22783">
        <w:rPr>
          <w:b/>
          <w:bCs/>
          <w:sz w:val="22"/>
          <w:szCs w:val="22"/>
          <w:highlight w:val="white"/>
        </w:rPr>
        <w:t xml:space="preserve"> </w:t>
      </w:r>
      <w:r w:rsidRPr="00D54C3E">
        <w:rPr>
          <w:b/>
          <w:bCs/>
          <w:sz w:val="22"/>
          <w:szCs w:val="22"/>
          <w:highlight w:val="white"/>
        </w:rPr>
        <w:t xml:space="preserve"> 8b. </w:t>
      </w:r>
      <w:r w:rsidR="00AF35D2" w:rsidRPr="00D54C3E">
        <w:rPr>
          <w:b/>
          <w:bCs/>
          <w:sz w:val="22"/>
          <w:szCs w:val="22"/>
          <w:highlight w:val="white"/>
        </w:rPr>
        <w:t>Consultations with affected public</w:t>
      </w:r>
    </w:p>
    <w:p w:rsidR="00920C04" w:rsidRPr="00D54C3E" w:rsidRDefault="00920C04" w:rsidP="00064AEC">
      <w:pPr>
        <w:pStyle w:val="NoSpacing"/>
        <w:rPr>
          <w:sz w:val="22"/>
          <w:szCs w:val="22"/>
          <w:highlight w:val="white"/>
        </w:rPr>
      </w:pPr>
      <w:r w:rsidRPr="00D54C3E">
        <w:rPr>
          <w:sz w:val="22"/>
          <w:szCs w:val="22"/>
          <w:highlight w:val="white"/>
        </w:rPr>
        <w:t xml:space="preserve">The Commission’s </w:t>
      </w:r>
      <w:r w:rsidR="00311784" w:rsidRPr="00D54C3E">
        <w:rPr>
          <w:sz w:val="22"/>
          <w:szCs w:val="22"/>
          <w:highlight w:val="white"/>
        </w:rPr>
        <w:t>60</w:t>
      </w:r>
      <w:r w:rsidR="00F63C38">
        <w:rPr>
          <w:sz w:val="22"/>
          <w:szCs w:val="22"/>
          <w:highlight w:val="white"/>
        </w:rPr>
        <w:t>-</w:t>
      </w:r>
      <w:r w:rsidRPr="00D54C3E">
        <w:rPr>
          <w:sz w:val="22"/>
          <w:szCs w:val="22"/>
          <w:highlight w:val="white"/>
        </w:rPr>
        <w:t xml:space="preserve">day notice requesting public comment was published in the Federal Register on </w:t>
      </w:r>
      <w:r w:rsidR="00F63C38">
        <w:rPr>
          <w:sz w:val="22"/>
          <w:szCs w:val="22"/>
          <w:highlight w:val="white"/>
        </w:rPr>
        <w:t>November 14, 2013</w:t>
      </w:r>
      <w:r w:rsidRPr="00D54C3E">
        <w:rPr>
          <w:sz w:val="22"/>
          <w:szCs w:val="22"/>
          <w:highlight w:val="white"/>
        </w:rPr>
        <w:t>. The notice and other information related to</w:t>
      </w:r>
      <w:r w:rsidR="00311784" w:rsidRPr="00D54C3E">
        <w:rPr>
          <w:sz w:val="22"/>
          <w:szCs w:val="22"/>
          <w:highlight w:val="white"/>
        </w:rPr>
        <w:t xml:space="preserve"> </w:t>
      </w:r>
      <w:r w:rsidRPr="00D54C3E">
        <w:rPr>
          <w:sz w:val="22"/>
          <w:szCs w:val="22"/>
          <w:highlight w:val="white"/>
        </w:rPr>
        <w:t>t</w:t>
      </w:r>
      <w:r w:rsidR="00311784" w:rsidRPr="00D54C3E">
        <w:rPr>
          <w:sz w:val="22"/>
          <w:szCs w:val="22"/>
          <w:highlight w:val="white"/>
        </w:rPr>
        <w:t>h</w:t>
      </w:r>
      <w:r w:rsidRPr="00D54C3E">
        <w:rPr>
          <w:sz w:val="22"/>
          <w:szCs w:val="22"/>
          <w:highlight w:val="white"/>
        </w:rPr>
        <w:t xml:space="preserve">is study </w:t>
      </w:r>
      <w:r w:rsidR="00311784" w:rsidRPr="00D54C3E">
        <w:rPr>
          <w:sz w:val="22"/>
          <w:szCs w:val="22"/>
          <w:highlight w:val="white"/>
        </w:rPr>
        <w:t>were</w:t>
      </w:r>
      <w:r w:rsidRPr="00D54C3E">
        <w:rPr>
          <w:sz w:val="22"/>
          <w:szCs w:val="22"/>
          <w:highlight w:val="white"/>
        </w:rPr>
        <w:t xml:space="preserve"> published on the Commission’s Internet site at </w:t>
      </w:r>
      <w:hyperlink r:id="rId11" w:history="1">
        <w:r w:rsidR="00F63C38" w:rsidRPr="00951AB3">
          <w:rPr>
            <w:rStyle w:val="Hyperlink"/>
            <w:sz w:val="22"/>
            <w:szCs w:val="22"/>
          </w:rPr>
          <w:t>http://pubapps2.usitc.gov/comments</w:t>
        </w:r>
        <w:r w:rsidR="00F63C38" w:rsidRPr="00951AB3">
          <w:rPr>
            <w:rStyle w:val="Hyperlink"/>
            <w:sz w:val="22"/>
            <w:szCs w:val="22"/>
          </w:rPr>
          <w:t>_</w:t>
        </w:r>
        <w:r w:rsidR="00F63C38" w:rsidRPr="00951AB3">
          <w:rPr>
            <w:rStyle w:val="Hyperlink"/>
            <w:sz w:val="22"/>
            <w:szCs w:val="22"/>
          </w:rPr>
          <w:t>332_543/</w:t>
        </w:r>
      </w:hyperlink>
      <w:r w:rsidRPr="00D54C3E">
        <w:rPr>
          <w:sz w:val="22"/>
          <w:szCs w:val="22"/>
          <w:highlight w:val="white"/>
        </w:rPr>
        <w:t>.</w:t>
      </w:r>
    </w:p>
    <w:p w:rsidR="00920C04" w:rsidRPr="00D54C3E" w:rsidRDefault="00920C04" w:rsidP="00064AEC">
      <w:pPr>
        <w:pStyle w:val="NoSpacing"/>
        <w:rPr>
          <w:sz w:val="22"/>
          <w:szCs w:val="22"/>
          <w:highlight w:val="white"/>
        </w:rPr>
      </w:pPr>
    </w:p>
    <w:p w:rsidR="00AF35D2" w:rsidRPr="00D54C3E" w:rsidRDefault="00AF35D2" w:rsidP="00064AEC">
      <w:pPr>
        <w:pStyle w:val="NoSpacing"/>
        <w:rPr>
          <w:sz w:val="22"/>
          <w:szCs w:val="22"/>
        </w:rPr>
      </w:pPr>
      <w:r w:rsidRPr="00D54C3E">
        <w:rPr>
          <w:sz w:val="22"/>
          <w:szCs w:val="22"/>
          <w:highlight w:val="white"/>
        </w:rPr>
        <w:t xml:space="preserve">The Commission’s </w:t>
      </w:r>
      <w:r w:rsidR="00920C04" w:rsidRPr="00D54C3E">
        <w:rPr>
          <w:sz w:val="22"/>
          <w:szCs w:val="22"/>
          <w:highlight w:val="white"/>
        </w:rPr>
        <w:t>30</w:t>
      </w:r>
      <w:r w:rsidR="00F63C38">
        <w:rPr>
          <w:sz w:val="22"/>
          <w:szCs w:val="22"/>
          <w:highlight w:val="white"/>
        </w:rPr>
        <w:t>-</w:t>
      </w:r>
      <w:r w:rsidR="00920C04" w:rsidRPr="00D54C3E">
        <w:rPr>
          <w:sz w:val="22"/>
          <w:szCs w:val="22"/>
          <w:highlight w:val="white"/>
        </w:rPr>
        <w:t xml:space="preserve">day </w:t>
      </w:r>
      <w:r w:rsidRPr="00D54C3E">
        <w:rPr>
          <w:sz w:val="22"/>
          <w:szCs w:val="22"/>
          <w:highlight w:val="white"/>
        </w:rPr>
        <w:t xml:space="preserve">notice of submission to OMB requesting clearance was </w:t>
      </w:r>
      <w:r w:rsidRPr="00D54C3E">
        <w:rPr>
          <w:sz w:val="22"/>
          <w:szCs w:val="22"/>
        </w:rPr>
        <w:t xml:space="preserve">published in the Federal Register on </w:t>
      </w:r>
      <w:r w:rsidR="00F63C38" w:rsidRPr="007A00F5">
        <w:rPr>
          <w:sz w:val="22"/>
          <w:szCs w:val="22"/>
        </w:rPr>
        <w:t xml:space="preserve">December </w:t>
      </w:r>
      <w:r w:rsidR="005C2E0D">
        <w:rPr>
          <w:sz w:val="22"/>
          <w:szCs w:val="22"/>
        </w:rPr>
        <w:t>23, 2013</w:t>
      </w:r>
      <w:r w:rsidRPr="00D54C3E">
        <w:rPr>
          <w:sz w:val="22"/>
          <w:szCs w:val="22"/>
        </w:rPr>
        <w:t xml:space="preserve">. The notice is </w:t>
      </w:r>
      <w:r w:rsidR="00920C04" w:rsidRPr="00D54C3E">
        <w:rPr>
          <w:sz w:val="22"/>
          <w:szCs w:val="22"/>
        </w:rPr>
        <w:t xml:space="preserve">also </w:t>
      </w:r>
      <w:r w:rsidRPr="00D54C3E">
        <w:rPr>
          <w:sz w:val="22"/>
          <w:szCs w:val="22"/>
        </w:rPr>
        <w:t xml:space="preserve">posted on the Commission’s Internet site at </w:t>
      </w:r>
      <w:hyperlink r:id="rId12" w:history="1">
        <w:r w:rsidRPr="00D54C3E">
          <w:rPr>
            <w:color w:val="0000FF"/>
            <w:sz w:val="22"/>
            <w:szCs w:val="22"/>
            <w:u w:val="single"/>
          </w:rPr>
          <w:t>http://www.usitc.gov/research_and_analysis/What_We_ Are_Working_On.htm</w:t>
        </w:r>
      </w:hyperlink>
      <w:r w:rsidRPr="00D54C3E">
        <w:rPr>
          <w:sz w:val="22"/>
          <w:szCs w:val="22"/>
        </w:rPr>
        <w:t>.</w:t>
      </w:r>
      <w:r w:rsidR="00C95584" w:rsidRPr="00D54C3E">
        <w:rPr>
          <w:sz w:val="22"/>
          <w:szCs w:val="22"/>
        </w:rPr>
        <w:t xml:space="preserve"> </w:t>
      </w:r>
      <w:r w:rsidR="005C2E0D">
        <w:rPr>
          <w:sz w:val="22"/>
          <w:szCs w:val="22"/>
        </w:rPr>
        <w:t>One public comment has</w:t>
      </w:r>
      <w:r w:rsidR="00C95584" w:rsidRPr="00D54C3E">
        <w:rPr>
          <w:sz w:val="22"/>
          <w:szCs w:val="22"/>
        </w:rPr>
        <w:t xml:space="preserve"> been received to date.</w:t>
      </w:r>
    </w:p>
    <w:p w:rsidR="00AF35D2" w:rsidRPr="00D54C3E" w:rsidRDefault="00AF35D2" w:rsidP="00064AEC">
      <w:pPr>
        <w:pStyle w:val="NoSpacing"/>
        <w:rPr>
          <w:sz w:val="22"/>
          <w:szCs w:val="22"/>
          <w:highlight w:val="white"/>
        </w:rPr>
      </w:pPr>
    </w:p>
    <w:p w:rsidR="00084374" w:rsidRPr="00D54C3E" w:rsidRDefault="00311784" w:rsidP="00084374">
      <w:pPr>
        <w:pStyle w:val="NoSpacing"/>
        <w:rPr>
          <w:sz w:val="22"/>
          <w:szCs w:val="22"/>
        </w:rPr>
      </w:pPr>
      <w:r w:rsidRPr="00D54C3E">
        <w:rPr>
          <w:sz w:val="22"/>
          <w:szCs w:val="22"/>
        </w:rPr>
        <w:t xml:space="preserve">Commission staff field </w:t>
      </w:r>
      <w:r w:rsidR="00F63C38">
        <w:rPr>
          <w:sz w:val="22"/>
          <w:szCs w:val="22"/>
        </w:rPr>
        <w:t>test</w:t>
      </w:r>
      <w:r w:rsidR="00105856">
        <w:rPr>
          <w:sz w:val="22"/>
          <w:szCs w:val="22"/>
        </w:rPr>
        <w:t>ed</w:t>
      </w:r>
      <w:r w:rsidR="00920C04" w:rsidRPr="00D54C3E">
        <w:rPr>
          <w:sz w:val="22"/>
          <w:szCs w:val="22"/>
        </w:rPr>
        <w:t xml:space="preserve"> the questionnaire </w:t>
      </w:r>
      <w:r w:rsidRPr="00D54C3E">
        <w:rPr>
          <w:sz w:val="22"/>
          <w:szCs w:val="22"/>
        </w:rPr>
        <w:t>with regard to</w:t>
      </w:r>
      <w:r w:rsidR="00920C04" w:rsidRPr="00D54C3E">
        <w:rPr>
          <w:sz w:val="22"/>
          <w:szCs w:val="22"/>
        </w:rPr>
        <w:t xml:space="preserve"> </w:t>
      </w:r>
      <w:r w:rsidR="00AF35D2" w:rsidRPr="00D54C3E">
        <w:rPr>
          <w:sz w:val="22"/>
          <w:szCs w:val="22"/>
          <w:highlight w:val="white"/>
        </w:rPr>
        <w:t xml:space="preserve">the availability of data, reporting burden, product coverage and definitions, clarity of instructions, disclosure, and reporting format. </w:t>
      </w:r>
      <w:r w:rsidR="00187CEF">
        <w:rPr>
          <w:sz w:val="22"/>
          <w:szCs w:val="22"/>
        </w:rPr>
        <w:t>A</w:t>
      </w:r>
      <w:r w:rsidR="00187CEF" w:rsidRPr="00D54C3E">
        <w:rPr>
          <w:sz w:val="22"/>
          <w:szCs w:val="22"/>
        </w:rPr>
        <w:t>ll field testers received copies of the draft questionnaire</w:t>
      </w:r>
      <w:r w:rsidR="00187CEF">
        <w:rPr>
          <w:sz w:val="22"/>
          <w:szCs w:val="22"/>
        </w:rPr>
        <w:t>. Commission staff consulted</w:t>
      </w:r>
      <w:r w:rsidR="00187CEF" w:rsidRPr="00D54C3E" w:rsidDel="00105856">
        <w:rPr>
          <w:sz w:val="22"/>
          <w:szCs w:val="22"/>
        </w:rPr>
        <w:t xml:space="preserve"> </w:t>
      </w:r>
      <w:r w:rsidR="00A66622">
        <w:rPr>
          <w:sz w:val="22"/>
          <w:szCs w:val="22"/>
        </w:rPr>
        <w:t>a representative from one company</w:t>
      </w:r>
      <w:r w:rsidR="00187CEF">
        <w:rPr>
          <w:sz w:val="22"/>
          <w:szCs w:val="22"/>
        </w:rPr>
        <w:t xml:space="preserve"> or </w:t>
      </w:r>
      <w:r w:rsidR="00084374" w:rsidRPr="00D54C3E">
        <w:rPr>
          <w:sz w:val="22"/>
          <w:szCs w:val="22"/>
        </w:rPr>
        <w:t xml:space="preserve">association </w:t>
      </w:r>
      <w:r w:rsidR="00105856">
        <w:rPr>
          <w:sz w:val="22"/>
          <w:szCs w:val="22"/>
        </w:rPr>
        <w:t xml:space="preserve">in </w:t>
      </w:r>
      <w:r w:rsidR="00A66622">
        <w:rPr>
          <w:sz w:val="22"/>
          <w:szCs w:val="22"/>
        </w:rPr>
        <w:t xml:space="preserve">each of </w:t>
      </w:r>
      <w:r w:rsidR="00105856">
        <w:rPr>
          <w:sz w:val="22"/>
          <w:szCs w:val="22"/>
        </w:rPr>
        <w:t>the following industries</w:t>
      </w:r>
      <w:r w:rsidR="00187CEF">
        <w:rPr>
          <w:sz w:val="22"/>
          <w:szCs w:val="22"/>
        </w:rPr>
        <w:t>:</w:t>
      </w:r>
      <w:bookmarkStart w:id="0" w:name="_GoBack"/>
      <w:bookmarkEnd w:id="0"/>
    </w:p>
    <w:p w:rsidR="00084374" w:rsidRDefault="00084374" w:rsidP="00084374">
      <w:pPr>
        <w:pStyle w:val="NoSpacing"/>
        <w:rPr>
          <w:sz w:val="22"/>
          <w:szCs w:val="22"/>
        </w:rPr>
      </w:pPr>
    </w:p>
    <w:p w:rsidR="00105856" w:rsidRDefault="00105856" w:rsidP="00C5264A">
      <w:pPr>
        <w:pStyle w:val="ListParagraph"/>
        <w:numPr>
          <w:ilvl w:val="0"/>
          <w:numId w:val="12"/>
        </w:numPr>
        <w:rPr>
          <w:szCs w:val="22"/>
        </w:rPr>
      </w:pPr>
      <w:r>
        <w:rPr>
          <w:szCs w:val="22"/>
        </w:rPr>
        <w:t>Food and agricultural products</w:t>
      </w:r>
    </w:p>
    <w:p w:rsidR="00105856" w:rsidRDefault="00105856" w:rsidP="00C5264A">
      <w:pPr>
        <w:pStyle w:val="ListParagraph"/>
        <w:numPr>
          <w:ilvl w:val="0"/>
          <w:numId w:val="12"/>
        </w:numPr>
        <w:rPr>
          <w:szCs w:val="22"/>
        </w:rPr>
      </w:pPr>
      <w:r>
        <w:rPr>
          <w:szCs w:val="22"/>
        </w:rPr>
        <w:t>Retail services</w:t>
      </w:r>
    </w:p>
    <w:p w:rsidR="00105856" w:rsidRDefault="00105856" w:rsidP="00C5264A">
      <w:pPr>
        <w:pStyle w:val="ListParagraph"/>
        <w:numPr>
          <w:ilvl w:val="0"/>
          <w:numId w:val="12"/>
        </w:numPr>
        <w:rPr>
          <w:szCs w:val="22"/>
        </w:rPr>
      </w:pPr>
      <w:r>
        <w:rPr>
          <w:szCs w:val="22"/>
        </w:rPr>
        <w:t>Computer services</w:t>
      </w:r>
    </w:p>
    <w:p w:rsidR="00105856" w:rsidRDefault="00105856" w:rsidP="00C5264A">
      <w:pPr>
        <w:pStyle w:val="ListParagraph"/>
        <w:numPr>
          <w:ilvl w:val="0"/>
          <w:numId w:val="12"/>
        </w:numPr>
        <w:rPr>
          <w:szCs w:val="22"/>
        </w:rPr>
      </w:pPr>
      <w:r>
        <w:rPr>
          <w:szCs w:val="22"/>
        </w:rPr>
        <w:t xml:space="preserve">Hide, skin, and leather </w:t>
      </w:r>
      <w:r w:rsidR="00C7621F">
        <w:rPr>
          <w:szCs w:val="22"/>
        </w:rPr>
        <w:t>products</w:t>
      </w:r>
    </w:p>
    <w:p w:rsidR="00105856" w:rsidRDefault="00105856" w:rsidP="00C5264A">
      <w:pPr>
        <w:pStyle w:val="ListParagraph"/>
        <w:numPr>
          <w:ilvl w:val="0"/>
          <w:numId w:val="12"/>
        </w:numPr>
        <w:rPr>
          <w:szCs w:val="22"/>
        </w:rPr>
      </w:pPr>
      <w:r>
        <w:rPr>
          <w:szCs w:val="22"/>
        </w:rPr>
        <w:t>Solar electricity</w:t>
      </w:r>
    </w:p>
    <w:p w:rsidR="00105856" w:rsidRDefault="00105856" w:rsidP="00C5264A">
      <w:pPr>
        <w:pStyle w:val="ListParagraph"/>
        <w:numPr>
          <w:ilvl w:val="0"/>
          <w:numId w:val="12"/>
        </w:numPr>
        <w:rPr>
          <w:szCs w:val="22"/>
        </w:rPr>
      </w:pPr>
      <w:r>
        <w:rPr>
          <w:szCs w:val="22"/>
        </w:rPr>
        <w:t>Biotechnology</w:t>
      </w:r>
    </w:p>
    <w:p w:rsidR="00105856" w:rsidRDefault="00105856" w:rsidP="00C5264A">
      <w:pPr>
        <w:pStyle w:val="ListParagraph"/>
        <w:numPr>
          <w:ilvl w:val="0"/>
          <w:numId w:val="12"/>
        </w:numPr>
        <w:rPr>
          <w:szCs w:val="22"/>
        </w:rPr>
      </w:pPr>
      <w:r>
        <w:rPr>
          <w:szCs w:val="22"/>
        </w:rPr>
        <w:t>Copyright-based industries</w:t>
      </w:r>
    </w:p>
    <w:p w:rsidR="00105856" w:rsidRDefault="00105856" w:rsidP="00C5264A">
      <w:pPr>
        <w:pStyle w:val="ListParagraph"/>
        <w:numPr>
          <w:ilvl w:val="0"/>
          <w:numId w:val="12"/>
        </w:numPr>
        <w:rPr>
          <w:szCs w:val="22"/>
        </w:rPr>
      </w:pPr>
      <w:r>
        <w:rPr>
          <w:szCs w:val="22"/>
        </w:rPr>
        <w:t>Pharmaceuticals</w:t>
      </w:r>
    </w:p>
    <w:p w:rsidR="00105856" w:rsidRPr="00105856" w:rsidRDefault="00105856" w:rsidP="00C5264A">
      <w:pPr>
        <w:pStyle w:val="ListParagraph"/>
        <w:numPr>
          <w:ilvl w:val="0"/>
          <w:numId w:val="12"/>
        </w:numPr>
        <w:rPr>
          <w:szCs w:val="22"/>
        </w:rPr>
      </w:pPr>
      <w:r>
        <w:rPr>
          <w:szCs w:val="22"/>
        </w:rPr>
        <w:t>Banking services</w:t>
      </w:r>
    </w:p>
    <w:p w:rsidR="00105856" w:rsidRPr="00C5264A" w:rsidRDefault="00105856" w:rsidP="00F63C38">
      <w:pPr>
        <w:ind w:left="360"/>
        <w:rPr>
          <w:sz w:val="22"/>
          <w:szCs w:val="22"/>
        </w:rPr>
      </w:pPr>
    </w:p>
    <w:p w:rsidR="00A66622" w:rsidRDefault="00A66622" w:rsidP="00C5264A">
      <w:pPr>
        <w:rPr>
          <w:sz w:val="22"/>
          <w:szCs w:val="22"/>
        </w:rPr>
      </w:pPr>
      <w:r w:rsidRPr="00C5264A">
        <w:rPr>
          <w:sz w:val="22"/>
          <w:szCs w:val="22"/>
        </w:rPr>
        <w:t>Because of</w:t>
      </w:r>
      <w:r>
        <w:rPr>
          <w:sz w:val="22"/>
          <w:szCs w:val="22"/>
        </w:rPr>
        <w:t xml:space="preserve"> concerns raised by individual companies and suggestions received by other government agencies, the names and contact information for companies and associations that field tested the questionnaire have not been reported here.</w:t>
      </w:r>
    </w:p>
    <w:p w:rsidR="004A7524" w:rsidRDefault="004A7524" w:rsidP="00C5264A">
      <w:pPr>
        <w:rPr>
          <w:sz w:val="22"/>
          <w:szCs w:val="22"/>
        </w:rPr>
      </w:pPr>
    </w:p>
    <w:p w:rsidR="004A7524" w:rsidRDefault="004A7524" w:rsidP="00C5264A">
      <w:pPr>
        <w:rPr>
          <w:sz w:val="22"/>
          <w:szCs w:val="22"/>
        </w:rPr>
      </w:pPr>
      <w:r>
        <w:rPr>
          <w:sz w:val="22"/>
          <w:szCs w:val="22"/>
        </w:rPr>
        <w:t>The table below provides a record of all changes made to the questionnaire since the draft was published for public comment. The table includes changes made in response to public comments, field testers’ feedback, and Commission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b/>
                <w:sz w:val="18"/>
                <w:szCs w:val="18"/>
              </w:rPr>
            </w:pPr>
            <w:r>
              <w:rPr>
                <w:rFonts w:ascii="Arial" w:hAnsi="Arial" w:cs="Arial"/>
                <w:b/>
                <w:sz w:val="18"/>
                <w:szCs w:val="18"/>
              </w:rPr>
              <w:t>Comments/Suggestions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b/>
                <w:sz w:val="18"/>
                <w:szCs w:val="18"/>
              </w:rPr>
            </w:pPr>
            <w:r>
              <w:rPr>
                <w:rFonts w:ascii="Arial" w:hAnsi="Arial" w:cs="Arial"/>
                <w:b/>
                <w:sz w:val="18"/>
                <w:szCs w:val="18"/>
              </w:rPr>
              <w:t>Response</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rsidP="005371DD">
            <w:pPr>
              <w:spacing w:after="200" w:line="276" w:lineRule="auto"/>
              <w:rPr>
                <w:rFonts w:ascii="Arial" w:eastAsiaTheme="minorEastAsia" w:hAnsi="Arial" w:cs="Arial"/>
                <w:sz w:val="18"/>
                <w:szCs w:val="18"/>
              </w:rPr>
            </w:pPr>
            <w:r>
              <w:rPr>
                <w:rFonts w:ascii="Arial" w:hAnsi="Arial" w:cs="Arial"/>
                <w:sz w:val="18"/>
                <w:szCs w:val="18"/>
              </w:rPr>
              <w:t>Section 7, which is intended to address the impact of prohibitive barriers to trade, does not provide adequate opportunity for industries that are completely barred from exporting products to India to report the effects of those measures.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Added a question that asks firms that have no market access how likely they would be to enter the Indian market if the prohibitive barrier were removed. </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rsidP="005371DD">
            <w:pPr>
              <w:spacing w:after="200" w:line="276" w:lineRule="auto"/>
              <w:rPr>
                <w:rFonts w:ascii="Arial" w:eastAsiaTheme="minorEastAsia" w:hAnsi="Arial" w:cs="Arial"/>
                <w:sz w:val="18"/>
                <w:szCs w:val="18"/>
              </w:rPr>
            </w:pPr>
            <w:r>
              <w:rPr>
                <w:rFonts w:ascii="Arial" w:hAnsi="Arial" w:cs="Arial"/>
                <w:sz w:val="18"/>
                <w:szCs w:val="18"/>
              </w:rPr>
              <w:t xml:space="preserve">Question 6.4, which asks about firms’ responses to Indian regulatory barriers, does not ask for a response from firms that have faced an unchanged barrier, only from firms that have faced an increase in barriers since 2007. </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Incorporated suggestion by modifying the question to ask for responses from firms that have faced any barrier during the 2007-13 </w:t>
            </w:r>
            <w:proofErr w:type="gramStart"/>
            <w:r>
              <w:rPr>
                <w:rFonts w:ascii="Arial" w:hAnsi="Arial" w:cs="Arial"/>
                <w:sz w:val="18"/>
                <w:szCs w:val="18"/>
              </w:rPr>
              <w:t>period</w:t>
            </w:r>
            <w:proofErr w:type="gramEnd"/>
            <w:r>
              <w:rPr>
                <w:rFonts w:ascii="Arial" w:hAnsi="Arial" w:cs="Arial"/>
                <w:sz w:val="18"/>
                <w:szCs w:val="18"/>
              </w:rPr>
              <w:t>, not just those that have faced increasing barriers.</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The term “sales” is not commonly used as a measure of firm performance in the financial services industry.</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Expanded definition of sales throughout the questionnaire to state that these firms should report “revenue, net interest margin, or similar measure instead of sales.”</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Question asking for total global sales is unnecessarily burdensome.</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Deleted question and will instead rely on the number of employees as a statistical control.</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rsidP="005371DD">
            <w:pPr>
              <w:spacing w:after="200" w:line="276" w:lineRule="auto"/>
              <w:rPr>
                <w:rFonts w:ascii="Arial" w:eastAsiaTheme="minorEastAsia" w:hAnsi="Arial" w:cs="Arial"/>
                <w:sz w:val="18"/>
                <w:szCs w:val="18"/>
              </w:rPr>
            </w:pPr>
            <w:r>
              <w:rPr>
                <w:rFonts w:ascii="Arial" w:hAnsi="Arial" w:cs="Arial"/>
                <w:sz w:val="18"/>
                <w:szCs w:val="18"/>
              </w:rPr>
              <w:t>Questions asking about joint venture operations and about holding companies tend to result in a number of calls and emails from re</w:t>
            </w:r>
            <w:r w:rsidR="005371DD">
              <w:rPr>
                <w:rFonts w:ascii="Arial" w:hAnsi="Arial" w:cs="Arial"/>
                <w:sz w:val="18"/>
                <w:szCs w:val="18"/>
              </w:rPr>
              <w:t>spondents seeking clarification</w:t>
            </w:r>
            <w:r>
              <w:rPr>
                <w:rFonts w:ascii="Arial" w:hAnsi="Arial" w:cs="Arial"/>
                <w:sz w:val="18"/>
                <w:szCs w:val="18"/>
              </w:rPr>
              <w:t>.</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Removed question about joint ventures and changed question about holding companies to instead ask whether the respondent is a parent company operating in the U.S. </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rsidP="005371DD">
            <w:pPr>
              <w:spacing w:after="200" w:line="276" w:lineRule="auto"/>
              <w:rPr>
                <w:rFonts w:ascii="Arial" w:eastAsiaTheme="minorEastAsia" w:hAnsi="Arial" w:cs="Arial"/>
                <w:sz w:val="18"/>
                <w:szCs w:val="18"/>
              </w:rPr>
            </w:pPr>
            <w:r>
              <w:rPr>
                <w:rFonts w:ascii="Arial" w:hAnsi="Arial" w:cs="Arial"/>
                <w:sz w:val="18"/>
                <w:szCs w:val="18"/>
              </w:rPr>
              <w:t>Firms who believe the questionnaire does not apply to them often call USITC staff asking w</w:t>
            </w:r>
            <w:r w:rsidR="005371DD">
              <w:rPr>
                <w:rFonts w:ascii="Arial" w:hAnsi="Arial" w:cs="Arial"/>
                <w:sz w:val="18"/>
                <w:szCs w:val="18"/>
              </w:rPr>
              <w:t>hy they are required to respond</w:t>
            </w:r>
            <w:r>
              <w:rPr>
                <w:rFonts w:ascii="Arial" w:hAnsi="Arial" w:cs="Arial"/>
                <w:sz w:val="18"/>
                <w:szCs w:val="18"/>
              </w:rPr>
              <w:t>.</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Created a table on the first page that lists possible scenarios and which sections that firm is required to respond to. (For example, for firms with no international activity, the table states that the survey asks for “limited information about your company so we can ensure our survey accurately represents your industry.”)</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Confidentiality language in the certification section (Section 9) does not allow the USITC the flexibility to conduct internal evaluation of statistical methods used in questionnaire collection and analysis, which may occur after the conclusion of an investigation.</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In consultation with General Counsel’s office, adjusted the language slightly, most notably to add “internal evaluation” to the list of ways the questionnaire response may be used.</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Typos in items 2 and 3 of question 2 (add “in”)</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Implemented</w:t>
            </w:r>
            <w:r w:rsidR="005371DD">
              <w:rPr>
                <w:rFonts w:ascii="Arial" w:hAnsi="Arial" w:cs="Arial"/>
                <w:sz w:val="18"/>
                <w:szCs w:val="18"/>
              </w:rPr>
              <w:t>.</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Firms may have difficulty listing the exact number of establishments in industries where employees may work from home.</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Question 2.4 revised to ask only for presence in each state rather than number of establishment.  The definition of establishment was extended to exclude employees working from home as an establishment.</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Corruption should be added to the list of policies in Question3.3.</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Corruption is already listed under the general market conditions in question 6.5. </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The questions requesting the most affected product does not address the fact that multiple products may be affected by a specific regulation, or </w:t>
            </w:r>
            <w:proofErr w:type="gramStart"/>
            <w:r>
              <w:rPr>
                <w:rFonts w:ascii="Arial" w:hAnsi="Arial" w:cs="Arial"/>
                <w:sz w:val="18"/>
                <w:szCs w:val="18"/>
              </w:rPr>
              <w:t>that restrictions</w:t>
            </w:r>
            <w:proofErr w:type="gramEnd"/>
            <w:r>
              <w:rPr>
                <w:rFonts w:ascii="Arial" w:hAnsi="Arial" w:cs="Arial"/>
                <w:sz w:val="18"/>
                <w:szCs w:val="18"/>
              </w:rPr>
              <w:t xml:space="preserve"> on a given product affect the sale of affiliated products.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Total exports to India have been requested by the questionnaire, which will capture any broader effects of discriminatory policies. The most affected product is requested in order to estimate the effect of policies on the most affected products, and potentially to compare the most affected products to all products exported or sold via foreign affiliates.</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Draft regulations create uncertainty and may affect business confidence or operations.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Two policy questions that ask about the effect of regulatory uncertainty were added to Questions 3.3, 4.2, 5.2</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Price controls can be problematic for firms and should be included in the list of challenges.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Price controls were added to Question 6.5, the question regarding the general business environment in India.</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The question requesting lost sales does not make it clear that only lost sales due to discriminatory policies are requested; it should be clarified that lost sales due to market conditions should not be included.</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Language was clarified.</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It is difficult to find sectors in the drop down list – should be alphabetized or broken down into sectors.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The drop down box will be separated into sector groupings which will each be alphabetized.</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Provide an option in Question 6.4 of leaving the Indian market altogether.</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Implemented.</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Requested an additional question that permits firms to describe any other effects that could not be directly quantified.</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Additional question provided after Question 6.3 with free response area.</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Certain investment policies were not covered, including limits on number of licenses and geographical expansion with the country.</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Implemented by adding additional prompts in Question 5.2.</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Provide additional language on confidentiality. </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No change made. The Commission uses standard language based on statutes, court cases, and existing Commission rules and regulations.  </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Additional issues proposed for general market conditions questions, including intellectual property protection, discriminatory measures, and additional charges or fees.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The issues raised were already largely included in Questions 3.3, 4.2, and 5.2.  “Bureaucratic or regulatory delays” in Question 6.5 was broadened to include red tape more generally.</w:t>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The wording of section 7 is unclear, and seems to discuss only prohibited items rather than highly restrictive barriers.</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tabs>
                <w:tab w:val="left" w:pos="1386"/>
              </w:tabs>
              <w:spacing w:after="200" w:line="276" w:lineRule="auto"/>
              <w:rPr>
                <w:rFonts w:ascii="Arial" w:eastAsiaTheme="minorEastAsia" w:hAnsi="Arial" w:cs="Arial"/>
                <w:sz w:val="18"/>
                <w:szCs w:val="18"/>
              </w:rPr>
            </w:pPr>
            <w:r>
              <w:rPr>
                <w:rFonts w:ascii="Arial" w:hAnsi="Arial" w:cs="Arial"/>
                <w:sz w:val="18"/>
                <w:szCs w:val="18"/>
              </w:rPr>
              <w:t>Language clarified.</w:t>
            </w:r>
            <w:r>
              <w:rPr>
                <w:rFonts w:ascii="Arial" w:hAnsi="Arial" w:cs="Arial"/>
                <w:sz w:val="18"/>
                <w:szCs w:val="18"/>
              </w:rPr>
              <w:tab/>
            </w:r>
          </w:p>
        </w:tc>
      </w:tr>
      <w:tr w:rsidR="004A7524" w:rsidTr="004A7524">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 xml:space="preserve">Question 7.3 should be augmented to include several additional categories. </w:t>
            </w:r>
          </w:p>
        </w:tc>
        <w:tc>
          <w:tcPr>
            <w:tcW w:w="4788" w:type="dxa"/>
            <w:tcBorders>
              <w:top w:val="single" w:sz="4" w:space="0" w:color="auto"/>
              <w:left w:val="single" w:sz="4" w:space="0" w:color="auto"/>
              <w:bottom w:val="single" w:sz="4" w:space="0" w:color="auto"/>
              <w:right w:val="single" w:sz="4" w:space="0" w:color="auto"/>
            </w:tcBorders>
            <w:hideMark/>
          </w:tcPr>
          <w:p w:rsidR="004A7524" w:rsidRDefault="004A7524">
            <w:pPr>
              <w:spacing w:after="200" w:line="276" w:lineRule="auto"/>
              <w:rPr>
                <w:rFonts w:ascii="Arial" w:eastAsiaTheme="minorEastAsia" w:hAnsi="Arial" w:cs="Arial"/>
                <w:sz w:val="18"/>
                <w:szCs w:val="18"/>
              </w:rPr>
            </w:pPr>
            <w:r>
              <w:rPr>
                <w:rFonts w:ascii="Arial" w:hAnsi="Arial" w:cs="Arial"/>
                <w:sz w:val="18"/>
                <w:szCs w:val="18"/>
              </w:rPr>
              <w:t>Most proposed categories were either already included or were too industry-specific to be included in a general questionnaire. One “other” category was added.</w:t>
            </w:r>
          </w:p>
        </w:tc>
      </w:tr>
    </w:tbl>
    <w:p w:rsidR="004A7524" w:rsidRPr="00C5264A" w:rsidRDefault="004A7524" w:rsidP="00C5264A">
      <w:pPr>
        <w:rPr>
          <w:sz w:val="22"/>
          <w:szCs w:val="22"/>
        </w:rPr>
      </w:pPr>
    </w:p>
    <w:p w:rsidR="00A66622" w:rsidRPr="00C5264A" w:rsidRDefault="00A66622" w:rsidP="00F63C38">
      <w:pPr>
        <w:ind w:left="360"/>
        <w:rPr>
          <w:sz w:val="22"/>
          <w:szCs w:val="22"/>
        </w:rPr>
      </w:pPr>
    </w:p>
    <w:p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Payments or gifts</w:t>
      </w:r>
    </w:p>
    <w:p w:rsidR="007A00F5" w:rsidRDefault="00AF35D2" w:rsidP="00064AEC">
      <w:pPr>
        <w:pStyle w:val="NoSpacing"/>
        <w:rPr>
          <w:sz w:val="22"/>
          <w:szCs w:val="22"/>
          <w:highlight w:val="white"/>
        </w:rPr>
      </w:pPr>
      <w:r w:rsidRPr="00D54C3E">
        <w:rPr>
          <w:sz w:val="22"/>
          <w:szCs w:val="22"/>
          <w:highlight w:val="white"/>
        </w:rPr>
        <w:t>Not applicable. Questionnaire recipients will not be provided with any payments or gifts for their responses.</w:t>
      </w:r>
    </w:p>
    <w:p w:rsidR="007A00F5" w:rsidRPr="00D54C3E" w:rsidRDefault="007A00F5" w:rsidP="00064AEC">
      <w:pPr>
        <w:pStyle w:val="NoSpacing"/>
        <w:rPr>
          <w:sz w:val="22"/>
          <w:szCs w:val="22"/>
          <w:highlight w:val="white"/>
        </w:rPr>
      </w:pPr>
    </w:p>
    <w:p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Assurances of confidentiality</w:t>
      </w:r>
    </w:p>
    <w:p w:rsidR="00905177" w:rsidRPr="00D54C3E" w:rsidRDefault="00AF35D2" w:rsidP="00064AEC">
      <w:pPr>
        <w:pStyle w:val="NoSpacing"/>
        <w:rPr>
          <w:sz w:val="22"/>
          <w:szCs w:val="22"/>
        </w:rPr>
      </w:pPr>
      <w:r w:rsidRPr="00D54C3E">
        <w:rPr>
          <w:sz w:val="22"/>
          <w:szCs w:val="22"/>
          <w:highlight w:val="white"/>
        </w:rPr>
        <w:t xml:space="preserve">On </w:t>
      </w:r>
      <w:r w:rsidR="00B24293" w:rsidRPr="00D54C3E">
        <w:rPr>
          <w:sz w:val="22"/>
          <w:szCs w:val="22"/>
        </w:rPr>
        <w:t>the first page of</w:t>
      </w:r>
      <w:r w:rsidRPr="00D54C3E">
        <w:rPr>
          <w:sz w:val="22"/>
          <w:szCs w:val="22"/>
        </w:rPr>
        <w:t xml:space="preserve"> the questionnaire, the Commission provides recipients with an assurance of confidentiality, indicating that: “The Commission has designated as “confidential business information” the information you provide in the response to this questionnaire</w:t>
      </w:r>
      <w:r w:rsidR="00297BFF" w:rsidRPr="00D54C3E">
        <w:rPr>
          <w:sz w:val="22"/>
          <w:szCs w:val="22"/>
        </w:rPr>
        <w:t>,</w:t>
      </w:r>
      <w:r w:rsidRPr="00D54C3E">
        <w:rPr>
          <w:sz w:val="22"/>
          <w:szCs w:val="22"/>
        </w:rPr>
        <w:t xml:space="preserve"> to the extent that such information would reveal the operations of your firm and is not otherwise available to</w:t>
      </w:r>
      <w:r w:rsidR="0060645C" w:rsidRPr="00D54C3E">
        <w:rPr>
          <w:sz w:val="22"/>
          <w:szCs w:val="22"/>
        </w:rPr>
        <w:t xml:space="preserve"> </w:t>
      </w:r>
      <w:r w:rsidRPr="00D54C3E">
        <w:rPr>
          <w:sz w:val="22"/>
          <w:szCs w:val="22"/>
        </w:rPr>
        <w:t xml:space="preserve">the public. The </w:t>
      </w:r>
      <w:r w:rsidR="00905177" w:rsidRPr="00D54C3E">
        <w:rPr>
          <w:sz w:val="22"/>
          <w:szCs w:val="22"/>
        </w:rPr>
        <w:t>C</w:t>
      </w:r>
      <w:r w:rsidRPr="00D54C3E">
        <w:rPr>
          <w:sz w:val="22"/>
          <w:szCs w:val="22"/>
        </w:rPr>
        <w:t xml:space="preserve">ommission will not disclose such confidential business information </w:t>
      </w:r>
      <w:r w:rsidR="00297BFF" w:rsidRPr="00D54C3E">
        <w:rPr>
          <w:sz w:val="22"/>
          <w:szCs w:val="22"/>
        </w:rPr>
        <w:t xml:space="preserve">except as provided for in section </w:t>
      </w:r>
      <w:r w:rsidR="00F63C38" w:rsidRPr="008B1254">
        <w:rPr>
          <w:sz w:val="22"/>
          <w:szCs w:val="22"/>
        </w:rPr>
        <w:t>9</w:t>
      </w:r>
      <w:r w:rsidR="00297BFF" w:rsidRPr="00D54C3E">
        <w:rPr>
          <w:sz w:val="22"/>
          <w:szCs w:val="22"/>
        </w:rPr>
        <w:t xml:space="preserve"> of this questionnaire</w:t>
      </w:r>
      <w:r w:rsidRPr="00D54C3E">
        <w:rPr>
          <w:sz w:val="22"/>
          <w:szCs w:val="22"/>
        </w:rPr>
        <w:t>. Information received in response to this questionnaire will be aggregated with information from other questionnaire responses and will not be published in a manner that would reve</w:t>
      </w:r>
      <w:r w:rsidR="002D61B0" w:rsidRPr="00D54C3E">
        <w:rPr>
          <w:sz w:val="22"/>
          <w:szCs w:val="22"/>
        </w:rPr>
        <w:t>al the operations of your firm.</w:t>
      </w:r>
      <w:r w:rsidR="00905177" w:rsidRPr="00D54C3E">
        <w:rPr>
          <w:sz w:val="22"/>
          <w:szCs w:val="22"/>
        </w:rPr>
        <w:t>”</w:t>
      </w:r>
    </w:p>
    <w:p w:rsidR="00905177" w:rsidRPr="00D54C3E" w:rsidRDefault="00905177" w:rsidP="00064AEC">
      <w:pPr>
        <w:pStyle w:val="NoSpacing"/>
        <w:rPr>
          <w:sz w:val="22"/>
          <w:szCs w:val="22"/>
        </w:rPr>
      </w:pPr>
    </w:p>
    <w:p w:rsidR="00AF35D2" w:rsidRPr="00D54C3E" w:rsidRDefault="00905177" w:rsidP="00064AEC">
      <w:pPr>
        <w:pStyle w:val="NoSpacing"/>
        <w:rPr>
          <w:sz w:val="22"/>
          <w:szCs w:val="22"/>
        </w:rPr>
      </w:pPr>
      <w:r w:rsidRPr="00D54C3E">
        <w:rPr>
          <w:sz w:val="22"/>
          <w:szCs w:val="22"/>
        </w:rPr>
        <w:t xml:space="preserve">On page </w:t>
      </w:r>
      <w:r w:rsidR="00F63C38" w:rsidRPr="008B1254">
        <w:rPr>
          <w:sz w:val="22"/>
          <w:szCs w:val="22"/>
        </w:rPr>
        <w:t>2</w:t>
      </w:r>
      <w:r w:rsidR="00B0644F" w:rsidRPr="008B1254">
        <w:rPr>
          <w:sz w:val="22"/>
          <w:szCs w:val="22"/>
        </w:rPr>
        <w:t>8</w:t>
      </w:r>
      <w:r w:rsidR="00297BFF" w:rsidRPr="00D54C3E">
        <w:rPr>
          <w:sz w:val="22"/>
          <w:szCs w:val="22"/>
        </w:rPr>
        <w:t xml:space="preserve"> </w:t>
      </w:r>
      <w:r w:rsidRPr="00D54C3E">
        <w:rPr>
          <w:sz w:val="22"/>
          <w:szCs w:val="22"/>
        </w:rPr>
        <w:t>of the questionnaire, the Commission states that: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The undersigned acknowledges that information submitted in this questionnaire response and throughout this investigation may be used by the USITC, its employees, and contract personnel w</w:t>
      </w:r>
      <w:r w:rsidR="002F7E78" w:rsidRPr="00D54C3E">
        <w:rPr>
          <w:sz w:val="22"/>
          <w:szCs w:val="22"/>
        </w:rPr>
        <w:t>h</w:t>
      </w:r>
      <w:r w:rsidRPr="00D54C3E">
        <w:rPr>
          <w:sz w:val="22"/>
          <w:szCs w:val="22"/>
        </w:rPr>
        <w:t>o are acting in the capacity of USITC employees, for the purposes o</w:t>
      </w:r>
      <w:r w:rsidR="00297BFF" w:rsidRPr="00D54C3E">
        <w:rPr>
          <w:sz w:val="22"/>
          <w:szCs w:val="22"/>
        </w:rPr>
        <w:t>f</w:t>
      </w:r>
      <w:r w:rsidRPr="00D54C3E">
        <w:rPr>
          <w:sz w:val="22"/>
          <w:szCs w:val="22"/>
        </w:rPr>
        <w:t xml:space="preserve"> developing or maintaining the records of this investigation or related proceedings for which this information is</w:t>
      </w:r>
      <w:r w:rsidR="00BB3444" w:rsidRPr="00D54C3E">
        <w:rPr>
          <w:sz w:val="22"/>
          <w:szCs w:val="22"/>
        </w:rPr>
        <w:t xml:space="preserve"> submitted, or in internal audi</w:t>
      </w:r>
      <w:r w:rsidRPr="00D54C3E">
        <w:rPr>
          <w:sz w:val="22"/>
          <w:szCs w:val="22"/>
        </w:rPr>
        <w:t>ts and in investigations relating to the programs and operations of the USITC pursuant</w:t>
      </w:r>
      <w:r w:rsidR="00BB3444" w:rsidRPr="00D54C3E">
        <w:rPr>
          <w:sz w:val="22"/>
          <w:szCs w:val="22"/>
        </w:rPr>
        <w:t xml:space="preserve"> to 5 U.S.C. Appendix 3.” The </w:t>
      </w:r>
      <w:r w:rsidR="00F63C38">
        <w:rPr>
          <w:sz w:val="22"/>
          <w:szCs w:val="22"/>
        </w:rPr>
        <w:t>questionnaire also notes that t</w:t>
      </w:r>
      <w:r w:rsidR="00BB3444" w:rsidRPr="00D54C3E">
        <w:rPr>
          <w:sz w:val="22"/>
          <w:szCs w:val="22"/>
        </w:rPr>
        <w:t>he</w:t>
      </w:r>
      <w:r w:rsidR="002F7E78" w:rsidRPr="00D54C3E">
        <w:rPr>
          <w:sz w:val="22"/>
          <w:szCs w:val="22"/>
        </w:rPr>
        <w:t xml:space="preserve"> </w:t>
      </w:r>
      <w:r w:rsidR="00921746">
        <w:rPr>
          <w:sz w:val="22"/>
          <w:szCs w:val="22"/>
        </w:rPr>
        <w:t>Committees</w:t>
      </w:r>
      <w:r w:rsidR="002D61B0" w:rsidRPr="00D54C3E">
        <w:rPr>
          <w:sz w:val="22"/>
          <w:szCs w:val="22"/>
        </w:rPr>
        <w:t xml:space="preserve"> </w:t>
      </w:r>
      <w:r w:rsidR="00F63C38">
        <w:rPr>
          <w:sz w:val="22"/>
          <w:szCs w:val="22"/>
        </w:rPr>
        <w:t>“have</w:t>
      </w:r>
      <w:r w:rsidR="00AF35D2" w:rsidRPr="00D54C3E">
        <w:rPr>
          <w:sz w:val="22"/>
          <w:szCs w:val="22"/>
        </w:rPr>
        <w:t xml:space="preserve"> asked </w:t>
      </w:r>
      <w:r w:rsidR="00BB3444" w:rsidRPr="00D54C3E">
        <w:rPr>
          <w:sz w:val="22"/>
          <w:szCs w:val="22"/>
        </w:rPr>
        <w:t xml:space="preserve">that </w:t>
      </w:r>
      <w:r w:rsidR="00AF35D2" w:rsidRPr="00D54C3E">
        <w:rPr>
          <w:sz w:val="22"/>
          <w:szCs w:val="22"/>
        </w:rPr>
        <w:t xml:space="preserve">the Commission </w:t>
      </w:r>
      <w:r w:rsidR="00BB3444" w:rsidRPr="00D54C3E">
        <w:rPr>
          <w:sz w:val="22"/>
          <w:szCs w:val="22"/>
        </w:rPr>
        <w:t xml:space="preserve">not include any confidential business information in the report it transmits to </w:t>
      </w:r>
      <w:r w:rsidR="00F63C38">
        <w:rPr>
          <w:sz w:val="22"/>
          <w:szCs w:val="22"/>
        </w:rPr>
        <w:t>the</w:t>
      </w:r>
      <w:r w:rsidR="00BB3444" w:rsidRPr="00D54C3E">
        <w:rPr>
          <w:sz w:val="22"/>
          <w:szCs w:val="22"/>
        </w:rPr>
        <w:t>m.”</w:t>
      </w:r>
    </w:p>
    <w:p w:rsidR="009049FC" w:rsidRPr="00D54C3E" w:rsidRDefault="009049FC" w:rsidP="00064AEC">
      <w:pPr>
        <w:pStyle w:val="NoSpacing"/>
        <w:rPr>
          <w:sz w:val="22"/>
          <w:szCs w:val="22"/>
        </w:rPr>
      </w:pPr>
    </w:p>
    <w:p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Sensitive information</w:t>
      </w:r>
    </w:p>
    <w:p w:rsidR="00AF35D2" w:rsidRPr="00D54C3E" w:rsidRDefault="009649DD" w:rsidP="00064AEC">
      <w:pPr>
        <w:pStyle w:val="NoSpacing"/>
        <w:rPr>
          <w:sz w:val="22"/>
          <w:szCs w:val="22"/>
          <w:highlight w:val="white"/>
        </w:rPr>
      </w:pPr>
      <w:r w:rsidRPr="00D54C3E">
        <w:rPr>
          <w:sz w:val="22"/>
          <w:szCs w:val="22"/>
          <w:highlight w:val="white"/>
        </w:rPr>
        <w:t>The Commission is not seeking i</w:t>
      </w:r>
      <w:r w:rsidR="00AF35D2" w:rsidRPr="00D54C3E">
        <w:rPr>
          <w:sz w:val="22"/>
          <w:szCs w:val="22"/>
          <w:highlight w:val="white"/>
        </w:rPr>
        <w:t>nformation on issues of a sensitive nature involving persons</w:t>
      </w:r>
      <w:r w:rsidR="002B1B5F" w:rsidRPr="00D54C3E">
        <w:rPr>
          <w:sz w:val="22"/>
          <w:szCs w:val="22"/>
          <w:highlight w:val="white"/>
        </w:rPr>
        <w:t xml:space="preserve"> or firms</w:t>
      </w:r>
      <w:r w:rsidR="00AF35D2" w:rsidRPr="00D54C3E">
        <w:rPr>
          <w:sz w:val="22"/>
          <w:szCs w:val="22"/>
          <w:highlight w:val="white"/>
        </w:rPr>
        <w:t>.</w:t>
      </w:r>
    </w:p>
    <w:p w:rsidR="00AF35D2" w:rsidRPr="00D54C3E" w:rsidRDefault="00AF35D2" w:rsidP="00064AEC">
      <w:pPr>
        <w:pStyle w:val="NoSpacing"/>
        <w:rPr>
          <w:sz w:val="22"/>
          <w:szCs w:val="22"/>
          <w:highlight w:val="white"/>
        </w:rPr>
      </w:pPr>
    </w:p>
    <w:p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Respondents’ project</w:t>
      </w:r>
      <w:r w:rsidR="009649DD" w:rsidRPr="00D54C3E">
        <w:rPr>
          <w:b/>
          <w:bCs/>
          <w:sz w:val="22"/>
          <w:szCs w:val="22"/>
          <w:highlight w:val="white"/>
        </w:rPr>
        <w:t>ed</w:t>
      </w:r>
      <w:r w:rsidRPr="00D54C3E">
        <w:rPr>
          <w:b/>
          <w:bCs/>
          <w:sz w:val="22"/>
          <w:szCs w:val="22"/>
          <w:highlight w:val="white"/>
        </w:rPr>
        <w:t xml:space="preserve"> cost</w:t>
      </w:r>
      <w:r w:rsidR="00092643" w:rsidRPr="00D54C3E">
        <w:rPr>
          <w:b/>
          <w:bCs/>
          <w:sz w:val="22"/>
          <w:szCs w:val="22"/>
          <w:highlight w:val="white"/>
        </w:rPr>
        <w:t xml:space="preserve"> burden</w:t>
      </w:r>
    </w:p>
    <w:p w:rsidR="00AF35D2" w:rsidRPr="00D54C3E" w:rsidRDefault="00AF35D2" w:rsidP="00064AEC">
      <w:pPr>
        <w:pStyle w:val="NoSpacing"/>
        <w:rPr>
          <w:sz w:val="22"/>
          <w:szCs w:val="22"/>
          <w:highlight w:val="white"/>
        </w:rPr>
      </w:pPr>
      <w:r w:rsidRPr="00D54C3E">
        <w:rPr>
          <w:sz w:val="22"/>
          <w:szCs w:val="22"/>
          <w:highlight w:val="white"/>
        </w:rPr>
        <w:t>The Commission has reduced the reporting burden on respondents by limiting the length and complexity of the questionnaire. Furthermore, the questionnaire only contains questions that the Commission believes to be readily available from firms’ existing records and not all sections will apply to all firms.</w:t>
      </w:r>
    </w:p>
    <w:p w:rsidR="00AF35D2" w:rsidRPr="00D54C3E" w:rsidRDefault="00AF35D2" w:rsidP="00064AEC">
      <w:pPr>
        <w:pStyle w:val="NoSpacing"/>
        <w:rPr>
          <w:sz w:val="22"/>
          <w:szCs w:val="22"/>
          <w:highlight w:val="white"/>
        </w:rPr>
      </w:pPr>
    </w:p>
    <w:p w:rsidR="00AF35D2" w:rsidRPr="00D54C3E" w:rsidRDefault="00AF35D2" w:rsidP="00064AEC">
      <w:pPr>
        <w:pStyle w:val="NoSpacing"/>
        <w:rPr>
          <w:sz w:val="22"/>
          <w:szCs w:val="22"/>
          <w:highlight w:val="white"/>
        </w:rPr>
      </w:pPr>
      <w:r w:rsidRPr="00D54C3E">
        <w:rPr>
          <w:sz w:val="22"/>
          <w:szCs w:val="22"/>
          <w:highlight w:val="white"/>
        </w:rPr>
        <w:t>The reporting burden is estimated to be:</w:t>
      </w:r>
    </w:p>
    <w:p w:rsidR="00AF35D2" w:rsidRPr="00D54C3E" w:rsidRDefault="00AF35D2" w:rsidP="00064AEC">
      <w:pPr>
        <w:pStyle w:val="NoSpacing"/>
        <w:rPr>
          <w:sz w:val="22"/>
          <w:szCs w:val="22"/>
        </w:rPr>
      </w:pPr>
    </w:p>
    <w:p w:rsidR="00064AEC" w:rsidRPr="00D54C3E" w:rsidRDefault="00AF35D2" w:rsidP="00904D03">
      <w:pPr>
        <w:pStyle w:val="NoSpacing"/>
        <w:rPr>
          <w:sz w:val="22"/>
          <w:szCs w:val="22"/>
        </w:rPr>
      </w:pPr>
      <w:r w:rsidRPr="00D54C3E">
        <w:rPr>
          <w:sz w:val="22"/>
          <w:szCs w:val="22"/>
        </w:rPr>
        <w:t>Number of respondents</w:t>
      </w:r>
      <w:r w:rsidR="00904D03" w:rsidRPr="00D54C3E">
        <w:rPr>
          <w:sz w:val="22"/>
          <w:szCs w:val="22"/>
        </w:rPr>
        <w:t>:</w:t>
      </w:r>
      <w:r w:rsidRPr="00D54C3E">
        <w:rPr>
          <w:sz w:val="22"/>
          <w:szCs w:val="22"/>
        </w:rPr>
        <w:tab/>
      </w:r>
      <w:r w:rsidR="00904D03" w:rsidRPr="00D54C3E">
        <w:rPr>
          <w:sz w:val="22"/>
          <w:szCs w:val="22"/>
        </w:rPr>
        <w:tab/>
      </w:r>
      <w:r w:rsidR="00904D03" w:rsidRPr="00D54C3E">
        <w:rPr>
          <w:sz w:val="22"/>
          <w:szCs w:val="22"/>
        </w:rPr>
        <w:tab/>
      </w:r>
      <w:r w:rsidRPr="00D54C3E">
        <w:rPr>
          <w:sz w:val="22"/>
          <w:szCs w:val="22"/>
        </w:rPr>
        <w:t>(No.)</w:t>
      </w:r>
      <w:r w:rsidR="00904D03" w:rsidRPr="00D54C3E">
        <w:rPr>
          <w:sz w:val="22"/>
          <w:szCs w:val="22"/>
        </w:rPr>
        <w:tab/>
      </w:r>
      <w:r w:rsidR="00904D03" w:rsidRPr="00D54C3E">
        <w:rPr>
          <w:sz w:val="22"/>
          <w:szCs w:val="22"/>
        </w:rPr>
        <w:tab/>
      </w:r>
      <w:r w:rsidR="00F63C38">
        <w:rPr>
          <w:sz w:val="22"/>
          <w:szCs w:val="22"/>
        </w:rPr>
        <w:t>9</w:t>
      </w:r>
      <w:r w:rsidR="000C2D37" w:rsidRPr="00D54C3E">
        <w:rPr>
          <w:sz w:val="22"/>
          <w:szCs w:val="22"/>
        </w:rPr>
        <w:t>,000</w:t>
      </w:r>
    </w:p>
    <w:p w:rsidR="00AF35D2" w:rsidRPr="00D54C3E" w:rsidRDefault="00064AEC" w:rsidP="00904D03">
      <w:pPr>
        <w:pStyle w:val="NoSpacing"/>
        <w:rPr>
          <w:sz w:val="22"/>
          <w:szCs w:val="22"/>
        </w:rPr>
      </w:pPr>
      <w:r w:rsidRPr="00D54C3E">
        <w:rPr>
          <w:sz w:val="22"/>
          <w:szCs w:val="22"/>
        </w:rPr>
        <w:t>Frequency of response</w:t>
      </w:r>
      <w:r w:rsidR="00904D03" w:rsidRPr="00D54C3E">
        <w:rPr>
          <w:sz w:val="22"/>
          <w:szCs w:val="22"/>
        </w:rPr>
        <w:t>:</w:t>
      </w:r>
      <w:r w:rsidR="00904D03" w:rsidRPr="00D54C3E">
        <w:rPr>
          <w:sz w:val="22"/>
          <w:szCs w:val="22"/>
        </w:rPr>
        <w:tab/>
      </w:r>
      <w:r w:rsidR="00904D03" w:rsidRPr="00D54C3E">
        <w:rPr>
          <w:sz w:val="22"/>
          <w:szCs w:val="22"/>
        </w:rPr>
        <w:tab/>
      </w:r>
      <w:r w:rsidR="00904D03" w:rsidRPr="00D54C3E">
        <w:rPr>
          <w:sz w:val="22"/>
          <w:szCs w:val="22"/>
        </w:rPr>
        <w:tab/>
      </w:r>
      <w:r w:rsidR="00AF35D2" w:rsidRPr="00D54C3E">
        <w:rPr>
          <w:sz w:val="22"/>
          <w:szCs w:val="22"/>
        </w:rPr>
        <w:t>(No.)</w:t>
      </w:r>
      <w:r w:rsidR="00904D03" w:rsidRPr="00D54C3E">
        <w:rPr>
          <w:sz w:val="22"/>
          <w:szCs w:val="22"/>
        </w:rPr>
        <w:tab/>
      </w:r>
      <w:r w:rsidR="00904D03" w:rsidRPr="00D54C3E">
        <w:rPr>
          <w:sz w:val="22"/>
          <w:szCs w:val="22"/>
        </w:rPr>
        <w:tab/>
      </w:r>
      <w:r w:rsidR="00AF35D2" w:rsidRPr="00D54C3E">
        <w:rPr>
          <w:sz w:val="22"/>
          <w:szCs w:val="22"/>
        </w:rPr>
        <w:t>1</w:t>
      </w:r>
    </w:p>
    <w:p w:rsidR="00AF35D2" w:rsidRPr="00D54C3E" w:rsidRDefault="00064AEC" w:rsidP="00904D03">
      <w:pPr>
        <w:pStyle w:val="NoSpacing"/>
        <w:rPr>
          <w:sz w:val="22"/>
          <w:szCs w:val="22"/>
        </w:rPr>
      </w:pPr>
      <w:r w:rsidRPr="00D54C3E">
        <w:rPr>
          <w:sz w:val="22"/>
          <w:szCs w:val="22"/>
        </w:rPr>
        <w:t>Annual burden per respondent</w:t>
      </w:r>
      <w:r w:rsidR="00904D03" w:rsidRPr="00D54C3E">
        <w:rPr>
          <w:sz w:val="22"/>
          <w:szCs w:val="22"/>
        </w:rPr>
        <w:t>:</w:t>
      </w:r>
      <w:r w:rsidR="00904D03" w:rsidRPr="00D54C3E">
        <w:rPr>
          <w:sz w:val="22"/>
          <w:szCs w:val="22"/>
        </w:rPr>
        <w:tab/>
      </w:r>
      <w:r w:rsidR="00904D03" w:rsidRPr="00D54C3E">
        <w:rPr>
          <w:sz w:val="22"/>
          <w:szCs w:val="22"/>
        </w:rPr>
        <w:tab/>
      </w:r>
      <w:r w:rsidR="00AF35D2" w:rsidRPr="00D54C3E">
        <w:rPr>
          <w:sz w:val="22"/>
          <w:szCs w:val="22"/>
        </w:rPr>
        <w:t>(hours)</w:t>
      </w:r>
      <w:r w:rsidR="00904D03" w:rsidRPr="00D54C3E">
        <w:rPr>
          <w:sz w:val="22"/>
          <w:szCs w:val="22"/>
        </w:rPr>
        <w:tab/>
      </w:r>
      <w:r w:rsidR="00904D03" w:rsidRPr="00D54C3E">
        <w:rPr>
          <w:sz w:val="22"/>
          <w:szCs w:val="22"/>
        </w:rPr>
        <w:tab/>
      </w:r>
      <w:r w:rsidR="00470738" w:rsidRPr="00D54C3E">
        <w:rPr>
          <w:sz w:val="22"/>
          <w:szCs w:val="22"/>
        </w:rPr>
        <w:t>1</w:t>
      </w:r>
      <w:r w:rsidR="00F63C38">
        <w:rPr>
          <w:sz w:val="22"/>
          <w:szCs w:val="22"/>
        </w:rPr>
        <w:t>2</w:t>
      </w:r>
    </w:p>
    <w:p w:rsidR="00AF35D2" w:rsidRPr="00D54C3E" w:rsidRDefault="00064AEC" w:rsidP="00904D03">
      <w:pPr>
        <w:pStyle w:val="NoSpacing"/>
        <w:rPr>
          <w:sz w:val="22"/>
          <w:szCs w:val="22"/>
        </w:rPr>
      </w:pPr>
      <w:r w:rsidRPr="00D54C3E">
        <w:rPr>
          <w:sz w:val="22"/>
          <w:szCs w:val="22"/>
        </w:rPr>
        <w:t>Total burden</w:t>
      </w:r>
      <w:r w:rsidR="00904D03" w:rsidRPr="00D54C3E">
        <w:rPr>
          <w:sz w:val="22"/>
          <w:szCs w:val="22"/>
        </w:rPr>
        <w:t>:</w:t>
      </w:r>
      <w:r w:rsidR="00904D03" w:rsidRPr="00D54C3E">
        <w:rPr>
          <w:sz w:val="22"/>
          <w:szCs w:val="22"/>
        </w:rPr>
        <w:tab/>
      </w:r>
      <w:r w:rsidR="00904D03" w:rsidRPr="00D54C3E">
        <w:rPr>
          <w:sz w:val="22"/>
          <w:szCs w:val="22"/>
        </w:rPr>
        <w:tab/>
      </w:r>
      <w:r w:rsidR="00904D03" w:rsidRPr="00D54C3E">
        <w:rPr>
          <w:sz w:val="22"/>
          <w:szCs w:val="22"/>
        </w:rPr>
        <w:tab/>
      </w:r>
      <w:r w:rsidR="00904D03" w:rsidRPr="00D54C3E">
        <w:rPr>
          <w:sz w:val="22"/>
          <w:szCs w:val="22"/>
        </w:rPr>
        <w:tab/>
      </w:r>
      <w:r w:rsidR="00AF35D2" w:rsidRPr="00D54C3E">
        <w:rPr>
          <w:sz w:val="22"/>
          <w:szCs w:val="22"/>
        </w:rPr>
        <w:t>(hours)</w:t>
      </w:r>
      <w:r w:rsidR="00904D03" w:rsidRPr="00D54C3E">
        <w:rPr>
          <w:sz w:val="22"/>
          <w:szCs w:val="22"/>
        </w:rPr>
        <w:tab/>
      </w:r>
      <w:r w:rsidR="00904D03" w:rsidRPr="00D54C3E">
        <w:rPr>
          <w:sz w:val="22"/>
          <w:szCs w:val="22"/>
        </w:rPr>
        <w:tab/>
      </w:r>
      <w:r w:rsidR="00470738" w:rsidRPr="00D54C3E">
        <w:rPr>
          <w:sz w:val="22"/>
          <w:szCs w:val="22"/>
        </w:rPr>
        <w:t>1</w:t>
      </w:r>
      <w:r w:rsidR="000C2D37" w:rsidRPr="00D54C3E">
        <w:rPr>
          <w:sz w:val="22"/>
          <w:szCs w:val="22"/>
        </w:rPr>
        <w:t>0</w:t>
      </w:r>
      <w:r w:rsidR="00F63C38">
        <w:rPr>
          <w:sz w:val="22"/>
          <w:szCs w:val="22"/>
        </w:rPr>
        <w:t>8</w:t>
      </w:r>
      <w:r w:rsidR="000C2D37" w:rsidRPr="00D54C3E">
        <w:rPr>
          <w:sz w:val="22"/>
          <w:szCs w:val="22"/>
        </w:rPr>
        <w:t>,000</w:t>
      </w:r>
    </w:p>
    <w:p w:rsidR="00AF35D2" w:rsidRPr="00D54C3E" w:rsidRDefault="00AF35D2" w:rsidP="00064AEC">
      <w:pPr>
        <w:pStyle w:val="NoSpacing"/>
        <w:rPr>
          <w:sz w:val="22"/>
          <w:szCs w:val="22"/>
          <w:highlight w:val="white"/>
        </w:rPr>
      </w:pPr>
    </w:p>
    <w:p w:rsidR="00AF35D2" w:rsidRPr="00D54C3E" w:rsidRDefault="00AF35D2" w:rsidP="00064AEC">
      <w:pPr>
        <w:pStyle w:val="NoSpacing"/>
        <w:rPr>
          <w:sz w:val="22"/>
          <w:szCs w:val="22"/>
        </w:rPr>
      </w:pPr>
      <w:r w:rsidRPr="00D54C3E">
        <w:rPr>
          <w:sz w:val="22"/>
          <w:szCs w:val="22"/>
        </w:rPr>
        <w:t xml:space="preserve">These estimates are based on </w:t>
      </w:r>
      <w:r w:rsidR="00092643" w:rsidRPr="00D54C3E">
        <w:rPr>
          <w:sz w:val="22"/>
          <w:szCs w:val="22"/>
        </w:rPr>
        <w:t xml:space="preserve">reported response </w:t>
      </w:r>
      <w:r w:rsidR="00297BFF" w:rsidRPr="00D54C3E">
        <w:rPr>
          <w:sz w:val="22"/>
          <w:szCs w:val="22"/>
        </w:rPr>
        <w:t>statistics from rec</w:t>
      </w:r>
      <w:r w:rsidR="002E60A3" w:rsidRPr="00D54C3E">
        <w:rPr>
          <w:sz w:val="22"/>
          <w:szCs w:val="22"/>
        </w:rPr>
        <w:t>ently completed, similar survey</w:t>
      </w:r>
      <w:r w:rsidR="009649DD" w:rsidRPr="00D54C3E">
        <w:rPr>
          <w:sz w:val="22"/>
          <w:szCs w:val="22"/>
        </w:rPr>
        <w:t>s</w:t>
      </w:r>
      <w:r w:rsidR="00297BFF" w:rsidRPr="00D54C3E">
        <w:rPr>
          <w:sz w:val="22"/>
          <w:szCs w:val="22"/>
        </w:rPr>
        <w:t xml:space="preserve"> that the Commission has executed. It is estimated that </w:t>
      </w:r>
      <w:r w:rsidRPr="00D54C3E">
        <w:rPr>
          <w:sz w:val="22"/>
          <w:szCs w:val="22"/>
        </w:rPr>
        <w:t xml:space="preserve">completing the questionnaire, including time to gather necessary information, would take approximately </w:t>
      </w:r>
      <w:r w:rsidR="00470738" w:rsidRPr="00D54C3E">
        <w:rPr>
          <w:sz w:val="22"/>
          <w:szCs w:val="22"/>
        </w:rPr>
        <w:t>10</w:t>
      </w:r>
      <w:r w:rsidR="00105F8D" w:rsidRPr="00D54C3E">
        <w:rPr>
          <w:sz w:val="22"/>
          <w:szCs w:val="22"/>
        </w:rPr>
        <w:t xml:space="preserve"> </w:t>
      </w:r>
      <w:r w:rsidRPr="00D54C3E">
        <w:rPr>
          <w:sz w:val="22"/>
          <w:szCs w:val="22"/>
        </w:rPr>
        <w:t xml:space="preserve">hours depending on the size and complexity of the firm. </w:t>
      </w:r>
      <w:r w:rsidR="002E60A3" w:rsidRPr="00D54C3E">
        <w:rPr>
          <w:sz w:val="22"/>
          <w:szCs w:val="22"/>
          <w:highlight w:val="white"/>
        </w:rPr>
        <w:t>The burden on individual respondents may vary.</w:t>
      </w:r>
      <w:r w:rsidR="002E60A3" w:rsidRPr="00D54C3E">
        <w:rPr>
          <w:sz w:val="22"/>
          <w:szCs w:val="22"/>
        </w:rPr>
        <w:t xml:space="preserve"> </w:t>
      </w:r>
      <w:r w:rsidR="00B45532" w:rsidRPr="00D54C3E">
        <w:rPr>
          <w:sz w:val="22"/>
          <w:szCs w:val="22"/>
        </w:rPr>
        <w:t>T</w:t>
      </w:r>
      <w:r w:rsidRPr="00D54C3E">
        <w:rPr>
          <w:sz w:val="22"/>
          <w:szCs w:val="22"/>
        </w:rPr>
        <w:t>he actual burden experienced by individual firms will likely be lower</w:t>
      </w:r>
      <w:r w:rsidR="002E60A3" w:rsidRPr="00D54C3E">
        <w:rPr>
          <w:sz w:val="22"/>
          <w:szCs w:val="22"/>
        </w:rPr>
        <w:t xml:space="preserve"> than </w:t>
      </w:r>
      <w:r w:rsidR="00470738" w:rsidRPr="00D54C3E">
        <w:rPr>
          <w:sz w:val="22"/>
          <w:szCs w:val="22"/>
        </w:rPr>
        <w:t>10</w:t>
      </w:r>
      <w:r w:rsidR="002E60A3" w:rsidRPr="00D54C3E">
        <w:rPr>
          <w:sz w:val="22"/>
          <w:szCs w:val="22"/>
        </w:rPr>
        <w:t xml:space="preserve"> hours</w:t>
      </w:r>
      <w:r w:rsidRPr="00D54C3E">
        <w:rPr>
          <w:sz w:val="22"/>
          <w:szCs w:val="22"/>
        </w:rPr>
        <w:t xml:space="preserve"> because not all section</w:t>
      </w:r>
      <w:r w:rsidR="00BB3444" w:rsidRPr="00D54C3E">
        <w:rPr>
          <w:sz w:val="22"/>
          <w:szCs w:val="22"/>
        </w:rPr>
        <w:t>s</w:t>
      </w:r>
      <w:r w:rsidR="002E60A3" w:rsidRPr="00D54C3E">
        <w:rPr>
          <w:sz w:val="22"/>
          <w:szCs w:val="22"/>
        </w:rPr>
        <w:t xml:space="preserve"> of the questionnaire</w:t>
      </w:r>
      <w:r w:rsidRPr="00D54C3E">
        <w:rPr>
          <w:sz w:val="22"/>
          <w:szCs w:val="22"/>
        </w:rPr>
        <w:t xml:space="preserve"> apply to </w:t>
      </w:r>
      <w:r w:rsidR="002E60A3" w:rsidRPr="00D54C3E">
        <w:rPr>
          <w:sz w:val="22"/>
          <w:szCs w:val="22"/>
        </w:rPr>
        <w:t>all firms</w:t>
      </w:r>
      <w:r w:rsidRPr="00D54C3E">
        <w:rPr>
          <w:sz w:val="22"/>
          <w:szCs w:val="22"/>
        </w:rPr>
        <w:t xml:space="preserve">. Moreover, the total burden is likely to be considerably lower because the total response rate will </w:t>
      </w:r>
      <w:r w:rsidR="00F63C38">
        <w:rPr>
          <w:sz w:val="22"/>
          <w:szCs w:val="22"/>
        </w:rPr>
        <w:t>likely be less than 100 percent, and firms not conducting business with India will complete only a small portion of the questionnaire.</w:t>
      </w:r>
    </w:p>
    <w:p w:rsidR="00AF35D2" w:rsidRPr="00D54C3E" w:rsidRDefault="00AF35D2" w:rsidP="00064AEC">
      <w:pPr>
        <w:pStyle w:val="NoSpacing"/>
        <w:rPr>
          <w:sz w:val="22"/>
          <w:szCs w:val="22"/>
        </w:rPr>
      </w:pPr>
    </w:p>
    <w:p w:rsidR="00AF35D2" w:rsidRPr="00D54C3E" w:rsidRDefault="00AF35D2" w:rsidP="00064AEC">
      <w:pPr>
        <w:pStyle w:val="NoSpacing"/>
        <w:rPr>
          <w:sz w:val="22"/>
          <w:szCs w:val="22"/>
          <w:highlight w:val="white"/>
        </w:rPr>
      </w:pPr>
      <w:r w:rsidRPr="00D54C3E">
        <w:rPr>
          <w:sz w:val="22"/>
          <w:szCs w:val="22"/>
          <w:highlight w:val="white"/>
        </w:rPr>
        <w:t>The Commission has included a notice of the above response burden averages in the questionnaire, along with a request that respondents send comment</w:t>
      </w:r>
      <w:r w:rsidR="00F36F7F" w:rsidRPr="00D54C3E">
        <w:rPr>
          <w:sz w:val="22"/>
          <w:szCs w:val="22"/>
          <w:highlight w:val="white"/>
        </w:rPr>
        <w:t>s to the Commission and to OMB.</w:t>
      </w:r>
    </w:p>
    <w:p w:rsidR="00F63C38" w:rsidRDefault="00F63C38">
      <w:pPr>
        <w:autoSpaceDE/>
        <w:autoSpaceDN/>
        <w:adjustRightInd/>
        <w:rPr>
          <w:sz w:val="22"/>
          <w:szCs w:val="22"/>
          <w:highlight w:val="white"/>
        </w:rPr>
      </w:pPr>
    </w:p>
    <w:p w:rsidR="00AF35D2" w:rsidRPr="00D54C3E" w:rsidRDefault="00AF35D2" w:rsidP="00064AEC">
      <w:pPr>
        <w:pStyle w:val="NoSpacing"/>
        <w:rPr>
          <w:sz w:val="22"/>
          <w:szCs w:val="22"/>
        </w:rPr>
      </w:pPr>
      <w:r w:rsidRPr="00D54C3E">
        <w:rPr>
          <w:sz w:val="22"/>
          <w:szCs w:val="22"/>
          <w:highlight w:val="white"/>
        </w:rPr>
        <w:t>The combined annualized cost to all respondents for the estimated hour burdens identified above is as follows:</w:t>
      </w:r>
    </w:p>
    <w:p w:rsidR="00AF35D2" w:rsidRPr="00D54C3E" w:rsidRDefault="00AF35D2" w:rsidP="00064AEC">
      <w:pPr>
        <w:pStyle w:val="NoSpacing"/>
        <w:rPr>
          <w:sz w:val="22"/>
          <w:szCs w:val="22"/>
        </w:rPr>
      </w:pPr>
    </w:p>
    <w:p w:rsidR="00AF35D2" w:rsidRPr="00D54C3E" w:rsidRDefault="00AF35D2" w:rsidP="00064AEC">
      <w:pPr>
        <w:pStyle w:val="NoSpacing"/>
        <w:rPr>
          <w:sz w:val="22"/>
          <w:szCs w:val="22"/>
        </w:rPr>
      </w:pPr>
      <w:r w:rsidRPr="00D54C3E">
        <w:rPr>
          <w:sz w:val="22"/>
          <w:szCs w:val="22"/>
        </w:rPr>
        <w:tab/>
        <w:t xml:space="preserve">Cost = </w:t>
      </w:r>
      <w:r w:rsidR="00470738" w:rsidRPr="00D54C3E">
        <w:rPr>
          <w:sz w:val="22"/>
          <w:szCs w:val="22"/>
        </w:rPr>
        <w:t>1</w:t>
      </w:r>
      <w:r w:rsidR="000C2D37" w:rsidRPr="00D54C3E">
        <w:rPr>
          <w:sz w:val="22"/>
          <w:szCs w:val="22"/>
        </w:rPr>
        <w:t>0</w:t>
      </w:r>
      <w:r w:rsidR="00F63C38">
        <w:rPr>
          <w:sz w:val="22"/>
          <w:szCs w:val="22"/>
        </w:rPr>
        <w:t>8</w:t>
      </w:r>
      <w:r w:rsidR="000C2D37" w:rsidRPr="00D54C3E">
        <w:rPr>
          <w:sz w:val="22"/>
          <w:szCs w:val="22"/>
        </w:rPr>
        <w:t>,000</w:t>
      </w:r>
      <w:r w:rsidR="00F35189" w:rsidRPr="00D54C3E">
        <w:rPr>
          <w:sz w:val="22"/>
          <w:szCs w:val="22"/>
        </w:rPr>
        <w:t xml:space="preserve"> </w:t>
      </w:r>
      <w:r w:rsidRPr="00D54C3E">
        <w:rPr>
          <w:sz w:val="22"/>
          <w:szCs w:val="22"/>
        </w:rPr>
        <w:t>hours x $</w:t>
      </w:r>
      <w:r w:rsidR="002C797A" w:rsidRPr="00D54C3E">
        <w:rPr>
          <w:sz w:val="22"/>
          <w:szCs w:val="22"/>
        </w:rPr>
        <w:t>6</w:t>
      </w:r>
      <w:r w:rsidR="00F36F7F" w:rsidRPr="00D54C3E">
        <w:rPr>
          <w:sz w:val="22"/>
          <w:szCs w:val="22"/>
        </w:rPr>
        <w:t>8.27</w:t>
      </w:r>
      <w:r w:rsidRPr="00D54C3E">
        <w:rPr>
          <w:sz w:val="22"/>
          <w:szCs w:val="22"/>
        </w:rPr>
        <w:t>* per hour = $</w:t>
      </w:r>
      <w:r w:rsidR="009D4F34">
        <w:rPr>
          <w:sz w:val="22"/>
          <w:szCs w:val="22"/>
        </w:rPr>
        <w:t>7</w:t>
      </w:r>
      <w:r w:rsidR="000C2D37" w:rsidRPr="00D54C3E">
        <w:rPr>
          <w:sz w:val="22"/>
          <w:szCs w:val="22"/>
        </w:rPr>
        <w:t>,</w:t>
      </w:r>
      <w:r w:rsidR="009D4F34">
        <w:rPr>
          <w:sz w:val="22"/>
          <w:szCs w:val="22"/>
        </w:rPr>
        <w:t>373</w:t>
      </w:r>
      <w:r w:rsidR="000C2D37" w:rsidRPr="00D54C3E">
        <w:rPr>
          <w:sz w:val="22"/>
          <w:szCs w:val="22"/>
        </w:rPr>
        <w:t>,</w:t>
      </w:r>
      <w:r w:rsidR="009D4F34">
        <w:rPr>
          <w:sz w:val="22"/>
          <w:szCs w:val="22"/>
        </w:rPr>
        <w:t>16</w:t>
      </w:r>
      <w:r w:rsidR="000C2D37" w:rsidRPr="00D54C3E">
        <w:rPr>
          <w:sz w:val="22"/>
          <w:szCs w:val="22"/>
        </w:rPr>
        <w:t>0</w:t>
      </w:r>
    </w:p>
    <w:p w:rsidR="00AF35D2" w:rsidRPr="00D54C3E" w:rsidRDefault="00AF35D2" w:rsidP="00064AEC">
      <w:pPr>
        <w:pStyle w:val="NoSpacing"/>
        <w:rPr>
          <w:sz w:val="22"/>
          <w:szCs w:val="22"/>
          <w:highlight w:val="white"/>
        </w:rPr>
      </w:pPr>
    </w:p>
    <w:p w:rsidR="00AF35D2" w:rsidRPr="00D54C3E" w:rsidRDefault="00AF35D2" w:rsidP="00064AEC">
      <w:pPr>
        <w:pStyle w:val="NoSpacing"/>
        <w:rPr>
          <w:sz w:val="22"/>
          <w:szCs w:val="22"/>
          <w:highlight w:val="white"/>
        </w:rPr>
      </w:pPr>
      <w:r w:rsidRPr="00D54C3E">
        <w:rPr>
          <w:sz w:val="22"/>
          <w:szCs w:val="22"/>
          <w:highlight w:val="white"/>
        </w:rPr>
        <w:t>*This is the same hourly cost estimate used in item 14 below. The Commission projects that this is an accurate hourly cost estimate for personnel who will likely complete the questionnaire.</w:t>
      </w:r>
    </w:p>
    <w:p w:rsidR="00AF35D2" w:rsidRPr="00D54C3E" w:rsidRDefault="00AF35D2" w:rsidP="00064AEC">
      <w:pPr>
        <w:pStyle w:val="NoSpacing"/>
        <w:rPr>
          <w:sz w:val="22"/>
          <w:szCs w:val="22"/>
          <w:highlight w:val="white"/>
        </w:rPr>
      </w:pPr>
    </w:p>
    <w:p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Annual public response burden</w:t>
      </w:r>
    </w:p>
    <w:p w:rsidR="00AF35D2" w:rsidRPr="00D54C3E" w:rsidRDefault="00AF35D2" w:rsidP="00064AEC">
      <w:pPr>
        <w:pStyle w:val="NoSpacing"/>
        <w:rPr>
          <w:sz w:val="22"/>
          <w:szCs w:val="22"/>
          <w:highlight w:val="white"/>
        </w:rPr>
      </w:pPr>
      <w:r w:rsidRPr="00D54C3E">
        <w:rPr>
          <w:sz w:val="22"/>
          <w:szCs w:val="22"/>
          <w:highlight w:val="white"/>
        </w:rPr>
        <w:t xml:space="preserve">This is a one-time collection of information </w:t>
      </w:r>
      <w:r w:rsidR="002E60A3" w:rsidRPr="00D54C3E">
        <w:rPr>
          <w:sz w:val="22"/>
          <w:szCs w:val="22"/>
          <w:highlight w:val="white"/>
        </w:rPr>
        <w:t>and therefore</w:t>
      </w:r>
      <w:r w:rsidRPr="00D54C3E">
        <w:rPr>
          <w:sz w:val="22"/>
          <w:szCs w:val="22"/>
          <w:highlight w:val="white"/>
        </w:rPr>
        <w:t xml:space="preserve"> the total recurring annual cost burden is zero.</w:t>
      </w:r>
    </w:p>
    <w:p w:rsidR="00AF35D2" w:rsidRPr="00D54C3E" w:rsidRDefault="00AF35D2" w:rsidP="00064AEC">
      <w:pPr>
        <w:pStyle w:val="NoSpacing"/>
        <w:rPr>
          <w:sz w:val="22"/>
          <w:szCs w:val="22"/>
          <w:highlight w:val="white"/>
        </w:rPr>
      </w:pPr>
    </w:p>
    <w:p w:rsidR="00AF35D2" w:rsidRPr="00D54C3E" w:rsidRDefault="00AF35D2" w:rsidP="00064AEC">
      <w:pPr>
        <w:pStyle w:val="NoSpacing"/>
        <w:rPr>
          <w:sz w:val="22"/>
          <w:szCs w:val="22"/>
          <w:highlight w:val="white"/>
        </w:rPr>
      </w:pPr>
      <w:r w:rsidRPr="00D54C3E">
        <w:rPr>
          <w:sz w:val="22"/>
          <w:szCs w:val="22"/>
          <w:highlight w:val="white"/>
        </w:rPr>
        <w:t>a. Total capital and start-up cost component: The Commission does not expect any capital and start-up costs because all information likely already exists in firms’ records storage facilities.</w:t>
      </w:r>
    </w:p>
    <w:p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rsidR="00AF35D2" w:rsidRPr="00D54C3E" w:rsidRDefault="00AF35D2" w:rsidP="00064AEC">
      <w:pPr>
        <w:pStyle w:val="NoSpacing"/>
        <w:rPr>
          <w:sz w:val="22"/>
          <w:szCs w:val="22"/>
          <w:highlight w:val="white"/>
        </w:rPr>
      </w:pPr>
      <w:r w:rsidRPr="00D54C3E">
        <w:rPr>
          <w:sz w:val="22"/>
          <w:szCs w:val="22"/>
          <w:highlight w:val="white"/>
        </w:rPr>
        <w:t>b. Total operation and maintenance and purchase of service component: The Commission does not expect respondents will need to purchase any services in completing the questionnaire.</w:t>
      </w:r>
    </w:p>
    <w:p w:rsidR="00904D03" w:rsidRPr="00D54C3E" w:rsidRDefault="00904D03" w:rsidP="00064AEC">
      <w:pPr>
        <w:pStyle w:val="NoSpacing"/>
        <w:rPr>
          <w:b/>
          <w:bCs/>
          <w:sz w:val="22"/>
          <w:szCs w:val="22"/>
          <w:highlight w:val="white"/>
        </w:rPr>
      </w:pPr>
    </w:p>
    <w:p w:rsidR="00AF35D2" w:rsidRPr="00D54C3E" w:rsidRDefault="00AF35D2" w:rsidP="00904D03">
      <w:pPr>
        <w:pStyle w:val="NoSpacing"/>
        <w:numPr>
          <w:ilvl w:val="0"/>
          <w:numId w:val="8"/>
        </w:numPr>
        <w:rPr>
          <w:b/>
          <w:sz w:val="22"/>
          <w:szCs w:val="22"/>
        </w:rPr>
      </w:pPr>
      <w:r w:rsidRPr="00D54C3E">
        <w:rPr>
          <w:b/>
          <w:bCs/>
          <w:sz w:val="22"/>
          <w:szCs w:val="22"/>
        </w:rPr>
        <w:t>Federal change in burden</w:t>
      </w:r>
    </w:p>
    <w:p w:rsidR="00AF35D2" w:rsidRPr="00D54C3E" w:rsidRDefault="00AF35D2" w:rsidP="00064AEC">
      <w:pPr>
        <w:pStyle w:val="NoSpacing"/>
        <w:rPr>
          <w:sz w:val="22"/>
          <w:szCs w:val="22"/>
        </w:rPr>
      </w:pPr>
      <w:r w:rsidRPr="00D54C3E">
        <w:rPr>
          <w:sz w:val="22"/>
          <w:szCs w:val="22"/>
        </w:rPr>
        <w:t>The estimated total cost to the Federal Government is $</w:t>
      </w:r>
      <w:r w:rsidR="009D4F34">
        <w:rPr>
          <w:sz w:val="22"/>
          <w:szCs w:val="22"/>
        </w:rPr>
        <w:t>295,500</w:t>
      </w:r>
      <w:r w:rsidR="00156722" w:rsidRPr="00D54C3E">
        <w:rPr>
          <w:sz w:val="22"/>
          <w:szCs w:val="22"/>
        </w:rPr>
        <w:t xml:space="preserve"> </w:t>
      </w:r>
      <w:r w:rsidRPr="00D54C3E">
        <w:rPr>
          <w:sz w:val="22"/>
          <w:szCs w:val="22"/>
        </w:rPr>
        <w:t>as detailed below. No new equipment will be purchased because existing equipment will be used to process the questionnaires.</w:t>
      </w:r>
    </w:p>
    <w:p w:rsidR="00AF35D2" w:rsidRPr="00D54C3E" w:rsidRDefault="00AF35D2" w:rsidP="00064AEC">
      <w:pPr>
        <w:pStyle w:val="NoSpacing"/>
        <w:rPr>
          <w:sz w:val="22"/>
          <w:szCs w:val="22"/>
        </w:rPr>
      </w:pPr>
    </w:p>
    <w:p w:rsidR="00AF35D2" w:rsidRPr="00D54C3E" w:rsidRDefault="00AF35D2" w:rsidP="00064AEC">
      <w:pPr>
        <w:pStyle w:val="NoSpacing"/>
        <w:rPr>
          <w:sz w:val="22"/>
          <w:szCs w:val="22"/>
        </w:rPr>
      </w:pPr>
      <w:r w:rsidRPr="00D54C3E">
        <w:rPr>
          <w:sz w:val="22"/>
          <w:szCs w:val="22"/>
        </w:rPr>
        <w:t xml:space="preserve">The estimated number of work hours includes designing the questionnaires, soliciting field test comments, editing results (i.e., contacting respondents after completion of the questionnaires to clarify responses), and compiling and tabulating questionnaire responses. </w:t>
      </w:r>
    </w:p>
    <w:p w:rsidR="00AF35D2" w:rsidRPr="00D54C3E" w:rsidRDefault="00AF35D2" w:rsidP="00064AEC">
      <w:pPr>
        <w:pStyle w:val="NoSpacing"/>
        <w:rPr>
          <w:sz w:val="22"/>
          <w:szCs w:val="22"/>
        </w:rPr>
      </w:pPr>
    </w:p>
    <w:p w:rsidR="00AF35D2" w:rsidRPr="00D54C3E" w:rsidRDefault="00AF35D2" w:rsidP="00064AEC">
      <w:pPr>
        <w:pStyle w:val="NoSpacing"/>
        <w:rPr>
          <w:sz w:val="22"/>
          <w:szCs w:val="22"/>
        </w:rPr>
      </w:pPr>
      <w:r w:rsidRPr="00D54C3E">
        <w:rPr>
          <w:sz w:val="22"/>
          <w:szCs w:val="22"/>
        </w:rPr>
        <w:tab/>
        <w:t xml:space="preserve">Personnel cost* </w:t>
      </w:r>
      <w:r w:rsidRPr="00D54C3E">
        <w:rPr>
          <w:sz w:val="22"/>
          <w:szCs w:val="22"/>
        </w:rPr>
        <w:tab/>
        <w:t>= $</w:t>
      </w:r>
      <w:r w:rsidR="0009507B" w:rsidRPr="00D54C3E">
        <w:rPr>
          <w:sz w:val="22"/>
          <w:szCs w:val="22"/>
        </w:rPr>
        <w:t>2</w:t>
      </w:r>
      <w:r w:rsidR="009D4F34">
        <w:rPr>
          <w:sz w:val="22"/>
          <w:szCs w:val="22"/>
        </w:rPr>
        <w:t>69</w:t>
      </w:r>
      <w:r w:rsidR="0009507B" w:rsidRPr="00D54C3E">
        <w:rPr>
          <w:sz w:val="22"/>
          <w:szCs w:val="22"/>
        </w:rPr>
        <w:t>,</w:t>
      </w:r>
      <w:r w:rsidR="009D4F34">
        <w:rPr>
          <w:sz w:val="22"/>
          <w:szCs w:val="22"/>
        </w:rPr>
        <w:t>500</w:t>
      </w:r>
    </w:p>
    <w:p w:rsidR="00AF35D2" w:rsidRPr="00D54C3E" w:rsidRDefault="00AF35D2" w:rsidP="00064AEC">
      <w:pPr>
        <w:pStyle w:val="NoSpacing"/>
        <w:rPr>
          <w:sz w:val="22"/>
          <w:szCs w:val="22"/>
        </w:rPr>
      </w:pPr>
      <w:r w:rsidRPr="00D54C3E">
        <w:rPr>
          <w:sz w:val="22"/>
          <w:szCs w:val="22"/>
        </w:rPr>
        <w:tab/>
        <w:t xml:space="preserve">Operational costs** </w:t>
      </w:r>
      <w:r w:rsidRPr="00D54C3E">
        <w:rPr>
          <w:sz w:val="22"/>
          <w:szCs w:val="22"/>
        </w:rPr>
        <w:tab/>
        <w:t xml:space="preserve">= </w:t>
      </w:r>
      <w:r w:rsidR="003C1624" w:rsidRPr="00D54C3E">
        <w:rPr>
          <w:sz w:val="22"/>
          <w:szCs w:val="22"/>
        </w:rPr>
        <w:t>_</w:t>
      </w:r>
      <w:r w:rsidRPr="00D54C3E">
        <w:rPr>
          <w:sz w:val="22"/>
          <w:szCs w:val="22"/>
          <w:u w:val="single"/>
        </w:rPr>
        <w:t>$</w:t>
      </w:r>
      <w:r w:rsidR="002E60A3" w:rsidRPr="00D54C3E">
        <w:rPr>
          <w:sz w:val="22"/>
          <w:szCs w:val="22"/>
          <w:u w:val="single"/>
        </w:rPr>
        <w:t>2</w:t>
      </w:r>
      <w:r w:rsidR="003C15BF">
        <w:rPr>
          <w:sz w:val="22"/>
          <w:szCs w:val="22"/>
          <w:u w:val="single"/>
        </w:rPr>
        <w:t>2,600</w:t>
      </w:r>
    </w:p>
    <w:p w:rsidR="00AF35D2" w:rsidRPr="00D54C3E" w:rsidRDefault="002C797A" w:rsidP="00064AEC">
      <w:pPr>
        <w:pStyle w:val="NoSpacing"/>
        <w:rPr>
          <w:sz w:val="22"/>
          <w:szCs w:val="22"/>
        </w:rPr>
      </w:pPr>
      <w:r w:rsidRPr="00D54C3E">
        <w:rPr>
          <w:sz w:val="22"/>
          <w:szCs w:val="22"/>
        </w:rPr>
        <w:tab/>
        <w:t>Total cost</w:t>
      </w:r>
      <w:r w:rsidRPr="00D54C3E">
        <w:rPr>
          <w:sz w:val="22"/>
          <w:szCs w:val="22"/>
        </w:rPr>
        <w:tab/>
      </w:r>
      <w:r w:rsidR="00F3392A" w:rsidRPr="00D54C3E">
        <w:rPr>
          <w:sz w:val="22"/>
          <w:szCs w:val="22"/>
        </w:rPr>
        <w:tab/>
      </w:r>
      <w:r w:rsidRPr="00D54C3E">
        <w:rPr>
          <w:sz w:val="22"/>
          <w:szCs w:val="22"/>
        </w:rPr>
        <w:t>= $</w:t>
      </w:r>
      <w:r w:rsidR="003C15BF">
        <w:rPr>
          <w:sz w:val="22"/>
          <w:szCs w:val="22"/>
        </w:rPr>
        <w:t>292,100</w:t>
      </w:r>
    </w:p>
    <w:p w:rsidR="00AF35D2" w:rsidRPr="00D54C3E" w:rsidRDefault="00AF35D2" w:rsidP="00064AEC">
      <w:pPr>
        <w:pStyle w:val="NoSpacing"/>
        <w:rPr>
          <w:sz w:val="22"/>
          <w:szCs w:val="22"/>
        </w:rPr>
      </w:pPr>
    </w:p>
    <w:p w:rsidR="00AF35D2" w:rsidRPr="00D54C3E" w:rsidRDefault="00AF35D2" w:rsidP="00064AEC">
      <w:pPr>
        <w:pStyle w:val="NoSpacing"/>
        <w:rPr>
          <w:sz w:val="22"/>
          <w:szCs w:val="22"/>
        </w:rPr>
      </w:pPr>
      <w:r w:rsidRPr="00D54C3E">
        <w:rPr>
          <w:sz w:val="22"/>
          <w:szCs w:val="22"/>
        </w:rPr>
        <w:t>*The hourly figure was approximated by dividing the Commission’s average salary level ($</w:t>
      </w:r>
      <w:r w:rsidR="002C797A" w:rsidRPr="00D54C3E">
        <w:rPr>
          <w:sz w:val="22"/>
          <w:szCs w:val="22"/>
        </w:rPr>
        <w:t>14</w:t>
      </w:r>
      <w:r w:rsidR="001F3B66" w:rsidRPr="00D54C3E">
        <w:rPr>
          <w:sz w:val="22"/>
          <w:szCs w:val="22"/>
        </w:rPr>
        <w:t>3</w:t>
      </w:r>
      <w:r w:rsidR="002C797A" w:rsidRPr="00D54C3E">
        <w:rPr>
          <w:sz w:val="22"/>
          <w:szCs w:val="22"/>
        </w:rPr>
        <w:t>,000</w:t>
      </w:r>
      <w:r w:rsidRPr="00D54C3E">
        <w:rPr>
          <w:sz w:val="22"/>
          <w:szCs w:val="22"/>
        </w:rPr>
        <w:t>) by the number of work hours per year (2,080), which is equivalent to an average cost of $</w:t>
      </w:r>
      <w:r w:rsidR="002C797A" w:rsidRPr="00D54C3E">
        <w:rPr>
          <w:sz w:val="22"/>
          <w:szCs w:val="22"/>
        </w:rPr>
        <w:t>6</w:t>
      </w:r>
      <w:r w:rsidR="00F36F7F" w:rsidRPr="00D54C3E">
        <w:rPr>
          <w:sz w:val="22"/>
          <w:szCs w:val="22"/>
        </w:rPr>
        <w:t>8</w:t>
      </w:r>
      <w:r w:rsidR="002C797A" w:rsidRPr="00D54C3E">
        <w:rPr>
          <w:sz w:val="22"/>
          <w:szCs w:val="22"/>
        </w:rPr>
        <w:t>.</w:t>
      </w:r>
      <w:r w:rsidR="001F3B66" w:rsidRPr="00D54C3E">
        <w:rPr>
          <w:sz w:val="22"/>
          <w:szCs w:val="22"/>
        </w:rPr>
        <w:t>75</w:t>
      </w:r>
      <w:r w:rsidRPr="00D54C3E">
        <w:rPr>
          <w:sz w:val="22"/>
          <w:szCs w:val="22"/>
        </w:rPr>
        <w:t xml:space="preserve"> per hour. </w:t>
      </w:r>
      <w:r w:rsidR="00535516" w:rsidRPr="00D54C3E">
        <w:rPr>
          <w:sz w:val="22"/>
          <w:szCs w:val="22"/>
        </w:rPr>
        <w:t xml:space="preserve">Personnel costs also include three weeks of two full time staff members to follow up with respondents. This time includes calls to questionnaire recipients from Commission staff to ensure that organizations reply to the questionnaire and that responses received are accurate. </w:t>
      </w:r>
      <w:r w:rsidRPr="00D54C3E">
        <w:rPr>
          <w:sz w:val="22"/>
          <w:szCs w:val="22"/>
        </w:rPr>
        <w:t xml:space="preserve">The Commission estimates that </w:t>
      </w:r>
      <w:r w:rsidR="009D4F34">
        <w:rPr>
          <w:sz w:val="22"/>
          <w:szCs w:val="22"/>
        </w:rPr>
        <w:t>3</w:t>
      </w:r>
      <w:r w:rsidR="001F3B66" w:rsidRPr="00D54C3E">
        <w:rPr>
          <w:sz w:val="22"/>
          <w:szCs w:val="22"/>
        </w:rPr>
        <w:t>,</w:t>
      </w:r>
      <w:r w:rsidR="009D4F34">
        <w:rPr>
          <w:sz w:val="22"/>
          <w:szCs w:val="22"/>
        </w:rPr>
        <w:t>920</w:t>
      </w:r>
      <w:r w:rsidRPr="00D54C3E">
        <w:rPr>
          <w:sz w:val="22"/>
          <w:szCs w:val="22"/>
        </w:rPr>
        <w:t xml:space="preserve"> personnel hours </w:t>
      </w:r>
      <w:r w:rsidR="009D4F34">
        <w:rPr>
          <w:sz w:val="22"/>
          <w:szCs w:val="22"/>
        </w:rPr>
        <w:t xml:space="preserve">(98 personnel weeks) </w:t>
      </w:r>
      <w:r w:rsidRPr="00D54C3E">
        <w:rPr>
          <w:sz w:val="22"/>
          <w:szCs w:val="22"/>
        </w:rPr>
        <w:t xml:space="preserve">will be spent on the questionnaire, which is </w:t>
      </w:r>
      <w:r w:rsidR="002C797A" w:rsidRPr="00D54C3E">
        <w:rPr>
          <w:sz w:val="22"/>
          <w:szCs w:val="22"/>
        </w:rPr>
        <w:t xml:space="preserve">approximately </w:t>
      </w:r>
      <w:r w:rsidR="001F3B66" w:rsidRPr="00D54C3E">
        <w:rPr>
          <w:sz w:val="22"/>
          <w:szCs w:val="22"/>
        </w:rPr>
        <w:t>2</w:t>
      </w:r>
      <w:r w:rsidR="009D4F34">
        <w:rPr>
          <w:sz w:val="22"/>
          <w:szCs w:val="22"/>
        </w:rPr>
        <w:t>3</w:t>
      </w:r>
      <w:r w:rsidRPr="00D54C3E">
        <w:rPr>
          <w:sz w:val="22"/>
          <w:szCs w:val="22"/>
        </w:rPr>
        <w:t xml:space="preserve"> percent of the total personnel hours the Commission budgeted for the study.</w:t>
      </w:r>
    </w:p>
    <w:p w:rsidR="00AF35D2" w:rsidRPr="00D54C3E" w:rsidRDefault="00AF35D2" w:rsidP="00064AEC">
      <w:pPr>
        <w:pStyle w:val="NoSpacing"/>
        <w:rPr>
          <w:sz w:val="22"/>
          <w:szCs w:val="22"/>
        </w:rPr>
      </w:pPr>
      <w:r w:rsidRPr="00D54C3E">
        <w:rPr>
          <w:sz w:val="22"/>
          <w:szCs w:val="22"/>
        </w:rPr>
        <w:t xml:space="preserve">**Operational costs include printing, mailing, and </w:t>
      </w:r>
      <w:r w:rsidR="002E60A3" w:rsidRPr="00D54C3E">
        <w:rPr>
          <w:sz w:val="22"/>
          <w:szCs w:val="22"/>
        </w:rPr>
        <w:t xml:space="preserve">statistical </w:t>
      </w:r>
      <w:r w:rsidRPr="00D54C3E">
        <w:rPr>
          <w:sz w:val="22"/>
          <w:szCs w:val="22"/>
        </w:rPr>
        <w:t>consultant fees.</w:t>
      </w:r>
      <w:r w:rsidR="00B16EA2">
        <w:rPr>
          <w:sz w:val="22"/>
          <w:szCs w:val="22"/>
        </w:rPr>
        <w:t xml:space="preserve"> </w:t>
      </w:r>
      <w:r w:rsidR="003C15BF">
        <w:rPr>
          <w:sz w:val="22"/>
          <w:szCs w:val="22"/>
        </w:rPr>
        <w:t xml:space="preserve">Costs for printing and mailing costs provided by a mailing house are estimated at $19,748, and statistical consultant fees are estimated at $2,851. </w:t>
      </w:r>
    </w:p>
    <w:p w:rsidR="00AF35D2" w:rsidRPr="00D54C3E" w:rsidRDefault="00AF35D2" w:rsidP="00064AEC">
      <w:pPr>
        <w:pStyle w:val="NoSpacing"/>
        <w:rPr>
          <w:sz w:val="22"/>
          <w:szCs w:val="22"/>
          <w:highlight w:val="white"/>
        </w:rPr>
      </w:pPr>
    </w:p>
    <w:p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Program change justification</w:t>
      </w:r>
    </w:p>
    <w:p w:rsidR="00AF35D2" w:rsidRPr="00D54C3E" w:rsidRDefault="00AF35D2" w:rsidP="00064AEC">
      <w:pPr>
        <w:pStyle w:val="NoSpacing"/>
        <w:rPr>
          <w:sz w:val="22"/>
          <w:szCs w:val="22"/>
          <w:highlight w:val="white"/>
        </w:rPr>
      </w:pPr>
      <w:r w:rsidRPr="00D54C3E">
        <w:rPr>
          <w:sz w:val="22"/>
          <w:szCs w:val="22"/>
          <w:highlight w:val="white"/>
        </w:rPr>
        <w:t xml:space="preserve">The Commission currently imposes no reporting burden on firms </w:t>
      </w:r>
      <w:r w:rsidR="008D35E8" w:rsidRPr="00D54C3E">
        <w:rPr>
          <w:sz w:val="22"/>
          <w:szCs w:val="22"/>
          <w:highlight w:val="white"/>
        </w:rPr>
        <w:t xml:space="preserve">with respect to </w:t>
      </w:r>
      <w:r w:rsidR="00867392">
        <w:rPr>
          <w:sz w:val="22"/>
          <w:szCs w:val="22"/>
          <w:highlight w:val="white"/>
        </w:rPr>
        <w:t>Indian industrial policies that discriminate against U.S. trade and investment.</w:t>
      </w:r>
      <w:r w:rsidR="00A80F9A" w:rsidRPr="00D54C3E">
        <w:rPr>
          <w:sz w:val="22"/>
          <w:szCs w:val="22"/>
          <w:highlight w:val="white"/>
        </w:rPr>
        <w:t xml:space="preserve"> </w:t>
      </w:r>
      <w:r w:rsidRPr="00D54C3E">
        <w:rPr>
          <w:sz w:val="22"/>
          <w:szCs w:val="22"/>
          <w:highlight w:val="white"/>
        </w:rPr>
        <w:t xml:space="preserve">The burden </w:t>
      </w:r>
      <w:r w:rsidR="008D35E8" w:rsidRPr="00D54C3E">
        <w:rPr>
          <w:sz w:val="22"/>
          <w:szCs w:val="22"/>
          <w:highlight w:val="white"/>
        </w:rPr>
        <w:t xml:space="preserve">on firms </w:t>
      </w:r>
      <w:r w:rsidRPr="00D54C3E">
        <w:rPr>
          <w:sz w:val="22"/>
          <w:szCs w:val="22"/>
          <w:highlight w:val="white"/>
        </w:rPr>
        <w:t>increased because of a request from the</w:t>
      </w:r>
      <w:r w:rsidR="00A80F9A" w:rsidRPr="00D54C3E">
        <w:rPr>
          <w:sz w:val="22"/>
          <w:szCs w:val="22"/>
          <w:highlight w:val="white"/>
        </w:rPr>
        <w:t xml:space="preserve"> </w:t>
      </w:r>
      <w:r w:rsidR="00921746">
        <w:rPr>
          <w:sz w:val="22"/>
          <w:szCs w:val="22"/>
          <w:highlight w:val="white"/>
        </w:rPr>
        <w:t>Committees</w:t>
      </w:r>
      <w:r w:rsidRPr="00D54C3E">
        <w:rPr>
          <w:sz w:val="22"/>
          <w:szCs w:val="22"/>
          <w:highlight w:val="white"/>
        </w:rPr>
        <w:t xml:space="preserve"> </w:t>
      </w:r>
      <w:r w:rsidR="008D35E8" w:rsidRPr="00D54C3E">
        <w:rPr>
          <w:sz w:val="22"/>
          <w:szCs w:val="22"/>
          <w:highlight w:val="white"/>
        </w:rPr>
        <w:t>to provide a report on</w:t>
      </w:r>
      <w:r w:rsidR="00867392">
        <w:rPr>
          <w:sz w:val="22"/>
          <w:szCs w:val="22"/>
          <w:highlight w:val="white"/>
        </w:rPr>
        <w:t xml:space="preserve"> this topic</w:t>
      </w:r>
      <w:r w:rsidR="008D35E8" w:rsidRPr="00D54C3E">
        <w:rPr>
          <w:sz w:val="22"/>
          <w:szCs w:val="22"/>
          <w:highlight w:val="white"/>
        </w:rPr>
        <w:t>.</w:t>
      </w:r>
      <w:r w:rsidRPr="00D54C3E">
        <w:rPr>
          <w:sz w:val="22"/>
          <w:szCs w:val="22"/>
          <w:highlight w:val="white"/>
        </w:rPr>
        <w:t xml:space="preserve"> Such data are not publicly available. This is a one-time collection for such data. The </w:t>
      </w:r>
      <w:r w:rsidR="00921746">
        <w:rPr>
          <w:sz w:val="22"/>
          <w:szCs w:val="22"/>
          <w:highlight w:val="white"/>
        </w:rPr>
        <w:t>Committees’</w:t>
      </w:r>
      <w:r w:rsidR="008D35E8" w:rsidRPr="00D54C3E">
        <w:rPr>
          <w:sz w:val="22"/>
          <w:szCs w:val="22"/>
          <w:highlight w:val="white"/>
        </w:rPr>
        <w:t xml:space="preserve"> </w:t>
      </w:r>
      <w:r w:rsidRPr="00D54C3E">
        <w:rPr>
          <w:sz w:val="22"/>
          <w:szCs w:val="22"/>
          <w:highlight w:val="white"/>
        </w:rPr>
        <w:t>request letter is attached as a supplemental document.</w:t>
      </w:r>
    </w:p>
    <w:p w:rsidR="00AF35D2" w:rsidRPr="00D54C3E" w:rsidRDefault="00AF35D2" w:rsidP="00064AEC">
      <w:pPr>
        <w:pStyle w:val="NoSpacing"/>
        <w:rPr>
          <w:sz w:val="22"/>
          <w:szCs w:val="22"/>
          <w:highlight w:val="white"/>
        </w:rPr>
      </w:pPr>
    </w:p>
    <w:p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Project plan and schedule</w:t>
      </w:r>
    </w:p>
    <w:p w:rsidR="00AF35D2" w:rsidRPr="00D54C3E" w:rsidRDefault="00AF35D2" w:rsidP="00064AEC">
      <w:pPr>
        <w:pStyle w:val="NoSpacing"/>
        <w:rPr>
          <w:sz w:val="22"/>
          <w:szCs w:val="22"/>
        </w:rPr>
      </w:pPr>
      <w:r w:rsidRPr="00D54C3E">
        <w:rPr>
          <w:sz w:val="22"/>
          <w:szCs w:val="22"/>
          <w:highlight w:val="white"/>
        </w:rPr>
        <w:t xml:space="preserve">After receiving completed questionnaires, Commission staff will edit and review each response for accuracy, resolve any questions with the respondent, and tabulate the returns. Data will be analyzed, compiled in a form that </w:t>
      </w:r>
      <w:r w:rsidRPr="00D54C3E">
        <w:rPr>
          <w:sz w:val="22"/>
          <w:szCs w:val="22"/>
        </w:rPr>
        <w:t xml:space="preserve">will not reveal the individual operations of any respondent, and prepared for publication. The questionnaire is scheduled to be mailed on or </w:t>
      </w:r>
      <w:r w:rsidR="00C63B56" w:rsidRPr="00D54C3E">
        <w:rPr>
          <w:sz w:val="22"/>
          <w:szCs w:val="22"/>
        </w:rPr>
        <w:t>before</w:t>
      </w:r>
      <w:r w:rsidRPr="00D54C3E">
        <w:rPr>
          <w:sz w:val="22"/>
          <w:szCs w:val="22"/>
        </w:rPr>
        <w:t xml:space="preserve"> </w:t>
      </w:r>
      <w:r w:rsidR="009D4F34">
        <w:rPr>
          <w:sz w:val="22"/>
          <w:szCs w:val="22"/>
        </w:rPr>
        <w:t>February 11, 2014</w:t>
      </w:r>
      <w:r w:rsidRPr="00D54C3E">
        <w:rPr>
          <w:sz w:val="22"/>
          <w:szCs w:val="22"/>
        </w:rPr>
        <w:t xml:space="preserve">. The respondents are requested to respond by </w:t>
      </w:r>
      <w:r w:rsidR="009D4F34">
        <w:rPr>
          <w:sz w:val="22"/>
          <w:szCs w:val="22"/>
        </w:rPr>
        <w:t>March 18, 2014</w:t>
      </w:r>
      <w:r w:rsidRPr="00D54C3E">
        <w:rPr>
          <w:sz w:val="22"/>
          <w:szCs w:val="22"/>
        </w:rPr>
        <w:t xml:space="preserve">. The report, incorporating questionnaire information, will be transmitted to the </w:t>
      </w:r>
      <w:r w:rsidR="00921746">
        <w:rPr>
          <w:sz w:val="22"/>
          <w:szCs w:val="22"/>
        </w:rPr>
        <w:t>Committees</w:t>
      </w:r>
      <w:r w:rsidR="00B66460" w:rsidRPr="00D54C3E">
        <w:rPr>
          <w:sz w:val="22"/>
          <w:szCs w:val="22"/>
        </w:rPr>
        <w:t xml:space="preserve"> </w:t>
      </w:r>
      <w:r w:rsidRPr="00D54C3E">
        <w:rPr>
          <w:sz w:val="22"/>
          <w:szCs w:val="22"/>
        </w:rPr>
        <w:t xml:space="preserve">on </w:t>
      </w:r>
      <w:r w:rsidR="009D4F34">
        <w:rPr>
          <w:sz w:val="22"/>
          <w:szCs w:val="22"/>
        </w:rPr>
        <w:t>December 15</w:t>
      </w:r>
      <w:r w:rsidR="000C2D37" w:rsidRPr="00D54C3E">
        <w:rPr>
          <w:sz w:val="22"/>
          <w:szCs w:val="22"/>
        </w:rPr>
        <w:t>, 201</w:t>
      </w:r>
      <w:r w:rsidR="0070412F">
        <w:rPr>
          <w:sz w:val="22"/>
          <w:szCs w:val="22"/>
        </w:rPr>
        <w:t>4</w:t>
      </w:r>
      <w:r w:rsidRPr="00D54C3E">
        <w:rPr>
          <w:sz w:val="22"/>
          <w:szCs w:val="22"/>
        </w:rPr>
        <w:t>.</w:t>
      </w:r>
    </w:p>
    <w:p w:rsidR="00AF35D2" w:rsidRPr="00D54C3E" w:rsidRDefault="00AF35D2" w:rsidP="00064AEC">
      <w:pPr>
        <w:pStyle w:val="NoSpacing"/>
        <w:rPr>
          <w:sz w:val="22"/>
          <w:szCs w:val="22"/>
        </w:rPr>
      </w:pPr>
    </w:p>
    <w:p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Non-display of expiration date</w:t>
      </w:r>
    </w:p>
    <w:p w:rsidR="00AF35D2" w:rsidRPr="00D54C3E" w:rsidRDefault="00AF35D2" w:rsidP="00064AEC">
      <w:pPr>
        <w:pStyle w:val="NoSpacing"/>
        <w:rPr>
          <w:sz w:val="22"/>
          <w:szCs w:val="22"/>
          <w:highlight w:val="white"/>
        </w:rPr>
      </w:pPr>
      <w:r w:rsidRPr="00D54C3E">
        <w:rPr>
          <w:sz w:val="22"/>
          <w:szCs w:val="22"/>
          <w:highlight w:val="white"/>
        </w:rPr>
        <w:t>Not applicable, the expiration date appears on page 1 of the Commission questionnaire</w:t>
      </w:r>
      <w:r w:rsidR="00E73EE5" w:rsidRPr="00D54C3E">
        <w:rPr>
          <w:sz w:val="22"/>
          <w:szCs w:val="22"/>
          <w:highlight w:val="white"/>
        </w:rPr>
        <w:t>.</w:t>
      </w:r>
    </w:p>
    <w:p w:rsidR="00AF35D2" w:rsidRPr="00D54C3E" w:rsidRDefault="00AF35D2" w:rsidP="00064AEC">
      <w:pPr>
        <w:pStyle w:val="NoSpacing"/>
        <w:rPr>
          <w:sz w:val="22"/>
          <w:szCs w:val="22"/>
          <w:highlight w:val="white"/>
        </w:rPr>
      </w:pPr>
    </w:p>
    <w:p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Exceptions to certification statement to form OMB 83-I</w:t>
      </w:r>
    </w:p>
    <w:p w:rsidR="004A3754" w:rsidRPr="00D54C3E" w:rsidRDefault="00E73EE5" w:rsidP="00064AEC">
      <w:pPr>
        <w:pStyle w:val="NoSpacing"/>
        <w:rPr>
          <w:sz w:val="22"/>
          <w:szCs w:val="22"/>
          <w:highlight w:val="white"/>
        </w:rPr>
      </w:pPr>
      <w:r w:rsidRPr="00D54C3E">
        <w:rPr>
          <w:sz w:val="22"/>
          <w:szCs w:val="22"/>
          <w:highlight w:val="white"/>
        </w:rPr>
        <w:t>Not applicable.</w:t>
      </w:r>
    </w:p>
    <w:sectPr w:rsidR="004A3754" w:rsidRPr="00D54C3E" w:rsidSect="00AF35D2">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22" w:rsidRDefault="00A66622" w:rsidP="00FF3FF8">
      <w:r>
        <w:separator/>
      </w:r>
    </w:p>
  </w:endnote>
  <w:endnote w:type="continuationSeparator" w:id="0">
    <w:p w:rsidR="00A66622" w:rsidRDefault="00A66622" w:rsidP="00F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622" w:rsidRDefault="00A66622">
    <w:pPr>
      <w:pStyle w:val="Footer"/>
      <w:jc w:val="center"/>
    </w:pPr>
    <w:r>
      <w:fldChar w:fldCharType="begin"/>
    </w:r>
    <w:r>
      <w:instrText xml:space="preserve"> PAGE   \* MERGEFORMAT </w:instrText>
    </w:r>
    <w:r>
      <w:fldChar w:fldCharType="separate"/>
    </w:r>
    <w:r w:rsidR="005C2E0D">
      <w:rPr>
        <w:noProof/>
      </w:rPr>
      <w:t>4</w:t>
    </w:r>
    <w:r>
      <w:rPr>
        <w:noProof/>
      </w:rPr>
      <w:fldChar w:fldCharType="end"/>
    </w:r>
  </w:p>
  <w:p w:rsidR="00A66622" w:rsidRDefault="00A66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22" w:rsidRDefault="00A66622" w:rsidP="00FF3FF8">
      <w:r>
        <w:separator/>
      </w:r>
    </w:p>
  </w:footnote>
  <w:footnote w:type="continuationSeparator" w:id="0">
    <w:p w:rsidR="00A66622" w:rsidRDefault="00A66622" w:rsidP="00FF3FF8">
      <w:r>
        <w:continuationSeparator/>
      </w:r>
    </w:p>
  </w:footnote>
  <w:footnote w:id="1">
    <w:p w:rsidR="00A66622" w:rsidRDefault="00A66622">
      <w:pPr>
        <w:pStyle w:val="FootnoteText"/>
      </w:pPr>
      <w:r>
        <w:rPr>
          <w:rStyle w:val="FootnoteReference"/>
        </w:rPr>
        <w:footnoteRef/>
      </w:r>
      <w:r>
        <w:t xml:space="preserve"> These industries include alcoholic beverage production and distribution, production of certain crops and livestock, and other agricultural industries. Firms with as few as 20 employees may be randomly surveyed in these industries, and industry associations provided lists of small firms in some of these industries to the USITC for use in developing the sampling population.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820"/>
    <w:multiLevelType w:val="hybridMultilevel"/>
    <w:tmpl w:val="081A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A2147"/>
    <w:multiLevelType w:val="hybridMultilevel"/>
    <w:tmpl w:val="62027F5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021E7"/>
    <w:multiLevelType w:val="hybridMultilevel"/>
    <w:tmpl w:val="D4CAF738"/>
    <w:lvl w:ilvl="0" w:tplc="FD066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7106B6"/>
    <w:multiLevelType w:val="hybridMultilevel"/>
    <w:tmpl w:val="CFC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C772B"/>
    <w:multiLevelType w:val="hybridMultilevel"/>
    <w:tmpl w:val="AA80709C"/>
    <w:lvl w:ilvl="0" w:tplc="D2E2D4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F7771"/>
    <w:multiLevelType w:val="hybridMultilevel"/>
    <w:tmpl w:val="CDEC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1E35E1"/>
    <w:multiLevelType w:val="hybridMultilevel"/>
    <w:tmpl w:val="83AE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17D0A"/>
    <w:multiLevelType w:val="hybridMultilevel"/>
    <w:tmpl w:val="A810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84916"/>
    <w:multiLevelType w:val="hybridMultilevel"/>
    <w:tmpl w:val="B3CA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D1660"/>
    <w:multiLevelType w:val="hybridMultilevel"/>
    <w:tmpl w:val="45FE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10"/>
  </w:num>
  <w:num w:numId="6">
    <w:abstractNumId w:val="2"/>
  </w:num>
  <w:num w:numId="7">
    <w:abstractNumId w:val="1"/>
  </w:num>
  <w:num w:numId="8">
    <w:abstractNumId w:val="11"/>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2851"/>
    <w:rsid w:val="0000656D"/>
    <w:rsid w:val="000276E6"/>
    <w:rsid w:val="00034561"/>
    <w:rsid w:val="000405B8"/>
    <w:rsid w:val="00044259"/>
    <w:rsid w:val="00055E72"/>
    <w:rsid w:val="00057DE6"/>
    <w:rsid w:val="00064AEC"/>
    <w:rsid w:val="000702FD"/>
    <w:rsid w:val="00084374"/>
    <w:rsid w:val="000865CE"/>
    <w:rsid w:val="00092643"/>
    <w:rsid w:val="0009507B"/>
    <w:rsid w:val="00097BF6"/>
    <w:rsid w:val="000A06A8"/>
    <w:rsid w:val="000A24D7"/>
    <w:rsid w:val="000C2D37"/>
    <w:rsid w:val="000E7006"/>
    <w:rsid w:val="00105856"/>
    <w:rsid w:val="00105F8D"/>
    <w:rsid w:val="00120A5B"/>
    <w:rsid w:val="00124497"/>
    <w:rsid w:val="00133153"/>
    <w:rsid w:val="001348AC"/>
    <w:rsid w:val="00137D0D"/>
    <w:rsid w:val="00145109"/>
    <w:rsid w:val="00152DE7"/>
    <w:rsid w:val="00156722"/>
    <w:rsid w:val="0016172F"/>
    <w:rsid w:val="00187CEF"/>
    <w:rsid w:val="001A242E"/>
    <w:rsid w:val="001A4521"/>
    <w:rsid w:val="001B6191"/>
    <w:rsid w:val="001C09F6"/>
    <w:rsid w:val="001C0E63"/>
    <w:rsid w:val="001C7D1D"/>
    <w:rsid w:val="001D17FE"/>
    <w:rsid w:val="001D37C2"/>
    <w:rsid w:val="001E3F12"/>
    <w:rsid w:val="001F3B66"/>
    <w:rsid w:val="001F3D8D"/>
    <w:rsid w:val="00201F62"/>
    <w:rsid w:val="00242497"/>
    <w:rsid w:val="0025356B"/>
    <w:rsid w:val="002539E1"/>
    <w:rsid w:val="00257A8A"/>
    <w:rsid w:val="00270231"/>
    <w:rsid w:val="00270C09"/>
    <w:rsid w:val="00290F53"/>
    <w:rsid w:val="00297BFF"/>
    <w:rsid w:val="002B1B5F"/>
    <w:rsid w:val="002C3674"/>
    <w:rsid w:val="002C650D"/>
    <w:rsid w:val="002C797A"/>
    <w:rsid w:val="002C7C78"/>
    <w:rsid w:val="002D61B0"/>
    <w:rsid w:val="002E60A3"/>
    <w:rsid w:val="002E6D78"/>
    <w:rsid w:val="002F1467"/>
    <w:rsid w:val="002F7E78"/>
    <w:rsid w:val="00300348"/>
    <w:rsid w:val="00311784"/>
    <w:rsid w:val="003148A6"/>
    <w:rsid w:val="00322F71"/>
    <w:rsid w:val="00346CD3"/>
    <w:rsid w:val="00355AD3"/>
    <w:rsid w:val="00361D0D"/>
    <w:rsid w:val="003A3E70"/>
    <w:rsid w:val="003B258A"/>
    <w:rsid w:val="003B3A62"/>
    <w:rsid w:val="003B60EE"/>
    <w:rsid w:val="003B664C"/>
    <w:rsid w:val="003C15BF"/>
    <w:rsid w:val="003C1624"/>
    <w:rsid w:val="003C2628"/>
    <w:rsid w:val="003C43C2"/>
    <w:rsid w:val="003C6AAB"/>
    <w:rsid w:val="003C6EBE"/>
    <w:rsid w:val="004219A0"/>
    <w:rsid w:val="00426CE4"/>
    <w:rsid w:val="004274C0"/>
    <w:rsid w:val="00434F75"/>
    <w:rsid w:val="004478F1"/>
    <w:rsid w:val="004542E1"/>
    <w:rsid w:val="0045459F"/>
    <w:rsid w:val="00470738"/>
    <w:rsid w:val="004741C4"/>
    <w:rsid w:val="00482947"/>
    <w:rsid w:val="0048383A"/>
    <w:rsid w:val="004840EA"/>
    <w:rsid w:val="00486C9D"/>
    <w:rsid w:val="004A0905"/>
    <w:rsid w:val="004A3754"/>
    <w:rsid w:val="004A6FDE"/>
    <w:rsid w:val="004A7524"/>
    <w:rsid w:val="004A7839"/>
    <w:rsid w:val="004B2891"/>
    <w:rsid w:val="004C74EB"/>
    <w:rsid w:val="004D32DB"/>
    <w:rsid w:val="004F107B"/>
    <w:rsid w:val="00514556"/>
    <w:rsid w:val="00526814"/>
    <w:rsid w:val="00535516"/>
    <w:rsid w:val="00536707"/>
    <w:rsid w:val="005371DD"/>
    <w:rsid w:val="00546B61"/>
    <w:rsid w:val="005547A9"/>
    <w:rsid w:val="00554F50"/>
    <w:rsid w:val="0055589E"/>
    <w:rsid w:val="005601C7"/>
    <w:rsid w:val="00564C8F"/>
    <w:rsid w:val="0056601D"/>
    <w:rsid w:val="005670C0"/>
    <w:rsid w:val="0058248E"/>
    <w:rsid w:val="005A6E0D"/>
    <w:rsid w:val="005B348D"/>
    <w:rsid w:val="005B44E2"/>
    <w:rsid w:val="005C2E0D"/>
    <w:rsid w:val="005C3CA6"/>
    <w:rsid w:val="005D2E32"/>
    <w:rsid w:val="005E064C"/>
    <w:rsid w:val="005E149B"/>
    <w:rsid w:val="0060645C"/>
    <w:rsid w:val="00641BE3"/>
    <w:rsid w:val="006630EF"/>
    <w:rsid w:val="00667272"/>
    <w:rsid w:val="006A6F69"/>
    <w:rsid w:val="006D77A5"/>
    <w:rsid w:val="006D78D3"/>
    <w:rsid w:val="006E01BE"/>
    <w:rsid w:val="006E2A78"/>
    <w:rsid w:val="006F550D"/>
    <w:rsid w:val="0070295F"/>
    <w:rsid w:val="0070412F"/>
    <w:rsid w:val="00721486"/>
    <w:rsid w:val="00726830"/>
    <w:rsid w:val="0073091F"/>
    <w:rsid w:val="00737A81"/>
    <w:rsid w:val="00751522"/>
    <w:rsid w:val="00772FFD"/>
    <w:rsid w:val="0077456C"/>
    <w:rsid w:val="0077772B"/>
    <w:rsid w:val="00796760"/>
    <w:rsid w:val="007A00F5"/>
    <w:rsid w:val="007C1227"/>
    <w:rsid w:val="007C64CF"/>
    <w:rsid w:val="007D09C8"/>
    <w:rsid w:val="007D1DAC"/>
    <w:rsid w:val="007F4AF0"/>
    <w:rsid w:val="008027A9"/>
    <w:rsid w:val="008269D5"/>
    <w:rsid w:val="00833B35"/>
    <w:rsid w:val="008349A6"/>
    <w:rsid w:val="00834D9A"/>
    <w:rsid w:val="008428E7"/>
    <w:rsid w:val="00844967"/>
    <w:rsid w:val="00847B03"/>
    <w:rsid w:val="00853BA1"/>
    <w:rsid w:val="00855010"/>
    <w:rsid w:val="0085784A"/>
    <w:rsid w:val="00860CF9"/>
    <w:rsid w:val="008669C3"/>
    <w:rsid w:val="00867392"/>
    <w:rsid w:val="00880BE1"/>
    <w:rsid w:val="00886E2A"/>
    <w:rsid w:val="008A4F38"/>
    <w:rsid w:val="008B0CDA"/>
    <w:rsid w:val="008B1254"/>
    <w:rsid w:val="008B1C73"/>
    <w:rsid w:val="008C5D34"/>
    <w:rsid w:val="008D33B4"/>
    <w:rsid w:val="008D35E8"/>
    <w:rsid w:val="008E7D9E"/>
    <w:rsid w:val="008F5712"/>
    <w:rsid w:val="0090401C"/>
    <w:rsid w:val="009049FC"/>
    <w:rsid w:val="00904D03"/>
    <w:rsid w:val="00905177"/>
    <w:rsid w:val="00907841"/>
    <w:rsid w:val="00920C04"/>
    <w:rsid w:val="00921561"/>
    <w:rsid w:val="00921746"/>
    <w:rsid w:val="00924A3D"/>
    <w:rsid w:val="00930BC5"/>
    <w:rsid w:val="00934BB1"/>
    <w:rsid w:val="0094346A"/>
    <w:rsid w:val="009452D4"/>
    <w:rsid w:val="00950FAF"/>
    <w:rsid w:val="00957E13"/>
    <w:rsid w:val="00957FB9"/>
    <w:rsid w:val="009649DD"/>
    <w:rsid w:val="00972538"/>
    <w:rsid w:val="00986A76"/>
    <w:rsid w:val="00986CEC"/>
    <w:rsid w:val="00990771"/>
    <w:rsid w:val="00992AF4"/>
    <w:rsid w:val="009A385D"/>
    <w:rsid w:val="009B0841"/>
    <w:rsid w:val="009C2D04"/>
    <w:rsid w:val="009D4F34"/>
    <w:rsid w:val="009F6489"/>
    <w:rsid w:val="00A042BE"/>
    <w:rsid w:val="00A12B25"/>
    <w:rsid w:val="00A3192B"/>
    <w:rsid w:val="00A35334"/>
    <w:rsid w:val="00A37EA2"/>
    <w:rsid w:val="00A517DE"/>
    <w:rsid w:val="00A6333B"/>
    <w:rsid w:val="00A66622"/>
    <w:rsid w:val="00A67168"/>
    <w:rsid w:val="00A80F9A"/>
    <w:rsid w:val="00A81656"/>
    <w:rsid w:val="00A81D76"/>
    <w:rsid w:val="00A86E0B"/>
    <w:rsid w:val="00A908BB"/>
    <w:rsid w:val="00A942E1"/>
    <w:rsid w:val="00A944E2"/>
    <w:rsid w:val="00AA554F"/>
    <w:rsid w:val="00AB2C76"/>
    <w:rsid w:val="00AC2E09"/>
    <w:rsid w:val="00AC6C06"/>
    <w:rsid w:val="00AD647B"/>
    <w:rsid w:val="00AE478D"/>
    <w:rsid w:val="00AE6069"/>
    <w:rsid w:val="00AF35D2"/>
    <w:rsid w:val="00AF73C2"/>
    <w:rsid w:val="00B04905"/>
    <w:rsid w:val="00B0644F"/>
    <w:rsid w:val="00B07DAA"/>
    <w:rsid w:val="00B1022F"/>
    <w:rsid w:val="00B15065"/>
    <w:rsid w:val="00B16EA2"/>
    <w:rsid w:val="00B224B4"/>
    <w:rsid w:val="00B24293"/>
    <w:rsid w:val="00B32C3C"/>
    <w:rsid w:val="00B422E7"/>
    <w:rsid w:val="00B43DFB"/>
    <w:rsid w:val="00B45532"/>
    <w:rsid w:val="00B54F56"/>
    <w:rsid w:val="00B54FED"/>
    <w:rsid w:val="00B66460"/>
    <w:rsid w:val="00B7235A"/>
    <w:rsid w:val="00B86BDF"/>
    <w:rsid w:val="00B90D23"/>
    <w:rsid w:val="00B97AE8"/>
    <w:rsid w:val="00BA3632"/>
    <w:rsid w:val="00BB3444"/>
    <w:rsid w:val="00BD508A"/>
    <w:rsid w:val="00BE5142"/>
    <w:rsid w:val="00BE652C"/>
    <w:rsid w:val="00C02F45"/>
    <w:rsid w:val="00C22783"/>
    <w:rsid w:val="00C260A1"/>
    <w:rsid w:val="00C345C2"/>
    <w:rsid w:val="00C5103C"/>
    <w:rsid w:val="00C5264A"/>
    <w:rsid w:val="00C63B56"/>
    <w:rsid w:val="00C66DF3"/>
    <w:rsid w:val="00C675FC"/>
    <w:rsid w:val="00C72412"/>
    <w:rsid w:val="00C73F16"/>
    <w:rsid w:val="00C7621F"/>
    <w:rsid w:val="00C85C29"/>
    <w:rsid w:val="00C91C7D"/>
    <w:rsid w:val="00C95584"/>
    <w:rsid w:val="00CA35D4"/>
    <w:rsid w:val="00CC0B2D"/>
    <w:rsid w:val="00CC2EF8"/>
    <w:rsid w:val="00CC3398"/>
    <w:rsid w:val="00CD3281"/>
    <w:rsid w:val="00CD402A"/>
    <w:rsid w:val="00CE241D"/>
    <w:rsid w:val="00CF4A66"/>
    <w:rsid w:val="00CF5F67"/>
    <w:rsid w:val="00CF6890"/>
    <w:rsid w:val="00D01306"/>
    <w:rsid w:val="00D049B7"/>
    <w:rsid w:val="00D13698"/>
    <w:rsid w:val="00D24B5D"/>
    <w:rsid w:val="00D30BF6"/>
    <w:rsid w:val="00D32C65"/>
    <w:rsid w:val="00D53AFD"/>
    <w:rsid w:val="00D54242"/>
    <w:rsid w:val="00D54C3E"/>
    <w:rsid w:val="00D76D2A"/>
    <w:rsid w:val="00D978C6"/>
    <w:rsid w:val="00DA233F"/>
    <w:rsid w:val="00DB5089"/>
    <w:rsid w:val="00DC1CCB"/>
    <w:rsid w:val="00DC681D"/>
    <w:rsid w:val="00E01A78"/>
    <w:rsid w:val="00E02112"/>
    <w:rsid w:val="00E22E34"/>
    <w:rsid w:val="00E247B2"/>
    <w:rsid w:val="00E25368"/>
    <w:rsid w:val="00E33906"/>
    <w:rsid w:val="00E5755B"/>
    <w:rsid w:val="00E640B8"/>
    <w:rsid w:val="00E65F4A"/>
    <w:rsid w:val="00E73608"/>
    <w:rsid w:val="00E73EE5"/>
    <w:rsid w:val="00E748A4"/>
    <w:rsid w:val="00E74CB3"/>
    <w:rsid w:val="00EB10E4"/>
    <w:rsid w:val="00EB2561"/>
    <w:rsid w:val="00ED6CE2"/>
    <w:rsid w:val="00EE39B1"/>
    <w:rsid w:val="00EF176C"/>
    <w:rsid w:val="00EF272F"/>
    <w:rsid w:val="00EF52C1"/>
    <w:rsid w:val="00EF5AB5"/>
    <w:rsid w:val="00EF6C40"/>
    <w:rsid w:val="00F017E8"/>
    <w:rsid w:val="00F070FC"/>
    <w:rsid w:val="00F15D0E"/>
    <w:rsid w:val="00F17923"/>
    <w:rsid w:val="00F3392A"/>
    <w:rsid w:val="00F35189"/>
    <w:rsid w:val="00F36F7F"/>
    <w:rsid w:val="00F4510C"/>
    <w:rsid w:val="00F52AC8"/>
    <w:rsid w:val="00F60A03"/>
    <w:rsid w:val="00F63C38"/>
    <w:rsid w:val="00F70A5F"/>
    <w:rsid w:val="00F770EC"/>
    <w:rsid w:val="00F95CE9"/>
    <w:rsid w:val="00FA24DC"/>
    <w:rsid w:val="00FC278F"/>
    <w:rsid w:val="00FC5949"/>
    <w:rsid w:val="00FD4C4E"/>
    <w:rsid w:val="00FE44EB"/>
    <w:rsid w:val="00F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1B6191"/>
    <w:pPr>
      <w:keepNext/>
      <w:jc w:val="center"/>
      <w:outlineLvl w:val="0"/>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B61"/>
  </w:style>
  <w:style w:type="character" w:customStyle="1" w:styleId="FootnoteTextChar">
    <w:name w:val="Footnote Text Char"/>
    <w:basedOn w:val="DefaultParagraphFont"/>
    <w:link w:val="FootnoteText"/>
    <w:uiPriority w:val="99"/>
    <w:semiHidden/>
    <w:rsid w:val="00546B61"/>
    <w:rPr>
      <w:rFonts w:ascii="Times New Roman" w:hAnsi="Times New Roman"/>
    </w:rPr>
  </w:style>
  <w:style w:type="character" w:styleId="FootnoteReference">
    <w:name w:val="footnote reference"/>
    <w:basedOn w:val="DefaultParagraphFont"/>
    <w:uiPriority w:val="99"/>
    <w:semiHidden/>
    <w:unhideWhenUsed/>
    <w:rsid w:val="00546B61"/>
    <w:rPr>
      <w:vertAlign w:val="superscript"/>
    </w:rPr>
  </w:style>
  <w:style w:type="character" w:customStyle="1" w:styleId="Heading1Char">
    <w:name w:val="Heading 1 Char"/>
    <w:basedOn w:val="DefaultParagraphFont"/>
    <w:link w:val="Heading1"/>
    <w:uiPriority w:val="9"/>
    <w:rsid w:val="001B6191"/>
    <w:rPr>
      <w:rFonts w:ascii="Times New Roman" w:hAnsi="Times New Roman"/>
      <w:i/>
      <w:sz w:val="22"/>
      <w:szCs w:val="22"/>
    </w:rPr>
  </w:style>
  <w:style w:type="character" w:styleId="FollowedHyperlink">
    <w:name w:val="FollowedHyperlink"/>
    <w:basedOn w:val="DefaultParagraphFont"/>
    <w:uiPriority w:val="99"/>
    <w:semiHidden/>
    <w:unhideWhenUsed/>
    <w:rsid w:val="005C2E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1B6191"/>
    <w:pPr>
      <w:keepNext/>
      <w:jc w:val="center"/>
      <w:outlineLvl w:val="0"/>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6B61"/>
  </w:style>
  <w:style w:type="character" w:customStyle="1" w:styleId="FootnoteTextChar">
    <w:name w:val="Footnote Text Char"/>
    <w:basedOn w:val="DefaultParagraphFont"/>
    <w:link w:val="FootnoteText"/>
    <w:uiPriority w:val="99"/>
    <w:semiHidden/>
    <w:rsid w:val="00546B61"/>
    <w:rPr>
      <w:rFonts w:ascii="Times New Roman" w:hAnsi="Times New Roman"/>
    </w:rPr>
  </w:style>
  <w:style w:type="character" w:styleId="FootnoteReference">
    <w:name w:val="footnote reference"/>
    <w:basedOn w:val="DefaultParagraphFont"/>
    <w:uiPriority w:val="99"/>
    <w:semiHidden/>
    <w:unhideWhenUsed/>
    <w:rsid w:val="00546B61"/>
    <w:rPr>
      <w:vertAlign w:val="superscript"/>
    </w:rPr>
  </w:style>
  <w:style w:type="character" w:customStyle="1" w:styleId="Heading1Char">
    <w:name w:val="Heading 1 Char"/>
    <w:basedOn w:val="DefaultParagraphFont"/>
    <w:link w:val="Heading1"/>
    <w:uiPriority w:val="9"/>
    <w:rsid w:val="001B6191"/>
    <w:rPr>
      <w:rFonts w:ascii="Times New Roman" w:hAnsi="Times New Roman"/>
      <w:i/>
      <w:sz w:val="22"/>
      <w:szCs w:val="22"/>
    </w:rPr>
  </w:style>
  <w:style w:type="character" w:styleId="FollowedHyperlink">
    <w:name w:val="FollowedHyperlink"/>
    <w:basedOn w:val="DefaultParagraphFont"/>
    <w:uiPriority w:val="99"/>
    <w:semiHidden/>
    <w:unhideWhenUsed/>
    <w:rsid w:val="005C2E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205533012">
      <w:bodyDiv w:val="1"/>
      <w:marLeft w:val="0"/>
      <w:marRight w:val="0"/>
      <w:marTop w:val="0"/>
      <w:marBottom w:val="0"/>
      <w:divBdr>
        <w:top w:val="none" w:sz="0" w:space="0" w:color="auto"/>
        <w:left w:val="none" w:sz="0" w:space="0" w:color="auto"/>
        <w:bottom w:val="none" w:sz="0" w:space="0" w:color="auto"/>
        <w:right w:val="none" w:sz="0" w:space="0" w:color="auto"/>
      </w:divBdr>
    </w:div>
    <w:div w:id="342245700">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9046614">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36972779">
      <w:bodyDiv w:val="1"/>
      <w:marLeft w:val="0"/>
      <w:marRight w:val="0"/>
      <w:marTop w:val="0"/>
      <w:marBottom w:val="0"/>
      <w:divBdr>
        <w:top w:val="none" w:sz="0" w:space="0" w:color="auto"/>
        <w:left w:val="none" w:sz="0" w:space="0" w:color="auto"/>
        <w:bottom w:val="none" w:sz="0" w:space="0" w:color="auto"/>
        <w:right w:val="none" w:sz="0" w:space="0" w:color="auto"/>
      </w:divBdr>
    </w:div>
    <w:div w:id="763764015">
      <w:bodyDiv w:val="1"/>
      <w:marLeft w:val="0"/>
      <w:marRight w:val="0"/>
      <w:marTop w:val="0"/>
      <w:marBottom w:val="0"/>
      <w:divBdr>
        <w:top w:val="none" w:sz="0" w:space="0" w:color="auto"/>
        <w:left w:val="none" w:sz="0" w:space="0" w:color="auto"/>
        <w:bottom w:val="none" w:sz="0" w:space="0" w:color="auto"/>
        <w:right w:val="none" w:sz="0" w:space="0" w:color="auto"/>
      </w:divBdr>
    </w:div>
    <w:div w:id="779107541">
      <w:bodyDiv w:val="1"/>
      <w:marLeft w:val="0"/>
      <w:marRight w:val="0"/>
      <w:marTop w:val="0"/>
      <w:marBottom w:val="0"/>
      <w:divBdr>
        <w:top w:val="none" w:sz="0" w:space="0" w:color="auto"/>
        <w:left w:val="none" w:sz="0" w:space="0" w:color="auto"/>
        <w:bottom w:val="none" w:sz="0" w:space="0" w:color="auto"/>
        <w:right w:val="none" w:sz="0" w:space="0" w:color="auto"/>
      </w:divBdr>
    </w:div>
    <w:div w:id="806780216">
      <w:bodyDiv w:val="1"/>
      <w:marLeft w:val="0"/>
      <w:marRight w:val="0"/>
      <w:marTop w:val="0"/>
      <w:marBottom w:val="0"/>
      <w:divBdr>
        <w:top w:val="none" w:sz="0" w:space="0" w:color="auto"/>
        <w:left w:val="none" w:sz="0" w:space="0" w:color="auto"/>
        <w:bottom w:val="none" w:sz="0" w:space="0" w:color="auto"/>
        <w:right w:val="none" w:sz="0" w:space="0" w:color="auto"/>
      </w:divBdr>
    </w:div>
    <w:div w:id="822047391">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11231069">
      <w:bodyDiv w:val="1"/>
      <w:marLeft w:val="0"/>
      <w:marRight w:val="0"/>
      <w:marTop w:val="0"/>
      <w:marBottom w:val="0"/>
      <w:divBdr>
        <w:top w:val="none" w:sz="0" w:space="0" w:color="auto"/>
        <w:left w:val="none" w:sz="0" w:space="0" w:color="auto"/>
        <w:bottom w:val="none" w:sz="0" w:space="0" w:color="auto"/>
        <w:right w:val="none" w:sz="0" w:space="0" w:color="auto"/>
      </w:divBdr>
    </w:div>
    <w:div w:id="937100858">
      <w:bodyDiv w:val="1"/>
      <w:marLeft w:val="0"/>
      <w:marRight w:val="0"/>
      <w:marTop w:val="0"/>
      <w:marBottom w:val="0"/>
      <w:divBdr>
        <w:top w:val="none" w:sz="0" w:space="0" w:color="auto"/>
        <w:left w:val="none" w:sz="0" w:space="0" w:color="auto"/>
        <w:bottom w:val="none" w:sz="0" w:space="0" w:color="auto"/>
        <w:right w:val="none" w:sz="0" w:space="0" w:color="auto"/>
      </w:divBdr>
    </w:div>
    <w:div w:id="941112788">
      <w:bodyDiv w:val="1"/>
      <w:marLeft w:val="0"/>
      <w:marRight w:val="0"/>
      <w:marTop w:val="0"/>
      <w:marBottom w:val="0"/>
      <w:divBdr>
        <w:top w:val="none" w:sz="0" w:space="0" w:color="auto"/>
        <w:left w:val="none" w:sz="0" w:space="0" w:color="auto"/>
        <w:bottom w:val="none" w:sz="0" w:space="0" w:color="auto"/>
        <w:right w:val="none" w:sz="0" w:space="0" w:color="auto"/>
      </w:divBdr>
    </w:div>
    <w:div w:id="1135024707">
      <w:bodyDiv w:val="1"/>
      <w:marLeft w:val="0"/>
      <w:marRight w:val="0"/>
      <w:marTop w:val="0"/>
      <w:marBottom w:val="0"/>
      <w:divBdr>
        <w:top w:val="none" w:sz="0" w:space="0" w:color="auto"/>
        <w:left w:val="none" w:sz="0" w:space="0" w:color="auto"/>
        <w:bottom w:val="none" w:sz="0" w:space="0" w:color="auto"/>
        <w:right w:val="none" w:sz="0" w:space="0" w:color="auto"/>
      </w:divBdr>
    </w:div>
    <w:div w:id="1199777671">
      <w:bodyDiv w:val="1"/>
      <w:marLeft w:val="0"/>
      <w:marRight w:val="0"/>
      <w:marTop w:val="0"/>
      <w:marBottom w:val="0"/>
      <w:divBdr>
        <w:top w:val="none" w:sz="0" w:space="0" w:color="auto"/>
        <w:left w:val="none" w:sz="0" w:space="0" w:color="auto"/>
        <w:bottom w:val="none" w:sz="0" w:space="0" w:color="auto"/>
        <w:right w:val="none" w:sz="0" w:space="0" w:color="auto"/>
      </w:divBdr>
    </w:div>
    <w:div w:id="1218201988">
      <w:bodyDiv w:val="1"/>
      <w:marLeft w:val="0"/>
      <w:marRight w:val="0"/>
      <w:marTop w:val="0"/>
      <w:marBottom w:val="0"/>
      <w:divBdr>
        <w:top w:val="none" w:sz="0" w:space="0" w:color="auto"/>
        <w:left w:val="none" w:sz="0" w:space="0" w:color="auto"/>
        <w:bottom w:val="none" w:sz="0" w:space="0" w:color="auto"/>
        <w:right w:val="none" w:sz="0" w:space="0" w:color="auto"/>
      </w:divBdr>
    </w:div>
    <w:div w:id="1289697670">
      <w:bodyDiv w:val="1"/>
      <w:marLeft w:val="0"/>
      <w:marRight w:val="0"/>
      <w:marTop w:val="0"/>
      <w:marBottom w:val="0"/>
      <w:divBdr>
        <w:top w:val="none" w:sz="0" w:space="0" w:color="auto"/>
        <w:left w:val="none" w:sz="0" w:space="0" w:color="auto"/>
        <w:bottom w:val="none" w:sz="0" w:space="0" w:color="auto"/>
        <w:right w:val="none" w:sz="0" w:space="0" w:color="auto"/>
      </w:divBdr>
    </w:div>
    <w:div w:id="1307584562">
      <w:bodyDiv w:val="1"/>
      <w:marLeft w:val="0"/>
      <w:marRight w:val="0"/>
      <w:marTop w:val="0"/>
      <w:marBottom w:val="0"/>
      <w:divBdr>
        <w:top w:val="none" w:sz="0" w:space="0" w:color="auto"/>
        <w:left w:val="none" w:sz="0" w:space="0" w:color="auto"/>
        <w:bottom w:val="none" w:sz="0" w:space="0" w:color="auto"/>
        <w:right w:val="none" w:sz="0" w:space="0" w:color="auto"/>
      </w:divBdr>
    </w:div>
    <w:div w:id="1372874959">
      <w:bodyDiv w:val="1"/>
      <w:marLeft w:val="0"/>
      <w:marRight w:val="0"/>
      <w:marTop w:val="0"/>
      <w:marBottom w:val="0"/>
      <w:divBdr>
        <w:top w:val="none" w:sz="0" w:space="0" w:color="auto"/>
        <w:left w:val="none" w:sz="0" w:space="0" w:color="auto"/>
        <w:bottom w:val="none" w:sz="0" w:space="0" w:color="auto"/>
        <w:right w:val="none" w:sz="0" w:space="0" w:color="auto"/>
      </w:divBdr>
    </w:div>
    <w:div w:id="1413892722">
      <w:bodyDiv w:val="1"/>
      <w:marLeft w:val="0"/>
      <w:marRight w:val="0"/>
      <w:marTop w:val="0"/>
      <w:marBottom w:val="0"/>
      <w:divBdr>
        <w:top w:val="none" w:sz="0" w:space="0" w:color="auto"/>
        <w:left w:val="none" w:sz="0" w:space="0" w:color="auto"/>
        <w:bottom w:val="none" w:sz="0" w:space="0" w:color="auto"/>
        <w:right w:val="none" w:sz="0" w:space="0" w:color="auto"/>
      </w:divBdr>
    </w:div>
    <w:div w:id="1458178085">
      <w:bodyDiv w:val="1"/>
      <w:marLeft w:val="0"/>
      <w:marRight w:val="0"/>
      <w:marTop w:val="0"/>
      <w:marBottom w:val="0"/>
      <w:divBdr>
        <w:top w:val="none" w:sz="0" w:space="0" w:color="auto"/>
        <w:left w:val="none" w:sz="0" w:space="0" w:color="auto"/>
        <w:bottom w:val="none" w:sz="0" w:space="0" w:color="auto"/>
        <w:right w:val="none" w:sz="0" w:space="0" w:color="auto"/>
      </w:divBdr>
    </w:div>
    <w:div w:id="1570919416">
      <w:bodyDiv w:val="1"/>
      <w:marLeft w:val="0"/>
      <w:marRight w:val="0"/>
      <w:marTop w:val="0"/>
      <w:marBottom w:val="0"/>
      <w:divBdr>
        <w:top w:val="none" w:sz="0" w:space="0" w:color="auto"/>
        <w:left w:val="none" w:sz="0" w:space="0" w:color="auto"/>
        <w:bottom w:val="none" w:sz="0" w:space="0" w:color="auto"/>
        <w:right w:val="none" w:sz="0" w:space="0" w:color="auto"/>
      </w:divBdr>
    </w:div>
    <w:div w:id="1778673996">
      <w:bodyDiv w:val="1"/>
      <w:marLeft w:val="0"/>
      <w:marRight w:val="0"/>
      <w:marTop w:val="0"/>
      <w:marBottom w:val="0"/>
      <w:divBdr>
        <w:top w:val="none" w:sz="0" w:space="0" w:color="auto"/>
        <w:left w:val="none" w:sz="0" w:space="0" w:color="auto"/>
        <w:bottom w:val="none" w:sz="0" w:space="0" w:color="auto"/>
        <w:right w:val="none" w:sz="0" w:space="0" w:color="auto"/>
      </w:divBdr>
    </w:div>
    <w:div w:id="2061902766">
      <w:bodyDiv w:val="1"/>
      <w:marLeft w:val="0"/>
      <w:marRight w:val="0"/>
      <w:marTop w:val="0"/>
      <w:marBottom w:val="0"/>
      <w:divBdr>
        <w:top w:val="none" w:sz="0" w:space="0" w:color="auto"/>
        <w:left w:val="none" w:sz="0" w:space="0" w:color="auto"/>
        <w:bottom w:val="none" w:sz="0" w:space="0" w:color="auto"/>
        <w:right w:val="none" w:sz="0" w:space="0" w:color="auto"/>
      </w:divBdr>
    </w:div>
    <w:div w:id="208799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itc.gov/research_and_analysis/What_We_Are_Working_O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apps2.usitc.gov/comments_332_54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itc.gov/indiasurvey" TargetMode="External"/><Relationship Id="rId4" Type="http://schemas.microsoft.com/office/2007/relationships/stylesWithEffects" Target="stylesWithEffects.xml"/><Relationship Id="rId9" Type="http://schemas.openxmlformats.org/officeDocument/2006/relationships/hyperlink" Target="http://pubapps2.usitc.gov/comments_332_5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1E73-69D0-449A-807F-F629FE01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D021B6A8</Template>
  <TotalTime>49</TotalTime>
  <Pages>8</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22950</CharactersWithSpaces>
  <SharedDoc>false</SharedDoc>
  <HLinks>
    <vt:vector size="42" baseType="variant">
      <vt:variant>
        <vt:i4>7602262</vt:i4>
      </vt:variant>
      <vt:variant>
        <vt:i4>20</vt:i4>
      </vt:variant>
      <vt:variant>
        <vt:i4>0</vt:i4>
      </vt:variant>
      <vt:variant>
        <vt:i4>5</vt:i4>
      </vt:variant>
      <vt:variant>
        <vt:lpwstr>mailto:mns@msk.com</vt:lpwstr>
      </vt:variant>
      <vt:variant>
        <vt:lpwstr/>
      </vt:variant>
      <vt:variant>
        <vt:i4>5177399</vt:i4>
      </vt:variant>
      <vt:variant>
        <vt:i4>17</vt:i4>
      </vt:variant>
      <vt:variant>
        <vt:i4>0</vt:i4>
      </vt:variant>
      <vt:variant>
        <vt:i4>5</vt:i4>
      </vt:variant>
      <vt:variant>
        <vt:lpwstr>mailto:alexander.perkins@Chrysler.com</vt:lpwstr>
      </vt:variant>
      <vt:variant>
        <vt:lpwstr/>
      </vt:variant>
      <vt:variant>
        <vt:i4>5767216</vt:i4>
      </vt:variant>
      <vt:variant>
        <vt:i4>14</vt:i4>
      </vt:variant>
      <vt:variant>
        <vt:i4>0</vt:i4>
      </vt:variant>
      <vt:variant>
        <vt:i4>5</vt:i4>
      </vt:variant>
      <vt:variant>
        <vt:lpwstr>mailto:stewarts@us.ibm.com</vt:lpwstr>
      </vt:variant>
      <vt:variant>
        <vt:lpwstr/>
      </vt:variant>
      <vt:variant>
        <vt:i4>3932211</vt:i4>
      </vt:variant>
      <vt:variant>
        <vt:i4>11</vt:i4>
      </vt:variant>
      <vt:variant>
        <vt:i4>0</vt:i4>
      </vt:variant>
      <vt:variant>
        <vt:i4>5</vt:i4>
      </vt:variant>
      <vt:variant>
        <vt:lpwstr>http://www.usitc.gov/research_and_analysis/What_We_Are_Working_On.htm</vt:lpwstr>
      </vt:variant>
      <vt:variant>
        <vt:lpwstr/>
      </vt:variant>
      <vt:variant>
        <vt:i4>7274554</vt:i4>
      </vt:variant>
      <vt:variant>
        <vt:i4>8</vt:i4>
      </vt:variant>
      <vt:variant>
        <vt:i4>0</vt:i4>
      </vt:variant>
      <vt:variant>
        <vt:i4>5</vt:i4>
      </vt:variant>
      <vt:variant>
        <vt:lpwstr>http://usitc.gov/332540comments</vt:lpwstr>
      </vt:variant>
      <vt:variant>
        <vt:lpwstr/>
      </vt:variant>
      <vt:variant>
        <vt:i4>4718669</vt:i4>
      </vt:variant>
      <vt:variant>
        <vt:i4>5</vt:i4>
      </vt:variant>
      <vt:variant>
        <vt:i4>0</vt:i4>
      </vt:variant>
      <vt:variant>
        <vt:i4>5</vt:i4>
      </vt:variant>
      <vt:variant>
        <vt:lpwstr>http://www.usitc.gov/digitaltrade</vt:lpwstr>
      </vt:variant>
      <vt:variant>
        <vt:lpwstr/>
      </vt:variant>
      <vt:variant>
        <vt:i4>7274595</vt:i4>
      </vt:variant>
      <vt:variant>
        <vt:i4>2</vt:i4>
      </vt:variant>
      <vt:variant>
        <vt:i4>0</vt:i4>
      </vt:variant>
      <vt:variant>
        <vt:i4>5</vt:i4>
      </vt:variant>
      <vt:variant>
        <vt:lpwstr>http://www.usitc.gov/332540comments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Berry, Renee</cp:lastModifiedBy>
  <cp:revision>10</cp:revision>
  <cp:lastPrinted>2013-09-04T15:50:00Z</cp:lastPrinted>
  <dcterms:created xsi:type="dcterms:W3CDTF">2013-12-19T22:42:00Z</dcterms:created>
  <dcterms:modified xsi:type="dcterms:W3CDTF">2013-12-23T16:14:00Z</dcterms:modified>
</cp:coreProperties>
</file>