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8" w:rsidRPr="00A90E28" w:rsidRDefault="00AF35D2" w:rsidP="00A90E28">
      <w:pPr>
        <w:jc w:val="center"/>
        <w:rPr>
          <w:sz w:val="24"/>
          <w:szCs w:val="24"/>
          <w:highlight w:val="white"/>
        </w:rPr>
      </w:pPr>
      <w:r w:rsidRPr="00A90E28">
        <w:rPr>
          <w:sz w:val="24"/>
          <w:szCs w:val="24"/>
          <w:highlight w:val="white"/>
        </w:rPr>
        <w:t xml:space="preserve">SUPPORTING STATEMENT </w:t>
      </w:r>
    </w:p>
    <w:p w:rsidR="008A6559" w:rsidRPr="00A90E28" w:rsidRDefault="00AF35D2" w:rsidP="00A90E28">
      <w:pPr>
        <w:jc w:val="center"/>
        <w:rPr>
          <w:sz w:val="24"/>
          <w:szCs w:val="24"/>
          <w:highlight w:val="white"/>
        </w:rPr>
      </w:pPr>
      <w:r w:rsidRPr="00A90E28">
        <w:rPr>
          <w:sz w:val="24"/>
          <w:szCs w:val="24"/>
          <w:highlight w:val="white"/>
        </w:rPr>
        <w:t>UNITED STATES INTERNATIONAL</w:t>
      </w:r>
      <w:r w:rsidR="00A90E28" w:rsidRPr="00A90E28">
        <w:rPr>
          <w:sz w:val="24"/>
          <w:szCs w:val="24"/>
          <w:highlight w:val="white"/>
        </w:rPr>
        <w:t xml:space="preserve"> TRADE COMMISSION QUESTIONNAIRE</w:t>
      </w:r>
    </w:p>
    <w:p w:rsidR="00AF35D2" w:rsidRPr="00A90E28" w:rsidRDefault="0019649D" w:rsidP="00A90E28">
      <w:pPr>
        <w:jc w:val="center"/>
        <w:rPr>
          <w:sz w:val="24"/>
          <w:szCs w:val="24"/>
          <w:highlight w:val="white"/>
        </w:rPr>
      </w:pPr>
      <w:r>
        <w:rPr>
          <w:bCs/>
          <w:sz w:val="24"/>
          <w:szCs w:val="24"/>
          <w:highlight w:val="white"/>
        </w:rPr>
        <w:t>Trade, Investment, and Industrial Policies</w:t>
      </w:r>
      <w:r w:rsidR="00FD71F3">
        <w:rPr>
          <w:bCs/>
          <w:sz w:val="24"/>
          <w:szCs w:val="24"/>
          <w:highlight w:val="white"/>
        </w:rPr>
        <w:t xml:space="preserve"> in India</w:t>
      </w:r>
      <w:r>
        <w:rPr>
          <w:bCs/>
          <w:sz w:val="24"/>
          <w:szCs w:val="24"/>
          <w:highlight w:val="white"/>
        </w:rPr>
        <w:t>: Effects on the U.S. Economy</w:t>
      </w:r>
    </w:p>
    <w:p w:rsidR="00AF35D2" w:rsidRPr="00A90E28" w:rsidRDefault="00AF35D2" w:rsidP="00A90E28">
      <w:pPr>
        <w:rPr>
          <w:sz w:val="24"/>
          <w:szCs w:val="24"/>
          <w:highlight w:val="white"/>
        </w:rPr>
      </w:pPr>
    </w:p>
    <w:p w:rsidR="00A90E28" w:rsidRPr="00A90E28" w:rsidRDefault="00A90E28" w:rsidP="00A90E28">
      <w:pPr>
        <w:jc w:val="center"/>
        <w:rPr>
          <w:sz w:val="24"/>
          <w:szCs w:val="24"/>
          <w:highlight w:val="white"/>
        </w:rPr>
      </w:pPr>
      <w:r w:rsidRPr="00A90E28">
        <w:rPr>
          <w:sz w:val="24"/>
          <w:szCs w:val="24"/>
          <w:highlight w:val="white"/>
        </w:rPr>
        <w:t>Part B—</w:t>
      </w:r>
      <w:r w:rsidRPr="00A90E28">
        <w:rPr>
          <w:bCs/>
          <w:sz w:val="24"/>
          <w:szCs w:val="24"/>
          <w:highlight w:val="white"/>
        </w:rPr>
        <w:t>Collection of Information Employing Statistical Methods</w:t>
      </w:r>
    </w:p>
    <w:p w:rsidR="00AF35D2" w:rsidRDefault="00AF35D2" w:rsidP="00A90E28">
      <w:pPr>
        <w:rPr>
          <w:sz w:val="24"/>
          <w:szCs w:val="24"/>
          <w:highlight w:val="white"/>
        </w:rPr>
      </w:pPr>
    </w:p>
    <w:p w:rsidR="00EA1716" w:rsidRPr="00A90E28" w:rsidRDefault="00EA1716" w:rsidP="00A90E28">
      <w:pPr>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1.</w:t>
      </w:r>
      <w:r w:rsidRPr="00A90E28">
        <w:rPr>
          <w:b/>
          <w:bCs/>
          <w:sz w:val="24"/>
          <w:szCs w:val="24"/>
          <w:highlight w:val="white"/>
        </w:rPr>
        <w:tab/>
        <w:t>Re</w:t>
      </w:r>
      <w:r w:rsidR="00AB699E" w:rsidRPr="00A90E28">
        <w:rPr>
          <w:b/>
          <w:bCs/>
          <w:sz w:val="24"/>
          <w:szCs w:val="24"/>
          <w:highlight w:val="white"/>
        </w:rPr>
        <w:t>sponse universe</w:t>
      </w:r>
      <w:r w:rsidR="00E50A84" w:rsidRPr="00A90E28">
        <w:rPr>
          <w:b/>
          <w:bCs/>
          <w:sz w:val="24"/>
          <w:szCs w:val="24"/>
          <w:highlight w:val="white"/>
        </w:rPr>
        <w:t>, sample sources,</w:t>
      </w:r>
      <w:r w:rsidR="00AB699E" w:rsidRPr="00A90E28">
        <w:rPr>
          <w:b/>
          <w:bCs/>
          <w:sz w:val="24"/>
          <w:szCs w:val="24"/>
          <w:highlight w:val="white"/>
        </w:rPr>
        <w:t xml:space="preserve"> and sampling strata</w:t>
      </w:r>
    </w:p>
    <w:p w:rsidR="00484DD7" w:rsidRPr="00A90E28" w:rsidRDefault="00484DD7" w:rsidP="00A90E28">
      <w:pPr>
        <w:rPr>
          <w:sz w:val="24"/>
          <w:szCs w:val="24"/>
        </w:rPr>
      </w:pPr>
    </w:p>
    <w:p w:rsidR="00406244" w:rsidRDefault="00406244" w:rsidP="00A90E28">
      <w:pPr>
        <w:rPr>
          <w:b/>
          <w:sz w:val="24"/>
          <w:szCs w:val="24"/>
        </w:rPr>
      </w:pPr>
      <w:r w:rsidRPr="00DA7286">
        <w:rPr>
          <w:b/>
          <w:sz w:val="24"/>
          <w:szCs w:val="24"/>
        </w:rPr>
        <w:t>Survey objectives</w:t>
      </w:r>
    </w:p>
    <w:p w:rsidR="00406244" w:rsidRPr="00DA7286" w:rsidRDefault="00406244" w:rsidP="00A90E28">
      <w:pPr>
        <w:rPr>
          <w:b/>
          <w:sz w:val="24"/>
          <w:szCs w:val="24"/>
        </w:rPr>
      </w:pPr>
    </w:p>
    <w:p w:rsidR="00396F85" w:rsidRDefault="00396F85" w:rsidP="00A90E28">
      <w:pPr>
        <w:rPr>
          <w:sz w:val="24"/>
          <w:szCs w:val="24"/>
        </w:rPr>
      </w:pPr>
      <w:r>
        <w:rPr>
          <w:sz w:val="24"/>
          <w:szCs w:val="24"/>
        </w:rPr>
        <w:t>The House Ways and Means Committee and the Senate Finance Committee (Committees) instigated this investigation on August 2, 2013. The Committees</w:t>
      </w:r>
      <w:r w:rsidRPr="004930D6">
        <w:rPr>
          <w:sz w:val="24"/>
          <w:szCs w:val="24"/>
        </w:rPr>
        <w:t xml:space="preserve"> </w:t>
      </w:r>
      <w:r>
        <w:rPr>
          <w:sz w:val="24"/>
          <w:szCs w:val="24"/>
        </w:rPr>
        <w:t>directed</w:t>
      </w:r>
      <w:r w:rsidRPr="004930D6">
        <w:rPr>
          <w:sz w:val="24"/>
          <w:szCs w:val="24"/>
        </w:rPr>
        <w:t xml:space="preserve"> the </w:t>
      </w:r>
      <w:r>
        <w:rPr>
          <w:sz w:val="24"/>
          <w:szCs w:val="24"/>
        </w:rPr>
        <w:t>U.S. International Trade Commission (</w:t>
      </w:r>
      <w:r w:rsidRPr="004930D6">
        <w:rPr>
          <w:sz w:val="24"/>
          <w:szCs w:val="24"/>
        </w:rPr>
        <w:t>USITC</w:t>
      </w:r>
      <w:r>
        <w:rPr>
          <w:sz w:val="24"/>
          <w:szCs w:val="24"/>
        </w:rPr>
        <w:t xml:space="preserve"> or Commission)</w:t>
      </w:r>
      <w:r w:rsidRPr="004930D6">
        <w:rPr>
          <w:sz w:val="24"/>
          <w:szCs w:val="24"/>
        </w:rPr>
        <w:t xml:space="preserve"> to </w:t>
      </w:r>
      <w:r>
        <w:rPr>
          <w:sz w:val="24"/>
          <w:szCs w:val="24"/>
        </w:rPr>
        <w:t>survey U.S. firms about</w:t>
      </w:r>
      <w:r w:rsidR="00406244">
        <w:rPr>
          <w:sz w:val="24"/>
          <w:szCs w:val="24"/>
        </w:rPr>
        <w:t xml:space="preserve"> recent changes in Indian policies and the effect these changes have had on company strategies toward India</w:t>
      </w:r>
      <w:r>
        <w:rPr>
          <w:sz w:val="24"/>
          <w:szCs w:val="24"/>
        </w:rPr>
        <w:t>.</w:t>
      </w:r>
      <w:r w:rsidR="00DA7286">
        <w:rPr>
          <w:sz w:val="24"/>
          <w:szCs w:val="24"/>
        </w:rPr>
        <w:t xml:space="preserve">  This survey is part of a larger investigation into industrial policies in India that discriminate against U.S. trade and investment.</w:t>
      </w:r>
    </w:p>
    <w:p w:rsidR="00396F85" w:rsidRDefault="00396F85" w:rsidP="00A90E28">
      <w:pPr>
        <w:rPr>
          <w:sz w:val="24"/>
          <w:szCs w:val="24"/>
        </w:rPr>
      </w:pPr>
    </w:p>
    <w:p w:rsidR="007C1A8C" w:rsidRPr="00DA7286" w:rsidRDefault="007C1A8C" w:rsidP="00A90E28">
      <w:pPr>
        <w:rPr>
          <w:b/>
        </w:rPr>
      </w:pPr>
      <w:r w:rsidRPr="00DA7286">
        <w:rPr>
          <w:b/>
          <w:sz w:val="24"/>
          <w:szCs w:val="24"/>
        </w:rPr>
        <w:t>Respondent universe</w:t>
      </w:r>
    </w:p>
    <w:p w:rsidR="007C1A8C" w:rsidRDefault="007C1A8C" w:rsidP="00A90E28">
      <w:pPr>
        <w:rPr>
          <w:sz w:val="24"/>
          <w:szCs w:val="24"/>
        </w:rPr>
      </w:pPr>
    </w:p>
    <w:p w:rsidR="0093197A" w:rsidRPr="00A90E28" w:rsidRDefault="00717630" w:rsidP="00A90E28">
      <w:pPr>
        <w:rPr>
          <w:sz w:val="24"/>
          <w:szCs w:val="24"/>
        </w:rPr>
      </w:pPr>
      <w:r w:rsidRPr="00A90E28">
        <w:rPr>
          <w:sz w:val="24"/>
          <w:szCs w:val="24"/>
        </w:rPr>
        <w:t>The respondent universe includes all companies that</w:t>
      </w:r>
      <w:r w:rsidR="00FD71F3">
        <w:rPr>
          <w:sz w:val="24"/>
          <w:szCs w:val="24"/>
        </w:rPr>
        <w:t xml:space="preserve"> conduct business</w:t>
      </w:r>
      <w:r w:rsidRPr="00A90E28">
        <w:rPr>
          <w:sz w:val="24"/>
          <w:szCs w:val="24"/>
        </w:rPr>
        <w:t xml:space="preserve"> in the United States</w:t>
      </w:r>
      <w:r w:rsidR="00FD71F3">
        <w:rPr>
          <w:sz w:val="24"/>
          <w:szCs w:val="24"/>
        </w:rPr>
        <w:t xml:space="preserve"> and</w:t>
      </w:r>
      <w:r w:rsidR="00C062ED">
        <w:rPr>
          <w:sz w:val="24"/>
          <w:szCs w:val="24"/>
        </w:rPr>
        <w:t xml:space="preserve"> abroad, particularly those that export to or have foreign affiliates in India, </w:t>
      </w:r>
      <w:r w:rsidR="00396F85">
        <w:rPr>
          <w:sz w:val="24"/>
          <w:szCs w:val="24"/>
        </w:rPr>
        <w:t xml:space="preserve">and </w:t>
      </w:r>
      <w:r w:rsidR="00FD71F3">
        <w:rPr>
          <w:sz w:val="24"/>
          <w:szCs w:val="24"/>
        </w:rPr>
        <w:t>are</w:t>
      </w:r>
      <w:r w:rsidR="00375C72">
        <w:rPr>
          <w:sz w:val="24"/>
          <w:szCs w:val="24"/>
        </w:rPr>
        <w:t xml:space="preserve"> in a sector identified by industry experts at the USITC as being particularly affected by</w:t>
      </w:r>
      <w:r w:rsidR="005265E5">
        <w:rPr>
          <w:sz w:val="24"/>
          <w:szCs w:val="24"/>
        </w:rPr>
        <w:t xml:space="preserve"> discriminatory industrial policies </w:t>
      </w:r>
      <w:r w:rsidR="00396F85">
        <w:rPr>
          <w:sz w:val="24"/>
          <w:szCs w:val="24"/>
        </w:rPr>
        <w:t xml:space="preserve">in </w:t>
      </w:r>
      <w:r w:rsidR="00375C72">
        <w:rPr>
          <w:sz w:val="24"/>
          <w:szCs w:val="24"/>
        </w:rPr>
        <w:t xml:space="preserve">India. </w:t>
      </w:r>
      <w:r w:rsidR="007C1A8C">
        <w:rPr>
          <w:sz w:val="24"/>
          <w:szCs w:val="24"/>
        </w:rPr>
        <w:t>Th</w:t>
      </w:r>
      <w:r w:rsidR="004D4F5C">
        <w:rPr>
          <w:sz w:val="24"/>
          <w:szCs w:val="24"/>
        </w:rPr>
        <w:t>e</w:t>
      </w:r>
      <w:r w:rsidR="007C1A8C">
        <w:rPr>
          <w:sz w:val="24"/>
          <w:szCs w:val="24"/>
        </w:rPr>
        <w:t xml:space="preserve"> USITC has identified </w:t>
      </w:r>
      <w:r w:rsidR="00306D03">
        <w:rPr>
          <w:sz w:val="24"/>
          <w:szCs w:val="24"/>
        </w:rPr>
        <w:t>approximately 54,000</w:t>
      </w:r>
      <w:r w:rsidR="007C1A8C">
        <w:rPr>
          <w:sz w:val="24"/>
          <w:szCs w:val="24"/>
        </w:rPr>
        <w:t xml:space="preserve"> such firms</w:t>
      </w:r>
      <w:r w:rsidR="004D4F5C">
        <w:rPr>
          <w:sz w:val="24"/>
          <w:szCs w:val="24"/>
        </w:rPr>
        <w:t xml:space="preserve"> for its sampling frame</w:t>
      </w:r>
      <w:r w:rsidR="007C1A8C">
        <w:rPr>
          <w:sz w:val="24"/>
          <w:szCs w:val="24"/>
        </w:rPr>
        <w:t xml:space="preserve">, of which 9,000 will be sampled. </w:t>
      </w:r>
      <w:r w:rsidR="00846C93">
        <w:rPr>
          <w:sz w:val="24"/>
          <w:szCs w:val="24"/>
        </w:rPr>
        <w:t>The sampling unit is the firm, rather than the establishment.</w:t>
      </w:r>
      <w:r w:rsidR="001C205A">
        <w:rPr>
          <w:sz w:val="24"/>
          <w:szCs w:val="24"/>
        </w:rPr>
        <w:t xml:space="preserve"> </w:t>
      </w:r>
    </w:p>
    <w:p w:rsidR="0093197A" w:rsidRDefault="0093197A" w:rsidP="00A90E28">
      <w:pPr>
        <w:rPr>
          <w:sz w:val="24"/>
          <w:szCs w:val="24"/>
        </w:rPr>
      </w:pPr>
    </w:p>
    <w:p w:rsidR="004930D6" w:rsidRDefault="00FD31C9" w:rsidP="00DC4CAE">
      <w:pPr>
        <w:rPr>
          <w:sz w:val="24"/>
          <w:szCs w:val="24"/>
        </w:rPr>
      </w:pPr>
      <w:r>
        <w:rPr>
          <w:sz w:val="24"/>
          <w:szCs w:val="24"/>
        </w:rPr>
        <w:t>The response universe will</w:t>
      </w:r>
      <w:r w:rsidRPr="00750C9D">
        <w:rPr>
          <w:sz w:val="24"/>
          <w:szCs w:val="24"/>
        </w:rPr>
        <w:t xml:space="preserve"> </w:t>
      </w:r>
      <w:r>
        <w:rPr>
          <w:sz w:val="24"/>
          <w:szCs w:val="24"/>
        </w:rPr>
        <w:t>particularly target</w:t>
      </w:r>
      <w:r>
        <w:rPr>
          <w:sz w:val="24"/>
          <w:szCs w:val="24"/>
        </w:rPr>
        <w:softHyphen/>
        <w:t xml:space="preserve">—to the extent possible—those firms that are “engaged in India” (i.e., firms that export to India or have foreign affiliates </w:t>
      </w:r>
      <w:r w:rsidR="00DA7286">
        <w:rPr>
          <w:sz w:val="24"/>
          <w:szCs w:val="24"/>
        </w:rPr>
        <w:t>in India</w:t>
      </w:r>
      <w:r>
        <w:rPr>
          <w:sz w:val="24"/>
          <w:szCs w:val="24"/>
        </w:rPr>
        <w:t xml:space="preserve">). To examine the effect of any prohibitive barriers to trade with India, it is necessary to include a broader list of firms that are not exporting to India but are potentially interested in doing so. </w:t>
      </w:r>
      <w:r w:rsidR="004930D6">
        <w:rPr>
          <w:sz w:val="24"/>
          <w:szCs w:val="24"/>
        </w:rPr>
        <w:t>As a result,</w:t>
      </w:r>
      <w:r w:rsidR="00750C9D">
        <w:rPr>
          <w:sz w:val="24"/>
          <w:szCs w:val="24"/>
        </w:rPr>
        <w:t xml:space="preserve"> </w:t>
      </w:r>
      <w:r>
        <w:rPr>
          <w:sz w:val="24"/>
          <w:szCs w:val="24"/>
        </w:rPr>
        <w:t xml:space="preserve">the response universe will </w:t>
      </w:r>
      <w:r w:rsidR="00750C9D">
        <w:rPr>
          <w:sz w:val="24"/>
          <w:szCs w:val="24"/>
        </w:rPr>
        <w:t xml:space="preserve">also include more broadly </w:t>
      </w:r>
      <w:r w:rsidR="004930D6">
        <w:rPr>
          <w:sz w:val="24"/>
          <w:szCs w:val="24"/>
        </w:rPr>
        <w:t>“globally engaged firms” (</w:t>
      </w:r>
      <w:r w:rsidR="00FD71F3">
        <w:rPr>
          <w:sz w:val="24"/>
          <w:szCs w:val="24"/>
        </w:rPr>
        <w:t xml:space="preserve">i.e., </w:t>
      </w:r>
      <w:r w:rsidR="004930D6">
        <w:rPr>
          <w:sz w:val="24"/>
          <w:szCs w:val="24"/>
        </w:rPr>
        <w:t>firms that either export abroad or h</w:t>
      </w:r>
      <w:r w:rsidR="00750C9D">
        <w:rPr>
          <w:sz w:val="24"/>
          <w:szCs w:val="24"/>
        </w:rPr>
        <w:t>ave foreign affiliates abroad).</w:t>
      </w:r>
      <w:r w:rsidR="00DC4CAE">
        <w:rPr>
          <w:rStyle w:val="FootnoteReference"/>
          <w:sz w:val="24"/>
          <w:szCs w:val="24"/>
        </w:rPr>
        <w:footnoteReference w:id="1"/>
      </w:r>
    </w:p>
    <w:p w:rsidR="004930D6" w:rsidRDefault="004930D6" w:rsidP="00A90E28">
      <w:pPr>
        <w:rPr>
          <w:sz w:val="24"/>
          <w:szCs w:val="24"/>
        </w:rPr>
      </w:pPr>
    </w:p>
    <w:p w:rsidR="00717630" w:rsidRPr="00A90E28" w:rsidRDefault="00F94574" w:rsidP="00A90E28">
      <w:pPr>
        <w:rPr>
          <w:sz w:val="24"/>
          <w:szCs w:val="24"/>
        </w:rPr>
      </w:pPr>
      <w:r w:rsidRPr="00A90E28">
        <w:rPr>
          <w:sz w:val="24"/>
          <w:szCs w:val="24"/>
        </w:rPr>
        <w:t>The potential respondent universe represents the sum of firms, net of duplicative records, identified in the</w:t>
      </w:r>
      <w:r w:rsidR="0093197A" w:rsidRPr="00A90E28">
        <w:rPr>
          <w:sz w:val="24"/>
          <w:szCs w:val="24"/>
        </w:rPr>
        <w:t>se</w:t>
      </w:r>
      <w:r w:rsidRPr="00A90E28">
        <w:rPr>
          <w:sz w:val="24"/>
          <w:szCs w:val="24"/>
        </w:rPr>
        <w:t xml:space="preserve"> </w:t>
      </w:r>
      <w:r w:rsidR="00405E20" w:rsidRPr="00A90E28">
        <w:rPr>
          <w:sz w:val="24"/>
          <w:szCs w:val="24"/>
        </w:rPr>
        <w:t xml:space="preserve">data </w:t>
      </w:r>
      <w:r w:rsidRPr="00A90E28">
        <w:rPr>
          <w:sz w:val="24"/>
          <w:szCs w:val="24"/>
        </w:rPr>
        <w:t>sources</w:t>
      </w:r>
      <w:r w:rsidR="0093197A" w:rsidRPr="00A90E28">
        <w:rPr>
          <w:sz w:val="24"/>
          <w:szCs w:val="24"/>
        </w:rPr>
        <w:t>:</w:t>
      </w:r>
    </w:p>
    <w:p w:rsidR="009A265D" w:rsidRPr="00A90E28" w:rsidRDefault="009A265D" w:rsidP="00A90E28">
      <w:pPr>
        <w:pStyle w:val="ListParagraph"/>
        <w:spacing w:line="240" w:lineRule="auto"/>
        <w:ind w:left="0"/>
        <w:rPr>
          <w:rFonts w:ascii="Times New Roman" w:hAnsi="Times New Roman"/>
          <w:sz w:val="24"/>
          <w:szCs w:val="24"/>
        </w:rPr>
      </w:pPr>
    </w:p>
    <w:p w:rsidR="00D665B6" w:rsidRPr="007B1BDC" w:rsidRDefault="00C45FF9" w:rsidP="00A90E28">
      <w:pPr>
        <w:pStyle w:val="ListParagraph"/>
        <w:numPr>
          <w:ilvl w:val="0"/>
          <w:numId w:val="12"/>
        </w:numPr>
        <w:spacing w:line="240" w:lineRule="auto"/>
        <w:rPr>
          <w:rFonts w:ascii="Times New Roman" w:hAnsi="Times New Roman"/>
          <w:sz w:val="24"/>
          <w:szCs w:val="24"/>
        </w:rPr>
      </w:pPr>
      <w:r w:rsidRPr="009457D7">
        <w:rPr>
          <w:rFonts w:ascii="Times New Roman" w:hAnsi="Times New Roman"/>
          <w:b/>
          <w:sz w:val="24"/>
          <w:szCs w:val="24"/>
        </w:rPr>
        <w:t>Industry database</w:t>
      </w:r>
      <w:r w:rsidR="009524ED">
        <w:rPr>
          <w:rFonts w:ascii="Times New Roman" w:hAnsi="Times New Roman"/>
          <w:b/>
          <w:sz w:val="24"/>
          <w:szCs w:val="24"/>
        </w:rPr>
        <w:t>s</w:t>
      </w:r>
      <w:r w:rsidRPr="009457D7">
        <w:rPr>
          <w:rFonts w:ascii="Times New Roman" w:hAnsi="Times New Roman"/>
          <w:b/>
          <w:sz w:val="24"/>
          <w:szCs w:val="24"/>
        </w:rPr>
        <w:t>:</w:t>
      </w:r>
      <w:r>
        <w:rPr>
          <w:rFonts w:ascii="Times New Roman" w:hAnsi="Times New Roman"/>
          <w:sz w:val="24"/>
          <w:szCs w:val="24"/>
        </w:rPr>
        <w:t xml:space="preserve"> </w:t>
      </w:r>
      <w:r w:rsidR="009524ED">
        <w:rPr>
          <w:rFonts w:ascii="Times New Roman" w:hAnsi="Times New Roman"/>
          <w:sz w:val="24"/>
          <w:szCs w:val="24"/>
        </w:rPr>
        <w:t>D</w:t>
      </w:r>
      <w:r w:rsidR="009A265D" w:rsidRPr="00A90E28">
        <w:rPr>
          <w:rFonts w:ascii="Times New Roman" w:hAnsi="Times New Roman"/>
          <w:sz w:val="24"/>
          <w:szCs w:val="24"/>
        </w:rPr>
        <w:t>atabase</w:t>
      </w:r>
      <w:r w:rsidR="009524ED">
        <w:rPr>
          <w:rFonts w:ascii="Times New Roman" w:hAnsi="Times New Roman"/>
          <w:sz w:val="24"/>
          <w:szCs w:val="24"/>
        </w:rPr>
        <w:t>s</w:t>
      </w:r>
      <w:r w:rsidR="009A265D" w:rsidRPr="00A90E28">
        <w:rPr>
          <w:rFonts w:ascii="Times New Roman" w:hAnsi="Times New Roman"/>
          <w:sz w:val="24"/>
          <w:szCs w:val="24"/>
        </w:rPr>
        <w:t xml:space="preserve"> </w:t>
      </w:r>
      <w:r w:rsidR="00D665B6" w:rsidRPr="00A90E28">
        <w:rPr>
          <w:rFonts w:ascii="Times New Roman" w:hAnsi="Times New Roman"/>
          <w:sz w:val="24"/>
          <w:szCs w:val="24"/>
        </w:rPr>
        <w:t xml:space="preserve">derived from </w:t>
      </w:r>
      <w:r w:rsidR="0079723E">
        <w:rPr>
          <w:rFonts w:ascii="Times New Roman" w:hAnsi="Times New Roman"/>
          <w:sz w:val="24"/>
          <w:szCs w:val="24"/>
        </w:rPr>
        <w:t xml:space="preserve">industry analyst knowledge as well as </w:t>
      </w:r>
      <w:r w:rsidR="00023151">
        <w:rPr>
          <w:rFonts w:ascii="Times New Roman" w:hAnsi="Times New Roman"/>
          <w:sz w:val="24"/>
          <w:szCs w:val="24"/>
        </w:rPr>
        <w:t xml:space="preserve">various </w:t>
      </w:r>
      <w:r w:rsidR="00D665B6" w:rsidRPr="00A90E28">
        <w:rPr>
          <w:rFonts w:ascii="Times New Roman" w:hAnsi="Times New Roman"/>
          <w:sz w:val="24"/>
          <w:szCs w:val="24"/>
        </w:rPr>
        <w:t>industry associations and industry directories</w:t>
      </w:r>
      <w:r w:rsidR="00023151">
        <w:rPr>
          <w:rFonts w:ascii="Times New Roman" w:hAnsi="Times New Roman"/>
          <w:sz w:val="24"/>
          <w:szCs w:val="24"/>
        </w:rPr>
        <w:t xml:space="preserve">, of which </w:t>
      </w:r>
      <w:r w:rsidR="009524ED">
        <w:rPr>
          <w:rFonts w:ascii="Times New Roman" w:hAnsi="Times New Roman"/>
          <w:sz w:val="24"/>
          <w:szCs w:val="24"/>
        </w:rPr>
        <w:t xml:space="preserve">some </w:t>
      </w:r>
      <w:r w:rsidR="00023151">
        <w:rPr>
          <w:rFonts w:ascii="Times New Roman" w:hAnsi="Times New Roman"/>
          <w:sz w:val="24"/>
          <w:szCs w:val="24"/>
        </w:rPr>
        <w:t xml:space="preserve">are focused </w:t>
      </w:r>
      <w:r w:rsidR="00023151" w:rsidRPr="007B1BDC">
        <w:rPr>
          <w:rFonts w:ascii="Times New Roman" w:hAnsi="Times New Roman"/>
          <w:sz w:val="24"/>
          <w:szCs w:val="24"/>
        </w:rPr>
        <w:t>on firms that have engaged in trade with India, and others are generally global firms.</w:t>
      </w:r>
    </w:p>
    <w:p w:rsidR="00AC0A5B" w:rsidRDefault="00122C38" w:rsidP="00123A00">
      <w:pPr>
        <w:pStyle w:val="ListParagraph"/>
        <w:numPr>
          <w:ilvl w:val="0"/>
          <w:numId w:val="12"/>
        </w:numPr>
        <w:spacing w:line="240" w:lineRule="auto"/>
        <w:rPr>
          <w:rFonts w:ascii="Times New Roman" w:hAnsi="Times New Roman"/>
          <w:sz w:val="24"/>
          <w:szCs w:val="24"/>
        </w:rPr>
      </w:pPr>
      <w:r>
        <w:rPr>
          <w:rFonts w:ascii="Times New Roman" w:hAnsi="Times New Roman"/>
          <w:b/>
          <w:sz w:val="24"/>
          <w:szCs w:val="24"/>
        </w:rPr>
        <w:t>Specialty</w:t>
      </w:r>
      <w:r w:rsidRPr="009457D7">
        <w:rPr>
          <w:rFonts w:ascii="Times New Roman" w:hAnsi="Times New Roman"/>
          <w:b/>
          <w:sz w:val="24"/>
          <w:szCs w:val="24"/>
        </w:rPr>
        <w:t xml:space="preserve"> </w:t>
      </w:r>
      <w:r w:rsidR="00C45FF9" w:rsidRPr="009457D7">
        <w:rPr>
          <w:rFonts w:ascii="Times New Roman" w:hAnsi="Times New Roman"/>
          <w:b/>
          <w:sz w:val="24"/>
          <w:szCs w:val="24"/>
        </w:rPr>
        <w:t>databases:</w:t>
      </w:r>
      <w:r w:rsidR="00C45FF9">
        <w:rPr>
          <w:rFonts w:ascii="Times New Roman" w:hAnsi="Times New Roman"/>
          <w:sz w:val="24"/>
          <w:szCs w:val="24"/>
        </w:rPr>
        <w:t xml:space="preserve"> lists of firms </w:t>
      </w:r>
      <w:r w:rsidR="00AC0A5B">
        <w:rPr>
          <w:rFonts w:ascii="Times New Roman" w:hAnsi="Times New Roman"/>
          <w:sz w:val="24"/>
          <w:szCs w:val="24"/>
        </w:rPr>
        <w:t xml:space="preserve">derived from </w:t>
      </w:r>
      <w:r w:rsidR="00C45FF9">
        <w:rPr>
          <w:rFonts w:ascii="Times New Roman" w:hAnsi="Times New Roman"/>
          <w:sz w:val="24"/>
          <w:szCs w:val="24"/>
        </w:rPr>
        <w:t xml:space="preserve">sources that </w:t>
      </w:r>
      <w:r w:rsidR="00267FEF">
        <w:rPr>
          <w:rFonts w:ascii="Times New Roman" w:hAnsi="Times New Roman"/>
          <w:sz w:val="24"/>
          <w:szCs w:val="24"/>
        </w:rPr>
        <w:t xml:space="preserve">collect data from </w:t>
      </w:r>
      <w:r w:rsidR="008451AE">
        <w:rPr>
          <w:rFonts w:ascii="Times New Roman" w:hAnsi="Times New Roman"/>
          <w:sz w:val="24"/>
          <w:szCs w:val="24"/>
        </w:rPr>
        <w:t xml:space="preserve">certain </w:t>
      </w:r>
      <w:r w:rsidR="00C45FF9">
        <w:rPr>
          <w:rFonts w:ascii="Times New Roman" w:hAnsi="Times New Roman"/>
          <w:sz w:val="24"/>
          <w:szCs w:val="24"/>
        </w:rPr>
        <w:t>subgroups of U.S. firms</w:t>
      </w:r>
    </w:p>
    <w:p w:rsidR="00984FA8" w:rsidRDefault="00984FA8" w:rsidP="00123A00">
      <w:pPr>
        <w:pStyle w:val="ListParagraph"/>
        <w:numPr>
          <w:ilvl w:val="1"/>
          <w:numId w:val="12"/>
        </w:numPr>
        <w:spacing w:line="240" w:lineRule="auto"/>
        <w:ind w:left="900"/>
        <w:rPr>
          <w:rFonts w:ascii="Times New Roman" w:hAnsi="Times New Roman"/>
          <w:sz w:val="24"/>
          <w:szCs w:val="24"/>
        </w:rPr>
      </w:pPr>
      <w:r>
        <w:rPr>
          <w:rFonts w:ascii="Times New Roman" w:hAnsi="Times New Roman"/>
          <w:sz w:val="24"/>
          <w:szCs w:val="24"/>
        </w:rPr>
        <w:t xml:space="preserve">Firms with </w:t>
      </w:r>
      <w:r w:rsidR="00AC2F01">
        <w:rPr>
          <w:rFonts w:ascii="Times New Roman" w:hAnsi="Times New Roman"/>
          <w:sz w:val="24"/>
          <w:szCs w:val="24"/>
        </w:rPr>
        <w:t xml:space="preserve">intellectual property </w:t>
      </w:r>
      <w:r>
        <w:rPr>
          <w:rFonts w:ascii="Times New Roman" w:hAnsi="Times New Roman"/>
          <w:sz w:val="24"/>
          <w:szCs w:val="24"/>
        </w:rPr>
        <w:t>licensing agreements that mention India</w:t>
      </w:r>
      <w:r w:rsidR="00B46AC0">
        <w:rPr>
          <w:rFonts w:ascii="Times New Roman" w:hAnsi="Times New Roman"/>
          <w:sz w:val="24"/>
          <w:szCs w:val="24"/>
        </w:rPr>
        <w:t xml:space="preserve"> as identified in the ktMINE database</w:t>
      </w:r>
      <w:r>
        <w:rPr>
          <w:rFonts w:ascii="Times New Roman" w:hAnsi="Times New Roman"/>
          <w:sz w:val="24"/>
          <w:szCs w:val="24"/>
        </w:rPr>
        <w:t>.</w:t>
      </w:r>
      <w:r w:rsidR="00122C38">
        <w:rPr>
          <w:rStyle w:val="FootnoteReference"/>
          <w:rFonts w:ascii="Times New Roman" w:hAnsi="Times New Roman"/>
          <w:sz w:val="24"/>
          <w:szCs w:val="24"/>
        </w:rPr>
        <w:footnoteReference w:id="2"/>
      </w:r>
    </w:p>
    <w:p w:rsidR="008F7E8C" w:rsidRDefault="00984FA8" w:rsidP="00123A00">
      <w:pPr>
        <w:pStyle w:val="ListParagraph"/>
        <w:numPr>
          <w:ilvl w:val="1"/>
          <w:numId w:val="12"/>
        </w:numPr>
        <w:spacing w:line="240" w:lineRule="auto"/>
        <w:ind w:left="900"/>
        <w:rPr>
          <w:rFonts w:ascii="Times New Roman" w:hAnsi="Times New Roman"/>
          <w:sz w:val="24"/>
          <w:szCs w:val="24"/>
        </w:rPr>
      </w:pPr>
      <w:r>
        <w:rPr>
          <w:rFonts w:ascii="Times New Roman" w:hAnsi="Times New Roman"/>
          <w:sz w:val="24"/>
          <w:szCs w:val="24"/>
        </w:rPr>
        <w:lastRenderedPageBreak/>
        <w:t>Firms identified as exporting goods to India from the United States</w:t>
      </w:r>
      <w:r w:rsidR="00396F85">
        <w:rPr>
          <w:rFonts w:ascii="Times New Roman" w:hAnsi="Times New Roman"/>
          <w:sz w:val="24"/>
          <w:szCs w:val="24"/>
        </w:rPr>
        <w:t xml:space="preserve"> in the PIERS database</w:t>
      </w:r>
      <w:r w:rsidR="00B64761">
        <w:rPr>
          <w:rFonts w:ascii="Times New Roman" w:hAnsi="Times New Roman"/>
          <w:sz w:val="24"/>
          <w:szCs w:val="24"/>
        </w:rPr>
        <w:t>.</w:t>
      </w:r>
      <w:r w:rsidR="00122C38">
        <w:rPr>
          <w:rStyle w:val="FootnoteReference"/>
          <w:rFonts w:ascii="Times New Roman" w:hAnsi="Times New Roman"/>
          <w:sz w:val="24"/>
          <w:szCs w:val="24"/>
        </w:rPr>
        <w:footnoteReference w:id="3"/>
      </w:r>
      <w:r w:rsidR="00B64761">
        <w:rPr>
          <w:rFonts w:ascii="Times New Roman" w:hAnsi="Times New Roman"/>
          <w:sz w:val="24"/>
          <w:szCs w:val="24"/>
        </w:rPr>
        <w:t xml:space="preserve"> </w:t>
      </w:r>
    </w:p>
    <w:p w:rsidR="00454C9A" w:rsidRDefault="00484DD7" w:rsidP="009457D7">
      <w:pPr>
        <w:pStyle w:val="ListParagraph"/>
        <w:numPr>
          <w:ilvl w:val="1"/>
          <w:numId w:val="12"/>
        </w:numPr>
        <w:spacing w:line="240" w:lineRule="auto"/>
        <w:ind w:left="907"/>
        <w:rPr>
          <w:rFonts w:ascii="Times New Roman" w:hAnsi="Times New Roman"/>
          <w:sz w:val="24"/>
          <w:szCs w:val="24"/>
        </w:rPr>
      </w:pPr>
      <w:r w:rsidRPr="00A90E28">
        <w:rPr>
          <w:rFonts w:ascii="Times New Roman" w:hAnsi="Times New Roman"/>
          <w:sz w:val="24"/>
          <w:szCs w:val="24"/>
        </w:rPr>
        <w:t>F</w:t>
      </w:r>
      <w:r w:rsidR="00C12BF7" w:rsidRPr="00A90E28">
        <w:rPr>
          <w:rFonts w:ascii="Times New Roman" w:hAnsi="Times New Roman"/>
          <w:sz w:val="24"/>
          <w:szCs w:val="24"/>
        </w:rPr>
        <w:t xml:space="preserve">irms </w:t>
      </w:r>
      <w:r w:rsidR="00454C9A">
        <w:rPr>
          <w:rFonts w:ascii="Times New Roman" w:hAnsi="Times New Roman"/>
          <w:sz w:val="24"/>
          <w:szCs w:val="24"/>
        </w:rPr>
        <w:t>identified as multinational corporations</w:t>
      </w:r>
      <w:r w:rsidR="00AC2F01" w:rsidRPr="00AC2F01">
        <w:t xml:space="preserve"> </w:t>
      </w:r>
      <w:r w:rsidR="00AC2F01">
        <w:rPr>
          <w:rFonts w:ascii="Times New Roman" w:hAnsi="Times New Roman"/>
          <w:sz w:val="24"/>
          <w:szCs w:val="24"/>
        </w:rPr>
        <w:t>in the</w:t>
      </w:r>
      <w:r w:rsidR="00AC2F01" w:rsidRPr="00AC2F01">
        <w:rPr>
          <w:rFonts w:ascii="Times New Roman" w:hAnsi="Times New Roman"/>
          <w:sz w:val="24"/>
          <w:szCs w:val="24"/>
        </w:rPr>
        <w:t xml:space="preserve"> Bureau van </w:t>
      </w:r>
      <w:proofErr w:type="spellStart"/>
      <w:r w:rsidR="00AC2F01" w:rsidRPr="00AC2F01">
        <w:rPr>
          <w:rFonts w:ascii="Times New Roman" w:hAnsi="Times New Roman"/>
          <w:sz w:val="24"/>
          <w:szCs w:val="24"/>
        </w:rPr>
        <w:t>Dijk’s</w:t>
      </w:r>
      <w:proofErr w:type="spellEnd"/>
      <w:r w:rsidR="00AC2F01" w:rsidRPr="00AC2F01">
        <w:rPr>
          <w:rFonts w:ascii="Times New Roman" w:hAnsi="Times New Roman"/>
          <w:sz w:val="24"/>
          <w:szCs w:val="24"/>
        </w:rPr>
        <w:t xml:space="preserve"> </w:t>
      </w:r>
      <w:proofErr w:type="spellStart"/>
      <w:r w:rsidR="00AC2F01" w:rsidRPr="00AC2F01">
        <w:rPr>
          <w:rFonts w:ascii="Times New Roman" w:hAnsi="Times New Roman"/>
          <w:sz w:val="24"/>
          <w:szCs w:val="24"/>
        </w:rPr>
        <w:t>Orbis</w:t>
      </w:r>
      <w:proofErr w:type="spellEnd"/>
      <w:r w:rsidR="00AC2F01" w:rsidRPr="00AC2F01">
        <w:rPr>
          <w:rFonts w:ascii="Times New Roman" w:hAnsi="Times New Roman"/>
          <w:sz w:val="24"/>
          <w:szCs w:val="24"/>
        </w:rPr>
        <w:t xml:space="preserve"> database</w:t>
      </w:r>
      <w:r w:rsidR="00ED5829" w:rsidRPr="00A90E28">
        <w:rPr>
          <w:rFonts w:ascii="Times New Roman" w:hAnsi="Times New Roman"/>
          <w:sz w:val="24"/>
          <w:szCs w:val="24"/>
        </w:rPr>
        <w:t>.</w:t>
      </w:r>
      <w:r w:rsidR="00D665B6" w:rsidRPr="00A90E28">
        <w:rPr>
          <w:rStyle w:val="FootnoteReference"/>
          <w:rFonts w:ascii="Times New Roman" w:hAnsi="Times New Roman"/>
          <w:sz w:val="24"/>
          <w:szCs w:val="24"/>
        </w:rPr>
        <w:footnoteReference w:id="4"/>
      </w:r>
      <w:r w:rsidRPr="00A90E28">
        <w:rPr>
          <w:rFonts w:ascii="Times New Roman" w:hAnsi="Times New Roman"/>
          <w:sz w:val="24"/>
          <w:szCs w:val="24"/>
        </w:rPr>
        <w:t xml:space="preserve"> </w:t>
      </w:r>
    </w:p>
    <w:p w:rsidR="005F6BBD" w:rsidRDefault="00FD71F3" w:rsidP="004C028D">
      <w:pPr>
        <w:pStyle w:val="ListParagraph"/>
        <w:numPr>
          <w:ilvl w:val="0"/>
          <w:numId w:val="12"/>
        </w:numPr>
        <w:spacing w:line="240" w:lineRule="auto"/>
        <w:rPr>
          <w:rFonts w:ascii="Times New Roman" w:hAnsi="Times New Roman"/>
          <w:sz w:val="24"/>
          <w:szCs w:val="24"/>
        </w:rPr>
      </w:pPr>
      <w:r w:rsidRPr="009457D7">
        <w:rPr>
          <w:rFonts w:ascii="Times New Roman" w:hAnsi="Times New Roman"/>
          <w:b/>
          <w:sz w:val="24"/>
          <w:szCs w:val="24"/>
        </w:rPr>
        <w:t>Broad-based Orbis list:</w:t>
      </w:r>
      <w:r>
        <w:rPr>
          <w:rFonts w:ascii="Times New Roman" w:hAnsi="Times New Roman"/>
          <w:sz w:val="24"/>
          <w:szCs w:val="24"/>
        </w:rPr>
        <w:t xml:space="preserve"> </w:t>
      </w:r>
      <w:r w:rsidR="00394B2F">
        <w:rPr>
          <w:rFonts w:ascii="Times New Roman" w:hAnsi="Times New Roman"/>
          <w:sz w:val="24"/>
          <w:szCs w:val="24"/>
        </w:rPr>
        <w:t>A broad-based database of firms</w:t>
      </w:r>
      <w:r w:rsidR="00370395">
        <w:rPr>
          <w:rFonts w:ascii="Times New Roman" w:hAnsi="Times New Roman"/>
          <w:sz w:val="24"/>
          <w:szCs w:val="24"/>
        </w:rPr>
        <w:t xml:space="preserve"> obtained from Orbis</w:t>
      </w:r>
      <w:r w:rsidR="00394B2F">
        <w:rPr>
          <w:rFonts w:ascii="Times New Roman" w:hAnsi="Times New Roman"/>
          <w:sz w:val="24"/>
          <w:szCs w:val="24"/>
        </w:rPr>
        <w:t xml:space="preserve"> in </w:t>
      </w:r>
      <w:r w:rsidR="00AC2F01">
        <w:rPr>
          <w:rFonts w:ascii="Times New Roman" w:hAnsi="Times New Roman"/>
          <w:sz w:val="24"/>
          <w:szCs w:val="24"/>
        </w:rPr>
        <w:t xml:space="preserve">industries </w:t>
      </w:r>
      <w:r w:rsidR="00394B2F">
        <w:rPr>
          <w:rFonts w:ascii="Times New Roman" w:hAnsi="Times New Roman"/>
          <w:sz w:val="24"/>
          <w:szCs w:val="24"/>
        </w:rPr>
        <w:t>that face barriers to trade in India, and are likely to engage in trade via exports or investment.</w:t>
      </w:r>
      <w:r w:rsidR="00504F18">
        <w:rPr>
          <w:rFonts w:ascii="Times New Roman" w:hAnsi="Times New Roman"/>
          <w:sz w:val="24"/>
          <w:szCs w:val="24"/>
        </w:rPr>
        <w:t xml:space="preserve"> </w:t>
      </w:r>
      <w:r w:rsidR="00B86EA5" w:rsidRPr="00123A00">
        <w:rPr>
          <w:rFonts w:ascii="Times New Roman" w:hAnsi="Times New Roman"/>
          <w:sz w:val="24"/>
          <w:szCs w:val="24"/>
        </w:rPr>
        <w:t>These industries include</w:t>
      </w:r>
      <w:r w:rsidR="005F6BBD" w:rsidRPr="00123A00">
        <w:rPr>
          <w:rFonts w:ascii="Times New Roman" w:hAnsi="Times New Roman"/>
          <w:sz w:val="24"/>
          <w:szCs w:val="24"/>
        </w:rPr>
        <w:t xml:space="preserve"> selected sectors </w:t>
      </w:r>
      <w:r w:rsidR="004C028D">
        <w:rPr>
          <w:rFonts w:ascii="Times New Roman" w:hAnsi="Times New Roman"/>
          <w:sz w:val="24"/>
          <w:szCs w:val="24"/>
        </w:rPr>
        <w:t>based on NAICS, as discussed below</w:t>
      </w:r>
      <w:r>
        <w:rPr>
          <w:rFonts w:ascii="Times New Roman" w:hAnsi="Times New Roman"/>
          <w:sz w:val="24"/>
          <w:szCs w:val="24"/>
        </w:rPr>
        <w:t>.</w:t>
      </w:r>
      <w:r w:rsidR="00AC2F01">
        <w:rPr>
          <w:rFonts w:ascii="Times New Roman" w:hAnsi="Times New Roman"/>
          <w:sz w:val="24"/>
          <w:szCs w:val="24"/>
        </w:rPr>
        <w:t xml:space="preserve"> </w:t>
      </w:r>
    </w:p>
    <w:p w:rsidR="00573741" w:rsidRDefault="00FD71F3" w:rsidP="00123A00">
      <w:pPr>
        <w:pStyle w:val="ListParagraph"/>
        <w:numPr>
          <w:ilvl w:val="0"/>
          <w:numId w:val="12"/>
        </w:numPr>
        <w:spacing w:line="240" w:lineRule="auto"/>
        <w:rPr>
          <w:rFonts w:ascii="Times New Roman" w:hAnsi="Times New Roman"/>
          <w:sz w:val="24"/>
          <w:szCs w:val="24"/>
        </w:rPr>
      </w:pPr>
      <w:r w:rsidRPr="009457D7">
        <w:rPr>
          <w:rFonts w:ascii="Times New Roman" w:hAnsi="Times New Roman"/>
          <w:b/>
          <w:sz w:val="24"/>
          <w:szCs w:val="24"/>
        </w:rPr>
        <w:t>Confidential Census list:</w:t>
      </w:r>
      <w:r>
        <w:rPr>
          <w:rFonts w:ascii="Times New Roman" w:hAnsi="Times New Roman"/>
          <w:sz w:val="24"/>
          <w:szCs w:val="24"/>
        </w:rPr>
        <w:t xml:space="preserve"> </w:t>
      </w:r>
      <w:r w:rsidR="00840FF6" w:rsidRPr="00840FF6">
        <w:rPr>
          <w:rFonts w:ascii="Times New Roman" w:hAnsi="Times New Roman"/>
          <w:sz w:val="24"/>
          <w:szCs w:val="24"/>
        </w:rPr>
        <w:t xml:space="preserve">A potential database from the </w:t>
      </w:r>
      <w:r w:rsidR="00AC2F01">
        <w:rPr>
          <w:rFonts w:ascii="Times New Roman" w:hAnsi="Times New Roman"/>
          <w:sz w:val="24"/>
          <w:szCs w:val="24"/>
        </w:rPr>
        <w:t xml:space="preserve">U.S. </w:t>
      </w:r>
      <w:r w:rsidR="00840FF6" w:rsidRPr="00840FF6">
        <w:rPr>
          <w:rFonts w:ascii="Times New Roman" w:hAnsi="Times New Roman"/>
          <w:sz w:val="24"/>
          <w:szCs w:val="24"/>
        </w:rPr>
        <w:t xml:space="preserve">Census Bureau </w:t>
      </w:r>
      <w:r w:rsidR="00AC2F01">
        <w:rPr>
          <w:rFonts w:ascii="Times New Roman" w:hAnsi="Times New Roman"/>
          <w:sz w:val="24"/>
          <w:szCs w:val="24"/>
        </w:rPr>
        <w:t xml:space="preserve">(Census) </w:t>
      </w:r>
      <w:r w:rsidR="00840FF6" w:rsidRPr="00840FF6">
        <w:rPr>
          <w:rFonts w:ascii="Times New Roman" w:hAnsi="Times New Roman"/>
          <w:sz w:val="24"/>
          <w:szCs w:val="24"/>
        </w:rPr>
        <w:t xml:space="preserve">of establishments exporting from the United States to India. The USITC is in discussions with Census to obtain this </w:t>
      </w:r>
      <w:r w:rsidR="00AC2F01">
        <w:rPr>
          <w:rFonts w:ascii="Times New Roman" w:hAnsi="Times New Roman"/>
          <w:sz w:val="24"/>
          <w:szCs w:val="24"/>
        </w:rPr>
        <w:t xml:space="preserve">confidential </w:t>
      </w:r>
      <w:r w:rsidR="00840FF6" w:rsidRPr="00840FF6">
        <w:rPr>
          <w:rFonts w:ascii="Times New Roman" w:hAnsi="Times New Roman"/>
          <w:sz w:val="24"/>
          <w:szCs w:val="24"/>
        </w:rPr>
        <w:t>database. If this database becomes available before the end of December</w:t>
      </w:r>
      <w:r w:rsidR="00AC2F01">
        <w:rPr>
          <w:rFonts w:ascii="Times New Roman" w:hAnsi="Times New Roman"/>
          <w:sz w:val="24"/>
          <w:szCs w:val="24"/>
        </w:rPr>
        <w:t xml:space="preserve"> 2013</w:t>
      </w:r>
      <w:r w:rsidR="00840FF6" w:rsidRPr="00840FF6">
        <w:rPr>
          <w:rFonts w:ascii="Times New Roman" w:hAnsi="Times New Roman"/>
          <w:sz w:val="24"/>
          <w:szCs w:val="24"/>
        </w:rPr>
        <w:t xml:space="preserve">, up to 1,000 U.S. exporting companies based on </w:t>
      </w:r>
      <w:r w:rsidR="00AC2F01" w:rsidRPr="00840FF6">
        <w:rPr>
          <w:rFonts w:ascii="Times New Roman" w:hAnsi="Times New Roman"/>
          <w:sz w:val="24"/>
          <w:szCs w:val="24"/>
        </w:rPr>
        <w:t>th</w:t>
      </w:r>
      <w:r w:rsidR="00AC2F01">
        <w:rPr>
          <w:rFonts w:ascii="Times New Roman" w:hAnsi="Times New Roman"/>
          <w:sz w:val="24"/>
          <w:szCs w:val="24"/>
        </w:rPr>
        <w:t>e establishments in this</w:t>
      </w:r>
      <w:r w:rsidR="00AC2F01" w:rsidRPr="00840FF6">
        <w:rPr>
          <w:rFonts w:ascii="Times New Roman" w:hAnsi="Times New Roman"/>
          <w:sz w:val="24"/>
          <w:szCs w:val="24"/>
        </w:rPr>
        <w:t xml:space="preserve"> </w:t>
      </w:r>
      <w:r w:rsidR="00840FF6" w:rsidRPr="00840FF6">
        <w:rPr>
          <w:rFonts w:ascii="Times New Roman" w:hAnsi="Times New Roman"/>
          <w:sz w:val="24"/>
          <w:szCs w:val="24"/>
        </w:rPr>
        <w:t>database may be included in the final sampling frame.</w:t>
      </w:r>
    </w:p>
    <w:p w:rsidR="00C12BF7" w:rsidRDefault="00573741" w:rsidP="00C166EC">
      <w:pPr>
        <w:rPr>
          <w:sz w:val="24"/>
          <w:szCs w:val="24"/>
        </w:rPr>
      </w:pPr>
      <w:r w:rsidRPr="00B46AC0">
        <w:rPr>
          <w:sz w:val="24"/>
          <w:szCs w:val="24"/>
        </w:rPr>
        <w:t>The</w:t>
      </w:r>
      <w:r w:rsidR="00B658A3" w:rsidRPr="00B46AC0">
        <w:rPr>
          <w:sz w:val="24"/>
          <w:szCs w:val="24"/>
        </w:rPr>
        <w:t xml:space="preserve"> firms </w:t>
      </w:r>
      <w:r w:rsidR="006B0044" w:rsidRPr="00B46AC0">
        <w:rPr>
          <w:sz w:val="24"/>
          <w:szCs w:val="24"/>
        </w:rPr>
        <w:t xml:space="preserve">identified </w:t>
      </w:r>
      <w:r w:rsidRPr="00B46AC0">
        <w:rPr>
          <w:sz w:val="24"/>
          <w:szCs w:val="24"/>
        </w:rPr>
        <w:t>in</w:t>
      </w:r>
      <w:r w:rsidR="00C166EC" w:rsidRPr="00B46AC0">
        <w:rPr>
          <w:sz w:val="24"/>
          <w:szCs w:val="24"/>
        </w:rPr>
        <w:t xml:space="preserve"> the </w:t>
      </w:r>
      <w:r w:rsidR="00504F18" w:rsidRPr="00B46AC0">
        <w:rPr>
          <w:sz w:val="24"/>
          <w:szCs w:val="24"/>
        </w:rPr>
        <w:t>broad-based</w:t>
      </w:r>
      <w:r w:rsidRPr="00B46AC0">
        <w:rPr>
          <w:sz w:val="24"/>
          <w:szCs w:val="24"/>
        </w:rPr>
        <w:t xml:space="preserve"> </w:t>
      </w:r>
      <w:r w:rsidR="00096351" w:rsidRPr="00B46AC0">
        <w:rPr>
          <w:sz w:val="24"/>
          <w:szCs w:val="24"/>
        </w:rPr>
        <w:t>Orbis</w:t>
      </w:r>
      <w:r w:rsidRPr="00B46AC0">
        <w:rPr>
          <w:sz w:val="24"/>
          <w:szCs w:val="24"/>
        </w:rPr>
        <w:t xml:space="preserve"> </w:t>
      </w:r>
      <w:r w:rsidR="00C166EC" w:rsidRPr="00B46AC0">
        <w:rPr>
          <w:sz w:val="24"/>
          <w:szCs w:val="24"/>
        </w:rPr>
        <w:t xml:space="preserve">list </w:t>
      </w:r>
      <w:r w:rsidR="00B658A3" w:rsidRPr="00B46AC0">
        <w:rPr>
          <w:sz w:val="24"/>
          <w:szCs w:val="24"/>
        </w:rPr>
        <w:t xml:space="preserve">are </w:t>
      </w:r>
      <w:r w:rsidR="009C71CE" w:rsidRPr="00B46AC0">
        <w:rPr>
          <w:sz w:val="24"/>
          <w:szCs w:val="24"/>
        </w:rPr>
        <w:t xml:space="preserve">thought to be </w:t>
      </w:r>
      <w:r w:rsidR="00B658A3" w:rsidRPr="00B46AC0">
        <w:rPr>
          <w:sz w:val="24"/>
          <w:szCs w:val="24"/>
        </w:rPr>
        <w:t>less likely</w:t>
      </w:r>
      <w:r w:rsidR="00953CCB" w:rsidRPr="00B46AC0">
        <w:rPr>
          <w:sz w:val="24"/>
          <w:szCs w:val="24"/>
        </w:rPr>
        <w:t xml:space="preserve"> </w:t>
      </w:r>
      <w:r w:rsidR="009A75A3" w:rsidRPr="00B46AC0">
        <w:rPr>
          <w:sz w:val="24"/>
          <w:szCs w:val="24"/>
        </w:rPr>
        <w:t xml:space="preserve">to have relevant experience to share with respect to </w:t>
      </w:r>
      <w:r w:rsidR="00C166EC" w:rsidRPr="00B46AC0">
        <w:rPr>
          <w:sz w:val="24"/>
          <w:szCs w:val="24"/>
        </w:rPr>
        <w:t xml:space="preserve">India than other lists, </w:t>
      </w:r>
      <w:r w:rsidR="00C166EC">
        <w:rPr>
          <w:sz w:val="24"/>
          <w:szCs w:val="24"/>
        </w:rPr>
        <w:t xml:space="preserve">but will permit </w:t>
      </w:r>
      <w:r w:rsidR="00B658A3" w:rsidRPr="00A90E28">
        <w:rPr>
          <w:sz w:val="24"/>
          <w:szCs w:val="24"/>
        </w:rPr>
        <w:t xml:space="preserve">the USITC to </w:t>
      </w:r>
      <w:r w:rsidR="009C71CE" w:rsidRPr="00A90E28">
        <w:rPr>
          <w:sz w:val="24"/>
          <w:szCs w:val="24"/>
        </w:rPr>
        <w:t xml:space="preserve">capture responses from a greater number of </w:t>
      </w:r>
      <w:r w:rsidR="00370395">
        <w:rPr>
          <w:sz w:val="24"/>
          <w:szCs w:val="24"/>
        </w:rPr>
        <w:t xml:space="preserve">exporters that could not be found </w:t>
      </w:r>
      <w:r w:rsidR="00B46AC0">
        <w:rPr>
          <w:sz w:val="24"/>
          <w:szCs w:val="24"/>
        </w:rPr>
        <w:t xml:space="preserve">in the </w:t>
      </w:r>
      <w:r w:rsidR="00505748">
        <w:rPr>
          <w:sz w:val="24"/>
          <w:szCs w:val="24"/>
        </w:rPr>
        <w:t xml:space="preserve">specialty </w:t>
      </w:r>
      <w:r w:rsidR="00B46AC0">
        <w:rPr>
          <w:sz w:val="24"/>
          <w:szCs w:val="24"/>
        </w:rPr>
        <w:t>databases</w:t>
      </w:r>
      <w:r w:rsidR="00C44159" w:rsidRPr="00A90E28">
        <w:rPr>
          <w:sz w:val="24"/>
          <w:szCs w:val="24"/>
        </w:rPr>
        <w:t>.</w:t>
      </w:r>
      <w:r w:rsidR="00637E08" w:rsidRPr="00A90E28">
        <w:rPr>
          <w:sz w:val="24"/>
          <w:szCs w:val="24"/>
        </w:rPr>
        <w:t xml:space="preserve"> </w:t>
      </w:r>
    </w:p>
    <w:p w:rsidR="004930D6" w:rsidRDefault="004930D6" w:rsidP="00C166EC">
      <w:pPr>
        <w:rPr>
          <w:sz w:val="24"/>
          <w:szCs w:val="24"/>
        </w:rPr>
      </w:pPr>
    </w:p>
    <w:p w:rsidR="004930D6" w:rsidRPr="00A90E28" w:rsidRDefault="004930D6" w:rsidP="00C166EC">
      <w:pPr>
        <w:rPr>
          <w:sz w:val="24"/>
          <w:szCs w:val="24"/>
        </w:rPr>
      </w:pPr>
      <w:r>
        <w:rPr>
          <w:sz w:val="24"/>
          <w:szCs w:val="24"/>
        </w:rPr>
        <w:t>Because the focus of this study is on globally engaged firms, which tend to be larger</w:t>
      </w:r>
      <w:r w:rsidR="00B12869">
        <w:rPr>
          <w:sz w:val="24"/>
          <w:szCs w:val="24"/>
        </w:rPr>
        <w:t xml:space="preserve"> than the average firm</w:t>
      </w:r>
      <w:r w:rsidR="00B46AC0">
        <w:rPr>
          <w:sz w:val="24"/>
          <w:szCs w:val="24"/>
        </w:rPr>
        <w:t>,</w:t>
      </w:r>
      <w:r w:rsidR="00B12869">
        <w:rPr>
          <w:sz w:val="24"/>
          <w:szCs w:val="24"/>
        </w:rPr>
        <w:t xml:space="preserve"> </w:t>
      </w:r>
      <w:r>
        <w:rPr>
          <w:sz w:val="24"/>
          <w:szCs w:val="24"/>
        </w:rPr>
        <w:t>the res</w:t>
      </w:r>
      <w:r w:rsidR="00B12869">
        <w:rPr>
          <w:sz w:val="24"/>
          <w:szCs w:val="24"/>
        </w:rPr>
        <w:t>p</w:t>
      </w:r>
      <w:r>
        <w:rPr>
          <w:sz w:val="24"/>
          <w:szCs w:val="24"/>
        </w:rPr>
        <w:t>onse universe was generally restricted to firms with 50 or more employees.</w:t>
      </w:r>
      <w:r>
        <w:rPr>
          <w:rStyle w:val="FootnoteReference"/>
          <w:sz w:val="24"/>
          <w:szCs w:val="24"/>
        </w:rPr>
        <w:footnoteReference w:id="5"/>
      </w:r>
      <w:r>
        <w:rPr>
          <w:sz w:val="24"/>
          <w:szCs w:val="24"/>
        </w:rPr>
        <w:t xml:space="preserve">  </w:t>
      </w:r>
    </w:p>
    <w:p w:rsidR="00405E20" w:rsidRDefault="00405E20" w:rsidP="00A90E28">
      <w:pPr>
        <w:rPr>
          <w:sz w:val="24"/>
          <w:szCs w:val="24"/>
        </w:rPr>
      </w:pPr>
    </w:p>
    <w:p w:rsidR="00741002" w:rsidRPr="007C73E1" w:rsidRDefault="00741002" w:rsidP="00A90E28">
      <w:pPr>
        <w:rPr>
          <w:b/>
          <w:sz w:val="24"/>
          <w:szCs w:val="24"/>
        </w:rPr>
      </w:pPr>
      <w:r w:rsidRPr="007C73E1">
        <w:rPr>
          <w:b/>
          <w:sz w:val="24"/>
          <w:szCs w:val="24"/>
        </w:rPr>
        <w:t>Sample design</w:t>
      </w:r>
    </w:p>
    <w:p w:rsidR="00741002" w:rsidRPr="00A90E28" w:rsidRDefault="00741002" w:rsidP="00A90E28">
      <w:pPr>
        <w:rPr>
          <w:sz w:val="24"/>
          <w:szCs w:val="24"/>
        </w:rPr>
      </w:pPr>
    </w:p>
    <w:p w:rsidR="00405E20" w:rsidRDefault="00BE47D1" w:rsidP="00A90E28">
      <w:pPr>
        <w:rPr>
          <w:sz w:val="24"/>
          <w:szCs w:val="24"/>
        </w:rPr>
      </w:pPr>
      <w:r>
        <w:rPr>
          <w:sz w:val="24"/>
          <w:szCs w:val="24"/>
        </w:rPr>
        <w:t>Survey respondents will be selected through a stratified random sampling methodology that stratifies firms through a combination of</w:t>
      </w:r>
      <w:r w:rsidR="00405E20" w:rsidRPr="00A90E28">
        <w:rPr>
          <w:sz w:val="24"/>
          <w:szCs w:val="24"/>
        </w:rPr>
        <w:t xml:space="preserve">: (1) </w:t>
      </w:r>
      <w:r w:rsidR="00126399" w:rsidRPr="00A90E28">
        <w:rPr>
          <w:sz w:val="24"/>
          <w:szCs w:val="24"/>
        </w:rPr>
        <w:t xml:space="preserve">data source, (2) </w:t>
      </w:r>
      <w:r w:rsidR="00405E20" w:rsidRPr="00A90E28">
        <w:rPr>
          <w:sz w:val="24"/>
          <w:szCs w:val="24"/>
        </w:rPr>
        <w:t>industry,</w:t>
      </w:r>
      <w:r w:rsidR="00126399" w:rsidRPr="00A90E28">
        <w:rPr>
          <w:sz w:val="24"/>
          <w:szCs w:val="24"/>
        </w:rPr>
        <w:t xml:space="preserve"> and (3</w:t>
      </w:r>
      <w:r w:rsidR="00405E20" w:rsidRPr="00A90E28">
        <w:rPr>
          <w:sz w:val="24"/>
          <w:szCs w:val="24"/>
        </w:rPr>
        <w:t>) size</w:t>
      </w:r>
      <w:r w:rsidR="0044101B" w:rsidRPr="00A90E28">
        <w:rPr>
          <w:sz w:val="24"/>
          <w:szCs w:val="24"/>
        </w:rPr>
        <w:t>.</w:t>
      </w:r>
      <w:r w:rsidR="00637E08" w:rsidRPr="00A90E28">
        <w:rPr>
          <w:sz w:val="24"/>
          <w:szCs w:val="24"/>
        </w:rPr>
        <w:t xml:space="preserve"> </w:t>
      </w:r>
      <w:r w:rsidR="00F554C9">
        <w:rPr>
          <w:sz w:val="24"/>
          <w:szCs w:val="24"/>
        </w:rPr>
        <w:t xml:space="preserve"> There will be a total of 52 strata (eight industries, seven data sources/size combinations, and four strata that are empty).</w:t>
      </w:r>
      <w:r w:rsidR="00656312">
        <w:rPr>
          <w:rStyle w:val="FootnoteReference"/>
          <w:sz w:val="24"/>
          <w:szCs w:val="24"/>
        </w:rPr>
        <w:footnoteReference w:id="6"/>
      </w:r>
      <w:r w:rsidR="00F554C9">
        <w:rPr>
          <w:sz w:val="24"/>
          <w:szCs w:val="24"/>
        </w:rPr>
        <w:t xml:space="preserve"> </w:t>
      </w:r>
    </w:p>
    <w:p w:rsidR="00A90E28" w:rsidRPr="00A90E28" w:rsidRDefault="00A90E28" w:rsidP="00A90E28">
      <w:pPr>
        <w:rPr>
          <w:sz w:val="24"/>
          <w:szCs w:val="24"/>
        </w:rPr>
      </w:pPr>
    </w:p>
    <w:p w:rsidR="00126399" w:rsidRPr="008E5CE6" w:rsidRDefault="00126399" w:rsidP="00154DE5">
      <w:pPr>
        <w:pStyle w:val="ListParagraph"/>
        <w:numPr>
          <w:ilvl w:val="0"/>
          <w:numId w:val="9"/>
        </w:numPr>
        <w:spacing w:after="0" w:line="240" w:lineRule="auto"/>
        <w:rPr>
          <w:rFonts w:ascii="Times New Roman" w:hAnsi="Times New Roman"/>
          <w:b/>
          <w:sz w:val="24"/>
          <w:szCs w:val="24"/>
        </w:rPr>
      </w:pPr>
      <w:r w:rsidRPr="00A90E28">
        <w:rPr>
          <w:rFonts w:ascii="Times New Roman" w:hAnsi="Times New Roman"/>
          <w:sz w:val="24"/>
          <w:szCs w:val="24"/>
        </w:rPr>
        <w:t xml:space="preserve">The data source </w:t>
      </w:r>
      <w:r w:rsidR="00683F75">
        <w:rPr>
          <w:rFonts w:ascii="Times New Roman" w:hAnsi="Times New Roman"/>
          <w:sz w:val="24"/>
          <w:szCs w:val="24"/>
        </w:rPr>
        <w:t xml:space="preserve">may be one of </w:t>
      </w:r>
      <w:r w:rsidRPr="00A90E28">
        <w:rPr>
          <w:rFonts w:ascii="Times New Roman" w:hAnsi="Times New Roman"/>
          <w:sz w:val="24"/>
          <w:szCs w:val="24"/>
        </w:rPr>
        <w:t xml:space="preserve">the industry </w:t>
      </w:r>
      <w:r w:rsidR="00683F75">
        <w:rPr>
          <w:rFonts w:ascii="Times New Roman" w:hAnsi="Times New Roman"/>
          <w:sz w:val="24"/>
          <w:szCs w:val="24"/>
        </w:rPr>
        <w:t>databases</w:t>
      </w:r>
      <w:r w:rsidR="008F7E8C">
        <w:rPr>
          <w:rFonts w:ascii="Times New Roman" w:hAnsi="Times New Roman"/>
          <w:sz w:val="24"/>
          <w:szCs w:val="24"/>
        </w:rPr>
        <w:t xml:space="preserve">, the </w:t>
      </w:r>
      <w:r w:rsidR="00505748">
        <w:rPr>
          <w:rFonts w:ascii="Times New Roman" w:hAnsi="Times New Roman"/>
          <w:sz w:val="24"/>
          <w:szCs w:val="24"/>
        </w:rPr>
        <w:t xml:space="preserve">specialty </w:t>
      </w:r>
      <w:r w:rsidR="00FB0837">
        <w:rPr>
          <w:rFonts w:ascii="Times New Roman" w:hAnsi="Times New Roman"/>
          <w:sz w:val="24"/>
          <w:szCs w:val="24"/>
        </w:rPr>
        <w:t xml:space="preserve">database lists, </w:t>
      </w:r>
      <w:r w:rsidRPr="00A90E28">
        <w:rPr>
          <w:rFonts w:ascii="Times New Roman" w:hAnsi="Times New Roman"/>
          <w:sz w:val="24"/>
          <w:szCs w:val="24"/>
        </w:rPr>
        <w:t xml:space="preserve">the Orbis-based list, </w:t>
      </w:r>
      <w:r w:rsidR="003F0A6C">
        <w:rPr>
          <w:rFonts w:ascii="Times New Roman" w:hAnsi="Times New Roman"/>
          <w:sz w:val="24"/>
          <w:szCs w:val="24"/>
        </w:rPr>
        <w:t xml:space="preserve">or the Census list, </w:t>
      </w:r>
      <w:r w:rsidRPr="00A90E28">
        <w:rPr>
          <w:rFonts w:ascii="Times New Roman" w:hAnsi="Times New Roman"/>
          <w:sz w:val="24"/>
          <w:szCs w:val="24"/>
        </w:rPr>
        <w:t>as given above.</w:t>
      </w:r>
      <w:r w:rsidR="006B0044" w:rsidRPr="00A90E28">
        <w:rPr>
          <w:rFonts w:ascii="Times New Roman" w:hAnsi="Times New Roman"/>
          <w:sz w:val="24"/>
          <w:szCs w:val="24"/>
        </w:rPr>
        <w:t xml:space="preserve"> </w:t>
      </w:r>
      <w:r w:rsidR="00683F75">
        <w:rPr>
          <w:rFonts w:ascii="Times New Roman" w:hAnsi="Times New Roman"/>
          <w:sz w:val="24"/>
          <w:szCs w:val="24"/>
        </w:rPr>
        <w:t>S</w:t>
      </w:r>
      <w:r w:rsidR="0019213E">
        <w:rPr>
          <w:rFonts w:ascii="Times New Roman" w:hAnsi="Times New Roman"/>
          <w:sz w:val="24"/>
          <w:szCs w:val="24"/>
        </w:rPr>
        <w:t xml:space="preserve">ources </w:t>
      </w:r>
      <w:r w:rsidR="00683F75">
        <w:rPr>
          <w:rFonts w:ascii="Times New Roman" w:hAnsi="Times New Roman"/>
          <w:sz w:val="24"/>
          <w:szCs w:val="24"/>
        </w:rPr>
        <w:t xml:space="preserve">vary in their level of </w:t>
      </w:r>
      <w:r w:rsidR="0019213E">
        <w:rPr>
          <w:rFonts w:ascii="Times New Roman" w:hAnsi="Times New Roman"/>
          <w:sz w:val="24"/>
          <w:szCs w:val="24"/>
        </w:rPr>
        <w:t>engagement with India</w:t>
      </w:r>
      <w:r w:rsidR="00683F75">
        <w:rPr>
          <w:rFonts w:ascii="Times New Roman" w:hAnsi="Times New Roman"/>
          <w:sz w:val="24"/>
          <w:szCs w:val="24"/>
        </w:rPr>
        <w:t xml:space="preserve">, and sampling rates will reflect this variation. </w:t>
      </w:r>
    </w:p>
    <w:p w:rsidR="00154DE5" w:rsidRPr="00A90E28" w:rsidRDefault="00154DE5" w:rsidP="00154DE5">
      <w:pPr>
        <w:pStyle w:val="ListParagraph"/>
        <w:spacing w:after="0" w:line="240" w:lineRule="auto"/>
        <w:rPr>
          <w:rFonts w:ascii="Times New Roman" w:hAnsi="Times New Roman"/>
          <w:sz w:val="24"/>
          <w:szCs w:val="24"/>
        </w:rPr>
      </w:pPr>
    </w:p>
    <w:p w:rsidR="00607505" w:rsidRDefault="00126399"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t xml:space="preserve">Industries </w:t>
      </w:r>
      <w:r w:rsidR="00607505">
        <w:rPr>
          <w:rFonts w:ascii="Times New Roman" w:hAnsi="Times New Roman"/>
          <w:sz w:val="24"/>
          <w:szCs w:val="24"/>
        </w:rPr>
        <w:t xml:space="preserve">comprise </w:t>
      </w:r>
      <w:r w:rsidRPr="00A90E28">
        <w:rPr>
          <w:rFonts w:ascii="Times New Roman" w:hAnsi="Times New Roman"/>
          <w:sz w:val="24"/>
          <w:szCs w:val="24"/>
        </w:rPr>
        <w:t xml:space="preserve">the </w:t>
      </w:r>
      <w:r w:rsidR="00607505">
        <w:rPr>
          <w:rFonts w:ascii="Times New Roman" w:hAnsi="Times New Roman"/>
          <w:sz w:val="24"/>
          <w:szCs w:val="24"/>
        </w:rPr>
        <w:t xml:space="preserve">following eight </w:t>
      </w:r>
      <w:r w:rsidRPr="00A90E28">
        <w:rPr>
          <w:rFonts w:ascii="Times New Roman" w:hAnsi="Times New Roman"/>
          <w:sz w:val="24"/>
          <w:szCs w:val="24"/>
        </w:rPr>
        <w:t>sectors</w:t>
      </w:r>
      <w:r w:rsidR="00607505">
        <w:rPr>
          <w:rFonts w:ascii="Times New Roman" w:hAnsi="Times New Roman"/>
          <w:sz w:val="24"/>
          <w:szCs w:val="24"/>
        </w:rPr>
        <w:t>: (1) agriculture</w:t>
      </w:r>
      <w:r w:rsidR="00D536FA">
        <w:rPr>
          <w:rFonts w:ascii="Times New Roman" w:hAnsi="Times New Roman"/>
          <w:sz w:val="24"/>
          <w:szCs w:val="24"/>
        </w:rPr>
        <w:t xml:space="preserve">, </w:t>
      </w:r>
      <w:r w:rsidR="00607505">
        <w:rPr>
          <w:rFonts w:ascii="Times New Roman" w:hAnsi="Times New Roman"/>
          <w:sz w:val="24"/>
          <w:szCs w:val="24"/>
        </w:rPr>
        <w:t>food</w:t>
      </w:r>
      <w:r w:rsidR="00D536FA">
        <w:rPr>
          <w:rFonts w:ascii="Times New Roman" w:hAnsi="Times New Roman"/>
          <w:sz w:val="24"/>
          <w:szCs w:val="24"/>
        </w:rPr>
        <w:t xml:space="preserve">, </w:t>
      </w:r>
      <w:r w:rsidR="00F84E08">
        <w:rPr>
          <w:rFonts w:ascii="Times New Roman" w:hAnsi="Times New Roman"/>
          <w:sz w:val="24"/>
          <w:szCs w:val="24"/>
        </w:rPr>
        <w:t xml:space="preserve">and </w:t>
      </w:r>
      <w:r w:rsidR="00D536FA">
        <w:rPr>
          <w:rFonts w:ascii="Times New Roman" w:hAnsi="Times New Roman"/>
          <w:sz w:val="24"/>
          <w:szCs w:val="24"/>
        </w:rPr>
        <w:t>beverage</w:t>
      </w:r>
      <w:r w:rsidR="00607505">
        <w:rPr>
          <w:rFonts w:ascii="Times New Roman" w:hAnsi="Times New Roman"/>
          <w:sz w:val="24"/>
          <w:szCs w:val="24"/>
        </w:rPr>
        <w:t xml:space="preserve">, (2) </w:t>
      </w:r>
      <w:r w:rsidR="001E7401">
        <w:rPr>
          <w:rFonts w:ascii="Times New Roman" w:hAnsi="Times New Roman"/>
          <w:sz w:val="24"/>
          <w:szCs w:val="24"/>
        </w:rPr>
        <w:t>natural resources</w:t>
      </w:r>
      <w:r w:rsidR="00607505">
        <w:rPr>
          <w:rFonts w:ascii="Times New Roman" w:hAnsi="Times New Roman"/>
          <w:sz w:val="24"/>
          <w:szCs w:val="24"/>
        </w:rPr>
        <w:t>, (3) chemicals</w:t>
      </w:r>
      <w:r w:rsidR="00F84E08">
        <w:rPr>
          <w:rFonts w:ascii="Times New Roman" w:hAnsi="Times New Roman"/>
          <w:sz w:val="24"/>
          <w:szCs w:val="24"/>
        </w:rPr>
        <w:t xml:space="preserve"> and textiles</w:t>
      </w:r>
      <w:r w:rsidR="00607505">
        <w:rPr>
          <w:rFonts w:ascii="Times New Roman" w:hAnsi="Times New Roman"/>
          <w:sz w:val="24"/>
          <w:szCs w:val="24"/>
        </w:rPr>
        <w:t>, (4) other manufacturing, (5) financ</w:t>
      </w:r>
      <w:r w:rsidR="00F84E08">
        <w:rPr>
          <w:rFonts w:ascii="Times New Roman" w:hAnsi="Times New Roman"/>
          <w:sz w:val="24"/>
          <w:szCs w:val="24"/>
        </w:rPr>
        <w:t xml:space="preserve">e and insurance </w:t>
      </w:r>
      <w:r w:rsidR="00607505">
        <w:rPr>
          <w:rFonts w:ascii="Times New Roman" w:hAnsi="Times New Roman"/>
          <w:sz w:val="24"/>
          <w:szCs w:val="24"/>
        </w:rPr>
        <w:t xml:space="preserve">services, (6) </w:t>
      </w:r>
      <w:r w:rsidR="00F84E08">
        <w:rPr>
          <w:rFonts w:ascii="Times New Roman" w:hAnsi="Times New Roman"/>
          <w:sz w:val="24"/>
          <w:szCs w:val="24"/>
        </w:rPr>
        <w:t>distribution services</w:t>
      </w:r>
      <w:r w:rsidR="00607505">
        <w:rPr>
          <w:rFonts w:ascii="Times New Roman" w:hAnsi="Times New Roman"/>
          <w:sz w:val="24"/>
          <w:szCs w:val="24"/>
        </w:rPr>
        <w:t>, (7) information</w:t>
      </w:r>
      <w:r w:rsidR="00F84E08">
        <w:rPr>
          <w:rFonts w:ascii="Times New Roman" w:hAnsi="Times New Roman"/>
          <w:sz w:val="24"/>
          <w:szCs w:val="24"/>
        </w:rPr>
        <w:t xml:space="preserve"> services</w:t>
      </w:r>
      <w:r w:rsidR="00607505">
        <w:rPr>
          <w:rFonts w:ascii="Times New Roman" w:hAnsi="Times New Roman"/>
          <w:sz w:val="24"/>
          <w:szCs w:val="24"/>
        </w:rPr>
        <w:t>, (8) other services.</w:t>
      </w:r>
      <w:r w:rsidR="00FD71F3">
        <w:rPr>
          <w:rFonts w:ascii="Times New Roman" w:hAnsi="Times New Roman"/>
          <w:sz w:val="24"/>
          <w:szCs w:val="24"/>
        </w:rPr>
        <w:t xml:space="preserve"> </w:t>
      </w:r>
      <w:r w:rsidR="00F77511">
        <w:rPr>
          <w:rFonts w:ascii="Times New Roman" w:hAnsi="Times New Roman"/>
          <w:sz w:val="24"/>
          <w:szCs w:val="24"/>
        </w:rPr>
        <w:t xml:space="preserve"> See appendix table A.1 for a complete list of NAICS sectors included in the respondent universe</w:t>
      </w:r>
      <w:r w:rsidR="00617860">
        <w:rPr>
          <w:rFonts w:ascii="Times New Roman" w:hAnsi="Times New Roman"/>
          <w:sz w:val="24"/>
          <w:szCs w:val="24"/>
        </w:rPr>
        <w:t>.</w:t>
      </w:r>
      <w:r w:rsidR="00617860">
        <w:rPr>
          <w:rStyle w:val="FootnoteReference"/>
          <w:rFonts w:ascii="Times New Roman" w:hAnsi="Times New Roman"/>
          <w:sz w:val="24"/>
          <w:szCs w:val="24"/>
        </w:rPr>
        <w:footnoteReference w:id="7"/>
      </w:r>
    </w:p>
    <w:p w:rsidR="00B46AC0" w:rsidDel="008B7DCE" w:rsidRDefault="00405E20" w:rsidP="00154DE5">
      <w:pPr>
        <w:pStyle w:val="ListParagraph"/>
        <w:numPr>
          <w:ilvl w:val="0"/>
          <w:numId w:val="9"/>
        </w:numPr>
        <w:spacing w:after="0" w:line="240" w:lineRule="auto"/>
        <w:rPr>
          <w:rFonts w:ascii="Times New Roman" w:hAnsi="Times New Roman"/>
          <w:sz w:val="24"/>
          <w:szCs w:val="24"/>
        </w:rPr>
      </w:pPr>
      <w:r w:rsidRPr="00A90E28" w:rsidDel="008B7DCE">
        <w:rPr>
          <w:rFonts w:ascii="Times New Roman" w:hAnsi="Times New Roman"/>
          <w:sz w:val="24"/>
          <w:szCs w:val="24"/>
        </w:rPr>
        <w:lastRenderedPageBreak/>
        <w:t xml:space="preserve">Size is defined by </w:t>
      </w:r>
      <w:r w:rsidR="00B46AC0" w:rsidDel="008B7DCE">
        <w:rPr>
          <w:rFonts w:ascii="Times New Roman" w:hAnsi="Times New Roman"/>
          <w:sz w:val="24"/>
          <w:szCs w:val="24"/>
        </w:rPr>
        <w:t>the number of employees or value of exports, depending on the data source</w:t>
      </w:r>
      <w:r w:rsidR="004C028D" w:rsidDel="008B7DCE">
        <w:rPr>
          <w:rFonts w:ascii="Times New Roman" w:hAnsi="Times New Roman"/>
          <w:sz w:val="24"/>
          <w:szCs w:val="24"/>
        </w:rPr>
        <w:t>.</w:t>
      </w:r>
    </w:p>
    <w:p w:rsidR="006C2F09" w:rsidRPr="00A90E28" w:rsidRDefault="004C028D" w:rsidP="008B7DCE">
      <w:pPr>
        <w:pStyle w:val="ListParagraph"/>
        <w:numPr>
          <w:ilvl w:val="1"/>
          <w:numId w:val="23"/>
        </w:numPr>
        <w:spacing w:after="0" w:line="240" w:lineRule="auto"/>
        <w:rPr>
          <w:rFonts w:ascii="Times New Roman" w:hAnsi="Times New Roman"/>
          <w:sz w:val="24"/>
          <w:szCs w:val="24"/>
        </w:rPr>
      </w:pPr>
      <w:r>
        <w:rPr>
          <w:rFonts w:ascii="Times New Roman" w:hAnsi="Times New Roman"/>
          <w:sz w:val="24"/>
          <w:szCs w:val="24"/>
        </w:rPr>
        <w:t>For firms identified through ktMINE, Orbis, or industry lists, size is measured by the number of employees</w:t>
      </w:r>
      <w:r w:rsidR="00405E20" w:rsidRPr="00A90E28">
        <w:rPr>
          <w:rFonts w:ascii="Times New Roman" w:hAnsi="Times New Roman"/>
          <w:sz w:val="24"/>
          <w:szCs w:val="24"/>
        </w:rPr>
        <w:t xml:space="preserve">. </w:t>
      </w:r>
      <w:r w:rsidR="00B02E0A" w:rsidRPr="00A90E28">
        <w:rPr>
          <w:rFonts w:ascii="Times New Roman" w:hAnsi="Times New Roman"/>
          <w:sz w:val="24"/>
          <w:szCs w:val="24"/>
        </w:rPr>
        <w:t xml:space="preserve">Employment is the most </w:t>
      </w:r>
      <w:r w:rsidR="0033608D">
        <w:rPr>
          <w:rFonts w:ascii="Times New Roman" w:hAnsi="Times New Roman"/>
          <w:sz w:val="24"/>
          <w:szCs w:val="24"/>
        </w:rPr>
        <w:t xml:space="preserve">readily </w:t>
      </w:r>
      <w:r w:rsidR="00B02E0A" w:rsidRPr="00A90E28">
        <w:rPr>
          <w:rFonts w:ascii="Times New Roman" w:hAnsi="Times New Roman"/>
          <w:sz w:val="24"/>
          <w:szCs w:val="24"/>
        </w:rPr>
        <w:t>available measure of firm size in the</w:t>
      </w:r>
      <w:r>
        <w:rPr>
          <w:rFonts w:ascii="Times New Roman" w:hAnsi="Times New Roman"/>
          <w:sz w:val="24"/>
          <w:szCs w:val="24"/>
        </w:rPr>
        <w:t>se</w:t>
      </w:r>
      <w:r w:rsidR="00FD31C9">
        <w:rPr>
          <w:rFonts w:ascii="Times New Roman" w:hAnsi="Times New Roman"/>
          <w:sz w:val="24"/>
          <w:szCs w:val="24"/>
        </w:rPr>
        <w:t xml:space="preserve"> </w:t>
      </w:r>
      <w:r w:rsidR="00B02E0A" w:rsidRPr="00A90E28">
        <w:rPr>
          <w:rFonts w:ascii="Times New Roman" w:hAnsi="Times New Roman"/>
          <w:sz w:val="24"/>
          <w:szCs w:val="24"/>
        </w:rPr>
        <w:t>data</w:t>
      </w:r>
      <w:r w:rsidR="00632B9B">
        <w:rPr>
          <w:rFonts w:ascii="Times New Roman" w:hAnsi="Times New Roman"/>
          <w:sz w:val="24"/>
          <w:szCs w:val="24"/>
        </w:rPr>
        <w:t>base</w:t>
      </w:r>
      <w:r>
        <w:rPr>
          <w:rFonts w:ascii="Times New Roman" w:hAnsi="Times New Roman"/>
          <w:sz w:val="24"/>
          <w:szCs w:val="24"/>
        </w:rPr>
        <w:t>s</w:t>
      </w:r>
      <w:r w:rsidR="00B02E0A" w:rsidRPr="00A90E28">
        <w:rPr>
          <w:rFonts w:ascii="Times New Roman" w:hAnsi="Times New Roman"/>
          <w:sz w:val="24"/>
          <w:szCs w:val="24"/>
        </w:rPr>
        <w:t xml:space="preserve"> and is known to be highly correlated with </w:t>
      </w:r>
      <w:r w:rsidR="004B4881">
        <w:rPr>
          <w:rFonts w:ascii="Times New Roman" w:hAnsi="Times New Roman"/>
          <w:sz w:val="24"/>
          <w:szCs w:val="24"/>
        </w:rPr>
        <w:t xml:space="preserve">both </w:t>
      </w:r>
      <w:r w:rsidR="00B02E0A" w:rsidRPr="00A90E28">
        <w:rPr>
          <w:rFonts w:ascii="Times New Roman" w:hAnsi="Times New Roman"/>
          <w:sz w:val="24"/>
          <w:szCs w:val="24"/>
        </w:rPr>
        <w:t>exports</w:t>
      </w:r>
      <w:r w:rsidR="004B4881">
        <w:rPr>
          <w:rFonts w:ascii="Times New Roman" w:hAnsi="Times New Roman"/>
          <w:sz w:val="24"/>
          <w:szCs w:val="24"/>
        </w:rPr>
        <w:t xml:space="preserve"> and investment abroad</w:t>
      </w:r>
      <w:r w:rsidR="00B02E0A" w:rsidRPr="00A90E28">
        <w:rPr>
          <w:rFonts w:ascii="Times New Roman" w:hAnsi="Times New Roman"/>
          <w:sz w:val="24"/>
          <w:szCs w:val="24"/>
        </w:rPr>
        <w:t>.</w:t>
      </w:r>
      <w:r w:rsidR="00B46AC0">
        <w:rPr>
          <w:rFonts w:ascii="Times New Roman" w:hAnsi="Times New Roman"/>
          <w:sz w:val="24"/>
          <w:szCs w:val="24"/>
        </w:rPr>
        <w:t xml:space="preserve"> </w:t>
      </w:r>
    </w:p>
    <w:p w:rsidR="00B02E0A" w:rsidRPr="00A90E28" w:rsidRDefault="0067148B" w:rsidP="00834D6C">
      <w:pPr>
        <w:pStyle w:val="ListParagraph"/>
        <w:numPr>
          <w:ilvl w:val="2"/>
          <w:numId w:val="19"/>
        </w:numPr>
        <w:spacing w:after="0" w:line="240" w:lineRule="auto"/>
        <w:rPr>
          <w:rFonts w:ascii="Times New Roman" w:hAnsi="Times New Roman"/>
          <w:sz w:val="24"/>
          <w:szCs w:val="24"/>
        </w:rPr>
      </w:pPr>
      <w:r>
        <w:rPr>
          <w:rFonts w:ascii="Times New Roman" w:hAnsi="Times New Roman"/>
          <w:sz w:val="24"/>
          <w:szCs w:val="24"/>
        </w:rPr>
        <w:t>As discussed above, t</w:t>
      </w:r>
      <w:r w:rsidR="00B02E0A" w:rsidRPr="00A90E28">
        <w:rPr>
          <w:rFonts w:ascii="Times New Roman" w:hAnsi="Times New Roman"/>
          <w:sz w:val="24"/>
          <w:szCs w:val="24"/>
        </w:rPr>
        <w:t xml:space="preserve">he smallest firms in each stratum are not sampled </w:t>
      </w:r>
      <w:r w:rsidR="005D3EA9">
        <w:rPr>
          <w:rFonts w:ascii="Times New Roman" w:hAnsi="Times New Roman"/>
          <w:sz w:val="24"/>
          <w:szCs w:val="24"/>
        </w:rPr>
        <w:t xml:space="preserve">in order </w:t>
      </w:r>
      <w:r w:rsidR="00B02E0A" w:rsidRPr="00A90E28">
        <w:rPr>
          <w:rFonts w:ascii="Times New Roman" w:hAnsi="Times New Roman"/>
          <w:sz w:val="24"/>
          <w:szCs w:val="24"/>
        </w:rPr>
        <w:t>to reduce respondent burden and to improve the statistical properties of the remaining estimates.</w:t>
      </w:r>
    </w:p>
    <w:p w:rsidR="006C2F09" w:rsidRPr="00A90E28" w:rsidRDefault="00D05074" w:rsidP="00834D6C">
      <w:pPr>
        <w:pStyle w:val="ListParagraph"/>
        <w:numPr>
          <w:ilvl w:val="2"/>
          <w:numId w:val="19"/>
        </w:numPr>
        <w:spacing w:after="0" w:line="240" w:lineRule="auto"/>
        <w:rPr>
          <w:rFonts w:ascii="Times New Roman" w:hAnsi="Times New Roman"/>
          <w:sz w:val="24"/>
          <w:szCs w:val="24"/>
        </w:rPr>
      </w:pPr>
      <w:r>
        <w:rPr>
          <w:rFonts w:ascii="Times New Roman" w:hAnsi="Times New Roman"/>
          <w:sz w:val="24"/>
          <w:szCs w:val="24"/>
        </w:rPr>
        <w:t xml:space="preserve">Medium sized firms </w:t>
      </w:r>
      <w:r w:rsidR="00405E20" w:rsidRPr="00A90E28">
        <w:rPr>
          <w:rFonts w:ascii="Times New Roman" w:hAnsi="Times New Roman"/>
          <w:sz w:val="24"/>
          <w:szCs w:val="24"/>
        </w:rPr>
        <w:t>are defined as firms</w:t>
      </w:r>
      <w:r w:rsidR="006C2F09" w:rsidRPr="00A90E28">
        <w:rPr>
          <w:rFonts w:ascii="Times New Roman" w:hAnsi="Times New Roman"/>
          <w:sz w:val="24"/>
          <w:szCs w:val="24"/>
        </w:rPr>
        <w:t xml:space="preserve"> with fewer than </w:t>
      </w:r>
      <w:r w:rsidR="0095789D">
        <w:rPr>
          <w:rFonts w:ascii="Times New Roman" w:hAnsi="Times New Roman"/>
          <w:sz w:val="24"/>
          <w:szCs w:val="24"/>
        </w:rPr>
        <w:t>500</w:t>
      </w:r>
      <w:r w:rsidR="0095789D" w:rsidRPr="00A90E28">
        <w:rPr>
          <w:rFonts w:ascii="Times New Roman" w:hAnsi="Times New Roman"/>
          <w:sz w:val="24"/>
          <w:szCs w:val="24"/>
        </w:rPr>
        <w:t xml:space="preserve"> </w:t>
      </w:r>
      <w:r w:rsidR="006C2F09" w:rsidRPr="00A90E28">
        <w:rPr>
          <w:rFonts w:ascii="Times New Roman" w:hAnsi="Times New Roman"/>
          <w:sz w:val="24"/>
          <w:szCs w:val="24"/>
        </w:rPr>
        <w:t>employees</w:t>
      </w:r>
    </w:p>
    <w:p w:rsidR="00B02E0A" w:rsidRDefault="006C2F09" w:rsidP="00834D6C">
      <w:pPr>
        <w:pStyle w:val="ListParagraph"/>
        <w:numPr>
          <w:ilvl w:val="2"/>
          <w:numId w:val="19"/>
        </w:numPr>
        <w:spacing w:after="0" w:line="240" w:lineRule="auto"/>
        <w:rPr>
          <w:rFonts w:ascii="Times New Roman" w:hAnsi="Times New Roman"/>
          <w:sz w:val="24"/>
          <w:szCs w:val="24"/>
        </w:rPr>
      </w:pPr>
      <w:r w:rsidRPr="00A90E28">
        <w:rPr>
          <w:rFonts w:ascii="Times New Roman" w:hAnsi="Times New Roman"/>
          <w:sz w:val="24"/>
          <w:szCs w:val="24"/>
        </w:rPr>
        <w:t>L</w:t>
      </w:r>
      <w:r w:rsidR="00405E20" w:rsidRPr="00A90E28">
        <w:rPr>
          <w:rFonts w:ascii="Times New Roman" w:hAnsi="Times New Roman"/>
          <w:sz w:val="24"/>
          <w:szCs w:val="24"/>
        </w:rPr>
        <w:t>arge firms are defined as fi</w:t>
      </w:r>
      <w:r w:rsidR="006B0044" w:rsidRPr="00A90E28">
        <w:rPr>
          <w:rFonts w:ascii="Times New Roman" w:hAnsi="Times New Roman"/>
          <w:sz w:val="24"/>
          <w:szCs w:val="24"/>
        </w:rPr>
        <w:t xml:space="preserve">rms with </w:t>
      </w:r>
      <w:r w:rsidR="0095789D">
        <w:rPr>
          <w:rFonts w:ascii="Times New Roman" w:hAnsi="Times New Roman"/>
          <w:sz w:val="24"/>
          <w:szCs w:val="24"/>
        </w:rPr>
        <w:t>5</w:t>
      </w:r>
      <w:r w:rsidR="006B0044" w:rsidRPr="00A90E28">
        <w:rPr>
          <w:rFonts w:ascii="Times New Roman" w:hAnsi="Times New Roman"/>
          <w:sz w:val="24"/>
          <w:szCs w:val="24"/>
        </w:rPr>
        <w:t xml:space="preserve">00 or more employees. </w:t>
      </w:r>
    </w:p>
    <w:p w:rsidR="00EA1716" w:rsidRDefault="00EA1716" w:rsidP="008B7DCE">
      <w:pPr>
        <w:pStyle w:val="ListParagraph"/>
        <w:numPr>
          <w:ilvl w:val="1"/>
          <w:numId w:val="23"/>
        </w:numPr>
        <w:spacing w:after="0" w:line="240" w:lineRule="auto"/>
        <w:rPr>
          <w:rFonts w:ascii="Times New Roman" w:hAnsi="Times New Roman"/>
          <w:sz w:val="24"/>
          <w:szCs w:val="24"/>
        </w:rPr>
      </w:pPr>
      <w:r>
        <w:rPr>
          <w:rFonts w:ascii="Times New Roman" w:hAnsi="Times New Roman"/>
          <w:sz w:val="24"/>
          <w:szCs w:val="24"/>
        </w:rPr>
        <w:t>For firms selected from the PIERS exporter database, size is measured by the value of exports.</w:t>
      </w:r>
    </w:p>
    <w:p w:rsidR="00EA1716" w:rsidRPr="0033645B" w:rsidRDefault="00EA1716" w:rsidP="00834D6C">
      <w:pPr>
        <w:pStyle w:val="ListParagraph"/>
        <w:numPr>
          <w:ilvl w:val="0"/>
          <w:numId w:val="20"/>
        </w:numPr>
        <w:spacing w:after="0" w:line="240" w:lineRule="auto"/>
        <w:rPr>
          <w:rFonts w:ascii="Times New Roman" w:hAnsi="Times New Roman"/>
          <w:sz w:val="24"/>
          <w:szCs w:val="24"/>
        </w:rPr>
      </w:pPr>
      <w:r w:rsidRPr="0033645B">
        <w:rPr>
          <w:rFonts w:ascii="Times New Roman" w:hAnsi="Times New Roman"/>
          <w:sz w:val="24"/>
          <w:szCs w:val="24"/>
        </w:rPr>
        <w:t xml:space="preserve">Firms that have exported to India are included in the database if they have more than $100,000 in total exports in the year ending October 2013. </w:t>
      </w:r>
    </w:p>
    <w:p w:rsidR="00EA1716" w:rsidRPr="0033645B" w:rsidRDefault="00EA1716" w:rsidP="00834D6C">
      <w:pPr>
        <w:pStyle w:val="ListParagraph"/>
        <w:numPr>
          <w:ilvl w:val="0"/>
          <w:numId w:val="20"/>
        </w:numPr>
        <w:spacing w:after="0" w:line="240" w:lineRule="auto"/>
        <w:rPr>
          <w:rFonts w:ascii="Times New Roman" w:hAnsi="Times New Roman"/>
          <w:sz w:val="24"/>
          <w:szCs w:val="24"/>
        </w:rPr>
      </w:pPr>
      <w:r w:rsidRPr="0033645B">
        <w:rPr>
          <w:rFonts w:ascii="Times New Roman" w:hAnsi="Times New Roman"/>
          <w:sz w:val="24"/>
          <w:szCs w:val="24"/>
        </w:rPr>
        <w:t>Firms that have exported to countries other than India are included in the database if they have more than $1 million in total exports in the year ending October 2013.</w:t>
      </w:r>
    </w:p>
    <w:p w:rsidR="00EA1716" w:rsidRDefault="00EA1716" w:rsidP="00EA1716">
      <w:pPr>
        <w:autoSpaceDE/>
        <w:autoSpaceDN/>
        <w:adjustRightInd/>
        <w:rPr>
          <w:rFonts w:ascii="Arial" w:hAnsi="Arial" w:cs="Arial"/>
          <w:sz w:val="18"/>
          <w:szCs w:val="18"/>
        </w:rPr>
      </w:pPr>
    </w:p>
    <w:p w:rsidR="00EA1716" w:rsidRDefault="00EA1716" w:rsidP="00EA1716">
      <w:pPr>
        <w:rPr>
          <w:sz w:val="24"/>
          <w:szCs w:val="24"/>
        </w:rPr>
      </w:pPr>
      <w:r w:rsidRPr="00A90E28">
        <w:rPr>
          <w:sz w:val="24"/>
          <w:szCs w:val="24"/>
        </w:rPr>
        <w:t>T</w:t>
      </w:r>
      <w:r>
        <w:rPr>
          <w:sz w:val="24"/>
          <w:szCs w:val="24"/>
        </w:rPr>
        <w:t>able 1 presents t</w:t>
      </w:r>
      <w:r w:rsidRPr="00A90E28">
        <w:rPr>
          <w:sz w:val="24"/>
          <w:szCs w:val="24"/>
        </w:rPr>
        <w:t xml:space="preserve">he </w:t>
      </w:r>
      <w:r w:rsidR="00C71743">
        <w:rPr>
          <w:sz w:val="24"/>
          <w:szCs w:val="24"/>
        </w:rPr>
        <w:t xml:space="preserve">sampling frame, the population of </w:t>
      </w:r>
      <w:r w:rsidRPr="00A90E28">
        <w:rPr>
          <w:sz w:val="24"/>
          <w:szCs w:val="24"/>
        </w:rPr>
        <w:t>firms in e</w:t>
      </w:r>
      <w:r>
        <w:rPr>
          <w:sz w:val="24"/>
          <w:szCs w:val="24"/>
        </w:rPr>
        <w:t>ach stratum</w:t>
      </w:r>
      <w:r w:rsidR="00C71743">
        <w:rPr>
          <w:sz w:val="24"/>
          <w:szCs w:val="24"/>
        </w:rPr>
        <w:t xml:space="preserve">.  </w:t>
      </w:r>
      <w:r w:rsidR="00647632">
        <w:rPr>
          <w:sz w:val="24"/>
          <w:szCs w:val="24"/>
        </w:rPr>
        <w:t>Table 2</w:t>
      </w:r>
      <w:r w:rsidR="00C71743">
        <w:rPr>
          <w:sz w:val="24"/>
          <w:szCs w:val="24"/>
        </w:rPr>
        <w:t xml:space="preserve"> presents </w:t>
      </w:r>
      <w:r>
        <w:rPr>
          <w:sz w:val="24"/>
          <w:szCs w:val="24"/>
        </w:rPr>
        <w:t>the sample size</w:t>
      </w:r>
      <w:r w:rsidR="00647632">
        <w:rPr>
          <w:sz w:val="24"/>
          <w:szCs w:val="24"/>
        </w:rPr>
        <w:t xml:space="preserve"> for each stratum</w:t>
      </w:r>
      <w:r>
        <w:rPr>
          <w:sz w:val="24"/>
          <w:szCs w:val="24"/>
        </w:rPr>
        <w:t xml:space="preserve">, selected following the methodology described </w:t>
      </w:r>
      <w:r w:rsidR="008A3B57">
        <w:rPr>
          <w:sz w:val="24"/>
          <w:szCs w:val="24"/>
        </w:rPr>
        <w:t>in the next section</w:t>
      </w:r>
      <w:r>
        <w:rPr>
          <w:sz w:val="24"/>
          <w:szCs w:val="24"/>
        </w:rPr>
        <w:t>. 9,000 firms are expected to be sampled: 8,000 as indicated in table 1 plus an additional 1,000 from the Census list if it becomes available in time for USITC staff to process the data</w:t>
      </w:r>
      <w:r w:rsidRPr="00123A00">
        <w:rPr>
          <w:sz w:val="24"/>
          <w:szCs w:val="24"/>
        </w:rPr>
        <w:t>.</w:t>
      </w:r>
    </w:p>
    <w:p w:rsidR="00EA1716" w:rsidRDefault="00EA1716" w:rsidP="00EA1716">
      <w:pPr>
        <w:rPr>
          <w:sz w:val="24"/>
          <w:szCs w:val="24"/>
        </w:rPr>
      </w:pPr>
    </w:p>
    <w:p w:rsidR="00EA1716" w:rsidRDefault="00EA1716" w:rsidP="00EA1716">
      <w:pPr>
        <w:rPr>
          <w:sz w:val="24"/>
          <w:szCs w:val="24"/>
        </w:rPr>
      </w:pPr>
      <w:r>
        <w:rPr>
          <w:sz w:val="24"/>
          <w:szCs w:val="24"/>
        </w:rPr>
        <w:t xml:space="preserve">There are no publicly available, comprehensive lists of </w:t>
      </w:r>
      <w:r w:rsidR="00C83591">
        <w:rPr>
          <w:sz w:val="24"/>
          <w:szCs w:val="24"/>
        </w:rPr>
        <w:t xml:space="preserve">U.S. </w:t>
      </w:r>
      <w:r>
        <w:rPr>
          <w:sz w:val="24"/>
          <w:szCs w:val="24"/>
        </w:rPr>
        <w:t>firms that are globally engaged or are engaged in India.</w:t>
      </w:r>
      <w:r>
        <w:rPr>
          <w:rStyle w:val="FootnoteReference"/>
          <w:sz w:val="24"/>
          <w:szCs w:val="24"/>
        </w:rPr>
        <w:footnoteReference w:id="8"/>
      </w:r>
      <w:r>
        <w:rPr>
          <w:sz w:val="24"/>
          <w:szCs w:val="24"/>
        </w:rPr>
        <w:t xml:space="preserve"> As a result, some coverage error is unavoidable. This may be particularly problematic with respect to exporters to India.  USITC </w:t>
      </w:r>
      <w:proofErr w:type="gramStart"/>
      <w:r>
        <w:rPr>
          <w:sz w:val="24"/>
          <w:szCs w:val="24"/>
        </w:rPr>
        <w:t>staff have</w:t>
      </w:r>
      <w:proofErr w:type="gramEnd"/>
      <w:r>
        <w:rPr>
          <w:sz w:val="24"/>
          <w:szCs w:val="24"/>
        </w:rPr>
        <w:t xml:space="preserve"> made a substantial effort to obtain lists of relevant firms. For example, we have sought out firms with exports to India through the use of the Piers database on exports, </w:t>
      </w:r>
      <w:r w:rsidR="001820B6">
        <w:rPr>
          <w:sz w:val="24"/>
          <w:szCs w:val="24"/>
        </w:rPr>
        <w:t xml:space="preserve">which includes </w:t>
      </w:r>
      <w:r w:rsidR="00F65F53">
        <w:rPr>
          <w:sz w:val="24"/>
          <w:szCs w:val="24"/>
        </w:rPr>
        <w:t>data from approximately 80 percent</w:t>
      </w:r>
      <w:r>
        <w:rPr>
          <w:sz w:val="24"/>
          <w:szCs w:val="24"/>
        </w:rPr>
        <w:t xml:space="preserve"> of the firm population, and moreover collects only waterborne transactions.  The Census export data, if they become available, could eliminate the coverage error for exporters, as the data contain a list of all known exporting establishments to India and the rest of the world. In addition, to the extent feasible, USITC staff obtained lists of firms via industry associations that are in India or interested in entering the Indian market. </w:t>
      </w:r>
    </w:p>
    <w:p w:rsidR="00EA1716" w:rsidRPr="00A90E28" w:rsidRDefault="00EA1716" w:rsidP="00EA1716">
      <w:pPr>
        <w:rPr>
          <w:sz w:val="24"/>
          <w:szCs w:val="24"/>
        </w:rPr>
      </w:pPr>
    </w:p>
    <w:p w:rsidR="00EA1716" w:rsidRDefault="00EA1716" w:rsidP="00EA1716">
      <w:pPr>
        <w:rPr>
          <w:b/>
          <w:bCs/>
          <w:sz w:val="24"/>
          <w:szCs w:val="24"/>
          <w:highlight w:val="white"/>
        </w:rPr>
      </w:pPr>
      <w:r w:rsidRPr="00A90E28">
        <w:rPr>
          <w:sz w:val="24"/>
          <w:szCs w:val="24"/>
        </w:rPr>
        <w:t xml:space="preserve">Based on results of similar past surveys, we expect the response rate to range from </w:t>
      </w:r>
      <w:r>
        <w:rPr>
          <w:sz w:val="24"/>
          <w:szCs w:val="24"/>
        </w:rPr>
        <w:t>4</w:t>
      </w:r>
      <w:r w:rsidR="00F91E4C">
        <w:rPr>
          <w:sz w:val="24"/>
          <w:szCs w:val="24"/>
        </w:rPr>
        <w:t>0</w:t>
      </w:r>
      <w:r w:rsidRPr="00A90E28">
        <w:rPr>
          <w:sz w:val="24"/>
          <w:szCs w:val="24"/>
        </w:rPr>
        <w:t>–</w:t>
      </w:r>
      <w:r>
        <w:rPr>
          <w:sz w:val="24"/>
          <w:szCs w:val="24"/>
        </w:rPr>
        <w:t>6</w:t>
      </w:r>
      <w:r w:rsidRPr="00A90E28">
        <w:rPr>
          <w:sz w:val="24"/>
          <w:szCs w:val="24"/>
        </w:rPr>
        <w:t>0 percent,</w:t>
      </w:r>
      <w:r w:rsidR="00677031">
        <w:rPr>
          <w:rStyle w:val="FootnoteReference"/>
          <w:sz w:val="24"/>
          <w:szCs w:val="24"/>
        </w:rPr>
        <w:footnoteReference w:id="9"/>
      </w:r>
      <w:r w:rsidRPr="00A90E28">
        <w:rPr>
          <w:sz w:val="24"/>
          <w:szCs w:val="24"/>
        </w:rPr>
        <w:t xml:space="preserve"> which would result </w:t>
      </w:r>
      <w:r w:rsidR="00F91E4C">
        <w:rPr>
          <w:sz w:val="24"/>
          <w:szCs w:val="24"/>
        </w:rPr>
        <w:t>in 3</w:t>
      </w:r>
      <w:r>
        <w:rPr>
          <w:sz w:val="24"/>
          <w:szCs w:val="24"/>
        </w:rPr>
        <w:t>,</w:t>
      </w:r>
      <w:r w:rsidR="00F91E4C">
        <w:rPr>
          <w:sz w:val="24"/>
          <w:szCs w:val="24"/>
        </w:rPr>
        <w:t>2</w:t>
      </w:r>
      <w:r>
        <w:rPr>
          <w:sz w:val="24"/>
          <w:szCs w:val="24"/>
        </w:rPr>
        <w:t>00–</w:t>
      </w:r>
      <w:r w:rsidR="00F91E4C">
        <w:rPr>
          <w:sz w:val="24"/>
          <w:szCs w:val="24"/>
        </w:rPr>
        <w:t>4</w:t>
      </w:r>
      <w:r>
        <w:rPr>
          <w:sz w:val="24"/>
          <w:szCs w:val="24"/>
        </w:rPr>
        <w:t>,</w:t>
      </w:r>
      <w:r w:rsidR="00F91E4C">
        <w:rPr>
          <w:sz w:val="24"/>
          <w:szCs w:val="24"/>
        </w:rPr>
        <w:t>8</w:t>
      </w:r>
      <w:r>
        <w:rPr>
          <w:sz w:val="24"/>
          <w:szCs w:val="24"/>
        </w:rPr>
        <w:t>00</w:t>
      </w:r>
      <w:r w:rsidRPr="00A90E28">
        <w:rPr>
          <w:sz w:val="24"/>
          <w:szCs w:val="24"/>
        </w:rPr>
        <w:t xml:space="preserve"> surveys received from the sampled companies</w:t>
      </w:r>
      <w:r w:rsidR="0096407A">
        <w:rPr>
          <w:sz w:val="24"/>
          <w:szCs w:val="24"/>
        </w:rPr>
        <w:t xml:space="preserve"> (assuming 8,000 surveys sent out)</w:t>
      </w:r>
      <w:r w:rsidRPr="00A90E28">
        <w:rPr>
          <w:sz w:val="24"/>
          <w:szCs w:val="24"/>
        </w:rPr>
        <w:t xml:space="preserve">. </w:t>
      </w:r>
      <w:r>
        <w:rPr>
          <w:sz w:val="24"/>
          <w:szCs w:val="24"/>
        </w:rPr>
        <w:t>Responses in previous and ongoing USITC surveys have not differed significantly by firm size or across industries. Thus a uniform response rate has been assumed for all strata.</w:t>
      </w:r>
    </w:p>
    <w:p w:rsidR="007A4B36" w:rsidRDefault="007A4B36" w:rsidP="00DA7286">
      <w:pPr>
        <w:autoSpaceDE/>
        <w:autoSpaceDN/>
        <w:adjustRightInd/>
        <w:rPr>
          <w:rFonts w:ascii="Arial" w:hAnsi="Arial" w:cs="Arial"/>
          <w:b/>
          <w:sz w:val="18"/>
        </w:rPr>
      </w:pPr>
    </w:p>
    <w:p w:rsidR="00834D6C" w:rsidRPr="00EB48AD" w:rsidRDefault="00834D6C" w:rsidP="00DA7286">
      <w:pPr>
        <w:autoSpaceDE/>
        <w:autoSpaceDN/>
        <w:adjustRightInd/>
        <w:rPr>
          <w:rFonts w:ascii="Arial" w:hAnsi="Arial" w:cs="Arial"/>
        </w:rPr>
      </w:pPr>
      <w:r w:rsidRPr="00647632">
        <w:rPr>
          <w:rFonts w:ascii="Arial" w:hAnsi="Arial" w:cs="Arial"/>
          <w:b/>
          <w:sz w:val="18"/>
        </w:rPr>
        <w:t xml:space="preserve">TABLE </w:t>
      </w:r>
      <w:proofErr w:type="gramStart"/>
      <w:r w:rsidRPr="00647632">
        <w:rPr>
          <w:rFonts w:ascii="Arial" w:hAnsi="Arial" w:cs="Arial"/>
          <w:b/>
          <w:sz w:val="18"/>
        </w:rPr>
        <w:t>1</w:t>
      </w:r>
      <w:r w:rsidRPr="00647632">
        <w:rPr>
          <w:rFonts w:ascii="Arial" w:hAnsi="Arial" w:cs="Arial"/>
          <w:sz w:val="18"/>
        </w:rPr>
        <w:t xml:space="preserve">  </w:t>
      </w:r>
      <w:r w:rsidR="007A4B36">
        <w:rPr>
          <w:rFonts w:ascii="Arial" w:hAnsi="Arial" w:cs="Arial"/>
          <w:sz w:val="18"/>
          <w:szCs w:val="18"/>
        </w:rPr>
        <w:t>Sampling</w:t>
      </w:r>
      <w:proofErr w:type="gramEnd"/>
      <w:r w:rsidR="007A4B36">
        <w:rPr>
          <w:rFonts w:ascii="Arial" w:hAnsi="Arial" w:cs="Arial"/>
          <w:sz w:val="18"/>
          <w:szCs w:val="18"/>
        </w:rPr>
        <w:t xml:space="preserve"> frame</w:t>
      </w:r>
      <w:r w:rsidR="00647632">
        <w:rPr>
          <w:rFonts w:ascii="Arial" w:hAnsi="Arial" w:cs="Arial"/>
          <w:sz w:val="18"/>
          <w:szCs w:val="18"/>
        </w:rPr>
        <w:t xml:space="preserve"> by stratum</w:t>
      </w:r>
      <w:r w:rsidR="00647632" w:rsidRPr="00123A00">
        <w:rPr>
          <w:rFonts w:ascii="Arial" w:hAnsi="Arial" w:cs="Arial"/>
          <w:sz w:val="18"/>
          <w:szCs w:val="18"/>
        </w:rPr>
        <w:t>, excluding firms from the Census list</w:t>
      </w:r>
    </w:p>
    <w:tbl>
      <w:tblPr>
        <w:tblW w:w="0" w:type="auto"/>
        <w:tblInd w:w="108" w:type="dxa"/>
        <w:tblCellMar>
          <w:left w:w="29" w:type="dxa"/>
          <w:right w:w="29" w:type="dxa"/>
        </w:tblCellMar>
        <w:tblLook w:val="04A0" w:firstRow="1" w:lastRow="0" w:firstColumn="1" w:lastColumn="0" w:noHBand="0" w:noVBand="1"/>
      </w:tblPr>
      <w:tblGrid>
        <w:gridCol w:w="1901"/>
        <w:gridCol w:w="1152"/>
        <w:gridCol w:w="946"/>
        <w:gridCol w:w="1115"/>
        <w:gridCol w:w="127"/>
        <w:gridCol w:w="770"/>
        <w:gridCol w:w="586"/>
        <w:gridCol w:w="188"/>
        <w:gridCol w:w="1092"/>
        <w:gridCol w:w="990"/>
      </w:tblGrid>
      <w:tr w:rsidR="00834D6C" w:rsidRPr="00EF5217" w:rsidTr="00385912">
        <w:trPr>
          <w:trHeight w:val="317"/>
        </w:trPr>
        <w:tc>
          <w:tcPr>
            <w:tcW w:w="1901" w:type="dxa"/>
            <w:vMerge w:val="restart"/>
            <w:tcBorders>
              <w:top w:val="single" w:sz="4" w:space="0" w:color="auto"/>
              <w:left w:val="nil"/>
              <w:right w:val="nil"/>
            </w:tcBorders>
            <w:shd w:val="clear" w:color="auto" w:fill="auto"/>
            <w:vAlign w:val="bottom"/>
            <w:hideMark/>
          </w:tcPr>
          <w:p w:rsidR="00834D6C" w:rsidRPr="00EF5217" w:rsidRDefault="00834D6C" w:rsidP="00834D6C">
            <w:pPr>
              <w:rPr>
                <w:rFonts w:ascii="Arial" w:eastAsia="Times New Roman" w:hAnsi="Arial" w:cs="Arial"/>
                <w:color w:val="000000"/>
                <w:sz w:val="18"/>
                <w:szCs w:val="18"/>
              </w:rPr>
            </w:pPr>
            <w:r w:rsidRPr="00EF5217">
              <w:rPr>
                <w:rFonts w:ascii="Arial" w:eastAsia="Times New Roman" w:hAnsi="Arial" w:cs="Arial"/>
                <w:color w:val="000000"/>
                <w:sz w:val="18"/>
                <w:szCs w:val="18"/>
              </w:rPr>
              <w:t>Sector</w:t>
            </w:r>
          </w:p>
        </w:tc>
        <w:tc>
          <w:tcPr>
            <w:tcW w:w="1152" w:type="dxa"/>
            <w:vMerge w:val="restart"/>
            <w:tcBorders>
              <w:top w:val="single" w:sz="4" w:space="0" w:color="auto"/>
              <w:left w:val="nil"/>
              <w:right w:val="nil"/>
            </w:tcBorders>
            <w:shd w:val="clear" w:color="auto" w:fill="auto"/>
            <w:vAlign w:val="bottom"/>
            <w:hideMark/>
          </w:tcPr>
          <w:p w:rsidR="00834D6C" w:rsidRPr="00EF5217" w:rsidRDefault="00834D6C" w:rsidP="00834D6C">
            <w:pPr>
              <w:jc w:val="right"/>
              <w:rPr>
                <w:rFonts w:ascii="Arial" w:eastAsia="Times New Roman" w:hAnsi="Arial" w:cs="Arial"/>
                <w:color w:val="000000"/>
                <w:sz w:val="18"/>
                <w:szCs w:val="18"/>
              </w:rPr>
            </w:pPr>
            <w:r>
              <w:rPr>
                <w:rFonts w:ascii="Arial" w:eastAsia="Times New Roman" w:hAnsi="Arial" w:cs="Arial"/>
                <w:color w:val="000000"/>
                <w:sz w:val="18"/>
                <w:szCs w:val="18"/>
              </w:rPr>
              <w:t>Multi</w:t>
            </w:r>
            <w:r w:rsidRPr="00EF5217">
              <w:rPr>
                <w:rFonts w:ascii="Arial" w:eastAsia="Times New Roman" w:hAnsi="Arial" w:cs="Arial"/>
                <w:color w:val="000000"/>
                <w:sz w:val="18"/>
                <w:szCs w:val="18"/>
              </w:rPr>
              <w:t>national corporations</w:t>
            </w:r>
          </w:p>
        </w:tc>
        <w:tc>
          <w:tcPr>
            <w:tcW w:w="946" w:type="dxa"/>
            <w:vMerge w:val="restart"/>
            <w:tcBorders>
              <w:top w:val="single" w:sz="4" w:space="0" w:color="auto"/>
              <w:left w:val="nil"/>
              <w:right w:val="nil"/>
            </w:tcBorders>
            <w:shd w:val="clear" w:color="auto" w:fill="auto"/>
            <w:vAlign w:val="bottom"/>
            <w:hideMark/>
          </w:tcPr>
          <w:p w:rsidR="00834D6C" w:rsidRPr="00EF5217" w:rsidRDefault="00884811" w:rsidP="00884811">
            <w:pPr>
              <w:jc w:val="right"/>
              <w:rPr>
                <w:rFonts w:ascii="Arial" w:eastAsia="Times New Roman" w:hAnsi="Arial" w:cs="Arial"/>
                <w:color w:val="000000"/>
                <w:sz w:val="18"/>
                <w:szCs w:val="18"/>
              </w:rPr>
            </w:pPr>
            <w:r>
              <w:rPr>
                <w:rFonts w:ascii="Arial" w:eastAsia="Times New Roman" w:hAnsi="Arial" w:cs="Arial"/>
                <w:color w:val="000000"/>
                <w:sz w:val="18"/>
                <w:szCs w:val="18"/>
              </w:rPr>
              <w:t>India-specific firms</w:t>
            </w:r>
          </w:p>
        </w:tc>
        <w:tc>
          <w:tcPr>
            <w:tcW w:w="1115" w:type="dxa"/>
            <w:vMerge w:val="restart"/>
            <w:tcBorders>
              <w:top w:val="single" w:sz="4" w:space="0" w:color="auto"/>
              <w:left w:val="nil"/>
              <w:right w:val="nil"/>
            </w:tcBorders>
            <w:shd w:val="clear" w:color="auto" w:fill="auto"/>
            <w:vAlign w:val="bottom"/>
            <w:hideMark/>
          </w:tcPr>
          <w:p w:rsidR="00834D6C" w:rsidRPr="00EF5217" w:rsidRDefault="00834D6C" w:rsidP="00884811">
            <w:pPr>
              <w:jc w:val="right"/>
              <w:rPr>
                <w:rFonts w:ascii="Arial" w:eastAsia="Times New Roman" w:hAnsi="Arial" w:cs="Arial"/>
                <w:color w:val="000000"/>
                <w:sz w:val="18"/>
                <w:szCs w:val="18"/>
              </w:rPr>
            </w:pPr>
            <w:r w:rsidRPr="00EF5217">
              <w:rPr>
                <w:rFonts w:ascii="Arial" w:eastAsia="Times New Roman" w:hAnsi="Arial" w:cs="Arial"/>
                <w:color w:val="000000"/>
                <w:sz w:val="18"/>
                <w:szCs w:val="18"/>
              </w:rPr>
              <w:t>Exporters to  countries</w:t>
            </w:r>
            <w:r w:rsidR="00884811">
              <w:rPr>
                <w:rFonts w:ascii="Arial" w:eastAsia="Times New Roman" w:hAnsi="Arial" w:cs="Arial"/>
                <w:color w:val="000000"/>
                <w:sz w:val="18"/>
                <w:szCs w:val="18"/>
              </w:rPr>
              <w:t xml:space="preserve"> other than India</w:t>
            </w:r>
          </w:p>
        </w:tc>
        <w:tc>
          <w:tcPr>
            <w:tcW w:w="127" w:type="dxa"/>
            <w:tcBorders>
              <w:top w:val="single" w:sz="4" w:space="0" w:color="auto"/>
              <w:left w:val="nil"/>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p>
        </w:tc>
        <w:tc>
          <w:tcPr>
            <w:tcW w:w="1356" w:type="dxa"/>
            <w:gridSpan w:val="2"/>
            <w:tcBorders>
              <w:top w:val="single" w:sz="4" w:space="0" w:color="auto"/>
              <w:left w:val="nil"/>
              <w:bottom w:val="single" w:sz="4" w:space="0" w:color="auto"/>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r>
              <w:rPr>
                <w:rFonts w:ascii="Arial" w:eastAsia="Times New Roman" w:hAnsi="Arial" w:cs="Arial"/>
                <w:color w:val="000000"/>
                <w:sz w:val="18"/>
                <w:szCs w:val="18"/>
              </w:rPr>
              <w:t xml:space="preserve">Firms in </w:t>
            </w:r>
            <w:proofErr w:type="spellStart"/>
            <w:r>
              <w:rPr>
                <w:rFonts w:ascii="Arial" w:eastAsia="Times New Roman" w:hAnsi="Arial" w:cs="Arial"/>
                <w:color w:val="000000"/>
                <w:sz w:val="18"/>
                <w:szCs w:val="18"/>
              </w:rPr>
              <w:t>Orbis</w:t>
            </w:r>
            <w:r w:rsidRPr="00CB0C5F">
              <w:rPr>
                <w:rFonts w:ascii="Arial" w:eastAsia="Times New Roman" w:hAnsi="Arial" w:cs="Arial"/>
                <w:color w:val="000000"/>
                <w:sz w:val="18"/>
                <w:szCs w:val="18"/>
                <w:vertAlign w:val="superscript"/>
              </w:rPr>
              <w:t>a</w:t>
            </w:r>
            <w:proofErr w:type="spellEnd"/>
          </w:p>
        </w:tc>
        <w:tc>
          <w:tcPr>
            <w:tcW w:w="188" w:type="dxa"/>
            <w:tcBorders>
              <w:top w:val="single" w:sz="4" w:space="0" w:color="auto"/>
              <w:left w:val="nil"/>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p>
        </w:tc>
        <w:tc>
          <w:tcPr>
            <w:tcW w:w="1092" w:type="dxa"/>
            <w:vMerge w:val="restart"/>
            <w:tcBorders>
              <w:top w:val="single" w:sz="4" w:space="0" w:color="auto"/>
              <w:left w:val="nil"/>
              <w:right w:val="nil"/>
            </w:tcBorders>
            <w:shd w:val="clear" w:color="auto" w:fill="auto"/>
            <w:noWrap/>
            <w:vAlign w:val="bottom"/>
            <w:hideMark/>
          </w:tcPr>
          <w:p w:rsidR="00834D6C" w:rsidRPr="00EF5217" w:rsidRDefault="00FE3E34" w:rsidP="00FE3E34">
            <w:pPr>
              <w:jc w:val="right"/>
              <w:rPr>
                <w:rFonts w:ascii="Arial" w:eastAsia="Times New Roman" w:hAnsi="Arial" w:cs="Arial"/>
                <w:color w:val="000000"/>
                <w:sz w:val="18"/>
                <w:szCs w:val="18"/>
              </w:rPr>
            </w:pPr>
            <w:r>
              <w:rPr>
                <w:rFonts w:ascii="Arial" w:eastAsia="Times New Roman" w:hAnsi="Arial" w:cs="Arial"/>
                <w:color w:val="000000"/>
                <w:sz w:val="18"/>
                <w:szCs w:val="18"/>
              </w:rPr>
              <w:t>Industry</w:t>
            </w:r>
            <w:r w:rsidR="00834D6C">
              <w:rPr>
                <w:rFonts w:ascii="Arial" w:eastAsia="Times New Roman" w:hAnsi="Arial" w:cs="Arial"/>
                <w:color w:val="000000"/>
                <w:sz w:val="18"/>
                <w:szCs w:val="18"/>
              </w:rPr>
              <w:t xml:space="preserve"> association lists</w:t>
            </w:r>
          </w:p>
        </w:tc>
        <w:tc>
          <w:tcPr>
            <w:tcW w:w="990" w:type="dxa"/>
            <w:vMerge w:val="restart"/>
            <w:tcBorders>
              <w:top w:val="single" w:sz="4" w:space="0" w:color="auto"/>
              <w:left w:val="nil"/>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r w:rsidRPr="00EF5217">
              <w:rPr>
                <w:rFonts w:ascii="Arial" w:eastAsia="Times New Roman" w:hAnsi="Arial" w:cs="Arial"/>
                <w:color w:val="000000"/>
                <w:sz w:val="18"/>
                <w:szCs w:val="18"/>
              </w:rPr>
              <w:t>Total</w:t>
            </w:r>
          </w:p>
        </w:tc>
      </w:tr>
      <w:tr w:rsidR="00834D6C" w:rsidRPr="00EF5217" w:rsidTr="00385912">
        <w:trPr>
          <w:trHeight w:val="317"/>
        </w:trPr>
        <w:tc>
          <w:tcPr>
            <w:tcW w:w="1901" w:type="dxa"/>
            <w:vMerge/>
            <w:tcBorders>
              <w:left w:val="nil"/>
              <w:bottom w:val="single" w:sz="4" w:space="0" w:color="000000"/>
              <w:right w:val="nil"/>
            </w:tcBorders>
            <w:vAlign w:val="center"/>
            <w:hideMark/>
          </w:tcPr>
          <w:p w:rsidR="00834D6C" w:rsidRPr="00EF5217" w:rsidRDefault="00834D6C" w:rsidP="00834D6C">
            <w:pPr>
              <w:rPr>
                <w:rFonts w:ascii="Arial" w:eastAsia="Times New Roman" w:hAnsi="Arial" w:cs="Arial"/>
                <w:color w:val="000000"/>
                <w:sz w:val="18"/>
                <w:szCs w:val="18"/>
              </w:rPr>
            </w:pPr>
          </w:p>
        </w:tc>
        <w:tc>
          <w:tcPr>
            <w:tcW w:w="1152" w:type="dxa"/>
            <w:vMerge/>
            <w:tcBorders>
              <w:left w:val="nil"/>
              <w:bottom w:val="single" w:sz="4" w:space="0" w:color="auto"/>
              <w:right w:val="nil"/>
            </w:tcBorders>
            <w:vAlign w:val="center"/>
            <w:hideMark/>
          </w:tcPr>
          <w:p w:rsidR="00834D6C" w:rsidRPr="00EF5217" w:rsidRDefault="00834D6C" w:rsidP="00834D6C">
            <w:pPr>
              <w:rPr>
                <w:rFonts w:ascii="Arial" w:eastAsia="Times New Roman" w:hAnsi="Arial" w:cs="Arial"/>
                <w:color w:val="000000"/>
                <w:sz w:val="18"/>
                <w:szCs w:val="18"/>
              </w:rPr>
            </w:pPr>
          </w:p>
        </w:tc>
        <w:tc>
          <w:tcPr>
            <w:tcW w:w="946" w:type="dxa"/>
            <w:vMerge/>
            <w:tcBorders>
              <w:left w:val="nil"/>
              <w:bottom w:val="single" w:sz="4" w:space="0" w:color="auto"/>
              <w:right w:val="nil"/>
            </w:tcBorders>
            <w:vAlign w:val="center"/>
            <w:hideMark/>
          </w:tcPr>
          <w:p w:rsidR="00834D6C" w:rsidRPr="00EF5217" w:rsidRDefault="00834D6C" w:rsidP="00834D6C">
            <w:pPr>
              <w:rPr>
                <w:rFonts w:ascii="Arial" w:eastAsia="Times New Roman" w:hAnsi="Arial" w:cs="Arial"/>
                <w:color w:val="000000"/>
                <w:sz w:val="18"/>
                <w:szCs w:val="18"/>
              </w:rPr>
            </w:pPr>
          </w:p>
        </w:tc>
        <w:tc>
          <w:tcPr>
            <w:tcW w:w="1115" w:type="dxa"/>
            <w:vMerge/>
            <w:tcBorders>
              <w:left w:val="nil"/>
              <w:bottom w:val="single" w:sz="4" w:space="0" w:color="auto"/>
              <w:right w:val="nil"/>
            </w:tcBorders>
            <w:vAlign w:val="center"/>
            <w:hideMark/>
          </w:tcPr>
          <w:p w:rsidR="00834D6C" w:rsidRPr="00EF5217" w:rsidRDefault="00834D6C" w:rsidP="00834D6C">
            <w:pPr>
              <w:rPr>
                <w:rFonts w:ascii="Arial" w:eastAsia="Times New Roman" w:hAnsi="Arial" w:cs="Arial"/>
                <w:color w:val="000000"/>
                <w:sz w:val="18"/>
                <w:szCs w:val="18"/>
              </w:rPr>
            </w:pPr>
          </w:p>
        </w:tc>
        <w:tc>
          <w:tcPr>
            <w:tcW w:w="127" w:type="dxa"/>
            <w:tcBorders>
              <w:left w:val="nil"/>
              <w:bottom w:val="single" w:sz="4" w:space="0" w:color="auto"/>
              <w:right w:val="nil"/>
            </w:tcBorders>
            <w:shd w:val="clear" w:color="auto" w:fill="auto"/>
            <w:noWrap/>
            <w:vAlign w:val="bottom"/>
            <w:hideMark/>
          </w:tcPr>
          <w:p w:rsidR="00834D6C" w:rsidRPr="00EF5217" w:rsidRDefault="00834D6C" w:rsidP="00834D6C">
            <w:pPr>
              <w:jc w:val="center"/>
              <w:rPr>
                <w:rFonts w:ascii="Arial" w:eastAsia="Times New Roman" w:hAnsi="Arial" w:cs="Arial"/>
                <w:color w:val="000000"/>
                <w:sz w:val="18"/>
                <w:szCs w:val="18"/>
              </w:rPr>
            </w:pPr>
            <w:r w:rsidRPr="00EF5217">
              <w:rPr>
                <w:rFonts w:ascii="Arial" w:eastAsia="Times New Roman" w:hAnsi="Arial" w:cs="Arial"/>
                <w:color w:val="000000"/>
                <w:sz w:val="18"/>
                <w:szCs w:val="18"/>
              </w:rPr>
              <w:t> </w:t>
            </w:r>
          </w:p>
        </w:tc>
        <w:tc>
          <w:tcPr>
            <w:tcW w:w="770" w:type="dxa"/>
            <w:tcBorders>
              <w:top w:val="single" w:sz="4" w:space="0" w:color="auto"/>
              <w:left w:val="nil"/>
              <w:bottom w:val="single" w:sz="4" w:space="0" w:color="auto"/>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r w:rsidRPr="00EF5217">
              <w:rPr>
                <w:rFonts w:ascii="Arial" w:eastAsia="Times New Roman" w:hAnsi="Arial" w:cs="Arial"/>
                <w:color w:val="000000"/>
                <w:sz w:val="18"/>
                <w:szCs w:val="18"/>
              </w:rPr>
              <w:t>Mediu</w:t>
            </w:r>
            <w:r>
              <w:rPr>
                <w:rFonts w:ascii="Arial" w:eastAsia="Times New Roman" w:hAnsi="Arial" w:cs="Arial"/>
                <w:color w:val="000000"/>
                <w:sz w:val="18"/>
                <w:szCs w:val="18"/>
              </w:rPr>
              <w:t>m</w:t>
            </w:r>
            <w:r w:rsidRPr="00EF5217">
              <w:rPr>
                <w:rFonts w:ascii="Arial" w:eastAsia="Times New Roman" w:hAnsi="Arial" w:cs="Arial"/>
                <w:color w:val="000000"/>
                <w:sz w:val="18"/>
                <w:szCs w:val="18"/>
              </w:rPr>
              <w:t xml:space="preserve"> </w:t>
            </w:r>
          </w:p>
        </w:tc>
        <w:tc>
          <w:tcPr>
            <w:tcW w:w="586" w:type="dxa"/>
            <w:tcBorders>
              <w:top w:val="single" w:sz="4" w:space="0" w:color="auto"/>
              <w:left w:val="nil"/>
              <w:bottom w:val="single" w:sz="4" w:space="0" w:color="auto"/>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r w:rsidRPr="00EF5217">
              <w:rPr>
                <w:rFonts w:ascii="Arial" w:eastAsia="Times New Roman" w:hAnsi="Arial" w:cs="Arial"/>
                <w:color w:val="000000"/>
                <w:sz w:val="18"/>
                <w:szCs w:val="18"/>
              </w:rPr>
              <w:t xml:space="preserve">Large </w:t>
            </w:r>
          </w:p>
        </w:tc>
        <w:tc>
          <w:tcPr>
            <w:tcW w:w="188" w:type="dxa"/>
            <w:tcBorders>
              <w:left w:val="nil"/>
              <w:bottom w:val="single" w:sz="4" w:space="0" w:color="auto"/>
              <w:right w:val="nil"/>
            </w:tcBorders>
            <w:shd w:val="clear" w:color="auto" w:fill="auto"/>
            <w:noWrap/>
            <w:vAlign w:val="bottom"/>
            <w:hideMark/>
          </w:tcPr>
          <w:p w:rsidR="00834D6C" w:rsidRPr="00EF5217" w:rsidRDefault="00834D6C" w:rsidP="00834D6C">
            <w:pPr>
              <w:jc w:val="right"/>
              <w:rPr>
                <w:rFonts w:ascii="Arial" w:eastAsia="Times New Roman" w:hAnsi="Arial" w:cs="Arial"/>
                <w:color w:val="000000"/>
                <w:sz w:val="18"/>
                <w:szCs w:val="18"/>
              </w:rPr>
            </w:pPr>
            <w:r w:rsidRPr="00EF5217">
              <w:rPr>
                <w:rFonts w:ascii="Arial" w:eastAsia="Times New Roman" w:hAnsi="Arial" w:cs="Arial"/>
                <w:color w:val="000000"/>
                <w:sz w:val="18"/>
                <w:szCs w:val="18"/>
              </w:rPr>
              <w:t> </w:t>
            </w:r>
          </w:p>
        </w:tc>
        <w:tc>
          <w:tcPr>
            <w:tcW w:w="1092" w:type="dxa"/>
            <w:vMerge/>
            <w:tcBorders>
              <w:left w:val="nil"/>
              <w:bottom w:val="single" w:sz="4" w:space="0" w:color="auto"/>
              <w:right w:val="nil"/>
            </w:tcBorders>
            <w:shd w:val="clear" w:color="auto" w:fill="auto"/>
            <w:noWrap/>
            <w:vAlign w:val="bottom"/>
          </w:tcPr>
          <w:p w:rsidR="00834D6C" w:rsidRPr="00EF5217" w:rsidRDefault="00834D6C" w:rsidP="00834D6C">
            <w:pPr>
              <w:jc w:val="right"/>
              <w:rPr>
                <w:rFonts w:ascii="Arial" w:eastAsia="Times New Roman" w:hAnsi="Arial" w:cs="Arial"/>
                <w:color w:val="000000"/>
                <w:sz w:val="18"/>
                <w:szCs w:val="18"/>
              </w:rPr>
            </w:pPr>
          </w:p>
        </w:tc>
        <w:tc>
          <w:tcPr>
            <w:tcW w:w="990" w:type="dxa"/>
            <w:vMerge/>
            <w:tcBorders>
              <w:left w:val="nil"/>
              <w:bottom w:val="single" w:sz="4" w:space="0" w:color="auto"/>
              <w:right w:val="nil"/>
            </w:tcBorders>
            <w:vAlign w:val="center"/>
            <w:hideMark/>
          </w:tcPr>
          <w:p w:rsidR="00834D6C" w:rsidRPr="00EF5217" w:rsidRDefault="00834D6C" w:rsidP="00834D6C">
            <w:pPr>
              <w:rPr>
                <w:rFonts w:ascii="Arial" w:eastAsia="Times New Roman" w:hAnsi="Arial" w:cs="Arial"/>
                <w:color w:val="000000"/>
                <w:sz w:val="18"/>
                <w:szCs w:val="18"/>
              </w:rPr>
            </w:pP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Agriculture, food, and beverages</w:t>
            </w:r>
          </w:p>
        </w:tc>
        <w:tc>
          <w:tcPr>
            <w:tcW w:w="1152"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43</w:t>
            </w:r>
          </w:p>
        </w:tc>
        <w:tc>
          <w:tcPr>
            <w:tcW w:w="946"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44</w:t>
            </w:r>
          </w:p>
        </w:tc>
        <w:tc>
          <w:tcPr>
            <w:tcW w:w="1115"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116</w:t>
            </w:r>
          </w:p>
        </w:tc>
        <w:tc>
          <w:tcPr>
            <w:tcW w:w="127"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4,981</w:t>
            </w:r>
          </w:p>
        </w:tc>
        <w:tc>
          <w:tcPr>
            <w:tcW w:w="586"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213</w:t>
            </w:r>
          </w:p>
        </w:tc>
        <w:tc>
          <w:tcPr>
            <w:tcW w:w="188"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single" w:sz="4" w:space="0" w:color="auto"/>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36</w:t>
            </w:r>
          </w:p>
        </w:tc>
        <w:tc>
          <w:tcPr>
            <w:tcW w:w="990" w:type="dxa"/>
            <w:tcBorders>
              <w:top w:val="single" w:sz="4" w:space="0" w:color="auto"/>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5,433</w:t>
            </w: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Natural resources and metals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363</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109</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4,452</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371</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82</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5,377</w:t>
            </w: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Chemicals and textiles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284</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240</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221</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2,665</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292</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3,702</w:t>
            </w: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Other manufacturing</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544</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215</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123</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3,746</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580</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71</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5,279</w:t>
            </w: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Distribution services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130</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114</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93</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3,824</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830</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51</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5,042</w:t>
            </w:r>
          </w:p>
        </w:tc>
      </w:tr>
      <w:tr w:rsidR="00884811" w:rsidRPr="00EF5217" w:rsidTr="00385912">
        <w:trPr>
          <w:trHeight w:val="288"/>
        </w:trPr>
        <w:tc>
          <w:tcPr>
            <w:tcW w:w="1901" w:type="dxa"/>
            <w:tcBorders>
              <w:top w:val="nil"/>
              <w:left w:val="nil"/>
              <w:bottom w:val="nil"/>
              <w:right w:val="nil"/>
            </w:tcBorders>
            <w:shd w:val="clear" w:color="auto" w:fill="auto"/>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Finance and insurance services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134</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68</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2,270</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283</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648</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3,403</w:t>
            </w:r>
          </w:p>
        </w:tc>
      </w:tr>
      <w:tr w:rsidR="00884811" w:rsidRPr="00EF5217" w:rsidTr="00385912">
        <w:trPr>
          <w:trHeight w:val="288"/>
        </w:trPr>
        <w:tc>
          <w:tcPr>
            <w:tcW w:w="1901" w:type="dxa"/>
            <w:tcBorders>
              <w:top w:val="nil"/>
              <w:left w:val="nil"/>
              <w:bottom w:val="nil"/>
              <w:right w:val="nil"/>
            </w:tcBorders>
            <w:shd w:val="clear" w:color="auto" w:fill="auto"/>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Information services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334</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135</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4,028</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388</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150</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5,035</w:t>
            </w:r>
          </w:p>
        </w:tc>
      </w:tr>
      <w:tr w:rsidR="00884811" w:rsidRPr="00EF5217" w:rsidTr="00385912">
        <w:trPr>
          <w:trHeight w:val="288"/>
        </w:trPr>
        <w:tc>
          <w:tcPr>
            <w:tcW w:w="1901" w:type="dxa"/>
            <w:tcBorders>
              <w:top w:val="nil"/>
              <w:left w:val="nil"/>
              <w:bottom w:val="nil"/>
              <w:right w:val="nil"/>
            </w:tcBorders>
            <w:shd w:val="clear" w:color="auto" w:fill="auto"/>
            <w:noWrap/>
            <w:hideMark/>
          </w:tcPr>
          <w:p w:rsidR="00884811" w:rsidRPr="00EF5217" w:rsidRDefault="00884811" w:rsidP="00834D6C">
            <w:pPr>
              <w:spacing w:after="60"/>
              <w:rPr>
                <w:rFonts w:ascii="Arial" w:eastAsia="Times New Roman" w:hAnsi="Arial" w:cs="Arial"/>
                <w:color w:val="000000"/>
                <w:sz w:val="18"/>
                <w:szCs w:val="18"/>
              </w:rPr>
            </w:pPr>
            <w:r w:rsidRPr="00EF5217">
              <w:rPr>
                <w:rFonts w:ascii="Arial" w:eastAsia="Times New Roman" w:hAnsi="Arial" w:cs="Arial"/>
                <w:color w:val="000000"/>
                <w:sz w:val="18"/>
                <w:szCs w:val="18"/>
              </w:rPr>
              <w:t>Other services</w:t>
            </w:r>
          </w:p>
        </w:tc>
        <w:tc>
          <w:tcPr>
            <w:tcW w:w="1152"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392</w:t>
            </w:r>
          </w:p>
        </w:tc>
        <w:tc>
          <w:tcPr>
            <w:tcW w:w="94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467</w:t>
            </w:r>
          </w:p>
        </w:tc>
        <w:tc>
          <w:tcPr>
            <w:tcW w:w="1115"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817</w:t>
            </w:r>
          </w:p>
        </w:tc>
        <w:tc>
          <w:tcPr>
            <w:tcW w:w="127"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 </w:t>
            </w:r>
          </w:p>
        </w:tc>
        <w:tc>
          <w:tcPr>
            <w:tcW w:w="77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16,797</w:t>
            </w:r>
          </w:p>
        </w:tc>
        <w:tc>
          <w:tcPr>
            <w:tcW w:w="586"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2,122</w:t>
            </w:r>
          </w:p>
        </w:tc>
        <w:tc>
          <w:tcPr>
            <w:tcW w:w="188"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 </w:t>
            </w:r>
          </w:p>
        </w:tc>
        <w:tc>
          <w:tcPr>
            <w:tcW w:w="1092" w:type="dxa"/>
            <w:tcBorders>
              <w:top w:val="nil"/>
              <w:left w:val="nil"/>
              <w:bottom w:val="nil"/>
              <w:right w:val="nil"/>
            </w:tcBorders>
            <w:shd w:val="clear" w:color="auto" w:fill="auto"/>
            <w:noWrap/>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990" w:type="dxa"/>
            <w:tcBorders>
              <w:top w:val="nil"/>
              <w:left w:val="nil"/>
              <w:bottom w:val="nil"/>
              <w:right w:val="nil"/>
            </w:tcBorders>
            <w:shd w:val="clear" w:color="auto" w:fill="auto"/>
            <w:noWrap/>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20,595</w:t>
            </w:r>
          </w:p>
        </w:tc>
      </w:tr>
      <w:tr w:rsidR="00884811" w:rsidRPr="00EF5217" w:rsidTr="00385912">
        <w:trPr>
          <w:trHeight w:val="317"/>
        </w:trPr>
        <w:tc>
          <w:tcPr>
            <w:tcW w:w="1901" w:type="dxa"/>
            <w:tcBorders>
              <w:top w:val="single" w:sz="4" w:space="0" w:color="auto"/>
              <w:left w:val="nil"/>
              <w:bottom w:val="single" w:sz="4" w:space="0" w:color="auto"/>
              <w:right w:val="nil"/>
            </w:tcBorders>
            <w:shd w:val="clear" w:color="auto" w:fill="auto"/>
            <w:noWrap/>
            <w:vAlign w:val="center"/>
            <w:hideMark/>
          </w:tcPr>
          <w:p w:rsidR="00884811" w:rsidRPr="00EF5217" w:rsidRDefault="00884811" w:rsidP="00834D6C">
            <w:pPr>
              <w:rPr>
                <w:rFonts w:ascii="Arial" w:eastAsia="Times New Roman" w:hAnsi="Arial" w:cs="Arial"/>
                <w:color w:val="000000"/>
                <w:sz w:val="18"/>
                <w:szCs w:val="18"/>
              </w:rPr>
            </w:pPr>
            <w:r w:rsidRPr="00EF5217">
              <w:rPr>
                <w:rFonts w:ascii="Arial" w:eastAsia="Times New Roman" w:hAnsi="Arial" w:cs="Arial"/>
                <w:color w:val="000000"/>
                <w:sz w:val="18"/>
                <w:szCs w:val="18"/>
              </w:rPr>
              <w:t>Total</w:t>
            </w:r>
          </w:p>
        </w:tc>
        <w:tc>
          <w:tcPr>
            <w:tcW w:w="1152"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2,224</w:t>
            </w:r>
          </w:p>
        </w:tc>
        <w:tc>
          <w:tcPr>
            <w:tcW w:w="946"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1,392</w:t>
            </w:r>
          </w:p>
        </w:tc>
        <w:tc>
          <w:tcPr>
            <w:tcW w:w="1115"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1,370</w:t>
            </w:r>
          </w:p>
        </w:tc>
        <w:tc>
          <w:tcPr>
            <w:tcW w:w="127"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p>
        </w:tc>
        <w:tc>
          <w:tcPr>
            <w:tcW w:w="770"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42,763</w:t>
            </w:r>
          </w:p>
        </w:tc>
        <w:tc>
          <w:tcPr>
            <w:tcW w:w="586"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5,079</w:t>
            </w:r>
          </w:p>
        </w:tc>
        <w:tc>
          <w:tcPr>
            <w:tcW w:w="188"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p>
        </w:tc>
        <w:tc>
          <w:tcPr>
            <w:tcW w:w="1092" w:type="dxa"/>
            <w:tcBorders>
              <w:top w:val="single" w:sz="4" w:space="0" w:color="auto"/>
              <w:left w:val="nil"/>
              <w:bottom w:val="single" w:sz="4" w:space="0" w:color="auto"/>
              <w:right w:val="nil"/>
            </w:tcBorders>
            <w:shd w:val="clear" w:color="auto" w:fill="auto"/>
            <w:noWrap/>
            <w:vAlign w:val="center"/>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1,038</w:t>
            </w:r>
          </w:p>
        </w:tc>
        <w:tc>
          <w:tcPr>
            <w:tcW w:w="990" w:type="dxa"/>
            <w:tcBorders>
              <w:top w:val="single" w:sz="4" w:space="0" w:color="auto"/>
              <w:left w:val="nil"/>
              <w:bottom w:val="single" w:sz="4" w:space="0" w:color="auto"/>
              <w:right w:val="nil"/>
            </w:tcBorders>
            <w:shd w:val="clear" w:color="auto" w:fill="auto"/>
            <w:noWrap/>
            <w:vAlign w:val="center"/>
            <w:hideMark/>
          </w:tcPr>
          <w:p w:rsidR="00884811" w:rsidRPr="00710CD4" w:rsidRDefault="00884811" w:rsidP="00884811">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53,866</w:t>
            </w:r>
          </w:p>
        </w:tc>
      </w:tr>
    </w:tbl>
    <w:p w:rsidR="00834D6C" w:rsidRDefault="00834D6C" w:rsidP="00834D6C">
      <w:pPr>
        <w:spacing w:before="240" w:after="240"/>
        <w:contextualSpacing/>
        <w:rPr>
          <w:rFonts w:ascii="Arial" w:hAnsi="Arial" w:cs="Arial"/>
          <w:sz w:val="18"/>
          <w:szCs w:val="18"/>
        </w:rPr>
      </w:pPr>
      <w:r w:rsidRPr="00EF5217">
        <w:rPr>
          <w:rFonts w:ascii="Arial" w:hAnsi="Arial" w:cs="Arial"/>
          <w:sz w:val="18"/>
          <w:szCs w:val="18"/>
        </w:rPr>
        <w:t xml:space="preserve">   </w:t>
      </w:r>
      <w:proofErr w:type="gramStart"/>
      <w:r w:rsidRPr="00EF5217">
        <w:rPr>
          <w:rFonts w:ascii="Arial" w:hAnsi="Arial" w:cs="Arial"/>
          <w:sz w:val="18"/>
          <w:szCs w:val="18"/>
          <w:vertAlign w:val="superscript"/>
        </w:rPr>
        <w:t>a</w:t>
      </w:r>
      <w:proofErr w:type="gramEnd"/>
      <w:r w:rsidRPr="00EF5217">
        <w:rPr>
          <w:rFonts w:ascii="Arial" w:hAnsi="Arial" w:cs="Arial"/>
          <w:sz w:val="18"/>
          <w:szCs w:val="18"/>
        </w:rPr>
        <w:t xml:space="preserve"> Large firms have 500 or more employees; medium-sized firms have </w:t>
      </w:r>
      <w:r>
        <w:rPr>
          <w:rFonts w:ascii="Arial" w:hAnsi="Arial" w:cs="Arial"/>
          <w:sz w:val="18"/>
          <w:szCs w:val="18"/>
        </w:rPr>
        <w:t>between 50 and</w:t>
      </w:r>
      <w:r w:rsidRPr="00EF5217">
        <w:rPr>
          <w:rFonts w:ascii="Arial" w:hAnsi="Arial" w:cs="Arial"/>
          <w:sz w:val="18"/>
          <w:szCs w:val="18"/>
        </w:rPr>
        <w:t xml:space="preserve"> 500 employees; small </w:t>
      </w:r>
      <w:r>
        <w:rPr>
          <w:rFonts w:ascii="Arial" w:hAnsi="Arial" w:cs="Arial"/>
          <w:sz w:val="18"/>
          <w:szCs w:val="18"/>
        </w:rPr>
        <w:t xml:space="preserve">firms with less than 50 employees </w:t>
      </w:r>
      <w:r w:rsidRPr="00EF5217">
        <w:rPr>
          <w:rFonts w:ascii="Arial" w:hAnsi="Arial" w:cs="Arial"/>
          <w:sz w:val="18"/>
          <w:szCs w:val="18"/>
        </w:rPr>
        <w:t xml:space="preserve">are </w:t>
      </w:r>
      <w:r>
        <w:rPr>
          <w:rFonts w:ascii="Arial" w:hAnsi="Arial" w:cs="Arial"/>
          <w:sz w:val="18"/>
          <w:szCs w:val="18"/>
        </w:rPr>
        <w:t xml:space="preserve">generally </w:t>
      </w:r>
      <w:r w:rsidRPr="00EF5217">
        <w:rPr>
          <w:rFonts w:ascii="Arial" w:hAnsi="Arial" w:cs="Arial"/>
          <w:sz w:val="18"/>
          <w:szCs w:val="18"/>
        </w:rPr>
        <w:t>not sampled</w:t>
      </w:r>
      <w:r w:rsidR="00306D03">
        <w:rPr>
          <w:rFonts w:ascii="Arial" w:hAnsi="Arial" w:cs="Arial"/>
          <w:sz w:val="18"/>
          <w:szCs w:val="18"/>
        </w:rPr>
        <w:t xml:space="preserve">, except in the case of </w:t>
      </w:r>
      <w:r w:rsidR="006F2859">
        <w:rPr>
          <w:rFonts w:ascii="Arial" w:hAnsi="Arial" w:cs="Arial"/>
          <w:sz w:val="18"/>
          <w:szCs w:val="18"/>
        </w:rPr>
        <w:t>the agriculture, food, and beverages sector</w:t>
      </w:r>
      <w:r w:rsidR="001F50CB">
        <w:rPr>
          <w:rFonts w:ascii="Arial" w:hAnsi="Arial" w:cs="Arial"/>
          <w:sz w:val="18"/>
          <w:szCs w:val="18"/>
        </w:rPr>
        <w:t xml:space="preserve"> which has a minimum </w:t>
      </w:r>
      <w:proofErr w:type="spellStart"/>
      <w:r w:rsidR="001F50CB">
        <w:rPr>
          <w:rFonts w:ascii="Arial" w:hAnsi="Arial" w:cs="Arial"/>
          <w:sz w:val="18"/>
          <w:szCs w:val="18"/>
        </w:rPr>
        <w:t>threashold</w:t>
      </w:r>
      <w:proofErr w:type="spellEnd"/>
      <w:r w:rsidR="001F50CB">
        <w:rPr>
          <w:rFonts w:ascii="Arial" w:hAnsi="Arial" w:cs="Arial"/>
          <w:sz w:val="18"/>
          <w:szCs w:val="18"/>
        </w:rPr>
        <w:t xml:space="preserve"> of 20 employees</w:t>
      </w:r>
      <w:r w:rsidRPr="00EF5217">
        <w:rPr>
          <w:rFonts w:ascii="Arial" w:hAnsi="Arial" w:cs="Arial"/>
          <w:sz w:val="18"/>
          <w:szCs w:val="18"/>
        </w:rPr>
        <w:t>.</w:t>
      </w:r>
    </w:p>
    <w:p w:rsidR="00834D6C" w:rsidRDefault="00834D6C" w:rsidP="00834D6C">
      <w:pPr>
        <w:spacing w:before="240"/>
        <w:rPr>
          <w:rFonts w:ascii="Arial" w:hAnsi="Arial" w:cs="Arial"/>
          <w:sz w:val="18"/>
          <w:szCs w:val="18"/>
        </w:rPr>
      </w:pPr>
      <w:r>
        <w:rPr>
          <w:rFonts w:ascii="Arial" w:hAnsi="Arial" w:cs="Arial"/>
          <w:sz w:val="18"/>
          <w:szCs w:val="18"/>
        </w:rPr>
        <w:t xml:space="preserve">   </w:t>
      </w:r>
      <w:proofErr w:type="gramStart"/>
      <w:r w:rsidRPr="00C6462A">
        <w:rPr>
          <w:rFonts w:ascii="Arial" w:hAnsi="Arial" w:cs="Arial"/>
          <w:sz w:val="18"/>
          <w:szCs w:val="18"/>
          <w:vertAlign w:val="superscript"/>
        </w:rPr>
        <w:t>b</w:t>
      </w:r>
      <w:proofErr w:type="gramEnd"/>
      <w:r>
        <w:rPr>
          <w:rFonts w:ascii="Arial" w:hAnsi="Arial" w:cs="Arial"/>
          <w:sz w:val="18"/>
          <w:szCs w:val="18"/>
        </w:rPr>
        <w:t xml:space="preserve"> Not all strata are populated.</w:t>
      </w:r>
    </w:p>
    <w:p w:rsidR="00834D6C" w:rsidRPr="00647632" w:rsidRDefault="00834D6C" w:rsidP="00834D6C">
      <w:pPr>
        <w:spacing w:before="480"/>
        <w:rPr>
          <w:rFonts w:ascii="Arial" w:hAnsi="Arial" w:cs="Arial"/>
          <w:sz w:val="18"/>
        </w:rPr>
      </w:pPr>
      <w:r w:rsidRPr="00647632">
        <w:rPr>
          <w:rFonts w:ascii="Arial" w:hAnsi="Arial" w:cs="Arial"/>
          <w:b/>
          <w:sz w:val="18"/>
        </w:rPr>
        <w:t xml:space="preserve">TABLE </w:t>
      </w:r>
      <w:proofErr w:type="gramStart"/>
      <w:r w:rsidRPr="00647632">
        <w:rPr>
          <w:rFonts w:ascii="Arial" w:hAnsi="Arial" w:cs="Arial"/>
          <w:b/>
          <w:sz w:val="18"/>
        </w:rPr>
        <w:t>2</w:t>
      </w:r>
      <w:r w:rsidRPr="00647632">
        <w:rPr>
          <w:rFonts w:ascii="Arial" w:hAnsi="Arial" w:cs="Arial"/>
          <w:sz w:val="18"/>
        </w:rPr>
        <w:t xml:space="preserve">  </w:t>
      </w:r>
      <w:r w:rsidR="00647632">
        <w:rPr>
          <w:rFonts w:ascii="Arial" w:hAnsi="Arial" w:cs="Arial"/>
          <w:sz w:val="18"/>
        </w:rPr>
        <w:t>Number</w:t>
      </w:r>
      <w:proofErr w:type="gramEnd"/>
      <w:r w:rsidR="00647632">
        <w:rPr>
          <w:rFonts w:ascii="Arial" w:hAnsi="Arial" w:cs="Arial"/>
          <w:sz w:val="18"/>
        </w:rPr>
        <w:t xml:space="preserve"> of firms in the sample by stratum, excluding firms from the Census list</w:t>
      </w:r>
    </w:p>
    <w:tbl>
      <w:tblPr>
        <w:tblW w:w="0" w:type="auto"/>
        <w:tblInd w:w="108" w:type="dxa"/>
        <w:tblCellMar>
          <w:left w:w="29" w:type="dxa"/>
          <w:right w:w="29" w:type="dxa"/>
        </w:tblCellMar>
        <w:tblLook w:val="04A0" w:firstRow="1" w:lastRow="0" w:firstColumn="1" w:lastColumn="0" w:noHBand="0" w:noVBand="1"/>
      </w:tblPr>
      <w:tblGrid>
        <w:gridCol w:w="1901"/>
        <w:gridCol w:w="1152"/>
        <w:gridCol w:w="870"/>
        <w:gridCol w:w="1218"/>
        <w:gridCol w:w="127"/>
        <w:gridCol w:w="770"/>
        <w:gridCol w:w="586"/>
        <w:gridCol w:w="188"/>
        <w:gridCol w:w="1092"/>
        <w:gridCol w:w="990"/>
      </w:tblGrid>
      <w:tr w:rsidR="00834D6C" w:rsidRPr="00374989" w:rsidTr="0019213E">
        <w:trPr>
          <w:trHeight w:val="317"/>
        </w:trPr>
        <w:tc>
          <w:tcPr>
            <w:tcW w:w="1901" w:type="dxa"/>
            <w:vMerge w:val="restart"/>
            <w:tcBorders>
              <w:top w:val="single" w:sz="4" w:space="0" w:color="auto"/>
              <w:left w:val="nil"/>
              <w:right w:val="nil"/>
            </w:tcBorders>
            <w:shd w:val="clear" w:color="auto" w:fill="auto"/>
            <w:vAlign w:val="bottom"/>
            <w:hideMark/>
          </w:tcPr>
          <w:p w:rsidR="00834D6C" w:rsidRPr="00374989" w:rsidRDefault="00834D6C" w:rsidP="00834D6C">
            <w:pPr>
              <w:rPr>
                <w:rFonts w:ascii="Arial" w:eastAsia="Times New Roman" w:hAnsi="Arial" w:cs="Arial"/>
                <w:color w:val="000000"/>
                <w:sz w:val="18"/>
                <w:szCs w:val="18"/>
              </w:rPr>
            </w:pPr>
            <w:r w:rsidRPr="00374989">
              <w:rPr>
                <w:rFonts w:ascii="Arial" w:eastAsia="Times New Roman" w:hAnsi="Arial" w:cs="Arial"/>
                <w:color w:val="000000"/>
                <w:sz w:val="18"/>
                <w:szCs w:val="18"/>
              </w:rPr>
              <w:t>Sector</w:t>
            </w:r>
          </w:p>
        </w:tc>
        <w:tc>
          <w:tcPr>
            <w:tcW w:w="1152" w:type="dxa"/>
            <w:vMerge w:val="restart"/>
            <w:tcBorders>
              <w:top w:val="single" w:sz="4" w:space="0" w:color="auto"/>
              <w:left w:val="nil"/>
              <w:right w:val="nil"/>
            </w:tcBorders>
            <w:shd w:val="clear" w:color="auto" w:fill="auto"/>
            <w:vAlign w:val="bottom"/>
            <w:hideMark/>
          </w:tcPr>
          <w:p w:rsidR="00834D6C" w:rsidRPr="00374989" w:rsidRDefault="00834D6C" w:rsidP="00834D6C">
            <w:pPr>
              <w:jc w:val="right"/>
              <w:rPr>
                <w:rFonts w:ascii="Arial" w:eastAsia="Times New Roman" w:hAnsi="Arial" w:cs="Arial"/>
                <w:color w:val="000000"/>
                <w:sz w:val="18"/>
                <w:szCs w:val="18"/>
              </w:rPr>
            </w:pPr>
            <w:r>
              <w:rPr>
                <w:rFonts w:ascii="Arial" w:eastAsia="Times New Roman" w:hAnsi="Arial" w:cs="Arial"/>
                <w:color w:val="000000"/>
                <w:sz w:val="18"/>
                <w:szCs w:val="18"/>
              </w:rPr>
              <w:t>Multinational corpor</w:t>
            </w:r>
            <w:r w:rsidRPr="00374989">
              <w:rPr>
                <w:rFonts w:ascii="Arial" w:eastAsia="Times New Roman" w:hAnsi="Arial" w:cs="Arial"/>
                <w:color w:val="000000"/>
                <w:sz w:val="18"/>
                <w:szCs w:val="18"/>
              </w:rPr>
              <w:t>ations</w:t>
            </w:r>
          </w:p>
        </w:tc>
        <w:tc>
          <w:tcPr>
            <w:tcW w:w="870" w:type="dxa"/>
            <w:vMerge w:val="restart"/>
            <w:tcBorders>
              <w:top w:val="single" w:sz="4" w:space="0" w:color="auto"/>
              <w:left w:val="nil"/>
              <w:right w:val="nil"/>
            </w:tcBorders>
            <w:shd w:val="clear" w:color="auto" w:fill="auto"/>
            <w:vAlign w:val="bottom"/>
            <w:hideMark/>
          </w:tcPr>
          <w:p w:rsidR="00834D6C" w:rsidRPr="00374989" w:rsidRDefault="00884811" w:rsidP="00884811">
            <w:pPr>
              <w:jc w:val="right"/>
              <w:rPr>
                <w:rFonts w:ascii="Arial" w:eastAsia="Times New Roman" w:hAnsi="Arial" w:cs="Arial"/>
                <w:color w:val="000000"/>
                <w:sz w:val="18"/>
                <w:szCs w:val="18"/>
              </w:rPr>
            </w:pPr>
            <w:r>
              <w:rPr>
                <w:rFonts w:ascii="Arial" w:eastAsia="Times New Roman" w:hAnsi="Arial" w:cs="Arial"/>
                <w:color w:val="000000"/>
                <w:sz w:val="18"/>
                <w:szCs w:val="18"/>
              </w:rPr>
              <w:t>India-specific firms</w:t>
            </w:r>
          </w:p>
        </w:tc>
        <w:tc>
          <w:tcPr>
            <w:tcW w:w="1218" w:type="dxa"/>
            <w:vMerge w:val="restart"/>
            <w:tcBorders>
              <w:top w:val="single" w:sz="4" w:space="0" w:color="auto"/>
              <w:left w:val="nil"/>
              <w:right w:val="nil"/>
            </w:tcBorders>
            <w:shd w:val="clear" w:color="auto" w:fill="auto"/>
            <w:vAlign w:val="bottom"/>
            <w:hideMark/>
          </w:tcPr>
          <w:p w:rsidR="00834D6C" w:rsidRPr="00374989" w:rsidRDefault="00834D6C" w:rsidP="00884811">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Exporters to countries</w:t>
            </w:r>
            <w:r w:rsidR="00884811">
              <w:rPr>
                <w:rFonts w:ascii="Arial" w:eastAsia="Times New Roman" w:hAnsi="Arial" w:cs="Arial"/>
                <w:color w:val="000000"/>
                <w:sz w:val="18"/>
                <w:szCs w:val="18"/>
              </w:rPr>
              <w:t xml:space="preserve"> other than India</w:t>
            </w:r>
          </w:p>
        </w:tc>
        <w:tc>
          <w:tcPr>
            <w:tcW w:w="127" w:type="dxa"/>
            <w:tcBorders>
              <w:top w:val="single" w:sz="4" w:space="0" w:color="auto"/>
              <w:left w:val="nil"/>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p>
        </w:tc>
        <w:tc>
          <w:tcPr>
            <w:tcW w:w="1356" w:type="dxa"/>
            <w:gridSpan w:val="2"/>
            <w:tcBorders>
              <w:top w:val="single" w:sz="4" w:space="0" w:color="auto"/>
              <w:left w:val="nil"/>
              <w:bottom w:val="single" w:sz="4" w:space="0" w:color="auto"/>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 xml:space="preserve">Firms in </w:t>
            </w:r>
            <w:proofErr w:type="spellStart"/>
            <w:r w:rsidRPr="00374989">
              <w:rPr>
                <w:rFonts w:ascii="Arial" w:eastAsia="Times New Roman" w:hAnsi="Arial" w:cs="Arial"/>
                <w:color w:val="000000"/>
                <w:sz w:val="18"/>
                <w:szCs w:val="18"/>
              </w:rPr>
              <w:t>Orbis</w:t>
            </w:r>
            <w:r w:rsidRPr="00374989">
              <w:rPr>
                <w:rFonts w:ascii="Arial" w:eastAsia="Times New Roman" w:hAnsi="Arial" w:cs="Arial"/>
                <w:color w:val="000000"/>
                <w:sz w:val="18"/>
                <w:szCs w:val="18"/>
                <w:vertAlign w:val="superscript"/>
              </w:rPr>
              <w:t>a</w:t>
            </w:r>
            <w:proofErr w:type="spellEnd"/>
          </w:p>
        </w:tc>
        <w:tc>
          <w:tcPr>
            <w:tcW w:w="188" w:type="dxa"/>
            <w:tcBorders>
              <w:top w:val="single" w:sz="4" w:space="0" w:color="auto"/>
              <w:left w:val="nil"/>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p>
        </w:tc>
        <w:tc>
          <w:tcPr>
            <w:tcW w:w="1092" w:type="dxa"/>
            <w:vMerge w:val="restart"/>
            <w:tcBorders>
              <w:top w:val="single" w:sz="4" w:space="0" w:color="auto"/>
              <w:left w:val="nil"/>
              <w:right w:val="nil"/>
            </w:tcBorders>
            <w:shd w:val="clear" w:color="auto" w:fill="auto"/>
            <w:noWrap/>
            <w:vAlign w:val="bottom"/>
            <w:hideMark/>
          </w:tcPr>
          <w:p w:rsidR="00834D6C" w:rsidRPr="00374989" w:rsidRDefault="00FE3E34" w:rsidP="00834D6C">
            <w:pPr>
              <w:jc w:val="right"/>
              <w:rPr>
                <w:rFonts w:ascii="Arial" w:eastAsia="Times New Roman" w:hAnsi="Arial" w:cs="Arial"/>
                <w:color w:val="000000"/>
                <w:sz w:val="18"/>
                <w:szCs w:val="18"/>
              </w:rPr>
            </w:pPr>
            <w:r>
              <w:rPr>
                <w:rFonts w:ascii="Arial" w:eastAsia="Times New Roman" w:hAnsi="Arial" w:cs="Arial"/>
                <w:color w:val="000000"/>
                <w:sz w:val="18"/>
                <w:szCs w:val="18"/>
              </w:rPr>
              <w:t>Industry</w:t>
            </w:r>
            <w:r w:rsidR="00834D6C">
              <w:rPr>
                <w:rFonts w:ascii="Arial" w:eastAsia="Times New Roman" w:hAnsi="Arial" w:cs="Arial"/>
                <w:color w:val="000000"/>
                <w:sz w:val="18"/>
                <w:szCs w:val="18"/>
              </w:rPr>
              <w:t xml:space="preserve"> association lists</w:t>
            </w:r>
            <w:r w:rsidR="00834D6C" w:rsidRPr="00374989">
              <w:rPr>
                <w:rFonts w:ascii="Arial" w:eastAsia="Times New Roman" w:hAnsi="Arial" w:cs="Arial"/>
                <w:color w:val="000000"/>
                <w:sz w:val="18"/>
                <w:szCs w:val="18"/>
              </w:rPr>
              <w:t xml:space="preserve"> </w:t>
            </w:r>
          </w:p>
        </w:tc>
        <w:tc>
          <w:tcPr>
            <w:tcW w:w="990" w:type="dxa"/>
            <w:vMerge w:val="restart"/>
            <w:tcBorders>
              <w:top w:val="single" w:sz="4" w:space="0" w:color="auto"/>
              <w:left w:val="nil"/>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Total</w:t>
            </w:r>
          </w:p>
        </w:tc>
      </w:tr>
      <w:tr w:rsidR="00834D6C" w:rsidRPr="00374989" w:rsidTr="0019213E">
        <w:trPr>
          <w:trHeight w:val="404"/>
        </w:trPr>
        <w:tc>
          <w:tcPr>
            <w:tcW w:w="1901" w:type="dxa"/>
            <w:vMerge/>
            <w:tcBorders>
              <w:left w:val="nil"/>
              <w:bottom w:val="single" w:sz="4" w:space="0" w:color="000000"/>
              <w:right w:val="nil"/>
            </w:tcBorders>
            <w:vAlign w:val="center"/>
            <w:hideMark/>
          </w:tcPr>
          <w:p w:rsidR="00834D6C" w:rsidRPr="00374989" w:rsidRDefault="00834D6C" w:rsidP="00834D6C">
            <w:pPr>
              <w:rPr>
                <w:rFonts w:ascii="Arial" w:eastAsia="Times New Roman" w:hAnsi="Arial" w:cs="Arial"/>
                <w:color w:val="000000"/>
                <w:sz w:val="18"/>
                <w:szCs w:val="18"/>
              </w:rPr>
            </w:pPr>
          </w:p>
        </w:tc>
        <w:tc>
          <w:tcPr>
            <w:tcW w:w="1152" w:type="dxa"/>
            <w:vMerge/>
            <w:tcBorders>
              <w:left w:val="nil"/>
              <w:bottom w:val="single" w:sz="4" w:space="0" w:color="auto"/>
              <w:right w:val="nil"/>
            </w:tcBorders>
            <w:vAlign w:val="center"/>
            <w:hideMark/>
          </w:tcPr>
          <w:p w:rsidR="00834D6C" w:rsidRPr="00374989" w:rsidRDefault="00834D6C" w:rsidP="00834D6C">
            <w:pPr>
              <w:rPr>
                <w:rFonts w:ascii="Arial" w:eastAsia="Times New Roman" w:hAnsi="Arial" w:cs="Arial"/>
                <w:color w:val="000000"/>
                <w:sz w:val="18"/>
                <w:szCs w:val="18"/>
              </w:rPr>
            </w:pPr>
          </w:p>
        </w:tc>
        <w:tc>
          <w:tcPr>
            <w:tcW w:w="870" w:type="dxa"/>
            <w:vMerge/>
            <w:tcBorders>
              <w:left w:val="nil"/>
              <w:bottom w:val="single" w:sz="4" w:space="0" w:color="auto"/>
              <w:right w:val="nil"/>
            </w:tcBorders>
            <w:vAlign w:val="center"/>
            <w:hideMark/>
          </w:tcPr>
          <w:p w:rsidR="00834D6C" w:rsidRPr="00374989" w:rsidRDefault="00834D6C" w:rsidP="00834D6C">
            <w:pPr>
              <w:rPr>
                <w:rFonts w:ascii="Arial" w:eastAsia="Times New Roman" w:hAnsi="Arial" w:cs="Arial"/>
                <w:color w:val="000000"/>
                <w:sz w:val="18"/>
                <w:szCs w:val="18"/>
              </w:rPr>
            </w:pPr>
          </w:p>
        </w:tc>
        <w:tc>
          <w:tcPr>
            <w:tcW w:w="1218" w:type="dxa"/>
            <w:vMerge/>
            <w:tcBorders>
              <w:left w:val="nil"/>
              <w:bottom w:val="single" w:sz="4" w:space="0" w:color="auto"/>
              <w:right w:val="nil"/>
            </w:tcBorders>
            <w:vAlign w:val="center"/>
            <w:hideMark/>
          </w:tcPr>
          <w:p w:rsidR="00834D6C" w:rsidRPr="00374989" w:rsidRDefault="00834D6C" w:rsidP="00834D6C">
            <w:pPr>
              <w:rPr>
                <w:rFonts w:ascii="Arial" w:eastAsia="Times New Roman" w:hAnsi="Arial" w:cs="Arial"/>
                <w:color w:val="000000"/>
                <w:sz w:val="18"/>
                <w:szCs w:val="18"/>
              </w:rPr>
            </w:pPr>
          </w:p>
        </w:tc>
        <w:tc>
          <w:tcPr>
            <w:tcW w:w="127" w:type="dxa"/>
            <w:tcBorders>
              <w:left w:val="nil"/>
              <w:bottom w:val="single" w:sz="4" w:space="0" w:color="auto"/>
              <w:right w:val="nil"/>
            </w:tcBorders>
            <w:shd w:val="clear" w:color="auto" w:fill="auto"/>
            <w:noWrap/>
            <w:vAlign w:val="bottom"/>
            <w:hideMark/>
          </w:tcPr>
          <w:p w:rsidR="00834D6C" w:rsidRPr="00374989" w:rsidRDefault="00834D6C" w:rsidP="00834D6C">
            <w:pPr>
              <w:jc w:val="center"/>
              <w:rPr>
                <w:rFonts w:ascii="Arial" w:eastAsia="Times New Roman" w:hAnsi="Arial" w:cs="Arial"/>
                <w:color w:val="000000"/>
                <w:sz w:val="18"/>
                <w:szCs w:val="18"/>
              </w:rPr>
            </w:pPr>
            <w:r w:rsidRPr="00374989">
              <w:rPr>
                <w:rFonts w:ascii="Arial" w:eastAsia="Times New Roman" w:hAnsi="Arial" w:cs="Arial"/>
                <w:color w:val="000000"/>
                <w:sz w:val="18"/>
                <w:szCs w:val="18"/>
              </w:rPr>
              <w:t> </w:t>
            </w:r>
          </w:p>
        </w:tc>
        <w:tc>
          <w:tcPr>
            <w:tcW w:w="770" w:type="dxa"/>
            <w:tcBorders>
              <w:top w:val="single" w:sz="4" w:space="0" w:color="auto"/>
              <w:left w:val="nil"/>
              <w:bottom w:val="single" w:sz="4" w:space="0" w:color="auto"/>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 xml:space="preserve">Medium </w:t>
            </w:r>
          </w:p>
        </w:tc>
        <w:tc>
          <w:tcPr>
            <w:tcW w:w="586" w:type="dxa"/>
            <w:tcBorders>
              <w:top w:val="single" w:sz="4" w:space="0" w:color="auto"/>
              <w:left w:val="nil"/>
              <w:bottom w:val="single" w:sz="4" w:space="0" w:color="auto"/>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 xml:space="preserve">Large </w:t>
            </w:r>
          </w:p>
        </w:tc>
        <w:tc>
          <w:tcPr>
            <w:tcW w:w="188" w:type="dxa"/>
            <w:tcBorders>
              <w:left w:val="nil"/>
              <w:bottom w:val="single" w:sz="4" w:space="0" w:color="auto"/>
              <w:right w:val="nil"/>
            </w:tcBorders>
            <w:shd w:val="clear" w:color="auto" w:fill="auto"/>
            <w:noWrap/>
            <w:vAlign w:val="bottom"/>
            <w:hideMark/>
          </w:tcPr>
          <w:p w:rsidR="00834D6C" w:rsidRPr="00374989" w:rsidRDefault="00834D6C" w:rsidP="00834D6C">
            <w:pPr>
              <w:jc w:val="right"/>
              <w:rPr>
                <w:rFonts w:ascii="Arial" w:eastAsia="Times New Roman" w:hAnsi="Arial" w:cs="Arial"/>
                <w:color w:val="000000"/>
                <w:sz w:val="18"/>
                <w:szCs w:val="18"/>
              </w:rPr>
            </w:pPr>
            <w:r w:rsidRPr="00374989">
              <w:rPr>
                <w:rFonts w:ascii="Arial" w:eastAsia="Times New Roman" w:hAnsi="Arial" w:cs="Arial"/>
                <w:color w:val="000000"/>
                <w:sz w:val="18"/>
                <w:szCs w:val="18"/>
              </w:rPr>
              <w:t> </w:t>
            </w:r>
          </w:p>
        </w:tc>
        <w:tc>
          <w:tcPr>
            <w:tcW w:w="1092" w:type="dxa"/>
            <w:vMerge/>
            <w:tcBorders>
              <w:left w:val="nil"/>
              <w:bottom w:val="single" w:sz="4" w:space="0" w:color="auto"/>
              <w:right w:val="nil"/>
            </w:tcBorders>
            <w:shd w:val="clear" w:color="auto" w:fill="auto"/>
            <w:noWrap/>
            <w:vAlign w:val="bottom"/>
          </w:tcPr>
          <w:p w:rsidR="00834D6C" w:rsidRPr="00374989" w:rsidRDefault="00834D6C" w:rsidP="00834D6C">
            <w:pPr>
              <w:jc w:val="right"/>
              <w:rPr>
                <w:rFonts w:ascii="Arial" w:eastAsia="Times New Roman" w:hAnsi="Arial" w:cs="Arial"/>
                <w:color w:val="000000"/>
                <w:sz w:val="18"/>
                <w:szCs w:val="18"/>
              </w:rPr>
            </w:pPr>
          </w:p>
        </w:tc>
        <w:tc>
          <w:tcPr>
            <w:tcW w:w="990" w:type="dxa"/>
            <w:vMerge/>
            <w:tcBorders>
              <w:left w:val="nil"/>
              <w:bottom w:val="single" w:sz="4" w:space="0" w:color="auto"/>
              <w:right w:val="nil"/>
            </w:tcBorders>
            <w:vAlign w:val="center"/>
            <w:hideMark/>
          </w:tcPr>
          <w:p w:rsidR="00834D6C" w:rsidRPr="00374989" w:rsidRDefault="00834D6C" w:rsidP="00834D6C">
            <w:pPr>
              <w:rPr>
                <w:rFonts w:ascii="Arial" w:eastAsia="Times New Roman" w:hAnsi="Arial" w:cs="Arial"/>
                <w:color w:val="000000"/>
                <w:sz w:val="18"/>
                <w:szCs w:val="18"/>
              </w:rPr>
            </w:pP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Agriculture, food, and beverages</w:t>
            </w:r>
          </w:p>
        </w:tc>
        <w:tc>
          <w:tcPr>
            <w:tcW w:w="1152"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40</w:t>
            </w:r>
          </w:p>
        </w:tc>
        <w:tc>
          <w:tcPr>
            <w:tcW w:w="870"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43</w:t>
            </w:r>
          </w:p>
        </w:tc>
        <w:tc>
          <w:tcPr>
            <w:tcW w:w="1218"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53</w:t>
            </w:r>
          </w:p>
        </w:tc>
        <w:tc>
          <w:tcPr>
            <w:tcW w:w="127"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448</w:t>
            </w:r>
          </w:p>
        </w:tc>
        <w:tc>
          <w:tcPr>
            <w:tcW w:w="586"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49</w:t>
            </w:r>
          </w:p>
        </w:tc>
        <w:tc>
          <w:tcPr>
            <w:tcW w:w="188"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single" w:sz="4" w:space="0" w:color="auto"/>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36</w:t>
            </w:r>
          </w:p>
        </w:tc>
        <w:tc>
          <w:tcPr>
            <w:tcW w:w="990" w:type="dxa"/>
            <w:tcBorders>
              <w:top w:val="single" w:sz="4" w:space="0" w:color="auto"/>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669</w:t>
            </w: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Natural resources and metals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235</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95</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274</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76</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53</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733</w:t>
            </w: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Chemicals and textiles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141</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160</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70</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164</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46</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581</w:t>
            </w: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Other manufacturing</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451</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215</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64</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226</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152</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59</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1,167</w:t>
            </w: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Distribution services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86</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101</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40</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161</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173</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40</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601</w:t>
            </w:r>
          </w:p>
        </w:tc>
      </w:tr>
      <w:tr w:rsidR="00555806" w:rsidRPr="00374989" w:rsidTr="0019213E">
        <w:trPr>
          <w:trHeight w:val="317"/>
        </w:trPr>
        <w:tc>
          <w:tcPr>
            <w:tcW w:w="1901" w:type="dxa"/>
            <w:tcBorders>
              <w:top w:val="nil"/>
              <w:left w:val="nil"/>
              <w:bottom w:val="nil"/>
              <w:right w:val="nil"/>
            </w:tcBorders>
            <w:shd w:val="clear" w:color="auto" w:fill="auto"/>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Finance and insurance services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67</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46</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146</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45</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326</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630</w:t>
            </w:r>
          </w:p>
        </w:tc>
      </w:tr>
      <w:tr w:rsidR="00555806" w:rsidRPr="00374989" w:rsidTr="0019213E">
        <w:trPr>
          <w:trHeight w:val="317"/>
        </w:trPr>
        <w:tc>
          <w:tcPr>
            <w:tcW w:w="1901" w:type="dxa"/>
            <w:tcBorders>
              <w:top w:val="nil"/>
              <w:left w:val="nil"/>
              <w:bottom w:val="nil"/>
              <w:right w:val="nil"/>
            </w:tcBorders>
            <w:shd w:val="clear" w:color="auto" w:fill="auto"/>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Information services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329</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135</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251</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121</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148</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984</w:t>
            </w:r>
          </w:p>
        </w:tc>
      </w:tr>
      <w:tr w:rsidR="00555806" w:rsidRPr="00374989" w:rsidTr="0019213E">
        <w:trPr>
          <w:trHeight w:val="317"/>
        </w:trPr>
        <w:tc>
          <w:tcPr>
            <w:tcW w:w="1901" w:type="dxa"/>
            <w:tcBorders>
              <w:top w:val="nil"/>
              <w:left w:val="nil"/>
              <w:bottom w:val="nil"/>
              <w:right w:val="nil"/>
            </w:tcBorders>
            <w:shd w:val="clear" w:color="auto" w:fill="auto"/>
            <w:noWrap/>
            <w:hideMark/>
          </w:tcPr>
          <w:p w:rsidR="00555806" w:rsidRPr="00374989" w:rsidRDefault="00555806" w:rsidP="00834D6C">
            <w:pPr>
              <w:spacing w:after="60"/>
              <w:rPr>
                <w:rFonts w:ascii="Arial" w:eastAsia="Times New Roman" w:hAnsi="Arial" w:cs="Arial"/>
                <w:color w:val="000000"/>
                <w:sz w:val="18"/>
                <w:szCs w:val="18"/>
              </w:rPr>
            </w:pPr>
            <w:r w:rsidRPr="00374989">
              <w:rPr>
                <w:rFonts w:ascii="Arial" w:eastAsia="Times New Roman" w:hAnsi="Arial" w:cs="Arial"/>
                <w:color w:val="000000"/>
                <w:sz w:val="18"/>
                <w:szCs w:val="18"/>
              </w:rPr>
              <w:t>Other services</w:t>
            </w:r>
          </w:p>
        </w:tc>
        <w:tc>
          <w:tcPr>
            <w:tcW w:w="1152"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283</w:t>
            </w:r>
          </w:p>
        </w:tc>
        <w:tc>
          <w:tcPr>
            <w:tcW w:w="8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452</w:t>
            </w:r>
          </w:p>
        </w:tc>
        <w:tc>
          <w:tcPr>
            <w:tcW w:w="121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373</w:t>
            </w:r>
          </w:p>
        </w:tc>
        <w:tc>
          <w:tcPr>
            <w:tcW w:w="127"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 </w:t>
            </w:r>
          </w:p>
        </w:tc>
        <w:tc>
          <w:tcPr>
            <w:tcW w:w="77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1,043</w:t>
            </w:r>
          </w:p>
        </w:tc>
        <w:tc>
          <w:tcPr>
            <w:tcW w:w="586"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484</w:t>
            </w:r>
          </w:p>
        </w:tc>
        <w:tc>
          <w:tcPr>
            <w:tcW w:w="188"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 </w:t>
            </w:r>
          </w:p>
        </w:tc>
        <w:tc>
          <w:tcPr>
            <w:tcW w:w="1092" w:type="dxa"/>
            <w:tcBorders>
              <w:top w:val="nil"/>
              <w:left w:val="nil"/>
              <w:bottom w:val="nil"/>
              <w:right w:val="nil"/>
            </w:tcBorders>
            <w:shd w:val="clear" w:color="auto" w:fill="auto"/>
            <w:noWrap/>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w:t>
            </w:r>
            <w:r w:rsidRPr="00710CD4">
              <w:rPr>
                <w:rFonts w:ascii="Arial" w:eastAsia="Times New Roman" w:hAnsi="Arial" w:cs="Arial"/>
                <w:color w:val="000000"/>
                <w:sz w:val="18"/>
                <w:szCs w:val="18"/>
                <w:vertAlign w:val="superscript"/>
              </w:rPr>
              <w:t>b</w:t>
            </w:r>
          </w:p>
        </w:tc>
        <w:tc>
          <w:tcPr>
            <w:tcW w:w="990" w:type="dxa"/>
            <w:tcBorders>
              <w:top w:val="nil"/>
              <w:left w:val="nil"/>
              <w:bottom w:val="nil"/>
              <w:right w:val="nil"/>
            </w:tcBorders>
            <w:shd w:val="clear" w:color="auto" w:fill="auto"/>
            <w:noWrap/>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2,635</w:t>
            </w:r>
          </w:p>
        </w:tc>
      </w:tr>
      <w:tr w:rsidR="00555806" w:rsidRPr="00374989" w:rsidTr="0019213E">
        <w:trPr>
          <w:trHeight w:val="317"/>
        </w:trPr>
        <w:tc>
          <w:tcPr>
            <w:tcW w:w="1901" w:type="dxa"/>
            <w:tcBorders>
              <w:top w:val="single" w:sz="4" w:space="0" w:color="auto"/>
              <w:left w:val="nil"/>
              <w:bottom w:val="single" w:sz="4" w:space="0" w:color="auto"/>
              <w:right w:val="nil"/>
            </w:tcBorders>
            <w:shd w:val="clear" w:color="auto" w:fill="auto"/>
            <w:noWrap/>
            <w:vAlign w:val="center"/>
            <w:hideMark/>
          </w:tcPr>
          <w:p w:rsidR="00555806" w:rsidRPr="00374989" w:rsidRDefault="00555806" w:rsidP="00834D6C">
            <w:pPr>
              <w:rPr>
                <w:rFonts w:ascii="Arial" w:eastAsia="Times New Roman" w:hAnsi="Arial" w:cs="Arial"/>
                <w:color w:val="000000"/>
                <w:sz w:val="18"/>
                <w:szCs w:val="18"/>
              </w:rPr>
            </w:pPr>
            <w:r w:rsidRPr="00374989">
              <w:rPr>
                <w:rFonts w:ascii="Arial" w:eastAsia="Times New Roman" w:hAnsi="Arial" w:cs="Arial"/>
                <w:color w:val="000000"/>
                <w:sz w:val="18"/>
                <w:szCs w:val="18"/>
              </w:rPr>
              <w:t>Total</w:t>
            </w:r>
          </w:p>
        </w:tc>
        <w:tc>
          <w:tcPr>
            <w:tcW w:w="1152"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1,632</w:t>
            </w:r>
          </w:p>
        </w:tc>
        <w:tc>
          <w:tcPr>
            <w:tcW w:w="870"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1,247</w:t>
            </w:r>
          </w:p>
        </w:tc>
        <w:tc>
          <w:tcPr>
            <w:tcW w:w="1218"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600</w:t>
            </w:r>
          </w:p>
        </w:tc>
        <w:tc>
          <w:tcPr>
            <w:tcW w:w="127"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p>
        </w:tc>
        <w:tc>
          <w:tcPr>
            <w:tcW w:w="770"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2,713</w:t>
            </w:r>
          </w:p>
        </w:tc>
        <w:tc>
          <w:tcPr>
            <w:tcW w:w="586"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1,146</w:t>
            </w:r>
          </w:p>
        </w:tc>
        <w:tc>
          <w:tcPr>
            <w:tcW w:w="188"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p>
        </w:tc>
        <w:tc>
          <w:tcPr>
            <w:tcW w:w="1092" w:type="dxa"/>
            <w:tcBorders>
              <w:top w:val="single" w:sz="4" w:space="0" w:color="auto"/>
              <w:left w:val="nil"/>
              <w:bottom w:val="single" w:sz="4" w:space="0" w:color="auto"/>
              <w:right w:val="nil"/>
            </w:tcBorders>
            <w:shd w:val="clear" w:color="auto" w:fill="auto"/>
            <w:noWrap/>
            <w:vAlign w:val="center"/>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662</w:t>
            </w:r>
          </w:p>
        </w:tc>
        <w:tc>
          <w:tcPr>
            <w:tcW w:w="990" w:type="dxa"/>
            <w:tcBorders>
              <w:top w:val="single" w:sz="4" w:space="0" w:color="auto"/>
              <w:left w:val="nil"/>
              <w:bottom w:val="single" w:sz="4" w:space="0" w:color="auto"/>
              <w:right w:val="nil"/>
            </w:tcBorders>
            <w:shd w:val="clear" w:color="auto" w:fill="auto"/>
            <w:noWrap/>
            <w:vAlign w:val="center"/>
            <w:hideMark/>
          </w:tcPr>
          <w:p w:rsidR="00555806" w:rsidRPr="00710CD4" w:rsidRDefault="00555806" w:rsidP="00555806">
            <w:pPr>
              <w:jc w:val="right"/>
              <w:rPr>
                <w:rFonts w:ascii="Arial" w:eastAsia="Times New Roman" w:hAnsi="Arial" w:cs="Arial"/>
                <w:color w:val="000000"/>
                <w:sz w:val="18"/>
                <w:szCs w:val="18"/>
              </w:rPr>
            </w:pPr>
            <w:r w:rsidRPr="00710CD4">
              <w:rPr>
                <w:rFonts w:ascii="Arial" w:eastAsia="Times New Roman" w:hAnsi="Arial" w:cs="Arial"/>
                <w:color w:val="000000"/>
                <w:sz w:val="18"/>
                <w:szCs w:val="18"/>
              </w:rPr>
              <w:t>8,000</w:t>
            </w:r>
          </w:p>
        </w:tc>
      </w:tr>
    </w:tbl>
    <w:p w:rsidR="00647632" w:rsidRDefault="00647632" w:rsidP="00647632">
      <w:pPr>
        <w:autoSpaceDE/>
        <w:autoSpaceDN/>
        <w:adjustRightInd/>
        <w:ind w:right="1260"/>
        <w:rPr>
          <w:rFonts w:ascii="Arial" w:hAnsi="Arial" w:cs="Arial"/>
          <w:sz w:val="18"/>
          <w:szCs w:val="18"/>
        </w:rPr>
      </w:pPr>
      <w:r>
        <w:rPr>
          <w:rFonts w:ascii="Arial" w:hAnsi="Arial" w:cs="Arial"/>
          <w:sz w:val="18"/>
          <w:szCs w:val="18"/>
        </w:rPr>
        <w:t>Note: Samples are based on the optimal allocations presented in table 3 except where noted</w:t>
      </w:r>
    </w:p>
    <w:p w:rsidR="00647632" w:rsidRDefault="00647632" w:rsidP="00834D6C">
      <w:pPr>
        <w:spacing w:before="240" w:after="240"/>
        <w:contextualSpacing/>
        <w:rPr>
          <w:rFonts w:ascii="Arial" w:hAnsi="Arial" w:cs="Arial"/>
          <w:sz w:val="18"/>
          <w:szCs w:val="18"/>
        </w:rPr>
      </w:pPr>
    </w:p>
    <w:p w:rsidR="00834D6C" w:rsidRDefault="00834D6C" w:rsidP="00834D6C">
      <w:pPr>
        <w:spacing w:before="240" w:after="240"/>
        <w:contextualSpacing/>
        <w:rPr>
          <w:rFonts w:ascii="Arial" w:hAnsi="Arial" w:cs="Arial"/>
          <w:sz w:val="18"/>
          <w:szCs w:val="18"/>
        </w:rPr>
      </w:pPr>
      <w:r w:rsidRPr="00EF5217">
        <w:rPr>
          <w:rFonts w:ascii="Arial" w:hAnsi="Arial" w:cs="Arial"/>
          <w:sz w:val="18"/>
          <w:szCs w:val="18"/>
        </w:rPr>
        <w:t xml:space="preserve"> </w:t>
      </w:r>
      <w:proofErr w:type="gramStart"/>
      <w:r w:rsidRPr="00EF5217">
        <w:rPr>
          <w:rFonts w:ascii="Arial" w:hAnsi="Arial" w:cs="Arial"/>
          <w:sz w:val="18"/>
          <w:szCs w:val="18"/>
          <w:vertAlign w:val="superscript"/>
        </w:rPr>
        <w:t>a</w:t>
      </w:r>
      <w:proofErr w:type="gramEnd"/>
      <w:r w:rsidRPr="00EF5217">
        <w:rPr>
          <w:rFonts w:ascii="Arial" w:hAnsi="Arial" w:cs="Arial"/>
          <w:sz w:val="18"/>
          <w:szCs w:val="18"/>
        </w:rPr>
        <w:t xml:space="preserve"> Large firms have 500 or more employees; medium-sized firms have </w:t>
      </w:r>
      <w:r>
        <w:rPr>
          <w:rFonts w:ascii="Arial" w:hAnsi="Arial" w:cs="Arial"/>
          <w:sz w:val="18"/>
          <w:szCs w:val="18"/>
        </w:rPr>
        <w:t>between 50 and</w:t>
      </w:r>
      <w:r w:rsidRPr="00EF5217">
        <w:rPr>
          <w:rFonts w:ascii="Arial" w:hAnsi="Arial" w:cs="Arial"/>
          <w:sz w:val="18"/>
          <w:szCs w:val="18"/>
        </w:rPr>
        <w:t xml:space="preserve"> 500 employees; small </w:t>
      </w:r>
      <w:r>
        <w:rPr>
          <w:rFonts w:ascii="Arial" w:hAnsi="Arial" w:cs="Arial"/>
          <w:sz w:val="18"/>
          <w:szCs w:val="18"/>
        </w:rPr>
        <w:t xml:space="preserve">firms with less than 50 employees </w:t>
      </w:r>
      <w:r w:rsidRPr="00EF5217">
        <w:rPr>
          <w:rFonts w:ascii="Arial" w:hAnsi="Arial" w:cs="Arial"/>
          <w:sz w:val="18"/>
          <w:szCs w:val="18"/>
        </w:rPr>
        <w:t xml:space="preserve">are </w:t>
      </w:r>
      <w:r>
        <w:rPr>
          <w:rFonts w:ascii="Arial" w:hAnsi="Arial" w:cs="Arial"/>
          <w:sz w:val="18"/>
          <w:szCs w:val="18"/>
        </w:rPr>
        <w:t xml:space="preserve">generally </w:t>
      </w:r>
      <w:r w:rsidRPr="00EF5217">
        <w:rPr>
          <w:rFonts w:ascii="Arial" w:hAnsi="Arial" w:cs="Arial"/>
          <w:sz w:val="18"/>
          <w:szCs w:val="18"/>
        </w:rPr>
        <w:t>not sampled.</w:t>
      </w:r>
    </w:p>
    <w:p w:rsidR="00834D6C" w:rsidRDefault="00834D6C" w:rsidP="00834D6C">
      <w:pPr>
        <w:spacing w:before="240"/>
        <w:rPr>
          <w:rFonts w:ascii="Arial" w:hAnsi="Arial" w:cs="Arial"/>
          <w:sz w:val="18"/>
          <w:szCs w:val="18"/>
        </w:rPr>
      </w:pPr>
      <w:r>
        <w:rPr>
          <w:rFonts w:ascii="Arial" w:hAnsi="Arial" w:cs="Arial"/>
          <w:sz w:val="18"/>
          <w:szCs w:val="18"/>
        </w:rPr>
        <w:t xml:space="preserve"> </w:t>
      </w:r>
      <w:proofErr w:type="gramStart"/>
      <w:r w:rsidRPr="00C6462A">
        <w:rPr>
          <w:rFonts w:ascii="Arial" w:hAnsi="Arial" w:cs="Arial"/>
          <w:sz w:val="18"/>
          <w:szCs w:val="18"/>
          <w:vertAlign w:val="superscript"/>
        </w:rPr>
        <w:t>b</w:t>
      </w:r>
      <w:proofErr w:type="gramEnd"/>
      <w:r>
        <w:rPr>
          <w:rFonts w:ascii="Arial" w:hAnsi="Arial" w:cs="Arial"/>
          <w:sz w:val="18"/>
          <w:szCs w:val="18"/>
        </w:rPr>
        <w:t xml:space="preserve"> Not all strata are populated.</w:t>
      </w:r>
    </w:p>
    <w:p w:rsidR="00724165" w:rsidRDefault="00EA1716" w:rsidP="00834D6C">
      <w:pPr>
        <w:rPr>
          <w:b/>
          <w:bCs/>
          <w:highlight w:val="white"/>
        </w:rPr>
        <w:sectPr w:rsidR="00724165" w:rsidSect="00154DE5">
          <w:footerReference w:type="default" r:id="rId9"/>
          <w:pgSz w:w="12240" w:h="15840"/>
          <w:pgMar w:top="1440" w:right="1440" w:bottom="1440" w:left="1440" w:header="1440" w:footer="864" w:gutter="0"/>
          <w:cols w:space="720"/>
          <w:docGrid w:linePitch="272"/>
        </w:sectPr>
      </w:pPr>
      <w:r w:rsidRPr="00502843" w:rsidDel="00EA1716">
        <w:t xml:space="preserve"> </w:t>
      </w: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2.</w:t>
      </w:r>
      <w:r w:rsidRPr="00A90E28">
        <w:rPr>
          <w:b/>
          <w:bCs/>
          <w:sz w:val="24"/>
          <w:szCs w:val="24"/>
          <w:highlight w:val="white"/>
        </w:rPr>
        <w:tab/>
      </w:r>
      <w:r w:rsidR="00AB699E" w:rsidRPr="00A90E28">
        <w:rPr>
          <w:b/>
          <w:bCs/>
          <w:sz w:val="24"/>
          <w:szCs w:val="24"/>
          <w:highlight w:val="white"/>
        </w:rPr>
        <w:t>Collection of information</w:t>
      </w:r>
      <w:r w:rsidR="00FE5E62">
        <w:rPr>
          <w:b/>
          <w:bCs/>
          <w:sz w:val="24"/>
          <w:szCs w:val="24"/>
          <w:highlight w:val="white"/>
        </w:rPr>
        <w:t xml:space="preserve"> employing statistical methods</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717630" w:rsidRPr="00A90E28" w:rsidRDefault="00A90E28"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t xml:space="preserve"> </w:t>
      </w:r>
      <w:r w:rsidR="00717630" w:rsidRPr="00A90E28">
        <w:rPr>
          <w:rFonts w:ascii="Times New Roman" w:hAnsi="Times New Roman"/>
          <w:b/>
          <w:sz w:val="24"/>
          <w:szCs w:val="24"/>
        </w:rPr>
        <w:t>Statistical methodology for stratification and sample selection</w:t>
      </w:r>
    </w:p>
    <w:p w:rsidR="00E6791D" w:rsidRPr="00A90E28" w:rsidRDefault="00573741" w:rsidP="00A90E28">
      <w:pPr>
        <w:autoSpaceDE/>
        <w:autoSpaceDN/>
        <w:adjustRightInd/>
        <w:contextualSpacing/>
        <w:rPr>
          <w:sz w:val="24"/>
          <w:szCs w:val="24"/>
        </w:rPr>
      </w:pPr>
      <w:r w:rsidRPr="00A90E28">
        <w:rPr>
          <w:sz w:val="24"/>
          <w:szCs w:val="24"/>
        </w:rPr>
        <w:t xml:space="preserve">A stratified sample based on a simple stratification process is being implemented for this project. </w:t>
      </w:r>
      <w:r w:rsidR="00717630" w:rsidRPr="00A90E28">
        <w:rPr>
          <w:sz w:val="24"/>
          <w:szCs w:val="24"/>
        </w:rPr>
        <w:t xml:space="preserve">The goal of the stratification scheme is to develop a set of strata </w:t>
      </w:r>
      <w:r w:rsidR="00573F7C" w:rsidRPr="00A90E28">
        <w:rPr>
          <w:sz w:val="24"/>
          <w:szCs w:val="24"/>
        </w:rPr>
        <w:t xml:space="preserve">such </w:t>
      </w:r>
      <w:r w:rsidR="00717630" w:rsidRPr="00A90E28">
        <w:rPr>
          <w:sz w:val="24"/>
          <w:szCs w:val="24"/>
        </w:rPr>
        <w:t xml:space="preserve">that </w:t>
      </w:r>
      <w:r w:rsidR="00573F7C" w:rsidRPr="00A90E28">
        <w:rPr>
          <w:sz w:val="24"/>
          <w:szCs w:val="24"/>
        </w:rPr>
        <w:t xml:space="preserve">the </w:t>
      </w:r>
      <w:r w:rsidR="00717630" w:rsidRPr="00A90E28">
        <w:rPr>
          <w:sz w:val="24"/>
          <w:szCs w:val="24"/>
        </w:rPr>
        <w:t xml:space="preserve">variance </w:t>
      </w:r>
      <w:r w:rsidR="00573F7C" w:rsidRPr="00A90E28">
        <w:rPr>
          <w:sz w:val="24"/>
          <w:szCs w:val="24"/>
        </w:rPr>
        <w:t>of responses (such as level</w:t>
      </w:r>
      <w:r w:rsidR="009C71CE" w:rsidRPr="00A90E28">
        <w:rPr>
          <w:sz w:val="24"/>
          <w:szCs w:val="24"/>
        </w:rPr>
        <w:t xml:space="preserve"> of employment</w:t>
      </w:r>
      <w:r w:rsidR="00B02E0A" w:rsidRPr="00A90E28">
        <w:rPr>
          <w:sz w:val="24"/>
          <w:szCs w:val="24"/>
        </w:rPr>
        <w:t>, type</w:t>
      </w:r>
      <w:r w:rsidR="00573F7C" w:rsidRPr="00A90E28">
        <w:rPr>
          <w:sz w:val="24"/>
          <w:szCs w:val="24"/>
        </w:rPr>
        <w:t xml:space="preserve"> of</w:t>
      </w:r>
      <w:r w:rsidR="00A57BD0">
        <w:rPr>
          <w:sz w:val="24"/>
          <w:szCs w:val="24"/>
        </w:rPr>
        <w:t xml:space="preserve"> </w:t>
      </w:r>
      <w:r w:rsidR="00573F7C" w:rsidRPr="00A90E28">
        <w:rPr>
          <w:sz w:val="24"/>
          <w:szCs w:val="24"/>
        </w:rPr>
        <w:t xml:space="preserve">activities, </w:t>
      </w:r>
      <w:r w:rsidR="009C71CE" w:rsidRPr="00A90E28">
        <w:rPr>
          <w:sz w:val="24"/>
          <w:szCs w:val="24"/>
        </w:rPr>
        <w:t xml:space="preserve">and </w:t>
      </w:r>
      <w:r w:rsidR="00573F7C" w:rsidRPr="00A90E28">
        <w:rPr>
          <w:sz w:val="24"/>
          <w:szCs w:val="24"/>
        </w:rPr>
        <w:t xml:space="preserve">likelihood of </w:t>
      </w:r>
      <w:r w:rsidR="004E33EB" w:rsidRPr="00BC2AE6">
        <w:rPr>
          <w:sz w:val="24"/>
          <w:szCs w:val="24"/>
        </w:rPr>
        <w:t>engagement with India</w:t>
      </w:r>
      <w:r w:rsidR="00573F7C" w:rsidRPr="00A90E28">
        <w:rPr>
          <w:sz w:val="24"/>
          <w:szCs w:val="24"/>
        </w:rPr>
        <w:t xml:space="preserve">) </w:t>
      </w:r>
      <w:r w:rsidR="00B71063" w:rsidRPr="00A90E28">
        <w:rPr>
          <w:sz w:val="24"/>
          <w:szCs w:val="24"/>
        </w:rPr>
        <w:t xml:space="preserve">within </w:t>
      </w:r>
      <w:r w:rsidR="00573F7C" w:rsidRPr="00A90E28">
        <w:rPr>
          <w:sz w:val="24"/>
          <w:szCs w:val="24"/>
        </w:rPr>
        <w:t>each stratum</w:t>
      </w:r>
      <w:r w:rsidR="00B71063" w:rsidRPr="00A90E28">
        <w:rPr>
          <w:sz w:val="24"/>
          <w:szCs w:val="24"/>
        </w:rPr>
        <w:t xml:space="preserve"> </w:t>
      </w:r>
      <w:r w:rsidR="00573F7C" w:rsidRPr="00A90E28">
        <w:rPr>
          <w:sz w:val="24"/>
          <w:szCs w:val="24"/>
        </w:rPr>
        <w:t>is minimized to the extent possible</w:t>
      </w:r>
      <w:r w:rsidR="00717630" w:rsidRPr="00A90E28">
        <w:rPr>
          <w:sz w:val="24"/>
          <w:szCs w:val="24"/>
        </w:rPr>
        <w:t>.</w:t>
      </w:r>
      <w:r w:rsidR="00637E08" w:rsidRPr="00A90E28">
        <w:rPr>
          <w:sz w:val="24"/>
          <w:szCs w:val="24"/>
        </w:rPr>
        <w:t xml:space="preserve"> </w:t>
      </w:r>
      <w:r w:rsidR="006D2DB7">
        <w:rPr>
          <w:sz w:val="24"/>
          <w:szCs w:val="24"/>
        </w:rPr>
        <w:t xml:space="preserve">Stratification is also being used to include rare observations. </w:t>
      </w:r>
      <w:r w:rsidR="00717630" w:rsidRPr="00123A00">
        <w:rPr>
          <w:sz w:val="24"/>
          <w:szCs w:val="24"/>
        </w:rPr>
        <w:t>Because n</w:t>
      </w:r>
      <w:r w:rsidR="007D052D" w:rsidRPr="00123A00">
        <w:rPr>
          <w:sz w:val="24"/>
          <w:szCs w:val="24"/>
        </w:rPr>
        <w:t>o pro-forma reliable data exist</w:t>
      </w:r>
      <w:r w:rsidR="00717630" w:rsidRPr="00123A00">
        <w:rPr>
          <w:sz w:val="24"/>
          <w:szCs w:val="24"/>
        </w:rPr>
        <w:t xml:space="preserve"> on the </w:t>
      </w:r>
      <w:r w:rsidR="00023E80" w:rsidRPr="00123A00">
        <w:rPr>
          <w:sz w:val="24"/>
          <w:szCs w:val="24"/>
        </w:rPr>
        <w:t xml:space="preserve">size and scope of the </w:t>
      </w:r>
      <w:r w:rsidR="004949A0" w:rsidRPr="00123A00">
        <w:rPr>
          <w:sz w:val="24"/>
          <w:szCs w:val="24"/>
        </w:rPr>
        <w:t xml:space="preserve">number of firms </w:t>
      </w:r>
      <w:r w:rsidR="004949A0" w:rsidRPr="007B1BDC">
        <w:rPr>
          <w:sz w:val="24"/>
          <w:szCs w:val="24"/>
        </w:rPr>
        <w:t xml:space="preserve">that </w:t>
      </w:r>
      <w:r w:rsidR="004E33EB" w:rsidRPr="00BC2AE6">
        <w:rPr>
          <w:sz w:val="24"/>
          <w:szCs w:val="24"/>
        </w:rPr>
        <w:t xml:space="preserve">are engaged </w:t>
      </w:r>
      <w:r w:rsidR="007B1BDC" w:rsidRPr="00BC2AE6">
        <w:rPr>
          <w:sz w:val="24"/>
          <w:szCs w:val="24"/>
        </w:rPr>
        <w:t>in</w:t>
      </w:r>
      <w:r w:rsidR="004E33EB" w:rsidRPr="00BC2AE6">
        <w:rPr>
          <w:sz w:val="24"/>
          <w:szCs w:val="24"/>
        </w:rPr>
        <w:t xml:space="preserve"> India</w:t>
      </w:r>
      <w:r w:rsidR="004949A0" w:rsidRPr="00BC2AE6">
        <w:rPr>
          <w:sz w:val="24"/>
          <w:szCs w:val="24"/>
        </w:rPr>
        <w:t>, or are interested in engaging with India but do not as a result of its industrial policies</w:t>
      </w:r>
      <w:r w:rsidR="00717630" w:rsidRPr="007B1BDC">
        <w:rPr>
          <w:sz w:val="24"/>
          <w:szCs w:val="24"/>
        </w:rPr>
        <w:t>, the stratification</w:t>
      </w:r>
      <w:r w:rsidR="00717630" w:rsidRPr="00123A00">
        <w:rPr>
          <w:sz w:val="24"/>
          <w:szCs w:val="24"/>
        </w:rPr>
        <w:t xml:space="preserve"> scheme was based </w:t>
      </w:r>
      <w:r w:rsidR="00E6791D" w:rsidRPr="00123A00">
        <w:rPr>
          <w:sz w:val="24"/>
          <w:szCs w:val="24"/>
        </w:rPr>
        <w:t>on the best judgment of industry and USITC experts.</w:t>
      </w:r>
      <w:r w:rsidR="001C205A">
        <w:rPr>
          <w:sz w:val="24"/>
          <w:szCs w:val="24"/>
        </w:rPr>
        <w:t xml:space="preserve"> </w:t>
      </w:r>
    </w:p>
    <w:p w:rsidR="00E6791D" w:rsidRPr="00A90E28" w:rsidRDefault="00E6791D" w:rsidP="0027555C">
      <w:pPr>
        <w:rPr>
          <w:sz w:val="24"/>
          <w:szCs w:val="24"/>
        </w:rPr>
      </w:pPr>
    </w:p>
    <w:p w:rsidR="00BC0A72" w:rsidRDefault="002720FA" w:rsidP="00A90E28">
      <w:pPr>
        <w:autoSpaceDE/>
        <w:autoSpaceDN/>
        <w:adjustRightInd/>
        <w:contextualSpacing/>
        <w:rPr>
          <w:sz w:val="24"/>
          <w:szCs w:val="24"/>
        </w:rPr>
      </w:pPr>
      <w:r w:rsidRPr="00A90E28">
        <w:rPr>
          <w:sz w:val="24"/>
          <w:szCs w:val="24"/>
        </w:rPr>
        <w:t>The approach to stratification in this survey is based on a two-part procedure</w:t>
      </w:r>
      <w:r w:rsidR="004E6983" w:rsidRPr="00A90E28">
        <w:rPr>
          <w:sz w:val="24"/>
          <w:szCs w:val="24"/>
        </w:rPr>
        <w:t xml:space="preserve"> designed to maximize efficiency of the resulting estimates, and hence reduce the total number of firms sampled.</w:t>
      </w:r>
      <w:r w:rsidR="00A57BD0">
        <w:rPr>
          <w:sz w:val="24"/>
          <w:szCs w:val="24"/>
        </w:rPr>
        <w:t xml:space="preserve"> </w:t>
      </w:r>
      <w:r w:rsidR="004E6983" w:rsidRPr="00A90E28">
        <w:rPr>
          <w:sz w:val="24"/>
          <w:szCs w:val="24"/>
        </w:rPr>
        <w:t>First,</w:t>
      </w:r>
      <w:r w:rsidRPr="00A90E28">
        <w:rPr>
          <w:sz w:val="24"/>
          <w:szCs w:val="24"/>
        </w:rPr>
        <w:t xml:space="preserve"> firms </w:t>
      </w:r>
      <w:r w:rsidR="004E6983" w:rsidRPr="00A90E28">
        <w:rPr>
          <w:sz w:val="24"/>
          <w:szCs w:val="24"/>
        </w:rPr>
        <w:t xml:space="preserve">identified by the Orbis database are optimally allocated </w:t>
      </w:r>
      <w:r w:rsidRPr="00A90E28">
        <w:rPr>
          <w:sz w:val="24"/>
          <w:szCs w:val="24"/>
        </w:rPr>
        <w:t xml:space="preserve">across size and industry strata </w:t>
      </w:r>
      <w:r w:rsidR="004E6983" w:rsidRPr="00A90E28">
        <w:rPr>
          <w:sz w:val="24"/>
          <w:szCs w:val="24"/>
        </w:rPr>
        <w:t xml:space="preserve">based on the </w:t>
      </w:r>
      <w:r w:rsidR="00A01EC7">
        <w:rPr>
          <w:sz w:val="24"/>
          <w:szCs w:val="24"/>
        </w:rPr>
        <w:t xml:space="preserve">coefficient of variation </w:t>
      </w:r>
      <w:r w:rsidR="004E6983" w:rsidRPr="00A90E28">
        <w:rPr>
          <w:sz w:val="24"/>
          <w:szCs w:val="24"/>
        </w:rPr>
        <w:t xml:space="preserve">of employment within each </w:t>
      </w:r>
      <w:proofErr w:type="gramStart"/>
      <w:r w:rsidR="004E6983" w:rsidRPr="00A90E28">
        <w:rPr>
          <w:sz w:val="24"/>
          <w:szCs w:val="24"/>
        </w:rPr>
        <w:t>strata</w:t>
      </w:r>
      <w:proofErr w:type="gramEnd"/>
      <w:r w:rsidR="008A6DC0" w:rsidRPr="00A90E28">
        <w:rPr>
          <w:sz w:val="24"/>
          <w:szCs w:val="24"/>
        </w:rPr>
        <w:t>.</w:t>
      </w:r>
      <w:r w:rsidR="00A57BD0">
        <w:rPr>
          <w:sz w:val="24"/>
          <w:szCs w:val="24"/>
        </w:rPr>
        <w:t xml:space="preserve"> </w:t>
      </w:r>
      <w:r w:rsidR="008A6DC0" w:rsidRPr="00A90E28">
        <w:rPr>
          <w:sz w:val="24"/>
          <w:szCs w:val="24"/>
        </w:rPr>
        <w:t>Second</w:t>
      </w:r>
      <w:r w:rsidRPr="00A90E28">
        <w:rPr>
          <w:sz w:val="24"/>
          <w:szCs w:val="24"/>
        </w:rPr>
        <w:t xml:space="preserve">, </w:t>
      </w:r>
      <w:r w:rsidR="006D2DB7">
        <w:rPr>
          <w:sz w:val="24"/>
          <w:szCs w:val="24"/>
        </w:rPr>
        <w:t>oversampling</w:t>
      </w:r>
      <w:r w:rsidRPr="00A90E28">
        <w:rPr>
          <w:sz w:val="24"/>
          <w:szCs w:val="24"/>
        </w:rPr>
        <w:t xml:space="preserve"> is used to allocate firms identified b</w:t>
      </w:r>
      <w:r w:rsidR="004E6983" w:rsidRPr="00A90E28">
        <w:rPr>
          <w:sz w:val="24"/>
          <w:szCs w:val="24"/>
        </w:rPr>
        <w:t xml:space="preserve">y the </w:t>
      </w:r>
      <w:r w:rsidR="00505748">
        <w:rPr>
          <w:sz w:val="24"/>
          <w:szCs w:val="24"/>
        </w:rPr>
        <w:t>specialty</w:t>
      </w:r>
      <w:r w:rsidR="00652A8F">
        <w:rPr>
          <w:sz w:val="24"/>
          <w:szCs w:val="24"/>
        </w:rPr>
        <w:t xml:space="preserve"> </w:t>
      </w:r>
      <w:r w:rsidR="00F168DA">
        <w:rPr>
          <w:sz w:val="24"/>
          <w:szCs w:val="24"/>
        </w:rPr>
        <w:t>databases</w:t>
      </w:r>
      <w:r w:rsidR="00D53A5A">
        <w:rPr>
          <w:sz w:val="24"/>
          <w:szCs w:val="24"/>
        </w:rPr>
        <w:t xml:space="preserve"> (including the industry database)</w:t>
      </w:r>
      <w:r w:rsidR="009F26BC" w:rsidRPr="00A90E28">
        <w:rPr>
          <w:sz w:val="24"/>
          <w:szCs w:val="24"/>
        </w:rPr>
        <w:t>,</w:t>
      </w:r>
      <w:r w:rsidR="004E6983" w:rsidRPr="00A90E28">
        <w:rPr>
          <w:sz w:val="24"/>
          <w:szCs w:val="24"/>
        </w:rPr>
        <w:t xml:space="preserve"> to reflect the higher expected </w:t>
      </w:r>
      <w:r w:rsidR="006F6387" w:rsidRPr="00A90E28">
        <w:rPr>
          <w:sz w:val="24"/>
          <w:szCs w:val="24"/>
        </w:rPr>
        <w:t>prevalence</w:t>
      </w:r>
      <w:r w:rsidR="004E6983" w:rsidRPr="00A90E28">
        <w:rPr>
          <w:sz w:val="24"/>
          <w:szCs w:val="24"/>
        </w:rPr>
        <w:t xml:space="preserve"> </w:t>
      </w:r>
      <w:r w:rsidR="00BC2AE6">
        <w:rPr>
          <w:sz w:val="24"/>
          <w:szCs w:val="24"/>
        </w:rPr>
        <w:t>of firms in this list that are engaged in India or engaged globally</w:t>
      </w:r>
      <w:r w:rsidR="004E6983" w:rsidRPr="00A90E28">
        <w:rPr>
          <w:sz w:val="24"/>
          <w:szCs w:val="24"/>
        </w:rPr>
        <w:t>. F</w:t>
      </w:r>
      <w:r w:rsidRPr="00A90E28">
        <w:rPr>
          <w:sz w:val="24"/>
          <w:szCs w:val="24"/>
        </w:rPr>
        <w:t xml:space="preserve">or each industry, a higher sampling fraction is chosen for firms from the </w:t>
      </w:r>
      <w:r w:rsidR="00D53A5A">
        <w:rPr>
          <w:sz w:val="24"/>
          <w:szCs w:val="24"/>
        </w:rPr>
        <w:t>specialty databases</w:t>
      </w:r>
      <w:r w:rsidR="008A6DC0" w:rsidRPr="00A90E28">
        <w:rPr>
          <w:sz w:val="24"/>
          <w:szCs w:val="24"/>
        </w:rPr>
        <w:t xml:space="preserve"> than from the Orbis database</w:t>
      </w:r>
      <w:r w:rsidRPr="00A90E28">
        <w:rPr>
          <w:sz w:val="24"/>
          <w:szCs w:val="24"/>
        </w:rPr>
        <w:t>.</w:t>
      </w:r>
      <w:r w:rsidR="008A6DC0" w:rsidRPr="00A90E28">
        <w:rPr>
          <w:sz w:val="24"/>
          <w:szCs w:val="24"/>
        </w:rPr>
        <w:t xml:space="preserve"> These procedures are discussed in m</w:t>
      </w:r>
      <w:r w:rsidR="004E6983" w:rsidRPr="00A90E28">
        <w:rPr>
          <w:sz w:val="24"/>
          <w:szCs w:val="24"/>
        </w:rPr>
        <w:t>ore detail below.</w:t>
      </w:r>
      <w:r w:rsidR="00A57BD0">
        <w:rPr>
          <w:sz w:val="24"/>
          <w:szCs w:val="24"/>
        </w:rPr>
        <w:t xml:space="preserve"> </w:t>
      </w:r>
    </w:p>
    <w:p w:rsidR="00A90E28" w:rsidRPr="00A90E28" w:rsidRDefault="00A90E28" w:rsidP="00A90E28">
      <w:pPr>
        <w:autoSpaceDE/>
        <w:autoSpaceDN/>
        <w:adjustRightInd/>
        <w:contextualSpacing/>
        <w:rPr>
          <w:sz w:val="24"/>
          <w:szCs w:val="24"/>
        </w:rPr>
      </w:pPr>
    </w:p>
    <w:p w:rsidR="00487B02" w:rsidRPr="00BC2AE6" w:rsidRDefault="00487B02">
      <w:pPr>
        <w:pStyle w:val="ListParagraph"/>
        <w:numPr>
          <w:ilvl w:val="0"/>
          <w:numId w:val="14"/>
        </w:numPr>
        <w:spacing w:after="0" w:line="240" w:lineRule="auto"/>
        <w:rPr>
          <w:rFonts w:ascii="Times New Roman" w:hAnsi="Times New Roman"/>
          <w:sz w:val="24"/>
          <w:szCs w:val="24"/>
        </w:rPr>
      </w:pPr>
      <w:r w:rsidRPr="00BC2AE6">
        <w:rPr>
          <w:rFonts w:ascii="Times New Roman" w:hAnsi="Times New Roman"/>
          <w:sz w:val="24"/>
          <w:szCs w:val="24"/>
        </w:rPr>
        <w:t xml:space="preserve">Orbis-based strata: In these strata, the Neyman method is used to </w:t>
      </w:r>
      <w:r w:rsidR="00FE3E34">
        <w:rPr>
          <w:rFonts w:ascii="Times New Roman" w:hAnsi="Times New Roman"/>
          <w:sz w:val="24"/>
          <w:szCs w:val="24"/>
        </w:rPr>
        <w:t>determine</w:t>
      </w:r>
      <w:r w:rsidR="00FE3E34" w:rsidRPr="00BC2AE6">
        <w:rPr>
          <w:rFonts w:ascii="Times New Roman" w:hAnsi="Times New Roman"/>
          <w:sz w:val="24"/>
          <w:szCs w:val="24"/>
        </w:rPr>
        <w:t xml:space="preserve"> </w:t>
      </w:r>
      <w:r w:rsidRPr="00BC2AE6">
        <w:rPr>
          <w:rFonts w:ascii="Times New Roman" w:hAnsi="Times New Roman"/>
          <w:sz w:val="24"/>
          <w:szCs w:val="24"/>
        </w:rPr>
        <w:t xml:space="preserve">the share of the total allocated to each </w:t>
      </w:r>
      <w:r w:rsidR="00FE3E34" w:rsidRPr="00BC2AE6">
        <w:rPr>
          <w:rFonts w:ascii="Times New Roman" w:hAnsi="Times New Roman"/>
          <w:sz w:val="24"/>
          <w:szCs w:val="24"/>
        </w:rPr>
        <w:t>strat</w:t>
      </w:r>
      <w:r w:rsidR="00FE3E34">
        <w:rPr>
          <w:rFonts w:ascii="Times New Roman" w:hAnsi="Times New Roman"/>
          <w:sz w:val="24"/>
          <w:szCs w:val="24"/>
        </w:rPr>
        <w:t>um</w:t>
      </w:r>
      <w:r w:rsidRPr="00BC2AE6">
        <w:rPr>
          <w:rFonts w:ascii="Times New Roman" w:hAnsi="Times New Roman"/>
          <w:sz w:val="24"/>
          <w:szCs w:val="24"/>
        </w:rPr>
        <w:t xml:space="preserve">, based on </w:t>
      </w:r>
      <w:r w:rsidR="00FE3E34">
        <w:rPr>
          <w:rFonts w:ascii="Times New Roman" w:hAnsi="Times New Roman"/>
          <w:sz w:val="24"/>
          <w:szCs w:val="24"/>
        </w:rPr>
        <w:t>the</w:t>
      </w:r>
      <w:r w:rsidR="00FE3E34" w:rsidRPr="00BC2AE6">
        <w:rPr>
          <w:rFonts w:ascii="Times New Roman" w:hAnsi="Times New Roman"/>
          <w:sz w:val="24"/>
          <w:szCs w:val="24"/>
        </w:rPr>
        <w:t xml:space="preserve"> </w:t>
      </w:r>
      <w:r w:rsidR="00532D43">
        <w:rPr>
          <w:rFonts w:ascii="Times New Roman" w:hAnsi="Times New Roman"/>
          <w:sz w:val="24"/>
          <w:szCs w:val="24"/>
        </w:rPr>
        <w:t>coefficient of variation</w:t>
      </w:r>
      <w:r w:rsidR="001820B6">
        <w:rPr>
          <w:rFonts w:ascii="Times New Roman" w:hAnsi="Times New Roman"/>
          <w:sz w:val="24"/>
          <w:szCs w:val="24"/>
        </w:rPr>
        <w:t xml:space="preserve"> of employment</w:t>
      </w:r>
      <w:r w:rsidR="00FE3E34">
        <w:rPr>
          <w:rFonts w:ascii="Times New Roman" w:hAnsi="Times New Roman"/>
          <w:sz w:val="24"/>
          <w:szCs w:val="24"/>
        </w:rPr>
        <w:t xml:space="preserve"> and the number of firms in each stratum</w:t>
      </w:r>
      <w:r w:rsidRPr="00BC2AE6">
        <w:rPr>
          <w:rFonts w:ascii="Times New Roman" w:hAnsi="Times New Roman"/>
          <w:sz w:val="24"/>
          <w:szCs w:val="24"/>
        </w:rPr>
        <w:t xml:space="preserve">. Strata with larger </w:t>
      </w:r>
      <w:r w:rsidR="00532D43">
        <w:rPr>
          <w:rFonts w:ascii="Times New Roman" w:hAnsi="Times New Roman"/>
          <w:sz w:val="24"/>
          <w:szCs w:val="24"/>
        </w:rPr>
        <w:t>coefficients of variation</w:t>
      </w:r>
      <w:r w:rsidRPr="00BC2AE6">
        <w:rPr>
          <w:rFonts w:ascii="Times New Roman" w:hAnsi="Times New Roman"/>
          <w:sz w:val="24"/>
          <w:szCs w:val="24"/>
        </w:rPr>
        <w:t xml:space="preserve"> in employment (i.e.</w:t>
      </w:r>
      <w:r w:rsidR="00FE3E34">
        <w:rPr>
          <w:rFonts w:ascii="Times New Roman" w:hAnsi="Times New Roman"/>
          <w:sz w:val="24"/>
          <w:szCs w:val="24"/>
        </w:rPr>
        <w:t>,</w:t>
      </w:r>
      <w:r w:rsidRPr="00BC2AE6">
        <w:rPr>
          <w:rFonts w:ascii="Times New Roman" w:hAnsi="Times New Roman"/>
          <w:sz w:val="24"/>
          <w:szCs w:val="24"/>
        </w:rPr>
        <w:t xml:space="preserve"> the more heterogeneous strata) will therefore be sampled</w:t>
      </w:r>
      <w:r w:rsidR="00FE3E34">
        <w:rPr>
          <w:rFonts w:ascii="Times New Roman" w:hAnsi="Times New Roman"/>
          <w:sz w:val="24"/>
          <w:szCs w:val="24"/>
        </w:rPr>
        <w:t xml:space="preserve"> at</w:t>
      </w:r>
      <w:r w:rsidR="001820B6">
        <w:rPr>
          <w:rFonts w:ascii="Times New Roman" w:hAnsi="Times New Roman"/>
          <w:sz w:val="24"/>
          <w:szCs w:val="24"/>
        </w:rPr>
        <w:t xml:space="preserve"> higher rate</w:t>
      </w:r>
      <w:r w:rsidR="00FE3E34">
        <w:rPr>
          <w:rFonts w:ascii="Times New Roman" w:hAnsi="Times New Roman"/>
          <w:sz w:val="24"/>
          <w:szCs w:val="24"/>
        </w:rPr>
        <w:t>s</w:t>
      </w:r>
      <w:r w:rsidRPr="00BC2AE6">
        <w:rPr>
          <w:rFonts w:ascii="Times New Roman" w:hAnsi="Times New Roman"/>
          <w:sz w:val="24"/>
          <w:szCs w:val="24"/>
        </w:rPr>
        <w:t xml:space="preserve">. </w:t>
      </w:r>
    </w:p>
    <w:p w:rsidR="00487B02" w:rsidRDefault="00487B02" w:rsidP="00487B02">
      <w:pPr>
        <w:pStyle w:val="ListParagraph"/>
        <w:spacing w:after="0" w:line="240" w:lineRule="auto"/>
        <w:rPr>
          <w:rFonts w:ascii="Times New Roman" w:hAnsi="Times New Roman"/>
          <w:sz w:val="24"/>
          <w:szCs w:val="24"/>
        </w:rPr>
      </w:pPr>
    </w:p>
    <w:p w:rsidR="006D2DB7" w:rsidRPr="007B1BDC" w:rsidRDefault="00D53A5A">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Specialty database</w:t>
      </w:r>
      <w:r w:rsidR="006D2DB7" w:rsidRPr="007B1BDC">
        <w:rPr>
          <w:rFonts w:ascii="Times New Roman" w:hAnsi="Times New Roman"/>
          <w:sz w:val="24"/>
          <w:szCs w:val="24"/>
        </w:rPr>
        <w:t>-based strata: Selection rates in these strata were based on disproportionate sampling procedures for rare populations.</w:t>
      </w:r>
      <w:r w:rsidR="003A7123">
        <w:rPr>
          <w:rFonts w:ascii="Times New Roman" w:hAnsi="Times New Roman"/>
          <w:sz w:val="24"/>
          <w:szCs w:val="24"/>
        </w:rPr>
        <w:t xml:space="preserve"> </w:t>
      </w:r>
      <w:r w:rsidR="003A7123" w:rsidRPr="007B1BDC">
        <w:rPr>
          <w:rFonts w:ascii="Times New Roman" w:hAnsi="Times New Roman"/>
          <w:sz w:val="24"/>
          <w:szCs w:val="24"/>
        </w:rPr>
        <w:t xml:space="preserve">Table </w:t>
      </w:r>
      <w:r w:rsidR="003A7123">
        <w:rPr>
          <w:rFonts w:ascii="Times New Roman" w:hAnsi="Times New Roman"/>
          <w:sz w:val="24"/>
          <w:szCs w:val="24"/>
        </w:rPr>
        <w:t>3</w:t>
      </w:r>
      <w:r w:rsidR="003A7123" w:rsidRPr="007B1BDC">
        <w:rPr>
          <w:rFonts w:ascii="Times New Roman" w:hAnsi="Times New Roman"/>
          <w:sz w:val="24"/>
          <w:szCs w:val="24"/>
        </w:rPr>
        <w:t xml:space="preserve"> presents the estimated share of firms </w:t>
      </w:r>
      <w:r w:rsidR="003A7123">
        <w:rPr>
          <w:rFonts w:ascii="Times New Roman" w:hAnsi="Times New Roman"/>
          <w:sz w:val="24"/>
          <w:szCs w:val="24"/>
        </w:rPr>
        <w:t xml:space="preserve">from each database </w:t>
      </w:r>
      <w:r w:rsidR="003A7123" w:rsidRPr="007B1BDC">
        <w:rPr>
          <w:rFonts w:ascii="Times New Roman" w:hAnsi="Times New Roman"/>
          <w:sz w:val="24"/>
          <w:szCs w:val="24"/>
        </w:rPr>
        <w:t xml:space="preserve">that </w:t>
      </w:r>
      <w:r w:rsidR="003A7123">
        <w:rPr>
          <w:rFonts w:ascii="Times New Roman" w:hAnsi="Times New Roman"/>
          <w:sz w:val="24"/>
          <w:szCs w:val="24"/>
        </w:rPr>
        <w:t xml:space="preserve">are of interest (i.e., they are </w:t>
      </w:r>
      <w:r w:rsidR="003A7123" w:rsidRPr="00BC2AE6">
        <w:rPr>
          <w:rFonts w:ascii="Times New Roman" w:hAnsi="Times New Roman"/>
          <w:sz w:val="24"/>
          <w:szCs w:val="24"/>
        </w:rPr>
        <w:t xml:space="preserve">engaged </w:t>
      </w:r>
      <w:r w:rsidR="003A7123">
        <w:rPr>
          <w:rFonts w:ascii="Times New Roman" w:hAnsi="Times New Roman"/>
          <w:sz w:val="24"/>
          <w:szCs w:val="24"/>
        </w:rPr>
        <w:t>in India or are prevented from such engagement by Indian policies). Assuming that 5 percent of large firms in the Orbis database will be of interest, t</w:t>
      </w:r>
      <w:r w:rsidR="003A7123" w:rsidRPr="007B1BDC">
        <w:rPr>
          <w:rFonts w:ascii="Times New Roman" w:hAnsi="Times New Roman"/>
          <w:sz w:val="24"/>
          <w:szCs w:val="24"/>
        </w:rPr>
        <w:t xml:space="preserve">he sampling rates </w:t>
      </w:r>
      <w:r w:rsidR="003A7123">
        <w:rPr>
          <w:rFonts w:ascii="Times New Roman" w:hAnsi="Times New Roman"/>
          <w:sz w:val="24"/>
          <w:szCs w:val="24"/>
        </w:rPr>
        <w:t>are</w:t>
      </w:r>
      <w:r w:rsidR="003A7123" w:rsidRPr="007B1BDC">
        <w:rPr>
          <w:rFonts w:ascii="Times New Roman" w:hAnsi="Times New Roman"/>
          <w:sz w:val="24"/>
          <w:szCs w:val="24"/>
        </w:rPr>
        <w:t xml:space="preserve"> </w:t>
      </w:r>
      <w:r w:rsidR="003A7123">
        <w:rPr>
          <w:rFonts w:ascii="Times New Roman" w:hAnsi="Times New Roman"/>
          <w:sz w:val="24"/>
          <w:szCs w:val="24"/>
        </w:rPr>
        <w:t xml:space="preserve">based on </w:t>
      </w:r>
      <w:r w:rsidR="003A7123" w:rsidRPr="007B1BDC">
        <w:rPr>
          <w:rFonts w:ascii="Times New Roman" w:hAnsi="Times New Roman"/>
          <w:sz w:val="24"/>
          <w:szCs w:val="24"/>
        </w:rPr>
        <w:t>Christman (2009) and Kalton (2009)</w:t>
      </w:r>
      <w:r w:rsidR="006D2DB7" w:rsidRPr="007B1BDC">
        <w:rPr>
          <w:rFonts w:ascii="Times New Roman" w:hAnsi="Times New Roman"/>
          <w:sz w:val="24"/>
          <w:szCs w:val="24"/>
        </w:rPr>
        <w:t>.</w:t>
      </w:r>
      <w:r w:rsidR="006D2DB7" w:rsidRPr="00123A00">
        <w:rPr>
          <w:rStyle w:val="FootnoteReference"/>
          <w:rFonts w:ascii="Times New Roman" w:hAnsi="Times New Roman"/>
          <w:sz w:val="24"/>
          <w:szCs w:val="24"/>
        </w:rPr>
        <w:footnoteReference w:id="10"/>
      </w:r>
      <w:r w:rsidR="00743AC0" w:rsidRPr="007B1BDC">
        <w:rPr>
          <w:rFonts w:ascii="Times New Roman" w:hAnsi="Times New Roman"/>
          <w:sz w:val="24"/>
          <w:szCs w:val="24"/>
        </w:rPr>
        <w:t xml:space="preserve"> </w:t>
      </w:r>
      <w:r w:rsidR="003A7123">
        <w:rPr>
          <w:rFonts w:ascii="Times New Roman" w:hAnsi="Times New Roman"/>
          <w:sz w:val="24"/>
          <w:szCs w:val="24"/>
        </w:rPr>
        <w:t>Although not shown in table 3, the sampling rate varies by industry.  For example, multinational corporations in the agriculture</w:t>
      </w:r>
      <w:r w:rsidR="001D6F76">
        <w:rPr>
          <w:rFonts w:ascii="Times New Roman" w:hAnsi="Times New Roman"/>
          <w:sz w:val="24"/>
          <w:szCs w:val="24"/>
        </w:rPr>
        <w:t>,</w:t>
      </w:r>
      <w:r w:rsidR="003A7123">
        <w:rPr>
          <w:rFonts w:ascii="Times New Roman" w:hAnsi="Times New Roman"/>
          <w:sz w:val="24"/>
          <w:szCs w:val="24"/>
        </w:rPr>
        <w:t xml:space="preserve"> food</w:t>
      </w:r>
      <w:r w:rsidR="001D6F76">
        <w:rPr>
          <w:rFonts w:ascii="Times New Roman" w:hAnsi="Times New Roman"/>
          <w:sz w:val="24"/>
          <w:szCs w:val="24"/>
        </w:rPr>
        <w:t>, and beverage sector</w:t>
      </w:r>
      <w:r w:rsidR="003A7123">
        <w:rPr>
          <w:rFonts w:ascii="Times New Roman" w:hAnsi="Times New Roman"/>
          <w:sz w:val="24"/>
          <w:szCs w:val="24"/>
        </w:rPr>
        <w:t xml:space="preserve"> were sampled at a rate of 3.2*(</w:t>
      </w:r>
      <w:r w:rsidR="005F2CC3">
        <w:rPr>
          <w:rFonts w:ascii="Times New Roman" w:hAnsi="Times New Roman"/>
          <w:sz w:val="24"/>
          <w:szCs w:val="24"/>
        </w:rPr>
        <w:t>49</w:t>
      </w:r>
      <w:r w:rsidR="003A7123">
        <w:rPr>
          <w:rFonts w:ascii="Times New Roman" w:hAnsi="Times New Roman"/>
          <w:sz w:val="24"/>
          <w:szCs w:val="24"/>
        </w:rPr>
        <w:t>/</w:t>
      </w:r>
      <w:r w:rsidR="005F2CC3">
        <w:rPr>
          <w:rFonts w:ascii="Times New Roman" w:hAnsi="Times New Roman"/>
          <w:sz w:val="24"/>
          <w:szCs w:val="24"/>
        </w:rPr>
        <w:t>213</w:t>
      </w:r>
      <w:proofErr w:type="gramStart"/>
      <w:r w:rsidR="003A7123">
        <w:rPr>
          <w:rFonts w:ascii="Times New Roman" w:hAnsi="Times New Roman"/>
          <w:sz w:val="24"/>
          <w:szCs w:val="24"/>
        </w:rPr>
        <w:t>)=</w:t>
      </w:r>
      <w:proofErr w:type="gramEnd"/>
      <w:r w:rsidR="005F2CC3">
        <w:rPr>
          <w:rFonts w:ascii="Times New Roman" w:hAnsi="Times New Roman"/>
          <w:sz w:val="24"/>
          <w:szCs w:val="24"/>
        </w:rPr>
        <w:t>23</w:t>
      </w:r>
      <w:r w:rsidR="003A7123">
        <w:rPr>
          <w:rFonts w:ascii="Times New Roman" w:hAnsi="Times New Roman"/>
          <w:sz w:val="24"/>
          <w:szCs w:val="24"/>
        </w:rPr>
        <w:t xml:space="preserve"> percent. </w:t>
      </w:r>
      <w:r w:rsidR="009B249A">
        <w:rPr>
          <w:rFonts w:ascii="Times New Roman" w:hAnsi="Times New Roman"/>
          <w:sz w:val="24"/>
          <w:szCs w:val="24"/>
        </w:rPr>
        <w:t>W</w:t>
      </w:r>
      <w:r w:rsidR="00743AC0" w:rsidRPr="007B1BDC">
        <w:rPr>
          <w:rFonts w:ascii="Times New Roman" w:hAnsi="Times New Roman"/>
          <w:sz w:val="24"/>
          <w:szCs w:val="24"/>
        </w:rPr>
        <w:t xml:space="preserve">here possible, </w:t>
      </w:r>
      <w:r w:rsidR="009D2A5D">
        <w:rPr>
          <w:rFonts w:ascii="Times New Roman" w:hAnsi="Times New Roman"/>
          <w:sz w:val="24"/>
          <w:szCs w:val="24"/>
        </w:rPr>
        <w:t>the sample includes</w:t>
      </w:r>
      <w:r w:rsidR="001D6F76">
        <w:rPr>
          <w:rFonts w:ascii="Times New Roman" w:hAnsi="Times New Roman"/>
          <w:sz w:val="24"/>
          <w:szCs w:val="24"/>
        </w:rPr>
        <w:t xml:space="preserve"> </w:t>
      </w:r>
      <w:r w:rsidR="00743AC0" w:rsidRPr="007B1BDC">
        <w:rPr>
          <w:rFonts w:ascii="Times New Roman" w:hAnsi="Times New Roman"/>
          <w:sz w:val="24"/>
          <w:szCs w:val="24"/>
        </w:rPr>
        <w:t xml:space="preserve">at least </w:t>
      </w:r>
      <w:r w:rsidR="00D31988">
        <w:rPr>
          <w:rFonts w:ascii="Times New Roman" w:hAnsi="Times New Roman"/>
          <w:sz w:val="24"/>
          <w:szCs w:val="24"/>
        </w:rPr>
        <w:t>4</w:t>
      </w:r>
      <w:r w:rsidR="00D31988" w:rsidRPr="007B1BDC">
        <w:rPr>
          <w:rFonts w:ascii="Times New Roman" w:hAnsi="Times New Roman"/>
          <w:sz w:val="24"/>
          <w:szCs w:val="24"/>
        </w:rPr>
        <w:t xml:space="preserve">0 </w:t>
      </w:r>
      <w:r w:rsidR="00743AC0" w:rsidRPr="007B1BDC">
        <w:rPr>
          <w:rFonts w:ascii="Times New Roman" w:hAnsi="Times New Roman"/>
          <w:sz w:val="24"/>
          <w:szCs w:val="24"/>
        </w:rPr>
        <w:t xml:space="preserve">firms per </w:t>
      </w:r>
      <w:r w:rsidR="00532D43">
        <w:rPr>
          <w:rFonts w:ascii="Times New Roman" w:hAnsi="Times New Roman"/>
          <w:sz w:val="24"/>
          <w:szCs w:val="24"/>
        </w:rPr>
        <w:t>stratum</w:t>
      </w:r>
      <w:r w:rsidR="006D2DB7" w:rsidRPr="007B1BDC">
        <w:rPr>
          <w:rFonts w:ascii="Times New Roman" w:hAnsi="Times New Roman"/>
          <w:sz w:val="24"/>
          <w:szCs w:val="24"/>
        </w:rPr>
        <w:t>.</w:t>
      </w:r>
    </w:p>
    <w:p w:rsidR="00CD4D97" w:rsidRPr="00CD4D97" w:rsidRDefault="00CD4D97" w:rsidP="00CD4D97">
      <w:pPr>
        <w:pStyle w:val="ListParagraph"/>
        <w:rPr>
          <w:rFonts w:ascii="Times New Roman" w:hAnsi="Times New Roman"/>
          <w:sz w:val="24"/>
          <w:szCs w:val="24"/>
        </w:rPr>
      </w:pPr>
    </w:p>
    <w:p w:rsidR="00CD4D97" w:rsidRDefault="00CD4D97" w:rsidP="00487B02">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Census list: </w:t>
      </w:r>
      <w:r w:rsidR="00E3554B">
        <w:rPr>
          <w:rFonts w:ascii="Times New Roman" w:hAnsi="Times New Roman"/>
          <w:sz w:val="24"/>
          <w:szCs w:val="24"/>
        </w:rPr>
        <w:t xml:space="preserve">Firms from the Census list will be chosen using the same methodology as those </w:t>
      </w:r>
      <w:r w:rsidR="00AC08B3">
        <w:rPr>
          <w:rFonts w:ascii="Times New Roman" w:hAnsi="Times New Roman"/>
          <w:sz w:val="24"/>
          <w:szCs w:val="24"/>
        </w:rPr>
        <w:t>from specialty databases</w:t>
      </w:r>
      <w:r w:rsidR="003A7123">
        <w:rPr>
          <w:rFonts w:ascii="Times New Roman" w:hAnsi="Times New Roman"/>
          <w:sz w:val="24"/>
          <w:szCs w:val="24"/>
        </w:rPr>
        <w:t>, assuming that 100 percent of these firms are of interest</w:t>
      </w:r>
      <w:r w:rsidR="00E3554B">
        <w:rPr>
          <w:rFonts w:ascii="Times New Roman" w:hAnsi="Times New Roman"/>
          <w:sz w:val="24"/>
          <w:szCs w:val="24"/>
        </w:rPr>
        <w:t>.</w:t>
      </w:r>
      <w:r w:rsidR="00905A71">
        <w:rPr>
          <w:rFonts w:ascii="Times New Roman" w:hAnsi="Times New Roman"/>
          <w:sz w:val="24"/>
          <w:szCs w:val="24"/>
        </w:rPr>
        <w:t xml:space="preserve"> </w:t>
      </w:r>
      <w:r w:rsidR="00573D98">
        <w:rPr>
          <w:rFonts w:ascii="Times New Roman" w:hAnsi="Times New Roman"/>
          <w:sz w:val="24"/>
          <w:szCs w:val="24"/>
        </w:rPr>
        <w:t xml:space="preserve">In addition, since Census exporter data are expected to </w:t>
      </w:r>
      <w:r w:rsidR="00652A8F">
        <w:rPr>
          <w:rFonts w:ascii="Times New Roman" w:hAnsi="Times New Roman"/>
          <w:sz w:val="24"/>
          <w:szCs w:val="24"/>
        </w:rPr>
        <w:t xml:space="preserve">have greater coverage of </w:t>
      </w:r>
      <w:r w:rsidR="00573D98">
        <w:rPr>
          <w:rFonts w:ascii="Times New Roman" w:hAnsi="Times New Roman"/>
          <w:sz w:val="24"/>
          <w:szCs w:val="24"/>
        </w:rPr>
        <w:t xml:space="preserve">the firms of interest, we may reduce the number of firms sampled from Orbis and replace them with firms sampled from Census. </w:t>
      </w:r>
      <w:r w:rsidR="008B2468">
        <w:rPr>
          <w:rFonts w:ascii="Times New Roman" w:hAnsi="Times New Roman"/>
          <w:sz w:val="24"/>
          <w:szCs w:val="24"/>
        </w:rPr>
        <w:t>This may result in fewer than 9,000 firms being sampled overall but a sample</w:t>
      </w:r>
      <w:r w:rsidR="00652A8F">
        <w:rPr>
          <w:rFonts w:ascii="Times New Roman" w:hAnsi="Times New Roman"/>
          <w:sz w:val="24"/>
          <w:szCs w:val="24"/>
        </w:rPr>
        <w:t xml:space="preserve"> that has better coverage of the firms of interest</w:t>
      </w:r>
      <w:r w:rsidR="00E3554B">
        <w:rPr>
          <w:rFonts w:ascii="Times New Roman" w:hAnsi="Times New Roman"/>
          <w:sz w:val="24"/>
          <w:szCs w:val="24"/>
        </w:rPr>
        <w:t>.</w:t>
      </w:r>
    </w:p>
    <w:p w:rsidR="008B2468" w:rsidRDefault="008B2468">
      <w:pPr>
        <w:autoSpaceDE/>
        <w:autoSpaceDN/>
        <w:adjustRightInd/>
        <w:rPr>
          <w:sz w:val="24"/>
          <w:szCs w:val="24"/>
        </w:rPr>
      </w:pPr>
    </w:p>
    <w:p w:rsidR="008B2468" w:rsidRDefault="000671C8" w:rsidP="007120CF">
      <w:pPr>
        <w:rPr>
          <w:rFonts w:ascii="Arial" w:hAnsi="Arial" w:cs="Arial"/>
        </w:rPr>
      </w:pPr>
      <w:r w:rsidRPr="001820B6">
        <w:rPr>
          <w:rFonts w:ascii="Arial" w:hAnsi="Arial" w:cs="Arial"/>
          <w:b/>
        </w:rPr>
        <w:t xml:space="preserve">TABLE </w:t>
      </w:r>
      <w:proofErr w:type="gramStart"/>
      <w:r w:rsidR="00E53EFD" w:rsidRPr="001820B6">
        <w:rPr>
          <w:rFonts w:ascii="Arial" w:hAnsi="Arial" w:cs="Arial"/>
          <w:b/>
        </w:rPr>
        <w:t>3</w:t>
      </w:r>
      <w:r w:rsidRPr="007120CF">
        <w:rPr>
          <w:rFonts w:ascii="Arial" w:hAnsi="Arial" w:cs="Arial"/>
        </w:rPr>
        <w:t xml:space="preserve">  Disproportionate</w:t>
      </w:r>
      <w:proofErr w:type="gramEnd"/>
      <w:r w:rsidRPr="007120CF">
        <w:rPr>
          <w:rFonts w:ascii="Arial" w:hAnsi="Arial" w:cs="Arial"/>
        </w:rPr>
        <w:t xml:space="preserve"> sampling of firms </w:t>
      </w:r>
      <w:r w:rsidR="008B0EF7">
        <w:rPr>
          <w:rFonts w:ascii="Arial" w:hAnsi="Arial" w:cs="Arial"/>
        </w:rPr>
        <w:t>selected from industry lists and specialty databases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58" w:type="dxa"/>
        </w:tblCellMar>
        <w:tblLook w:val="04A0" w:firstRow="1" w:lastRow="0" w:firstColumn="1" w:lastColumn="0" w:noHBand="0" w:noVBand="1"/>
      </w:tblPr>
      <w:tblGrid>
        <w:gridCol w:w="2988"/>
        <w:gridCol w:w="1296"/>
        <w:gridCol w:w="1055"/>
        <w:gridCol w:w="1170"/>
        <w:gridCol w:w="1170"/>
        <w:gridCol w:w="1170"/>
      </w:tblGrid>
      <w:tr w:rsidR="00AC08B3" w:rsidRPr="008B0EF7" w:rsidTr="00AC08B3">
        <w:tc>
          <w:tcPr>
            <w:tcW w:w="2988" w:type="dxa"/>
            <w:tcBorders>
              <w:top w:val="single" w:sz="4" w:space="0" w:color="auto"/>
              <w:bottom w:val="single" w:sz="4" w:space="0" w:color="auto"/>
            </w:tcBorders>
            <w:vAlign w:val="bottom"/>
          </w:tcPr>
          <w:p w:rsidR="00AC08B3" w:rsidRPr="00AC08B3" w:rsidRDefault="00AC08B3" w:rsidP="00AC08B3">
            <w:pPr>
              <w:pStyle w:val="CommentText"/>
              <w:rPr>
                <w:rFonts w:ascii="Arial" w:hAnsi="Arial" w:cs="Arial"/>
              </w:rPr>
            </w:pPr>
          </w:p>
        </w:tc>
        <w:tc>
          <w:tcPr>
            <w:tcW w:w="1296" w:type="dxa"/>
            <w:tcBorders>
              <w:top w:val="single" w:sz="4" w:space="0" w:color="auto"/>
              <w:bottom w:val="single" w:sz="4" w:space="0" w:color="auto"/>
            </w:tcBorders>
            <w:vAlign w:val="bottom"/>
          </w:tcPr>
          <w:p w:rsidR="00AC08B3" w:rsidRPr="008B0EF7" w:rsidRDefault="00AC08B3" w:rsidP="00AC08B3">
            <w:pPr>
              <w:jc w:val="right"/>
              <w:rPr>
                <w:rFonts w:ascii="Arial" w:hAnsi="Arial" w:cs="Arial"/>
              </w:rPr>
            </w:pPr>
            <w:r w:rsidRPr="008B0EF7">
              <w:rPr>
                <w:rFonts w:ascii="Arial" w:hAnsi="Arial" w:cs="Arial"/>
              </w:rPr>
              <w:t>Multinational corporations</w:t>
            </w:r>
          </w:p>
        </w:tc>
        <w:tc>
          <w:tcPr>
            <w:tcW w:w="1055" w:type="dxa"/>
            <w:tcBorders>
              <w:top w:val="single" w:sz="4" w:space="0" w:color="auto"/>
              <w:bottom w:val="single" w:sz="4" w:space="0" w:color="auto"/>
            </w:tcBorders>
            <w:vAlign w:val="bottom"/>
          </w:tcPr>
          <w:p w:rsidR="00AC08B3" w:rsidRPr="008B0EF7" w:rsidRDefault="00884811" w:rsidP="00AC08B3">
            <w:pPr>
              <w:jc w:val="right"/>
              <w:rPr>
                <w:rFonts w:ascii="Arial" w:hAnsi="Arial" w:cs="Arial"/>
              </w:rPr>
            </w:pPr>
            <w:r>
              <w:rPr>
                <w:rFonts w:ascii="Arial" w:hAnsi="Arial" w:cs="Arial"/>
              </w:rPr>
              <w:t>India-specific firms</w:t>
            </w:r>
          </w:p>
        </w:tc>
        <w:tc>
          <w:tcPr>
            <w:tcW w:w="1170" w:type="dxa"/>
            <w:tcBorders>
              <w:top w:val="single" w:sz="4" w:space="0" w:color="auto"/>
              <w:bottom w:val="single" w:sz="4" w:space="0" w:color="auto"/>
            </w:tcBorders>
            <w:vAlign w:val="bottom"/>
          </w:tcPr>
          <w:p w:rsidR="00AC08B3" w:rsidRPr="008B0EF7" w:rsidRDefault="00AC08B3" w:rsidP="00884811">
            <w:pPr>
              <w:jc w:val="right"/>
              <w:rPr>
                <w:rFonts w:ascii="Arial" w:hAnsi="Arial" w:cs="Arial"/>
              </w:rPr>
            </w:pPr>
            <w:r w:rsidRPr="008B0EF7">
              <w:rPr>
                <w:rFonts w:ascii="Arial" w:hAnsi="Arial" w:cs="Arial"/>
              </w:rPr>
              <w:t>Exporters to  countries</w:t>
            </w:r>
            <w:r w:rsidR="00884811">
              <w:rPr>
                <w:rFonts w:ascii="Arial" w:hAnsi="Arial" w:cs="Arial"/>
              </w:rPr>
              <w:t xml:space="preserve"> other than India</w:t>
            </w:r>
          </w:p>
        </w:tc>
        <w:tc>
          <w:tcPr>
            <w:tcW w:w="1170" w:type="dxa"/>
            <w:tcBorders>
              <w:top w:val="single" w:sz="4" w:space="0" w:color="auto"/>
              <w:bottom w:val="single" w:sz="4" w:space="0" w:color="auto"/>
            </w:tcBorders>
            <w:vAlign w:val="bottom"/>
          </w:tcPr>
          <w:p w:rsidR="00AC08B3" w:rsidRPr="008B0EF7" w:rsidRDefault="00AC08B3" w:rsidP="00AC08B3">
            <w:pPr>
              <w:jc w:val="right"/>
              <w:rPr>
                <w:rFonts w:ascii="Arial" w:hAnsi="Arial" w:cs="Arial"/>
              </w:rPr>
            </w:pPr>
            <w:r w:rsidRPr="008B0EF7">
              <w:rPr>
                <w:rFonts w:ascii="Arial" w:hAnsi="Arial" w:cs="Arial"/>
              </w:rPr>
              <w:t>Industry association lists</w:t>
            </w:r>
          </w:p>
        </w:tc>
        <w:tc>
          <w:tcPr>
            <w:tcW w:w="1170" w:type="dxa"/>
            <w:tcBorders>
              <w:top w:val="single" w:sz="4" w:space="0" w:color="auto"/>
              <w:bottom w:val="single" w:sz="4" w:space="0" w:color="auto"/>
            </w:tcBorders>
            <w:vAlign w:val="bottom"/>
          </w:tcPr>
          <w:p w:rsidR="00AC08B3" w:rsidRPr="008B0EF7" w:rsidRDefault="00AC08B3" w:rsidP="00AC08B3">
            <w:pPr>
              <w:jc w:val="right"/>
              <w:rPr>
                <w:rFonts w:ascii="Arial" w:hAnsi="Arial" w:cs="Arial"/>
              </w:rPr>
            </w:pPr>
            <w:r>
              <w:rPr>
                <w:rFonts w:ascii="Arial" w:hAnsi="Arial" w:cs="Arial"/>
              </w:rPr>
              <w:t>Census data</w:t>
            </w:r>
          </w:p>
        </w:tc>
      </w:tr>
      <w:tr w:rsidR="00AC08B3" w:rsidRPr="008B0EF7" w:rsidTr="00AC08B3">
        <w:tc>
          <w:tcPr>
            <w:tcW w:w="2988" w:type="dxa"/>
            <w:tcBorders>
              <w:top w:val="single" w:sz="4" w:space="0" w:color="auto"/>
            </w:tcBorders>
            <w:vAlign w:val="bottom"/>
          </w:tcPr>
          <w:p w:rsidR="00AC08B3" w:rsidRPr="008B0EF7" w:rsidRDefault="00AC08B3" w:rsidP="00AC08B3">
            <w:pPr>
              <w:rPr>
                <w:rFonts w:ascii="Arial" w:hAnsi="Arial" w:cs="Arial"/>
              </w:rPr>
            </w:pPr>
            <w:r w:rsidRPr="008B0EF7">
              <w:rPr>
                <w:rFonts w:ascii="Arial" w:hAnsi="Arial" w:cs="Arial"/>
              </w:rPr>
              <w:t>Estimated prevalence of firms of interest (percent)</w:t>
            </w:r>
            <w:r w:rsidRPr="008B0EF7">
              <w:rPr>
                <w:rFonts w:ascii="Arial" w:hAnsi="Arial" w:cs="Arial"/>
                <w:vertAlign w:val="superscript"/>
              </w:rPr>
              <w:t>a</w:t>
            </w:r>
          </w:p>
        </w:tc>
        <w:tc>
          <w:tcPr>
            <w:tcW w:w="1296" w:type="dxa"/>
            <w:tcBorders>
              <w:top w:val="single" w:sz="4" w:space="0" w:color="auto"/>
            </w:tcBorders>
            <w:vAlign w:val="bottom"/>
          </w:tcPr>
          <w:p w:rsidR="00AC08B3" w:rsidRPr="008B0EF7" w:rsidRDefault="00AC08B3" w:rsidP="00AC08B3">
            <w:pPr>
              <w:pStyle w:val="CommentText"/>
              <w:jc w:val="right"/>
              <w:rPr>
                <w:rFonts w:ascii="Arial" w:hAnsi="Arial" w:cs="Arial"/>
              </w:rPr>
            </w:pPr>
            <w:r>
              <w:rPr>
                <w:rFonts w:ascii="Arial" w:hAnsi="Arial" w:cs="Arial"/>
              </w:rPr>
              <w:t>50</w:t>
            </w:r>
          </w:p>
        </w:tc>
        <w:tc>
          <w:tcPr>
            <w:tcW w:w="1055" w:type="dxa"/>
            <w:tcBorders>
              <w:top w:val="single" w:sz="4" w:space="0" w:color="auto"/>
            </w:tcBorders>
            <w:vAlign w:val="bottom"/>
          </w:tcPr>
          <w:p w:rsidR="00AC08B3" w:rsidRPr="008B0EF7" w:rsidRDefault="00AC08B3" w:rsidP="00AC08B3">
            <w:pPr>
              <w:jc w:val="right"/>
              <w:rPr>
                <w:rFonts w:ascii="Arial" w:hAnsi="Arial" w:cs="Arial"/>
              </w:rPr>
            </w:pPr>
            <w:r>
              <w:rPr>
                <w:rFonts w:ascii="Arial" w:hAnsi="Arial" w:cs="Arial"/>
              </w:rPr>
              <w:t>90</w:t>
            </w:r>
          </w:p>
        </w:tc>
        <w:tc>
          <w:tcPr>
            <w:tcW w:w="1170" w:type="dxa"/>
            <w:tcBorders>
              <w:top w:val="single" w:sz="4" w:space="0" w:color="auto"/>
            </w:tcBorders>
            <w:vAlign w:val="bottom"/>
          </w:tcPr>
          <w:p w:rsidR="00AC08B3" w:rsidRPr="008B0EF7" w:rsidRDefault="00AC08B3" w:rsidP="00AC08B3">
            <w:pPr>
              <w:jc w:val="right"/>
              <w:rPr>
                <w:rFonts w:ascii="Arial" w:hAnsi="Arial" w:cs="Arial"/>
              </w:rPr>
            </w:pPr>
            <w:r>
              <w:rPr>
                <w:rFonts w:ascii="Arial" w:hAnsi="Arial" w:cs="Arial"/>
              </w:rPr>
              <w:t>20</w:t>
            </w:r>
          </w:p>
        </w:tc>
        <w:tc>
          <w:tcPr>
            <w:tcW w:w="1170" w:type="dxa"/>
            <w:tcBorders>
              <w:top w:val="single" w:sz="4" w:space="0" w:color="auto"/>
            </w:tcBorders>
            <w:vAlign w:val="bottom"/>
          </w:tcPr>
          <w:p w:rsidR="00AC08B3" w:rsidRPr="008B0EF7" w:rsidRDefault="00AC08B3" w:rsidP="00AC08B3">
            <w:pPr>
              <w:jc w:val="right"/>
              <w:rPr>
                <w:rFonts w:ascii="Arial" w:hAnsi="Arial" w:cs="Arial"/>
              </w:rPr>
            </w:pPr>
            <w:r>
              <w:rPr>
                <w:rFonts w:ascii="Arial" w:hAnsi="Arial" w:cs="Arial"/>
              </w:rPr>
              <w:t>50</w:t>
            </w:r>
          </w:p>
        </w:tc>
        <w:tc>
          <w:tcPr>
            <w:tcW w:w="1170" w:type="dxa"/>
            <w:tcBorders>
              <w:top w:val="single" w:sz="4" w:space="0" w:color="auto"/>
            </w:tcBorders>
            <w:vAlign w:val="bottom"/>
          </w:tcPr>
          <w:p w:rsidR="00AC08B3" w:rsidRDefault="00AC08B3" w:rsidP="00AC08B3">
            <w:pPr>
              <w:jc w:val="right"/>
              <w:rPr>
                <w:rFonts w:ascii="Arial" w:hAnsi="Arial" w:cs="Arial"/>
              </w:rPr>
            </w:pPr>
            <w:r>
              <w:rPr>
                <w:rFonts w:ascii="Arial" w:hAnsi="Arial" w:cs="Arial"/>
              </w:rPr>
              <w:t>100</w:t>
            </w:r>
          </w:p>
        </w:tc>
      </w:tr>
      <w:tr w:rsidR="00AC08B3" w:rsidRPr="008B0EF7" w:rsidTr="00AC08B3">
        <w:tc>
          <w:tcPr>
            <w:tcW w:w="2988" w:type="dxa"/>
            <w:vAlign w:val="bottom"/>
          </w:tcPr>
          <w:p w:rsidR="00AC08B3" w:rsidRPr="008B0EF7" w:rsidRDefault="00AC08B3" w:rsidP="00AC08B3">
            <w:pPr>
              <w:rPr>
                <w:rFonts w:ascii="Arial" w:hAnsi="Arial" w:cs="Arial"/>
              </w:rPr>
            </w:pPr>
            <w:r w:rsidRPr="008B0EF7">
              <w:rPr>
                <w:rFonts w:ascii="Arial" w:hAnsi="Arial" w:cs="Arial"/>
              </w:rPr>
              <w:t xml:space="preserve">Sampling rate relative to </w:t>
            </w:r>
            <w:proofErr w:type="spellStart"/>
            <w:r w:rsidRPr="008B0EF7">
              <w:rPr>
                <w:rFonts w:ascii="Arial" w:hAnsi="Arial" w:cs="Arial"/>
              </w:rPr>
              <w:t>Orbis</w:t>
            </w:r>
            <w:proofErr w:type="spellEnd"/>
            <w:r w:rsidRPr="008B0EF7">
              <w:rPr>
                <w:rFonts w:ascii="Arial" w:hAnsi="Arial" w:cs="Arial"/>
              </w:rPr>
              <w:t xml:space="preserve"> large </w:t>
            </w:r>
            <w:proofErr w:type="spellStart"/>
            <w:r w:rsidRPr="008B0EF7">
              <w:rPr>
                <w:rFonts w:ascii="Arial" w:hAnsi="Arial" w:cs="Arial"/>
              </w:rPr>
              <w:t>firms</w:t>
            </w:r>
            <w:r w:rsidRPr="008B0EF7">
              <w:rPr>
                <w:rFonts w:ascii="Arial" w:hAnsi="Arial" w:cs="Arial"/>
                <w:vertAlign w:val="superscript"/>
              </w:rPr>
              <w:t>b</w:t>
            </w:r>
            <w:proofErr w:type="spellEnd"/>
          </w:p>
        </w:tc>
        <w:tc>
          <w:tcPr>
            <w:tcW w:w="1296" w:type="dxa"/>
            <w:vAlign w:val="bottom"/>
          </w:tcPr>
          <w:p w:rsidR="00AC08B3" w:rsidRPr="008B0EF7" w:rsidRDefault="00AC08B3" w:rsidP="00AC08B3">
            <w:pPr>
              <w:pStyle w:val="CommentText"/>
              <w:jc w:val="right"/>
              <w:rPr>
                <w:rFonts w:ascii="Arial" w:hAnsi="Arial" w:cs="Arial"/>
              </w:rPr>
            </w:pPr>
            <w:r>
              <w:rPr>
                <w:rFonts w:ascii="Arial" w:hAnsi="Arial" w:cs="Arial"/>
              </w:rPr>
              <w:t>3.2</w:t>
            </w:r>
          </w:p>
        </w:tc>
        <w:tc>
          <w:tcPr>
            <w:tcW w:w="1055" w:type="dxa"/>
            <w:vAlign w:val="bottom"/>
          </w:tcPr>
          <w:p w:rsidR="00AC08B3" w:rsidRPr="008B0EF7" w:rsidRDefault="00AC08B3" w:rsidP="00AC08B3">
            <w:pPr>
              <w:jc w:val="right"/>
              <w:rPr>
                <w:rFonts w:ascii="Arial" w:hAnsi="Arial" w:cs="Arial"/>
              </w:rPr>
            </w:pPr>
            <w:r>
              <w:rPr>
                <w:rFonts w:ascii="Arial" w:hAnsi="Arial" w:cs="Arial"/>
              </w:rPr>
              <w:t>4.2</w:t>
            </w:r>
          </w:p>
        </w:tc>
        <w:tc>
          <w:tcPr>
            <w:tcW w:w="1170" w:type="dxa"/>
            <w:vAlign w:val="bottom"/>
          </w:tcPr>
          <w:p w:rsidR="00AC08B3" w:rsidRPr="008B0EF7" w:rsidRDefault="00AC08B3" w:rsidP="00AC08B3">
            <w:pPr>
              <w:jc w:val="right"/>
              <w:rPr>
                <w:rFonts w:ascii="Arial" w:hAnsi="Arial" w:cs="Arial"/>
              </w:rPr>
            </w:pPr>
            <w:r>
              <w:rPr>
                <w:rFonts w:ascii="Arial" w:hAnsi="Arial" w:cs="Arial"/>
              </w:rPr>
              <w:t>2.0</w:t>
            </w:r>
          </w:p>
        </w:tc>
        <w:tc>
          <w:tcPr>
            <w:tcW w:w="1170" w:type="dxa"/>
            <w:vAlign w:val="bottom"/>
          </w:tcPr>
          <w:p w:rsidR="00AC08B3" w:rsidRPr="008B0EF7" w:rsidRDefault="00AC08B3" w:rsidP="00AC08B3">
            <w:pPr>
              <w:jc w:val="right"/>
              <w:rPr>
                <w:rFonts w:ascii="Arial" w:hAnsi="Arial" w:cs="Arial"/>
              </w:rPr>
            </w:pPr>
            <w:r>
              <w:rPr>
                <w:rFonts w:ascii="Arial" w:hAnsi="Arial" w:cs="Arial"/>
              </w:rPr>
              <w:t>3.2</w:t>
            </w:r>
          </w:p>
        </w:tc>
        <w:tc>
          <w:tcPr>
            <w:tcW w:w="1170" w:type="dxa"/>
            <w:vAlign w:val="bottom"/>
          </w:tcPr>
          <w:p w:rsidR="00AC08B3" w:rsidRDefault="009B34EF" w:rsidP="00AC08B3">
            <w:pPr>
              <w:jc w:val="right"/>
              <w:rPr>
                <w:rFonts w:ascii="Arial" w:hAnsi="Arial" w:cs="Arial"/>
              </w:rPr>
            </w:pPr>
            <w:r>
              <w:rPr>
                <w:rFonts w:ascii="Arial" w:hAnsi="Arial" w:cs="Arial"/>
              </w:rPr>
              <w:t>4.5</w:t>
            </w:r>
          </w:p>
        </w:tc>
      </w:tr>
      <w:tr w:rsidR="00AC08B3" w:rsidRPr="008B0EF7" w:rsidTr="00AC08B3">
        <w:tc>
          <w:tcPr>
            <w:tcW w:w="2988" w:type="dxa"/>
            <w:tcBorders>
              <w:bottom w:val="single" w:sz="4" w:space="0" w:color="auto"/>
            </w:tcBorders>
            <w:vAlign w:val="bottom"/>
          </w:tcPr>
          <w:p w:rsidR="00AC08B3" w:rsidRPr="008B0EF7" w:rsidRDefault="00AC08B3" w:rsidP="00914453">
            <w:pPr>
              <w:pStyle w:val="CommentText"/>
              <w:rPr>
                <w:rFonts w:ascii="Arial" w:hAnsi="Arial" w:cs="Arial"/>
              </w:rPr>
            </w:pPr>
            <w:r w:rsidRPr="008B0EF7">
              <w:rPr>
                <w:rFonts w:ascii="Arial" w:hAnsi="Arial" w:cs="Arial"/>
              </w:rPr>
              <w:t>Average share of population sampled (percent)</w:t>
            </w:r>
            <w:r w:rsidR="00914453" w:rsidRPr="00F73CE6">
              <w:rPr>
                <w:rFonts w:ascii="Arial" w:hAnsi="Arial" w:cs="Arial"/>
                <w:vertAlign w:val="superscript"/>
              </w:rPr>
              <w:t>c</w:t>
            </w:r>
          </w:p>
        </w:tc>
        <w:tc>
          <w:tcPr>
            <w:tcW w:w="1296" w:type="dxa"/>
            <w:tcBorders>
              <w:bottom w:val="single" w:sz="4" w:space="0" w:color="auto"/>
            </w:tcBorders>
            <w:vAlign w:val="bottom"/>
          </w:tcPr>
          <w:p w:rsidR="00AC08B3" w:rsidRPr="008B0EF7" w:rsidRDefault="00884811" w:rsidP="00AC08B3">
            <w:pPr>
              <w:jc w:val="right"/>
              <w:rPr>
                <w:rFonts w:ascii="Arial" w:hAnsi="Arial" w:cs="Arial"/>
              </w:rPr>
            </w:pPr>
            <w:r>
              <w:rPr>
                <w:rFonts w:ascii="Arial" w:hAnsi="Arial" w:cs="Arial"/>
              </w:rPr>
              <w:t>73.4</w:t>
            </w:r>
          </w:p>
        </w:tc>
        <w:tc>
          <w:tcPr>
            <w:tcW w:w="1055" w:type="dxa"/>
            <w:tcBorders>
              <w:bottom w:val="single" w:sz="4" w:space="0" w:color="auto"/>
            </w:tcBorders>
            <w:vAlign w:val="bottom"/>
          </w:tcPr>
          <w:p w:rsidR="00AC08B3" w:rsidRPr="008B0EF7" w:rsidRDefault="00884811" w:rsidP="00AC08B3">
            <w:pPr>
              <w:jc w:val="right"/>
              <w:rPr>
                <w:rFonts w:ascii="Arial" w:hAnsi="Arial" w:cs="Arial"/>
              </w:rPr>
            </w:pPr>
            <w:r>
              <w:rPr>
                <w:rFonts w:ascii="Arial" w:hAnsi="Arial" w:cs="Arial"/>
              </w:rPr>
              <w:t>89.6</w:t>
            </w:r>
          </w:p>
        </w:tc>
        <w:tc>
          <w:tcPr>
            <w:tcW w:w="1170" w:type="dxa"/>
            <w:tcBorders>
              <w:bottom w:val="single" w:sz="4" w:space="0" w:color="auto"/>
            </w:tcBorders>
            <w:vAlign w:val="bottom"/>
          </w:tcPr>
          <w:p w:rsidR="00AC08B3" w:rsidRPr="008B0EF7" w:rsidRDefault="00884811" w:rsidP="00AC08B3">
            <w:pPr>
              <w:jc w:val="right"/>
              <w:rPr>
                <w:rFonts w:ascii="Arial" w:hAnsi="Arial" w:cs="Arial"/>
              </w:rPr>
            </w:pPr>
            <w:r>
              <w:rPr>
                <w:rFonts w:ascii="Arial" w:hAnsi="Arial" w:cs="Arial"/>
              </w:rPr>
              <w:t>43.8</w:t>
            </w:r>
          </w:p>
        </w:tc>
        <w:tc>
          <w:tcPr>
            <w:tcW w:w="1170" w:type="dxa"/>
            <w:tcBorders>
              <w:bottom w:val="single" w:sz="4" w:space="0" w:color="auto"/>
            </w:tcBorders>
            <w:vAlign w:val="bottom"/>
          </w:tcPr>
          <w:p w:rsidR="00AC08B3" w:rsidRPr="008B0EF7" w:rsidRDefault="00884811" w:rsidP="00AC08B3">
            <w:pPr>
              <w:jc w:val="right"/>
              <w:rPr>
                <w:rFonts w:ascii="Arial" w:hAnsi="Arial" w:cs="Arial"/>
              </w:rPr>
            </w:pPr>
            <w:r>
              <w:rPr>
                <w:rFonts w:ascii="Arial" w:hAnsi="Arial" w:cs="Arial"/>
              </w:rPr>
              <w:t>63.8</w:t>
            </w:r>
          </w:p>
        </w:tc>
        <w:tc>
          <w:tcPr>
            <w:tcW w:w="1170" w:type="dxa"/>
            <w:tcBorders>
              <w:bottom w:val="single" w:sz="4" w:space="0" w:color="auto"/>
            </w:tcBorders>
            <w:vAlign w:val="bottom"/>
          </w:tcPr>
          <w:p w:rsidR="00AC08B3" w:rsidRDefault="009B34EF" w:rsidP="00AC08B3">
            <w:pPr>
              <w:jc w:val="right"/>
              <w:rPr>
                <w:rFonts w:ascii="Arial" w:hAnsi="Arial" w:cs="Arial"/>
              </w:rPr>
            </w:pPr>
            <w:r>
              <w:rPr>
                <w:rFonts w:ascii="Arial" w:hAnsi="Arial" w:cs="Arial"/>
              </w:rPr>
              <w:t>83.8</w:t>
            </w:r>
          </w:p>
        </w:tc>
      </w:tr>
    </w:tbl>
    <w:p w:rsidR="00905A71" w:rsidRPr="003F7977" w:rsidRDefault="008B0EF7" w:rsidP="00A90E28">
      <w:pPr>
        <w:rPr>
          <w:rFonts w:ascii="Arial" w:hAnsi="Arial" w:cs="Arial"/>
          <w:sz w:val="18"/>
          <w:szCs w:val="18"/>
        </w:rPr>
      </w:pPr>
      <w:r w:rsidRPr="003F7977">
        <w:rPr>
          <w:rFonts w:ascii="Arial" w:hAnsi="Arial" w:cs="Arial"/>
          <w:sz w:val="18"/>
          <w:szCs w:val="18"/>
        </w:rPr>
        <w:t xml:space="preserve">   </w:t>
      </w:r>
      <w:proofErr w:type="spellStart"/>
      <w:proofErr w:type="gramStart"/>
      <w:r w:rsidRPr="003F7977">
        <w:rPr>
          <w:rFonts w:ascii="Arial" w:hAnsi="Arial" w:cs="Arial"/>
          <w:sz w:val="18"/>
          <w:szCs w:val="18"/>
          <w:vertAlign w:val="superscript"/>
        </w:rPr>
        <w:t>a</w:t>
      </w:r>
      <w:r w:rsidRPr="003F7977">
        <w:rPr>
          <w:rFonts w:ascii="Arial" w:hAnsi="Arial" w:cs="Arial"/>
          <w:sz w:val="18"/>
          <w:szCs w:val="18"/>
        </w:rPr>
        <w:t>Ba</w:t>
      </w:r>
      <w:r w:rsidR="003F7977" w:rsidRPr="003F7977">
        <w:rPr>
          <w:rFonts w:ascii="Arial" w:hAnsi="Arial" w:cs="Arial"/>
          <w:sz w:val="18"/>
          <w:szCs w:val="18"/>
        </w:rPr>
        <w:t>sed</w:t>
      </w:r>
      <w:proofErr w:type="spellEnd"/>
      <w:proofErr w:type="gramEnd"/>
      <w:r w:rsidR="003F7977" w:rsidRPr="003F7977">
        <w:rPr>
          <w:rFonts w:ascii="Arial" w:hAnsi="Arial" w:cs="Arial"/>
          <w:sz w:val="18"/>
          <w:szCs w:val="18"/>
        </w:rPr>
        <w:t xml:space="preserve"> on staff experience with similar databases and association lists.</w:t>
      </w:r>
    </w:p>
    <w:p w:rsidR="003F7977" w:rsidRDefault="003F7977" w:rsidP="00A90E28">
      <w:pPr>
        <w:rPr>
          <w:rFonts w:ascii="Arial" w:hAnsi="Arial" w:cs="Arial"/>
          <w:sz w:val="18"/>
          <w:szCs w:val="18"/>
        </w:rPr>
      </w:pPr>
      <w:r w:rsidRPr="003F7977">
        <w:rPr>
          <w:rFonts w:ascii="Arial" w:hAnsi="Arial" w:cs="Arial"/>
          <w:sz w:val="18"/>
          <w:szCs w:val="18"/>
        </w:rPr>
        <w:t xml:space="preserve">   </w:t>
      </w:r>
      <w:proofErr w:type="spellStart"/>
      <w:proofErr w:type="gramStart"/>
      <w:r w:rsidRPr="003F7977">
        <w:rPr>
          <w:rFonts w:ascii="Arial" w:hAnsi="Arial" w:cs="Arial"/>
          <w:sz w:val="18"/>
          <w:szCs w:val="18"/>
          <w:vertAlign w:val="superscript"/>
        </w:rPr>
        <w:t>b</w:t>
      </w:r>
      <w:r w:rsidRPr="003F7977">
        <w:rPr>
          <w:rFonts w:ascii="Arial" w:hAnsi="Arial" w:cs="Arial"/>
          <w:sz w:val="18"/>
          <w:szCs w:val="18"/>
        </w:rPr>
        <w:t>For</w:t>
      </w:r>
      <w:proofErr w:type="spellEnd"/>
      <w:proofErr w:type="gramEnd"/>
      <w:r w:rsidRPr="003F7977">
        <w:rPr>
          <w:rFonts w:ascii="Arial" w:hAnsi="Arial" w:cs="Arial"/>
          <w:sz w:val="18"/>
          <w:szCs w:val="18"/>
        </w:rPr>
        <w:t xml:space="preserve"> specific industries, the sampling rates for large Orbis firms are </w:t>
      </w:r>
      <w:r>
        <w:rPr>
          <w:rFonts w:ascii="Arial" w:hAnsi="Arial" w:cs="Arial"/>
          <w:sz w:val="18"/>
          <w:szCs w:val="18"/>
        </w:rPr>
        <w:t xml:space="preserve">as follows: </w:t>
      </w:r>
      <w:r w:rsidR="005F2CC3">
        <w:rPr>
          <w:rFonts w:ascii="Arial" w:hAnsi="Arial" w:cs="Arial"/>
          <w:sz w:val="18"/>
          <w:szCs w:val="18"/>
        </w:rPr>
        <w:t>23</w:t>
      </w:r>
      <w:r>
        <w:rPr>
          <w:rFonts w:ascii="Arial" w:hAnsi="Arial" w:cs="Arial"/>
          <w:sz w:val="18"/>
          <w:szCs w:val="18"/>
        </w:rPr>
        <w:t>% for agriculture</w:t>
      </w:r>
      <w:r w:rsidR="005F2CC3">
        <w:rPr>
          <w:rFonts w:ascii="Arial" w:hAnsi="Arial" w:cs="Arial"/>
          <w:sz w:val="18"/>
          <w:szCs w:val="18"/>
        </w:rPr>
        <w:t>, food, and beverage</w:t>
      </w:r>
      <w:r>
        <w:rPr>
          <w:rFonts w:ascii="Arial" w:hAnsi="Arial" w:cs="Arial"/>
          <w:sz w:val="18"/>
          <w:szCs w:val="18"/>
        </w:rPr>
        <w:t xml:space="preserve">; </w:t>
      </w:r>
      <w:r w:rsidR="005F2CC3">
        <w:rPr>
          <w:rFonts w:ascii="Arial" w:hAnsi="Arial" w:cs="Arial"/>
          <w:sz w:val="18"/>
          <w:szCs w:val="18"/>
        </w:rPr>
        <w:t>20</w:t>
      </w:r>
      <w:r>
        <w:rPr>
          <w:rFonts w:ascii="Arial" w:hAnsi="Arial" w:cs="Arial"/>
          <w:sz w:val="18"/>
          <w:szCs w:val="18"/>
        </w:rPr>
        <w:t xml:space="preserve">% for natural resources; </w:t>
      </w:r>
      <w:r w:rsidR="005F2CC3">
        <w:rPr>
          <w:rFonts w:ascii="Arial" w:hAnsi="Arial" w:cs="Arial"/>
          <w:sz w:val="18"/>
          <w:szCs w:val="18"/>
        </w:rPr>
        <w:t>16</w:t>
      </w:r>
      <w:r>
        <w:rPr>
          <w:rFonts w:ascii="Arial" w:hAnsi="Arial" w:cs="Arial"/>
          <w:sz w:val="18"/>
          <w:szCs w:val="18"/>
        </w:rPr>
        <w:t>% for</w:t>
      </w:r>
      <w:r w:rsidR="005F2CC3">
        <w:rPr>
          <w:rFonts w:ascii="Arial" w:hAnsi="Arial" w:cs="Arial"/>
          <w:sz w:val="18"/>
          <w:szCs w:val="18"/>
        </w:rPr>
        <w:t xml:space="preserve"> chemicals and textiles; 26% for other manufacturing; 21% for distribution services; 16% for finance and insurance services; 31% for information services; and 23% for other services.</w:t>
      </w:r>
    </w:p>
    <w:p w:rsidR="00914453" w:rsidRPr="003F7977" w:rsidRDefault="00914453" w:rsidP="00A90E28">
      <w:pPr>
        <w:rPr>
          <w:rFonts w:ascii="Arial" w:hAnsi="Arial" w:cs="Arial"/>
          <w:sz w:val="18"/>
          <w:szCs w:val="18"/>
        </w:rPr>
      </w:pPr>
      <w:r>
        <w:rPr>
          <w:rFonts w:ascii="Arial" w:hAnsi="Arial" w:cs="Arial"/>
          <w:sz w:val="18"/>
          <w:szCs w:val="18"/>
        </w:rPr>
        <w:t xml:space="preserve">   </w:t>
      </w:r>
      <w:proofErr w:type="spellStart"/>
      <w:proofErr w:type="gramStart"/>
      <w:r w:rsidRPr="00F73CE6">
        <w:rPr>
          <w:rFonts w:ascii="Arial" w:hAnsi="Arial" w:cs="Arial"/>
          <w:vertAlign w:val="superscript"/>
        </w:rPr>
        <w:t>c</w:t>
      </w:r>
      <w:r>
        <w:rPr>
          <w:rFonts w:ascii="Arial" w:hAnsi="Arial" w:cs="Arial"/>
          <w:sz w:val="18"/>
          <w:szCs w:val="18"/>
        </w:rPr>
        <w:t>The</w:t>
      </w:r>
      <w:proofErr w:type="spellEnd"/>
      <w:proofErr w:type="gramEnd"/>
      <w:r>
        <w:rPr>
          <w:rFonts w:ascii="Arial" w:hAnsi="Arial" w:cs="Arial"/>
          <w:sz w:val="18"/>
          <w:szCs w:val="18"/>
        </w:rPr>
        <w:t xml:space="preserve"> sampling rate relative to larg</w:t>
      </w:r>
      <w:r w:rsidR="00574F07">
        <w:rPr>
          <w:rFonts w:ascii="Arial" w:hAnsi="Arial" w:cs="Arial"/>
          <w:sz w:val="18"/>
          <w:szCs w:val="18"/>
        </w:rPr>
        <w:t xml:space="preserve">e firms is on a </w:t>
      </w:r>
      <w:proofErr w:type="spellStart"/>
      <w:r w:rsidR="00574F07">
        <w:rPr>
          <w:rFonts w:ascii="Arial" w:hAnsi="Arial" w:cs="Arial"/>
          <w:sz w:val="18"/>
          <w:szCs w:val="18"/>
        </w:rPr>
        <w:t>sectoral</w:t>
      </w:r>
      <w:proofErr w:type="spellEnd"/>
      <w:r w:rsidR="00574F07">
        <w:rPr>
          <w:rFonts w:ascii="Arial" w:hAnsi="Arial" w:cs="Arial"/>
          <w:sz w:val="18"/>
          <w:szCs w:val="18"/>
        </w:rPr>
        <w:t xml:space="preserve"> basis; as a result</w:t>
      </w:r>
      <w:r w:rsidR="00097558">
        <w:rPr>
          <w:rFonts w:ascii="Arial" w:hAnsi="Arial" w:cs="Arial"/>
          <w:sz w:val="18"/>
          <w:szCs w:val="18"/>
        </w:rPr>
        <w:t>,</w:t>
      </w:r>
      <w:r w:rsidR="00574F07">
        <w:rPr>
          <w:rFonts w:ascii="Arial" w:hAnsi="Arial" w:cs="Arial"/>
          <w:sz w:val="18"/>
          <w:szCs w:val="18"/>
        </w:rPr>
        <w:t xml:space="preserve"> </w:t>
      </w:r>
      <w:r w:rsidR="00097558">
        <w:rPr>
          <w:rFonts w:ascii="Arial" w:hAnsi="Arial" w:cs="Arial"/>
          <w:sz w:val="18"/>
          <w:szCs w:val="18"/>
        </w:rPr>
        <w:t xml:space="preserve">although the sampling rate relative to </w:t>
      </w:r>
      <w:proofErr w:type="spellStart"/>
      <w:r w:rsidR="00097558">
        <w:rPr>
          <w:rFonts w:ascii="Arial" w:hAnsi="Arial" w:cs="Arial"/>
          <w:sz w:val="18"/>
          <w:szCs w:val="18"/>
        </w:rPr>
        <w:t>Orbis</w:t>
      </w:r>
      <w:proofErr w:type="spellEnd"/>
      <w:r w:rsidR="00097558">
        <w:rPr>
          <w:rFonts w:ascii="Arial" w:hAnsi="Arial" w:cs="Arial"/>
          <w:sz w:val="18"/>
          <w:szCs w:val="18"/>
        </w:rPr>
        <w:t xml:space="preserve"> is the same for both the multinational corporations and the industry association lists, the average share of the population to be sampled differs due to compositional effects.</w:t>
      </w:r>
      <w:r w:rsidR="00574F07">
        <w:rPr>
          <w:rFonts w:ascii="Arial" w:hAnsi="Arial" w:cs="Arial"/>
          <w:sz w:val="18"/>
          <w:szCs w:val="18"/>
        </w:rPr>
        <w:t xml:space="preserve"> </w:t>
      </w:r>
    </w:p>
    <w:p w:rsidR="008B0EF7" w:rsidRDefault="008B0EF7" w:rsidP="001D6F76">
      <w:pPr>
        <w:pStyle w:val="CommentText"/>
      </w:pPr>
    </w:p>
    <w:p w:rsidR="008B0EF7" w:rsidRDefault="008B0EF7" w:rsidP="00A90E28"/>
    <w:p w:rsidR="007F76E4" w:rsidRPr="00A90E28" w:rsidRDefault="007F76E4"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t>Estimation Procedure</w:t>
      </w:r>
    </w:p>
    <w:p w:rsidR="00B32841" w:rsidRPr="001A1A72" w:rsidRDefault="008242A8" w:rsidP="00A90E28">
      <w:pPr>
        <w:autoSpaceDE/>
        <w:autoSpaceDN/>
        <w:adjustRightInd/>
        <w:contextualSpacing/>
        <w:rPr>
          <w:sz w:val="24"/>
          <w:szCs w:val="24"/>
        </w:rPr>
      </w:pPr>
      <w:r w:rsidRPr="001A1A72">
        <w:rPr>
          <w:sz w:val="24"/>
          <w:szCs w:val="24"/>
        </w:rPr>
        <w:t>Survey estimates will be based on weighted data.</w:t>
      </w:r>
      <w:r w:rsidR="00A57BD0" w:rsidRPr="001A1A72">
        <w:rPr>
          <w:sz w:val="24"/>
          <w:szCs w:val="24"/>
        </w:rPr>
        <w:t xml:space="preserve"> </w:t>
      </w:r>
      <w:r w:rsidRPr="001A1A72">
        <w:rPr>
          <w:sz w:val="24"/>
          <w:szCs w:val="24"/>
        </w:rPr>
        <w:t xml:space="preserve">The weighting procedure will incorporate a sample selection weight, a nonresponse adjustment factor, and if necessary, a poststratification </w:t>
      </w:r>
      <w:r w:rsidR="00B32841" w:rsidRPr="001A1A72">
        <w:rPr>
          <w:sz w:val="24"/>
          <w:szCs w:val="24"/>
        </w:rPr>
        <w:t xml:space="preserve">weighting </w:t>
      </w:r>
      <w:r w:rsidRPr="001A1A72">
        <w:rPr>
          <w:sz w:val="24"/>
          <w:szCs w:val="24"/>
        </w:rPr>
        <w:t xml:space="preserve">factor. </w:t>
      </w:r>
      <w:r w:rsidR="00F130BD">
        <w:rPr>
          <w:sz w:val="24"/>
          <w:szCs w:val="24"/>
        </w:rPr>
        <w:t xml:space="preserve"> There is an equal probability of selection with each stratum.</w:t>
      </w:r>
    </w:p>
    <w:p w:rsidR="00A90E28" w:rsidRPr="001A1A72" w:rsidRDefault="00A90E28" w:rsidP="00A90E28">
      <w:pPr>
        <w:ind w:left="720"/>
        <w:rPr>
          <w:sz w:val="24"/>
          <w:szCs w:val="24"/>
        </w:rPr>
      </w:pPr>
    </w:p>
    <w:p w:rsidR="00B32841" w:rsidRPr="001A1A72" w:rsidRDefault="00B32841" w:rsidP="00A90E28">
      <w:pPr>
        <w:pStyle w:val="ListParagraph"/>
        <w:numPr>
          <w:ilvl w:val="0"/>
          <w:numId w:val="11"/>
        </w:numPr>
        <w:spacing w:line="240" w:lineRule="auto"/>
        <w:rPr>
          <w:rFonts w:ascii="Times New Roman" w:hAnsi="Times New Roman"/>
          <w:sz w:val="24"/>
          <w:szCs w:val="24"/>
        </w:rPr>
      </w:pPr>
      <w:r w:rsidRPr="001A1A72">
        <w:rPr>
          <w:rFonts w:ascii="Times New Roman" w:hAnsi="Times New Roman"/>
          <w:i/>
          <w:sz w:val="24"/>
          <w:szCs w:val="24"/>
        </w:rPr>
        <w:t>S</w:t>
      </w:r>
      <w:r w:rsidR="00A90E28" w:rsidRPr="001A1A72">
        <w:rPr>
          <w:rFonts w:ascii="Times New Roman" w:hAnsi="Times New Roman"/>
          <w:i/>
          <w:sz w:val="24"/>
          <w:szCs w:val="24"/>
        </w:rPr>
        <w:t>ample s</w:t>
      </w:r>
      <w:r w:rsidRPr="001A1A72">
        <w:rPr>
          <w:rFonts w:ascii="Times New Roman" w:hAnsi="Times New Roman"/>
          <w:i/>
          <w:sz w:val="24"/>
          <w:szCs w:val="24"/>
        </w:rPr>
        <w:t>election weight</w:t>
      </w:r>
      <w:r w:rsidR="00A90E28" w:rsidRPr="001A1A72">
        <w:rPr>
          <w:rFonts w:ascii="Times New Roman" w:hAnsi="Times New Roman"/>
          <w:i/>
          <w:sz w:val="24"/>
          <w:szCs w:val="24"/>
        </w:rPr>
        <w:t>ing</w:t>
      </w:r>
      <w:r w:rsidRPr="001A1A72">
        <w:rPr>
          <w:rFonts w:ascii="Times New Roman" w:hAnsi="Times New Roman"/>
          <w:sz w:val="24"/>
          <w:szCs w:val="24"/>
        </w:rPr>
        <w:t xml:space="preserve">: </w:t>
      </w:r>
      <w:r w:rsidR="008242A8" w:rsidRPr="001A1A72">
        <w:rPr>
          <w:rFonts w:ascii="Times New Roman" w:hAnsi="Times New Roman"/>
          <w:sz w:val="24"/>
          <w:szCs w:val="24"/>
        </w:rPr>
        <w:t xml:space="preserve">Because the sampling rates are based on two criteria, as discussed above, the selection weight factor will account for both the probability of selection within a particular industry and size, and the oversampling of firms from the association list. </w:t>
      </w:r>
    </w:p>
    <w:p w:rsidR="00B32841" w:rsidRPr="001A1A72" w:rsidRDefault="00B32841" w:rsidP="00A90E28">
      <w:pPr>
        <w:pStyle w:val="ListParagraph"/>
        <w:numPr>
          <w:ilvl w:val="0"/>
          <w:numId w:val="11"/>
        </w:numPr>
        <w:spacing w:line="240" w:lineRule="auto"/>
        <w:rPr>
          <w:rFonts w:ascii="Times New Roman" w:hAnsi="Times New Roman"/>
          <w:sz w:val="24"/>
          <w:szCs w:val="24"/>
        </w:rPr>
      </w:pPr>
      <w:r w:rsidRPr="001A1A72">
        <w:rPr>
          <w:rFonts w:ascii="Times New Roman" w:hAnsi="Times New Roman"/>
          <w:i/>
          <w:sz w:val="24"/>
          <w:szCs w:val="24"/>
        </w:rPr>
        <w:t>Nonresponse adjustment</w:t>
      </w:r>
      <w:r w:rsidRPr="001A1A72">
        <w:rPr>
          <w:rFonts w:ascii="Times New Roman" w:hAnsi="Times New Roman"/>
          <w:sz w:val="24"/>
          <w:szCs w:val="24"/>
        </w:rPr>
        <w:t xml:space="preserve">: </w:t>
      </w:r>
      <w:r w:rsidR="008242A8" w:rsidRPr="001A1A72">
        <w:rPr>
          <w:rFonts w:ascii="Times New Roman" w:hAnsi="Times New Roman"/>
          <w:sz w:val="24"/>
          <w:szCs w:val="24"/>
        </w:rPr>
        <w:t>The nonresponse adjustment facto</w:t>
      </w:r>
      <w:r w:rsidR="00A90E28" w:rsidRPr="001A1A72">
        <w:rPr>
          <w:rFonts w:ascii="Times New Roman" w:hAnsi="Times New Roman"/>
          <w:sz w:val="24"/>
          <w:szCs w:val="24"/>
        </w:rPr>
        <w:t>r is designed to attenuate bias</w:t>
      </w:r>
      <w:r w:rsidR="008242A8" w:rsidRPr="001A1A72">
        <w:rPr>
          <w:rFonts w:ascii="Times New Roman" w:hAnsi="Times New Roman"/>
          <w:sz w:val="24"/>
          <w:szCs w:val="24"/>
        </w:rPr>
        <w:t xml:space="preserve"> due t</w:t>
      </w:r>
      <w:r w:rsidR="00A90E28" w:rsidRPr="001A1A72">
        <w:rPr>
          <w:rFonts w:ascii="Times New Roman" w:hAnsi="Times New Roman"/>
          <w:sz w:val="24"/>
          <w:szCs w:val="24"/>
        </w:rPr>
        <w:t xml:space="preserve">o differential response rates. See the section below </w:t>
      </w:r>
      <w:r w:rsidR="0006407C">
        <w:rPr>
          <w:rFonts w:ascii="Times New Roman" w:hAnsi="Times New Roman"/>
          <w:sz w:val="24"/>
          <w:szCs w:val="24"/>
        </w:rPr>
        <w:t xml:space="preserve">on accuracy and reliability of </w:t>
      </w:r>
      <w:r w:rsidR="00443479">
        <w:rPr>
          <w:rFonts w:ascii="Times New Roman" w:hAnsi="Times New Roman"/>
          <w:sz w:val="24"/>
          <w:szCs w:val="24"/>
        </w:rPr>
        <w:t xml:space="preserve">information collected </w:t>
      </w:r>
      <w:r w:rsidR="00A90E28" w:rsidRPr="001A1A72">
        <w:rPr>
          <w:rFonts w:ascii="Times New Roman" w:hAnsi="Times New Roman"/>
          <w:sz w:val="24"/>
          <w:szCs w:val="24"/>
        </w:rPr>
        <w:t>for further discussion.</w:t>
      </w:r>
    </w:p>
    <w:p w:rsidR="008242A8" w:rsidRPr="001A1A72" w:rsidRDefault="00B32841" w:rsidP="00A90E28">
      <w:pPr>
        <w:pStyle w:val="ListParagraph"/>
        <w:numPr>
          <w:ilvl w:val="0"/>
          <w:numId w:val="11"/>
        </w:numPr>
        <w:spacing w:line="240" w:lineRule="auto"/>
        <w:rPr>
          <w:rFonts w:ascii="Times New Roman" w:hAnsi="Times New Roman"/>
          <w:sz w:val="24"/>
          <w:szCs w:val="24"/>
        </w:rPr>
      </w:pPr>
      <w:r w:rsidRPr="001A1A72">
        <w:rPr>
          <w:rFonts w:ascii="Times New Roman" w:hAnsi="Times New Roman"/>
          <w:i/>
          <w:sz w:val="24"/>
          <w:szCs w:val="24"/>
        </w:rPr>
        <w:t>Poststratification weighting</w:t>
      </w:r>
      <w:r w:rsidRPr="001A1A72">
        <w:rPr>
          <w:rFonts w:ascii="Times New Roman" w:hAnsi="Times New Roman"/>
          <w:sz w:val="24"/>
          <w:szCs w:val="24"/>
        </w:rPr>
        <w:t>: If necessary, a</w:t>
      </w:r>
      <w:r w:rsidR="008242A8" w:rsidRPr="001A1A72">
        <w:rPr>
          <w:rFonts w:ascii="Times New Roman" w:hAnsi="Times New Roman"/>
          <w:sz w:val="24"/>
          <w:szCs w:val="24"/>
        </w:rPr>
        <w:t xml:space="preserve"> poststratification weighting factor </w:t>
      </w:r>
      <w:r w:rsidRPr="001A1A72">
        <w:rPr>
          <w:rFonts w:ascii="Times New Roman" w:hAnsi="Times New Roman"/>
          <w:sz w:val="24"/>
          <w:szCs w:val="24"/>
        </w:rPr>
        <w:t>will be used</w:t>
      </w:r>
      <w:r w:rsidR="008242A8" w:rsidRPr="001A1A72">
        <w:rPr>
          <w:rFonts w:ascii="Times New Roman" w:hAnsi="Times New Roman"/>
          <w:sz w:val="24"/>
          <w:szCs w:val="24"/>
        </w:rPr>
        <w:t xml:space="preserve"> to attenuate bia</w:t>
      </w:r>
      <w:r w:rsidRPr="001A1A72">
        <w:rPr>
          <w:rFonts w:ascii="Times New Roman" w:hAnsi="Times New Roman"/>
          <w:sz w:val="24"/>
          <w:szCs w:val="24"/>
        </w:rPr>
        <w:t>s</w:t>
      </w:r>
      <w:r w:rsidR="008242A8" w:rsidRPr="001A1A72">
        <w:rPr>
          <w:rFonts w:ascii="Times New Roman" w:hAnsi="Times New Roman"/>
          <w:sz w:val="24"/>
          <w:szCs w:val="24"/>
        </w:rPr>
        <w:t xml:space="preserve"> due to sample frame </w:t>
      </w:r>
      <w:proofErr w:type="spellStart"/>
      <w:r w:rsidR="008242A8" w:rsidRPr="001A1A72">
        <w:rPr>
          <w:rFonts w:ascii="Times New Roman" w:hAnsi="Times New Roman"/>
          <w:sz w:val="24"/>
          <w:szCs w:val="24"/>
        </w:rPr>
        <w:t>noncoverage</w:t>
      </w:r>
      <w:proofErr w:type="spellEnd"/>
      <w:r w:rsidR="008242A8" w:rsidRPr="001A1A72">
        <w:rPr>
          <w:rFonts w:ascii="Times New Roman" w:hAnsi="Times New Roman"/>
          <w:sz w:val="24"/>
          <w:szCs w:val="24"/>
        </w:rPr>
        <w:t xml:space="preserve"> or omissions.</w:t>
      </w:r>
      <w:r w:rsidR="00CE0919" w:rsidRPr="001A1A72">
        <w:rPr>
          <w:rFonts w:ascii="Times New Roman" w:hAnsi="Times New Roman"/>
          <w:sz w:val="24"/>
          <w:szCs w:val="24"/>
        </w:rPr>
        <w:t xml:space="preserve"> Population information from Census data, such as the number of firms in each NAICS industry and in each size category (organized by number of employees), may be used to conduct poststratification.  </w:t>
      </w:r>
      <w:r w:rsidR="00AD2376" w:rsidRPr="001A1A72">
        <w:rPr>
          <w:rFonts w:ascii="Times New Roman" w:hAnsi="Times New Roman"/>
          <w:sz w:val="24"/>
          <w:szCs w:val="24"/>
        </w:rPr>
        <w:t xml:space="preserve">Although the best effort has been made to obtain a representative sample of </w:t>
      </w:r>
      <w:r w:rsidR="008F774A" w:rsidRPr="001A1A72">
        <w:rPr>
          <w:rFonts w:ascii="Times New Roman" w:hAnsi="Times New Roman"/>
          <w:sz w:val="24"/>
          <w:szCs w:val="24"/>
        </w:rPr>
        <w:t xml:space="preserve">firms engaged in India or other countries, </w:t>
      </w:r>
      <w:r w:rsidR="00647C3D" w:rsidRPr="001A1A72">
        <w:rPr>
          <w:rFonts w:ascii="Times New Roman" w:hAnsi="Times New Roman"/>
          <w:sz w:val="24"/>
          <w:szCs w:val="24"/>
        </w:rPr>
        <w:t xml:space="preserve">the distribution of </w:t>
      </w:r>
      <w:r w:rsidR="008F774A" w:rsidRPr="001A1A72">
        <w:rPr>
          <w:rFonts w:ascii="Times New Roman" w:hAnsi="Times New Roman"/>
          <w:sz w:val="24"/>
          <w:szCs w:val="24"/>
        </w:rPr>
        <w:t xml:space="preserve">such </w:t>
      </w:r>
      <w:r w:rsidR="00647C3D" w:rsidRPr="001A1A72">
        <w:rPr>
          <w:rFonts w:ascii="Times New Roman" w:hAnsi="Times New Roman"/>
          <w:sz w:val="24"/>
          <w:szCs w:val="24"/>
        </w:rPr>
        <w:t xml:space="preserve">firms across industries </w:t>
      </w:r>
      <w:r w:rsidR="008F774A" w:rsidRPr="001A1A72">
        <w:rPr>
          <w:rFonts w:ascii="Times New Roman" w:hAnsi="Times New Roman"/>
          <w:sz w:val="24"/>
          <w:szCs w:val="24"/>
        </w:rPr>
        <w:t xml:space="preserve">is not </w:t>
      </w:r>
      <w:r w:rsidR="00647C3D" w:rsidRPr="001A1A72">
        <w:rPr>
          <w:rFonts w:ascii="Times New Roman" w:hAnsi="Times New Roman"/>
          <w:sz w:val="24"/>
          <w:szCs w:val="24"/>
        </w:rPr>
        <w:t>known with certainty in advance.</w:t>
      </w:r>
    </w:p>
    <w:p w:rsidR="00902A94" w:rsidRDefault="00B557FE" w:rsidP="00A90E28">
      <w:pPr>
        <w:rPr>
          <w:sz w:val="24"/>
          <w:szCs w:val="24"/>
        </w:rPr>
      </w:pPr>
      <w:r>
        <w:rPr>
          <w:sz w:val="24"/>
          <w:szCs w:val="24"/>
        </w:rPr>
        <w:t>The general weighting formula can be represented as</w:t>
      </w:r>
    </w:p>
    <w:p w:rsidR="00B557FE" w:rsidRDefault="00B557FE" w:rsidP="00A90E28">
      <w:pPr>
        <w:rPr>
          <w:sz w:val="24"/>
          <w:szCs w:val="24"/>
        </w:rPr>
      </w:pPr>
    </w:p>
    <w:p w:rsidR="00B557FE" w:rsidRPr="00123A00" w:rsidRDefault="003C18C5" w:rsidP="00123A00">
      <w:pPr>
        <w:tabs>
          <w:tab w:val="right" w:pos="9360"/>
        </w:tabs>
        <w:ind w:left="720"/>
        <w:rPr>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NR</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PS</m:t>
            </m:r>
          </m:e>
          <m:sub>
            <m:r>
              <w:rPr>
                <w:rFonts w:ascii="Cambria Math" w:hAnsi="Cambria Math"/>
                <w:sz w:val="24"/>
                <w:szCs w:val="24"/>
              </w:rPr>
              <m:t>h</m:t>
            </m:r>
          </m:sub>
        </m:sSub>
      </m:oMath>
      <w:r w:rsidR="001D6F76">
        <w:rPr>
          <w:sz w:val="24"/>
          <w:szCs w:val="24"/>
        </w:rPr>
        <w:t xml:space="preserve"> ,</w:t>
      </w:r>
      <w:r w:rsidR="00CE278C">
        <w:rPr>
          <w:sz w:val="24"/>
          <w:szCs w:val="24"/>
        </w:rPr>
        <w:tab/>
        <w:t>(1)</w:t>
      </w:r>
    </w:p>
    <w:p w:rsidR="00B557FE" w:rsidRDefault="00B557FE" w:rsidP="00123A00">
      <w:pPr>
        <w:rPr>
          <w:sz w:val="24"/>
          <w:szCs w:val="24"/>
        </w:rPr>
      </w:pPr>
    </w:p>
    <w:p w:rsidR="00B557FE" w:rsidRPr="00123A00" w:rsidRDefault="00F91E4C" w:rsidP="00123A00">
      <w:pPr>
        <w:rPr>
          <w:sz w:val="24"/>
          <w:szCs w:val="24"/>
        </w:rPr>
      </w:pPr>
      <w:proofErr w:type="gramStart"/>
      <w:r>
        <w:rPr>
          <w:sz w:val="24"/>
          <w:szCs w:val="24"/>
        </w:rPr>
        <w:t>w</w:t>
      </w:r>
      <w:r w:rsidR="00B557FE">
        <w:rPr>
          <w:sz w:val="24"/>
          <w:szCs w:val="24"/>
        </w:rPr>
        <w:t>here</w:t>
      </w:r>
      <w:proofErr w:type="gramEnd"/>
      <w:r w:rsidR="00B557FE">
        <w:rPr>
          <w:sz w:val="24"/>
          <w:szCs w:val="24"/>
        </w:rPr>
        <w:t xml:space="preserv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h</m:t>
            </m:r>
          </m:sub>
        </m:sSub>
      </m:oMath>
      <w:r w:rsidR="00B557FE">
        <w:rPr>
          <w:sz w:val="24"/>
          <w:szCs w:val="24"/>
        </w:rPr>
        <w:t xml:space="preserve"> is the sample selection weight for stratum h, </w:t>
      </w:r>
      <m:oMath>
        <m:sSub>
          <m:sSubPr>
            <m:ctrlPr>
              <w:rPr>
                <w:rFonts w:ascii="Cambria Math" w:hAnsi="Cambria Math"/>
                <w:i/>
                <w:sz w:val="24"/>
                <w:szCs w:val="24"/>
              </w:rPr>
            </m:ctrlPr>
          </m:sSubPr>
          <m:e>
            <m:r>
              <w:rPr>
                <w:rFonts w:ascii="Cambria Math" w:hAnsi="Cambria Math"/>
                <w:sz w:val="24"/>
                <w:szCs w:val="24"/>
              </w:rPr>
              <m:t>NR</m:t>
            </m:r>
          </m:e>
          <m:sub>
            <m:r>
              <w:rPr>
                <w:rFonts w:ascii="Cambria Math" w:hAnsi="Cambria Math"/>
                <w:sz w:val="24"/>
                <w:szCs w:val="24"/>
              </w:rPr>
              <m:t>h</m:t>
            </m:r>
          </m:sub>
        </m:sSub>
      </m:oMath>
      <w:r w:rsidR="00B557FE">
        <w:rPr>
          <w:sz w:val="24"/>
          <w:szCs w:val="24"/>
        </w:rPr>
        <w:t xml:space="preserve"> is the nonresponse adjustment factor for stratum h, and </w:t>
      </w:r>
      <m:oMath>
        <m:sSub>
          <m:sSubPr>
            <m:ctrlPr>
              <w:rPr>
                <w:rFonts w:ascii="Cambria Math" w:hAnsi="Cambria Math"/>
                <w:i/>
                <w:sz w:val="24"/>
                <w:szCs w:val="24"/>
              </w:rPr>
            </m:ctrlPr>
          </m:sSubPr>
          <m:e>
            <m:r>
              <w:rPr>
                <w:rFonts w:ascii="Cambria Math" w:hAnsi="Cambria Math"/>
                <w:sz w:val="24"/>
                <w:szCs w:val="24"/>
              </w:rPr>
              <m:t>PS</m:t>
            </m:r>
          </m:e>
          <m:sub>
            <m:r>
              <w:rPr>
                <w:rFonts w:ascii="Cambria Math" w:hAnsi="Cambria Math"/>
                <w:sz w:val="24"/>
                <w:szCs w:val="24"/>
              </w:rPr>
              <m:t>h</m:t>
            </m:r>
          </m:sub>
        </m:sSub>
      </m:oMath>
      <w:r w:rsidR="00B557FE">
        <w:rPr>
          <w:sz w:val="24"/>
          <w:szCs w:val="24"/>
        </w:rPr>
        <w:t xml:space="preserve"> is the poststratification weight of stratum h.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h</m:t>
            </m:r>
          </m:sub>
        </m:sSub>
      </m:oMath>
      <w:proofErr w:type="gramStart"/>
      <w:r w:rsidR="00B557FE">
        <w:rPr>
          <w:sz w:val="24"/>
          <w:szCs w:val="24"/>
        </w:rPr>
        <w:t>is</w:t>
      </w:r>
      <w:proofErr w:type="gramEnd"/>
      <w:r w:rsidR="00B557FE">
        <w:rPr>
          <w:sz w:val="24"/>
          <w:szCs w:val="24"/>
        </w:rPr>
        <w:t xml:space="preserve"> the weight applied to all observations in stratum h.  This formula may be adjusted to include a firm-specific weighting component if non-response is </w:t>
      </w:r>
      <w:r w:rsidR="00906D4F">
        <w:rPr>
          <w:sz w:val="24"/>
          <w:szCs w:val="24"/>
        </w:rPr>
        <w:t xml:space="preserve">determined to be </w:t>
      </w:r>
      <w:r w:rsidR="00C067A1">
        <w:rPr>
          <w:sz w:val="24"/>
          <w:szCs w:val="24"/>
        </w:rPr>
        <w:t>related to factors aside from the factors used to design the strata.</w:t>
      </w:r>
    </w:p>
    <w:p w:rsidR="00902A94" w:rsidRDefault="00902A94" w:rsidP="00A90E28">
      <w:pPr>
        <w:rPr>
          <w:sz w:val="24"/>
          <w:szCs w:val="24"/>
        </w:rPr>
      </w:pPr>
    </w:p>
    <w:p w:rsidR="007F76E4" w:rsidRPr="00123A00" w:rsidRDefault="00E86938" w:rsidP="00A90E28">
      <w:pPr>
        <w:rPr>
          <w:sz w:val="24"/>
          <w:szCs w:val="24"/>
        </w:rPr>
      </w:pPr>
      <w:r>
        <w:rPr>
          <w:sz w:val="24"/>
          <w:szCs w:val="24"/>
        </w:rPr>
        <w:t xml:space="preserve">Standard estimation procedures will be used as in </w:t>
      </w:r>
      <w:r w:rsidR="00D24E85">
        <w:rPr>
          <w:sz w:val="24"/>
          <w:szCs w:val="24"/>
        </w:rPr>
        <w:t>Heeringa</w:t>
      </w:r>
      <w:r w:rsidR="00BF5DCC">
        <w:rPr>
          <w:sz w:val="24"/>
          <w:szCs w:val="24"/>
        </w:rPr>
        <w:t xml:space="preserve"> et al (2010).</w:t>
      </w:r>
      <w:r w:rsidR="001A1A72">
        <w:rPr>
          <w:rStyle w:val="FootnoteReference"/>
          <w:sz w:val="24"/>
          <w:szCs w:val="24"/>
        </w:rPr>
        <w:footnoteReference w:id="11"/>
      </w:r>
      <w:r>
        <w:rPr>
          <w:sz w:val="24"/>
          <w:szCs w:val="24"/>
        </w:rPr>
        <w:t xml:space="preserve"> </w:t>
      </w:r>
      <w:r w:rsidR="0096111F" w:rsidRPr="00123A00">
        <w:rPr>
          <w:sz w:val="24"/>
          <w:szCs w:val="24"/>
        </w:rPr>
        <w:t>For example, t</w:t>
      </w:r>
      <w:r w:rsidR="007F76E4" w:rsidRPr="00123A00">
        <w:rPr>
          <w:sz w:val="24"/>
          <w:szCs w:val="24"/>
        </w:rPr>
        <w:t xml:space="preserve">he formula used to estimate the population attribute of interest is found in </w:t>
      </w:r>
      <w:r w:rsidR="0051428F" w:rsidRPr="00123A00">
        <w:rPr>
          <w:sz w:val="24"/>
          <w:szCs w:val="24"/>
        </w:rPr>
        <w:t>e</w:t>
      </w:r>
      <w:r w:rsidR="007F76E4" w:rsidRPr="00123A00">
        <w:rPr>
          <w:sz w:val="24"/>
          <w:szCs w:val="24"/>
        </w:rPr>
        <w:t xml:space="preserve">quation </w:t>
      </w:r>
      <w:r w:rsidR="00823089">
        <w:rPr>
          <w:sz w:val="24"/>
          <w:szCs w:val="24"/>
        </w:rPr>
        <w:t>2</w:t>
      </w:r>
      <w:r w:rsidR="007F76E4" w:rsidRPr="00123A00">
        <w:rPr>
          <w:sz w:val="24"/>
          <w:szCs w:val="24"/>
        </w:rPr>
        <w:t xml:space="preserve">. Per standard notation, the total estimate </w:t>
      </w:r>
      <w:r w:rsidR="00823089" w:rsidRPr="00123A00">
        <w:rPr>
          <w:sz w:val="24"/>
          <w:szCs w:val="24"/>
        </w:rPr>
        <w:t xml:space="preserve"> </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oMath>
      <w:r w:rsidR="00823089">
        <w:rPr>
          <w:sz w:val="24"/>
          <w:szCs w:val="24"/>
        </w:rPr>
        <w:t xml:space="preserve"> </w:t>
      </w:r>
      <w:r w:rsidR="007F76E4" w:rsidRPr="00123A00">
        <w:rPr>
          <w:sz w:val="24"/>
          <w:szCs w:val="24"/>
        </w:rPr>
        <w:t xml:space="preserve">from a stratified random sample is </w:t>
      </w:r>
      <w:r w:rsidR="0051428F" w:rsidRPr="00123A00">
        <w:rPr>
          <w:sz w:val="24"/>
          <w:szCs w:val="24"/>
        </w:rPr>
        <w:t>given by</w:t>
      </w:r>
    </w:p>
    <w:p w:rsidR="0051428F" w:rsidRPr="00123A00" w:rsidRDefault="0051428F" w:rsidP="00A90E28">
      <w:pPr>
        <w:ind w:left="720"/>
        <w:rPr>
          <w:sz w:val="24"/>
          <w:szCs w:val="24"/>
        </w:rPr>
      </w:pPr>
    </w:p>
    <w:p w:rsidR="00823089" w:rsidRPr="00823089" w:rsidRDefault="003C18C5" w:rsidP="00823089">
      <w:pPr>
        <w:tabs>
          <w:tab w:val="right" w:pos="9360"/>
        </w:tabs>
        <w:ind w:left="720"/>
        <w:rPr>
          <w:sz w:val="24"/>
          <w:szCs w:val="24"/>
        </w:rPr>
      </w:pP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e>
        </m:nary>
      </m:oMath>
      <w:r w:rsidR="0051428F" w:rsidRPr="00123A00">
        <w:rPr>
          <w:sz w:val="24"/>
          <w:szCs w:val="24"/>
        </w:rPr>
        <w:t>,</w:t>
      </w:r>
      <w:r w:rsidR="00CE278C" w:rsidRPr="00123A00" w:rsidDel="00CE278C">
        <w:rPr>
          <w:sz w:val="24"/>
          <w:szCs w:val="24"/>
        </w:rPr>
        <w:t xml:space="preserve"> </w:t>
      </w:r>
      <w:r w:rsidR="00CE278C" w:rsidRPr="00123A00">
        <w:rPr>
          <w:sz w:val="24"/>
          <w:szCs w:val="24"/>
        </w:rPr>
        <w:tab/>
      </w:r>
      <w:r w:rsidR="0051428F" w:rsidRPr="00123A00">
        <w:rPr>
          <w:sz w:val="24"/>
          <w:szCs w:val="24"/>
        </w:rPr>
        <w:t>(</w:t>
      </w:r>
      <w:r w:rsidR="00CE278C" w:rsidRPr="00123A00">
        <w:rPr>
          <w:sz w:val="24"/>
          <w:szCs w:val="24"/>
        </w:rPr>
        <w:t>2</w:t>
      </w:r>
      <w:r w:rsidR="0051428F" w:rsidRPr="00123A00">
        <w:rPr>
          <w:sz w:val="24"/>
          <w:szCs w:val="24"/>
        </w:rPr>
        <w:t>)</w:t>
      </w:r>
    </w:p>
    <w:p w:rsidR="007F76E4" w:rsidRPr="00123A00" w:rsidRDefault="007F76E4" w:rsidP="00A90E28">
      <w:pPr>
        <w:ind w:left="360"/>
        <w:rPr>
          <w:sz w:val="24"/>
          <w:szCs w:val="24"/>
        </w:rPr>
      </w:pPr>
    </w:p>
    <w:p w:rsidR="007F76E4" w:rsidRPr="00123A00" w:rsidRDefault="007F76E4" w:rsidP="00A90E28">
      <w:pPr>
        <w:rPr>
          <w:sz w:val="24"/>
          <w:szCs w:val="24"/>
        </w:rPr>
      </w:pPr>
      <w:proofErr w:type="gramStart"/>
      <w:r w:rsidRPr="00123A00">
        <w:rPr>
          <w:sz w:val="24"/>
          <w:szCs w:val="24"/>
        </w:rPr>
        <w:t>where</w:t>
      </w:r>
      <w:proofErr w:type="gramEnd"/>
      <w:r w:rsidRPr="00123A00">
        <w:rPr>
          <w:sz w:val="24"/>
          <w:szCs w:val="24"/>
        </w:rPr>
        <w:t xml:space="preserve"> </w:t>
      </w:r>
      <w:r w:rsidRPr="00123A00">
        <w:rPr>
          <w:i/>
          <w:sz w:val="24"/>
          <w:szCs w:val="24"/>
        </w:rPr>
        <w:t xml:space="preserve">h </w:t>
      </w:r>
      <w:r w:rsidR="004F03D1" w:rsidRPr="00123A00">
        <w:rPr>
          <w:sz w:val="24"/>
          <w:szCs w:val="24"/>
        </w:rPr>
        <w:t>denotes</w:t>
      </w:r>
      <w:r w:rsidRPr="00123A00">
        <w:rPr>
          <w:sz w:val="24"/>
          <w:szCs w:val="24"/>
        </w:rPr>
        <w:t xml:space="preserve"> an individual stratum, </w:t>
      </w:r>
      <w:proofErr w:type="spellStart"/>
      <w:r w:rsidRPr="00123A00">
        <w:rPr>
          <w:i/>
          <w:sz w:val="24"/>
          <w:szCs w:val="24"/>
        </w:rPr>
        <w:t>N</w:t>
      </w:r>
      <w:r w:rsidR="004F03D1" w:rsidRPr="00123A00">
        <w:rPr>
          <w:i/>
          <w:sz w:val="24"/>
          <w:szCs w:val="24"/>
          <w:vertAlign w:val="subscript"/>
        </w:rPr>
        <w:t>h</w:t>
      </w:r>
      <w:proofErr w:type="spellEnd"/>
      <w:r w:rsidR="004F03D1" w:rsidRPr="00123A00">
        <w:rPr>
          <w:sz w:val="24"/>
          <w:szCs w:val="24"/>
        </w:rPr>
        <w:t xml:space="preserve"> </w:t>
      </w:r>
      <w:r w:rsidRPr="00123A00">
        <w:rPr>
          <w:sz w:val="24"/>
          <w:szCs w:val="24"/>
        </w:rPr>
        <w:t xml:space="preserve">equals the population of stratum </w:t>
      </w:r>
      <w:r w:rsidRPr="00123A00">
        <w:rPr>
          <w:i/>
          <w:sz w:val="24"/>
          <w:szCs w:val="24"/>
        </w:rPr>
        <w:t>h</w:t>
      </w:r>
      <w:r w:rsidRPr="00123A00">
        <w:rPr>
          <w:sz w:val="24"/>
          <w:szCs w:val="24"/>
        </w:rPr>
        <w:t>,</w:t>
      </w:r>
      <w:r w:rsidR="004F03D1" w:rsidRPr="00123A00">
        <w:rPr>
          <w:sz w:val="24"/>
          <w:szCs w:val="24"/>
        </w:rPr>
        <w:t xml:space="preserve"> and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oMath>
      <w:r w:rsidRPr="00123A00">
        <w:rPr>
          <w:sz w:val="24"/>
          <w:szCs w:val="24"/>
        </w:rPr>
        <w:t xml:space="preserve"> </w:t>
      </w:r>
      <w:r w:rsidRPr="00123A00">
        <w:rPr>
          <w:rFonts w:eastAsia="Times New Roman"/>
          <w:sz w:val="24"/>
          <w:szCs w:val="24"/>
        </w:rPr>
        <w:t xml:space="preserve">equals the average of the attribute of interest of the sampled items in stratum </w:t>
      </w:r>
      <w:r w:rsidRPr="00123A00">
        <w:rPr>
          <w:rFonts w:eastAsia="Times New Roman"/>
          <w:i/>
          <w:sz w:val="24"/>
          <w:szCs w:val="24"/>
        </w:rPr>
        <w:t>h.</w:t>
      </w:r>
      <w:r w:rsidRPr="00123A00">
        <w:rPr>
          <w:rFonts w:eastAsia="Times New Roman"/>
          <w:sz w:val="24"/>
          <w:szCs w:val="24"/>
        </w:rPr>
        <w:t xml:space="preserve"> For example,</w:t>
      </w:r>
      <w:r w:rsidR="004F03D1" w:rsidRPr="00123A00">
        <w:rPr>
          <w:rFonts w:eastAsia="Times New Roman"/>
          <w:sz w:val="24"/>
          <w:szCs w:val="24"/>
        </w:rPr>
        <w:t xml:space="preserve">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y</m:t>
                </m:r>
              </m:e>
            </m:acc>
          </m:e>
          <m:sub>
            <m:r>
              <w:rPr>
                <w:rFonts w:ascii="Cambria Math" w:eastAsia="Times New Roman" w:hAnsi="Cambria Math"/>
                <w:sz w:val="24"/>
                <w:szCs w:val="24"/>
              </w:rPr>
              <m:t>h</m:t>
            </m:r>
          </m:sub>
        </m:sSub>
      </m:oMath>
      <w:r w:rsidR="004F03D1" w:rsidRPr="00123A00">
        <w:rPr>
          <w:rFonts w:eastAsia="Times New Roman"/>
          <w:sz w:val="24"/>
          <w:szCs w:val="24"/>
        </w:rPr>
        <w:t xml:space="preserve"> c</w:t>
      </w:r>
      <w:r w:rsidRPr="00123A00">
        <w:rPr>
          <w:rFonts w:eastAsia="Times New Roman"/>
          <w:sz w:val="24"/>
          <w:szCs w:val="24"/>
        </w:rPr>
        <w:t>ould represent the average amount of revenue within each stratum.</w:t>
      </w:r>
    </w:p>
    <w:p w:rsidR="007F76E4" w:rsidRPr="00123A00" w:rsidRDefault="007F76E4" w:rsidP="00A90E28">
      <w:pPr>
        <w:ind w:left="360"/>
        <w:rPr>
          <w:sz w:val="24"/>
          <w:szCs w:val="24"/>
        </w:rPr>
      </w:pPr>
    </w:p>
    <w:p w:rsidR="007F76E4" w:rsidRPr="00123A00" w:rsidRDefault="006D2DB7" w:rsidP="00A90E28">
      <w:pPr>
        <w:rPr>
          <w:sz w:val="24"/>
          <w:szCs w:val="24"/>
        </w:rPr>
      </w:pPr>
      <w:r w:rsidRPr="00123A00">
        <w:rPr>
          <w:sz w:val="24"/>
          <w:szCs w:val="24"/>
        </w:rPr>
        <w:t>The</w:t>
      </w:r>
      <w:r w:rsidR="007F76E4" w:rsidRPr="00123A00">
        <w:rPr>
          <w:sz w:val="24"/>
          <w:szCs w:val="24"/>
        </w:rPr>
        <w:t xml:space="preserve"> variance estimate </w:t>
      </w:r>
      <w:r w:rsidRPr="00123A00">
        <w:rPr>
          <w:sz w:val="24"/>
          <w:szCs w:val="24"/>
        </w:rPr>
        <w:t xml:space="preserve">for sampling without replacement </w:t>
      </w:r>
      <w:r w:rsidR="007F76E4" w:rsidRPr="00123A00">
        <w:rPr>
          <w:sz w:val="24"/>
          <w:szCs w:val="24"/>
        </w:rPr>
        <w:t xml:space="preserve">is </w:t>
      </w:r>
      <w:r w:rsidR="0051428F" w:rsidRPr="00123A00">
        <w:rPr>
          <w:sz w:val="24"/>
          <w:szCs w:val="24"/>
        </w:rPr>
        <w:t>given by</w:t>
      </w:r>
    </w:p>
    <w:p w:rsidR="0051428F" w:rsidRPr="00123A00" w:rsidRDefault="0051428F" w:rsidP="00A90E28">
      <w:pPr>
        <w:ind w:left="360" w:firstLine="360"/>
        <w:rPr>
          <w:sz w:val="24"/>
          <w:szCs w:val="24"/>
        </w:rPr>
      </w:pPr>
    </w:p>
    <w:p w:rsidR="007F76E4" w:rsidRPr="00123A00" w:rsidRDefault="00E40453" w:rsidP="00123A00">
      <w:pPr>
        <w:tabs>
          <w:tab w:val="right" w:pos="9360"/>
        </w:tabs>
        <w:ind w:left="720"/>
        <w:rPr>
          <w:sz w:val="24"/>
          <w:szCs w:val="24"/>
        </w:rPr>
      </w:pPr>
      <m:oMath>
        <m:r>
          <w:rPr>
            <w:rFonts w:ascii="Cambria Math" w:hAnsi="Cambria Math"/>
            <w:sz w:val="24"/>
            <w:szCs w:val="24"/>
          </w:rPr>
          <m:t xml:space="preserve">var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e>
        </m:nary>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den>
        </m:f>
      </m:oMath>
      <w:r w:rsidR="00A90E28" w:rsidRPr="00123A00">
        <w:rPr>
          <w:sz w:val="24"/>
          <w:szCs w:val="24"/>
        </w:rPr>
        <w:tab/>
      </w:r>
      <w:r w:rsidR="00CE278C" w:rsidRPr="00123A00" w:rsidDel="00CE278C">
        <w:rPr>
          <w:sz w:val="24"/>
          <w:szCs w:val="24"/>
        </w:rPr>
        <w:t xml:space="preserve"> </w:t>
      </w:r>
      <w:r w:rsidR="0051428F" w:rsidRPr="00123A00">
        <w:rPr>
          <w:sz w:val="24"/>
          <w:szCs w:val="24"/>
        </w:rPr>
        <w:t>(</w:t>
      </w:r>
      <w:r w:rsidR="00CE278C" w:rsidRPr="00123A00">
        <w:rPr>
          <w:sz w:val="24"/>
          <w:szCs w:val="24"/>
        </w:rPr>
        <w:t>3</w:t>
      </w:r>
      <w:r w:rsidR="0051428F" w:rsidRPr="00123A00">
        <w:rPr>
          <w:sz w:val="24"/>
          <w:szCs w:val="24"/>
        </w:rPr>
        <w:t>)</w:t>
      </w:r>
    </w:p>
    <w:p w:rsidR="007F76E4" w:rsidRPr="00123A00" w:rsidRDefault="007F76E4" w:rsidP="00A90E28">
      <w:pPr>
        <w:ind w:left="360"/>
        <w:rPr>
          <w:sz w:val="24"/>
          <w:szCs w:val="24"/>
        </w:rPr>
      </w:pPr>
    </w:p>
    <w:p w:rsidR="007F76E4" w:rsidRPr="00123A00" w:rsidRDefault="007F76E4" w:rsidP="00A90E28">
      <w:pPr>
        <w:rPr>
          <w:sz w:val="24"/>
          <w:szCs w:val="24"/>
        </w:rPr>
      </w:pPr>
      <w:proofErr w:type="gramStart"/>
      <w:r w:rsidRPr="00123A00">
        <w:rPr>
          <w:sz w:val="24"/>
          <w:szCs w:val="24"/>
        </w:rPr>
        <w:t>where</w:t>
      </w:r>
      <w:proofErr w:type="gramEnd"/>
      <w:r w:rsidRPr="00123A00">
        <w:rPr>
          <w:sz w:val="24"/>
          <w:szCs w:val="24"/>
        </w:rPr>
        <w:t xml:space="preserve"> </w:t>
      </w:r>
      <w:r w:rsidRPr="00123A00">
        <w:rPr>
          <w:i/>
          <w:sz w:val="24"/>
          <w:szCs w:val="24"/>
        </w:rPr>
        <w:t>s</w:t>
      </w:r>
      <w:r w:rsidR="004F03D1" w:rsidRPr="00123A00">
        <w:rPr>
          <w:sz w:val="24"/>
          <w:szCs w:val="24"/>
          <w:vertAlign w:val="superscript"/>
        </w:rPr>
        <w:t>2</w:t>
      </w:r>
      <w:r w:rsidR="004F03D1" w:rsidRPr="00123A00">
        <w:rPr>
          <w:sz w:val="24"/>
          <w:szCs w:val="24"/>
        </w:rPr>
        <w:t xml:space="preserve"> e</w:t>
      </w:r>
      <w:r w:rsidRPr="00123A00">
        <w:rPr>
          <w:sz w:val="24"/>
          <w:szCs w:val="24"/>
        </w:rPr>
        <w:t xml:space="preserve">quals the standard deviation of the attribute of interest within stratum </w:t>
      </w:r>
      <w:r w:rsidR="0051428F" w:rsidRPr="00123A00">
        <w:rPr>
          <w:i/>
          <w:sz w:val="24"/>
          <w:szCs w:val="24"/>
        </w:rPr>
        <w:t>h</w:t>
      </w:r>
      <w:r w:rsidR="0051428F" w:rsidRPr="00123A00">
        <w:rPr>
          <w:sz w:val="24"/>
          <w:szCs w:val="24"/>
        </w:rPr>
        <w:t xml:space="preserve">, and </w:t>
      </w:r>
      <w:proofErr w:type="spellStart"/>
      <w:r w:rsidR="0051428F" w:rsidRPr="00123A00">
        <w:rPr>
          <w:i/>
          <w:sz w:val="24"/>
          <w:szCs w:val="24"/>
        </w:rPr>
        <w:t>n</w:t>
      </w:r>
      <w:r w:rsidR="0051428F" w:rsidRPr="00123A00">
        <w:rPr>
          <w:i/>
          <w:sz w:val="24"/>
          <w:szCs w:val="24"/>
          <w:vertAlign w:val="subscript"/>
        </w:rPr>
        <w:t>h</w:t>
      </w:r>
      <w:proofErr w:type="spellEnd"/>
      <w:r w:rsidR="000267D5" w:rsidRPr="00123A00">
        <w:rPr>
          <w:sz w:val="24"/>
          <w:szCs w:val="24"/>
        </w:rPr>
        <w:t xml:space="preserve"> is the sample size for stratum </w:t>
      </w:r>
      <w:r w:rsidR="000267D5" w:rsidRPr="00123A00">
        <w:rPr>
          <w:i/>
          <w:sz w:val="24"/>
          <w:szCs w:val="24"/>
        </w:rPr>
        <w:t>h</w:t>
      </w:r>
      <w:r w:rsidR="000267D5" w:rsidRPr="00123A00">
        <w:rPr>
          <w:sz w:val="24"/>
          <w:szCs w:val="24"/>
        </w:rPr>
        <w:t>.</w:t>
      </w:r>
    </w:p>
    <w:p w:rsidR="00905A71" w:rsidRPr="00A90E28" w:rsidRDefault="00905A71" w:rsidP="00A90E28">
      <w:pPr>
        <w:ind w:left="360"/>
        <w:rPr>
          <w:rFonts w:eastAsia="Times New Roman"/>
          <w:sz w:val="24"/>
          <w:szCs w:val="24"/>
        </w:rPr>
      </w:pPr>
    </w:p>
    <w:p w:rsidR="00717630" w:rsidRPr="00154DE5" w:rsidRDefault="00717630" w:rsidP="00154DE5">
      <w:pPr>
        <w:pStyle w:val="ListParagraph"/>
        <w:numPr>
          <w:ilvl w:val="0"/>
          <w:numId w:val="13"/>
        </w:numPr>
        <w:rPr>
          <w:rFonts w:ascii="Times New Roman" w:hAnsi="Times New Roman"/>
          <w:b/>
          <w:sz w:val="24"/>
          <w:szCs w:val="24"/>
        </w:rPr>
      </w:pPr>
      <w:r w:rsidRPr="00154DE5">
        <w:rPr>
          <w:rFonts w:ascii="Times New Roman" w:hAnsi="Times New Roman"/>
          <w:b/>
          <w:sz w:val="24"/>
          <w:szCs w:val="24"/>
        </w:rPr>
        <w:t>Degree of accuracy needed for the purpose described in the justification</w:t>
      </w:r>
    </w:p>
    <w:p w:rsidR="00FB4347" w:rsidRDefault="000C423F" w:rsidP="00154DE5">
      <w:pPr>
        <w:rPr>
          <w:sz w:val="24"/>
          <w:szCs w:val="24"/>
        </w:rPr>
      </w:pPr>
      <w:r>
        <w:rPr>
          <w:sz w:val="24"/>
          <w:szCs w:val="24"/>
        </w:rPr>
        <w:t xml:space="preserve">A sample size of </w:t>
      </w:r>
      <w:r w:rsidR="001D6F76">
        <w:rPr>
          <w:sz w:val="24"/>
          <w:szCs w:val="24"/>
        </w:rPr>
        <w:t>8</w:t>
      </w:r>
      <w:r>
        <w:rPr>
          <w:sz w:val="24"/>
          <w:szCs w:val="24"/>
        </w:rPr>
        <w:t>,000 is needed to achieve estimates of +/-5 percent at 90 percent confidence</w:t>
      </w:r>
      <w:r w:rsidR="001D6F76">
        <w:rPr>
          <w:sz w:val="24"/>
          <w:szCs w:val="24"/>
        </w:rPr>
        <w:t>; as noted above, the extra 1,000 firms from Census</w:t>
      </w:r>
      <w:r w:rsidR="002C40E6">
        <w:rPr>
          <w:sz w:val="24"/>
          <w:szCs w:val="24"/>
        </w:rPr>
        <w:t>, if available,</w:t>
      </w:r>
      <w:r w:rsidR="001D6F76">
        <w:rPr>
          <w:sz w:val="24"/>
          <w:szCs w:val="24"/>
        </w:rPr>
        <w:t xml:space="preserve"> will provide better coverage of firms of interest but are not necessary for improved accuracy</w:t>
      </w:r>
      <w:r>
        <w:rPr>
          <w:sz w:val="24"/>
          <w:szCs w:val="24"/>
        </w:rPr>
        <w:t xml:space="preserve">. </w:t>
      </w:r>
      <w:r w:rsidR="00FB4347">
        <w:rPr>
          <w:sz w:val="24"/>
          <w:szCs w:val="24"/>
        </w:rPr>
        <w:t>I</w:t>
      </w:r>
      <w:r w:rsidR="00717630" w:rsidRPr="00A90E28">
        <w:rPr>
          <w:sz w:val="24"/>
          <w:szCs w:val="24"/>
        </w:rPr>
        <w:t xml:space="preserve">t is expected that </w:t>
      </w:r>
      <w:r w:rsidR="00751A33" w:rsidRPr="00A90E28">
        <w:rPr>
          <w:sz w:val="24"/>
          <w:szCs w:val="24"/>
        </w:rPr>
        <w:t>it will be feasible to produce statistically significant results for the majority of survey items at the aggregate level at a 90 percent confidence level</w:t>
      </w:r>
      <w:r w:rsidR="00F36CC7" w:rsidRPr="00A90E28">
        <w:rPr>
          <w:sz w:val="24"/>
          <w:szCs w:val="24"/>
        </w:rPr>
        <w:t>, both for the binary questions and for questions requiring responses in U.S. dollars</w:t>
      </w:r>
      <w:r w:rsidR="00751A33" w:rsidRPr="00A90E28">
        <w:rPr>
          <w:sz w:val="24"/>
          <w:szCs w:val="24"/>
        </w:rPr>
        <w:t>.</w:t>
      </w:r>
      <w:r w:rsidR="00637E08" w:rsidRPr="00A90E28">
        <w:rPr>
          <w:sz w:val="24"/>
          <w:szCs w:val="24"/>
        </w:rPr>
        <w:t xml:space="preserve"> </w:t>
      </w:r>
      <w:r w:rsidR="00FB4347">
        <w:rPr>
          <w:sz w:val="24"/>
          <w:szCs w:val="24"/>
        </w:rPr>
        <w:t>For example</w:t>
      </w:r>
      <w:r w:rsidR="002C40E6">
        <w:rPr>
          <w:sz w:val="24"/>
          <w:szCs w:val="24"/>
        </w:rPr>
        <w:t>,</w:t>
      </w:r>
      <w:r w:rsidR="00FB4347">
        <w:rPr>
          <w:sz w:val="24"/>
          <w:szCs w:val="24"/>
        </w:rPr>
        <w:t xml:space="preserve"> table </w:t>
      </w:r>
      <w:r w:rsidR="00C44D5C">
        <w:rPr>
          <w:sz w:val="24"/>
          <w:szCs w:val="24"/>
        </w:rPr>
        <w:t>4</w:t>
      </w:r>
      <w:r w:rsidR="00FB4347">
        <w:rPr>
          <w:sz w:val="24"/>
          <w:szCs w:val="24"/>
        </w:rPr>
        <w:t xml:space="preserve"> provides the maximum margin of error for a binary question, given </w:t>
      </w:r>
      <w:r w:rsidR="00294D38">
        <w:rPr>
          <w:sz w:val="24"/>
          <w:szCs w:val="24"/>
        </w:rPr>
        <w:t>alternative</w:t>
      </w:r>
      <w:r w:rsidR="00FB4347">
        <w:rPr>
          <w:sz w:val="24"/>
          <w:szCs w:val="24"/>
        </w:rPr>
        <w:t xml:space="preserve"> response rates.</w:t>
      </w:r>
      <w:r w:rsidR="00FA0A4A">
        <w:rPr>
          <w:sz w:val="24"/>
          <w:szCs w:val="24"/>
        </w:rPr>
        <w:t xml:space="preserve"> Note that this table is based on a sample size of </w:t>
      </w:r>
      <w:r w:rsidR="00D31988">
        <w:rPr>
          <w:sz w:val="24"/>
          <w:szCs w:val="24"/>
        </w:rPr>
        <w:t>8</w:t>
      </w:r>
      <w:r w:rsidR="002D6273">
        <w:rPr>
          <w:sz w:val="24"/>
          <w:szCs w:val="24"/>
        </w:rPr>
        <w:t>,000</w:t>
      </w:r>
      <w:r w:rsidR="004020AA">
        <w:rPr>
          <w:sz w:val="24"/>
          <w:szCs w:val="24"/>
        </w:rPr>
        <w:t xml:space="preserve"> </w:t>
      </w:r>
      <w:r w:rsidR="004020AA" w:rsidRPr="004020AA">
        <w:rPr>
          <w:sz w:val="24"/>
          <w:szCs w:val="24"/>
        </w:rPr>
        <w:t>(</w:t>
      </w:r>
      <w:r w:rsidR="00D31988">
        <w:rPr>
          <w:sz w:val="24"/>
          <w:szCs w:val="24"/>
        </w:rPr>
        <w:t>excluding the potential</w:t>
      </w:r>
      <w:r w:rsidR="004020AA" w:rsidRPr="004020AA">
        <w:rPr>
          <w:sz w:val="24"/>
          <w:szCs w:val="24"/>
        </w:rPr>
        <w:t xml:space="preserve"> 1,000 </w:t>
      </w:r>
      <w:r w:rsidR="00D31988">
        <w:rPr>
          <w:sz w:val="24"/>
          <w:szCs w:val="24"/>
        </w:rPr>
        <w:t xml:space="preserve">additional firms </w:t>
      </w:r>
      <w:r w:rsidR="004020AA" w:rsidRPr="004020AA">
        <w:rPr>
          <w:sz w:val="24"/>
          <w:szCs w:val="24"/>
        </w:rPr>
        <w:t>from the Census export database).</w:t>
      </w:r>
    </w:p>
    <w:p w:rsidR="00487B02" w:rsidRDefault="00487B02" w:rsidP="00154DE5">
      <w:pPr>
        <w:rPr>
          <w:sz w:val="24"/>
          <w:szCs w:val="24"/>
        </w:rPr>
      </w:pPr>
    </w:p>
    <w:p w:rsidR="00472F5F" w:rsidRPr="00123A00" w:rsidRDefault="00472F5F" w:rsidP="00123A00">
      <w:pPr>
        <w:pStyle w:val="ListParagraph"/>
        <w:spacing w:after="0" w:line="240" w:lineRule="auto"/>
        <w:ind w:left="0" w:right="2430"/>
        <w:rPr>
          <w:rFonts w:ascii="Arial" w:hAnsi="Arial" w:cs="Arial"/>
          <w:b/>
          <w:sz w:val="20"/>
          <w:szCs w:val="20"/>
        </w:rPr>
      </w:pPr>
      <w:r w:rsidRPr="00123A00">
        <w:rPr>
          <w:rFonts w:ascii="Arial" w:hAnsi="Arial" w:cs="Arial"/>
          <w:b/>
          <w:sz w:val="20"/>
          <w:szCs w:val="20"/>
        </w:rPr>
        <w:t xml:space="preserve">TABLE </w:t>
      </w:r>
      <w:proofErr w:type="gramStart"/>
      <w:r w:rsidR="00C44D5C">
        <w:rPr>
          <w:rFonts w:ascii="Arial" w:hAnsi="Arial" w:cs="Arial"/>
          <w:b/>
          <w:sz w:val="20"/>
          <w:szCs w:val="20"/>
        </w:rPr>
        <w:t>4</w:t>
      </w:r>
      <w:r w:rsidRPr="00123A00">
        <w:rPr>
          <w:rFonts w:ascii="Arial" w:hAnsi="Arial" w:cs="Arial"/>
          <w:b/>
          <w:sz w:val="20"/>
          <w:szCs w:val="20"/>
        </w:rPr>
        <w:t xml:space="preserve">  </w:t>
      </w:r>
      <w:r w:rsidRPr="00123A00">
        <w:rPr>
          <w:rFonts w:ascii="Arial" w:hAnsi="Arial" w:cs="Arial"/>
          <w:sz w:val="20"/>
          <w:szCs w:val="20"/>
        </w:rPr>
        <w:t>Margin</w:t>
      </w:r>
      <w:proofErr w:type="gramEnd"/>
      <w:r w:rsidRPr="00123A00">
        <w:rPr>
          <w:rFonts w:ascii="Arial" w:hAnsi="Arial" w:cs="Arial"/>
          <w:sz w:val="20"/>
          <w:szCs w:val="20"/>
        </w:rPr>
        <w:t xml:space="preserve"> of error for 90 percent confidence interval</w:t>
      </w:r>
    </w:p>
    <w:tbl>
      <w:tblPr>
        <w:tblW w:w="5850" w:type="dxa"/>
        <w:tblInd w:w="108" w:type="dxa"/>
        <w:tblLook w:val="04A0" w:firstRow="1" w:lastRow="0" w:firstColumn="1" w:lastColumn="0" w:noHBand="0" w:noVBand="1"/>
      </w:tblPr>
      <w:tblGrid>
        <w:gridCol w:w="2790"/>
        <w:gridCol w:w="990"/>
        <w:gridCol w:w="990"/>
        <w:gridCol w:w="1080"/>
      </w:tblGrid>
      <w:tr w:rsidR="00472F5F" w:rsidRPr="00123A00" w:rsidTr="00123A00">
        <w:trPr>
          <w:trHeight w:val="255"/>
        </w:trPr>
        <w:tc>
          <w:tcPr>
            <w:tcW w:w="2790" w:type="dxa"/>
            <w:tcBorders>
              <w:top w:val="single" w:sz="4" w:space="0" w:color="auto"/>
              <w:left w:val="nil"/>
              <w:right w:val="nil"/>
            </w:tcBorders>
            <w:shd w:val="clear" w:color="auto" w:fill="auto"/>
            <w:noWrap/>
            <w:vAlign w:val="bottom"/>
          </w:tcPr>
          <w:p w:rsidR="00472F5F" w:rsidRPr="00123A00" w:rsidRDefault="00472F5F" w:rsidP="004E2764">
            <w:pPr>
              <w:rPr>
                <w:rFonts w:ascii="Arial" w:eastAsia="Times New Roman" w:hAnsi="Arial" w:cs="Arial"/>
                <w:color w:val="000000"/>
              </w:rPr>
            </w:pPr>
          </w:p>
        </w:tc>
        <w:tc>
          <w:tcPr>
            <w:tcW w:w="3060" w:type="dxa"/>
            <w:gridSpan w:val="3"/>
            <w:tcBorders>
              <w:top w:val="single" w:sz="4" w:space="0" w:color="auto"/>
              <w:left w:val="nil"/>
              <w:bottom w:val="single" w:sz="4" w:space="0" w:color="auto"/>
              <w:right w:val="nil"/>
            </w:tcBorders>
            <w:shd w:val="clear" w:color="auto" w:fill="auto"/>
            <w:noWrap/>
            <w:vAlign w:val="bottom"/>
          </w:tcPr>
          <w:p w:rsidR="00472F5F" w:rsidRPr="00123A00" w:rsidRDefault="00472F5F" w:rsidP="004E2764">
            <w:pPr>
              <w:jc w:val="center"/>
              <w:rPr>
                <w:rFonts w:ascii="Arial" w:eastAsia="Times New Roman" w:hAnsi="Arial" w:cs="Arial"/>
                <w:color w:val="000000"/>
              </w:rPr>
            </w:pPr>
            <w:r w:rsidRPr="00123A00">
              <w:rPr>
                <w:rFonts w:ascii="Arial" w:eastAsia="Times New Roman" w:hAnsi="Arial" w:cs="Arial"/>
                <w:color w:val="000000"/>
              </w:rPr>
              <w:t>Response Rates, percent</w:t>
            </w:r>
          </w:p>
        </w:tc>
      </w:tr>
      <w:tr w:rsidR="00472F5F" w:rsidRPr="00123A00" w:rsidTr="00123A00">
        <w:trPr>
          <w:trHeight w:val="255"/>
        </w:trPr>
        <w:tc>
          <w:tcPr>
            <w:tcW w:w="2790" w:type="dxa"/>
            <w:tcBorders>
              <w:left w:val="nil"/>
              <w:bottom w:val="single" w:sz="4" w:space="0" w:color="auto"/>
              <w:right w:val="nil"/>
            </w:tcBorders>
            <w:shd w:val="clear" w:color="auto" w:fill="auto"/>
            <w:noWrap/>
            <w:vAlign w:val="bottom"/>
            <w:hideMark/>
          </w:tcPr>
          <w:p w:rsidR="00472F5F" w:rsidRPr="00123A00" w:rsidRDefault="00472F5F" w:rsidP="004E2764">
            <w:pPr>
              <w:rPr>
                <w:rFonts w:ascii="Arial" w:eastAsia="Times New Roman" w:hAnsi="Arial" w:cs="Arial"/>
                <w:color w:val="000000"/>
              </w:rPr>
            </w:pPr>
            <w:r w:rsidRPr="00123A00">
              <w:rPr>
                <w:rFonts w:ascii="Arial" w:eastAsia="Times New Roman" w:hAnsi="Arial" w:cs="Arial"/>
                <w:color w:val="000000"/>
              </w:rPr>
              <w:t>Measure</w:t>
            </w:r>
          </w:p>
        </w:tc>
        <w:tc>
          <w:tcPr>
            <w:tcW w:w="990" w:type="dxa"/>
            <w:tcBorders>
              <w:top w:val="single" w:sz="4" w:space="0" w:color="auto"/>
              <w:left w:val="nil"/>
              <w:bottom w:val="single" w:sz="4" w:space="0" w:color="auto"/>
              <w:right w:val="nil"/>
            </w:tcBorders>
            <w:shd w:val="clear" w:color="auto" w:fill="auto"/>
            <w:noWrap/>
            <w:vAlign w:val="bottom"/>
            <w:hideMark/>
          </w:tcPr>
          <w:p w:rsidR="00472F5F" w:rsidRPr="00123A00" w:rsidRDefault="00472F5F" w:rsidP="004E2764">
            <w:pPr>
              <w:jc w:val="right"/>
              <w:rPr>
                <w:rFonts w:ascii="Arial" w:eastAsia="Times New Roman" w:hAnsi="Arial" w:cs="Arial"/>
                <w:color w:val="000000"/>
              </w:rPr>
            </w:pPr>
            <w:r w:rsidRPr="00123A00">
              <w:rPr>
                <w:rFonts w:ascii="Arial" w:eastAsia="Times New Roman" w:hAnsi="Arial" w:cs="Arial"/>
                <w:color w:val="000000"/>
              </w:rPr>
              <w:t>40</w:t>
            </w:r>
          </w:p>
        </w:tc>
        <w:tc>
          <w:tcPr>
            <w:tcW w:w="990" w:type="dxa"/>
            <w:tcBorders>
              <w:top w:val="single" w:sz="4" w:space="0" w:color="auto"/>
              <w:left w:val="nil"/>
              <w:bottom w:val="single" w:sz="4" w:space="0" w:color="auto"/>
              <w:right w:val="nil"/>
            </w:tcBorders>
            <w:shd w:val="clear" w:color="auto" w:fill="auto"/>
            <w:noWrap/>
            <w:vAlign w:val="bottom"/>
            <w:hideMark/>
          </w:tcPr>
          <w:p w:rsidR="00472F5F" w:rsidRPr="00123A00" w:rsidRDefault="00472F5F" w:rsidP="004E2764">
            <w:pPr>
              <w:jc w:val="right"/>
              <w:rPr>
                <w:rFonts w:ascii="Arial" w:eastAsia="Times New Roman" w:hAnsi="Arial" w:cs="Arial"/>
                <w:color w:val="000000"/>
              </w:rPr>
            </w:pPr>
            <w:r w:rsidRPr="00123A00">
              <w:rPr>
                <w:rFonts w:ascii="Arial" w:eastAsia="Times New Roman" w:hAnsi="Arial" w:cs="Arial"/>
                <w:color w:val="000000"/>
              </w:rPr>
              <w:t>50</w:t>
            </w:r>
          </w:p>
        </w:tc>
        <w:tc>
          <w:tcPr>
            <w:tcW w:w="1080" w:type="dxa"/>
            <w:tcBorders>
              <w:top w:val="single" w:sz="4" w:space="0" w:color="auto"/>
              <w:left w:val="nil"/>
              <w:bottom w:val="single" w:sz="4" w:space="0" w:color="auto"/>
              <w:right w:val="nil"/>
            </w:tcBorders>
            <w:shd w:val="clear" w:color="auto" w:fill="auto"/>
            <w:noWrap/>
            <w:vAlign w:val="bottom"/>
            <w:hideMark/>
          </w:tcPr>
          <w:p w:rsidR="00472F5F" w:rsidRPr="00123A00" w:rsidRDefault="00472F5F" w:rsidP="004E2764">
            <w:pPr>
              <w:jc w:val="right"/>
              <w:rPr>
                <w:rFonts w:ascii="Arial" w:eastAsia="Times New Roman" w:hAnsi="Arial" w:cs="Arial"/>
                <w:color w:val="000000"/>
              </w:rPr>
            </w:pPr>
            <w:r w:rsidRPr="00123A00">
              <w:rPr>
                <w:rFonts w:ascii="Arial" w:eastAsia="Times New Roman" w:hAnsi="Arial" w:cs="Arial"/>
                <w:color w:val="000000"/>
              </w:rPr>
              <w:t>60</w:t>
            </w:r>
          </w:p>
        </w:tc>
      </w:tr>
      <w:tr w:rsidR="00472F5F" w:rsidRPr="00123A00" w:rsidTr="00123A00">
        <w:trPr>
          <w:trHeight w:val="255"/>
        </w:trPr>
        <w:tc>
          <w:tcPr>
            <w:tcW w:w="2790" w:type="dxa"/>
            <w:tcBorders>
              <w:top w:val="single" w:sz="4" w:space="0" w:color="auto"/>
              <w:left w:val="nil"/>
              <w:right w:val="nil"/>
            </w:tcBorders>
            <w:shd w:val="clear" w:color="auto" w:fill="auto"/>
            <w:noWrap/>
            <w:vAlign w:val="bottom"/>
            <w:hideMark/>
          </w:tcPr>
          <w:p w:rsidR="00472F5F" w:rsidRPr="00123A00" w:rsidRDefault="00472F5F" w:rsidP="004E2764">
            <w:pPr>
              <w:rPr>
                <w:rFonts w:ascii="Arial" w:eastAsia="Times New Roman" w:hAnsi="Arial" w:cs="Arial"/>
                <w:color w:val="000000"/>
              </w:rPr>
            </w:pPr>
            <w:r w:rsidRPr="00123A00">
              <w:rPr>
                <w:rFonts w:ascii="Arial" w:eastAsia="Times New Roman" w:hAnsi="Arial" w:cs="Arial"/>
                <w:color w:val="000000"/>
              </w:rPr>
              <w:t>Number of respondents</w:t>
            </w:r>
          </w:p>
        </w:tc>
        <w:tc>
          <w:tcPr>
            <w:tcW w:w="990" w:type="dxa"/>
            <w:tcBorders>
              <w:top w:val="single" w:sz="4" w:space="0" w:color="auto"/>
              <w:left w:val="nil"/>
              <w:right w:val="nil"/>
            </w:tcBorders>
            <w:shd w:val="clear" w:color="auto" w:fill="auto"/>
            <w:noWrap/>
            <w:vAlign w:val="bottom"/>
            <w:hideMark/>
          </w:tcPr>
          <w:p w:rsidR="00472F5F" w:rsidRPr="00123A00" w:rsidRDefault="00472F5F" w:rsidP="00EE3E01">
            <w:pPr>
              <w:jc w:val="right"/>
              <w:rPr>
                <w:rFonts w:ascii="Arial" w:eastAsia="Times New Roman" w:hAnsi="Arial" w:cs="Arial"/>
                <w:color w:val="000000"/>
              </w:rPr>
            </w:pPr>
            <w:r w:rsidRPr="00123A00">
              <w:rPr>
                <w:rFonts w:ascii="Arial" w:eastAsia="Times New Roman" w:hAnsi="Arial" w:cs="Arial"/>
                <w:color w:val="000000"/>
              </w:rPr>
              <w:t>3,</w:t>
            </w:r>
            <w:r w:rsidR="00EE3E01">
              <w:rPr>
                <w:rFonts w:ascii="Arial" w:eastAsia="Times New Roman" w:hAnsi="Arial" w:cs="Arial"/>
                <w:color w:val="000000"/>
              </w:rPr>
              <w:t>2</w:t>
            </w:r>
            <w:r w:rsidRPr="00123A00">
              <w:rPr>
                <w:rFonts w:ascii="Arial" w:eastAsia="Times New Roman" w:hAnsi="Arial" w:cs="Arial"/>
                <w:color w:val="000000"/>
              </w:rPr>
              <w:t>00</w:t>
            </w:r>
          </w:p>
        </w:tc>
        <w:tc>
          <w:tcPr>
            <w:tcW w:w="990" w:type="dxa"/>
            <w:tcBorders>
              <w:top w:val="single" w:sz="4" w:space="0" w:color="auto"/>
              <w:left w:val="nil"/>
              <w:right w:val="nil"/>
            </w:tcBorders>
            <w:shd w:val="clear" w:color="auto" w:fill="auto"/>
            <w:noWrap/>
            <w:vAlign w:val="bottom"/>
            <w:hideMark/>
          </w:tcPr>
          <w:p w:rsidR="00472F5F" w:rsidRPr="00123A00" w:rsidRDefault="00472F5F" w:rsidP="00EE3E01">
            <w:pPr>
              <w:jc w:val="right"/>
              <w:rPr>
                <w:rFonts w:ascii="Arial" w:eastAsia="Times New Roman" w:hAnsi="Arial" w:cs="Arial"/>
                <w:color w:val="000000"/>
              </w:rPr>
            </w:pPr>
            <w:r w:rsidRPr="00123A00">
              <w:rPr>
                <w:rFonts w:ascii="Arial" w:eastAsia="Times New Roman" w:hAnsi="Arial" w:cs="Arial"/>
                <w:color w:val="000000"/>
              </w:rPr>
              <w:t>4,</w:t>
            </w:r>
            <w:r w:rsidR="00EE3E01">
              <w:rPr>
                <w:rFonts w:ascii="Arial" w:eastAsia="Times New Roman" w:hAnsi="Arial" w:cs="Arial"/>
                <w:color w:val="000000"/>
              </w:rPr>
              <w:t>0</w:t>
            </w:r>
            <w:r w:rsidRPr="00123A00">
              <w:rPr>
                <w:rFonts w:ascii="Arial" w:eastAsia="Times New Roman" w:hAnsi="Arial" w:cs="Arial"/>
                <w:color w:val="000000"/>
              </w:rPr>
              <w:t>00</w:t>
            </w:r>
          </w:p>
        </w:tc>
        <w:tc>
          <w:tcPr>
            <w:tcW w:w="1080" w:type="dxa"/>
            <w:tcBorders>
              <w:top w:val="single" w:sz="4" w:space="0" w:color="auto"/>
              <w:left w:val="nil"/>
              <w:right w:val="nil"/>
            </w:tcBorders>
            <w:shd w:val="clear" w:color="auto" w:fill="auto"/>
            <w:noWrap/>
            <w:vAlign w:val="bottom"/>
            <w:hideMark/>
          </w:tcPr>
          <w:p w:rsidR="00472F5F" w:rsidRPr="00123A00" w:rsidRDefault="00EE3E01" w:rsidP="00EE3E01">
            <w:pPr>
              <w:jc w:val="right"/>
              <w:rPr>
                <w:rFonts w:ascii="Arial" w:eastAsia="Times New Roman" w:hAnsi="Arial" w:cs="Arial"/>
                <w:color w:val="000000"/>
              </w:rPr>
            </w:pPr>
            <w:r>
              <w:rPr>
                <w:rFonts w:ascii="Arial" w:eastAsia="Times New Roman" w:hAnsi="Arial" w:cs="Arial"/>
                <w:color w:val="000000"/>
              </w:rPr>
              <w:t>4</w:t>
            </w:r>
            <w:r w:rsidR="00472F5F" w:rsidRPr="00123A00">
              <w:rPr>
                <w:rFonts w:ascii="Arial" w:eastAsia="Times New Roman" w:hAnsi="Arial" w:cs="Arial"/>
                <w:color w:val="000000"/>
              </w:rPr>
              <w:t>,</w:t>
            </w:r>
            <w:r>
              <w:rPr>
                <w:rFonts w:ascii="Arial" w:eastAsia="Times New Roman" w:hAnsi="Arial" w:cs="Arial"/>
                <w:color w:val="000000"/>
              </w:rPr>
              <w:t>8</w:t>
            </w:r>
            <w:r w:rsidR="00472F5F" w:rsidRPr="00123A00">
              <w:rPr>
                <w:rFonts w:ascii="Arial" w:eastAsia="Times New Roman" w:hAnsi="Arial" w:cs="Arial"/>
                <w:color w:val="000000"/>
              </w:rPr>
              <w:t>00</w:t>
            </w:r>
          </w:p>
        </w:tc>
      </w:tr>
      <w:tr w:rsidR="00472F5F" w:rsidRPr="00123A00" w:rsidTr="00123A00">
        <w:trPr>
          <w:trHeight w:val="255"/>
        </w:trPr>
        <w:tc>
          <w:tcPr>
            <w:tcW w:w="2790" w:type="dxa"/>
            <w:tcBorders>
              <w:top w:val="nil"/>
              <w:left w:val="nil"/>
              <w:right w:val="nil"/>
            </w:tcBorders>
            <w:shd w:val="clear" w:color="auto" w:fill="auto"/>
            <w:noWrap/>
            <w:vAlign w:val="bottom"/>
          </w:tcPr>
          <w:p w:rsidR="00472F5F" w:rsidRPr="00123A00" w:rsidRDefault="00472F5F" w:rsidP="004E2764">
            <w:pPr>
              <w:rPr>
                <w:rFonts w:ascii="Arial" w:eastAsia="Times New Roman" w:hAnsi="Arial" w:cs="Arial"/>
                <w:color w:val="000000"/>
              </w:rPr>
            </w:pPr>
            <w:r>
              <w:rPr>
                <w:rFonts w:ascii="Arial" w:eastAsia="Times New Roman" w:hAnsi="Arial" w:cs="Arial"/>
                <w:color w:val="000000"/>
              </w:rPr>
              <w:t>Standard error, percent</w:t>
            </w:r>
          </w:p>
        </w:tc>
        <w:tc>
          <w:tcPr>
            <w:tcW w:w="990" w:type="dxa"/>
            <w:tcBorders>
              <w:top w:val="nil"/>
              <w:left w:val="nil"/>
              <w:right w:val="nil"/>
            </w:tcBorders>
            <w:shd w:val="clear" w:color="auto" w:fill="auto"/>
            <w:noWrap/>
            <w:vAlign w:val="bottom"/>
          </w:tcPr>
          <w:p w:rsidR="00472F5F" w:rsidRPr="00123A00" w:rsidRDefault="00472F5F" w:rsidP="00EE3E01">
            <w:pPr>
              <w:jc w:val="right"/>
              <w:rPr>
                <w:rFonts w:ascii="Arial" w:eastAsia="Times New Roman" w:hAnsi="Arial" w:cs="Arial"/>
                <w:color w:val="000000"/>
              </w:rPr>
            </w:pPr>
            <w:r>
              <w:rPr>
                <w:rFonts w:ascii="Arial" w:eastAsia="Times New Roman" w:hAnsi="Arial" w:cs="Arial"/>
                <w:color w:val="000000"/>
              </w:rPr>
              <w:t>0.8</w:t>
            </w:r>
            <w:r w:rsidR="00EE3E01">
              <w:rPr>
                <w:rFonts w:ascii="Arial" w:eastAsia="Times New Roman" w:hAnsi="Arial" w:cs="Arial"/>
                <w:color w:val="000000"/>
              </w:rPr>
              <w:t>8</w:t>
            </w:r>
          </w:p>
        </w:tc>
        <w:tc>
          <w:tcPr>
            <w:tcW w:w="990" w:type="dxa"/>
            <w:tcBorders>
              <w:top w:val="nil"/>
              <w:left w:val="nil"/>
              <w:right w:val="nil"/>
            </w:tcBorders>
            <w:shd w:val="clear" w:color="auto" w:fill="auto"/>
            <w:noWrap/>
            <w:vAlign w:val="bottom"/>
          </w:tcPr>
          <w:p w:rsidR="00472F5F" w:rsidRPr="00123A00" w:rsidRDefault="00472F5F" w:rsidP="00EE3E01">
            <w:pPr>
              <w:jc w:val="right"/>
              <w:rPr>
                <w:rFonts w:ascii="Arial" w:eastAsia="Times New Roman" w:hAnsi="Arial" w:cs="Arial"/>
                <w:color w:val="000000"/>
              </w:rPr>
            </w:pPr>
            <w:r>
              <w:rPr>
                <w:rFonts w:ascii="Arial" w:eastAsia="Times New Roman" w:hAnsi="Arial" w:cs="Arial"/>
                <w:color w:val="000000"/>
              </w:rPr>
              <w:t>0.7</w:t>
            </w:r>
            <w:r w:rsidR="00EE3E01">
              <w:rPr>
                <w:rFonts w:ascii="Arial" w:eastAsia="Times New Roman" w:hAnsi="Arial" w:cs="Arial"/>
                <w:color w:val="000000"/>
              </w:rPr>
              <w:t>9</w:t>
            </w:r>
          </w:p>
        </w:tc>
        <w:tc>
          <w:tcPr>
            <w:tcW w:w="1080" w:type="dxa"/>
            <w:tcBorders>
              <w:top w:val="nil"/>
              <w:left w:val="nil"/>
              <w:right w:val="nil"/>
            </w:tcBorders>
            <w:shd w:val="clear" w:color="auto" w:fill="auto"/>
            <w:noWrap/>
            <w:vAlign w:val="bottom"/>
          </w:tcPr>
          <w:p w:rsidR="00472F5F" w:rsidRPr="00123A00" w:rsidRDefault="00472F5F" w:rsidP="00EE3E01">
            <w:pPr>
              <w:jc w:val="right"/>
              <w:rPr>
                <w:rFonts w:ascii="Arial" w:eastAsia="Times New Roman" w:hAnsi="Arial" w:cs="Arial"/>
                <w:color w:val="000000"/>
              </w:rPr>
            </w:pPr>
            <w:r>
              <w:rPr>
                <w:rFonts w:ascii="Arial" w:eastAsia="Times New Roman" w:hAnsi="Arial" w:cs="Arial"/>
                <w:color w:val="000000"/>
              </w:rPr>
              <w:t>0.</w:t>
            </w:r>
            <w:r w:rsidR="00EE3E01">
              <w:rPr>
                <w:rFonts w:ascii="Arial" w:eastAsia="Times New Roman" w:hAnsi="Arial" w:cs="Arial"/>
                <w:color w:val="000000"/>
              </w:rPr>
              <w:t>72</w:t>
            </w:r>
          </w:p>
        </w:tc>
      </w:tr>
      <w:tr w:rsidR="00472F5F" w:rsidRPr="00123A00" w:rsidTr="00123A00">
        <w:trPr>
          <w:trHeight w:val="255"/>
        </w:trPr>
        <w:tc>
          <w:tcPr>
            <w:tcW w:w="2790" w:type="dxa"/>
            <w:tcBorders>
              <w:left w:val="nil"/>
              <w:bottom w:val="single" w:sz="4" w:space="0" w:color="auto"/>
              <w:right w:val="nil"/>
            </w:tcBorders>
            <w:shd w:val="clear" w:color="auto" w:fill="auto"/>
            <w:noWrap/>
            <w:vAlign w:val="bottom"/>
            <w:hideMark/>
          </w:tcPr>
          <w:p w:rsidR="00472F5F" w:rsidRPr="00123A00" w:rsidRDefault="00472F5F" w:rsidP="004E2764">
            <w:pPr>
              <w:rPr>
                <w:rFonts w:ascii="Arial" w:eastAsia="Times New Roman" w:hAnsi="Arial" w:cs="Arial"/>
                <w:color w:val="000000"/>
              </w:rPr>
            </w:pPr>
            <w:r w:rsidRPr="00123A00">
              <w:rPr>
                <w:rFonts w:ascii="Arial" w:eastAsia="Times New Roman" w:hAnsi="Arial" w:cs="Arial"/>
                <w:color w:val="000000"/>
              </w:rPr>
              <w:t>Margin of error, percent</w:t>
            </w:r>
          </w:p>
        </w:tc>
        <w:tc>
          <w:tcPr>
            <w:tcW w:w="990" w:type="dxa"/>
            <w:tcBorders>
              <w:left w:val="nil"/>
              <w:bottom w:val="single" w:sz="4" w:space="0" w:color="auto"/>
              <w:right w:val="nil"/>
            </w:tcBorders>
            <w:shd w:val="clear" w:color="auto" w:fill="auto"/>
            <w:noWrap/>
            <w:vAlign w:val="bottom"/>
            <w:hideMark/>
          </w:tcPr>
          <w:p w:rsidR="00472F5F" w:rsidRPr="00123A00" w:rsidRDefault="00472F5F" w:rsidP="00EE3E01">
            <w:pPr>
              <w:jc w:val="right"/>
              <w:rPr>
                <w:rFonts w:ascii="Arial" w:eastAsia="Times New Roman" w:hAnsi="Arial" w:cs="Arial"/>
                <w:color w:val="000000"/>
              </w:rPr>
            </w:pPr>
            <w:r w:rsidRPr="00123A00">
              <w:rPr>
                <w:rFonts w:ascii="Arial" w:eastAsia="Times New Roman" w:hAnsi="Arial" w:cs="Arial"/>
                <w:color w:val="000000"/>
              </w:rPr>
              <w:t>1.</w:t>
            </w:r>
            <w:r w:rsidR="00EE3E01">
              <w:rPr>
                <w:rFonts w:ascii="Arial" w:eastAsia="Times New Roman" w:hAnsi="Arial" w:cs="Arial"/>
                <w:color w:val="000000"/>
              </w:rPr>
              <w:t>45</w:t>
            </w:r>
          </w:p>
        </w:tc>
        <w:tc>
          <w:tcPr>
            <w:tcW w:w="990" w:type="dxa"/>
            <w:tcBorders>
              <w:left w:val="nil"/>
              <w:bottom w:val="single" w:sz="4" w:space="0" w:color="auto"/>
              <w:right w:val="nil"/>
            </w:tcBorders>
            <w:shd w:val="clear" w:color="auto" w:fill="auto"/>
            <w:noWrap/>
            <w:vAlign w:val="bottom"/>
            <w:hideMark/>
          </w:tcPr>
          <w:p w:rsidR="00472F5F" w:rsidRPr="00123A00" w:rsidRDefault="00472F5F" w:rsidP="00EE3E01">
            <w:pPr>
              <w:jc w:val="right"/>
              <w:rPr>
                <w:rFonts w:ascii="Arial" w:eastAsia="Times New Roman" w:hAnsi="Arial" w:cs="Arial"/>
                <w:color w:val="000000"/>
              </w:rPr>
            </w:pPr>
            <w:r w:rsidRPr="00123A00">
              <w:rPr>
                <w:rFonts w:ascii="Arial" w:eastAsia="Times New Roman" w:hAnsi="Arial" w:cs="Arial"/>
                <w:color w:val="000000"/>
              </w:rPr>
              <w:t>1.</w:t>
            </w:r>
            <w:r w:rsidR="00EE3E01">
              <w:rPr>
                <w:rFonts w:ascii="Arial" w:eastAsia="Times New Roman" w:hAnsi="Arial" w:cs="Arial"/>
                <w:color w:val="000000"/>
              </w:rPr>
              <w:t>30</w:t>
            </w:r>
          </w:p>
        </w:tc>
        <w:tc>
          <w:tcPr>
            <w:tcW w:w="1080" w:type="dxa"/>
            <w:tcBorders>
              <w:left w:val="nil"/>
              <w:bottom w:val="single" w:sz="4" w:space="0" w:color="auto"/>
              <w:right w:val="nil"/>
            </w:tcBorders>
            <w:shd w:val="clear" w:color="auto" w:fill="auto"/>
            <w:noWrap/>
            <w:vAlign w:val="bottom"/>
            <w:hideMark/>
          </w:tcPr>
          <w:p w:rsidR="00472F5F" w:rsidRPr="00123A00" w:rsidRDefault="00472F5F" w:rsidP="00EE3E01">
            <w:pPr>
              <w:jc w:val="right"/>
              <w:rPr>
                <w:rFonts w:ascii="Arial" w:eastAsia="Times New Roman" w:hAnsi="Arial" w:cs="Arial"/>
                <w:color w:val="000000"/>
              </w:rPr>
            </w:pPr>
            <w:r w:rsidRPr="00123A00">
              <w:rPr>
                <w:rFonts w:ascii="Arial" w:eastAsia="Times New Roman" w:hAnsi="Arial" w:cs="Arial"/>
                <w:color w:val="000000"/>
              </w:rPr>
              <w:t>1.1</w:t>
            </w:r>
            <w:r w:rsidR="00EE3E01">
              <w:rPr>
                <w:rFonts w:ascii="Arial" w:eastAsia="Times New Roman" w:hAnsi="Arial" w:cs="Arial"/>
                <w:color w:val="000000"/>
              </w:rPr>
              <w:t>9</w:t>
            </w:r>
          </w:p>
        </w:tc>
      </w:tr>
    </w:tbl>
    <w:p w:rsidR="005E1C84" w:rsidRPr="00F03B3C" w:rsidRDefault="00F34729" w:rsidP="001D6F76">
      <w:pPr>
        <w:ind w:right="3510"/>
        <w:rPr>
          <w:rFonts w:ascii="Arial" w:hAnsi="Arial" w:cs="Arial"/>
        </w:rPr>
      </w:pPr>
      <w:r>
        <w:rPr>
          <w:rFonts w:ascii="Arial" w:hAnsi="Arial" w:cs="Arial"/>
          <w:vertAlign w:val="superscript"/>
        </w:rPr>
        <w:t xml:space="preserve"> </w:t>
      </w:r>
      <w:r w:rsidRPr="00F34729">
        <w:rPr>
          <w:rFonts w:ascii="Arial" w:hAnsi="Arial" w:cs="Arial"/>
        </w:rPr>
        <w:t xml:space="preserve">Note: </w:t>
      </w:r>
      <w:r w:rsidR="00443479">
        <w:rPr>
          <w:rFonts w:ascii="Arial" w:hAnsi="Arial" w:cs="Arial"/>
        </w:rPr>
        <w:t>This assumes</w:t>
      </w:r>
      <w:r w:rsidR="00443479" w:rsidRPr="00123A00">
        <w:rPr>
          <w:rFonts w:ascii="Arial" w:hAnsi="Arial" w:cs="Arial"/>
        </w:rPr>
        <w:t xml:space="preserve"> </w:t>
      </w:r>
      <w:r w:rsidR="00F06397">
        <w:rPr>
          <w:rFonts w:ascii="Arial" w:hAnsi="Arial" w:cs="Arial"/>
        </w:rPr>
        <w:t xml:space="preserve">a </w:t>
      </w:r>
      <w:r w:rsidR="005E1C84" w:rsidRPr="00123A00">
        <w:rPr>
          <w:rFonts w:ascii="Arial" w:hAnsi="Arial" w:cs="Arial"/>
        </w:rPr>
        <w:t>maximum margin of error of 50% for a binary question.</w:t>
      </w:r>
    </w:p>
    <w:p w:rsidR="00E438AA" w:rsidRPr="00A90E28" w:rsidRDefault="001F6E13" w:rsidP="00154DE5">
      <w:pPr>
        <w:rPr>
          <w:sz w:val="24"/>
          <w:szCs w:val="24"/>
        </w:rPr>
      </w:pPr>
      <w:r w:rsidRPr="00A90E28">
        <w:rPr>
          <w:sz w:val="24"/>
          <w:szCs w:val="24"/>
        </w:rPr>
        <w:t xml:space="preserve">Given the sample size per stratum, it is assumed that it will </w:t>
      </w:r>
      <w:r w:rsidR="00FB4347">
        <w:rPr>
          <w:sz w:val="24"/>
          <w:szCs w:val="24"/>
        </w:rPr>
        <w:t xml:space="preserve">also </w:t>
      </w:r>
      <w:r w:rsidRPr="00A90E28">
        <w:rPr>
          <w:sz w:val="24"/>
          <w:szCs w:val="24"/>
        </w:rPr>
        <w:t xml:space="preserve">be </w:t>
      </w:r>
      <w:r w:rsidR="00717630" w:rsidRPr="00A90E28">
        <w:rPr>
          <w:sz w:val="24"/>
          <w:szCs w:val="24"/>
        </w:rPr>
        <w:t xml:space="preserve">feasible to distinguish the responses </w:t>
      </w:r>
      <w:r w:rsidR="000539CF" w:rsidRPr="00A90E28">
        <w:rPr>
          <w:sz w:val="24"/>
          <w:szCs w:val="24"/>
        </w:rPr>
        <w:t xml:space="preserve">across the largest </w:t>
      </w:r>
      <w:r w:rsidR="00611BE6" w:rsidRPr="00A90E28">
        <w:rPr>
          <w:sz w:val="24"/>
          <w:szCs w:val="24"/>
        </w:rPr>
        <w:t xml:space="preserve">industries </w:t>
      </w:r>
      <w:r w:rsidR="00717630" w:rsidRPr="00A90E28">
        <w:rPr>
          <w:sz w:val="24"/>
          <w:szCs w:val="24"/>
        </w:rPr>
        <w:t xml:space="preserve">within a </w:t>
      </w:r>
      <w:r w:rsidR="000539CF" w:rsidRPr="00A90E28">
        <w:rPr>
          <w:sz w:val="24"/>
          <w:szCs w:val="24"/>
        </w:rPr>
        <w:t xml:space="preserve">90 </w:t>
      </w:r>
      <w:r w:rsidR="00717630" w:rsidRPr="00A90E28">
        <w:rPr>
          <w:sz w:val="24"/>
          <w:szCs w:val="24"/>
        </w:rPr>
        <w:t>percent confidence</w:t>
      </w:r>
      <w:r w:rsidRPr="00A90E28">
        <w:rPr>
          <w:sz w:val="24"/>
          <w:szCs w:val="24"/>
        </w:rPr>
        <w:t xml:space="preserve"> interval</w:t>
      </w:r>
      <w:r w:rsidR="00717630" w:rsidRPr="00A90E28">
        <w:rPr>
          <w:sz w:val="24"/>
          <w:szCs w:val="24"/>
        </w:rPr>
        <w:t>. This degree of confidence is sufficient for the purposes described in the justification.</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line="240" w:lineRule="auto"/>
        <w:rPr>
          <w:rFonts w:ascii="Times New Roman" w:hAnsi="Times New Roman"/>
          <w:b/>
          <w:sz w:val="24"/>
          <w:szCs w:val="24"/>
        </w:rPr>
      </w:pPr>
      <w:r w:rsidRPr="00A90E28">
        <w:rPr>
          <w:rFonts w:ascii="Times New Roman" w:hAnsi="Times New Roman"/>
          <w:b/>
          <w:sz w:val="24"/>
          <w:szCs w:val="24"/>
        </w:rPr>
        <w:t xml:space="preserve">Unusual problems requiring specialized sampling procedures </w:t>
      </w:r>
    </w:p>
    <w:p w:rsidR="00717630" w:rsidRPr="00A90E28" w:rsidRDefault="00717630" w:rsidP="00154DE5">
      <w:pPr>
        <w:rPr>
          <w:sz w:val="24"/>
          <w:szCs w:val="24"/>
        </w:rPr>
      </w:pPr>
      <w:r w:rsidRPr="00A90E28">
        <w:rPr>
          <w:sz w:val="24"/>
          <w:szCs w:val="24"/>
        </w:rPr>
        <w:t xml:space="preserve">No unusual problems were encountered. </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after="0" w:line="240" w:lineRule="auto"/>
        <w:rPr>
          <w:rFonts w:ascii="Times New Roman" w:hAnsi="Times New Roman"/>
          <w:b/>
          <w:sz w:val="24"/>
          <w:szCs w:val="24"/>
        </w:rPr>
      </w:pPr>
      <w:r w:rsidRPr="00A90E28">
        <w:rPr>
          <w:rFonts w:ascii="Times New Roman" w:hAnsi="Times New Roman"/>
          <w:b/>
          <w:sz w:val="24"/>
          <w:szCs w:val="24"/>
        </w:rPr>
        <w:t>Any use of periodic (less frequent than annual) data collection cycles to reduce burden.</w:t>
      </w:r>
    </w:p>
    <w:p w:rsidR="00154DE5" w:rsidRDefault="00154DE5" w:rsidP="00154DE5">
      <w:pPr>
        <w:rPr>
          <w:sz w:val="24"/>
          <w:szCs w:val="24"/>
        </w:rPr>
      </w:pPr>
    </w:p>
    <w:p w:rsidR="00717630" w:rsidRPr="00A90E28" w:rsidRDefault="00CD222B" w:rsidP="00154DE5">
      <w:pPr>
        <w:rPr>
          <w:sz w:val="24"/>
          <w:szCs w:val="24"/>
        </w:rPr>
      </w:pPr>
      <w:r w:rsidRPr="00A90E28">
        <w:rPr>
          <w:sz w:val="24"/>
          <w:szCs w:val="24"/>
        </w:rPr>
        <w:t>This data collection is curren</w:t>
      </w:r>
      <w:r w:rsidR="00A26ADC" w:rsidRPr="00A90E28">
        <w:rPr>
          <w:sz w:val="24"/>
          <w:szCs w:val="24"/>
        </w:rPr>
        <w:t>tly o</w:t>
      </w:r>
      <w:r w:rsidR="00EB7D1C" w:rsidRPr="00A90E28">
        <w:rPr>
          <w:sz w:val="24"/>
          <w:szCs w:val="24"/>
        </w:rPr>
        <w:t xml:space="preserve">nly intended to occur once, and </w:t>
      </w:r>
      <w:r w:rsidRPr="00A90E28">
        <w:rPr>
          <w:sz w:val="24"/>
          <w:szCs w:val="24"/>
        </w:rPr>
        <w:t xml:space="preserve">therefore will not be repeated on a periodic basis. </w:t>
      </w:r>
      <w:r w:rsidR="00140281">
        <w:rPr>
          <w:sz w:val="24"/>
          <w:szCs w:val="24"/>
        </w:rPr>
        <w:t>As such</w:t>
      </w:r>
      <w:r w:rsidR="00140281" w:rsidRPr="00140281">
        <w:rPr>
          <w:sz w:val="24"/>
          <w:szCs w:val="24"/>
        </w:rPr>
        <w:t xml:space="preserve">, </w:t>
      </w:r>
      <w:r w:rsidR="00140281" w:rsidRPr="001D6F76">
        <w:rPr>
          <w:sz w:val="24"/>
          <w:szCs w:val="24"/>
          <w:highlight w:val="white"/>
        </w:rPr>
        <w:t>the total recurring annual cost burden is zero</w:t>
      </w:r>
      <w:r w:rsidR="00140281">
        <w:rPr>
          <w:sz w:val="24"/>
          <w:szCs w:val="24"/>
        </w:rPr>
        <w:t>.</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5F685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3.</w:t>
      </w:r>
      <w:r w:rsidRPr="00A90E28">
        <w:rPr>
          <w:b/>
          <w:bCs/>
          <w:sz w:val="24"/>
          <w:szCs w:val="24"/>
          <w:highlight w:val="white"/>
        </w:rPr>
        <w:tab/>
      </w:r>
      <w:r w:rsidR="00FC10C9">
        <w:rPr>
          <w:b/>
          <w:bCs/>
          <w:sz w:val="24"/>
          <w:szCs w:val="24"/>
          <w:highlight w:val="white"/>
        </w:rPr>
        <w:t>Methods to maximize response rates and deal with non-response</w:t>
      </w:r>
    </w:p>
    <w:p w:rsidR="00FC10C9" w:rsidRDefault="00FC10C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5F6858" w:rsidRDefault="005F6858"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Pr>
          <w:b/>
          <w:bCs/>
          <w:sz w:val="24"/>
          <w:szCs w:val="24"/>
          <w:highlight w:val="white"/>
        </w:rPr>
        <w:t>a.</w:t>
      </w:r>
      <w:r w:rsidR="00FC10C9">
        <w:rPr>
          <w:b/>
          <w:bCs/>
          <w:sz w:val="24"/>
          <w:szCs w:val="24"/>
          <w:highlight w:val="white"/>
        </w:rPr>
        <w:t xml:space="preserve"> Maximizing response rates</w:t>
      </w:r>
      <w:r>
        <w:rPr>
          <w:b/>
          <w:bCs/>
          <w:sz w:val="24"/>
          <w:szCs w:val="24"/>
          <w:highlight w:val="white"/>
        </w:rPr>
        <w:t xml:space="preserve"> </w:t>
      </w:r>
    </w:p>
    <w:p w:rsidR="00120C8C" w:rsidRDefault="00120C8C"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333423" w:rsidRDefault="000A377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 xml:space="preserve">Commission staff will employ several techniques to increase the response rates of questionnaire recipient firms. </w:t>
      </w:r>
      <w:r w:rsidR="00EA7944">
        <w:rPr>
          <w:sz w:val="24"/>
          <w:szCs w:val="24"/>
        </w:rPr>
        <w:t>R</w:t>
      </w:r>
      <w:r w:rsidRPr="00A90E28">
        <w:rPr>
          <w:sz w:val="24"/>
          <w:szCs w:val="24"/>
        </w:rPr>
        <w:t xml:space="preserve">ecipients will receive </w:t>
      </w:r>
      <w:r w:rsidR="00C947D9">
        <w:rPr>
          <w:sz w:val="24"/>
          <w:szCs w:val="24"/>
        </w:rPr>
        <w:t xml:space="preserve">separate </w:t>
      </w:r>
      <w:r w:rsidRPr="00A90E28">
        <w:rPr>
          <w:sz w:val="24"/>
          <w:szCs w:val="24"/>
        </w:rPr>
        <w:t>notices</w:t>
      </w:r>
      <w:r w:rsidR="00FC10C9">
        <w:rPr>
          <w:sz w:val="24"/>
          <w:szCs w:val="24"/>
        </w:rPr>
        <w:t xml:space="preserve"> </w:t>
      </w:r>
      <w:r w:rsidR="00C947D9">
        <w:rPr>
          <w:sz w:val="24"/>
          <w:szCs w:val="24"/>
        </w:rPr>
        <w:t xml:space="preserve">that (1) </w:t>
      </w:r>
      <w:r w:rsidR="00FC10C9">
        <w:rPr>
          <w:sz w:val="24"/>
          <w:szCs w:val="24"/>
        </w:rPr>
        <w:t>notify them that their firm</w:t>
      </w:r>
      <w:r w:rsidR="00EA7944">
        <w:rPr>
          <w:sz w:val="24"/>
          <w:szCs w:val="24"/>
        </w:rPr>
        <w:t xml:space="preserve"> was selected</w:t>
      </w:r>
      <w:r w:rsidR="00C947D9">
        <w:rPr>
          <w:sz w:val="24"/>
          <w:szCs w:val="24"/>
        </w:rPr>
        <w:t xml:space="preserve"> for the </w:t>
      </w:r>
      <w:proofErr w:type="gramStart"/>
      <w:r w:rsidR="00C947D9">
        <w:rPr>
          <w:sz w:val="24"/>
          <w:szCs w:val="24"/>
        </w:rPr>
        <w:t>survey</w:t>
      </w:r>
      <w:r w:rsidR="00EA7944">
        <w:rPr>
          <w:sz w:val="24"/>
          <w:szCs w:val="24"/>
        </w:rPr>
        <w:t>,</w:t>
      </w:r>
      <w:proofErr w:type="gramEnd"/>
      <w:r w:rsidR="00EA7944">
        <w:rPr>
          <w:sz w:val="24"/>
          <w:szCs w:val="24"/>
        </w:rPr>
        <w:t xml:space="preserve"> </w:t>
      </w:r>
      <w:r w:rsidR="00C947D9">
        <w:rPr>
          <w:sz w:val="24"/>
          <w:szCs w:val="24"/>
        </w:rPr>
        <w:t>(2) direct</w:t>
      </w:r>
      <w:r w:rsidR="00EA7944">
        <w:rPr>
          <w:sz w:val="24"/>
          <w:szCs w:val="24"/>
        </w:rPr>
        <w:t xml:space="preserve"> them to complete the survey, and </w:t>
      </w:r>
      <w:r w:rsidR="00C947D9">
        <w:rPr>
          <w:sz w:val="24"/>
          <w:szCs w:val="24"/>
        </w:rPr>
        <w:t>(3) remind</w:t>
      </w:r>
      <w:r w:rsidR="00EA7944">
        <w:rPr>
          <w:sz w:val="24"/>
          <w:szCs w:val="24"/>
        </w:rPr>
        <w:t xml:space="preserve"> them</w:t>
      </w:r>
      <w:r w:rsidR="00C947D9">
        <w:rPr>
          <w:sz w:val="24"/>
          <w:szCs w:val="24"/>
        </w:rPr>
        <w:t>, if necessary,</w:t>
      </w:r>
      <w:r w:rsidR="00EA7944">
        <w:rPr>
          <w:sz w:val="24"/>
          <w:szCs w:val="24"/>
        </w:rPr>
        <w:t xml:space="preserve"> to complete the survey before the deadline</w:t>
      </w:r>
      <w:r w:rsidRPr="00A90E28">
        <w:rPr>
          <w:sz w:val="24"/>
          <w:szCs w:val="24"/>
        </w:rPr>
        <w:t>. Once the submission deadline has passed, firms that still have</w:t>
      </w:r>
      <w:r w:rsidR="00793AE9" w:rsidRPr="00A90E28">
        <w:rPr>
          <w:sz w:val="24"/>
          <w:szCs w:val="24"/>
        </w:rPr>
        <w:t xml:space="preserve"> </w:t>
      </w:r>
      <w:r w:rsidRPr="00A90E28">
        <w:rPr>
          <w:sz w:val="24"/>
          <w:szCs w:val="24"/>
        </w:rPr>
        <w:t>n</w:t>
      </w:r>
      <w:r w:rsidR="00793AE9" w:rsidRPr="00A90E28">
        <w:rPr>
          <w:sz w:val="24"/>
          <w:szCs w:val="24"/>
        </w:rPr>
        <w:t>o</w:t>
      </w:r>
      <w:r w:rsidRPr="00A90E28">
        <w:rPr>
          <w:sz w:val="24"/>
          <w:szCs w:val="24"/>
        </w:rPr>
        <w:t xml:space="preserve">t responded will receive an additional </w:t>
      </w:r>
      <w:r w:rsidR="00C947D9">
        <w:rPr>
          <w:sz w:val="24"/>
          <w:szCs w:val="24"/>
        </w:rPr>
        <w:t>reminder</w:t>
      </w:r>
      <w:r w:rsidRPr="00A90E28">
        <w:rPr>
          <w:sz w:val="24"/>
          <w:szCs w:val="24"/>
        </w:rPr>
        <w:t xml:space="preserve">. Each of these communications will include a phone number and email address of a person </w:t>
      </w:r>
      <w:r w:rsidR="002A058A">
        <w:rPr>
          <w:sz w:val="24"/>
          <w:szCs w:val="24"/>
        </w:rPr>
        <w:t>who</w:t>
      </w:r>
      <w:r w:rsidR="002A058A" w:rsidRPr="00A90E28">
        <w:rPr>
          <w:sz w:val="24"/>
          <w:szCs w:val="24"/>
        </w:rPr>
        <w:t xml:space="preserve"> </w:t>
      </w:r>
      <w:r w:rsidRPr="00A90E28">
        <w:rPr>
          <w:sz w:val="24"/>
          <w:szCs w:val="24"/>
        </w:rPr>
        <w:t>can help firms with filling out the questionnaire or answer their questions regarding the survey and/or study.</w:t>
      </w:r>
      <w:r w:rsidR="00455379" w:rsidRPr="00A90E28">
        <w:rPr>
          <w:sz w:val="24"/>
          <w:szCs w:val="24"/>
        </w:rPr>
        <w:t xml:space="preserve"> Commission staff may also contact firms directly, via phone or email, to urge them to complete the survey and to answer </w:t>
      </w:r>
      <w:r w:rsidR="00FE5A75" w:rsidRPr="00A90E28">
        <w:rPr>
          <w:sz w:val="24"/>
          <w:szCs w:val="24"/>
        </w:rPr>
        <w:t xml:space="preserve">any </w:t>
      </w:r>
      <w:r w:rsidR="00455379" w:rsidRPr="00A90E28">
        <w:rPr>
          <w:sz w:val="24"/>
          <w:szCs w:val="24"/>
        </w:rPr>
        <w:t xml:space="preserve">questions </w:t>
      </w:r>
      <w:r w:rsidR="00FE5A75" w:rsidRPr="00A90E28">
        <w:rPr>
          <w:sz w:val="24"/>
          <w:szCs w:val="24"/>
        </w:rPr>
        <w:t xml:space="preserve">they </w:t>
      </w:r>
      <w:r w:rsidR="00BE1735" w:rsidRPr="00A90E28">
        <w:rPr>
          <w:sz w:val="24"/>
          <w:szCs w:val="24"/>
        </w:rPr>
        <w:t>may have regarding this information</w:t>
      </w:r>
      <w:r w:rsidR="00455379" w:rsidRPr="00A90E28">
        <w:rPr>
          <w:sz w:val="24"/>
          <w:szCs w:val="24"/>
        </w:rPr>
        <w:t xml:space="preserve"> collection or study</w:t>
      </w:r>
      <w:r w:rsidR="00BE1735" w:rsidRPr="00A90E28">
        <w:rPr>
          <w:sz w:val="24"/>
          <w:szCs w:val="24"/>
        </w:rPr>
        <w:t xml:space="preserve"> in general</w:t>
      </w:r>
      <w:r w:rsidR="00455379" w:rsidRPr="00A90E28">
        <w:rPr>
          <w:sz w:val="24"/>
          <w:szCs w:val="24"/>
        </w:rPr>
        <w:t xml:space="preserve">. Commission staff </w:t>
      </w:r>
      <w:r w:rsidR="00BE1735" w:rsidRPr="00A90E28">
        <w:rPr>
          <w:sz w:val="24"/>
          <w:szCs w:val="24"/>
        </w:rPr>
        <w:t xml:space="preserve">may also </w:t>
      </w:r>
      <w:r w:rsidR="00455379" w:rsidRPr="00A90E28">
        <w:rPr>
          <w:sz w:val="24"/>
          <w:szCs w:val="24"/>
        </w:rPr>
        <w:t>contact firms, via phone or email, to correct information or fill in incomplete responses</w:t>
      </w:r>
      <w:r w:rsidR="005A5658" w:rsidRPr="00A90E28">
        <w:rPr>
          <w:sz w:val="24"/>
          <w:szCs w:val="24"/>
        </w:rPr>
        <w:t xml:space="preserve">, or solicit additional information about </w:t>
      </w:r>
      <w:r w:rsidR="00A26ADC" w:rsidRPr="00A90E28">
        <w:rPr>
          <w:sz w:val="24"/>
          <w:szCs w:val="24"/>
        </w:rPr>
        <w:t>a</w:t>
      </w:r>
      <w:r w:rsidR="005A5658" w:rsidRPr="00A90E28">
        <w:rPr>
          <w:sz w:val="24"/>
          <w:szCs w:val="24"/>
        </w:rPr>
        <w:t xml:space="preserve"> response</w:t>
      </w:r>
      <w:r w:rsidR="00455379" w:rsidRPr="00A90E28">
        <w:rPr>
          <w:sz w:val="24"/>
          <w:szCs w:val="24"/>
        </w:rPr>
        <w:t>.</w:t>
      </w:r>
      <w:r w:rsidR="005A5658" w:rsidRPr="00A90E28">
        <w:rPr>
          <w:sz w:val="24"/>
          <w:szCs w:val="24"/>
        </w:rPr>
        <w:t xml:space="preserve"> The burden associated with follow up calls or emails is included in the total response burden amount.</w:t>
      </w:r>
    </w:p>
    <w:p w:rsidR="00C947D9"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A90E28"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addition to </w:t>
      </w:r>
      <w:r w:rsidR="0031284A">
        <w:rPr>
          <w:sz w:val="24"/>
          <w:szCs w:val="24"/>
        </w:rPr>
        <w:t>pre-contact</w:t>
      </w:r>
      <w:r>
        <w:rPr>
          <w:sz w:val="24"/>
          <w:szCs w:val="24"/>
        </w:rPr>
        <w:t xml:space="preserve"> and follow-up, the questionnaire itself has been designed to be </w:t>
      </w:r>
      <w:r w:rsidR="0034647D">
        <w:rPr>
          <w:sz w:val="24"/>
          <w:szCs w:val="24"/>
        </w:rPr>
        <w:t xml:space="preserve">clear and </w:t>
      </w:r>
      <w:r w:rsidR="006F6387">
        <w:rPr>
          <w:sz w:val="24"/>
          <w:szCs w:val="24"/>
        </w:rPr>
        <w:t>succinct</w:t>
      </w:r>
      <w:r w:rsidR="0034647D">
        <w:rPr>
          <w:sz w:val="24"/>
          <w:szCs w:val="24"/>
        </w:rPr>
        <w:t xml:space="preserve"> as possible </w:t>
      </w:r>
      <w:r>
        <w:rPr>
          <w:sz w:val="24"/>
          <w:szCs w:val="24"/>
        </w:rPr>
        <w:t xml:space="preserve">to </w:t>
      </w:r>
      <w:r w:rsidR="0034647D">
        <w:rPr>
          <w:sz w:val="24"/>
          <w:szCs w:val="24"/>
        </w:rPr>
        <w:t>gather</w:t>
      </w:r>
      <w:r>
        <w:rPr>
          <w:sz w:val="24"/>
          <w:szCs w:val="24"/>
        </w:rPr>
        <w:t xml:space="preserve"> the </w:t>
      </w:r>
      <w:r w:rsidR="0034647D">
        <w:rPr>
          <w:sz w:val="24"/>
          <w:szCs w:val="24"/>
        </w:rPr>
        <w:t>specific material requested</w:t>
      </w:r>
      <w:r>
        <w:rPr>
          <w:sz w:val="24"/>
          <w:szCs w:val="24"/>
        </w:rPr>
        <w:t xml:space="preserve"> by </w:t>
      </w:r>
      <w:r w:rsidR="002C40E6">
        <w:rPr>
          <w:sz w:val="24"/>
          <w:szCs w:val="24"/>
        </w:rPr>
        <w:t xml:space="preserve">the </w:t>
      </w:r>
      <w:r w:rsidR="00097A7E">
        <w:rPr>
          <w:sz w:val="24"/>
          <w:szCs w:val="24"/>
        </w:rPr>
        <w:t>Committe</w:t>
      </w:r>
      <w:r w:rsidR="002C40E6">
        <w:rPr>
          <w:sz w:val="24"/>
          <w:szCs w:val="24"/>
        </w:rPr>
        <w:t>es</w:t>
      </w:r>
      <w:r>
        <w:rPr>
          <w:sz w:val="24"/>
          <w:szCs w:val="24"/>
        </w:rPr>
        <w:t>.</w:t>
      </w:r>
      <w:r w:rsidR="0034647D">
        <w:rPr>
          <w:sz w:val="24"/>
          <w:szCs w:val="24"/>
        </w:rPr>
        <w:t xml:space="preserve"> (See discussion of testing below.) </w:t>
      </w:r>
      <w:r w:rsidR="00176DE8">
        <w:rPr>
          <w:sz w:val="24"/>
          <w:szCs w:val="24"/>
        </w:rPr>
        <w:t>This clarity and brevity should</w:t>
      </w:r>
      <w:r w:rsidR="0034647D">
        <w:rPr>
          <w:sz w:val="24"/>
          <w:szCs w:val="24"/>
        </w:rPr>
        <w:t xml:space="preserve"> reduce burden and improve response rates.</w:t>
      </w:r>
      <w:r w:rsidR="00176DE8">
        <w:rPr>
          <w:sz w:val="24"/>
          <w:szCs w:val="24"/>
        </w:rPr>
        <w:t xml:space="preserve"> The questionnaire will clearly point out that firms are obligated by law to respond.</w:t>
      </w:r>
      <w:r w:rsidR="00905A71">
        <w:rPr>
          <w:sz w:val="24"/>
          <w:szCs w:val="24"/>
        </w:rPr>
        <w:t xml:space="preserve"> </w:t>
      </w:r>
      <w:r w:rsidR="00176DE8">
        <w:rPr>
          <w:sz w:val="24"/>
          <w:szCs w:val="24"/>
        </w:rPr>
        <w:t xml:space="preserve">Finally, the ability to access, </w:t>
      </w:r>
      <w:proofErr w:type="gramStart"/>
      <w:r w:rsidR="00176DE8">
        <w:rPr>
          <w:sz w:val="24"/>
          <w:szCs w:val="24"/>
        </w:rPr>
        <w:t>fill</w:t>
      </w:r>
      <w:proofErr w:type="gramEnd"/>
      <w:r w:rsidR="00176DE8">
        <w:rPr>
          <w:sz w:val="24"/>
          <w:szCs w:val="24"/>
        </w:rPr>
        <w:t xml:space="preserve"> out, and submit the survey electronically </w:t>
      </w:r>
      <w:r w:rsidR="006F6387">
        <w:rPr>
          <w:sz w:val="24"/>
          <w:szCs w:val="24"/>
        </w:rPr>
        <w:t>may</w:t>
      </w:r>
      <w:r w:rsidR="00176DE8">
        <w:rPr>
          <w:sz w:val="24"/>
          <w:szCs w:val="24"/>
        </w:rPr>
        <w:t xml:space="preserve"> also increase response.</w:t>
      </w:r>
    </w:p>
    <w:p w:rsidR="00333423" w:rsidRDefault="00333423"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7B02" w:rsidRDefault="00487B0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C947D9"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947D9">
        <w:rPr>
          <w:b/>
          <w:sz w:val="24"/>
          <w:szCs w:val="24"/>
        </w:rPr>
        <w:t>b. Accuracy and reliability of information collected</w:t>
      </w:r>
    </w:p>
    <w:p w:rsidR="00C947D9" w:rsidRPr="00A90E28"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sample methodology has been designed to be as accurate and reliable as possible, based on Commission experience in past surveys.</w:t>
      </w:r>
      <w:r w:rsidR="00905A71">
        <w:rPr>
          <w:sz w:val="24"/>
          <w:szCs w:val="24"/>
        </w:rPr>
        <w:t xml:space="preserve"> </w:t>
      </w:r>
      <w:r>
        <w:rPr>
          <w:sz w:val="24"/>
          <w:szCs w:val="24"/>
        </w:rPr>
        <w:t xml:space="preserve">The sampling frame has been chosen to include firms </w:t>
      </w:r>
      <w:r w:rsidR="00975B2D">
        <w:rPr>
          <w:sz w:val="24"/>
          <w:szCs w:val="24"/>
        </w:rPr>
        <w:t xml:space="preserve">in industries </w:t>
      </w:r>
      <w:r>
        <w:rPr>
          <w:sz w:val="24"/>
          <w:szCs w:val="24"/>
        </w:rPr>
        <w:t xml:space="preserve">that are </w:t>
      </w:r>
      <w:r w:rsidR="00646728">
        <w:rPr>
          <w:sz w:val="24"/>
          <w:szCs w:val="24"/>
        </w:rPr>
        <w:t>globally engaged or engaged in India</w:t>
      </w:r>
      <w:r>
        <w:rPr>
          <w:sz w:val="24"/>
          <w:szCs w:val="24"/>
        </w:rPr>
        <w:t>.</w:t>
      </w: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05D"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size of firms include</w:t>
      </w:r>
      <w:r w:rsidR="00A0205D">
        <w:rPr>
          <w:sz w:val="24"/>
          <w:szCs w:val="24"/>
        </w:rPr>
        <w:t>d</w:t>
      </w:r>
      <w:r>
        <w:rPr>
          <w:sz w:val="24"/>
          <w:szCs w:val="24"/>
        </w:rPr>
        <w:t xml:space="preserve"> in the survey has also been carefully considered to impr</w:t>
      </w:r>
      <w:r w:rsidR="006C2B1F">
        <w:rPr>
          <w:sz w:val="24"/>
          <w:szCs w:val="24"/>
        </w:rPr>
        <w:t xml:space="preserve">ove accuracy and reliability. </w:t>
      </w:r>
      <w:r w:rsidR="00D71F3F">
        <w:rPr>
          <w:sz w:val="24"/>
          <w:szCs w:val="24"/>
        </w:rPr>
        <w:t>Small firms are unlikely to be exporters</w:t>
      </w:r>
      <w:r w:rsidR="00A1781E">
        <w:rPr>
          <w:sz w:val="24"/>
          <w:szCs w:val="24"/>
        </w:rPr>
        <w:t xml:space="preserve"> (see table </w:t>
      </w:r>
      <w:r w:rsidR="00781749">
        <w:rPr>
          <w:sz w:val="24"/>
          <w:szCs w:val="24"/>
        </w:rPr>
        <w:t>5</w:t>
      </w:r>
      <w:r w:rsidR="00A1781E">
        <w:rPr>
          <w:sz w:val="24"/>
          <w:szCs w:val="24"/>
        </w:rPr>
        <w:t>)</w:t>
      </w:r>
      <w:r w:rsidR="00D71F3F">
        <w:rPr>
          <w:sz w:val="24"/>
          <w:szCs w:val="24"/>
        </w:rPr>
        <w:t>, and are even less likely to have foreign affiliates in other countries</w:t>
      </w:r>
      <w:r w:rsidR="00A1781E">
        <w:rPr>
          <w:sz w:val="24"/>
          <w:szCs w:val="24"/>
        </w:rPr>
        <w:t>.</w:t>
      </w:r>
      <w:r w:rsidR="00DC4DFD">
        <w:rPr>
          <w:sz w:val="24"/>
          <w:szCs w:val="24"/>
        </w:rPr>
        <w:t xml:space="preserve"> </w:t>
      </w:r>
      <w:r w:rsidR="006C2B1F">
        <w:rPr>
          <w:sz w:val="24"/>
          <w:szCs w:val="24"/>
        </w:rPr>
        <w:t xml:space="preserve">Thus, the survey should capture </w:t>
      </w:r>
      <w:r w:rsidR="00DC4DFD">
        <w:rPr>
          <w:sz w:val="24"/>
          <w:szCs w:val="24"/>
        </w:rPr>
        <w:t xml:space="preserve">many </w:t>
      </w:r>
      <w:r w:rsidR="006C2B1F">
        <w:rPr>
          <w:sz w:val="24"/>
          <w:szCs w:val="24"/>
        </w:rPr>
        <w:t>export</w:t>
      </w:r>
      <w:r w:rsidR="006E672B">
        <w:rPr>
          <w:sz w:val="24"/>
          <w:szCs w:val="24"/>
        </w:rPr>
        <w:t>er</w:t>
      </w:r>
      <w:r w:rsidR="006C2B1F">
        <w:rPr>
          <w:sz w:val="24"/>
          <w:szCs w:val="24"/>
        </w:rPr>
        <w:t xml:space="preserve">s, while excluding </w:t>
      </w:r>
      <w:r w:rsidR="00975B2D">
        <w:rPr>
          <w:sz w:val="24"/>
          <w:szCs w:val="24"/>
        </w:rPr>
        <w:t>firms of the smallest size</w:t>
      </w:r>
      <w:r w:rsidR="006E672B">
        <w:rPr>
          <w:sz w:val="24"/>
          <w:szCs w:val="24"/>
        </w:rPr>
        <w:t xml:space="preserve"> that are unlikely to be exporters. </w:t>
      </w:r>
      <w:r w:rsidR="00F03B3C">
        <w:rPr>
          <w:sz w:val="24"/>
          <w:szCs w:val="24"/>
        </w:rPr>
        <w:t xml:space="preserve">Foreign affiliates tend to be a subset of exporting firms, and are generally even larger (and more rare) than exporters. </w:t>
      </w:r>
    </w:p>
    <w:p w:rsidR="00A0205D" w:rsidRDefault="00A0205D"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205D" w:rsidRDefault="00A0205D"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E672B" w:rsidRPr="00123A00" w:rsidRDefault="004E757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C40E6">
        <w:rPr>
          <w:rFonts w:ascii="Arial" w:hAnsi="Arial" w:cs="Arial"/>
          <w:b/>
        </w:rPr>
        <w:t>TABLE</w:t>
      </w:r>
      <w:r w:rsidR="00F03B3C" w:rsidRPr="002C40E6">
        <w:rPr>
          <w:rFonts w:ascii="Arial" w:hAnsi="Arial" w:cs="Arial"/>
          <w:b/>
        </w:rPr>
        <w:t xml:space="preserve"> </w:t>
      </w:r>
      <w:proofErr w:type="gramStart"/>
      <w:r w:rsidR="00781749" w:rsidRPr="002C40E6">
        <w:rPr>
          <w:rFonts w:ascii="Arial" w:hAnsi="Arial" w:cs="Arial"/>
          <w:b/>
        </w:rPr>
        <w:t>5</w:t>
      </w:r>
      <w:r w:rsidR="00E445A1">
        <w:rPr>
          <w:rFonts w:ascii="Arial" w:hAnsi="Arial" w:cs="Arial"/>
        </w:rPr>
        <w:t xml:space="preserve"> </w:t>
      </w:r>
      <w:r w:rsidR="00F03B3C">
        <w:rPr>
          <w:rFonts w:ascii="Arial" w:hAnsi="Arial" w:cs="Arial"/>
        </w:rPr>
        <w:t xml:space="preserve"> Firm</w:t>
      </w:r>
      <w:proofErr w:type="gramEnd"/>
      <w:r w:rsidR="00F03B3C">
        <w:rPr>
          <w:rFonts w:ascii="Arial" w:hAnsi="Arial" w:cs="Arial"/>
        </w:rPr>
        <w:t xml:space="preserve"> size and exporters</w:t>
      </w:r>
    </w:p>
    <w:tbl>
      <w:tblPr>
        <w:tblW w:w="7860" w:type="dxa"/>
        <w:tblInd w:w="93" w:type="dxa"/>
        <w:tblLook w:val="04A0" w:firstRow="1" w:lastRow="0" w:firstColumn="1" w:lastColumn="0" w:noHBand="0" w:noVBand="1"/>
      </w:tblPr>
      <w:tblGrid>
        <w:gridCol w:w="2260"/>
        <w:gridCol w:w="1818"/>
        <w:gridCol w:w="1990"/>
        <w:gridCol w:w="1792"/>
      </w:tblGrid>
      <w:tr w:rsidR="00734946" w:rsidRPr="00F03B3C" w:rsidTr="00734946">
        <w:trPr>
          <w:trHeight w:val="300"/>
        </w:trPr>
        <w:tc>
          <w:tcPr>
            <w:tcW w:w="2260" w:type="dxa"/>
            <w:tcBorders>
              <w:top w:val="single" w:sz="4" w:space="0" w:color="auto"/>
              <w:left w:val="nil"/>
              <w:bottom w:val="nil"/>
              <w:right w:val="nil"/>
            </w:tcBorders>
            <w:shd w:val="clear" w:color="auto" w:fill="auto"/>
            <w:noWrap/>
            <w:vAlign w:val="bottom"/>
            <w:hideMark/>
          </w:tcPr>
          <w:p w:rsidR="00734946" w:rsidRPr="00123A00" w:rsidRDefault="00734946" w:rsidP="00734946">
            <w:pPr>
              <w:autoSpaceDE/>
              <w:autoSpaceDN/>
              <w:adjustRightInd/>
              <w:rPr>
                <w:rFonts w:ascii="Arial" w:eastAsia="Times New Roman" w:hAnsi="Arial" w:cs="Arial"/>
                <w:color w:val="000000"/>
              </w:rPr>
            </w:pPr>
            <w:r w:rsidRPr="00123A00">
              <w:rPr>
                <w:rFonts w:ascii="Arial" w:eastAsia="Times New Roman" w:hAnsi="Arial" w:cs="Arial"/>
                <w:color w:val="000000"/>
              </w:rPr>
              <w:t> </w:t>
            </w:r>
          </w:p>
        </w:tc>
        <w:tc>
          <w:tcPr>
            <w:tcW w:w="5600" w:type="dxa"/>
            <w:gridSpan w:val="3"/>
            <w:tcBorders>
              <w:top w:val="single" w:sz="4" w:space="0" w:color="auto"/>
              <w:left w:val="nil"/>
              <w:bottom w:val="nil"/>
              <w:right w:val="nil"/>
            </w:tcBorders>
            <w:shd w:val="clear" w:color="auto" w:fill="auto"/>
            <w:noWrap/>
            <w:vAlign w:val="bottom"/>
            <w:hideMark/>
          </w:tcPr>
          <w:p w:rsidR="00734946" w:rsidRPr="00123A00" w:rsidRDefault="00734946" w:rsidP="00734946">
            <w:pPr>
              <w:autoSpaceDE/>
              <w:autoSpaceDN/>
              <w:adjustRightInd/>
              <w:jc w:val="center"/>
              <w:rPr>
                <w:rFonts w:ascii="Arial" w:eastAsia="Times New Roman" w:hAnsi="Arial" w:cs="Arial"/>
                <w:color w:val="000000"/>
              </w:rPr>
            </w:pPr>
            <w:r w:rsidRPr="00123A00">
              <w:rPr>
                <w:rFonts w:ascii="Arial" w:eastAsia="Times New Roman" w:hAnsi="Arial" w:cs="Arial"/>
                <w:color w:val="000000"/>
              </w:rPr>
              <w:t>Firm size</w:t>
            </w:r>
          </w:p>
        </w:tc>
      </w:tr>
      <w:tr w:rsidR="00734946" w:rsidRPr="00F03B3C" w:rsidTr="00734946">
        <w:trPr>
          <w:trHeight w:val="300"/>
        </w:trPr>
        <w:tc>
          <w:tcPr>
            <w:tcW w:w="2260" w:type="dxa"/>
            <w:tcBorders>
              <w:top w:val="nil"/>
              <w:left w:val="nil"/>
              <w:bottom w:val="nil"/>
              <w:right w:val="nil"/>
            </w:tcBorders>
            <w:shd w:val="clear" w:color="auto" w:fill="auto"/>
            <w:noWrap/>
            <w:vAlign w:val="bottom"/>
            <w:hideMark/>
          </w:tcPr>
          <w:p w:rsidR="00734946" w:rsidRPr="00123A00" w:rsidRDefault="00734946" w:rsidP="00734946">
            <w:pPr>
              <w:autoSpaceDE/>
              <w:autoSpaceDN/>
              <w:adjustRightInd/>
              <w:rPr>
                <w:rFonts w:ascii="Arial" w:eastAsia="Times New Roman" w:hAnsi="Arial" w:cs="Arial"/>
                <w:color w:val="000000"/>
              </w:rPr>
            </w:pPr>
          </w:p>
        </w:tc>
        <w:tc>
          <w:tcPr>
            <w:tcW w:w="1818" w:type="dxa"/>
            <w:tcBorders>
              <w:top w:val="single" w:sz="4" w:space="0" w:color="auto"/>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Small</w:t>
            </w:r>
          </w:p>
        </w:tc>
        <w:tc>
          <w:tcPr>
            <w:tcW w:w="1990" w:type="dxa"/>
            <w:tcBorders>
              <w:top w:val="single" w:sz="4" w:space="0" w:color="auto"/>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Medium</w:t>
            </w:r>
          </w:p>
        </w:tc>
        <w:tc>
          <w:tcPr>
            <w:tcW w:w="1792" w:type="dxa"/>
            <w:tcBorders>
              <w:top w:val="single" w:sz="4" w:space="0" w:color="auto"/>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Large</w:t>
            </w:r>
          </w:p>
        </w:tc>
      </w:tr>
      <w:tr w:rsidR="00734946" w:rsidRPr="00F03B3C" w:rsidTr="00734946">
        <w:trPr>
          <w:trHeight w:val="345"/>
        </w:trPr>
        <w:tc>
          <w:tcPr>
            <w:tcW w:w="2260"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rPr>
                <w:rFonts w:ascii="Arial" w:eastAsia="Times New Roman" w:hAnsi="Arial" w:cs="Arial"/>
                <w:color w:val="000000"/>
              </w:rPr>
            </w:pPr>
            <w:r w:rsidRPr="00123A00">
              <w:rPr>
                <w:rFonts w:ascii="Arial" w:eastAsia="Times New Roman" w:hAnsi="Arial" w:cs="Arial"/>
                <w:color w:val="000000"/>
              </w:rPr>
              <w:t>Share of U.S. firms that</w:t>
            </w:r>
          </w:p>
        </w:tc>
        <w:tc>
          <w:tcPr>
            <w:tcW w:w="1818"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 xml:space="preserve">(1-49 </w:t>
            </w:r>
            <w:proofErr w:type="spellStart"/>
            <w:r w:rsidRPr="00123A00">
              <w:rPr>
                <w:rFonts w:ascii="Arial" w:eastAsia="Times New Roman" w:hAnsi="Arial" w:cs="Arial"/>
                <w:color w:val="000000"/>
              </w:rPr>
              <w:t>employees</w:t>
            </w:r>
            <w:r w:rsidRPr="00123A00">
              <w:rPr>
                <w:rFonts w:ascii="Arial" w:eastAsia="Times New Roman" w:hAnsi="Arial" w:cs="Arial"/>
                <w:color w:val="000000"/>
                <w:vertAlign w:val="superscript"/>
              </w:rPr>
              <w:t>a</w:t>
            </w:r>
            <w:proofErr w:type="spellEnd"/>
            <w:r w:rsidRPr="00123A00">
              <w:rPr>
                <w:rFonts w:ascii="Arial" w:eastAsia="Times New Roman" w:hAnsi="Arial" w:cs="Arial"/>
                <w:color w:val="000000"/>
              </w:rPr>
              <w:t>)</w:t>
            </w:r>
          </w:p>
        </w:tc>
        <w:tc>
          <w:tcPr>
            <w:tcW w:w="1990"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(50-499 employees)</w:t>
            </w:r>
          </w:p>
        </w:tc>
        <w:tc>
          <w:tcPr>
            <w:tcW w:w="1792"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(500+ employees)</w:t>
            </w:r>
          </w:p>
        </w:tc>
      </w:tr>
      <w:tr w:rsidR="00734946" w:rsidRPr="00F03B3C" w:rsidTr="00734946">
        <w:trPr>
          <w:trHeight w:val="300"/>
        </w:trPr>
        <w:tc>
          <w:tcPr>
            <w:tcW w:w="2260" w:type="dxa"/>
            <w:tcBorders>
              <w:top w:val="nil"/>
              <w:left w:val="nil"/>
              <w:bottom w:val="nil"/>
              <w:right w:val="nil"/>
            </w:tcBorders>
            <w:shd w:val="clear" w:color="auto" w:fill="auto"/>
            <w:noWrap/>
            <w:vAlign w:val="bottom"/>
            <w:hideMark/>
          </w:tcPr>
          <w:p w:rsidR="00734946" w:rsidRPr="00123A00" w:rsidRDefault="00734946" w:rsidP="00734946">
            <w:pPr>
              <w:autoSpaceDE/>
              <w:autoSpaceDN/>
              <w:adjustRightInd/>
              <w:rPr>
                <w:rFonts w:ascii="Arial" w:eastAsia="Times New Roman" w:hAnsi="Arial" w:cs="Arial"/>
                <w:color w:val="000000"/>
              </w:rPr>
            </w:pPr>
            <w:r w:rsidRPr="00123A00">
              <w:rPr>
                <w:rFonts w:ascii="Arial" w:eastAsia="Times New Roman" w:hAnsi="Arial" w:cs="Arial"/>
                <w:color w:val="000000"/>
              </w:rPr>
              <w:t xml:space="preserve">   Export</w:t>
            </w:r>
          </w:p>
        </w:tc>
        <w:tc>
          <w:tcPr>
            <w:tcW w:w="1818" w:type="dxa"/>
            <w:tcBorders>
              <w:top w:val="nil"/>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3.8</w:t>
            </w:r>
          </w:p>
        </w:tc>
        <w:tc>
          <w:tcPr>
            <w:tcW w:w="1990" w:type="dxa"/>
            <w:tcBorders>
              <w:top w:val="nil"/>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8.8</w:t>
            </w:r>
          </w:p>
        </w:tc>
        <w:tc>
          <w:tcPr>
            <w:tcW w:w="1792" w:type="dxa"/>
            <w:tcBorders>
              <w:top w:val="nil"/>
              <w:left w:val="nil"/>
              <w:bottom w:val="nil"/>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37.2</w:t>
            </w:r>
          </w:p>
        </w:tc>
      </w:tr>
      <w:tr w:rsidR="00734946" w:rsidRPr="00F03B3C" w:rsidTr="00734946">
        <w:trPr>
          <w:trHeight w:val="300"/>
        </w:trPr>
        <w:tc>
          <w:tcPr>
            <w:tcW w:w="2260"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rPr>
                <w:rFonts w:ascii="Arial" w:eastAsia="Times New Roman" w:hAnsi="Arial" w:cs="Arial"/>
                <w:color w:val="000000"/>
              </w:rPr>
            </w:pPr>
            <w:r w:rsidRPr="00123A00">
              <w:rPr>
                <w:rFonts w:ascii="Arial" w:eastAsia="Times New Roman" w:hAnsi="Arial" w:cs="Arial"/>
                <w:color w:val="000000"/>
              </w:rPr>
              <w:t xml:space="preserve">   Export to India</w:t>
            </w:r>
          </w:p>
        </w:tc>
        <w:tc>
          <w:tcPr>
            <w:tcW w:w="1818"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0.2</w:t>
            </w:r>
          </w:p>
        </w:tc>
        <w:tc>
          <w:tcPr>
            <w:tcW w:w="1990"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1.3</w:t>
            </w:r>
          </w:p>
        </w:tc>
        <w:tc>
          <w:tcPr>
            <w:tcW w:w="1792" w:type="dxa"/>
            <w:tcBorders>
              <w:top w:val="nil"/>
              <w:left w:val="nil"/>
              <w:bottom w:val="single" w:sz="4" w:space="0" w:color="auto"/>
              <w:right w:val="nil"/>
            </w:tcBorders>
            <w:shd w:val="clear" w:color="auto" w:fill="auto"/>
            <w:noWrap/>
            <w:vAlign w:val="bottom"/>
            <w:hideMark/>
          </w:tcPr>
          <w:p w:rsidR="00734946" w:rsidRPr="00123A00" w:rsidRDefault="00734946" w:rsidP="00734946">
            <w:pPr>
              <w:autoSpaceDE/>
              <w:autoSpaceDN/>
              <w:adjustRightInd/>
              <w:jc w:val="right"/>
              <w:rPr>
                <w:rFonts w:ascii="Arial" w:eastAsia="Times New Roman" w:hAnsi="Arial" w:cs="Arial"/>
                <w:color w:val="000000"/>
              </w:rPr>
            </w:pPr>
            <w:r w:rsidRPr="00123A00">
              <w:rPr>
                <w:rFonts w:ascii="Arial" w:eastAsia="Times New Roman" w:hAnsi="Arial" w:cs="Arial"/>
                <w:color w:val="000000"/>
              </w:rPr>
              <w:t>11.3</w:t>
            </w:r>
          </w:p>
        </w:tc>
      </w:tr>
    </w:tbl>
    <w:p w:rsidR="00F935FC" w:rsidRPr="00123A00" w:rsidRDefault="00F935FC"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000000"/>
        </w:rPr>
      </w:pPr>
      <w:r w:rsidRPr="00123A00">
        <w:rPr>
          <w:rFonts w:ascii="Arial" w:eastAsia="Times New Roman" w:hAnsi="Arial" w:cs="Arial"/>
          <w:color w:val="000000"/>
        </w:rPr>
        <w:t>Source: U.S. Census, 2011 Country Business Patterns</w:t>
      </w:r>
    </w:p>
    <w:p w:rsidR="00734946" w:rsidRPr="00123A00" w:rsidRDefault="00F935FC"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proofErr w:type="gramStart"/>
      <w:r w:rsidRPr="00123A00">
        <w:rPr>
          <w:rFonts w:ascii="Arial" w:eastAsia="Times New Roman" w:hAnsi="Arial" w:cs="Arial"/>
          <w:color w:val="000000"/>
          <w:vertAlign w:val="superscript"/>
        </w:rPr>
        <w:t>a</w:t>
      </w:r>
      <w:proofErr w:type="spellEnd"/>
      <w:proofErr w:type="gramEnd"/>
      <w:r w:rsidRPr="00123A00">
        <w:rPr>
          <w:rFonts w:ascii="Arial" w:eastAsia="Times New Roman" w:hAnsi="Arial" w:cs="Arial"/>
          <w:color w:val="000000"/>
        </w:rPr>
        <w:t xml:space="preserve"> Including firms of unknown size, which are generally small.</w:t>
      </w:r>
    </w:p>
    <w:p w:rsidR="00734946" w:rsidRDefault="00734946"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3423" w:rsidRDefault="0031284A"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Response rates in USITC surveys have recently </w:t>
      </w:r>
      <w:r w:rsidR="005279AD">
        <w:rPr>
          <w:sz w:val="24"/>
          <w:szCs w:val="24"/>
        </w:rPr>
        <w:t>approached</w:t>
      </w:r>
      <w:r>
        <w:rPr>
          <w:sz w:val="24"/>
          <w:szCs w:val="24"/>
        </w:rPr>
        <w:t xml:space="preserve"> </w:t>
      </w:r>
      <w:r w:rsidR="00CA73B2">
        <w:rPr>
          <w:sz w:val="24"/>
          <w:szCs w:val="24"/>
        </w:rPr>
        <w:t>6</w:t>
      </w:r>
      <w:r>
        <w:rPr>
          <w:sz w:val="24"/>
          <w:szCs w:val="24"/>
        </w:rPr>
        <w:t>0%.</w:t>
      </w:r>
      <w:r w:rsidR="00905A71">
        <w:rPr>
          <w:sz w:val="24"/>
          <w:szCs w:val="24"/>
        </w:rPr>
        <w:t xml:space="preserve"> </w:t>
      </w:r>
      <w:r>
        <w:rPr>
          <w:sz w:val="24"/>
          <w:szCs w:val="24"/>
        </w:rPr>
        <w:t>T</w:t>
      </w:r>
      <w:r w:rsidRPr="00A90E28">
        <w:rPr>
          <w:sz w:val="24"/>
          <w:szCs w:val="24"/>
        </w:rPr>
        <w:t>he US</w:t>
      </w:r>
      <w:r>
        <w:rPr>
          <w:sz w:val="24"/>
          <w:szCs w:val="24"/>
        </w:rPr>
        <w:t>ITC will examine survey responses to</w:t>
      </w:r>
      <w:r w:rsidRPr="00A90E28">
        <w:rPr>
          <w:sz w:val="24"/>
          <w:szCs w:val="24"/>
        </w:rPr>
        <w:t xml:space="preserve"> </w:t>
      </w:r>
      <w:r>
        <w:rPr>
          <w:sz w:val="24"/>
          <w:szCs w:val="24"/>
        </w:rPr>
        <w:t xml:space="preserve">detect and </w:t>
      </w:r>
      <w:r w:rsidRPr="00A90E28">
        <w:rPr>
          <w:sz w:val="24"/>
          <w:szCs w:val="24"/>
        </w:rPr>
        <w:t>correct for any non-response bias</w:t>
      </w:r>
      <w:r>
        <w:rPr>
          <w:sz w:val="24"/>
          <w:szCs w:val="24"/>
        </w:rPr>
        <w:t xml:space="preserve">. The </w:t>
      </w:r>
      <w:r w:rsidR="00333423" w:rsidRPr="00A90E28">
        <w:rPr>
          <w:sz w:val="24"/>
          <w:szCs w:val="24"/>
        </w:rPr>
        <w:t>team will first examine conditional response rates for groups of firms based on characteristics available in the data frame that are hypothesized to impact outcomes of interest. These may incl</w:t>
      </w:r>
      <w:r w:rsidR="00D462AE" w:rsidRPr="00A90E28">
        <w:rPr>
          <w:sz w:val="24"/>
          <w:szCs w:val="24"/>
        </w:rPr>
        <w:t>u</w:t>
      </w:r>
      <w:r w:rsidR="00A26561" w:rsidRPr="00A90E28">
        <w:rPr>
          <w:sz w:val="24"/>
          <w:szCs w:val="24"/>
        </w:rPr>
        <w:t>de variables such as firm size</w:t>
      </w:r>
      <w:r w:rsidR="000267D5" w:rsidRPr="00A90E28">
        <w:rPr>
          <w:sz w:val="24"/>
          <w:szCs w:val="24"/>
        </w:rPr>
        <w:t>, industry,</w:t>
      </w:r>
      <w:r w:rsidR="00BE1735" w:rsidRPr="00A90E28">
        <w:rPr>
          <w:sz w:val="24"/>
          <w:szCs w:val="24"/>
        </w:rPr>
        <w:t xml:space="preserve"> NAICS </w:t>
      </w:r>
      <w:r w:rsidR="000267D5" w:rsidRPr="00A90E28">
        <w:rPr>
          <w:sz w:val="24"/>
          <w:szCs w:val="24"/>
        </w:rPr>
        <w:t>code,</w:t>
      </w:r>
      <w:r w:rsidR="00333423" w:rsidRPr="00A90E28">
        <w:rPr>
          <w:sz w:val="24"/>
          <w:szCs w:val="24"/>
        </w:rPr>
        <w:t xml:space="preserve"> </w:t>
      </w:r>
      <w:r w:rsidR="000267D5" w:rsidRPr="00A90E28">
        <w:rPr>
          <w:sz w:val="24"/>
          <w:szCs w:val="24"/>
        </w:rPr>
        <w:t xml:space="preserve">or </w:t>
      </w:r>
      <w:r w:rsidR="00A26561" w:rsidRPr="00A90E28">
        <w:rPr>
          <w:sz w:val="24"/>
          <w:szCs w:val="24"/>
        </w:rPr>
        <w:t>location</w:t>
      </w:r>
      <w:r w:rsidR="00333423" w:rsidRPr="00A90E28">
        <w:rPr>
          <w:sz w:val="24"/>
          <w:szCs w:val="24"/>
        </w:rPr>
        <w:t xml:space="preserve">. Any differences in response rates can be further investigated through logistic regression analysis, using firm characteristics as predictors, and whether </w:t>
      </w:r>
      <w:r w:rsidR="00A57BEA" w:rsidRPr="00A90E28">
        <w:rPr>
          <w:sz w:val="24"/>
          <w:szCs w:val="24"/>
        </w:rPr>
        <w:t xml:space="preserve">or not </w:t>
      </w:r>
      <w:r w:rsidR="00333423" w:rsidRPr="00A90E28">
        <w:rPr>
          <w:sz w:val="24"/>
          <w:szCs w:val="24"/>
        </w:rPr>
        <w:t xml:space="preserve">a recipient responded to the survey as a binary outcome. </w:t>
      </w:r>
      <w:r>
        <w:rPr>
          <w:sz w:val="24"/>
          <w:szCs w:val="24"/>
        </w:rPr>
        <w:t>I</w:t>
      </w:r>
      <w:r w:rsidR="00333423" w:rsidRPr="00A90E28">
        <w:rPr>
          <w:sz w:val="24"/>
          <w:szCs w:val="24"/>
        </w:rPr>
        <w:t xml:space="preserve">f the results of the logistic regression indicate that one or more of the characteristics investigated above affects the propensity of a survey recipient to respond to the survey, then those characteristics </w:t>
      </w:r>
      <w:r>
        <w:rPr>
          <w:sz w:val="24"/>
          <w:szCs w:val="24"/>
        </w:rPr>
        <w:t>will</w:t>
      </w:r>
      <w:r w:rsidR="00333423" w:rsidRPr="00A90E28">
        <w:rPr>
          <w:sz w:val="24"/>
          <w:szCs w:val="24"/>
        </w:rPr>
        <w:t xml:space="preserve"> be examined to determine whether they are associated with differences in the outcome variables under study across the dataset</w:t>
      </w:r>
      <w:r>
        <w:rPr>
          <w:sz w:val="24"/>
          <w:szCs w:val="24"/>
        </w:rPr>
        <w:t xml:space="preserve"> of survey responses collected.</w:t>
      </w:r>
      <w:r w:rsidR="00333423" w:rsidRPr="00A90E28">
        <w:rPr>
          <w:sz w:val="24"/>
          <w:szCs w:val="24"/>
        </w:rPr>
        <w:t xml:space="preserve"> If any sources of non-response bias are found, they can be controlled for by the development of weights, which can then be used in concert with weighting based on population stratification, in the extrapolation of results to the entire population.</w:t>
      </w:r>
    </w:p>
    <w:p w:rsidR="000A1187" w:rsidRPr="00A90E28"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Default="00C947D9" w:rsidP="00C947D9">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Since each frame (based on industry and firm size) from the industry association list </w:t>
      </w:r>
      <w:r w:rsidR="001564D7">
        <w:rPr>
          <w:sz w:val="24"/>
          <w:szCs w:val="24"/>
        </w:rPr>
        <w:t xml:space="preserve">and </w:t>
      </w:r>
      <w:r w:rsidR="00505748">
        <w:rPr>
          <w:sz w:val="24"/>
          <w:szCs w:val="24"/>
        </w:rPr>
        <w:t>specialty</w:t>
      </w:r>
      <w:r w:rsidR="001564D7">
        <w:rPr>
          <w:sz w:val="24"/>
          <w:szCs w:val="24"/>
        </w:rPr>
        <w:t xml:space="preserve"> database lists </w:t>
      </w:r>
      <w:r>
        <w:rPr>
          <w:sz w:val="24"/>
          <w:szCs w:val="24"/>
        </w:rPr>
        <w:t>has a corresponding frame from the Orbis database, the Commission expects that all sampled information will yield “reliable” data that can be generalized to the universe studied.</w:t>
      </w:r>
      <w:r w:rsidR="00905A71">
        <w:rPr>
          <w:sz w:val="24"/>
          <w:szCs w:val="24"/>
        </w:rPr>
        <w:t xml:space="preserve"> </w:t>
      </w: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4.</w:t>
      </w:r>
      <w:r w:rsidRPr="00A90E28">
        <w:rPr>
          <w:b/>
          <w:bCs/>
          <w:sz w:val="24"/>
          <w:szCs w:val="24"/>
          <w:highlight w:val="white"/>
        </w:rPr>
        <w:tab/>
      </w:r>
      <w:r w:rsidR="00AB699E" w:rsidRPr="00A90E28">
        <w:rPr>
          <w:b/>
          <w:bCs/>
          <w:sz w:val="24"/>
          <w:szCs w:val="24"/>
          <w:highlight w:val="white"/>
        </w:rPr>
        <w:t>Test</w:t>
      </w:r>
      <w:r w:rsidR="00EA7944">
        <w:rPr>
          <w:b/>
          <w:bCs/>
          <w:sz w:val="24"/>
          <w:szCs w:val="24"/>
          <w:highlight w:val="white"/>
        </w:rPr>
        <w:t>s of</w:t>
      </w:r>
      <w:r w:rsidR="00AB699E" w:rsidRPr="00A90E28">
        <w:rPr>
          <w:b/>
          <w:bCs/>
          <w:sz w:val="24"/>
          <w:szCs w:val="24"/>
          <w:highlight w:val="white"/>
        </w:rPr>
        <w:t xml:space="preserve"> procedures or methods</w:t>
      </w:r>
      <w:r w:rsidR="00B76908">
        <w:rPr>
          <w:b/>
          <w:bCs/>
          <w:sz w:val="24"/>
          <w:szCs w:val="24"/>
          <w:highlight w:val="white"/>
        </w:rPr>
        <w:t xml:space="preserve"> to minimize burden or improve utility</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699E" w:rsidRPr="00A90E28"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Commission</w:t>
      </w:r>
      <w:r w:rsidR="00502843">
        <w:rPr>
          <w:sz w:val="24"/>
          <w:szCs w:val="24"/>
        </w:rPr>
        <w:t xml:space="preserve"> sought public comment on </w:t>
      </w:r>
      <w:r>
        <w:rPr>
          <w:sz w:val="24"/>
          <w:szCs w:val="24"/>
        </w:rPr>
        <w:t xml:space="preserve">the questionnaire with </w:t>
      </w:r>
      <w:r w:rsidR="00502843">
        <w:rPr>
          <w:sz w:val="24"/>
          <w:szCs w:val="24"/>
        </w:rPr>
        <w:t xml:space="preserve">industry representatives of </w:t>
      </w:r>
      <w:r>
        <w:rPr>
          <w:sz w:val="24"/>
          <w:szCs w:val="24"/>
        </w:rPr>
        <w:t xml:space="preserve">several </w:t>
      </w:r>
      <w:r w:rsidR="00502843">
        <w:rPr>
          <w:sz w:val="24"/>
          <w:szCs w:val="24"/>
        </w:rPr>
        <w:t xml:space="preserve">relevant </w:t>
      </w:r>
      <w:r>
        <w:rPr>
          <w:sz w:val="24"/>
          <w:szCs w:val="24"/>
        </w:rPr>
        <w:t>industries</w:t>
      </w:r>
      <w:r w:rsidR="00502843">
        <w:rPr>
          <w:sz w:val="24"/>
          <w:szCs w:val="24"/>
        </w:rPr>
        <w:t xml:space="preserve">. </w:t>
      </w:r>
      <w:r>
        <w:rPr>
          <w:sz w:val="24"/>
          <w:szCs w:val="24"/>
        </w:rPr>
        <w:t xml:space="preserve">These </w:t>
      </w:r>
      <w:r w:rsidR="00502843">
        <w:rPr>
          <w:sz w:val="24"/>
          <w:szCs w:val="24"/>
        </w:rPr>
        <w:t xml:space="preserve">representatives </w:t>
      </w:r>
      <w:r>
        <w:rPr>
          <w:sz w:val="24"/>
          <w:szCs w:val="24"/>
        </w:rPr>
        <w:t xml:space="preserve">provided feedback </w:t>
      </w:r>
      <w:r w:rsidR="00284158">
        <w:rPr>
          <w:sz w:val="24"/>
          <w:szCs w:val="24"/>
        </w:rPr>
        <w:t>in areas such as</w:t>
      </w:r>
      <w:r>
        <w:rPr>
          <w:sz w:val="24"/>
          <w:szCs w:val="24"/>
        </w:rPr>
        <w:t xml:space="preserve"> availability of data, product coverage</w:t>
      </w:r>
      <w:r w:rsidR="00284158">
        <w:rPr>
          <w:sz w:val="24"/>
          <w:szCs w:val="24"/>
        </w:rPr>
        <w:t>,</w:t>
      </w:r>
      <w:r>
        <w:rPr>
          <w:sz w:val="24"/>
          <w:szCs w:val="24"/>
        </w:rPr>
        <w:t xml:space="preserve"> definitions, </w:t>
      </w:r>
      <w:r w:rsidR="00284158">
        <w:rPr>
          <w:sz w:val="24"/>
          <w:szCs w:val="24"/>
        </w:rPr>
        <w:t xml:space="preserve">and </w:t>
      </w:r>
      <w:r>
        <w:rPr>
          <w:sz w:val="24"/>
          <w:szCs w:val="24"/>
        </w:rPr>
        <w:t>clarity of instructions.</w:t>
      </w:r>
      <w:r w:rsidR="001C205A">
        <w:rPr>
          <w:sz w:val="24"/>
          <w:szCs w:val="24"/>
        </w:rPr>
        <w:t xml:space="preserve"> </w:t>
      </w:r>
      <w:r>
        <w:rPr>
          <w:sz w:val="24"/>
          <w:szCs w:val="24"/>
        </w:rPr>
        <w:t xml:space="preserve">See part A for </w:t>
      </w:r>
      <w:r w:rsidR="003C18C5">
        <w:rPr>
          <w:sz w:val="24"/>
          <w:szCs w:val="24"/>
        </w:rPr>
        <w:t xml:space="preserve">information about </w:t>
      </w:r>
      <w:r w:rsidR="00183F14">
        <w:rPr>
          <w:sz w:val="24"/>
          <w:szCs w:val="24"/>
        </w:rPr>
        <w:t xml:space="preserve">the 9 field testers, the comments they made, </w:t>
      </w:r>
      <w:r>
        <w:rPr>
          <w:sz w:val="24"/>
          <w:szCs w:val="24"/>
        </w:rPr>
        <w:t>and the subsequent changes made to the questionnaire.</w:t>
      </w:r>
      <w:r w:rsidR="001C205A">
        <w:rPr>
          <w:sz w:val="24"/>
          <w:szCs w:val="24"/>
        </w:rPr>
        <w:t xml:space="preserve"> </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GoBack"/>
      <w:bookmarkEnd w:id="0"/>
    </w:p>
    <w:p w:rsidR="00AF35D2"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addition to field testing</w:t>
      </w:r>
      <w:r w:rsidR="00AB699E" w:rsidRPr="00A90E28">
        <w:rPr>
          <w:sz w:val="24"/>
          <w:szCs w:val="24"/>
        </w:rPr>
        <w:t xml:space="preserve">, the questionnaire has been </w:t>
      </w:r>
      <w:r w:rsidR="00A26561" w:rsidRPr="00A90E28">
        <w:rPr>
          <w:sz w:val="24"/>
          <w:szCs w:val="24"/>
        </w:rPr>
        <w:t>made available for public comment.</w:t>
      </w:r>
      <w:r w:rsidR="00A57BD0">
        <w:rPr>
          <w:sz w:val="24"/>
          <w:szCs w:val="24"/>
        </w:rPr>
        <w:t xml:space="preserve"> </w:t>
      </w:r>
      <w:r w:rsidR="00A26561" w:rsidRPr="00A90E28">
        <w:rPr>
          <w:sz w:val="24"/>
          <w:szCs w:val="24"/>
        </w:rPr>
        <w:t xml:space="preserve">Notice of the draft questionnaire was published in the Federal Register, and </w:t>
      </w:r>
      <w:r w:rsidR="008A1D68" w:rsidRPr="00A90E28">
        <w:rPr>
          <w:sz w:val="24"/>
          <w:szCs w:val="24"/>
        </w:rPr>
        <w:t xml:space="preserve">the draft questionnaire was </w:t>
      </w:r>
      <w:r w:rsidR="006F6387" w:rsidRPr="00A90E28">
        <w:rPr>
          <w:sz w:val="24"/>
          <w:szCs w:val="24"/>
        </w:rPr>
        <w:t>publicized</w:t>
      </w:r>
      <w:r w:rsidR="00183F14">
        <w:rPr>
          <w:sz w:val="24"/>
          <w:szCs w:val="24"/>
        </w:rPr>
        <w:t xml:space="preserve"> by industry associations</w:t>
      </w:r>
      <w:r w:rsidR="00A26561" w:rsidRPr="00A90E28">
        <w:rPr>
          <w:sz w:val="24"/>
          <w:szCs w:val="24"/>
        </w:rPr>
        <w:t xml:space="preserve">. It has also been </w:t>
      </w:r>
      <w:r w:rsidR="00AB699E" w:rsidRPr="00A90E28">
        <w:rPr>
          <w:sz w:val="24"/>
          <w:szCs w:val="24"/>
        </w:rPr>
        <w:t xml:space="preserve">extensively reviewed within the Commission. Industry analysts and economists have reviewed the document </w:t>
      </w:r>
      <w:r w:rsidR="00A26561" w:rsidRPr="00A90E28">
        <w:rPr>
          <w:sz w:val="24"/>
          <w:szCs w:val="24"/>
        </w:rPr>
        <w:t>to ensure it contains</w:t>
      </w:r>
      <w:r w:rsidR="00AB699E" w:rsidRPr="00A90E28">
        <w:rPr>
          <w:sz w:val="24"/>
          <w:szCs w:val="24"/>
        </w:rPr>
        <w:t xml:space="preserve"> information needed to adequately </w:t>
      </w:r>
      <w:r w:rsidR="00A57BEA" w:rsidRPr="00A90E28">
        <w:rPr>
          <w:sz w:val="24"/>
          <w:szCs w:val="24"/>
        </w:rPr>
        <w:t xml:space="preserve">answer </w:t>
      </w:r>
      <w:r w:rsidR="00AB699E" w:rsidRPr="00A90E28">
        <w:rPr>
          <w:sz w:val="24"/>
          <w:szCs w:val="24"/>
        </w:rPr>
        <w:t xml:space="preserve">questions </w:t>
      </w:r>
      <w:r w:rsidR="008A1D68" w:rsidRPr="00A90E28">
        <w:rPr>
          <w:sz w:val="24"/>
          <w:szCs w:val="24"/>
        </w:rPr>
        <w:t>posed in the</w:t>
      </w:r>
      <w:r w:rsidR="00AB699E" w:rsidRPr="00A90E28">
        <w:rPr>
          <w:sz w:val="24"/>
          <w:szCs w:val="24"/>
        </w:rPr>
        <w:t xml:space="preserve"> study while imposing a minimum burden on the responding businesses. </w:t>
      </w:r>
      <w:r w:rsidR="00FC10C9">
        <w:rPr>
          <w:sz w:val="24"/>
          <w:szCs w:val="24"/>
        </w:rPr>
        <w:t xml:space="preserve">The burden on the smallest companies (those with fewer than </w:t>
      </w:r>
      <w:r w:rsidR="009060D3">
        <w:rPr>
          <w:sz w:val="24"/>
          <w:szCs w:val="24"/>
        </w:rPr>
        <w:t>2</w:t>
      </w:r>
      <w:r w:rsidR="00FC10C9">
        <w:rPr>
          <w:sz w:val="24"/>
          <w:szCs w:val="24"/>
        </w:rPr>
        <w:t>0 employees) has been eliminated, as these firms have been excluded from the survey.</w:t>
      </w:r>
      <w:r w:rsidR="009060D3">
        <w:rPr>
          <w:sz w:val="24"/>
          <w:szCs w:val="24"/>
        </w:rPr>
        <w:t xml:space="preserve"> Moreover, in most sectors, firms with fewer than 50 employees have also been excluded from the survey.</w:t>
      </w:r>
    </w:p>
    <w:p w:rsidR="0028415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84158" w:rsidRPr="00A90E2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sampling methodology </w:t>
      </w:r>
      <w:r w:rsidR="001C205A">
        <w:rPr>
          <w:sz w:val="24"/>
          <w:szCs w:val="24"/>
        </w:rPr>
        <w:t xml:space="preserve">and procedures </w:t>
      </w:r>
      <w:r>
        <w:rPr>
          <w:sz w:val="24"/>
          <w:szCs w:val="24"/>
        </w:rPr>
        <w:t xml:space="preserve">in this survey </w:t>
      </w:r>
      <w:r w:rsidR="001C205A">
        <w:rPr>
          <w:sz w:val="24"/>
          <w:szCs w:val="24"/>
        </w:rPr>
        <w:t>are</w:t>
      </w:r>
      <w:r>
        <w:rPr>
          <w:sz w:val="24"/>
          <w:szCs w:val="24"/>
        </w:rPr>
        <w:t xml:space="preserve"> quite similar to</w:t>
      </w:r>
      <w:r w:rsidR="001C205A">
        <w:rPr>
          <w:sz w:val="24"/>
          <w:szCs w:val="24"/>
        </w:rPr>
        <w:t xml:space="preserve"> those in </w:t>
      </w:r>
      <w:r w:rsidR="00B221E5">
        <w:rPr>
          <w:sz w:val="24"/>
          <w:szCs w:val="24"/>
        </w:rPr>
        <w:t xml:space="preserve">prior </w:t>
      </w:r>
      <w:r w:rsidR="001C205A">
        <w:rPr>
          <w:sz w:val="24"/>
          <w:szCs w:val="24"/>
        </w:rPr>
        <w:t xml:space="preserve">USITC survey </w:t>
      </w:r>
      <w:r w:rsidR="00B221E5">
        <w:rPr>
          <w:sz w:val="24"/>
          <w:szCs w:val="24"/>
        </w:rPr>
        <w:t>work</w:t>
      </w:r>
      <w:r w:rsidR="000F48D0">
        <w:rPr>
          <w:sz w:val="24"/>
          <w:szCs w:val="24"/>
        </w:rPr>
        <w:t xml:space="preserve">, including the study on digital </w:t>
      </w:r>
      <w:r w:rsidR="00D80925">
        <w:rPr>
          <w:sz w:val="24"/>
          <w:szCs w:val="24"/>
        </w:rPr>
        <w:t>trade</w:t>
      </w:r>
      <w:r w:rsidR="000F48D0">
        <w:rPr>
          <w:sz w:val="24"/>
          <w:szCs w:val="24"/>
        </w:rPr>
        <w:t>, the study on remanufactured goods</w:t>
      </w:r>
      <w:r w:rsidR="00D80925">
        <w:rPr>
          <w:sz w:val="24"/>
          <w:szCs w:val="24"/>
        </w:rPr>
        <w:t xml:space="preserve">, and the study on used electronics. </w:t>
      </w:r>
      <w:r w:rsidR="00B221E5">
        <w:rPr>
          <w:sz w:val="24"/>
          <w:szCs w:val="24"/>
        </w:rPr>
        <w:t xml:space="preserve">Prior </w:t>
      </w:r>
      <w:r>
        <w:rPr>
          <w:sz w:val="24"/>
          <w:szCs w:val="24"/>
        </w:rPr>
        <w:t xml:space="preserve">studies, for example, </w:t>
      </w:r>
      <w:r w:rsidR="00B221E5">
        <w:rPr>
          <w:sz w:val="24"/>
          <w:szCs w:val="24"/>
        </w:rPr>
        <w:t xml:space="preserve">also </w:t>
      </w:r>
      <w:r w:rsidR="001C205A">
        <w:rPr>
          <w:sz w:val="24"/>
          <w:szCs w:val="24"/>
        </w:rPr>
        <w:t xml:space="preserve">have </w:t>
      </w:r>
      <w:r w:rsidR="00B221E5">
        <w:rPr>
          <w:sz w:val="24"/>
          <w:szCs w:val="24"/>
        </w:rPr>
        <w:t xml:space="preserve">had </w:t>
      </w:r>
      <w:r w:rsidR="001C205A">
        <w:rPr>
          <w:sz w:val="24"/>
          <w:szCs w:val="24"/>
        </w:rPr>
        <w:t>populations drawn from Orbis and industry association list</w:t>
      </w:r>
      <w:r w:rsidR="00454705">
        <w:rPr>
          <w:sz w:val="24"/>
          <w:szCs w:val="24"/>
        </w:rPr>
        <w:t>s</w:t>
      </w:r>
      <w:r w:rsidR="00183F14">
        <w:rPr>
          <w:sz w:val="24"/>
          <w:szCs w:val="24"/>
        </w:rPr>
        <w:t xml:space="preserve">; </w:t>
      </w:r>
      <w:r w:rsidR="00454705">
        <w:rPr>
          <w:sz w:val="24"/>
          <w:szCs w:val="24"/>
        </w:rPr>
        <w:t xml:space="preserve">have also </w:t>
      </w:r>
      <w:r>
        <w:rPr>
          <w:sz w:val="24"/>
          <w:szCs w:val="24"/>
        </w:rPr>
        <w:t>stratif</w:t>
      </w:r>
      <w:r w:rsidR="00454705">
        <w:rPr>
          <w:sz w:val="24"/>
          <w:szCs w:val="24"/>
        </w:rPr>
        <w:t>ied</w:t>
      </w:r>
      <w:r>
        <w:rPr>
          <w:sz w:val="24"/>
          <w:szCs w:val="24"/>
        </w:rPr>
        <w:t xml:space="preserve"> by industry and size</w:t>
      </w:r>
      <w:r w:rsidR="00183F14">
        <w:rPr>
          <w:sz w:val="24"/>
          <w:szCs w:val="24"/>
        </w:rPr>
        <w:t>; and have used</w:t>
      </w:r>
      <w:r>
        <w:rPr>
          <w:sz w:val="24"/>
          <w:szCs w:val="24"/>
        </w:rPr>
        <w:t xml:space="preserve"> similar methods of survey distribution and data collection. Although the USITC has not specifically tested the methodology </w:t>
      </w:r>
      <w:r w:rsidR="001C205A">
        <w:rPr>
          <w:sz w:val="24"/>
          <w:szCs w:val="24"/>
        </w:rPr>
        <w:t xml:space="preserve">and procedures </w:t>
      </w:r>
      <w:r>
        <w:rPr>
          <w:sz w:val="24"/>
          <w:szCs w:val="24"/>
        </w:rPr>
        <w:t xml:space="preserve">of the </w:t>
      </w:r>
      <w:r w:rsidR="00C355E2">
        <w:rPr>
          <w:sz w:val="24"/>
          <w:szCs w:val="24"/>
        </w:rPr>
        <w:t xml:space="preserve">India </w:t>
      </w:r>
      <w:r w:rsidR="00B87D01">
        <w:rPr>
          <w:sz w:val="24"/>
          <w:szCs w:val="24"/>
        </w:rPr>
        <w:t xml:space="preserve">trade, investment, and industrial policies </w:t>
      </w:r>
      <w:r>
        <w:rPr>
          <w:sz w:val="24"/>
          <w:szCs w:val="24"/>
        </w:rPr>
        <w:t xml:space="preserve">survey, </w:t>
      </w:r>
      <w:r w:rsidR="00D82C2D">
        <w:rPr>
          <w:sz w:val="24"/>
          <w:szCs w:val="24"/>
        </w:rPr>
        <w:t>prior</w:t>
      </w:r>
      <w:r>
        <w:rPr>
          <w:sz w:val="24"/>
          <w:szCs w:val="24"/>
        </w:rPr>
        <w:t xml:space="preserve"> survey</w:t>
      </w:r>
      <w:r w:rsidR="00D82C2D">
        <w:rPr>
          <w:sz w:val="24"/>
          <w:szCs w:val="24"/>
        </w:rPr>
        <w:t>s</w:t>
      </w:r>
      <w:r>
        <w:rPr>
          <w:sz w:val="24"/>
          <w:szCs w:val="24"/>
        </w:rPr>
        <w:t xml:space="preserve"> </w:t>
      </w:r>
      <w:r w:rsidR="00D82C2D">
        <w:rPr>
          <w:sz w:val="24"/>
          <w:szCs w:val="24"/>
        </w:rPr>
        <w:t xml:space="preserve">have </w:t>
      </w:r>
      <w:r>
        <w:rPr>
          <w:sz w:val="24"/>
          <w:szCs w:val="24"/>
        </w:rPr>
        <w:t>p</w:t>
      </w:r>
      <w:r w:rsidR="001C205A">
        <w:rPr>
          <w:sz w:val="24"/>
          <w:szCs w:val="24"/>
        </w:rPr>
        <w:t>rovided implicit test</w:t>
      </w:r>
      <w:r w:rsidR="00D82C2D">
        <w:rPr>
          <w:sz w:val="24"/>
          <w:szCs w:val="24"/>
        </w:rPr>
        <w:t>s</w:t>
      </w:r>
      <w:r w:rsidR="001C205A">
        <w:rPr>
          <w:sz w:val="24"/>
          <w:szCs w:val="24"/>
        </w:rPr>
        <w:t xml:space="preserve"> of its practicability and utility.</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5.</w:t>
      </w:r>
      <w:r w:rsidRPr="00A90E28">
        <w:rPr>
          <w:b/>
          <w:bCs/>
          <w:sz w:val="24"/>
          <w:szCs w:val="24"/>
          <w:highlight w:val="white"/>
        </w:rPr>
        <w:tab/>
      </w:r>
      <w:r w:rsidR="00AB699E" w:rsidRPr="00A90E28">
        <w:rPr>
          <w:b/>
          <w:bCs/>
          <w:sz w:val="24"/>
          <w:szCs w:val="24"/>
          <w:highlight w:val="white"/>
        </w:rPr>
        <w:t>Contact information</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Default="00AB699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Collection and analysis of the data will be the responsibility of the Office of Economics and the Office of Industries within</w:t>
      </w:r>
      <w:r w:rsidR="008A1D68" w:rsidRPr="00A90E28">
        <w:rPr>
          <w:sz w:val="24"/>
          <w:szCs w:val="24"/>
        </w:rPr>
        <w:t xml:space="preserve"> the Commission. Project leader</w:t>
      </w:r>
      <w:r w:rsidRPr="00A90E28">
        <w:rPr>
          <w:sz w:val="24"/>
          <w:szCs w:val="24"/>
        </w:rPr>
        <w:t xml:space="preserve"> </w:t>
      </w:r>
      <w:r w:rsidR="00E445A1">
        <w:rPr>
          <w:sz w:val="24"/>
          <w:szCs w:val="24"/>
        </w:rPr>
        <w:t>William Powers</w:t>
      </w:r>
      <w:r w:rsidRPr="00A90E28">
        <w:rPr>
          <w:sz w:val="24"/>
          <w:szCs w:val="24"/>
        </w:rPr>
        <w:t xml:space="preserve"> can be contacted at </w:t>
      </w:r>
      <w:hyperlink r:id="rId10" w:history="1">
        <w:r w:rsidR="00F95286" w:rsidRPr="00065A0A">
          <w:rPr>
            <w:rStyle w:val="Hyperlink"/>
            <w:sz w:val="24"/>
            <w:szCs w:val="24"/>
          </w:rPr>
          <w:t>william.powers@usitc.gov</w:t>
        </w:r>
      </w:hyperlink>
      <w:r w:rsidR="00F95286">
        <w:rPr>
          <w:sz w:val="24"/>
          <w:szCs w:val="24"/>
        </w:rPr>
        <w:t xml:space="preserve"> or </w:t>
      </w:r>
      <w:r w:rsidRPr="00A90E28">
        <w:rPr>
          <w:sz w:val="24"/>
          <w:szCs w:val="24"/>
        </w:rPr>
        <w:t>202-</w:t>
      </w:r>
      <w:r w:rsidR="00323FA5" w:rsidRPr="00A90E28">
        <w:rPr>
          <w:sz w:val="24"/>
          <w:szCs w:val="24"/>
        </w:rPr>
        <w:t>708</w:t>
      </w:r>
      <w:r w:rsidRPr="00A90E28">
        <w:rPr>
          <w:sz w:val="24"/>
          <w:szCs w:val="24"/>
        </w:rPr>
        <w:t>-</w:t>
      </w:r>
      <w:r w:rsidR="00E445A1">
        <w:rPr>
          <w:sz w:val="24"/>
          <w:szCs w:val="24"/>
        </w:rPr>
        <w:t>5405</w:t>
      </w:r>
      <w:r w:rsidR="00323FA5" w:rsidRPr="00A90E28">
        <w:rPr>
          <w:sz w:val="24"/>
          <w:szCs w:val="24"/>
        </w:rPr>
        <w:t>, deputy project leader</w:t>
      </w:r>
      <w:r w:rsidRPr="00A90E28">
        <w:rPr>
          <w:sz w:val="24"/>
          <w:szCs w:val="24"/>
        </w:rPr>
        <w:t xml:space="preserve"> </w:t>
      </w:r>
      <w:r w:rsidR="00E445A1">
        <w:rPr>
          <w:sz w:val="24"/>
          <w:szCs w:val="24"/>
        </w:rPr>
        <w:t>Renee Berry</w:t>
      </w:r>
      <w:r w:rsidRPr="00A90E28">
        <w:rPr>
          <w:sz w:val="24"/>
          <w:szCs w:val="24"/>
        </w:rPr>
        <w:t xml:space="preserve"> </w:t>
      </w:r>
      <w:r w:rsidR="008A1D68" w:rsidRPr="00A90E28">
        <w:rPr>
          <w:sz w:val="24"/>
          <w:szCs w:val="24"/>
        </w:rPr>
        <w:t xml:space="preserve">can be contacted at </w:t>
      </w:r>
      <w:hyperlink r:id="rId11" w:history="1">
        <w:r w:rsidR="00F95286" w:rsidRPr="00065A0A">
          <w:rPr>
            <w:rStyle w:val="Hyperlink"/>
            <w:sz w:val="24"/>
            <w:szCs w:val="24"/>
          </w:rPr>
          <w:t>renee.berry@usitc.gov</w:t>
        </w:r>
      </w:hyperlink>
      <w:r w:rsidR="00F95286">
        <w:rPr>
          <w:sz w:val="24"/>
          <w:szCs w:val="24"/>
        </w:rPr>
        <w:t xml:space="preserve"> or </w:t>
      </w:r>
      <w:r w:rsidR="008A1D68" w:rsidRPr="00A90E28">
        <w:rPr>
          <w:sz w:val="24"/>
          <w:szCs w:val="24"/>
        </w:rPr>
        <w:t>202-205-</w:t>
      </w:r>
      <w:r w:rsidR="00E445A1">
        <w:rPr>
          <w:sz w:val="24"/>
          <w:szCs w:val="24"/>
        </w:rPr>
        <w:t>3498</w:t>
      </w:r>
      <w:r w:rsidRPr="006650A6">
        <w:rPr>
          <w:sz w:val="24"/>
          <w:szCs w:val="24"/>
        </w:rPr>
        <w:t>, and lead e</w:t>
      </w:r>
      <w:r w:rsidR="00323FA5" w:rsidRPr="006650A6">
        <w:rPr>
          <w:sz w:val="24"/>
          <w:szCs w:val="24"/>
        </w:rPr>
        <w:t>conomist for this study</w:t>
      </w:r>
      <w:r w:rsidRPr="006650A6">
        <w:rPr>
          <w:sz w:val="24"/>
          <w:szCs w:val="24"/>
        </w:rPr>
        <w:t xml:space="preserve"> </w:t>
      </w:r>
      <w:r w:rsidR="002C71B9" w:rsidRPr="006650A6">
        <w:rPr>
          <w:sz w:val="24"/>
          <w:szCs w:val="24"/>
        </w:rPr>
        <w:t xml:space="preserve">Tani Fukui </w:t>
      </w:r>
      <w:r w:rsidRPr="006650A6">
        <w:rPr>
          <w:sz w:val="24"/>
          <w:szCs w:val="24"/>
        </w:rPr>
        <w:t xml:space="preserve">can be contacted at </w:t>
      </w:r>
      <w:hyperlink r:id="rId12" w:history="1">
        <w:r w:rsidR="00F95286" w:rsidRPr="00065A0A">
          <w:rPr>
            <w:rStyle w:val="Hyperlink"/>
            <w:sz w:val="24"/>
            <w:szCs w:val="24"/>
          </w:rPr>
          <w:t>tani.fukui@usitc.gov</w:t>
        </w:r>
      </w:hyperlink>
      <w:r w:rsidR="00F95286">
        <w:rPr>
          <w:sz w:val="24"/>
          <w:szCs w:val="24"/>
        </w:rPr>
        <w:t xml:space="preserve"> or </w:t>
      </w:r>
      <w:r w:rsidRPr="006650A6">
        <w:rPr>
          <w:sz w:val="24"/>
          <w:szCs w:val="24"/>
        </w:rPr>
        <w:t>202-</w:t>
      </w:r>
      <w:r w:rsidR="002C71B9" w:rsidRPr="006650A6">
        <w:rPr>
          <w:sz w:val="24"/>
          <w:szCs w:val="24"/>
        </w:rPr>
        <w:t>205</w:t>
      </w:r>
      <w:r w:rsidRPr="006650A6">
        <w:rPr>
          <w:sz w:val="24"/>
          <w:szCs w:val="24"/>
        </w:rPr>
        <w:t>-</w:t>
      </w:r>
      <w:r w:rsidR="002C71B9" w:rsidRPr="006650A6">
        <w:rPr>
          <w:sz w:val="24"/>
          <w:szCs w:val="24"/>
        </w:rPr>
        <w:t>3220</w:t>
      </w:r>
      <w:r w:rsidRPr="006650A6">
        <w:rPr>
          <w:sz w:val="24"/>
          <w:szCs w:val="24"/>
        </w:rPr>
        <w:t xml:space="preserve">. Commission staff also </w:t>
      </w:r>
      <w:r w:rsidR="00586138" w:rsidRPr="006650A6">
        <w:rPr>
          <w:sz w:val="24"/>
          <w:szCs w:val="24"/>
        </w:rPr>
        <w:t xml:space="preserve">worked with </w:t>
      </w:r>
      <w:r w:rsidR="00F95286">
        <w:rPr>
          <w:sz w:val="24"/>
          <w:szCs w:val="24"/>
        </w:rPr>
        <w:t xml:space="preserve">Mariel Townsend </w:t>
      </w:r>
      <w:r w:rsidR="00586138" w:rsidRPr="006650A6">
        <w:rPr>
          <w:sz w:val="24"/>
          <w:szCs w:val="24"/>
        </w:rPr>
        <w:t xml:space="preserve">and </w:t>
      </w:r>
      <w:r w:rsidR="00502843">
        <w:rPr>
          <w:sz w:val="24"/>
          <w:szCs w:val="24"/>
        </w:rPr>
        <w:t>her</w:t>
      </w:r>
      <w:r w:rsidR="00502843" w:rsidRPr="006650A6">
        <w:rPr>
          <w:sz w:val="24"/>
          <w:szCs w:val="24"/>
        </w:rPr>
        <w:t xml:space="preserve"> </w:t>
      </w:r>
      <w:r w:rsidR="009C71CE" w:rsidRPr="006650A6">
        <w:rPr>
          <w:sz w:val="24"/>
          <w:szCs w:val="24"/>
        </w:rPr>
        <w:t xml:space="preserve">colleagues </w:t>
      </w:r>
      <w:r w:rsidR="00586138" w:rsidRPr="006650A6">
        <w:rPr>
          <w:sz w:val="24"/>
          <w:szCs w:val="24"/>
        </w:rPr>
        <w:t>at</w:t>
      </w:r>
      <w:r w:rsidRPr="006650A6">
        <w:rPr>
          <w:sz w:val="24"/>
          <w:szCs w:val="24"/>
        </w:rPr>
        <w:t xml:space="preserve"> Summit Consulting</w:t>
      </w:r>
      <w:r w:rsidR="00586138" w:rsidRPr="006650A6">
        <w:rPr>
          <w:sz w:val="24"/>
          <w:szCs w:val="24"/>
        </w:rPr>
        <w:t>, a survey design and data analysis consulting firm</w:t>
      </w:r>
      <w:r w:rsidRPr="006650A6">
        <w:rPr>
          <w:sz w:val="24"/>
          <w:szCs w:val="24"/>
        </w:rPr>
        <w:t xml:space="preserve">. </w:t>
      </w:r>
      <w:r w:rsidR="00F95286">
        <w:rPr>
          <w:sz w:val="24"/>
          <w:szCs w:val="24"/>
        </w:rPr>
        <w:t xml:space="preserve">Ms. Townsend </w:t>
      </w:r>
      <w:r w:rsidRPr="006650A6">
        <w:rPr>
          <w:sz w:val="24"/>
          <w:szCs w:val="24"/>
        </w:rPr>
        <w:t xml:space="preserve">may be contacted at </w:t>
      </w:r>
      <w:r w:rsidR="0077289F" w:rsidRPr="006650A6">
        <w:rPr>
          <w:sz w:val="24"/>
          <w:szCs w:val="24"/>
        </w:rPr>
        <w:t>202</w:t>
      </w:r>
      <w:r w:rsidR="00EB7D1C" w:rsidRPr="006650A6">
        <w:rPr>
          <w:sz w:val="24"/>
          <w:szCs w:val="24"/>
        </w:rPr>
        <w:t>-</w:t>
      </w:r>
      <w:r w:rsidR="0077289F" w:rsidRPr="006650A6">
        <w:rPr>
          <w:sz w:val="24"/>
          <w:szCs w:val="24"/>
        </w:rPr>
        <w:t>407-</w:t>
      </w:r>
      <w:r w:rsidR="00F95286">
        <w:rPr>
          <w:sz w:val="24"/>
          <w:szCs w:val="24"/>
        </w:rPr>
        <w:t>8328</w:t>
      </w:r>
      <w:r w:rsidR="00F95286" w:rsidRPr="006650A6">
        <w:rPr>
          <w:sz w:val="24"/>
          <w:szCs w:val="24"/>
        </w:rPr>
        <w:t xml:space="preserve"> </w:t>
      </w:r>
      <w:r w:rsidR="009C71CE" w:rsidRPr="006650A6">
        <w:rPr>
          <w:sz w:val="24"/>
          <w:szCs w:val="24"/>
        </w:rPr>
        <w:t>or at</w:t>
      </w:r>
      <w:r w:rsidR="00F95286">
        <w:rPr>
          <w:rStyle w:val="Hyperlink"/>
          <w:sz w:val="24"/>
          <w:szCs w:val="24"/>
        </w:rPr>
        <w:t xml:space="preserve"> mariel.townsend@summitllc.us</w:t>
      </w:r>
      <w:r w:rsidRPr="006650A6">
        <w:rPr>
          <w:sz w:val="24"/>
          <w:szCs w:val="24"/>
        </w:rPr>
        <w:t>.</w:t>
      </w:r>
      <w:r w:rsidR="00E438AA" w:rsidRPr="00A90E28">
        <w:rPr>
          <w:sz w:val="24"/>
          <w:szCs w:val="24"/>
        </w:rPr>
        <w:t xml:space="preserve"> </w:t>
      </w:r>
    </w:p>
    <w:p w:rsidR="00EE3E01" w:rsidRPr="00EE3E01" w:rsidRDefault="00F77511" w:rsidP="00EE3E01">
      <w:pPr>
        <w:pStyle w:val="Heading1"/>
        <w:spacing w:before="0" w:after="120"/>
        <w:rPr>
          <w:rFonts w:ascii="Arial" w:hAnsi="Arial" w:cs="Arial"/>
          <w:color w:val="auto"/>
          <w:sz w:val="20"/>
          <w:szCs w:val="20"/>
        </w:rPr>
      </w:pPr>
      <w:r>
        <w:rPr>
          <w:sz w:val="24"/>
          <w:szCs w:val="24"/>
        </w:rPr>
        <w:br w:type="page"/>
      </w:r>
      <w:r w:rsidR="00EE3E01" w:rsidRPr="00EE3E01">
        <w:rPr>
          <w:rFonts w:ascii="Arial" w:hAnsi="Arial" w:cs="Arial"/>
          <w:color w:val="auto"/>
          <w:sz w:val="20"/>
          <w:szCs w:val="20"/>
        </w:rPr>
        <w:t xml:space="preserve">TABLE A.1 </w:t>
      </w:r>
      <w:r w:rsidR="00EE3E01" w:rsidRPr="00EE3E01">
        <w:rPr>
          <w:rFonts w:ascii="Arial" w:hAnsi="Arial" w:cs="Arial"/>
          <w:b w:val="0"/>
          <w:color w:val="auto"/>
          <w:sz w:val="20"/>
          <w:szCs w:val="20"/>
        </w:rPr>
        <w:t>The eight industrial groupings used in the survey, with associated NAICS codes</w:t>
      </w:r>
      <w:r w:rsidR="00EE3E01" w:rsidRPr="00EE3E01">
        <w:rPr>
          <w:rFonts w:ascii="Arial" w:hAnsi="Arial" w:cs="Arial"/>
          <w:color w:val="auto"/>
          <w:sz w:val="20"/>
          <w:szCs w:val="20"/>
        </w:rPr>
        <w:t xml:space="preserve"> </w:t>
      </w: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Agriculture, food, and beverage</w:t>
      </w:r>
    </w:p>
    <w:tbl>
      <w:tblPr>
        <w:tblW w:w="11020" w:type="dxa"/>
        <w:tblInd w:w="93" w:type="dxa"/>
        <w:tblLook w:val="04A0" w:firstRow="1" w:lastRow="0" w:firstColumn="1" w:lastColumn="0" w:noHBand="0" w:noVBand="1"/>
      </w:tblPr>
      <w:tblGrid>
        <w:gridCol w:w="951"/>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111110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Soybean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111140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Wheat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111150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Corn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111160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Rice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111199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All Other Grain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Vegetable and Melon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Fruit and Tree Nut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11142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Nursery and Floriculture Production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11211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Beef Cattle Ranching and Farming, including Feedlots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112120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Dairy Cattle and Milk Production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112210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Hog and Pig Farming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1123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Poultry and Egg Production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115210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Support Activities for Animal Production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311222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Soybean Processing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311223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Oilseed Processing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311225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Fats and Oils Refining and Blending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Fruit and Vegetable Preserving and Specialty Food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311611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Animal (except Poultry) Slaughtering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311612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Meat Processed from Carcasses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311615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Poultry Processing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Food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312130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Wineries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312140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Distilleries</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Chemicals and textiles</w:t>
      </w:r>
    </w:p>
    <w:tbl>
      <w:tblPr>
        <w:tblW w:w="11020" w:type="dxa"/>
        <w:tblInd w:w="93" w:type="dxa"/>
        <w:tblLook w:val="04A0" w:firstRow="1" w:lastRow="0" w:firstColumn="1" w:lastColumn="0" w:noHBand="0" w:noVBand="1"/>
      </w:tblPr>
      <w:tblGrid>
        <w:gridCol w:w="740"/>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Textile Product Mills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Apparel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316</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Leather and Allied Product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Chemical Manufacturing</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Natural resources</w:t>
      </w:r>
    </w:p>
    <w:tbl>
      <w:tblPr>
        <w:tblW w:w="11156" w:type="dxa"/>
        <w:tblInd w:w="93" w:type="dxa"/>
        <w:tblLook w:val="04A0" w:firstRow="1" w:lastRow="0" w:firstColumn="1" w:lastColumn="0" w:noHBand="0" w:noVBand="1"/>
      </w:tblPr>
      <w:tblGrid>
        <w:gridCol w:w="951"/>
        <w:gridCol w:w="10280"/>
      </w:tblGrid>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1133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Logging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2111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Oil and Gas Extraction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2121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Coal Mining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2122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Metal Ore Mining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2131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Support Activities for Mining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Sawmills and Wood Preservation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Veneer, Plywood, and Engineered Wood Product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32191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Millwork</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32192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Wood Container and Pallet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321992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Prefabricated Wood Building Manufacturing</w:t>
            </w:r>
          </w:p>
        </w:tc>
      </w:tr>
      <w:tr w:rsidR="00EE3E01" w:rsidRPr="00162A57" w:rsidTr="00884811">
        <w:trPr>
          <w:trHeight w:val="300"/>
        </w:trPr>
        <w:tc>
          <w:tcPr>
            <w:tcW w:w="11156" w:type="dxa"/>
            <w:gridSpan w:val="2"/>
            <w:tcBorders>
              <w:top w:val="nil"/>
              <w:left w:val="nil"/>
              <w:bottom w:val="nil"/>
              <w:right w:val="nil"/>
            </w:tcBorders>
            <w:shd w:val="clear" w:color="auto" w:fill="auto"/>
            <w:noWrap/>
            <w:vAlign w:val="bottom"/>
          </w:tcPr>
          <w:p w:rsidR="00EE3E01" w:rsidRPr="00162A57" w:rsidRDefault="00EE3E01" w:rsidP="00884811">
            <w:pPr>
              <w:pStyle w:val="Heading1"/>
              <w:spacing w:before="0" w:after="120"/>
              <w:rPr>
                <w:rFonts w:ascii="Arial" w:hAnsi="Arial" w:cs="Arial"/>
                <w:b w:val="0"/>
                <w:color w:val="auto"/>
                <w:sz w:val="20"/>
                <w:szCs w:val="20"/>
              </w:rPr>
            </w:pPr>
            <w:r w:rsidRPr="00162A57">
              <w:rPr>
                <w:rFonts w:ascii="Arial" w:hAnsi="Arial" w:cs="Arial"/>
                <w:color w:val="auto"/>
                <w:sz w:val="20"/>
                <w:szCs w:val="20"/>
              </w:rPr>
              <w:t xml:space="preserve">TABLE A.1 </w:t>
            </w:r>
            <w:r w:rsidRPr="00162A57">
              <w:rPr>
                <w:rFonts w:ascii="Arial" w:hAnsi="Arial" w:cs="Arial"/>
                <w:b w:val="0"/>
                <w:color w:val="auto"/>
                <w:sz w:val="20"/>
                <w:szCs w:val="20"/>
              </w:rPr>
              <w:t xml:space="preserve">The eight industrial groupings used in the survey, with associated NAICS codes - </w:t>
            </w:r>
            <w:r w:rsidRPr="00162A57">
              <w:rPr>
                <w:rFonts w:ascii="Arial" w:hAnsi="Arial" w:cs="Arial"/>
                <w:b w:val="0"/>
                <w:i/>
                <w:color w:val="auto"/>
                <w:sz w:val="20"/>
                <w:szCs w:val="20"/>
              </w:rPr>
              <w:t>continued</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321999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 xml:space="preserve">All Other </w:t>
            </w:r>
            <w:proofErr w:type="spellStart"/>
            <w:r w:rsidRPr="00162A57">
              <w:rPr>
                <w:rFonts w:ascii="Arial" w:eastAsia="Times New Roman" w:hAnsi="Arial" w:cs="Arial"/>
                <w:color w:val="000000"/>
              </w:rPr>
              <w:t>Misc</w:t>
            </w:r>
            <w:proofErr w:type="spellEnd"/>
            <w:r w:rsidRPr="00162A57">
              <w:rPr>
                <w:rFonts w:ascii="Arial" w:eastAsia="Times New Roman" w:hAnsi="Arial" w:cs="Arial"/>
                <w:color w:val="000000"/>
              </w:rPr>
              <w:t xml:space="preserve"> Wood Product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327125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proofErr w:type="spellStart"/>
            <w:r w:rsidRPr="00162A57">
              <w:rPr>
                <w:rFonts w:ascii="Arial" w:eastAsia="Times New Roman" w:hAnsi="Arial" w:cs="Arial"/>
                <w:color w:val="000000"/>
              </w:rPr>
              <w:t>Nonclay</w:t>
            </w:r>
            <w:proofErr w:type="spellEnd"/>
            <w:r w:rsidRPr="00162A57">
              <w:rPr>
                <w:rFonts w:ascii="Arial" w:eastAsia="Times New Roman" w:hAnsi="Arial" w:cs="Arial"/>
                <w:color w:val="000000"/>
              </w:rPr>
              <w:t xml:space="preserve"> Refractory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 xml:space="preserve">Iron and Steel Mills and </w:t>
            </w:r>
            <w:proofErr w:type="spellStart"/>
            <w:r w:rsidRPr="00162A57">
              <w:rPr>
                <w:rFonts w:ascii="Arial" w:eastAsia="Times New Roman" w:hAnsi="Arial" w:cs="Arial"/>
                <w:color w:val="000000"/>
              </w:rPr>
              <w:t>Ferroallow</w:t>
            </w:r>
            <w:proofErr w:type="spellEnd"/>
            <w:r w:rsidRPr="00162A57">
              <w:rPr>
                <w:rFonts w:ascii="Arial" w:eastAsia="Times New Roman" w:hAnsi="Arial" w:cs="Arial"/>
                <w:color w:val="000000"/>
              </w:rPr>
              <w:t xml:space="preserve">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3313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Alumina and Aluminum Production and Processing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Nonferrous Metal (except Aluminum) Production and Processing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Forging and Stamping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Agriculture, Construction, and Mining Machinery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3339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General Purpose Machinery Manufacturing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423520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Coal and Other Mineral and Ore Merchant Wholesalers</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Other manufacturing</w:t>
      </w:r>
    </w:p>
    <w:tbl>
      <w:tblPr>
        <w:tblW w:w="11020" w:type="dxa"/>
        <w:tblInd w:w="93" w:type="dxa"/>
        <w:tblLook w:val="04A0" w:firstRow="1" w:lastRow="0" w:firstColumn="1" w:lastColumn="0" w:noHBand="0" w:noVBand="1"/>
      </w:tblPr>
      <w:tblGrid>
        <w:gridCol w:w="951"/>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326211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Tire Manufacturing (except Retreading)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332410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Power Boiler and Heat Exchanger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333611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Turbine and Turbine Generator Set Units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Computer and Peripheral Equipment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Communications Equipment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Audio and Video Equipment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334413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Semiconductor and Related Device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334417</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Electronic Connector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334419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Electronic Component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334510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proofErr w:type="spellStart"/>
            <w:r w:rsidRPr="00162A57">
              <w:rPr>
                <w:rFonts w:ascii="Arial" w:eastAsia="Times New Roman" w:hAnsi="Arial" w:cs="Arial"/>
                <w:color w:val="000000"/>
              </w:rPr>
              <w:t>Electromedical</w:t>
            </w:r>
            <w:proofErr w:type="spellEnd"/>
            <w:r w:rsidRPr="00162A57">
              <w:rPr>
                <w:rFonts w:ascii="Arial" w:eastAsia="Times New Roman" w:hAnsi="Arial" w:cs="Arial"/>
                <w:color w:val="000000"/>
              </w:rPr>
              <w:t xml:space="preserve"> and Electrotherapeutic Apparatus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334511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Search, Detection, Navigation, Guidance, Aeronautical, and Nautical System and Instrument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3353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Electrical Equipment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3359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Electrical Equipment and Component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3361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Motor Vehicle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3363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Motor Vehicle Parts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336510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Railroad Rolling Stock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3391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Medical Equipment and Supplies Manufacturing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33993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Doll, Toy, and Game Manufacturing</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Distribution services</w:t>
      </w:r>
    </w:p>
    <w:tbl>
      <w:tblPr>
        <w:tblW w:w="11020" w:type="dxa"/>
        <w:tblInd w:w="93" w:type="dxa"/>
        <w:tblLook w:val="04A0" w:firstRow="1" w:lastRow="0" w:firstColumn="1" w:lastColumn="0" w:noHBand="0" w:noVBand="1"/>
      </w:tblPr>
      <w:tblGrid>
        <w:gridCol w:w="740"/>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Motor Vehicle and Motor Vehicle Parts and Supplies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4236</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Electrical and Electronic Goods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4243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Apparel, Piece Goods, and Notions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4244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Grocery and Related Product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4245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Farm Product Raw Material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4248</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Beer, Wine, and Distilled Alcoholic Beverage Merchant Wholesalers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Electronics and Appliance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4441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Building Material and Supplies Dealers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4451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Grocery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4452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Specialty Food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4453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Beer, Wine, and Liquor Stores</w:t>
            </w:r>
          </w:p>
        </w:tc>
      </w:tr>
      <w:tr w:rsidR="00EE3E01" w:rsidRPr="00162A57" w:rsidTr="00884811">
        <w:trPr>
          <w:trHeight w:val="300"/>
        </w:trPr>
        <w:tc>
          <w:tcPr>
            <w:tcW w:w="11020" w:type="dxa"/>
            <w:gridSpan w:val="2"/>
            <w:tcBorders>
              <w:top w:val="nil"/>
              <w:left w:val="nil"/>
              <w:bottom w:val="nil"/>
              <w:right w:val="nil"/>
            </w:tcBorders>
            <w:shd w:val="clear" w:color="auto" w:fill="auto"/>
            <w:noWrap/>
            <w:vAlign w:val="bottom"/>
          </w:tcPr>
          <w:p w:rsidR="00EE3E01" w:rsidRPr="00162A57" w:rsidRDefault="00EE3E01" w:rsidP="00884811">
            <w:pPr>
              <w:autoSpaceDE/>
              <w:autoSpaceDN/>
              <w:adjustRightInd/>
              <w:rPr>
                <w:rFonts w:ascii="Arial" w:eastAsia="Times New Roman" w:hAnsi="Arial" w:cs="Arial"/>
                <w:color w:val="333333"/>
              </w:rPr>
            </w:pPr>
            <w:r w:rsidRPr="00162A57">
              <w:rPr>
                <w:rFonts w:ascii="Arial" w:hAnsi="Arial" w:cs="Arial"/>
                <w:b/>
              </w:rPr>
              <w:t>TABLE A.1</w:t>
            </w:r>
            <w:r w:rsidRPr="00162A57">
              <w:rPr>
                <w:rFonts w:ascii="Arial" w:hAnsi="Arial" w:cs="Arial"/>
              </w:rPr>
              <w:t xml:space="preserve"> The eight industrial groupings used in the survey, with associated NAICS codes - </w:t>
            </w:r>
            <w:r w:rsidRPr="00162A57">
              <w:rPr>
                <w:rFonts w:ascii="Arial" w:hAnsi="Arial" w:cs="Arial"/>
                <w:i/>
              </w:rPr>
              <w:t>continued</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4481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Clothing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4482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Shoe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4483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Jewelry, Luggage, and Leather Goods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4521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Department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4532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Office Supplies, Stationery, and Gift Stores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4541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Electronic Shopping and Mail-Order Houses</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Information services</w:t>
      </w:r>
    </w:p>
    <w:tbl>
      <w:tblPr>
        <w:tblW w:w="11020" w:type="dxa"/>
        <w:tblInd w:w="93" w:type="dxa"/>
        <w:tblLook w:val="04A0" w:firstRow="1" w:lastRow="0" w:firstColumn="1" w:lastColumn="0" w:noHBand="0" w:noVBand="1"/>
      </w:tblPr>
      <w:tblGrid>
        <w:gridCol w:w="951"/>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Newspaper, Periodical, Book, and Directory Publishers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Software Publishers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51211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Motion Picture and Video Production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51212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Motion Picture and Video Distribution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512131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 xml:space="preserve">Motion Picture </w:t>
            </w:r>
            <w:proofErr w:type="spellStart"/>
            <w:r w:rsidRPr="00162A57">
              <w:rPr>
                <w:rFonts w:ascii="Arial" w:eastAsia="Times New Roman" w:hAnsi="Arial" w:cs="Arial"/>
                <w:color w:val="000000"/>
              </w:rPr>
              <w:t>thaters</w:t>
            </w:r>
            <w:proofErr w:type="spellEnd"/>
            <w:r w:rsidRPr="00162A57">
              <w:rPr>
                <w:rFonts w:ascii="Arial" w:eastAsia="Times New Roman" w:hAnsi="Arial" w:cs="Arial"/>
                <w:color w:val="000000"/>
              </w:rPr>
              <w:t xml:space="preserve"> except drive-in</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51219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Postproduction Services and Other Motion Picture and Video Industries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5122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Sound Recording Industries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5151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Radio and Television Broadcasting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5152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Cable and Other Subscription Programming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517</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Telecommunications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51911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New Syndicates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51913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Internet Publishing and Broadcasting and Web Search Portals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51919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All Other Information Services</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Finance and insurance services</w:t>
      </w:r>
    </w:p>
    <w:tbl>
      <w:tblPr>
        <w:tblW w:w="11020" w:type="dxa"/>
        <w:tblInd w:w="93" w:type="dxa"/>
        <w:tblLook w:val="04A0" w:firstRow="1" w:lastRow="0" w:firstColumn="1" w:lastColumn="0" w:noHBand="0" w:noVBand="1"/>
      </w:tblPr>
      <w:tblGrid>
        <w:gridCol w:w="951"/>
        <w:gridCol w:w="10280"/>
      </w:tblGrid>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52221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Credit Card Issuing</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522320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Financial Transactions Processing, Reserve, and Clearinghouse Activities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52392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Portfolio Management</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5241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Insurance Carriers</w:t>
            </w:r>
          </w:p>
        </w:tc>
      </w:tr>
      <w:tr w:rsidR="00EE3E01" w:rsidRPr="00162A57" w:rsidTr="00884811">
        <w:trPr>
          <w:trHeight w:val="300"/>
        </w:trPr>
        <w:tc>
          <w:tcPr>
            <w:tcW w:w="74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52421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Insurance Agencies and Brokerages</w:t>
            </w:r>
          </w:p>
        </w:tc>
      </w:tr>
    </w:tbl>
    <w:p w:rsidR="00EE3E01" w:rsidRPr="00162A57" w:rsidRDefault="00EE3E01" w:rsidP="00EE3E01">
      <w:pPr>
        <w:rPr>
          <w:rFonts w:ascii="Arial" w:hAnsi="Arial" w:cs="Arial"/>
        </w:rPr>
      </w:pPr>
    </w:p>
    <w:p w:rsidR="00EE3E01" w:rsidRPr="00162A57" w:rsidRDefault="00EE3E01" w:rsidP="00EE3E01">
      <w:pPr>
        <w:pStyle w:val="ListParagraph"/>
        <w:numPr>
          <w:ilvl w:val="0"/>
          <w:numId w:val="22"/>
        </w:numPr>
        <w:spacing w:after="0" w:line="240" w:lineRule="auto"/>
        <w:rPr>
          <w:rFonts w:ascii="Arial" w:hAnsi="Arial" w:cs="Arial"/>
          <w:b/>
        </w:rPr>
      </w:pPr>
      <w:r w:rsidRPr="00162A57">
        <w:rPr>
          <w:rFonts w:ascii="Arial" w:hAnsi="Arial" w:cs="Arial"/>
          <w:b/>
        </w:rPr>
        <w:t>Other services</w:t>
      </w:r>
    </w:p>
    <w:tbl>
      <w:tblPr>
        <w:tblW w:w="11156" w:type="dxa"/>
        <w:tblInd w:w="93" w:type="dxa"/>
        <w:tblLook w:val="04A0" w:firstRow="1" w:lastRow="0" w:firstColumn="1" w:lastColumn="0" w:noHBand="0" w:noVBand="1"/>
      </w:tblPr>
      <w:tblGrid>
        <w:gridCol w:w="951"/>
        <w:gridCol w:w="10280"/>
      </w:tblGrid>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2362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Nonresidential Building Construction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2371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Utility System Construction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2373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Highway, Street, and Bridge Construction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2379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Heavy and Civil Engineering Construction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481111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Scheduled Passenger Air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481112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Scheduled Freight Air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483111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Deep Sea Freight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483112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Deep Sea Passenger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488119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airport operations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48819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Support Activities for Air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4883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Support Activities for Water Transportation</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488510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Freight Transportation Arrangement</w:t>
            </w:r>
          </w:p>
        </w:tc>
      </w:tr>
      <w:tr w:rsidR="00EE3E01" w:rsidRPr="00162A57" w:rsidTr="00884811">
        <w:trPr>
          <w:trHeight w:val="300"/>
        </w:trPr>
        <w:tc>
          <w:tcPr>
            <w:tcW w:w="11156" w:type="dxa"/>
            <w:gridSpan w:val="2"/>
            <w:tcBorders>
              <w:top w:val="nil"/>
              <w:left w:val="nil"/>
              <w:bottom w:val="nil"/>
              <w:right w:val="nil"/>
            </w:tcBorders>
            <w:shd w:val="clear" w:color="auto" w:fill="auto"/>
            <w:noWrap/>
            <w:vAlign w:val="bottom"/>
          </w:tcPr>
          <w:p w:rsidR="00EE3E01" w:rsidRPr="00162A57" w:rsidRDefault="00EE3E01" w:rsidP="00884811">
            <w:pPr>
              <w:autoSpaceDE/>
              <w:autoSpaceDN/>
              <w:adjustRightInd/>
              <w:rPr>
                <w:rFonts w:ascii="Arial" w:eastAsia="Times New Roman" w:hAnsi="Arial" w:cs="Arial"/>
                <w:color w:val="333333"/>
              </w:rPr>
            </w:pPr>
            <w:r w:rsidRPr="00162A57">
              <w:rPr>
                <w:rFonts w:ascii="Arial" w:hAnsi="Arial" w:cs="Arial"/>
                <w:b/>
              </w:rPr>
              <w:t>TABLE A.1</w:t>
            </w:r>
            <w:r w:rsidRPr="00162A57">
              <w:rPr>
                <w:rFonts w:ascii="Arial" w:hAnsi="Arial" w:cs="Arial"/>
              </w:rPr>
              <w:t xml:space="preserve"> The eight industrial groupings used in the survey, with associated NAICS codes - </w:t>
            </w:r>
            <w:r w:rsidRPr="00162A57">
              <w:rPr>
                <w:rFonts w:ascii="Arial" w:hAnsi="Arial" w:cs="Arial"/>
                <w:i/>
              </w:rPr>
              <w:t>continued</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4921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Couriers and Express Delivery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5331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Lessors of Nonfinancial Intangible Assets (except Copyrighted Works)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Legal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Accounting, Tax Preparation, Bookkeeping, and Payroll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54133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Engineering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Specialized Design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Computer Systems Design and Related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541614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Process, Physical Distribution, and Logistics Consulting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541712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Research and Development in the Physical, Engineering, and Life Sciences (except Biotechnology)</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Advertising Agencies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Public Relations Agencies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Media Buying Agencies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Media Representatives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54185</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Display Advertising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54187</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Advertising Material Distribution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54189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Other Services Related to Advertising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54191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Marketing Research and Public Opinion Polling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541922</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Commercial Photography</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54193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Translation and Interpretation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54194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Veterinary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54199</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All Other Professional, Scientific, and Technical Services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561520</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000000"/>
              </w:rPr>
            </w:pPr>
            <w:r w:rsidRPr="00162A57">
              <w:rPr>
                <w:rFonts w:ascii="Arial" w:eastAsia="Times New Roman" w:hAnsi="Arial" w:cs="Arial"/>
                <w:color w:val="000000"/>
              </w:rPr>
              <w:t>Tour Operators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6113</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Colleges, Universities, and Professional Schools</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6114</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Business Schools and Computer and Management Training</w:t>
            </w:r>
          </w:p>
        </w:tc>
      </w:tr>
      <w:tr w:rsidR="00EE3E01" w:rsidRPr="00162A57" w:rsidTr="00884811">
        <w:trPr>
          <w:trHeight w:val="300"/>
        </w:trPr>
        <w:tc>
          <w:tcPr>
            <w:tcW w:w="876"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jc w:val="right"/>
              <w:rPr>
                <w:rFonts w:ascii="Arial" w:eastAsia="Times New Roman" w:hAnsi="Arial" w:cs="Arial"/>
                <w:color w:val="000000"/>
                <w:sz w:val="22"/>
                <w:szCs w:val="22"/>
              </w:rPr>
            </w:pPr>
            <w:r w:rsidRPr="00162A57">
              <w:rPr>
                <w:rFonts w:ascii="Arial" w:eastAsia="Times New Roman" w:hAnsi="Arial" w:cs="Arial"/>
                <w:color w:val="000000"/>
                <w:sz w:val="22"/>
                <w:szCs w:val="22"/>
              </w:rPr>
              <w:t>6221</w:t>
            </w:r>
          </w:p>
        </w:tc>
        <w:tc>
          <w:tcPr>
            <w:tcW w:w="10280" w:type="dxa"/>
            <w:tcBorders>
              <w:top w:val="nil"/>
              <w:left w:val="nil"/>
              <w:bottom w:val="nil"/>
              <w:right w:val="nil"/>
            </w:tcBorders>
            <w:shd w:val="clear" w:color="auto" w:fill="auto"/>
            <w:noWrap/>
            <w:vAlign w:val="bottom"/>
            <w:hideMark/>
          </w:tcPr>
          <w:p w:rsidR="00EE3E01" w:rsidRPr="00162A57" w:rsidRDefault="00EE3E01" w:rsidP="00884811">
            <w:pPr>
              <w:autoSpaceDE/>
              <w:autoSpaceDN/>
              <w:adjustRightInd/>
              <w:rPr>
                <w:rFonts w:ascii="Arial" w:eastAsia="Times New Roman" w:hAnsi="Arial" w:cs="Arial"/>
                <w:color w:val="333333"/>
              </w:rPr>
            </w:pPr>
            <w:r w:rsidRPr="00162A57">
              <w:rPr>
                <w:rFonts w:ascii="Arial" w:eastAsia="Times New Roman" w:hAnsi="Arial" w:cs="Arial"/>
                <w:color w:val="333333"/>
              </w:rPr>
              <w:t>General Medical and Surgical Hospitals</w:t>
            </w:r>
          </w:p>
        </w:tc>
      </w:tr>
    </w:tbl>
    <w:p w:rsidR="00EE3E01" w:rsidRPr="00162A57" w:rsidRDefault="00EE3E01" w:rsidP="00EE3E01">
      <w:pPr>
        <w:rPr>
          <w:rFonts w:ascii="Arial" w:hAnsi="Arial" w:cs="Arial"/>
        </w:rPr>
      </w:pPr>
    </w:p>
    <w:p w:rsidR="00F77511" w:rsidRPr="00162A57" w:rsidRDefault="00F77511">
      <w:pPr>
        <w:autoSpaceDE/>
        <w:autoSpaceDN/>
        <w:adjustRightInd/>
        <w:rPr>
          <w:rFonts w:ascii="Arial" w:hAnsi="Arial" w:cs="Arial"/>
          <w:sz w:val="24"/>
          <w:szCs w:val="24"/>
        </w:rPr>
      </w:pPr>
    </w:p>
    <w:sectPr w:rsidR="00F77511" w:rsidRPr="00162A57" w:rsidSect="00A3675D">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D03" w:rsidRDefault="00306D03" w:rsidP="00283C9A">
      <w:r>
        <w:separator/>
      </w:r>
    </w:p>
  </w:endnote>
  <w:endnote w:type="continuationSeparator" w:id="0">
    <w:p w:rsidR="00306D03" w:rsidRDefault="00306D03" w:rsidP="002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91200"/>
      <w:docPartObj>
        <w:docPartGallery w:val="Page Numbers (Bottom of Page)"/>
        <w:docPartUnique/>
      </w:docPartObj>
    </w:sdtPr>
    <w:sdtEndPr>
      <w:rPr>
        <w:noProof/>
      </w:rPr>
    </w:sdtEndPr>
    <w:sdtContent>
      <w:p w:rsidR="00306D03" w:rsidRDefault="00306D03" w:rsidP="00154DE5">
        <w:pPr>
          <w:pStyle w:val="Footer"/>
          <w:spacing w:before="240"/>
          <w:jc w:val="center"/>
        </w:pPr>
        <w:r>
          <w:fldChar w:fldCharType="begin"/>
        </w:r>
        <w:r>
          <w:instrText xml:space="preserve"> PAGE   \* MERGEFORMAT </w:instrText>
        </w:r>
        <w:r>
          <w:fldChar w:fldCharType="separate"/>
        </w:r>
        <w:r w:rsidR="003C18C5">
          <w:rPr>
            <w:noProof/>
          </w:rPr>
          <w:t>10</w:t>
        </w:r>
        <w:r>
          <w:rPr>
            <w:noProof/>
          </w:rPr>
          <w:fldChar w:fldCharType="end"/>
        </w:r>
      </w:p>
    </w:sdtContent>
  </w:sdt>
  <w:p w:rsidR="00306D03" w:rsidRDefault="00306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D03" w:rsidRDefault="00306D03" w:rsidP="00283C9A">
      <w:r>
        <w:separator/>
      </w:r>
    </w:p>
  </w:footnote>
  <w:footnote w:type="continuationSeparator" w:id="0">
    <w:p w:rsidR="00306D03" w:rsidRDefault="00306D03" w:rsidP="00283C9A">
      <w:r>
        <w:continuationSeparator/>
      </w:r>
    </w:p>
  </w:footnote>
  <w:footnote w:id="1">
    <w:p w:rsidR="00306D03" w:rsidRDefault="00306D03">
      <w:pPr>
        <w:pStyle w:val="FootnoteText"/>
      </w:pPr>
      <w:r>
        <w:rPr>
          <w:rStyle w:val="FootnoteReference"/>
        </w:rPr>
        <w:footnoteRef/>
      </w:r>
      <w:r>
        <w:t xml:space="preserve"> Although it is possible that firms that do not export.  </w:t>
      </w:r>
    </w:p>
  </w:footnote>
  <w:footnote w:id="2">
    <w:p w:rsidR="00306D03" w:rsidRDefault="00306D03">
      <w:pPr>
        <w:pStyle w:val="FootnoteText"/>
      </w:pPr>
      <w:r>
        <w:rPr>
          <w:rStyle w:val="FootnoteReference"/>
        </w:rPr>
        <w:footnoteRef/>
      </w:r>
      <w:r>
        <w:t xml:space="preserve"> </w:t>
      </w:r>
      <w:proofErr w:type="gramStart"/>
      <w:r>
        <w:t>ktMINE</w:t>
      </w:r>
      <w:proofErr w:type="gramEnd"/>
      <w:r>
        <w:t xml:space="preserve"> is a propriety global database of information on intellectual property licensing agreements.</w:t>
      </w:r>
    </w:p>
  </w:footnote>
  <w:footnote w:id="3">
    <w:p w:rsidR="00306D03" w:rsidRDefault="00306D03">
      <w:pPr>
        <w:pStyle w:val="FootnoteText"/>
      </w:pPr>
      <w:r>
        <w:rPr>
          <w:rStyle w:val="FootnoteReference"/>
        </w:rPr>
        <w:footnoteRef/>
      </w:r>
      <w:r>
        <w:t xml:space="preserve"> </w:t>
      </w:r>
      <w:proofErr w:type="gramStart"/>
      <w:r>
        <w:t>PIERS is</w:t>
      </w:r>
      <w:proofErr w:type="gramEnd"/>
      <w:r>
        <w:t xml:space="preserve"> a proprietary database of U.S. international trade.</w:t>
      </w:r>
    </w:p>
  </w:footnote>
  <w:footnote w:id="4">
    <w:p w:rsidR="00306D03" w:rsidRDefault="00306D03">
      <w:pPr>
        <w:pStyle w:val="FootnoteText"/>
      </w:pPr>
      <w:r>
        <w:rPr>
          <w:rStyle w:val="FootnoteReference"/>
        </w:rPr>
        <w:footnoteRef/>
      </w:r>
      <w:r>
        <w:t xml:space="preserve"> </w:t>
      </w:r>
      <w:r w:rsidRPr="003750C7">
        <w:t>O</w:t>
      </w:r>
      <w:r>
        <w:t>rbis</w:t>
      </w:r>
      <w:r w:rsidRPr="003750C7">
        <w:t xml:space="preserve"> is a proprietary </w:t>
      </w:r>
      <w:r>
        <w:t xml:space="preserve">global </w:t>
      </w:r>
      <w:r w:rsidRPr="003750C7">
        <w:t xml:space="preserve">database </w:t>
      </w:r>
      <w:r>
        <w:t>with</w:t>
      </w:r>
      <w:r w:rsidRPr="003750C7">
        <w:t xml:space="preserve"> information </w:t>
      </w:r>
      <w:r>
        <w:t>on public and private companies</w:t>
      </w:r>
      <w:r w:rsidRPr="00FC79F4">
        <w:t>.</w:t>
      </w:r>
    </w:p>
  </w:footnote>
  <w:footnote w:id="5">
    <w:p w:rsidR="00306D03" w:rsidRDefault="00306D03">
      <w:pPr>
        <w:pStyle w:val="FootnoteText"/>
      </w:pPr>
      <w:r>
        <w:rPr>
          <w:rStyle w:val="FootnoteReference"/>
        </w:rPr>
        <w:footnoteRef/>
      </w:r>
      <w:r>
        <w:t xml:space="preserve"> See table 5 below, which shows that small firms are very unlikely to export to India.  </w:t>
      </w:r>
      <w:r w:rsidRPr="004930D6">
        <w:t>For select agriculture and food processing NAICS categories, the employment cutoff was lowered to 20 employees as such firms are more frequently able to export.  For select services NAICS categories, the cutoff was raised to 100 employees, as they were deemed unlikely to export or have a foreign affiliate with fewer than 100 employees.</w:t>
      </w:r>
    </w:p>
  </w:footnote>
  <w:footnote w:id="6">
    <w:p w:rsidR="00306D03" w:rsidRDefault="00306D03">
      <w:pPr>
        <w:pStyle w:val="FootnoteText"/>
      </w:pPr>
      <w:r>
        <w:rPr>
          <w:rStyle w:val="FootnoteReference"/>
        </w:rPr>
        <w:footnoteRef/>
      </w:r>
      <w:r>
        <w:t xml:space="preserve"> </w:t>
      </w:r>
      <w:r w:rsidRPr="00656312">
        <w:t>By design these strata will be non-overlapping.  Each firm is identified with a sole industry and size. There may be duplicates as sources may contain overlapping sets.  These will be manually deleted.</w:t>
      </w:r>
    </w:p>
  </w:footnote>
  <w:footnote w:id="7">
    <w:p w:rsidR="00306D03" w:rsidRDefault="00306D03">
      <w:pPr>
        <w:pStyle w:val="FootnoteText"/>
      </w:pPr>
      <w:r>
        <w:rPr>
          <w:rStyle w:val="FootnoteReference"/>
        </w:rPr>
        <w:footnoteRef/>
      </w:r>
      <w:r>
        <w:t xml:space="preserve"> These NAICS sectors are those used for obtaining the broad-based Orbis list. Although these are the main sectors of interest, firms whose primary NAICS sectors are not included in the list in appendix table A.1 may be included in the specialty databases, as long as these firms operate within an industry of interest. </w:t>
      </w:r>
    </w:p>
  </w:footnote>
  <w:footnote w:id="8">
    <w:p w:rsidR="00306D03" w:rsidRDefault="00306D03" w:rsidP="00EA1716">
      <w:pPr>
        <w:pStyle w:val="FootnoteText"/>
      </w:pPr>
      <w:r>
        <w:rPr>
          <w:rStyle w:val="FootnoteReference"/>
        </w:rPr>
        <w:footnoteRef/>
      </w:r>
      <w:r>
        <w:t xml:space="preserve"> The Bureau of Economic Analysis collects data on firms with foreign investment, and Census collects data on exporting firms; no list of all globally engaged firms is publicly available.  Census data may become available to us (see above) in time for partial inclusion into the survey.</w:t>
      </w:r>
    </w:p>
  </w:footnote>
  <w:footnote w:id="9">
    <w:p w:rsidR="00306D03" w:rsidRDefault="00306D03">
      <w:pPr>
        <w:pStyle w:val="FootnoteText"/>
      </w:pPr>
      <w:r>
        <w:rPr>
          <w:rStyle w:val="FootnoteReference"/>
        </w:rPr>
        <w:footnoteRef/>
      </w:r>
      <w:r>
        <w:t xml:space="preserve"> In prior surveys undertaken by the USITC, the response rates have ranged between 39 percent and 57 percent.</w:t>
      </w:r>
    </w:p>
  </w:footnote>
  <w:footnote w:id="10">
    <w:p w:rsidR="00306D03" w:rsidRPr="009F26BC" w:rsidRDefault="00306D03" w:rsidP="006D2DB7">
      <w:pPr>
        <w:pStyle w:val="FootnoteText"/>
      </w:pPr>
      <w:r w:rsidRPr="00123A00">
        <w:rPr>
          <w:rStyle w:val="FootnoteReference"/>
        </w:rPr>
        <w:footnoteRef/>
      </w:r>
      <w:r w:rsidRPr="00123A00">
        <w:t xml:space="preserve"> Shares are based on USITC </w:t>
      </w:r>
      <w:r w:rsidRPr="007B1BDC">
        <w:t xml:space="preserve">judgment of the likelihood of engagement with India. See Christman, Mary, 2009, “Sampling of rare populations,” </w:t>
      </w:r>
      <w:r w:rsidRPr="007B1BDC">
        <w:rPr>
          <w:i/>
        </w:rPr>
        <w:t>Handbook of Statistics</w:t>
      </w:r>
      <w:r w:rsidRPr="007B1BDC">
        <w:t xml:space="preserve"> vol. 29A, 112; and Kalton, Graham</w:t>
      </w:r>
      <w:r>
        <w:t xml:space="preserve">, 2009, “Methods for oversampling rare subpopulations in social surveys,” </w:t>
      </w:r>
      <w:r w:rsidRPr="009F26BC">
        <w:rPr>
          <w:i/>
        </w:rPr>
        <w:t>Survey Methodology</w:t>
      </w:r>
      <w:r>
        <w:t xml:space="preserve"> vol. 35 no. 2, 127. </w:t>
      </w:r>
    </w:p>
  </w:footnote>
  <w:footnote w:id="11">
    <w:p w:rsidR="00306D03" w:rsidRPr="00BF5DCC" w:rsidRDefault="00306D03">
      <w:pPr>
        <w:pStyle w:val="FootnoteText"/>
      </w:pPr>
      <w:r>
        <w:rPr>
          <w:rStyle w:val="FootnoteReference"/>
        </w:rPr>
        <w:footnoteRef/>
      </w:r>
      <w:r>
        <w:t xml:space="preserve"> </w:t>
      </w:r>
      <w:proofErr w:type="gramStart"/>
      <w:r>
        <w:t xml:space="preserve">Heeringa, </w:t>
      </w:r>
      <w:r w:rsidRPr="00BF5DCC">
        <w:t>Steven G., Brady T. West, and Patricia A. Berglund</w:t>
      </w:r>
      <w:r>
        <w:t>.</w:t>
      </w:r>
      <w:proofErr w:type="gramEnd"/>
      <w:r>
        <w:t xml:space="preserve"> 2010. </w:t>
      </w:r>
      <w:r>
        <w:rPr>
          <w:i/>
        </w:rPr>
        <w:t>Applied Survey Data Analysis</w:t>
      </w:r>
      <w:r>
        <w:t xml:space="preserve">. </w:t>
      </w:r>
      <w:proofErr w:type="gramStart"/>
      <w:r w:rsidRPr="00BF5DCC">
        <w:t>Chapman and Hall/CRC</w:t>
      </w:r>
      <w:r>
        <w:t>.</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639E20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D3B82"/>
    <w:multiLevelType w:val="hybridMultilevel"/>
    <w:tmpl w:val="4024F1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5285F"/>
    <w:multiLevelType w:val="hybridMultilevel"/>
    <w:tmpl w:val="09A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353130"/>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E8449B9"/>
    <w:multiLevelType w:val="hybridMultilevel"/>
    <w:tmpl w:val="0D82A5D2"/>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64CC279D"/>
    <w:multiLevelType w:val="hybridMultilevel"/>
    <w:tmpl w:val="CBD071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BE32DF1"/>
    <w:multiLevelType w:val="hybridMultilevel"/>
    <w:tmpl w:val="52C8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C6691A"/>
    <w:multiLevelType w:val="hybridMultilevel"/>
    <w:tmpl w:val="D54666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2572F2"/>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096BAD"/>
    <w:multiLevelType w:val="hybridMultilevel"/>
    <w:tmpl w:val="73226C86"/>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9"/>
  </w:num>
  <w:num w:numId="9">
    <w:abstractNumId w:val="1"/>
  </w:num>
  <w:num w:numId="10">
    <w:abstractNumId w:val="8"/>
  </w:num>
  <w:num w:numId="11">
    <w:abstractNumId w:val="17"/>
  </w:num>
  <w:num w:numId="12">
    <w:abstractNumId w:val="15"/>
  </w:num>
  <w:num w:numId="13">
    <w:abstractNumId w:val="7"/>
  </w:num>
  <w:num w:numId="14">
    <w:abstractNumId w:val="5"/>
  </w:num>
  <w:num w:numId="15">
    <w:abstractNumId w:val="6"/>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12"/>
  </w:num>
  <w:num w:numId="20">
    <w:abstractNumId w:val="11"/>
  </w:num>
  <w:num w:numId="21">
    <w:abstractNumId w:val="18"/>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656D"/>
    <w:rsid w:val="00006CE6"/>
    <w:rsid w:val="00017094"/>
    <w:rsid w:val="00021C85"/>
    <w:rsid w:val="00022819"/>
    <w:rsid w:val="00023151"/>
    <w:rsid w:val="00023E80"/>
    <w:rsid w:val="000267D5"/>
    <w:rsid w:val="00031238"/>
    <w:rsid w:val="00035521"/>
    <w:rsid w:val="00040152"/>
    <w:rsid w:val="00050717"/>
    <w:rsid w:val="000539CF"/>
    <w:rsid w:val="00055E72"/>
    <w:rsid w:val="00057398"/>
    <w:rsid w:val="00057918"/>
    <w:rsid w:val="0006407C"/>
    <w:rsid w:val="000671C8"/>
    <w:rsid w:val="000702FD"/>
    <w:rsid w:val="0009106C"/>
    <w:rsid w:val="000920FB"/>
    <w:rsid w:val="000935B7"/>
    <w:rsid w:val="0009593A"/>
    <w:rsid w:val="00096351"/>
    <w:rsid w:val="00097558"/>
    <w:rsid w:val="00097A7E"/>
    <w:rsid w:val="000A1187"/>
    <w:rsid w:val="000A377E"/>
    <w:rsid w:val="000A7B18"/>
    <w:rsid w:val="000C24DF"/>
    <w:rsid w:val="000C36BE"/>
    <w:rsid w:val="000C423F"/>
    <w:rsid w:val="000C6DC5"/>
    <w:rsid w:val="000D2A6E"/>
    <w:rsid w:val="000F324E"/>
    <w:rsid w:val="000F3469"/>
    <w:rsid w:val="000F48D0"/>
    <w:rsid w:val="000F590D"/>
    <w:rsid w:val="001006A9"/>
    <w:rsid w:val="00106346"/>
    <w:rsid w:val="0011175D"/>
    <w:rsid w:val="001120BD"/>
    <w:rsid w:val="001150FF"/>
    <w:rsid w:val="001201DF"/>
    <w:rsid w:val="00120C8C"/>
    <w:rsid w:val="0012131E"/>
    <w:rsid w:val="00121683"/>
    <w:rsid w:val="00122C38"/>
    <w:rsid w:val="00123A00"/>
    <w:rsid w:val="00126399"/>
    <w:rsid w:val="00132BDD"/>
    <w:rsid w:val="0013719E"/>
    <w:rsid w:val="00137C93"/>
    <w:rsid w:val="00140281"/>
    <w:rsid w:val="001419EE"/>
    <w:rsid w:val="00144C3D"/>
    <w:rsid w:val="00145162"/>
    <w:rsid w:val="00146E1E"/>
    <w:rsid w:val="00151AB6"/>
    <w:rsid w:val="0015273B"/>
    <w:rsid w:val="00154DE5"/>
    <w:rsid w:val="001564D7"/>
    <w:rsid w:val="0016172F"/>
    <w:rsid w:val="00162A57"/>
    <w:rsid w:val="00170E3B"/>
    <w:rsid w:val="0017284E"/>
    <w:rsid w:val="00172E1D"/>
    <w:rsid w:val="0017396B"/>
    <w:rsid w:val="00176DE8"/>
    <w:rsid w:val="001820B6"/>
    <w:rsid w:val="00183F14"/>
    <w:rsid w:val="00186BBB"/>
    <w:rsid w:val="0019213E"/>
    <w:rsid w:val="00192E82"/>
    <w:rsid w:val="00192EEB"/>
    <w:rsid w:val="001960A0"/>
    <w:rsid w:val="0019649D"/>
    <w:rsid w:val="001A1871"/>
    <w:rsid w:val="001A1A72"/>
    <w:rsid w:val="001B1D92"/>
    <w:rsid w:val="001C205A"/>
    <w:rsid w:val="001D125C"/>
    <w:rsid w:val="001D6F76"/>
    <w:rsid w:val="001E7401"/>
    <w:rsid w:val="001E7E6B"/>
    <w:rsid w:val="001F3078"/>
    <w:rsid w:val="001F50CB"/>
    <w:rsid w:val="001F5E85"/>
    <w:rsid w:val="001F6E13"/>
    <w:rsid w:val="001F71FE"/>
    <w:rsid w:val="0020724D"/>
    <w:rsid w:val="0021087E"/>
    <w:rsid w:val="00210E5D"/>
    <w:rsid w:val="002121DE"/>
    <w:rsid w:val="00212B28"/>
    <w:rsid w:val="00221DF6"/>
    <w:rsid w:val="00223AC7"/>
    <w:rsid w:val="00247221"/>
    <w:rsid w:val="00252C29"/>
    <w:rsid w:val="002652B3"/>
    <w:rsid w:val="002669D9"/>
    <w:rsid w:val="00267FEF"/>
    <w:rsid w:val="002720FA"/>
    <w:rsid w:val="0027555C"/>
    <w:rsid w:val="00282941"/>
    <w:rsid w:val="00283C9A"/>
    <w:rsid w:val="00284158"/>
    <w:rsid w:val="00294D38"/>
    <w:rsid w:val="00296FEC"/>
    <w:rsid w:val="00297CE0"/>
    <w:rsid w:val="002A058A"/>
    <w:rsid w:val="002A0AF0"/>
    <w:rsid w:val="002A4646"/>
    <w:rsid w:val="002A75B7"/>
    <w:rsid w:val="002C0F2A"/>
    <w:rsid w:val="002C1EB9"/>
    <w:rsid w:val="002C3202"/>
    <w:rsid w:val="002C40E6"/>
    <w:rsid w:val="002C650D"/>
    <w:rsid w:val="002C71B9"/>
    <w:rsid w:val="002D6273"/>
    <w:rsid w:val="002D6DAB"/>
    <w:rsid w:val="00300348"/>
    <w:rsid w:val="00305168"/>
    <w:rsid w:val="00306D03"/>
    <w:rsid w:val="003077B9"/>
    <w:rsid w:val="0031284A"/>
    <w:rsid w:val="00312E35"/>
    <w:rsid w:val="00316FF9"/>
    <w:rsid w:val="003209F9"/>
    <w:rsid w:val="00323FA5"/>
    <w:rsid w:val="00325691"/>
    <w:rsid w:val="00325877"/>
    <w:rsid w:val="003312EA"/>
    <w:rsid w:val="003328E7"/>
    <w:rsid w:val="00333423"/>
    <w:rsid w:val="00335227"/>
    <w:rsid w:val="003359BF"/>
    <w:rsid w:val="0033608D"/>
    <w:rsid w:val="00341DBC"/>
    <w:rsid w:val="00343414"/>
    <w:rsid w:val="0034647D"/>
    <w:rsid w:val="0035302A"/>
    <w:rsid w:val="00361D0D"/>
    <w:rsid w:val="003644B9"/>
    <w:rsid w:val="00370395"/>
    <w:rsid w:val="003707F4"/>
    <w:rsid w:val="00372979"/>
    <w:rsid w:val="003750C7"/>
    <w:rsid w:val="00375C72"/>
    <w:rsid w:val="00384373"/>
    <w:rsid w:val="00385912"/>
    <w:rsid w:val="0039132F"/>
    <w:rsid w:val="00394B2F"/>
    <w:rsid w:val="00396F85"/>
    <w:rsid w:val="003A1C02"/>
    <w:rsid w:val="003A6D49"/>
    <w:rsid w:val="003A7123"/>
    <w:rsid w:val="003B055F"/>
    <w:rsid w:val="003B258A"/>
    <w:rsid w:val="003B2960"/>
    <w:rsid w:val="003B442E"/>
    <w:rsid w:val="003B56FA"/>
    <w:rsid w:val="003C18C5"/>
    <w:rsid w:val="003C374C"/>
    <w:rsid w:val="003C621A"/>
    <w:rsid w:val="003C6AAB"/>
    <w:rsid w:val="003C6EBE"/>
    <w:rsid w:val="003C77A4"/>
    <w:rsid w:val="003E78CF"/>
    <w:rsid w:val="003F0A6C"/>
    <w:rsid w:val="003F2882"/>
    <w:rsid w:val="003F4597"/>
    <w:rsid w:val="003F7977"/>
    <w:rsid w:val="004020AA"/>
    <w:rsid w:val="00405E20"/>
    <w:rsid w:val="00406244"/>
    <w:rsid w:val="00407BD2"/>
    <w:rsid w:val="00411356"/>
    <w:rsid w:val="00416DD5"/>
    <w:rsid w:val="004219A0"/>
    <w:rsid w:val="0042617E"/>
    <w:rsid w:val="00426388"/>
    <w:rsid w:val="0043230F"/>
    <w:rsid w:val="0043347E"/>
    <w:rsid w:val="00434F75"/>
    <w:rsid w:val="00435324"/>
    <w:rsid w:val="0043772B"/>
    <w:rsid w:val="00440FDE"/>
    <w:rsid w:val="0044101B"/>
    <w:rsid w:val="00443479"/>
    <w:rsid w:val="004478F1"/>
    <w:rsid w:val="004542E1"/>
    <w:rsid w:val="00454705"/>
    <w:rsid w:val="00454C9A"/>
    <w:rsid w:val="004552CA"/>
    <w:rsid w:val="00455379"/>
    <w:rsid w:val="00461C13"/>
    <w:rsid w:val="00462B68"/>
    <w:rsid w:val="0046345A"/>
    <w:rsid w:val="00463931"/>
    <w:rsid w:val="004645F0"/>
    <w:rsid w:val="00464A4B"/>
    <w:rsid w:val="00464ED9"/>
    <w:rsid w:val="00472F5F"/>
    <w:rsid w:val="00476B88"/>
    <w:rsid w:val="00484DD7"/>
    <w:rsid w:val="00486D02"/>
    <w:rsid w:val="00487B02"/>
    <w:rsid w:val="004930D6"/>
    <w:rsid w:val="004949A0"/>
    <w:rsid w:val="004A0905"/>
    <w:rsid w:val="004A096A"/>
    <w:rsid w:val="004A3754"/>
    <w:rsid w:val="004B2087"/>
    <w:rsid w:val="004B4881"/>
    <w:rsid w:val="004C028D"/>
    <w:rsid w:val="004D4F5C"/>
    <w:rsid w:val="004D6027"/>
    <w:rsid w:val="004E2764"/>
    <w:rsid w:val="004E33EB"/>
    <w:rsid w:val="004E4E4C"/>
    <w:rsid w:val="004E6983"/>
    <w:rsid w:val="004E757E"/>
    <w:rsid w:val="004F03D1"/>
    <w:rsid w:val="004F0618"/>
    <w:rsid w:val="004F4910"/>
    <w:rsid w:val="00502843"/>
    <w:rsid w:val="00504F18"/>
    <w:rsid w:val="005053D2"/>
    <w:rsid w:val="00505748"/>
    <w:rsid w:val="00505A40"/>
    <w:rsid w:val="005060F0"/>
    <w:rsid w:val="0051428F"/>
    <w:rsid w:val="00515598"/>
    <w:rsid w:val="005265E5"/>
    <w:rsid w:val="005279AD"/>
    <w:rsid w:val="005311CF"/>
    <w:rsid w:val="00532D43"/>
    <w:rsid w:val="005401B0"/>
    <w:rsid w:val="00541A62"/>
    <w:rsid w:val="00543D7C"/>
    <w:rsid w:val="0054414B"/>
    <w:rsid w:val="00546C27"/>
    <w:rsid w:val="0054735D"/>
    <w:rsid w:val="005547A9"/>
    <w:rsid w:val="00555806"/>
    <w:rsid w:val="00564C8F"/>
    <w:rsid w:val="0056601D"/>
    <w:rsid w:val="005670C0"/>
    <w:rsid w:val="00573741"/>
    <w:rsid w:val="00573D98"/>
    <w:rsid w:val="00573F7C"/>
    <w:rsid w:val="00574F07"/>
    <w:rsid w:val="00576ACC"/>
    <w:rsid w:val="00581492"/>
    <w:rsid w:val="00586138"/>
    <w:rsid w:val="005905FA"/>
    <w:rsid w:val="00592214"/>
    <w:rsid w:val="00594C37"/>
    <w:rsid w:val="005A5658"/>
    <w:rsid w:val="005A5774"/>
    <w:rsid w:val="005B2DA0"/>
    <w:rsid w:val="005B2E5E"/>
    <w:rsid w:val="005B3243"/>
    <w:rsid w:val="005B3420"/>
    <w:rsid w:val="005B348D"/>
    <w:rsid w:val="005B38CC"/>
    <w:rsid w:val="005D0A4D"/>
    <w:rsid w:val="005D3EA9"/>
    <w:rsid w:val="005D4A31"/>
    <w:rsid w:val="005E0999"/>
    <w:rsid w:val="005E0B08"/>
    <w:rsid w:val="005E1C84"/>
    <w:rsid w:val="005E2DAB"/>
    <w:rsid w:val="005E6DD7"/>
    <w:rsid w:val="005F1C01"/>
    <w:rsid w:val="005F2CC3"/>
    <w:rsid w:val="005F62F8"/>
    <w:rsid w:val="005F6858"/>
    <w:rsid w:val="005F6BBD"/>
    <w:rsid w:val="005F749C"/>
    <w:rsid w:val="00604780"/>
    <w:rsid w:val="00605638"/>
    <w:rsid w:val="0060645C"/>
    <w:rsid w:val="00607505"/>
    <w:rsid w:val="00611BE6"/>
    <w:rsid w:val="0061622F"/>
    <w:rsid w:val="00617860"/>
    <w:rsid w:val="00621290"/>
    <w:rsid w:val="006270EC"/>
    <w:rsid w:val="00632B9B"/>
    <w:rsid w:val="00633FAF"/>
    <w:rsid w:val="00634AC6"/>
    <w:rsid w:val="006359D2"/>
    <w:rsid w:val="00637E08"/>
    <w:rsid w:val="00641BE3"/>
    <w:rsid w:val="00646728"/>
    <w:rsid w:val="00646F5E"/>
    <w:rsid w:val="00647632"/>
    <w:rsid w:val="00647C3D"/>
    <w:rsid w:val="00652A8F"/>
    <w:rsid w:val="00656312"/>
    <w:rsid w:val="006650A6"/>
    <w:rsid w:val="006664DD"/>
    <w:rsid w:val="0067148B"/>
    <w:rsid w:val="00677031"/>
    <w:rsid w:val="00683E89"/>
    <w:rsid w:val="00683F75"/>
    <w:rsid w:val="00685EC4"/>
    <w:rsid w:val="006909E4"/>
    <w:rsid w:val="006A02C2"/>
    <w:rsid w:val="006A2932"/>
    <w:rsid w:val="006A4C02"/>
    <w:rsid w:val="006A5690"/>
    <w:rsid w:val="006B0044"/>
    <w:rsid w:val="006B081C"/>
    <w:rsid w:val="006B2728"/>
    <w:rsid w:val="006C2B1F"/>
    <w:rsid w:val="006C2F09"/>
    <w:rsid w:val="006C51C8"/>
    <w:rsid w:val="006C53E7"/>
    <w:rsid w:val="006C56E5"/>
    <w:rsid w:val="006C76C7"/>
    <w:rsid w:val="006D2DB7"/>
    <w:rsid w:val="006D77A5"/>
    <w:rsid w:val="006E01BE"/>
    <w:rsid w:val="006E26FE"/>
    <w:rsid w:val="006E672B"/>
    <w:rsid w:val="006E7F39"/>
    <w:rsid w:val="006F15C4"/>
    <w:rsid w:val="006F1B2A"/>
    <w:rsid w:val="006F2859"/>
    <w:rsid w:val="006F6387"/>
    <w:rsid w:val="006F78D8"/>
    <w:rsid w:val="00700661"/>
    <w:rsid w:val="0070336B"/>
    <w:rsid w:val="007120CF"/>
    <w:rsid w:val="00717630"/>
    <w:rsid w:val="00724165"/>
    <w:rsid w:val="00726B0A"/>
    <w:rsid w:val="00732FBE"/>
    <w:rsid w:val="00733F34"/>
    <w:rsid w:val="00734946"/>
    <w:rsid w:val="007351BF"/>
    <w:rsid w:val="0073726F"/>
    <w:rsid w:val="00741002"/>
    <w:rsid w:val="00743AC0"/>
    <w:rsid w:val="00750C9D"/>
    <w:rsid w:val="00751A33"/>
    <w:rsid w:val="00756CEC"/>
    <w:rsid w:val="00761B68"/>
    <w:rsid w:val="007624A6"/>
    <w:rsid w:val="0077289F"/>
    <w:rsid w:val="00777441"/>
    <w:rsid w:val="0078105A"/>
    <w:rsid w:val="00781749"/>
    <w:rsid w:val="00781FCF"/>
    <w:rsid w:val="0078363A"/>
    <w:rsid w:val="007866EF"/>
    <w:rsid w:val="00793AE9"/>
    <w:rsid w:val="00794DF8"/>
    <w:rsid w:val="0079723E"/>
    <w:rsid w:val="00797C60"/>
    <w:rsid w:val="007A2DF9"/>
    <w:rsid w:val="007A37F5"/>
    <w:rsid w:val="007A4B36"/>
    <w:rsid w:val="007B0374"/>
    <w:rsid w:val="007B1BDC"/>
    <w:rsid w:val="007C1A8C"/>
    <w:rsid w:val="007C4F26"/>
    <w:rsid w:val="007C63BF"/>
    <w:rsid w:val="007C73E1"/>
    <w:rsid w:val="007D052D"/>
    <w:rsid w:val="007D2DC0"/>
    <w:rsid w:val="007F4AF0"/>
    <w:rsid w:val="007F76E4"/>
    <w:rsid w:val="00800E30"/>
    <w:rsid w:val="00801B1E"/>
    <w:rsid w:val="00814B34"/>
    <w:rsid w:val="00815BB0"/>
    <w:rsid w:val="00820D27"/>
    <w:rsid w:val="008223D0"/>
    <w:rsid w:val="00823089"/>
    <w:rsid w:val="008242A8"/>
    <w:rsid w:val="00824CDB"/>
    <w:rsid w:val="008317AB"/>
    <w:rsid w:val="0083367D"/>
    <w:rsid w:val="00834D6C"/>
    <w:rsid w:val="00834D9A"/>
    <w:rsid w:val="00836458"/>
    <w:rsid w:val="00836704"/>
    <w:rsid w:val="00840315"/>
    <w:rsid w:val="00840FF6"/>
    <w:rsid w:val="008451AE"/>
    <w:rsid w:val="00846C93"/>
    <w:rsid w:val="00852B83"/>
    <w:rsid w:val="00853067"/>
    <w:rsid w:val="00853BA1"/>
    <w:rsid w:val="0085784A"/>
    <w:rsid w:val="00872E38"/>
    <w:rsid w:val="008738A1"/>
    <w:rsid w:val="008743EB"/>
    <w:rsid w:val="00884811"/>
    <w:rsid w:val="00885F67"/>
    <w:rsid w:val="00892675"/>
    <w:rsid w:val="008A1D68"/>
    <w:rsid w:val="008A3B57"/>
    <w:rsid w:val="008A6559"/>
    <w:rsid w:val="008A6DC0"/>
    <w:rsid w:val="008B0EF7"/>
    <w:rsid w:val="008B2468"/>
    <w:rsid w:val="008B4D47"/>
    <w:rsid w:val="008B6673"/>
    <w:rsid w:val="008B7DCE"/>
    <w:rsid w:val="008C4829"/>
    <w:rsid w:val="008C63F2"/>
    <w:rsid w:val="008C6C16"/>
    <w:rsid w:val="008E5CE6"/>
    <w:rsid w:val="008E7D9E"/>
    <w:rsid w:val="008F774A"/>
    <w:rsid w:val="008F7E8C"/>
    <w:rsid w:val="00900207"/>
    <w:rsid w:val="00902A94"/>
    <w:rsid w:val="00905A71"/>
    <w:rsid w:val="009060D3"/>
    <w:rsid w:val="00906D4F"/>
    <w:rsid w:val="00907841"/>
    <w:rsid w:val="009109B9"/>
    <w:rsid w:val="00910EC4"/>
    <w:rsid w:val="00913031"/>
    <w:rsid w:val="00914453"/>
    <w:rsid w:val="0092120A"/>
    <w:rsid w:val="00921561"/>
    <w:rsid w:val="00923465"/>
    <w:rsid w:val="00924A3D"/>
    <w:rsid w:val="009312AA"/>
    <w:rsid w:val="0093197A"/>
    <w:rsid w:val="00935EF7"/>
    <w:rsid w:val="009457D7"/>
    <w:rsid w:val="009521C9"/>
    <w:rsid w:val="009524ED"/>
    <w:rsid w:val="00953CCB"/>
    <w:rsid w:val="00954A49"/>
    <w:rsid w:val="0095789D"/>
    <w:rsid w:val="0096111F"/>
    <w:rsid w:val="0096407A"/>
    <w:rsid w:val="009645D4"/>
    <w:rsid w:val="00975B2D"/>
    <w:rsid w:val="00984FA8"/>
    <w:rsid w:val="00986A76"/>
    <w:rsid w:val="00986CEC"/>
    <w:rsid w:val="00990771"/>
    <w:rsid w:val="009A265D"/>
    <w:rsid w:val="009A385D"/>
    <w:rsid w:val="009A5354"/>
    <w:rsid w:val="009A75A3"/>
    <w:rsid w:val="009B249A"/>
    <w:rsid w:val="009B34EF"/>
    <w:rsid w:val="009C5ADC"/>
    <w:rsid w:val="009C6BBB"/>
    <w:rsid w:val="009C71CE"/>
    <w:rsid w:val="009D1C21"/>
    <w:rsid w:val="009D2A5D"/>
    <w:rsid w:val="009D411C"/>
    <w:rsid w:val="009D7B59"/>
    <w:rsid w:val="009F092A"/>
    <w:rsid w:val="009F26BC"/>
    <w:rsid w:val="00A01EC7"/>
    <w:rsid w:val="00A0205D"/>
    <w:rsid w:val="00A04DC9"/>
    <w:rsid w:val="00A1781E"/>
    <w:rsid w:val="00A208BA"/>
    <w:rsid w:val="00A263C7"/>
    <w:rsid w:val="00A26561"/>
    <w:rsid w:val="00A26ADC"/>
    <w:rsid w:val="00A3192B"/>
    <w:rsid w:val="00A3675D"/>
    <w:rsid w:val="00A52961"/>
    <w:rsid w:val="00A57BD0"/>
    <w:rsid w:val="00A57BEA"/>
    <w:rsid w:val="00A62747"/>
    <w:rsid w:val="00A77A73"/>
    <w:rsid w:val="00A90E28"/>
    <w:rsid w:val="00A9139D"/>
    <w:rsid w:val="00A92A07"/>
    <w:rsid w:val="00A942E1"/>
    <w:rsid w:val="00AA4AE4"/>
    <w:rsid w:val="00AB09BD"/>
    <w:rsid w:val="00AB2C76"/>
    <w:rsid w:val="00AB699E"/>
    <w:rsid w:val="00AC08B3"/>
    <w:rsid w:val="00AC0A5B"/>
    <w:rsid w:val="00AC2E09"/>
    <w:rsid w:val="00AC2F01"/>
    <w:rsid w:val="00AC4216"/>
    <w:rsid w:val="00AC461E"/>
    <w:rsid w:val="00AD2376"/>
    <w:rsid w:val="00AE478D"/>
    <w:rsid w:val="00AF35D2"/>
    <w:rsid w:val="00AF73C2"/>
    <w:rsid w:val="00B02E0A"/>
    <w:rsid w:val="00B04905"/>
    <w:rsid w:val="00B07DAA"/>
    <w:rsid w:val="00B1064D"/>
    <w:rsid w:val="00B12227"/>
    <w:rsid w:val="00B12869"/>
    <w:rsid w:val="00B15F97"/>
    <w:rsid w:val="00B164B5"/>
    <w:rsid w:val="00B168C7"/>
    <w:rsid w:val="00B221E5"/>
    <w:rsid w:val="00B32841"/>
    <w:rsid w:val="00B3674E"/>
    <w:rsid w:val="00B37E35"/>
    <w:rsid w:val="00B40D36"/>
    <w:rsid w:val="00B46AC0"/>
    <w:rsid w:val="00B50E70"/>
    <w:rsid w:val="00B54209"/>
    <w:rsid w:val="00B54F56"/>
    <w:rsid w:val="00B557FE"/>
    <w:rsid w:val="00B627E5"/>
    <w:rsid w:val="00B64761"/>
    <w:rsid w:val="00B658A3"/>
    <w:rsid w:val="00B71063"/>
    <w:rsid w:val="00B75FEA"/>
    <w:rsid w:val="00B76908"/>
    <w:rsid w:val="00B86EA5"/>
    <w:rsid w:val="00B87D01"/>
    <w:rsid w:val="00B95298"/>
    <w:rsid w:val="00B97AE8"/>
    <w:rsid w:val="00BB63C6"/>
    <w:rsid w:val="00BC0A72"/>
    <w:rsid w:val="00BC2AE6"/>
    <w:rsid w:val="00BD7D74"/>
    <w:rsid w:val="00BE0CC1"/>
    <w:rsid w:val="00BE1735"/>
    <w:rsid w:val="00BE47D1"/>
    <w:rsid w:val="00BF4029"/>
    <w:rsid w:val="00BF4B6D"/>
    <w:rsid w:val="00BF5DCC"/>
    <w:rsid w:val="00C05701"/>
    <w:rsid w:val="00C062ED"/>
    <w:rsid w:val="00C067A1"/>
    <w:rsid w:val="00C07B0D"/>
    <w:rsid w:val="00C1006B"/>
    <w:rsid w:val="00C123DF"/>
    <w:rsid w:val="00C12BF7"/>
    <w:rsid w:val="00C1597C"/>
    <w:rsid w:val="00C166EC"/>
    <w:rsid w:val="00C20D4C"/>
    <w:rsid w:val="00C24FD6"/>
    <w:rsid w:val="00C260A1"/>
    <w:rsid w:val="00C355E2"/>
    <w:rsid w:val="00C44159"/>
    <w:rsid w:val="00C44D5C"/>
    <w:rsid w:val="00C45FF9"/>
    <w:rsid w:val="00C5160A"/>
    <w:rsid w:val="00C551D4"/>
    <w:rsid w:val="00C570F1"/>
    <w:rsid w:val="00C71743"/>
    <w:rsid w:val="00C73608"/>
    <w:rsid w:val="00C742D0"/>
    <w:rsid w:val="00C82E7A"/>
    <w:rsid w:val="00C83591"/>
    <w:rsid w:val="00C85C28"/>
    <w:rsid w:val="00C85C29"/>
    <w:rsid w:val="00C85F85"/>
    <w:rsid w:val="00C90B54"/>
    <w:rsid w:val="00C947D9"/>
    <w:rsid w:val="00C97891"/>
    <w:rsid w:val="00CA0F61"/>
    <w:rsid w:val="00CA2DC8"/>
    <w:rsid w:val="00CA73B2"/>
    <w:rsid w:val="00CB383B"/>
    <w:rsid w:val="00CB72CF"/>
    <w:rsid w:val="00CC2AAA"/>
    <w:rsid w:val="00CC3D97"/>
    <w:rsid w:val="00CC3FDD"/>
    <w:rsid w:val="00CD1B43"/>
    <w:rsid w:val="00CD222B"/>
    <w:rsid w:val="00CD402A"/>
    <w:rsid w:val="00CD4D72"/>
    <w:rsid w:val="00CD4D97"/>
    <w:rsid w:val="00CE0919"/>
    <w:rsid w:val="00CE1DD6"/>
    <w:rsid w:val="00CE241D"/>
    <w:rsid w:val="00CE24A9"/>
    <w:rsid w:val="00CE278C"/>
    <w:rsid w:val="00CE46C3"/>
    <w:rsid w:val="00CE7D85"/>
    <w:rsid w:val="00CF6890"/>
    <w:rsid w:val="00D016C2"/>
    <w:rsid w:val="00D049B7"/>
    <w:rsid w:val="00D05074"/>
    <w:rsid w:val="00D24E85"/>
    <w:rsid w:val="00D26B08"/>
    <w:rsid w:val="00D31988"/>
    <w:rsid w:val="00D3556F"/>
    <w:rsid w:val="00D45FAA"/>
    <w:rsid w:val="00D462AE"/>
    <w:rsid w:val="00D536FA"/>
    <w:rsid w:val="00D53A5A"/>
    <w:rsid w:val="00D619D7"/>
    <w:rsid w:val="00D62DF4"/>
    <w:rsid w:val="00D63F6D"/>
    <w:rsid w:val="00D64007"/>
    <w:rsid w:val="00D665B6"/>
    <w:rsid w:val="00D674E1"/>
    <w:rsid w:val="00D71D15"/>
    <w:rsid w:val="00D71F3F"/>
    <w:rsid w:val="00D7401F"/>
    <w:rsid w:val="00D7574C"/>
    <w:rsid w:val="00D76D82"/>
    <w:rsid w:val="00D80925"/>
    <w:rsid w:val="00D82C2D"/>
    <w:rsid w:val="00D9092E"/>
    <w:rsid w:val="00D93BB1"/>
    <w:rsid w:val="00DA091C"/>
    <w:rsid w:val="00DA233F"/>
    <w:rsid w:val="00DA2BCA"/>
    <w:rsid w:val="00DA7286"/>
    <w:rsid w:val="00DB043F"/>
    <w:rsid w:val="00DC4CAE"/>
    <w:rsid w:val="00DC4DFD"/>
    <w:rsid w:val="00DF1997"/>
    <w:rsid w:val="00E07977"/>
    <w:rsid w:val="00E22FED"/>
    <w:rsid w:val="00E266F6"/>
    <w:rsid w:val="00E2799E"/>
    <w:rsid w:val="00E317E8"/>
    <w:rsid w:val="00E3554B"/>
    <w:rsid w:val="00E40453"/>
    <w:rsid w:val="00E438AA"/>
    <w:rsid w:val="00E443F9"/>
    <w:rsid w:val="00E445A1"/>
    <w:rsid w:val="00E50A84"/>
    <w:rsid w:val="00E53EFD"/>
    <w:rsid w:val="00E5755B"/>
    <w:rsid w:val="00E640B8"/>
    <w:rsid w:val="00E640FB"/>
    <w:rsid w:val="00E6791D"/>
    <w:rsid w:val="00E70F6E"/>
    <w:rsid w:val="00E74CB3"/>
    <w:rsid w:val="00E86938"/>
    <w:rsid w:val="00E958CE"/>
    <w:rsid w:val="00E95FF1"/>
    <w:rsid w:val="00EA1716"/>
    <w:rsid w:val="00EA4E42"/>
    <w:rsid w:val="00EA7944"/>
    <w:rsid w:val="00EB32F9"/>
    <w:rsid w:val="00EB5C6D"/>
    <w:rsid w:val="00EB7D1C"/>
    <w:rsid w:val="00ED2979"/>
    <w:rsid w:val="00ED36C3"/>
    <w:rsid w:val="00ED4774"/>
    <w:rsid w:val="00ED5829"/>
    <w:rsid w:val="00ED79BC"/>
    <w:rsid w:val="00EE2109"/>
    <w:rsid w:val="00EE3E01"/>
    <w:rsid w:val="00EE49A9"/>
    <w:rsid w:val="00EE5FCB"/>
    <w:rsid w:val="00EE7304"/>
    <w:rsid w:val="00EF233E"/>
    <w:rsid w:val="00EF6C40"/>
    <w:rsid w:val="00F017E8"/>
    <w:rsid w:val="00F03B3C"/>
    <w:rsid w:val="00F040F7"/>
    <w:rsid w:val="00F05608"/>
    <w:rsid w:val="00F06397"/>
    <w:rsid w:val="00F07716"/>
    <w:rsid w:val="00F130BD"/>
    <w:rsid w:val="00F14961"/>
    <w:rsid w:val="00F15D0E"/>
    <w:rsid w:val="00F168DA"/>
    <w:rsid w:val="00F227D5"/>
    <w:rsid w:val="00F26F2D"/>
    <w:rsid w:val="00F31949"/>
    <w:rsid w:val="00F34729"/>
    <w:rsid w:val="00F34F7E"/>
    <w:rsid w:val="00F36CC7"/>
    <w:rsid w:val="00F4790F"/>
    <w:rsid w:val="00F5031D"/>
    <w:rsid w:val="00F507ED"/>
    <w:rsid w:val="00F52AC8"/>
    <w:rsid w:val="00F52B59"/>
    <w:rsid w:val="00F554C9"/>
    <w:rsid w:val="00F620E0"/>
    <w:rsid w:val="00F65F53"/>
    <w:rsid w:val="00F71F26"/>
    <w:rsid w:val="00F73CE6"/>
    <w:rsid w:val="00F77511"/>
    <w:rsid w:val="00F80DFB"/>
    <w:rsid w:val="00F81778"/>
    <w:rsid w:val="00F84E08"/>
    <w:rsid w:val="00F87FEF"/>
    <w:rsid w:val="00F915C5"/>
    <w:rsid w:val="00F91E4C"/>
    <w:rsid w:val="00F935FC"/>
    <w:rsid w:val="00F94574"/>
    <w:rsid w:val="00F95286"/>
    <w:rsid w:val="00F95CE9"/>
    <w:rsid w:val="00FA0000"/>
    <w:rsid w:val="00FA0A4A"/>
    <w:rsid w:val="00FA24DC"/>
    <w:rsid w:val="00FB0837"/>
    <w:rsid w:val="00FB2701"/>
    <w:rsid w:val="00FB42AE"/>
    <w:rsid w:val="00FB4347"/>
    <w:rsid w:val="00FB4D05"/>
    <w:rsid w:val="00FC10C9"/>
    <w:rsid w:val="00FC278F"/>
    <w:rsid w:val="00FC3BC0"/>
    <w:rsid w:val="00FC72B0"/>
    <w:rsid w:val="00FC79F4"/>
    <w:rsid w:val="00FD31C9"/>
    <w:rsid w:val="00FD454A"/>
    <w:rsid w:val="00FD71F3"/>
    <w:rsid w:val="00FE3E34"/>
    <w:rsid w:val="00FE417F"/>
    <w:rsid w:val="00FE44EB"/>
    <w:rsid w:val="00FE4505"/>
    <w:rsid w:val="00FE5A75"/>
    <w:rsid w:val="00FE5E6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81608507">
      <w:bodyDiv w:val="1"/>
      <w:marLeft w:val="0"/>
      <w:marRight w:val="0"/>
      <w:marTop w:val="0"/>
      <w:marBottom w:val="0"/>
      <w:divBdr>
        <w:top w:val="none" w:sz="0" w:space="0" w:color="auto"/>
        <w:left w:val="none" w:sz="0" w:space="0" w:color="auto"/>
        <w:bottom w:val="none" w:sz="0" w:space="0" w:color="auto"/>
        <w:right w:val="none" w:sz="0" w:space="0" w:color="auto"/>
      </w:divBdr>
    </w:div>
    <w:div w:id="205416116">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237446896">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30172586">
      <w:bodyDiv w:val="1"/>
      <w:marLeft w:val="0"/>
      <w:marRight w:val="0"/>
      <w:marTop w:val="0"/>
      <w:marBottom w:val="0"/>
      <w:divBdr>
        <w:top w:val="none" w:sz="0" w:space="0" w:color="auto"/>
        <w:left w:val="none" w:sz="0" w:space="0" w:color="auto"/>
        <w:bottom w:val="none" w:sz="0" w:space="0" w:color="auto"/>
        <w:right w:val="none" w:sz="0" w:space="0" w:color="auto"/>
      </w:divBdr>
    </w:div>
    <w:div w:id="834494110">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39091337">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461191222">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756440498">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862669574">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025591203">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 w:id="21149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ni.fukui@usit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ee.berry@usitc.gov" TargetMode="External"/><Relationship Id="rId5" Type="http://schemas.openxmlformats.org/officeDocument/2006/relationships/settings" Target="settings.xml"/><Relationship Id="rId10" Type="http://schemas.openxmlformats.org/officeDocument/2006/relationships/hyperlink" Target="mailto:william.powers@usit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7DBA-6A39-4465-BDE5-A4DAAEF1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1CF2C375</Template>
  <TotalTime>82</TotalTime>
  <Pages>14</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32021</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Berry, Renee</cp:lastModifiedBy>
  <cp:revision>35</cp:revision>
  <cp:lastPrinted>2013-12-20T21:59:00Z</cp:lastPrinted>
  <dcterms:created xsi:type="dcterms:W3CDTF">2013-12-13T18:13:00Z</dcterms:created>
  <dcterms:modified xsi:type="dcterms:W3CDTF">2013-12-23T14:32:00Z</dcterms:modified>
</cp:coreProperties>
</file>