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B1" w:rsidRPr="00C640FC" w:rsidRDefault="00CF53B1" w:rsidP="00CF53B1">
      <w:pPr>
        <w:keepLines/>
        <w:autoSpaceDE w:val="0"/>
        <w:autoSpaceDN w:val="0"/>
        <w:adjustRightInd w:val="0"/>
        <w:spacing w:line="240" w:lineRule="atLeast"/>
        <w:jc w:val="center"/>
        <w:rPr>
          <w:rFonts w:cs="Arial"/>
          <w:b/>
          <w:bCs/>
          <w:color w:val="000000"/>
        </w:rPr>
      </w:pPr>
      <w:r w:rsidRPr="00C640FC">
        <w:rPr>
          <w:rFonts w:cs="Arial"/>
          <w:b/>
          <w:bCs/>
          <w:color w:val="000000"/>
        </w:rPr>
        <w:t>SUPPORTING STATEMENT FOR AN</w:t>
      </w:r>
    </w:p>
    <w:p w:rsidR="00CF53B1" w:rsidRPr="00C640FC" w:rsidRDefault="00CF53B1" w:rsidP="00CF53B1">
      <w:pPr>
        <w:keepLines/>
        <w:autoSpaceDE w:val="0"/>
        <w:autoSpaceDN w:val="0"/>
        <w:adjustRightInd w:val="0"/>
        <w:spacing w:line="240" w:lineRule="atLeast"/>
        <w:jc w:val="center"/>
        <w:rPr>
          <w:rFonts w:cs="Arial"/>
          <w:b/>
          <w:color w:val="000000"/>
        </w:rPr>
      </w:pPr>
      <w:r w:rsidRPr="00C640FC">
        <w:rPr>
          <w:rFonts w:cs="Arial"/>
          <w:b/>
          <w:bCs/>
          <w:color w:val="000000"/>
        </w:rPr>
        <w:t>INFORMATION COLLECTION REQUEST (ICR)</w:t>
      </w:r>
      <w:r w:rsidR="002A345E">
        <w:rPr>
          <w:rFonts w:cs="Arial"/>
          <w:b/>
          <w:bCs/>
          <w:color w:val="000000"/>
        </w:rPr>
        <w:t xml:space="preserve">  </w:t>
      </w:r>
    </w:p>
    <w:p w:rsidR="00CF53B1" w:rsidRDefault="00CF53B1" w:rsidP="00CF53B1">
      <w:pPr>
        <w:keepLines/>
        <w:autoSpaceDE w:val="0"/>
        <w:autoSpaceDN w:val="0"/>
        <w:adjustRightInd w:val="0"/>
        <w:spacing w:line="240" w:lineRule="atLeast"/>
        <w:rPr>
          <w:rFonts w:cs="Arial"/>
          <w:b/>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1.</w:t>
      </w:r>
      <w:r>
        <w:rPr>
          <w:rFonts w:cs="Arial"/>
          <w:b/>
          <w:color w:val="000000"/>
        </w:rPr>
        <w:tab/>
        <w:t>IDENTIFICATION OF THE INFORMATION COLLECTION</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ind w:left="720"/>
        <w:rPr>
          <w:rFonts w:cs="Arial"/>
          <w:b/>
          <w:color w:val="000000"/>
        </w:rPr>
      </w:pPr>
      <w:r>
        <w:rPr>
          <w:rFonts w:cs="Arial"/>
          <w:b/>
          <w:color w:val="000000"/>
        </w:rPr>
        <w:t xml:space="preserve">1(a) Title: </w:t>
      </w:r>
      <w:bookmarkStart w:id="0" w:name="OLE_LINK1"/>
      <w:r w:rsidR="00587A7A">
        <w:rPr>
          <w:rFonts w:cs="Arial"/>
          <w:b/>
          <w:color w:val="000000"/>
        </w:rPr>
        <w:t>Consumer Research through</w:t>
      </w:r>
      <w:r>
        <w:rPr>
          <w:rFonts w:cs="Arial"/>
          <w:b/>
          <w:color w:val="000000"/>
        </w:rPr>
        <w:t xml:space="preserve"> </w:t>
      </w:r>
      <w:r w:rsidR="003F1B34">
        <w:rPr>
          <w:rFonts w:cs="Arial"/>
          <w:b/>
          <w:color w:val="000000"/>
        </w:rPr>
        <w:t>Focus Groups</w:t>
      </w:r>
      <w:r>
        <w:rPr>
          <w:rFonts w:cs="Arial"/>
          <w:b/>
          <w:color w:val="000000"/>
        </w:rPr>
        <w:t xml:space="preserve"> </w:t>
      </w:r>
      <w:r w:rsidR="00587A7A">
        <w:rPr>
          <w:rFonts w:cs="Arial"/>
          <w:b/>
          <w:color w:val="000000"/>
        </w:rPr>
        <w:t>to</w:t>
      </w:r>
      <w:r>
        <w:rPr>
          <w:rFonts w:cs="Arial"/>
          <w:b/>
          <w:color w:val="000000"/>
        </w:rPr>
        <w:t xml:space="preserve"> Develop </w:t>
      </w:r>
      <w:r>
        <w:rPr>
          <w:b/>
          <w:color w:val="000000"/>
        </w:rPr>
        <w:t xml:space="preserve">Improved Labeling for Pesticide Products </w:t>
      </w:r>
      <w:bookmarkEnd w:id="0"/>
    </w:p>
    <w:p w:rsidR="00CF53B1" w:rsidRDefault="00CF53B1" w:rsidP="00CF53B1">
      <w:pPr>
        <w:keepLines/>
        <w:autoSpaceDE w:val="0"/>
        <w:autoSpaceDN w:val="0"/>
        <w:adjustRightInd w:val="0"/>
        <w:spacing w:line="240" w:lineRule="atLeast"/>
        <w:rPr>
          <w:rFonts w:cs="Arial"/>
          <w:b/>
          <w:color w:val="000000"/>
        </w:rPr>
      </w:pPr>
    </w:p>
    <w:p w:rsidR="00CF53B1" w:rsidRPr="00404EE5" w:rsidRDefault="00CF53B1" w:rsidP="00CF53B1">
      <w:pPr>
        <w:keepLines/>
        <w:autoSpaceDE w:val="0"/>
        <w:autoSpaceDN w:val="0"/>
        <w:adjustRightInd w:val="0"/>
        <w:spacing w:line="240" w:lineRule="atLeast"/>
        <w:rPr>
          <w:rFonts w:cs="Arial"/>
          <w:b/>
          <w:color w:val="000000"/>
        </w:rPr>
      </w:pPr>
      <w:r>
        <w:rPr>
          <w:rFonts w:cs="Arial"/>
          <w:color w:val="000000"/>
        </w:rPr>
        <w:tab/>
      </w:r>
      <w:r w:rsidRPr="00404EE5">
        <w:rPr>
          <w:rFonts w:cs="Arial"/>
          <w:b/>
          <w:color w:val="000000"/>
        </w:rPr>
        <w:t xml:space="preserve">EPA ICR No.:  </w:t>
      </w:r>
      <w:r w:rsidR="00453B94">
        <w:rPr>
          <w:b/>
          <w:bCs/>
        </w:rPr>
        <w:t>2367.0</w:t>
      </w:r>
      <w:r w:rsidR="005E652D">
        <w:rPr>
          <w:b/>
          <w:bCs/>
        </w:rPr>
        <w:t>2</w:t>
      </w:r>
      <w:r w:rsidR="003E1378">
        <w:rPr>
          <w:b/>
          <w:bCs/>
        </w:rPr>
        <w:tab/>
      </w:r>
      <w:r w:rsidRPr="00404EE5">
        <w:rPr>
          <w:rFonts w:cs="Arial"/>
          <w:b/>
          <w:color w:val="000000"/>
        </w:rPr>
        <w:tab/>
        <w:t>OMB Control No.:  2070-</w:t>
      </w:r>
      <w:r w:rsidR="005E652D">
        <w:rPr>
          <w:rFonts w:cs="Arial"/>
          <w:b/>
          <w:color w:val="000000"/>
        </w:rPr>
        <w:t>0175</w:t>
      </w:r>
    </w:p>
    <w:p w:rsidR="00CF53B1" w:rsidRPr="00404EE5"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b/>
          <w:color w:val="000000"/>
        </w:rPr>
      </w:pPr>
      <w:r w:rsidRPr="00404EE5">
        <w:rPr>
          <w:rFonts w:cs="Arial"/>
          <w:b/>
          <w:color w:val="000000"/>
        </w:rPr>
        <w:tab/>
      </w:r>
      <w:r>
        <w:rPr>
          <w:rFonts w:cs="Arial"/>
          <w:b/>
          <w:color w:val="000000"/>
        </w:rPr>
        <w:t>1(b) Short Characterization</w:t>
      </w:r>
    </w:p>
    <w:p w:rsidR="00CF53B1" w:rsidRDefault="00CF53B1" w:rsidP="00CF53B1">
      <w:pPr>
        <w:keepLines/>
        <w:autoSpaceDE w:val="0"/>
        <w:autoSpaceDN w:val="0"/>
        <w:adjustRightInd w:val="0"/>
        <w:spacing w:line="240" w:lineRule="atLeast"/>
        <w:rPr>
          <w:rFonts w:cs="Arial"/>
          <w:color w:val="000000"/>
        </w:rPr>
      </w:pPr>
    </w:p>
    <w:p w:rsidR="008E5C82" w:rsidRDefault="008E5C82" w:rsidP="008E5C82">
      <w:pPr>
        <w:ind w:firstLine="720"/>
        <w:rPr>
          <w:rFonts w:cs="Arial"/>
          <w:color w:val="000000"/>
        </w:rPr>
      </w:pPr>
      <w:r>
        <w:rPr>
          <w:rFonts w:cs="Arial"/>
          <w:color w:val="000000"/>
        </w:rPr>
        <w:t xml:space="preserve">The Environmental Protection Agency (EPA or the Agency) intends to </w:t>
      </w:r>
      <w:r w:rsidR="005E652D">
        <w:rPr>
          <w:rFonts w:cs="Arial"/>
          <w:color w:val="000000"/>
        </w:rPr>
        <w:t>re</w:t>
      </w:r>
      <w:r w:rsidR="00E111CE">
        <w:rPr>
          <w:rFonts w:cs="Arial"/>
          <w:color w:val="000000"/>
        </w:rPr>
        <w:t xml:space="preserve">new </w:t>
      </w:r>
      <w:r w:rsidR="005E652D">
        <w:rPr>
          <w:rFonts w:cs="Arial"/>
          <w:color w:val="000000"/>
        </w:rPr>
        <w:t xml:space="preserve">a </w:t>
      </w:r>
      <w:r>
        <w:rPr>
          <w:rFonts w:cs="Arial"/>
          <w:color w:val="000000"/>
        </w:rPr>
        <w:t xml:space="preserve">voluntary information collection for consumer research involving the </w:t>
      </w:r>
      <w:r w:rsidR="00AE1C0E">
        <w:rPr>
          <w:rFonts w:cs="Arial"/>
          <w:color w:val="000000"/>
        </w:rPr>
        <w:t xml:space="preserve">use </w:t>
      </w:r>
      <w:r>
        <w:rPr>
          <w:rFonts w:cs="Arial"/>
          <w:color w:val="000000"/>
        </w:rPr>
        <w:t xml:space="preserve">of focus groups to test various versions of </w:t>
      </w:r>
      <w:r w:rsidR="000C2AE5">
        <w:rPr>
          <w:rFonts w:cs="Arial"/>
          <w:color w:val="000000"/>
        </w:rPr>
        <w:t>pesticide product labe</w:t>
      </w:r>
      <w:r>
        <w:rPr>
          <w:rFonts w:cs="Arial"/>
          <w:color w:val="000000"/>
        </w:rPr>
        <w:t xml:space="preserve">ls and </w:t>
      </w:r>
      <w:r w:rsidR="000C2AE5">
        <w:rPr>
          <w:rFonts w:cs="Arial"/>
          <w:color w:val="000000"/>
        </w:rPr>
        <w:t xml:space="preserve">other informational </w:t>
      </w:r>
      <w:r>
        <w:rPr>
          <w:rFonts w:cs="Arial"/>
          <w:color w:val="000000"/>
        </w:rPr>
        <w:t xml:space="preserve">materials </w:t>
      </w:r>
      <w:r w:rsidR="00AE1C0E">
        <w:rPr>
          <w:rFonts w:cs="Arial"/>
          <w:color w:val="000000"/>
        </w:rPr>
        <w:t xml:space="preserve">intended </w:t>
      </w:r>
      <w:r>
        <w:rPr>
          <w:rFonts w:cs="Arial"/>
          <w:color w:val="000000"/>
        </w:rPr>
        <w:t xml:space="preserve">for the general public.  The purpose for </w:t>
      </w:r>
      <w:r w:rsidR="00E111CE">
        <w:rPr>
          <w:rFonts w:cs="Arial"/>
          <w:color w:val="000000"/>
        </w:rPr>
        <w:t xml:space="preserve">this </w:t>
      </w:r>
      <w:r>
        <w:rPr>
          <w:rFonts w:cs="Arial"/>
          <w:color w:val="000000"/>
        </w:rPr>
        <w:t>research is to identify the consumer’s understanding of the in</w:t>
      </w:r>
      <w:r w:rsidR="000C2AE5">
        <w:rPr>
          <w:rFonts w:cs="Arial"/>
          <w:color w:val="000000"/>
        </w:rPr>
        <w:t xml:space="preserve">formation on a </w:t>
      </w:r>
      <w:r>
        <w:rPr>
          <w:rFonts w:cs="Arial"/>
          <w:color w:val="000000"/>
        </w:rPr>
        <w:t>pesticide product label</w:t>
      </w:r>
      <w:r w:rsidR="00446D2A">
        <w:rPr>
          <w:rFonts w:cs="Arial"/>
          <w:color w:val="000000"/>
        </w:rPr>
        <w:t>.</w:t>
      </w:r>
      <w:r>
        <w:rPr>
          <w:rFonts w:cs="Arial"/>
          <w:color w:val="000000"/>
        </w:rPr>
        <w:t xml:space="preserve"> </w:t>
      </w:r>
      <w:r w:rsidR="00446D2A">
        <w:rPr>
          <w:rFonts w:cs="Arial"/>
          <w:color w:val="000000"/>
        </w:rPr>
        <w:t xml:space="preserve"> </w:t>
      </w:r>
      <w:r>
        <w:rPr>
          <w:rFonts w:cs="Arial"/>
          <w:color w:val="000000"/>
        </w:rPr>
        <w:t>EPA w</w:t>
      </w:r>
      <w:r w:rsidR="003E1378">
        <w:rPr>
          <w:rFonts w:cs="Arial"/>
          <w:color w:val="000000"/>
        </w:rPr>
        <w:t>ill</w:t>
      </w:r>
      <w:r>
        <w:rPr>
          <w:rFonts w:cs="Arial"/>
          <w:color w:val="000000"/>
        </w:rPr>
        <w:t xml:space="preserve"> use this information to </w:t>
      </w:r>
      <w:r>
        <w:t>formulate decisions and policies affecting the labeling of</w:t>
      </w:r>
      <w:r>
        <w:rPr>
          <w:rFonts w:cs="Arial"/>
          <w:color w:val="000000"/>
        </w:rPr>
        <w:t xml:space="preserve"> pesticide products.  The ultimate goal of this activity is to assure that the consumer can effectively use this information to select the </w:t>
      </w:r>
      <w:r w:rsidR="000C2AE5">
        <w:rPr>
          <w:rFonts w:cs="Arial"/>
          <w:color w:val="000000"/>
        </w:rPr>
        <w:t>pesticide</w:t>
      </w:r>
      <w:r>
        <w:rPr>
          <w:rFonts w:cs="Arial"/>
          <w:color w:val="000000"/>
        </w:rPr>
        <w:t xml:space="preserve"> product most likely to meet their needs</w:t>
      </w:r>
      <w:r w:rsidR="00771140">
        <w:rPr>
          <w:rFonts w:cs="Arial"/>
          <w:color w:val="000000"/>
        </w:rPr>
        <w:t>,</w:t>
      </w:r>
      <w:r>
        <w:rPr>
          <w:rFonts w:cs="Arial"/>
          <w:color w:val="000000"/>
        </w:rPr>
        <w:t xml:space="preserve"> and </w:t>
      </w:r>
      <w:r w:rsidR="00C54831">
        <w:rPr>
          <w:rFonts w:cs="Arial"/>
          <w:color w:val="000000"/>
        </w:rPr>
        <w:t xml:space="preserve">to </w:t>
      </w:r>
      <w:r w:rsidR="00B91558">
        <w:rPr>
          <w:rFonts w:cs="Arial"/>
          <w:color w:val="000000"/>
        </w:rPr>
        <w:t xml:space="preserve">assure </w:t>
      </w:r>
      <w:r w:rsidR="00771140">
        <w:rPr>
          <w:rFonts w:cs="Arial"/>
          <w:color w:val="000000"/>
        </w:rPr>
        <w:t xml:space="preserve">that the consumer can </w:t>
      </w:r>
      <w:r>
        <w:rPr>
          <w:rFonts w:cs="Arial"/>
          <w:color w:val="000000"/>
        </w:rPr>
        <w:t xml:space="preserve">readily understand label instructions regarding </w:t>
      </w:r>
      <w:r w:rsidR="00AE1C0E">
        <w:rPr>
          <w:rFonts w:cs="Arial"/>
          <w:color w:val="000000"/>
        </w:rPr>
        <w:t>the safe use, handling</w:t>
      </w:r>
      <w:r w:rsidR="00B6136B">
        <w:rPr>
          <w:rFonts w:cs="Arial"/>
          <w:color w:val="000000"/>
        </w:rPr>
        <w:t>, storage,</w:t>
      </w:r>
      <w:r w:rsidR="00AE1C0E">
        <w:rPr>
          <w:rFonts w:cs="Arial"/>
          <w:color w:val="000000"/>
        </w:rPr>
        <w:t xml:space="preserve"> and disposal of the </w:t>
      </w:r>
      <w:r>
        <w:rPr>
          <w:rFonts w:cs="Arial"/>
          <w:color w:val="000000"/>
        </w:rPr>
        <w:t xml:space="preserve">product.  The collected information </w:t>
      </w:r>
      <w:r w:rsidR="00AE1C0E">
        <w:rPr>
          <w:rFonts w:cs="Arial"/>
          <w:color w:val="000000"/>
        </w:rPr>
        <w:t xml:space="preserve">will </w:t>
      </w:r>
      <w:r>
        <w:rPr>
          <w:rFonts w:cs="Arial"/>
          <w:color w:val="000000"/>
        </w:rPr>
        <w:t xml:space="preserve">be used to </w:t>
      </w:r>
      <w:r w:rsidR="00AE1C0E">
        <w:rPr>
          <w:rFonts w:cs="Arial"/>
          <w:color w:val="000000"/>
        </w:rPr>
        <w:t xml:space="preserve">inform the Agency on the need for and nature of potential </w:t>
      </w:r>
      <w:r>
        <w:rPr>
          <w:rFonts w:cs="Arial"/>
          <w:color w:val="000000"/>
        </w:rPr>
        <w:t>revis</w:t>
      </w:r>
      <w:r w:rsidR="00AE1C0E">
        <w:rPr>
          <w:rFonts w:cs="Arial"/>
          <w:color w:val="000000"/>
        </w:rPr>
        <w:t xml:space="preserve">ions to EPA guidance and regulations regarding </w:t>
      </w:r>
      <w:r w:rsidR="000C2AE5">
        <w:rPr>
          <w:rFonts w:cs="Arial"/>
          <w:color w:val="000000"/>
        </w:rPr>
        <w:t>pesticide product</w:t>
      </w:r>
      <w:r>
        <w:rPr>
          <w:rFonts w:cs="Arial"/>
          <w:color w:val="000000"/>
        </w:rPr>
        <w:t xml:space="preserve"> labels and</w:t>
      </w:r>
      <w:r w:rsidR="00446D2A">
        <w:rPr>
          <w:rFonts w:cs="Arial"/>
          <w:color w:val="000000"/>
        </w:rPr>
        <w:t xml:space="preserve"> to create other user</w:t>
      </w:r>
      <w:r w:rsidR="00AE1C0E">
        <w:rPr>
          <w:rFonts w:cs="Arial"/>
          <w:color w:val="000000"/>
        </w:rPr>
        <w:t>-</w:t>
      </w:r>
      <w:r w:rsidR="00446D2A">
        <w:rPr>
          <w:rFonts w:cs="Arial"/>
          <w:color w:val="000000"/>
        </w:rPr>
        <w:t xml:space="preserve">friendly consumer information materials.  </w:t>
      </w:r>
      <w:r w:rsidR="00304247">
        <w:rPr>
          <w:rFonts w:cs="Arial"/>
          <w:color w:val="000000"/>
        </w:rPr>
        <w:t>It is anticipated that mu</w:t>
      </w:r>
      <w:r w:rsidR="00D0726B">
        <w:rPr>
          <w:rFonts w:cs="Arial"/>
          <w:color w:val="000000"/>
        </w:rPr>
        <w:t>l</w:t>
      </w:r>
      <w:r w:rsidR="00304247">
        <w:rPr>
          <w:rFonts w:cs="Arial"/>
          <w:color w:val="000000"/>
        </w:rPr>
        <w:t>tiple</w:t>
      </w:r>
      <w:r>
        <w:rPr>
          <w:rFonts w:cs="Arial"/>
          <w:color w:val="000000"/>
        </w:rPr>
        <w:t xml:space="preserve"> focus groups would be conducted over the life of the ICR.</w:t>
      </w:r>
    </w:p>
    <w:p w:rsidR="00CF53B1" w:rsidRDefault="00CF53B1" w:rsidP="00CF53B1">
      <w:pPr>
        <w:keepLines/>
        <w:autoSpaceDE w:val="0"/>
        <w:autoSpaceDN w:val="0"/>
        <w:adjustRightInd w:val="0"/>
        <w:spacing w:line="240" w:lineRule="atLeast"/>
        <w:rPr>
          <w:rFonts w:cs="Arial"/>
          <w:color w:val="000000"/>
        </w:rPr>
      </w:pPr>
    </w:p>
    <w:p w:rsidR="00E52BD8" w:rsidRDefault="00E52BD8"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 xml:space="preserve">2.  </w:t>
      </w:r>
      <w:r w:rsidR="00E111CE">
        <w:rPr>
          <w:rFonts w:cs="Arial"/>
          <w:b/>
          <w:color w:val="000000"/>
        </w:rPr>
        <w:tab/>
      </w:r>
      <w:r>
        <w:rPr>
          <w:rFonts w:cs="Arial"/>
          <w:b/>
          <w:color w:val="000000"/>
        </w:rPr>
        <w:t xml:space="preserve">NEED FOR AND USE OF THE COLLECTION </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ab/>
        <w:t xml:space="preserve">2(a) Need/Authority for the Collection </w:t>
      </w:r>
    </w:p>
    <w:p w:rsidR="00CF53B1" w:rsidRDefault="00CF53B1" w:rsidP="00CF53B1">
      <w:pPr>
        <w:keepLines/>
        <w:autoSpaceDE w:val="0"/>
        <w:autoSpaceDN w:val="0"/>
        <w:adjustRightInd w:val="0"/>
        <w:spacing w:line="240" w:lineRule="atLeast"/>
        <w:rPr>
          <w:rFonts w:cs="Arial"/>
          <w:b/>
          <w:color w:val="000000"/>
        </w:rPr>
      </w:pPr>
    </w:p>
    <w:p w:rsidR="00115D97" w:rsidRDefault="00A717E8" w:rsidP="00CF53B1">
      <w:pPr>
        <w:keepLines/>
        <w:autoSpaceDE w:val="0"/>
        <w:autoSpaceDN w:val="0"/>
        <w:adjustRightInd w:val="0"/>
        <w:spacing w:line="240" w:lineRule="atLeast"/>
        <w:ind w:firstLine="720"/>
      </w:pPr>
      <w:r>
        <w:rPr>
          <w:rFonts w:cs="Arial"/>
          <w:color w:val="000000"/>
        </w:rPr>
        <w:t>With few exceptions, s</w:t>
      </w:r>
      <w:r w:rsidR="008E5C82">
        <w:rPr>
          <w:rFonts w:cs="Arial"/>
          <w:color w:val="000000"/>
        </w:rPr>
        <w:t>ection 3 of t</w:t>
      </w:r>
      <w:r w:rsidR="00CF53B1">
        <w:rPr>
          <w:rFonts w:cs="Arial"/>
          <w:color w:val="000000"/>
        </w:rPr>
        <w:t xml:space="preserve">he Federal Insecticide, Fungicide and Rodenticide Act (FIFRA) requires all pesticides sold or distributed in the United States to be registered by EPA.  </w:t>
      </w:r>
      <w:r w:rsidR="00496390">
        <w:rPr>
          <w:rFonts w:cs="Arial"/>
          <w:color w:val="000000"/>
        </w:rPr>
        <w:t xml:space="preserve">(See </w:t>
      </w:r>
      <w:r w:rsidR="00C676C2">
        <w:rPr>
          <w:rFonts w:cs="Arial"/>
          <w:color w:val="000000"/>
        </w:rPr>
        <w:t>a</w:t>
      </w:r>
      <w:r w:rsidR="00496390">
        <w:rPr>
          <w:rFonts w:cs="Arial"/>
          <w:color w:val="000000"/>
        </w:rPr>
        <w:t xml:space="preserve">ttachment A).  </w:t>
      </w:r>
      <w:r w:rsidR="00CF53B1">
        <w:t xml:space="preserve">Pesticide registration is the process through which EPA </w:t>
      </w:r>
      <w:r w:rsidR="00115D97">
        <w:t>evaluates the pesticide to ensure that it will not have unreasonable adverse effects on humans, the environment and non-target species.</w:t>
      </w:r>
      <w:r w:rsidR="00CF53B1">
        <w:t xml:space="preserve">  </w:t>
      </w:r>
      <w:r w:rsidR="00115D97">
        <w:t xml:space="preserve">As part of </w:t>
      </w:r>
      <w:r w:rsidR="00AE1C0E">
        <w:t xml:space="preserve">the registration </w:t>
      </w:r>
      <w:r w:rsidR="00115D97">
        <w:t xml:space="preserve">process, </w:t>
      </w:r>
      <w:r w:rsidR="00CF53B1">
        <w:t>EPA</w:t>
      </w:r>
      <w:r w:rsidR="00115D97" w:rsidRPr="00115D97">
        <w:t xml:space="preserve"> </w:t>
      </w:r>
      <w:r w:rsidR="00115D97">
        <w:t>examines the ingredients of a pesticide</w:t>
      </w:r>
      <w:r w:rsidR="00771140">
        <w:t>,</w:t>
      </w:r>
      <w:r w:rsidR="00115D97">
        <w:t xml:space="preserve"> the site or crop on which it is proposed to be used</w:t>
      </w:r>
      <w:r w:rsidR="00771140">
        <w:t>,</w:t>
      </w:r>
      <w:r w:rsidR="00115D97">
        <w:t xml:space="preserve"> the amount, frequency and timing of its use</w:t>
      </w:r>
      <w:r w:rsidR="00771140">
        <w:t>,</w:t>
      </w:r>
      <w:r w:rsidR="00115D97">
        <w:t xml:space="preserve"> and storage and disposal practices.</w:t>
      </w:r>
      <w:r w:rsidR="00AE1C0E">
        <w:t xml:space="preserve">  Pesticides must be registered or exempted by EPA's Office of Pesticide Programs </w:t>
      </w:r>
      <w:r w:rsidR="00872ADD">
        <w:t xml:space="preserve">(OPP) </w:t>
      </w:r>
      <w:r w:rsidR="00AE1C0E">
        <w:t>before they may be sold or distributed in the United States.  Once registered, a pesticide may not legally be used unless the use is consistent with the approved directions for use on the pesticide's label or labeling.</w:t>
      </w:r>
    </w:p>
    <w:p w:rsidR="005E652D" w:rsidRDefault="005E652D" w:rsidP="00CF53B1">
      <w:pPr>
        <w:keepLines/>
        <w:autoSpaceDE w:val="0"/>
        <w:autoSpaceDN w:val="0"/>
        <w:adjustRightInd w:val="0"/>
        <w:spacing w:line="240" w:lineRule="atLeast"/>
        <w:ind w:firstLine="720"/>
      </w:pPr>
    </w:p>
    <w:p w:rsidR="00CF53B1" w:rsidRDefault="001C5ABD" w:rsidP="00F41921">
      <w:pPr>
        <w:autoSpaceDE w:val="0"/>
        <w:autoSpaceDN w:val="0"/>
        <w:adjustRightInd w:val="0"/>
        <w:spacing w:line="240" w:lineRule="atLeast"/>
        <w:ind w:firstLine="720"/>
        <w:rPr>
          <w:rFonts w:cs="Arial"/>
          <w:color w:val="000000"/>
        </w:rPr>
      </w:pPr>
      <w:r>
        <w:t>Under FIFRA section 3(c)(1), a complete copy of the pesticide labeling, along with a statement of all claims made for the pesticide and any directions for pesticide use</w:t>
      </w:r>
      <w:r w:rsidR="00013500">
        <w:t>,</w:t>
      </w:r>
      <w:r>
        <w:t xml:space="preserve"> must be submitted with the registration application.  Therefore, a</w:t>
      </w:r>
      <w:r w:rsidRPr="00D53EEA">
        <w:t xml:space="preserve"> key part of </w:t>
      </w:r>
      <w:r>
        <w:t xml:space="preserve">EPA’s </w:t>
      </w:r>
      <w:r w:rsidRPr="00D53EEA">
        <w:t>pesticide reg</w:t>
      </w:r>
      <w:r>
        <w:t xml:space="preserve">istration process is </w:t>
      </w:r>
      <w:r w:rsidR="00115D97">
        <w:t xml:space="preserve">EPA’s review of </w:t>
      </w:r>
      <w:r>
        <w:t xml:space="preserve">the registration applicant’s </w:t>
      </w:r>
      <w:r w:rsidR="00115D97">
        <w:t>proposed labeling</w:t>
      </w:r>
      <w:r w:rsidR="00CF53B1" w:rsidRPr="00D53EEA">
        <w:t xml:space="preserve"> on </w:t>
      </w:r>
      <w:r>
        <w:t xml:space="preserve">the </w:t>
      </w:r>
      <w:r w:rsidR="00CF53B1" w:rsidRPr="00D53EEA">
        <w:t xml:space="preserve">pesticide package or container and </w:t>
      </w:r>
      <w:r>
        <w:t xml:space="preserve">any </w:t>
      </w:r>
      <w:r w:rsidR="00CF53B1" w:rsidRPr="00D53EEA">
        <w:t>accompanying instructions</w:t>
      </w:r>
      <w:r>
        <w:t>.</w:t>
      </w:r>
      <w:r w:rsidR="00CF53B1" w:rsidRPr="00D53EEA">
        <w:t xml:space="preserve"> </w:t>
      </w:r>
      <w:r w:rsidR="00753EDD">
        <w:t xml:space="preserve"> </w:t>
      </w:r>
      <w:r w:rsidR="00CF53B1" w:rsidRPr="00D53EEA">
        <w:t xml:space="preserve">The label </w:t>
      </w:r>
      <w:r w:rsidR="00753EDD">
        <w:t xml:space="preserve">instructions </w:t>
      </w:r>
      <w:r w:rsidR="00CF53B1" w:rsidRPr="00D53EEA">
        <w:t xml:space="preserve">provide critical </w:t>
      </w:r>
      <w:r w:rsidR="00CF53B1" w:rsidRPr="00D53EEA">
        <w:lastRenderedPageBreak/>
        <w:t xml:space="preserve">information about how to </w:t>
      </w:r>
      <w:r>
        <w:t xml:space="preserve">safely </w:t>
      </w:r>
      <w:r w:rsidR="00CF53B1" w:rsidRPr="00D53EEA">
        <w:t>handle</w:t>
      </w:r>
      <w:r w:rsidR="00872ADD">
        <w:t xml:space="preserve">, </w:t>
      </w:r>
      <w:r w:rsidR="00CF53B1" w:rsidRPr="00D53EEA">
        <w:t>use</w:t>
      </w:r>
      <w:r w:rsidR="00872ADD">
        <w:t>, store, and dispose of</w:t>
      </w:r>
      <w:r w:rsidR="00CF53B1" w:rsidRPr="00D53EEA">
        <w:t xml:space="preserve"> the pesticide product </w:t>
      </w:r>
      <w:r>
        <w:t>to</w:t>
      </w:r>
      <w:r w:rsidRPr="00D53EEA">
        <w:t xml:space="preserve"> </w:t>
      </w:r>
      <w:r w:rsidR="00CF53B1" w:rsidRPr="00D53EEA">
        <w:t>avoid harm to human health and the environment.</w:t>
      </w:r>
      <w:r w:rsidR="00CF53B1">
        <w:rPr>
          <w:rFonts w:cs="Arial"/>
          <w:color w:val="000000"/>
        </w:rPr>
        <w:t xml:space="preserve">  Every pesticide product must bear a label containing the information specified by FIFRA </w:t>
      </w:r>
      <w:r w:rsidR="00446D2A">
        <w:rPr>
          <w:rFonts w:cs="Arial"/>
          <w:color w:val="000000"/>
        </w:rPr>
        <w:t xml:space="preserve">as established in </w:t>
      </w:r>
      <w:r w:rsidR="00CF53B1">
        <w:rPr>
          <w:rFonts w:cs="Arial"/>
          <w:color w:val="000000"/>
        </w:rPr>
        <w:t>EPA’s labeling regulations at 40 CFR 156.10</w:t>
      </w:r>
      <w:r w:rsidR="00496390">
        <w:rPr>
          <w:rFonts w:cs="Arial"/>
          <w:color w:val="000000"/>
        </w:rPr>
        <w:t xml:space="preserve"> (See attachment B)</w:t>
      </w:r>
      <w:r w:rsidR="00013500">
        <w:rPr>
          <w:rFonts w:cs="Arial"/>
          <w:color w:val="000000"/>
        </w:rPr>
        <w:t>.</w:t>
      </w:r>
    </w:p>
    <w:p w:rsidR="00CF53B1" w:rsidRDefault="00CF53B1" w:rsidP="00CF53B1">
      <w:pPr>
        <w:keepLines/>
        <w:autoSpaceDE w:val="0"/>
        <w:autoSpaceDN w:val="0"/>
        <w:adjustRightInd w:val="0"/>
        <w:spacing w:line="240" w:lineRule="atLeast"/>
        <w:ind w:firstLine="720"/>
        <w:rPr>
          <w:rFonts w:cs="Arial"/>
          <w:color w:val="000000"/>
        </w:rPr>
      </w:pPr>
    </w:p>
    <w:p w:rsidR="002A43C0" w:rsidRDefault="00CF53B1" w:rsidP="00CF53B1">
      <w:pPr>
        <w:keepLines/>
        <w:autoSpaceDE w:val="0"/>
        <w:autoSpaceDN w:val="0"/>
        <w:adjustRightInd w:val="0"/>
        <w:spacing w:line="240" w:lineRule="atLeast"/>
        <w:ind w:firstLine="720"/>
        <w:rPr>
          <w:rFonts w:cs="Arial"/>
          <w:color w:val="000000"/>
        </w:rPr>
      </w:pPr>
      <w:r>
        <w:rPr>
          <w:rFonts w:cs="Arial"/>
          <w:color w:val="000000"/>
        </w:rPr>
        <w:t xml:space="preserve">EPA’s pesticide product labeling requirements </w:t>
      </w:r>
      <w:r w:rsidR="00446D2A">
        <w:rPr>
          <w:rFonts w:cs="Arial"/>
          <w:color w:val="000000"/>
        </w:rPr>
        <w:t xml:space="preserve">were </w:t>
      </w:r>
      <w:r w:rsidR="002A43C0">
        <w:rPr>
          <w:rFonts w:cs="Arial"/>
          <w:color w:val="000000"/>
        </w:rPr>
        <w:t xml:space="preserve">developed in the 1970’s </w:t>
      </w:r>
      <w:r>
        <w:rPr>
          <w:rFonts w:cs="Arial"/>
          <w:color w:val="000000"/>
        </w:rPr>
        <w:t>primarily</w:t>
      </w:r>
      <w:r w:rsidR="002A43C0">
        <w:rPr>
          <w:rFonts w:cs="Arial"/>
          <w:color w:val="000000"/>
        </w:rPr>
        <w:t xml:space="preserve"> </w:t>
      </w:r>
      <w:r>
        <w:rPr>
          <w:rFonts w:cs="Arial"/>
          <w:color w:val="000000"/>
        </w:rPr>
        <w:t xml:space="preserve">for agricultural products.  </w:t>
      </w:r>
      <w:r w:rsidR="00726F66">
        <w:rPr>
          <w:rFonts w:cs="Arial"/>
          <w:color w:val="000000"/>
        </w:rPr>
        <w:t>S</w:t>
      </w:r>
      <w:r w:rsidR="002A43C0">
        <w:rPr>
          <w:rFonts w:cs="Arial"/>
          <w:color w:val="000000"/>
        </w:rPr>
        <w:t>ince then</w:t>
      </w:r>
      <w:r w:rsidR="00726F66">
        <w:rPr>
          <w:rFonts w:cs="Arial"/>
          <w:color w:val="000000"/>
        </w:rPr>
        <w:t>,</w:t>
      </w:r>
      <w:r w:rsidR="00446D2A">
        <w:rPr>
          <w:rFonts w:cs="Arial"/>
          <w:color w:val="000000"/>
        </w:rPr>
        <w:t xml:space="preserve"> the market for FIFRA</w:t>
      </w:r>
      <w:r w:rsidR="002B7518">
        <w:rPr>
          <w:rFonts w:cs="Arial"/>
          <w:color w:val="000000"/>
        </w:rPr>
        <w:t>-</w:t>
      </w:r>
      <w:r w:rsidR="00446D2A">
        <w:rPr>
          <w:rFonts w:cs="Arial"/>
          <w:color w:val="000000"/>
        </w:rPr>
        <w:t>regulated consumer products</w:t>
      </w:r>
      <w:r w:rsidR="002B7518">
        <w:rPr>
          <w:rFonts w:cs="Arial"/>
          <w:color w:val="000000"/>
        </w:rPr>
        <w:t xml:space="preserve"> </w:t>
      </w:r>
      <w:r w:rsidR="00446D2A">
        <w:rPr>
          <w:rFonts w:cs="Arial"/>
          <w:color w:val="000000"/>
        </w:rPr>
        <w:t xml:space="preserve">has grown.  </w:t>
      </w:r>
      <w:r w:rsidR="002A43C0">
        <w:rPr>
          <w:rFonts w:cs="Arial"/>
          <w:color w:val="000000"/>
        </w:rPr>
        <w:t xml:space="preserve">FIFRA-regulated consumer products can include sanitizing and disinfecting products, lawn and garden products, and insect repellents.  </w:t>
      </w:r>
      <w:r>
        <w:rPr>
          <w:rFonts w:cs="Arial"/>
          <w:color w:val="000000"/>
        </w:rPr>
        <w:t>Today, there is concern that the</w:t>
      </w:r>
      <w:r w:rsidR="00446D2A">
        <w:rPr>
          <w:rFonts w:cs="Arial"/>
          <w:color w:val="000000"/>
        </w:rPr>
        <w:t xml:space="preserve"> label </w:t>
      </w:r>
      <w:r w:rsidR="00A84AAC">
        <w:rPr>
          <w:rFonts w:cs="Arial"/>
          <w:color w:val="000000"/>
        </w:rPr>
        <w:t>requirements</w:t>
      </w:r>
      <w:r w:rsidR="00587A7A">
        <w:rPr>
          <w:rFonts w:cs="Arial"/>
          <w:color w:val="000000"/>
        </w:rPr>
        <w:t xml:space="preserve"> in 40 CFR </w:t>
      </w:r>
      <w:r w:rsidR="001C5ABD">
        <w:rPr>
          <w:color w:val="000000"/>
        </w:rPr>
        <w:t>§</w:t>
      </w:r>
      <w:r w:rsidR="00587A7A">
        <w:rPr>
          <w:rFonts w:cs="Arial"/>
          <w:color w:val="000000"/>
        </w:rPr>
        <w:t>156.10</w:t>
      </w:r>
      <w:r w:rsidR="00A84AAC">
        <w:rPr>
          <w:rFonts w:cs="Arial"/>
          <w:color w:val="000000"/>
        </w:rPr>
        <w:t xml:space="preserve"> </w:t>
      </w:r>
      <w:r w:rsidR="001C5ABD">
        <w:rPr>
          <w:rFonts w:cs="Arial"/>
          <w:color w:val="000000"/>
        </w:rPr>
        <w:t xml:space="preserve">and other related guidance </w:t>
      </w:r>
      <w:r w:rsidR="00A84AAC">
        <w:rPr>
          <w:rFonts w:cs="Arial"/>
          <w:color w:val="000000"/>
        </w:rPr>
        <w:t>may</w:t>
      </w:r>
      <w:r>
        <w:rPr>
          <w:rFonts w:cs="Arial"/>
          <w:color w:val="000000"/>
        </w:rPr>
        <w:t xml:space="preserve"> not adequately address the distinction between the needs of consumers and the needs of </w:t>
      </w:r>
      <w:r w:rsidR="003C2B07">
        <w:rPr>
          <w:rFonts w:cs="Arial"/>
          <w:color w:val="000000"/>
        </w:rPr>
        <w:t xml:space="preserve">the </w:t>
      </w:r>
      <w:r>
        <w:rPr>
          <w:rFonts w:cs="Arial"/>
          <w:color w:val="000000"/>
        </w:rPr>
        <w:t xml:space="preserve">agricultural sector.  </w:t>
      </w:r>
    </w:p>
    <w:p w:rsidR="002A43C0" w:rsidRDefault="002A43C0" w:rsidP="00CF53B1">
      <w:pPr>
        <w:keepLines/>
        <w:autoSpaceDE w:val="0"/>
        <w:autoSpaceDN w:val="0"/>
        <w:adjustRightInd w:val="0"/>
        <w:spacing w:line="240" w:lineRule="atLeast"/>
        <w:ind w:firstLine="720"/>
        <w:rPr>
          <w:rFonts w:cs="Arial"/>
          <w:color w:val="000000"/>
        </w:rPr>
      </w:pPr>
    </w:p>
    <w:p w:rsidR="002A43C0" w:rsidRDefault="00CF53B1" w:rsidP="002A43C0">
      <w:pPr>
        <w:keepLines/>
        <w:autoSpaceDE w:val="0"/>
        <w:autoSpaceDN w:val="0"/>
        <w:adjustRightInd w:val="0"/>
        <w:spacing w:line="240" w:lineRule="atLeast"/>
        <w:ind w:firstLine="720"/>
        <w:rPr>
          <w:rFonts w:cs="Arial"/>
          <w:color w:val="000000"/>
        </w:rPr>
      </w:pPr>
      <w:r>
        <w:rPr>
          <w:rFonts w:cs="Arial"/>
          <w:color w:val="000000"/>
        </w:rPr>
        <w:t>The Agency</w:t>
      </w:r>
      <w:r w:rsidR="001C5ABD">
        <w:rPr>
          <w:rFonts w:cs="Arial"/>
          <w:color w:val="000000"/>
        </w:rPr>
        <w:t xml:space="preserve"> believes that </w:t>
      </w:r>
      <w:r w:rsidR="00E52BD8">
        <w:rPr>
          <w:rFonts w:cs="Arial"/>
          <w:color w:val="000000"/>
        </w:rPr>
        <w:t>current</w:t>
      </w:r>
      <w:r>
        <w:rPr>
          <w:rFonts w:cs="Arial"/>
          <w:color w:val="000000"/>
        </w:rPr>
        <w:t xml:space="preserve"> labeling regulations</w:t>
      </w:r>
      <w:r w:rsidR="001C5ABD">
        <w:rPr>
          <w:rFonts w:cs="Arial"/>
          <w:color w:val="000000"/>
        </w:rPr>
        <w:t>, guidance</w:t>
      </w:r>
      <w:r w:rsidR="000B6587">
        <w:rPr>
          <w:rFonts w:cs="Arial"/>
          <w:color w:val="000000"/>
        </w:rPr>
        <w:t>,</w:t>
      </w:r>
      <w:r w:rsidR="00A84AAC">
        <w:rPr>
          <w:rFonts w:cs="Arial"/>
          <w:color w:val="000000"/>
        </w:rPr>
        <w:t xml:space="preserve"> and policies</w:t>
      </w:r>
      <w:r>
        <w:rPr>
          <w:rFonts w:cs="Arial"/>
          <w:color w:val="000000"/>
        </w:rPr>
        <w:t xml:space="preserve"> need </w:t>
      </w:r>
      <w:r w:rsidR="005954E0">
        <w:rPr>
          <w:rFonts w:cs="Arial"/>
          <w:color w:val="000000"/>
        </w:rPr>
        <w:t xml:space="preserve">to be </w:t>
      </w:r>
      <w:r>
        <w:rPr>
          <w:rFonts w:cs="Arial"/>
          <w:color w:val="000000"/>
        </w:rPr>
        <w:t>updat</w:t>
      </w:r>
      <w:r w:rsidR="005954E0">
        <w:rPr>
          <w:rFonts w:cs="Arial"/>
          <w:color w:val="000000"/>
        </w:rPr>
        <w:t>ed</w:t>
      </w:r>
      <w:r>
        <w:rPr>
          <w:rFonts w:cs="Arial"/>
          <w:color w:val="000000"/>
        </w:rPr>
        <w:t xml:space="preserve"> to more adequately address consumer needs</w:t>
      </w:r>
      <w:r w:rsidR="002A43C0">
        <w:rPr>
          <w:rFonts w:cs="Arial"/>
          <w:color w:val="000000"/>
        </w:rPr>
        <w:t xml:space="preserve">, which are different from those of the agricultural sector.  While all users need clear, understandable labeling instructions, consumers also have different expectations about the information that they </w:t>
      </w:r>
      <w:r w:rsidR="001C5ABD">
        <w:rPr>
          <w:rFonts w:cs="Arial"/>
          <w:color w:val="000000"/>
        </w:rPr>
        <w:t xml:space="preserve">will find </w:t>
      </w:r>
      <w:r w:rsidR="002A43C0">
        <w:rPr>
          <w:rFonts w:cs="Arial"/>
          <w:color w:val="000000"/>
        </w:rPr>
        <w:t>on a label.  Just as they compare labels on grocery products, consumers expect to compare pesticide products in order to sel</w:t>
      </w:r>
      <w:r w:rsidR="00A84AAC">
        <w:rPr>
          <w:rFonts w:cs="Arial"/>
          <w:color w:val="000000"/>
        </w:rPr>
        <w:t>e</w:t>
      </w:r>
      <w:r w:rsidR="002A43C0">
        <w:rPr>
          <w:rFonts w:cs="Arial"/>
          <w:color w:val="000000"/>
        </w:rPr>
        <w:t xml:space="preserve">ct the one most appropriate </w:t>
      </w:r>
      <w:r w:rsidR="001C5ABD">
        <w:rPr>
          <w:rFonts w:cs="Arial"/>
          <w:color w:val="000000"/>
        </w:rPr>
        <w:t xml:space="preserve">for </w:t>
      </w:r>
      <w:r w:rsidR="002A43C0">
        <w:rPr>
          <w:rFonts w:cs="Arial"/>
          <w:color w:val="000000"/>
        </w:rPr>
        <w:t xml:space="preserve">their needs.  </w:t>
      </w:r>
    </w:p>
    <w:p w:rsidR="002A43C0" w:rsidRDefault="002A43C0" w:rsidP="002A43C0">
      <w:pPr>
        <w:keepLines/>
        <w:autoSpaceDE w:val="0"/>
        <w:autoSpaceDN w:val="0"/>
        <w:adjustRightInd w:val="0"/>
        <w:spacing w:line="240" w:lineRule="atLeast"/>
        <w:ind w:firstLine="720"/>
        <w:rPr>
          <w:rFonts w:cs="Arial"/>
          <w:color w:val="000000"/>
        </w:rPr>
      </w:pPr>
    </w:p>
    <w:p w:rsidR="00CF53B1" w:rsidRDefault="002A43C0" w:rsidP="002A43C0">
      <w:pPr>
        <w:keepLines/>
        <w:autoSpaceDE w:val="0"/>
        <w:autoSpaceDN w:val="0"/>
        <w:adjustRightInd w:val="0"/>
        <w:spacing w:line="240" w:lineRule="atLeast"/>
        <w:ind w:firstLine="720"/>
        <w:rPr>
          <w:rFonts w:cs="Arial"/>
          <w:b/>
          <w:color w:val="000000"/>
        </w:rPr>
      </w:pPr>
      <w:r>
        <w:rPr>
          <w:rFonts w:cs="Arial"/>
          <w:color w:val="000000"/>
        </w:rPr>
        <w:t>As part of its Pesticide Program Dialogue Committee</w:t>
      </w:r>
      <w:r w:rsidR="001C5ABD">
        <w:rPr>
          <w:rFonts w:cs="Arial"/>
          <w:color w:val="000000"/>
        </w:rPr>
        <w:t xml:space="preserve"> (PPDC)</w:t>
      </w:r>
      <w:r w:rsidR="007B0997" w:rsidRPr="007B0997">
        <w:rPr>
          <w:rFonts w:cs="Arial"/>
          <w:color w:val="000000"/>
        </w:rPr>
        <w:t xml:space="preserve">, formed under the </w:t>
      </w:r>
      <w:r w:rsidR="007B0997" w:rsidRPr="007B0997">
        <w:rPr>
          <w:color w:val="000000"/>
        </w:rPr>
        <w:t>Federal Advisory Committee Act</w:t>
      </w:r>
      <w:r w:rsidR="001C5ABD">
        <w:rPr>
          <w:color w:val="000000"/>
        </w:rPr>
        <w:t xml:space="preserve"> to </w:t>
      </w:r>
      <w:r w:rsidR="001C5ABD">
        <w:t xml:space="preserve">provide a forum for a diverse group of stakeholders to provide feedback to EPA on various </w:t>
      </w:r>
      <w:proofErr w:type="gramStart"/>
      <w:r w:rsidR="001C5ABD">
        <w:t>pesticide</w:t>
      </w:r>
      <w:proofErr w:type="gramEnd"/>
      <w:r w:rsidR="001C5ABD">
        <w:t xml:space="preserve"> regulatory, policy</w:t>
      </w:r>
      <w:r w:rsidR="00551861">
        <w:t>,</w:t>
      </w:r>
      <w:r w:rsidR="001C5ABD">
        <w:t xml:space="preserve"> and program implementation issues</w:t>
      </w:r>
      <w:r>
        <w:rPr>
          <w:rFonts w:cs="Arial"/>
          <w:color w:val="000000"/>
        </w:rPr>
        <w:t xml:space="preserve">, EPA recently established a </w:t>
      </w:r>
      <w:r w:rsidR="00751C27">
        <w:rPr>
          <w:rFonts w:cs="Arial"/>
          <w:color w:val="000000"/>
        </w:rPr>
        <w:t>workgroup on Comparative Safety Statements or</w:t>
      </w:r>
      <w:r>
        <w:rPr>
          <w:rFonts w:cs="Arial"/>
          <w:color w:val="000000"/>
        </w:rPr>
        <w:t xml:space="preserve"> Logos for Pesticide Product Labeling.   </w:t>
      </w:r>
      <w:r w:rsidR="00A84AAC">
        <w:rPr>
          <w:rFonts w:cs="Arial"/>
          <w:color w:val="000000"/>
        </w:rPr>
        <w:t>Some p</w:t>
      </w:r>
      <w:r>
        <w:rPr>
          <w:rFonts w:cs="Arial"/>
          <w:color w:val="000000"/>
        </w:rPr>
        <w:t>roducers of pesticide products w</w:t>
      </w:r>
      <w:r w:rsidR="00587A7A">
        <w:rPr>
          <w:rFonts w:cs="Arial"/>
          <w:color w:val="000000"/>
        </w:rPr>
        <w:t>ant to use logos from</w:t>
      </w:r>
      <w:r>
        <w:rPr>
          <w:rFonts w:cs="Arial"/>
          <w:color w:val="000000"/>
        </w:rPr>
        <w:t xml:space="preserve"> organizations</w:t>
      </w:r>
      <w:r w:rsidR="00587A7A">
        <w:rPr>
          <w:rFonts w:cs="Arial"/>
          <w:color w:val="000000"/>
        </w:rPr>
        <w:t xml:space="preserve"> that certify that the product meets certain criteria,</w:t>
      </w:r>
      <w:r>
        <w:rPr>
          <w:rFonts w:cs="Arial"/>
          <w:color w:val="000000"/>
        </w:rPr>
        <w:t xml:space="preserve"> such as EPA’s Design for the Environment, </w:t>
      </w:r>
      <w:r w:rsidR="00751C27">
        <w:rPr>
          <w:rFonts w:cs="Arial"/>
          <w:color w:val="000000"/>
        </w:rPr>
        <w:t xml:space="preserve">Green Seal, or </w:t>
      </w:r>
      <w:proofErr w:type="spellStart"/>
      <w:r w:rsidR="00751C27">
        <w:rPr>
          <w:rFonts w:cs="Arial"/>
          <w:color w:val="000000"/>
        </w:rPr>
        <w:t>EcoLogo</w:t>
      </w:r>
      <w:r w:rsidR="00751C27" w:rsidRPr="00751C27">
        <w:rPr>
          <w:rFonts w:ascii="Times" w:hAnsi="Times" w:cs="Arial"/>
          <w:color w:val="000000"/>
          <w:vertAlign w:val="superscript"/>
        </w:rPr>
        <w:t>CM</w:t>
      </w:r>
      <w:proofErr w:type="spellEnd"/>
      <w:r w:rsidR="00751C27">
        <w:rPr>
          <w:rFonts w:cs="Arial"/>
          <w:color w:val="000000"/>
        </w:rPr>
        <w:t>, and use</w:t>
      </w:r>
      <w:r>
        <w:rPr>
          <w:rFonts w:cs="Arial"/>
          <w:color w:val="000000"/>
        </w:rPr>
        <w:t xml:space="preserve"> more “factual statements” on the label, essentially</w:t>
      </w:r>
      <w:r w:rsidR="00751C27">
        <w:rPr>
          <w:rFonts w:cs="Arial"/>
          <w:color w:val="000000"/>
        </w:rPr>
        <w:t xml:space="preserve"> what is being termed as</w:t>
      </w:r>
      <w:r>
        <w:rPr>
          <w:rFonts w:cs="Arial"/>
          <w:color w:val="000000"/>
        </w:rPr>
        <w:t xml:space="preserve"> “green labeling.”</w:t>
      </w:r>
    </w:p>
    <w:p w:rsidR="00CF53B1" w:rsidRDefault="00CF53B1" w:rsidP="00CF53B1">
      <w:pPr>
        <w:keepLines/>
        <w:autoSpaceDE w:val="0"/>
        <w:autoSpaceDN w:val="0"/>
        <w:adjustRightInd w:val="0"/>
        <w:spacing w:line="240" w:lineRule="atLeast"/>
        <w:rPr>
          <w:rFonts w:cs="Arial"/>
          <w:b/>
          <w:color w:val="000000"/>
        </w:rPr>
      </w:pPr>
    </w:p>
    <w:p w:rsidR="006D3FBE" w:rsidRDefault="00CF53B1" w:rsidP="00CF53B1">
      <w:pPr>
        <w:ind w:firstLine="720"/>
      </w:pPr>
      <w:r>
        <w:t xml:space="preserve">However, </w:t>
      </w:r>
      <w:r w:rsidR="00751C27">
        <w:t>without knowledge concerning the consumer’s perspective</w:t>
      </w:r>
      <w:r w:rsidR="00903D28">
        <w:t xml:space="preserve"> and </w:t>
      </w:r>
      <w:r w:rsidR="00751C27">
        <w:t xml:space="preserve">interpretation of the information on the label, EPA cannot judge if the </w:t>
      </w:r>
      <w:r w:rsidR="00903D28">
        <w:t xml:space="preserve">proposed </w:t>
      </w:r>
      <w:r w:rsidR="00751C27">
        <w:t xml:space="preserve">content and design of the label is effectively conveying </w:t>
      </w:r>
      <w:r w:rsidR="00A84AAC">
        <w:t xml:space="preserve">useful safety and performance </w:t>
      </w:r>
      <w:r w:rsidR="00751C27">
        <w:t xml:space="preserve">information to the consumer.  It is the Agency’s goal that consumer labels enhance the consumer’s understanding of and ability to use products safely and effectively.  </w:t>
      </w:r>
      <w:r w:rsidR="003A1177">
        <w:t xml:space="preserve">For example, </w:t>
      </w:r>
      <w:r w:rsidR="006D3FBE">
        <w:t>focus groups conducted during 2010 indicated that</w:t>
      </w:r>
      <w:r w:rsidR="003A1177">
        <w:t xml:space="preserve"> in addition to wanting to avoid the pain and </w:t>
      </w:r>
      <w:r w:rsidR="00F268C9">
        <w:t>itching</w:t>
      </w:r>
      <w:r w:rsidR="003A1177">
        <w:t xml:space="preserve"> </w:t>
      </w:r>
      <w:r w:rsidR="00F268C9">
        <w:t>associated with</w:t>
      </w:r>
      <w:r w:rsidR="003A1177">
        <w:t xml:space="preserve"> </w:t>
      </w:r>
      <w:r w:rsidR="00F268C9">
        <w:t>insect</w:t>
      </w:r>
      <w:r w:rsidR="003A1177">
        <w:t xml:space="preserve"> bites, </w:t>
      </w:r>
      <w:r w:rsidR="006D3FBE">
        <w:t xml:space="preserve">consumers of insect repellent products </w:t>
      </w:r>
      <w:r w:rsidR="003A7683">
        <w:t xml:space="preserve">use repellents because they </w:t>
      </w:r>
      <w:r w:rsidR="006D3FBE">
        <w:t>are aware that certain insects carry potentially deadly diseases and</w:t>
      </w:r>
      <w:r w:rsidR="00FD171D">
        <w:t xml:space="preserve"> want to reduce the risk of contracting these diseases. </w:t>
      </w:r>
      <w:r w:rsidR="006D3FBE">
        <w:t xml:space="preserve">They want to know </w:t>
      </w:r>
      <w:r w:rsidR="003A7683">
        <w:t>what</w:t>
      </w:r>
      <w:r w:rsidR="00FD171D">
        <w:t xml:space="preserve"> insects are repelled,</w:t>
      </w:r>
      <w:r w:rsidR="003A7683">
        <w:t xml:space="preserve"> and </w:t>
      </w:r>
      <w:r w:rsidR="003C2B07">
        <w:t xml:space="preserve">they want to know </w:t>
      </w:r>
      <w:r w:rsidR="006D3FBE">
        <w:t xml:space="preserve">how long </w:t>
      </w:r>
      <w:r w:rsidR="003C2B07">
        <w:t>those insects will be repelled</w:t>
      </w:r>
      <w:r w:rsidR="006D3FBE">
        <w:t xml:space="preserve"> in hours so they will know </w:t>
      </w:r>
      <w:r w:rsidR="00B319F9">
        <w:t>how often to</w:t>
      </w:r>
      <w:r w:rsidR="006D3FBE">
        <w:t xml:space="preserve"> re-apply. Consumers want information </w:t>
      </w:r>
      <w:r w:rsidR="008045E9">
        <w:t xml:space="preserve">on the label </w:t>
      </w:r>
      <w:r w:rsidR="006D3FBE">
        <w:t>to be clear</w:t>
      </w:r>
      <w:r w:rsidR="008045E9">
        <w:t xml:space="preserve">, </w:t>
      </w:r>
      <w:r w:rsidR="009C6760">
        <w:t>concise</w:t>
      </w:r>
      <w:r w:rsidR="008045E9">
        <w:t>,</w:t>
      </w:r>
      <w:r w:rsidR="009C6760">
        <w:t xml:space="preserve"> and in larger print</w:t>
      </w:r>
      <w:r w:rsidR="00797CB9">
        <w:t>, and</w:t>
      </w:r>
      <w:r w:rsidR="009C6760">
        <w:t xml:space="preserve"> they do not like </w:t>
      </w:r>
      <w:r w:rsidR="008045E9">
        <w:t xml:space="preserve">vague </w:t>
      </w:r>
      <w:r w:rsidR="009C6760">
        <w:t xml:space="preserve">statements such as </w:t>
      </w:r>
      <w:r w:rsidR="00FB37FA">
        <w:t>“</w:t>
      </w:r>
      <w:r w:rsidR="009C6760">
        <w:t>long-lasting</w:t>
      </w:r>
      <w:r w:rsidR="00797CB9">
        <w:t>.</w:t>
      </w:r>
      <w:r w:rsidR="00FB37FA">
        <w:t>”</w:t>
      </w:r>
    </w:p>
    <w:p w:rsidR="00C37364" w:rsidRDefault="00C37364" w:rsidP="00CF53B1">
      <w:pPr>
        <w:ind w:firstLine="720"/>
      </w:pPr>
    </w:p>
    <w:p w:rsidR="00CF53B1" w:rsidRDefault="00751C27" w:rsidP="00CF53B1">
      <w:pPr>
        <w:ind w:firstLine="720"/>
        <w:rPr>
          <w:rFonts w:cs="Arial"/>
          <w:color w:val="000000"/>
        </w:rPr>
      </w:pPr>
      <w:r>
        <w:t>B</w:t>
      </w:r>
      <w:r w:rsidR="00CF53B1">
        <w:t xml:space="preserve">efore </w:t>
      </w:r>
      <w:r w:rsidR="005954E0">
        <w:t>initiating any formal poli</w:t>
      </w:r>
      <w:r w:rsidR="00587A7A">
        <w:t>cy or other regulatory decision-</w:t>
      </w:r>
      <w:r w:rsidR="005954E0">
        <w:t xml:space="preserve">making activities to </w:t>
      </w:r>
      <w:r w:rsidR="00CF53B1">
        <w:t>updat</w:t>
      </w:r>
      <w:r w:rsidR="005954E0">
        <w:t>e</w:t>
      </w:r>
      <w:r w:rsidR="00CF53B1">
        <w:t xml:space="preserve"> </w:t>
      </w:r>
      <w:r w:rsidR="005954E0">
        <w:t xml:space="preserve">label </w:t>
      </w:r>
      <w:r w:rsidR="00CF53B1">
        <w:t xml:space="preserve">regulations </w:t>
      </w:r>
      <w:r w:rsidR="00903D28">
        <w:t xml:space="preserve">or guidance, </w:t>
      </w:r>
      <w:r w:rsidR="00CF53B1">
        <w:t xml:space="preserve">the Agency needs </w:t>
      </w:r>
      <w:r w:rsidR="009C6760">
        <w:t>such</w:t>
      </w:r>
      <w:r w:rsidR="00CF53B1">
        <w:t xml:space="preserve"> information about consumer needs and </w:t>
      </w:r>
      <w:r w:rsidR="009C6760">
        <w:t xml:space="preserve">an understanding of </w:t>
      </w:r>
      <w:r w:rsidR="00BE3666">
        <w:t xml:space="preserve">consumer </w:t>
      </w:r>
      <w:r w:rsidR="009C6760">
        <w:t>perception</w:t>
      </w:r>
      <w:r w:rsidR="00BE3666">
        <w:t>s</w:t>
      </w:r>
      <w:r w:rsidR="009C6760">
        <w:t xml:space="preserve"> of the information on a </w:t>
      </w:r>
      <w:r w:rsidR="00CF53B1">
        <w:t>pesticide product</w:t>
      </w:r>
      <w:r w:rsidR="009C6760">
        <w:t xml:space="preserve"> label in a focus</w:t>
      </w:r>
      <w:r w:rsidR="00CF53B1">
        <w:t xml:space="preserve"> group</w:t>
      </w:r>
      <w:r w:rsidR="009C6760">
        <w:t xml:space="preserve"> </w:t>
      </w:r>
      <w:r w:rsidR="00CF53B1">
        <w:t>s</w:t>
      </w:r>
      <w:r w:rsidR="009C6760">
        <w:t>etting</w:t>
      </w:r>
      <w:r w:rsidR="00CF53B1">
        <w:t xml:space="preserve">. Testing of existing and/or proposed label statements in realistic situations with typical consumers is needed to determine the clarity and understandability of a pesticide product label, and </w:t>
      </w:r>
      <w:r w:rsidR="00BE3666">
        <w:t xml:space="preserve">to determine </w:t>
      </w:r>
      <w:r w:rsidR="00CF53B1">
        <w:t>what these label statements are likely to communicate to consumers.  This information collection will allow EPA to gather</w:t>
      </w:r>
      <w:r w:rsidR="00BE3666">
        <w:t>,</w:t>
      </w:r>
      <w:r w:rsidR="00CF53B1">
        <w:t xml:space="preserve"> </w:t>
      </w:r>
      <w:r w:rsidR="00903D28">
        <w:t>via</w:t>
      </w:r>
      <w:r w:rsidR="00551F13">
        <w:t xml:space="preserve"> a focus group setting</w:t>
      </w:r>
      <w:r w:rsidR="00BE3666">
        <w:t>,</w:t>
      </w:r>
      <w:r w:rsidR="00551F13">
        <w:t xml:space="preserve"> </w:t>
      </w:r>
      <w:r w:rsidR="00903D28">
        <w:t xml:space="preserve">the </w:t>
      </w:r>
      <w:r w:rsidR="00903D28">
        <w:lastRenderedPageBreak/>
        <w:t xml:space="preserve">necessary information </w:t>
      </w:r>
      <w:r w:rsidR="00CF53B1">
        <w:t xml:space="preserve">about </w:t>
      </w:r>
      <w:r w:rsidR="00551F13">
        <w:t xml:space="preserve">consumers’ </w:t>
      </w:r>
      <w:r w:rsidR="00CF53B1">
        <w:t>comprehension of the information that is on a pesticide label, and how a consumer uses this information to make their decision to purchase</w:t>
      </w:r>
      <w:r w:rsidR="00A84AAC">
        <w:t xml:space="preserve"> and then safely handle the product</w:t>
      </w:r>
      <w:r w:rsidR="00CF53B1">
        <w:t xml:space="preserve">.  This </w:t>
      </w:r>
      <w:r w:rsidR="00E111CE">
        <w:t xml:space="preserve">information </w:t>
      </w:r>
      <w:r w:rsidR="00CF53B1">
        <w:t xml:space="preserve">will </w:t>
      </w:r>
      <w:r w:rsidR="00903D28">
        <w:t xml:space="preserve">also inform and </w:t>
      </w:r>
      <w:r w:rsidR="00CF53B1">
        <w:t xml:space="preserve">provide support for </w:t>
      </w:r>
      <w:r w:rsidR="00903D28">
        <w:t xml:space="preserve">revisions to </w:t>
      </w:r>
      <w:r w:rsidR="00CF53B1">
        <w:t>the Agency’s policy</w:t>
      </w:r>
      <w:r w:rsidR="00903D28">
        <w:t>, guidance,</w:t>
      </w:r>
      <w:r w:rsidR="00EA6216">
        <w:t xml:space="preserve"> and</w:t>
      </w:r>
      <w:r w:rsidR="00CF53B1">
        <w:t xml:space="preserve"> regulatory activities </w:t>
      </w:r>
      <w:r w:rsidR="00250CD9">
        <w:t xml:space="preserve">related to pesticide </w:t>
      </w:r>
      <w:r w:rsidR="00EA6216">
        <w:t>label language</w:t>
      </w:r>
      <w:r w:rsidR="00250CD9">
        <w:t xml:space="preserve"> and </w:t>
      </w:r>
      <w:r w:rsidR="00EA6216">
        <w:t>design label metrics.</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b/>
          <w:bCs/>
        </w:rPr>
      </w:pPr>
      <w:r>
        <w:rPr>
          <w:rFonts w:cs="Arial"/>
          <w:b/>
          <w:color w:val="000000"/>
        </w:rPr>
        <w:tab/>
        <w:t xml:space="preserve">2(b) </w:t>
      </w:r>
      <w:r>
        <w:rPr>
          <w:b/>
          <w:bCs/>
        </w:rPr>
        <w:t>Practical Utility/Users of the Data</w:t>
      </w:r>
    </w:p>
    <w:p w:rsidR="008E5C82" w:rsidRDefault="008E5C82" w:rsidP="00CF53B1">
      <w:pPr>
        <w:keepLines/>
        <w:autoSpaceDE w:val="0"/>
        <w:autoSpaceDN w:val="0"/>
        <w:adjustRightInd w:val="0"/>
        <w:spacing w:line="240" w:lineRule="atLeast"/>
        <w:ind w:firstLine="720"/>
        <w:rPr>
          <w:bCs/>
        </w:rPr>
      </w:pPr>
    </w:p>
    <w:p w:rsidR="00E111CE" w:rsidRDefault="00CF53B1" w:rsidP="00CF53B1">
      <w:pPr>
        <w:keepLines/>
        <w:autoSpaceDE w:val="0"/>
        <w:autoSpaceDN w:val="0"/>
        <w:adjustRightInd w:val="0"/>
        <w:spacing w:line="240" w:lineRule="atLeast"/>
        <w:ind w:firstLine="720"/>
        <w:rPr>
          <w:rFonts w:cs="Arial"/>
          <w:color w:val="000000"/>
        </w:rPr>
      </w:pPr>
      <w:r>
        <w:rPr>
          <w:rFonts w:cs="Arial"/>
          <w:color w:val="000000"/>
        </w:rPr>
        <w:t>The Agency will use th</w:t>
      </w:r>
      <w:r w:rsidR="000B7A95">
        <w:rPr>
          <w:rFonts w:cs="Arial"/>
          <w:color w:val="000000"/>
        </w:rPr>
        <w:t>is</w:t>
      </w:r>
      <w:r w:rsidR="00EA6216">
        <w:rPr>
          <w:rFonts w:cs="Arial"/>
          <w:color w:val="000000"/>
        </w:rPr>
        <w:t xml:space="preserve"> </w:t>
      </w:r>
      <w:r>
        <w:rPr>
          <w:rFonts w:cs="Arial"/>
          <w:color w:val="000000"/>
        </w:rPr>
        <w:t xml:space="preserve">information </w:t>
      </w:r>
      <w:r w:rsidR="000B7A95">
        <w:rPr>
          <w:rFonts w:cs="Arial"/>
          <w:color w:val="000000"/>
        </w:rPr>
        <w:t xml:space="preserve">collection </w:t>
      </w:r>
      <w:r>
        <w:rPr>
          <w:rFonts w:cs="Arial"/>
          <w:color w:val="000000"/>
        </w:rPr>
        <w:t xml:space="preserve">to </w:t>
      </w:r>
      <w:r w:rsidR="00E111CE">
        <w:rPr>
          <w:rFonts w:cs="Arial"/>
          <w:color w:val="000000"/>
        </w:rPr>
        <w:t xml:space="preserve">inform the </w:t>
      </w:r>
      <w:r>
        <w:rPr>
          <w:rFonts w:cs="Arial"/>
          <w:color w:val="000000"/>
        </w:rPr>
        <w:t>develop</w:t>
      </w:r>
      <w:r w:rsidR="00E111CE">
        <w:rPr>
          <w:rFonts w:cs="Arial"/>
          <w:color w:val="000000"/>
        </w:rPr>
        <w:t>ment of future</w:t>
      </w:r>
      <w:r>
        <w:rPr>
          <w:rFonts w:cs="Arial"/>
          <w:color w:val="000000"/>
        </w:rPr>
        <w:t xml:space="preserve"> </w:t>
      </w:r>
      <w:r w:rsidR="00250CD9">
        <w:rPr>
          <w:rFonts w:cs="Arial"/>
          <w:color w:val="000000"/>
        </w:rPr>
        <w:t xml:space="preserve">pesticide labeling related </w:t>
      </w:r>
      <w:r>
        <w:rPr>
          <w:rFonts w:cs="Arial"/>
          <w:color w:val="000000"/>
        </w:rPr>
        <w:t>policy</w:t>
      </w:r>
      <w:r w:rsidR="00250CD9">
        <w:rPr>
          <w:rFonts w:cs="Arial"/>
          <w:color w:val="000000"/>
        </w:rPr>
        <w:t>, guidance,</w:t>
      </w:r>
      <w:r>
        <w:rPr>
          <w:rFonts w:cs="Arial"/>
          <w:color w:val="000000"/>
        </w:rPr>
        <w:t xml:space="preserve"> and</w:t>
      </w:r>
      <w:r w:rsidR="00E111CE">
        <w:rPr>
          <w:rFonts w:cs="Arial"/>
          <w:color w:val="000000"/>
        </w:rPr>
        <w:t>/or</w:t>
      </w:r>
      <w:r>
        <w:rPr>
          <w:rFonts w:cs="Arial"/>
          <w:color w:val="000000"/>
        </w:rPr>
        <w:t xml:space="preserve"> </w:t>
      </w:r>
      <w:r w:rsidR="00E111CE">
        <w:rPr>
          <w:rFonts w:cs="Arial"/>
          <w:color w:val="000000"/>
        </w:rPr>
        <w:t xml:space="preserve">regulatory efforts </w:t>
      </w:r>
      <w:r w:rsidR="008E5C82">
        <w:rPr>
          <w:rFonts w:cs="Arial"/>
          <w:color w:val="000000"/>
        </w:rPr>
        <w:t xml:space="preserve">to provide consistent, </w:t>
      </w:r>
      <w:r>
        <w:rPr>
          <w:rFonts w:cs="Arial"/>
          <w:color w:val="000000"/>
        </w:rPr>
        <w:t>meaningful</w:t>
      </w:r>
      <w:r w:rsidR="00FB37FA">
        <w:rPr>
          <w:rFonts w:cs="Arial"/>
          <w:color w:val="000000"/>
        </w:rPr>
        <w:t>,</w:t>
      </w:r>
      <w:r w:rsidR="008E5C82">
        <w:rPr>
          <w:rFonts w:cs="Arial"/>
          <w:color w:val="000000"/>
        </w:rPr>
        <w:t xml:space="preserve"> and transparent</w:t>
      </w:r>
      <w:r>
        <w:rPr>
          <w:rFonts w:cs="Arial"/>
          <w:color w:val="000000"/>
        </w:rPr>
        <w:t xml:space="preserve"> risk reduction and efficacy information </w:t>
      </w:r>
      <w:r w:rsidR="008E5C82">
        <w:rPr>
          <w:rFonts w:cs="Arial"/>
          <w:color w:val="000000"/>
        </w:rPr>
        <w:t>to the public</w:t>
      </w:r>
      <w:r w:rsidR="000B7A95">
        <w:rPr>
          <w:rFonts w:cs="Arial"/>
          <w:color w:val="000000"/>
        </w:rPr>
        <w:t xml:space="preserve">.  </w:t>
      </w:r>
      <w:r w:rsidR="00250CD9">
        <w:rPr>
          <w:rFonts w:cs="Arial"/>
          <w:color w:val="000000"/>
        </w:rPr>
        <w:t>The goal of a</w:t>
      </w:r>
      <w:r w:rsidR="000B7A95">
        <w:rPr>
          <w:rFonts w:cs="Arial"/>
          <w:color w:val="000000"/>
        </w:rPr>
        <w:t xml:space="preserve">ny new </w:t>
      </w:r>
      <w:r w:rsidR="00250CD9">
        <w:rPr>
          <w:rFonts w:cs="Arial"/>
          <w:color w:val="000000"/>
        </w:rPr>
        <w:t xml:space="preserve">or revised </w:t>
      </w:r>
      <w:r w:rsidR="000B7A95">
        <w:rPr>
          <w:rFonts w:cs="Arial"/>
          <w:color w:val="000000"/>
        </w:rPr>
        <w:t>policy</w:t>
      </w:r>
      <w:r w:rsidR="00250CD9">
        <w:rPr>
          <w:rFonts w:cs="Arial"/>
          <w:color w:val="000000"/>
        </w:rPr>
        <w:t>, guidance</w:t>
      </w:r>
      <w:r w:rsidR="00FB37FA">
        <w:rPr>
          <w:rFonts w:cs="Arial"/>
          <w:color w:val="000000"/>
        </w:rPr>
        <w:t>,</w:t>
      </w:r>
      <w:r w:rsidR="00250CD9">
        <w:rPr>
          <w:rFonts w:cs="Arial"/>
          <w:color w:val="000000"/>
        </w:rPr>
        <w:t xml:space="preserve"> or regulatory provision</w:t>
      </w:r>
      <w:r w:rsidR="000B7A95">
        <w:rPr>
          <w:rFonts w:cs="Arial"/>
          <w:color w:val="000000"/>
        </w:rPr>
        <w:t xml:space="preserve"> developed </w:t>
      </w:r>
      <w:r w:rsidR="00250CD9">
        <w:rPr>
          <w:rFonts w:cs="Arial"/>
          <w:color w:val="000000"/>
        </w:rPr>
        <w:t xml:space="preserve">as a result of these efforts </w:t>
      </w:r>
      <w:r w:rsidR="000B7A95">
        <w:rPr>
          <w:rFonts w:cs="Arial"/>
          <w:color w:val="000000"/>
        </w:rPr>
        <w:t xml:space="preserve">would be to </w:t>
      </w:r>
      <w:r>
        <w:rPr>
          <w:rFonts w:cs="Arial"/>
          <w:color w:val="000000"/>
        </w:rPr>
        <w:t xml:space="preserve">improve </w:t>
      </w:r>
      <w:r w:rsidR="002B7518">
        <w:rPr>
          <w:rFonts w:cs="Arial"/>
          <w:color w:val="000000"/>
        </w:rPr>
        <w:t xml:space="preserve">consumer </w:t>
      </w:r>
      <w:r>
        <w:rPr>
          <w:rFonts w:cs="Arial"/>
          <w:color w:val="000000"/>
        </w:rPr>
        <w:t xml:space="preserve">pesticide </w:t>
      </w:r>
      <w:r w:rsidR="002B7518">
        <w:rPr>
          <w:rFonts w:cs="Arial"/>
          <w:color w:val="000000"/>
        </w:rPr>
        <w:t xml:space="preserve">product </w:t>
      </w:r>
      <w:r>
        <w:rPr>
          <w:rFonts w:cs="Arial"/>
          <w:color w:val="000000"/>
        </w:rPr>
        <w:t xml:space="preserve">labels and </w:t>
      </w:r>
      <w:r w:rsidR="008E5C82">
        <w:rPr>
          <w:rFonts w:cs="Arial"/>
          <w:color w:val="000000"/>
        </w:rPr>
        <w:t xml:space="preserve">other </w:t>
      </w:r>
      <w:r>
        <w:rPr>
          <w:rFonts w:cs="Arial"/>
          <w:color w:val="000000"/>
        </w:rPr>
        <w:t xml:space="preserve">supporting consumer materials. The Agency believes </w:t>
      </w:r>
      <w:r w:rsidR="001C12DF">
        <w:rPr>
          <w:rFonts w:cs="Arial"/>
          <w:color w:val="000000"/>
        </w:rPr>
        <w:t>that any user of a</w:t>
      </w:r>
      <w:r w:rsidR="002B7518">
        <w:rPr>
          <w:rFonts w:cs="Arial"/>
          <w:color w:val="000000"/>
        </w:rPr>
        <w:t xml:space="preserve"> consumer-oriented pesticide product</w:t>
      </w:r>
      <w:r w:rsidR="001C12DF">
        <w:rPr>
          <w:rFonts w:cs="Arial"/>
          <w:color w:val="000000"/>
        </w:rPr>
        <w:t xml:space="preserve"> should be able to</w:t>
      </w:r>
      <w:r w:rsidR="00E111CE">
        <w:rPr>
          <w:rFonts w:cs="Arial"/>
          <w:color w:val="000000"/>
        </w:rPr>
        <w:t>:</w:t>
      </w:r>
    </w:p>
    <w:p w:rsidR="00CF53B1" w:rsidRDefault="001232AD" w:rsidP="00E111CE">
      <w:pPr>
        <w:keepLines/>
        <w:numPr>
          <w:ilvl w:val="0"/>
          <w:numId w:val="2"/>
        </w:numPr>
        <w:autoSpaceDE w:val="0"/>
        <w:autoSpaceDN w:val="0"/>
        <w:adjustRightInd w:val="0"/>
        <w:spacing w:line="240" w:lineRule="atLeast"/>
        <w:rPr>
          <w:rFonts w:cs="Arial"/>
          <w:color w:val="000000"/>
        </w:rPr>
      </w:pPr>
      <w:r>
        <w:rPr>
          <w:rFonts w:cs="Arial"/>
          <w:color w:val="000000"/>
        </w:rPr>
        <w:t>L</w:t>
      </w:r>
      <w:r w:rsidR="001C12DF">
        <w:rPr>
          <w:rFonts w:cs="Arial"/>
          <w:color w:val="000000"/>
        </w:rPr>
        <w:t>ocate on the label information</w:t>
      </w:r>
      <w:r w:rsidR="00CF53B1">
        <w:rPr>
          <w:rFonts w:cs="Arial"/>
          <w:color w:val="000000"/>
        </w:rPr>
        <w:t xml:space="preserve"> such as:</w:t>
      </w:r>
    </w:p>
    <w:p w:rsidR="00CF53B1" w:rsidRDefault="00CF53B1" w:rsidP="00E111CE">
      <w:pPr>
        <w:keepLines/>
        <w:numPr>
          <w:ilvl w:val="1"/>
          <w:numId w:val="2"/>
        </w:numPr>
        <w:autoSpaceDE w:val="0"/>
        <w:autoSpaceDN w:val="0"/>
        <w:adjustRightInd w:val="0"/>
        <w:spacing w:line="240" w:lineRule="atLeast"/>
        <w:rPr>
          <w:rFonts w:cs="Arial"/>
          <w:color w:val="000000"/>
        </w:rPr>
      </w:pPr>
      <w:r>
        <w:rPr>
          <w:rFonts w:cs="Arial"/>
          <w:color w:val="000000"/>
        </w:rPr>
        <w:t xml:space="preserve">How much of the </w:t>
      </w:r>
      <w:r w:rsidR="000F5E9E">
        <w:rPr>
          <w:rFonts w:cs="Arial"/>
          <w:color w:val="000000"/>
        </w:rPr>
        <w:t>product to use</w:t>
      </w:r>
    </w:p>
    <w:p w:rsidR="00CF53B1" w:rsidRDefault="00CF53B1" w:rsidP="00E111CE">
      <w:pPr>
        <w:keepLines/>
        <w:numPr>
          <w:ilvl w:val="1"/>
          <w:numId w:val="2"/>
        </w:numPr>
        <w:autoSpaceDE w:val="0"/>
        <w:autoSpaceDN w:val="0"/>
        <w:adjustRightInd w:val="0"/>
        <w:spacing w:line="240" w:lineRule="atLeast"/>
        <w:rPr>
          <w:rFonts w:cs="Arial"/>
          <w:color w:val="000000"/>
        </w:rPr>
      </w:pPr>
      <w:r>
        <w:rPr>
          <w:rFonts w:cs="Arial"/>
          <w:color w:val="000000"/>
        </w:rPr>
        <w:t>The pests that the product effectively kills or repels</w:t>
      </w:r>
    </w:p>
    <w:p w:rsidR="000F5E9E" w:rsidRDefault="000F5E9E" w:rsidP="00E111CE">
      <w:pPr>
        <w:keepLines/>
        <w:numPr>
          <w:ilvl w:val="1"/>
          <w:numId w:val="2"/>
        </w:numPr>
        <w:autoSpaceDE w:val="0"/>
        <w:autoSpaceDN w:val="0"/>
        <w:adjustRightInd w:val="0"/>
        <w:spacing w:line="240" w:lineRule="atLeast"/>
        <w:rPr>
          <w:rFonts w:cs="Arial"/>
          <w:color w:val="000000"/>
        </w:rPr>
      </w:pPr>
      <w:r>
        <w:rPr>
          <w:rFonts w:cs="Arial"/>
          <w:color w:val="000000"/>
        </w:rPr>
        <w:t>How to apply the product</w:t>
      </w:r>
    </w:p>
    <w:p w:rsidR="00CF53B1" w:rsidRDefault="00CF53B1" w:rsidP="00E111CE">
      <w:pPr>
        <w:keepLines/>
        <w:numPr>
          <w:ilvl w:val="1"/>
          <w:numId w:val="2"/>
        </w:numPr>
        <w:autoSpaceDE w:val="0"/>
        <w:autoSpaceDN w:val="0"/>
        <w:adjustRightInd w:val="0"/>
        <w:spacing w:line="240" w:lineRule="atLeast"/>
        <w:rPr>
          <w:rFonts w:cs="Arial"/>
          <w:color w:val="000000"/>
        </w:rPr>
      </w:pPr>
      <w:r>
        <w:rPr>
          <w:rFonts w:cs="Arial"/>
          <w:color w:val="000000"/>
        </w:rPr>
        <w:t>How often to reapply the product</w:t>
      </w:r>
    </w:p>
    <w:p w:rsidR="000F5E9E" w:rsidRDefault="000F5E9E" w:rsidP="00E111CE">
      <w:pPr>
        <w:keepLines/>
        <w:numPr>
          <w:ilvl w:val="1"/>
          <w:numId w:val="2"/>
        </w:numPr>
        <w:autoSpaceDE w:val="0"/>
        <w:autoSpaceDN w:val="0"/>
        <w:adjustRightInd w:val="0"/>
        <w:spacing w:line="240" w:lineRule="atLeast"/>
        <w:rPr>
          <w:rFonts w:cs="Arial"/>
          <w:color w:val="000000"/>
        </w:rPr>
      </w:pPr>
      <w:r>
        <w:rPr>
          <w:rFonts w:cs="Arial"/>
          <w:color w:val="000000"/>
        </w:rPr>
        <w:t>Where to apply the product</w:t>
      </w:r>
    </w:p>
    <w:p w:rsidR="003E5BF3" w:rsidRDefault="00CF53B1" w:rsidP="00E111CE">
      <w:pPr>
        <w:keepLines/>
        <w:numPr>
          <w:ilvl w:val="1"/>
          <w:numId w:val="2"/>
        </w:numPr>
        <w:autoSpaceDE w:val="0"/>
        <w:autoSpaceDN w:val="0"/>
        <w:adjustRightInd w:val="0"/>
        <w:spacing w:line="240" w:lineRule="atLeast"/>
        <w:rPr>
          <w:rFonts w:cs="Arial"/>
          <w:color w:val="000000"/>
        </w:rPr>
      </w:pPr>
      <w:r>
        <w:rPr>
          <w:rFonts w:cs="Arial"/>
          <w:color w:val="000000"/>
        </w:rPr>
        <w:t>Understand how to store and dispose of products safely and with minimal effect on the environment</w:t>
      </w:r>
    </w:p>
    <w:p w:rsidR="00CF53B1" w:rsidRDefault="001232AD" w:rsidP="00E111CE">
      <w:pPr>
        <w:keepLines/>
        <w:numPr>
          <w:ilvl w:val="0"/>
          <w:numId w:val="2"/>
        </w:numPr>
        <w:autoSpaceDE w:val="0"/>
        <w:autoSpaceDN w:val="0"/>
        <w:adjustRightInd w:val="0"/>
        <w:spacing w:line="240" w:lineRule="atLeast"/>
        <w:rPr>
          <w:rFonts w:cs="Arial"/>
          <w:color w:val="000000"/>
        </w:rPr>
      </w:pPr>
      <w:r>
        <w:rPr>
          <w:rFonts w:cs="Arial"/>
          <w:color w:val="000000"/>
        </w:rPr>
        <w:t>C</w:t>
      </w:r>
      <w:r w:rsidR="003E5BF3">
        <w:rPr>
          <w:rFonts w:cs="Arial"/>
          <w:color w:val="000000"/>
        </w:rPr>
        <w:t xml:space="preserve">ompare products intended for similar uses. </w:t>
      </w:r>
    </w:p>
    <w:p w:rsidR="003E5BF3" w:rsidRDefault="003E5BF3" w:rsidP="00CF53B1">
      <w:pPr>
        <w:keepLines/>
        <w:autoSpaceDE w:val="0"/>
        <w:autoSpaceDN w:val="0"/>
        <w:adjustRightInd w:val="0"/>
        <w:spacing w:line="240" w:lineRule="atLeast"/>
        <w:rPr>
          <w:rFonts w:cs="Arial"/>
          <w:color w:val="000000"/>
        </w:rPr>
      </w:pPr>
    </w:p>
    <w:p w:rsidR="009C6760" w:rsidRDefault="00E572B9" w:rsidP="00E572B9">
      <w:pPr>
        <w:keepLines/>
        <w:autoSpaceDE w:val="0"/>
        <w:autoSpaceDN w:val="0"/>
        <w:adjustRightInd w:val="0"/>
        <w:spacing w:line="240" w:lineRule="atLeast"/>
        <w:ind w:firstLine="720"/>
      </w:pPr>
      <w:r>
        <w:rPr>
          <w:rFonts w:cs="Arial"/>
          <w:color w:val="000000"/>
        </w:rPr>
        <w:t xml:space="preserve">EPA evaluates and controls </w:t>
      </w:r>
      <w:r w:rsidR="00250CD9">
        <w:rPr>
          <w:rFonts w:cs="Arial"/>
          <w:color w:val="000000"/>
        </w:rPr>
        <w:t xml:space="preserve">potential </w:t>
      </w:r>
      <w:r w:rsidR="000F5E9E">
        <w:rPr>
          <w:rFonts w:cs="Arial"/>
          <w:color w:val="000000"/>
        </w:rPr>
        <w:t>product</w:t>
      </w:r>
      <w:r>
        <w:rPr>
          <w:rFonts w:cs="Arial"/>
          <w:color w:val="000000"/>
        </w:rPr>
        <w:t xml:space="preserve"> risks through the registration process</w:t>
      </w:r>
      <w:r w:rsidR="00250CD9">
        <w:rPr>
          <w:rFonts w:cs="Arial"/>
          <w:color w:val="000000"/>
        </w:rPr>
        <w:t xml:space="preserve"> described in 2(a) above, which includes the approval of the product</w:t>
      </w:r>
      <w:r w:rsidR="00C469D9">
        <w:rPr>
          <w:rFonts w:cs="Arial"/>
          <w:color w:val="000000"/>
        </w:rPr>
        <w:t>’</w:t>
      </w:r>
      <w:r w:rsidR="00250CD9">
        <w:rPr>
          <w:rFonts w:cs="Arial"/>
          <w:color w:val="000000"/>
        </w:rPr>
        <w:t>s label and accompanying information</w:t>
      </w:r>
      <w:r>
        <w:rPr>
          <w:rFonts w:cs="Arial"/>
          <w:color w:val="000000"/>
        </w:rPr>
        <w:t xml:space="preserve">.  </w:t>
      </w:r>
      <w:r w:rsidR="00250CD9">
        <w:rPr>
          <w:rFonts w:cs="Arial"/>
          <w:color w:val="000000"/>
        </w:rPr>
        <w:t>Although t</w:t>
      </w:r>
      <w:r>
        <w:t xml:space="preserve">he existing labels on consumer pesticide products </w:t>
      </w:r>
      <w:r w:rsidR="00250CD9">
        <w:t xml:space="preserve">may </w:t>
      </w:r>
      <w:r>
        <w:t>adequately convey information to the public</w:t>
      </w:r>
      <w:r w:rsidR="00250CD9">
        <w:t xml:space="preserve">, </w:t>
      </w:r>
      <w:r>
        <w:t xml:space="preserve">EPA believes that improvements are possible.  </w:t>
      </w:r>
    </w:p>
    <w:p w:rsidR="009C6760" w:rsidRDefault="009C6760" w:rsidP="00E572B9">
      <w:pPr>
        <w:keepLines/>
        <w:autoSpaceDE w:val="0"/>
        <w:autoSpaceDN w:val="0"/>
        <w:adjustRightInd w:val="0"/>
        <w:spacing w:line="240" w:lineRule="atLeast"/>
        <w:ind w:firstLine="720"/>
      </w:pPr>
    </w:p>
    <w:p w:rsidR="000F5E9E" w:rsidRDefault="005E652D" w:rsidP="00E572B9">
      <w:pPr>
        <w:keepLines/>
        <w:autoSpaceDE w:val="0"/>
        <w:autoSpaceDN w:val="0"/>
        <w:adjustRightInd w:val="0"/>
        <w:spacing w:line="240" w:lineRule="atLeast"/>
        <w:ind w:firstLine="720"/>
      </w:pPr>
      <w:r>
        <w:t xml:space="preserve">The first use of this ICR </w:t>
      </w:r>
      <w:r w:rsidR="000F5E9E">
        <w:t>collect</w:t>
      </w:r>
      <w:r>
        <w:t>ed</w:t>
      </w:r>
      <w:r w:rsidR="000F5E9E">
        <w:t xml:space="preserve"> information</w:t>
      </w:r>
      <w:r w:rsidR="00551F13">
        <w:t xml:space="preserve"> in a focus group setting</w:t>
      </w:r>
      <w:r w:rsidR="000F5E9E">
        <w:t xml:space="preserve"> on the public’s understanding of insect repellent labels</w:t>
      </w:r>
      <w:r>
        <w:t xml:space="preserve">, and the potential use of an efficacy mark to identify the </w:t>
      </w:r>
      <w:r w:rsidR="00C37364">
        <w:t>product’s repellency</w:t>
      </w:r>
      <w:r>
        <w:t xml:space="preserve"> time</w:t>
      </w:r>
      <w:r w:rsidR="000F5E9E">
        <w:t>.</w:t>
      </w:r>
      <w:r w:rsidR="00F40C33">
        <w:t xml:space="preserve">  </w:t>
      </w:r>
      <w:r>
        <w:t>In the future, o</w:t>
      </w:r>
      <w:r w:rsidR="00F40C33">
        <w:t>ther focus groups may be used to gather information about the public’s understanding of labels used for other categories of consumer products, or on general proposals related to label design or other materials for consumers.</w:t>
      </w:r>
    </w:p>
    <w:p w:rsidR="00587A7A" w:rsidRDefault="00587A7A" w:rsidP="00E572B9">
      <w:pPr>
        <w:keepLines/>
        <w:autoSpaceDE w:val="0"/>
        <w:autoSpaceDN w:val="0"/>
        <w:adjustRightInd w:val="0"/>
        <w:spacing w:line="240" w:lineRule="atLeast"/>
        <w:ind w:firstLine="720"/>
      </w:pPr>
    </w:p>
    <w:p w:rsidR="006A1991" w:rsidRDefault="00F40C33" w:rsidP="00587A7A">
      <w:pPr>
        <w:autoSpaceDE w:val="0"/>
        <w:autoSpaceDN w:val="0"/>
        <w:adjustRightInd w:val="0"/>
        <w:spacing w:line="240" w:lineRule="atLeast"/>
        <w:ind w:firstLine="720"/>
      </w:pPr>
      <w:r>
        <w:t>T</w:t>
      </w:r>
      <w:r w:rsidR="00587A7A">
        <w:t>he focus groups</w:t>
      </w:r>
      <w:r>
        <w:t xml:space="preserve"> will provide valuable </w:t>
      </w:r>
      <w:r w:rsidR="00CF53B1">
        <w:t>qualitative information</w:t>
      </w:r>
      <w:r>
        <w:t xml:space="preserve"> that</w:t>
      </w:r>
      <w:r w:rsidR="00CF53B1">
        <w:t xml:space="preserve"> can be used to gain insights</w:t>
      </w:r>
      <w:r>
        <w:t xml:space="preserve"> into some consumer reactions</w:t>
      </w:r>
      <w:r w:rsidR="00CF53B1">
        <w:t xml:space="preserve">, </w:t>
      </w:r>
      <w:r w:rsidR="004D00F8">
        <w:t xml:space="preserve">as well as </w:t>
      </w:r>
      <w:r w:rsidR="00CF53B1">
        <w:t>ways to explore issues</w:t>
      </w:r>
      <w:r w:rsidR="004D00F8">
        <w:t xml:space="preserve"> </w:t>
      </w:r>
      <w:r w:rsidR="00CF53B1">
        <w:t xml:space="preserve">or </w:t>
      </w:r>
      <w:r>
        <w:t>structure future focus groups</w:t>
      </w:r>
      <w:r w:rsidR="004D00F8">
        <w:t>,</w:t>
      </w:r>
      <w:r>
        <w:t xml:space="preserve"> or otherwise </w:t>
      </w:r>
      <w:r w:rsidR="00CF53B1">
        <w:t xml:space="preserve">word </w:t>
      </w:r>
      <w:r w:rsidR="004D00F8">
        <w:t xml:space="preserve">the </w:t>
      </w:r>
      <w:r w:rsidR="00CF53B1">
        <w:t>questions</w:t>
      </w:r>
      <w:r>
        <w:t xml:space="preserve"> used in the focus groups</w:t>
      </w:r>
      <w:r w:rsidR="00CF53B1">
        <w:t xml:space="preserve">.  </w:t>
      </w:r>
      <w:r w:rsidR="004B7C6C">
        <w:t>Focus group</w:t>
      </w:r>
      <w:r w:rsidR="00CF53B1">
        <w:t xml:space="preserve"> research consists of open-ended</w:t>
      </w:r>
      <w:r w:rsidR="00AE7800">
        <w:t>,</w:t>
      </w:r>
      <w:r w:rsidR="00587A7A">
        <w:t xml:space="preserve"> yet</w:t>
      </w:r>
      <w:r w:rsidR="00CF53B1">
        <w:t xml:space="preserve"> structured discussions </w:t>
      </w:r>
      <w:r w:rsidR="004B7C6C">
        <w:t>with</w:t>
      </w:r>
      <w:r w:rsidR="00CF53B1">
        <w:t xml:space="preserve"> small groups of individuals, and therefore can provide in-depth information</w:t>
      </w:r>
      <w:r w:rsidR="004D00F8">
        <w:t xml:space="preserve"> about the topic discussed in that focus group</w:t>
      </w:r>
      <w:r w:rsidR="00CF53B1">
        <w:t xml:space="preserve">.  </w:t>
      </w:r>
    </w:p>
    <w:p w:rsidR="006A1991" w:rsidRDefault="006A1991" w:rsidP="00587A7A">
      <w:pPr>
        <w:autoSpaceDE w:val="0"/>
        <w:autoSpaceDN w:val="0"/>
        <w:adjustRightInd w:val="0"/>
        <w:spacing w:line="240" w:lineRule="atLeast"/>
        <w:ind w:firstLine="720"/>
      </w:pPr>
    </w:p>
    <w:p w:rsidR="00CF53B1" w:rsidRDefault="00551F13" w:rsidP="00587A7A">
      <w:pPr>
        <w:autoSpaceDE w:val="0"/>
        <w:autoSpaceDN w:val="0"/>
        <w:adjustRightInd w:val="0"/>
        <w:spacing w:line="240" w:lineRule="atLeast"/>
        <w:ind w:firstLine="720"/>
      </w:pPr>
      <w:r>
        <w:t xml:space="preserve">While EPA anticipates that focus group research would yield helpful information, </w:t>
      </w:r>
      <w:r w:rsidR="00E145FA">
        <w:t xml:space="preserve">the </w:t>
      </w:r>
      <w:r>
        <w:t xml:space="preserve">information obtained from small groups </w:t>
      </w:r>
      <w:r w:rsidR="004D00F8">
        <w:t xml:space="preserve">may </w:t>
      </w:r>
      <w:r w:rsidR="00CF53B1">
        <w:t xml:space="preserve">not </w:t>
      </w:r>
      <w:r w:rsidR="004D00F8">
        <w:t xml:space="preserve">necessarily </w:t>
      </w:r>
      <w:r w:rsidR="00CF53B1">
        <w:t xml:space="preserve">be extrapolated or generalized to </w:t>
      </w:r>
      <w:r w:rsidR="004D00F8">
        <w:t>the general public</w:t>
      </w:r>
      <w:r w:rsidR="00CF53B1">
        <w:t xml:space="preserve">.  </w:t>
      </w:r>
      <w:r w:rsidR="006A1991">
        <w:t xml:space="preserve">In order </w:t>
      </w:r>
      <w:r w:rsidR="004D00F8">
        <w:t xml:space="preserve">to </w:t>
      </w:r>
      <w:r w:rsidR="006A1991">
        <w:t xml:space="preserve">obtain a more robust understanding of consumers’ use of pesticide products and label comprehension, the Agency may </w:t>
      </w:r>
      <w:r w:rsidR="004D00F8">
        <w:t xml:space="preserve">also use the information obtained from the focus groups to develop more in-depth </w:t>
      </w:r>
      <w:r w:rsidR="006A1991">
        <w:t>survey</w:t>
      </w:r>
      <w:r w:rsidR="004D00F8">
        <w:t>s</w:t>
      </w:r>
      <w:r w:rsidR="006A1991">
        <w:t xml:space="preserve"> </w:t>
      </w:r>
      <w:r w:rsidR="004D00F8">
        <w:t xml:space="preserve">to cover a </w:t>
      </w:r>
      <w:r w:rsidR="006A1991">
        <w:t>larger population</w:t>
      </w:r>
      <w:r w:rsidR="004D00F8">
        <w:t xml:space="preserve"> that can also </w:t>
      </w:r>
      <w:r w:rsidR="00CF53B1">
        <w:t xml:space="preserve">produce </w:t>
      </w:r>
      <w:r w:rsidR="00CF53B1">
        <w:lastRenderedPageBreak/>
        <w:t xml:space="preserve">statistically significant </w:t>
      </w:r>
      <w:r w:rsidR="006A1991">
        <w:t xml:space="preserve">quantitative </w:t>
      </w:r>
      <w:r w:rsidR="004D00F8">
        <w:t>data</w:t>
      </w:r>
      <w:r w:rsidR="00CF53B1">
        <w:t>.</w:t>
      </w:r>
      <w:r w:rsidR="0045245F">
        <w:t xml:space="preserve">  </w:t>
      </w:r>
      <w:r w:rsidR="004D00F8">
        <w:t>Such in-depth surveys are not a part of the information collection activities covered by this supporting statement.</w:t>
      </w:r>
    </w:p>
    <w:p w:rsidR="006A5B92" w:rsidRDefault="006A5B92" w:rsidP="00CF53B1">
      <w:pPr>
        <w:ind w:firstLine="720"/>
        <w:rPr>
          <w:rFonts w:cs="Arial"/>
          <w:color w:val="000000"/>
        </w:rPr>
      </w:pPr>
    </w:p>
    <w:p w:rsidR="000956A3" w:rsidRDefault="004D00F8" w:rsidP="006A5B92">
      <w:pPr>
        <w:keepLines/>
        <w:autoSpaceDE w:val="0"/>
        <w:autoSpaceDN w:val="0"/>
        <w:adjustRightInd w:val="0"/>
        <w:spacing w:line="240" w:lineRule="atLeast"/>
        <w:ind w:firstLine="720"/>
      </w:pPr>
      <w:r>
        <w:rPr>
          <w:rFonts w:cs="Arial"/>
          <w:color w:val="000000"/>
        </w:rPr>
        <w:t xml:space="preserve">In addition to generally improving </w:t>
      </w:r>
      <w:proofErr w:type="gramStart"/>
      <w:r w:rsidR="000956A3">
        <w:rPr>
          <w:rFonts w:cs="Arial"/>
          <w:color w:val="000000"/>
        </w:rPr>
        <w:t>EPA’s understanding</w:t>
      </w:r>
      <w:proofErr w:type="gramEnd"/>
      <w:r w:rsidR="000956A3">
        <w:rPr>
          <w:rFonts w:cs="Arial"/>
          <w:color w:val="000000"/>
        </w:rPr>
        <w:t xml:space="preserve"> about the specific needs for </w:t>
      </w:r>
      <w:r>
        <w:rPr>
          <w:rFonts w:cs="Arial"/>
          <w:color w:val="000000"/>
        </w:rPr>
        <w:t>consumer product label</w:t>
      </w:r>
      <w:r w:rsidR="000956A3">
        <w:rPr>
          <w:rFonts w:cs="Arial"/>
          <w:color w:val="000000"/>
        </w:rPr>
        <w:t xml:space="preserve">s and labeling in terms of design and content, </w:t>
      </w:r>
      <w:r w:rsidR="00884317">
        <w:t xml:space="preserve">EPA </w:t>
      </w:r>
      <w:r w:rsidR="000956A3">
        <w:t xml:space="preserve">will </w:t>
      </w:r>
      <w:r w:rsidR="00884317">
        <w:t xml:space="preserve">use the data </w:t>
      </w:r>
      <w:r w:rsidR="000956A3">
        <w:t xml:space="preserve">collected through the focus groups </w:t>
      </w:r>
      <w:r w:rsidR="00884317">
        <w:t xml:space="preserve">to determine what aspects of </w:t>
      </w:r>
      <w:r w:rsidR="000956A3">
        <w:t>EPA’s policy, guidance</w:t>
      </w:r>
      <w:r w:rsidR="00725258">
        <w:t>,</w:t>
      </w:r>
      <w:r w:rsidR="000956A3">
        <w:t xml:space="preserve"> or regulations </w:t>
      </w:r>
      <w:r w:rsidR="00884317">
        <w:t>need to be improved</w:t>
      </w:r>
      <w:r w:rsidR="000956A3">
        <w:t xml:space="preserve">, identify potential improvements, </w:t>
      </w:r>
      <w:r w:rsidR="00884317">
        <w:t xml:space="preserve">and then set about </w:t>
      </w:r>
      <w:r w:rsidR="000A0874">
        <w:t xml:space="preserve">a </w:t>
      </w:r>
      <w:r w:rsidR="00884317">
        <w:t xml:space="preserve">process for </w:t>
      </w:r>
      <w:r w:rsidR="000956A3">
        <w:t xml:space="preserve">implementing </w:t>
      </w:r>
      <w:r w:rsidR="000A0874">
        <w:t xml:space="preserve">those </w:t>
      </w:r>
      <w:r w:rsidR="000956A3">
        <w:t>improvements</w:t>
      </w:r>
      <w:r w:rsidR="00884317">
        <w:t xml:space="preserve">.  </w:t>
      </w:r>
    </w:p>
    <w:p w:rsidR="000956A3" w:rsidRDefault="000956A3" w:rsidP="006A5B92">
      <w:pPr>
        <w:keepLines/>
        <w:autoSpaceDE w:val="0"/>
        <w:autoSpaceDN w:val="0"/>
        <w:adjustRightInd w:val="0"/>
        <w:spacing w:line="240" w:lineRule="atLeast"/>
        <w:ind w:firstLine="720"/>
      </w:pPr>
    </w:p>
    <w:p w:rsidR="006A5B92" w:rsidRDefault="006A5B92" w:rsidP="006A5B92">
      <w:pPr>
        <w:keepLines/>
        <w:autoSpaceDE w:val="0"/>
        <w:autoSpaceDN w:val="0"/>
        <w:adjustRightInd w:val="0"/>
        <w:spacing w:line="240" w:lineRule="atLeast"/>
        <w:ind w:firstLine="720"/>
      </w:pPr>
      <w:r>
        <w:rPr>
          <w:rFonts w:cs="Arial"/>
          <w:color w:val="000000"/>
        </w:rPr>
        <w:t>Once the</w:t>
      </w:r>
      <w:r>
        <w:t xml:space="preserve"> information from the </w:t>
      </w:r>
      <w:r w:rsidR="0045245F">
        <w:t>focus groups</w:t>
      </w:r>
      <w:r>
        <w:t xml:space="preserve"> has been translated into label revisions, consumers will be able to make better decisions about whether to purchase and use a given </w:t>
      </w:r>
      <w:r w:rsidR="000A0874">
        <w:t xml:space="preserve">pesticide or </w:t>
      </w:r>
      <w:r>
        <w:t>insect repellent</w:t>
      </w:r>
      <w:r w:rsidR="000A0874">
        <w:t xml:space="preserve"> product</w:t>
      </w:r>
      <w:r>
        <w:t xml:space="preserve">.  By enabling consumers to make better choices in regard to </w:t>
      </w:r>
      <w:r w:rsidR="00A067EA">
        <w:t xml:space="preserve">purchasing and using products intended to </w:t>
      </w:r>
      <w:r>
        <w:t>protect their health, EPA will more effectively carry out its mandate to protect the public from unreasonable risks to human health</w:t>
      </w:r>
      <w:r w:rsidR="00A067EA">
        <w:t>.</w:t>
      </w:r>
    </w:p>
    <w:p w:rsidR="006A5B92" w:rsidRDefault="006A5B92" w:rsidP="006A5B92"/>
    <w:p w:rsidR="00CF53B1" w:rsidRDefault="00CF53B1" w:rsidP="00884317">
      <w:pPr>
        <w:keepLines/>
        <w:autoSpaceDE w:val="0"/>
        <w:autoSpaceDN w:val="0"/>
        <w:adjustRightInd w:val="0"/>
        <w:spacing w:line="240" w:lineRule="atLeast"/>
        <w:ind w:left="720" w:hanging="720"/>
        <w:rPr>
          <w:rFonts w:cs="Arial"/>
          <w:b/>
          <w:color w:val="000000"/>
        </w:rPr>
      </w:pPr>
      <w:r>
        <w:rPr>
          <w:rFonts w:cs="Arial"/>
          <w:b/>
          <w:color w:val="000000"/>
        </w:rPr>
        <w:t>3.</w:t>
      </w:r>
      <w:r w:rsidR="00884317">
        <w:rPr>
          <w:rFonts w:cs="Arial"/>
          <w:b/>
          <w:color w:val="000000"/>
        </w:rPr>
        <w:tab/>
      </w:r>
      <w:r>
        <w:rPr>
          <w:rFonts w:cs="Arial"/>
          <w:b/>
          <w:color w:val="000000"/>
        </w:rPr>
        <w:t xml:space="preserve">NON-DUPLICATION, CONSULTATIONS, AND OTHER COLLECTION CRITERIA </w:t>
      </w:r>
    </w:p>
    <w:p w:rsidR="00CF53B1" w:rsidRPr="00D32C24" w:rsidRDefault="00CF53B1" w:rsidP="00CF53B1">
      <w:pPr>
        <w:keepLines/>
        <w:autoSpaceDE w:val="0"/>
        <w:autoSpaceDN w:val="0"/>
        <w:adjustRightInd w:val="0"/>
        <w:spacing w:line="240" w:lineRule="atLeast"/>
        <w:rPr>
          <w:rFonts w:cs="Arial"/>
          <w:color w:val="993366"/>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ab/>
        <w:t xml:space="preserve">3(a) Non-Duplication </w:t>
      </w:r>
    </w:p>
    <w:p w:rsidR="00CF53B1" w:rsidRDefault="00CF53B1" w:rsidP="00CF53B1">
      <w:pPr>
        <w:keepLines/>
        <w:autoSpaceDE w:val="0"/>
        <w:autoSpaceDN w:val="0"/>
        <w:adjustRightInd w:val="0"/>
        <w:spacing w:line="240" w:lineRule="atLeast"/>
        <w:rPr>
          <w:rFonts w:cs="Arial"/>
          <w:color w:val="000000"/>
        </w:rPr>
      </w:pPr>
    </w:p>
    <w:p w:rsidR="000956A3" w:rsidRDefault="000956A3" w:rsidP="000956A3">
      <w:pPr>
        <w:keepLines/>
        <w:autoSpaceDE w:val="0"/>
        <w:autoSpaceDN w:val="0"/>
        <w:adjustRightInd w:val="0"/>
        <w:spacing w:line="240" w:lineRule="atLeast"/>
        <w:ind w:firstLine="720"/>
        <w:rPr>
          <w:rFonts w:cs="Arial"/>
          <w:color w:val="000000"/>
        </w:rPr>
      </w:pPr>
      <w:r w:rsidRPr="00D23968">
        <w:t>Th</w:t>
      </w:r>
      <w:r>
        <w:t>is</w:t>
      </w:r>
      <w:r w:rsidRPr="00D23968">
        <w:t xml:space="preserve"> information collect</w:t>
      </w:r>
      <w:r>
        <w:t xml:space="preserve">ion activity is </w:t>
      </w:r>
      <w:r w:rsidRPr="00D23968">
        <w:t>specific to the needs of the federal pesticide law</w:t>
      </w:r>
      <w:r w:rsidR="00A8640B">
        <w:t xml:space="preserve"> that is administered by EPA, thereby </w:t>
      </w:r>
      <w:r w:rsidRPr="00D23968">
        <w:t xml:space="preserve">negating the need for </w:t>
      </w:r>
      <w:r w:rsidR="00A8640B">
        <w:t xml:space="preserve">this or </w:t>
      </w:r>
      <w:r w:rsidRPr="00D23968">
        <w:t xml:space="preserve">similar data by other federal agencies or any other office within EPA.  </w:t>
      </w:r>
    </w:p>
    <w:p w:rsidR="004F5898" w:rsidRPr="00B708CE" w:rsidRDefault="004F5898" w:rsidP="00CF53B1">
      <w:pPr>
        <w:keepLines/>
        <w:autoSpaceDE w:val="0"/>
        <w:autoSpaceDN w:val="0"/>
        <w:adjustRightInd w:val="0"/>
        <w:spacing w:line="240" w:lineRule="atLeast"/>
        <w:rPr>
          <w:rFonts w:cs="Arial"/>
          <w:b/>
          <w:color w:val="993366"/>
        </w:rPr>
      </w:pPr>
    </w:p>
    <w:p w:rsidR="00CF53B1" w:rsidRDefault="00CF53B1" w:rsidP="00CF53B1">
      <w:pPr>
        <w:keepLines/>
        <w:autoSpaceDE w:val="0"/>
        <w:autoSpaceDN w:val="0"/>
        <w:adjustRightInd w:val="0"/>
        <w:spacing w:line="240" w:lineRule="atLeast"/>
        <w:rPr>
          <w:rFonts w:cs="Arial"/>
          <w:color w:val="000000"/>
        </w:rPr>
      </w:pPr>
      <w:r>
        <w:rPr>
          <w:rFonts w:cs="Arial"/>
          <w:color w:val="000000"/>
        </w:rPr>
        <w:tab/>
      </w:r>
      <w:r>
        <w:rPr>
          <w:rFonts w:cs="Arial"/>
          <w:b/>
          <w:color w:val="000000"/>
        </w:rPr>
        <w:t>3(b) Public Notice Required Prior to ICR Submission to OMB</w:t>
      </w:r>
      <w:r>
        <w:rPr>
          <w:rFonts w:cs="Arial"/>
          <w:color w:val="000000"/>
        </w:rPr>
        <w:t xml:space="preserve"> </w:t>
      </w:r>
    </w:p>
    <w:p w:rsidR="00CF53B1" w:rsidRDefault="00CF53B1" w:rsidP="00CF53B1">
      <w:pPr>
        <w:keepLines/>
        <w:autoSpaceDE w:val="0"/>
        <w:autoSpaceDN w:val="0"/>
        <w:adjustRightInd w:val="0"/>
        <w:spacing w:line="240" w:lineRule="atLeast"/>
        <w:rPr>
          <w:rFonts w:cs="Arial"/>
          <w:color w:val="000000"/>
        </w:rPr>
      </w:pPr>
    </w:p>
    <w:p w:rsidR="005E652D" w:rsidRDefault="00CF53B1" w:rsidP="00404EE5">
      <w:pPr>
        <w:rPr>
          <w:rFonts w:cs="Shruti"/>
        </w:rPr>
      </w:pPr>
      <w:r>
        <w:rPr>
          <w:rFonts w:cs="Arial"/>
          <w:color w:val="000000"/>
        </w:rPr>
        <w:tab/>
      </w:r>
      <w:r w:rsidRPr="00AF2A08">
        <w:rPr>
          <w:rFonts w:cs="Shruti"/>
        </w:rPr>
        <w:t xml:space="preserve">Pursuant to 5 CFR 1320.8(d), EPA </w:t>
      </w:r>
      <w:r w:rsidR="00F85411">
        <w:rPr>
          <w:rFonts w:cs="Shruti"/>
        </w:rPr>
        <w:t>published</w:t>
      </w:r>
      <w:r>
        <w:rPr>
          <w:rFonts w:cs="Shruti"/>
        </w:rPr>
        <w:t xml:space="preserve"> a Federal Register (FR) </w:t>
      </w:r>
      <w:r w:rsidR="00E47C39">
        <w:rPr>
          <w:rFonts w:cs="Shruti"/>
        </w:rPr>
        <w:t>N</w:t>
      </w:r>
      <w:r w:rsidR="008F5D9E">
        <w:rPr>
          <w:rFonts w:cs="Shruti"/>
        </w:rPr>
        <w:t xml:space="preserve">otice </w:t>
      </w:r>
      <w:r w:rsidR="00F85411">
        <w:rPr>
          <w:rFonts w:cs="Shruti"/>
        </w:rPr>
        <w:t>(76 FR 76399, December 7, 2011)</w:t>
      </w:r>
      <w:r w:rsidR="008F5D9E">
        <w:rPr>
          <w:rFonts w:cs="Shruti"/>
        </w:rPr>
        <w:t xml:space="preserve"> </w:t>
      </w:r>
      <w:r w:rsidR="006A5B92">
        <w:rPr>
          <w:rFonts w:cs="Shruti"/>
        </w:rPr>
        <w:t>announcing this proposed</w:t>
      </w:r>
      <w:r>
        <w:rPr>
          <w:rFonts w:cs="Shruti"/>
        </w:rPr>
        <w:t xml:space="preserve"> </w:t>
      </w:r>
      <w:r w:rsidRPr="00AF2A08">
        <w:rPr>
          <w:rFonts w:cs="Shruti"/>
        </w:rPr>
        <w:t>information collection activity</w:t>
      </w:r>
      <w:r w:rsidR="008F5D9E">
        <w:rPr>
          <w:rFonts w:cs="Shruti"/>
        </w:rPr>
        <w:t xml:space="preserve"> and </w:t>
      </w:r>
      <w:r w:rsidR="00067324">
        <w:rPr>
          <w:rFonts w:cs="Shruti"/>
        </w:rPr>
        <w:t xml:space="preserve">provided </w:t>
      </w:r>
      <w:r w:rsidR="008F5D9E">
        <w:rPr>
          <w:rFonts w:cs="Shruti"/>
        </w:rPr>
        <w:t>a</w:t>
      </w:r>
      <w:r w:rsidR="006A5B92">
        <w:rPr>
          <w:rFonts w:cs="Shruti"/>
        </w:rPr>
        <w:t xml:space="preserve"> 60-day public comment period</w:t>
      </w:r>
      <w:r w:rsidR="004B7C6C">
        <w:rPr>
          <w:rFonts w:cs="Shruti"/>
        </w:rPr>
        <w:t>.</w:t>
      </w:r>
      <w:r w:rsidR="00F85411">
        <w:rPr>
          <w:rFonts w:cs="Shruti"/>
        </w:rPr>
        <w:t xml:space="preserve">  The Agency established a public docket for this proposal, </w:t>
      </w:r>
      <w:r w:rsidR="00170250">
        <w:rPr>
          <w:rFonts w:cs="Shruti"/>
        </w:rPr>
        <w:t xml:space="preserve">which can be accessed at </w:t>
      </w:r>
      <w:hyperlink r:id="rId8" w:history="1">
        <w:r w:rsidR="00170250" w:rsidRPr="00D36438">
          <w:rPr>
            <w:rStyle w:val="Hyperlink"/>
            <w:rFonts w:cs="Shruti"/>
            <w:u w:val="single"/>
          </w:rPr>
          <w:t>http://www.regulations.gov</w:t>
        </w:r>
      </w:hyperlink>
      <w:r w:rsidR="00170250">
        <w:rPr>
          <w:rFonts w:cs="Shruti"/>
        </w:rPr>
        <w:t xml:space="preserve"> using the docket identifier EPA-HQ-OPP-2011-0902.  The Agency did not receive any comments during </w:t>
      </w:r>
      <w:r w:rsidR="00E6255A">
        <w:rPr>
          <w:rFonts w:cs="Shruti"/>
        </w:rPr>
        <w:t>the</w:t>
      </w:r>
      <w:r w:rsidR="00170250">
        <w:rPr>
          <w:rFonts w:cs="Shruti"/>
        </w:rPr>
        <w:t xml:space="preserve"> comment period. As a result, the Agency did </w:t>
      </w:r>
      <w:r w:rsidR="00170250" w:rsidRPr="00F57700">
        <w:t>not make any changes to the burden projections in this ICR</w:t>
      </w:r>
      <w:r w:rsidR="000715B5">
        <w:t xml:space="preserve">, and </w:t>
      </w:r>
      <w:r w:rsidR="00E6255A">
        <w:t xml:space="preserve">has made </w:t>
      </w:r>
      <w:r w:rsidR="00067324">
        <w:t xml:space="preserve">only </w:t>
      </w:r>
      <w:r w:rsidR="000715B5">
        <w:t>non-substantive changes to this ICR</w:t>
      </w:r>
      <w:r w:rsidR="00170250">
        <w:t>.</w:t>
      </w:r>
      <w:r w:rsidR="00551861">
        <w:t xml:space="preserve"> </w:t>
      </w:r>
    </w:p>
    <w:p w:rsidR="00621948" w:rsidRPr="00404EE5" w:rsidRDefault="00B02F25" w:rsidP="00404EE5">
      <w:pPr>
        <w:rPr>
          <w:color w:val="008000"/>
          <w:lang w:eastAsia="ko-KR"/>
        </w:rPr>
      </w:pPr>
      <w:r w:rsidRPr="00B02F25">
        <w:rPr>
          <w:color w:val="008000"/>
        </w:rPr>
        <w:t xml:space="preserve">     </w:t>
      </w:r>
      <w:r w:rsidR="00112703" w:rsidRPr="00B02F25">
        <w:rPr>
          <w:color w:val="008000"/>
        </w:rPr>
        <w:t xml:space="preserve">   </w:t>
      </w:r>
    </w:p>
    <w:p w:rsidR="00E87274" w:rsidRDefault="00CF53B1" w:rsidP="00E87274">
      <w:pPr>
        <w:keepLines/>
        <w:autoSpaceDE w:val="0"/>
        <w:autoSpaceDN w:val="0"/>
        <w:adjustRightInd w:val="0"/>
        <w:spacing w:line="240" w:lineRule="atLeast"/>
        <w:rPr>
          <w:rFonts w:cs="Arial"/>
          <w:b/>
          <w:color w:val="000000"/>
        </w:rPr>
      </w:pPr>
      <w:r>
        <w:rPr>
          <w:rFonts w:cs="Arial"/>
          <w:color w:val="000000"/>
        </w:rPr>
        <w:tab/>
      </w:r>
      <w:r>
        <w:rPr>
          <w:rFonts w:cs="Arial"/>
          <w:b/>
          <w:color w:val="000000"/>
        </w:rPr>
        <w:t>3(c) Consultations</w:t>
      </w:r>
    </w:p>
    <w:p w:rsidR="00E87274" w:rsidRDefault="00E87274" w:rsidP="00E87274">
      <w:pPr>
        <w:keepLines/>
        <w:autoSpaceDE w:val="0"/>
        <w:autoSpaceDN w:val="0"/>
        <w:adjustRightInd w:val="0"/>
        <w:spacing w:line="240" w:lineRule="atLeast"/>
        <w:rPr>
          <w:rFonts w:cs="Arial"/>
          <w:b/>
          <w:color w:val="000000"/>
        </w:rPr>
      </w:pPr>
    </w:p>
    <w:p w:rsidR="004B7C6C" w:rsidRDefault="00A8640B" w:rsidP="00E87274">
      <w:pPr>
        <w:keepLines/>
        <w:autoSpaceDE w:val="0"/>
        <w:autoSpaceDN w:val="0"/>
        <w:adjustRightInd w:val="0"/>
        <w:spacing w:line="240" w:lineRule="atLeast"/>
        <w:ind w:firstLine="720"/>
        <w:rPr>
          <w:rFonts w:cs="Arial"/>
          <w:color w:val="000000"/>
        </w:rPr>
      </w:pPr>
      <w:r>
        <w:rPr>
          <w:rFonts w:cs="Arial"/>
          <w:color w:val="000000"/>
        </w:rPr>
        <w:t xml:space="preserve">The Agency’s efforts to improve consumer pesticide product labels is based on various discussions with different stakeholders and regulated entities that occurred as part of the programs ongoing consultations over the years.  </w:t>
      </w:r>
      <w:r w:rsidR="004B7C6C">
        <w:rPr>
          <w:rFonts w:cs="Arial"/>
          <w:color w:val="000000"/>
        </w:rPr>
        <w:t>Examples of organizations for potential consultation could include:</w:t>
      </w:r>
    </w:p>
    <w:p w:rsidR="004B7C6C" w:rsidRPr="004B7C6C" w:rsidRDefault="004B7C6C" w:rsidP="004B7C6C">
      <w:pPr>
        <w:keepLines/>
        <w:numPr>
          <w:ilvl w:val="0"/>
          <w:numId w:val="9"/>
        </w:numPr>
        <w:autoSpaceDE w:val="0"/>
        <w:autoSpaceDN w:val="0"/>
        <w:adjustRightInd w:val="0"/>
        <w:spacing w:line="240" w:lineRule="atLeast"/>
        <w:rPr>
          <w:rFonts w:cs="Arial"/>
          <w:b/>
          <w:color w:val="000000"/>
        </w:rPr>
      </w:pPr>
      <w:r>
        <w:rPr>
          <w:rFonts w:cs="Arial"/>
          <w:color w:val="000000"/>
        </w:rPr>
        <w:t>State agricultural agencies</w:t>
      </w:r>
    </w:p>
    <w:p w:rsidR="004B7C6C" w:rsidRPr="004B7C6C" w:rsidRDefault="004B7C6C" w:rsidP="004B7C6C">
      <w:pPr>
        <w:keepLines/>
        <w:numPr>
          <w:ilvl w:val="0"/>
          <w:numId w:val="9"/>
        </w:numPr>
        <w:autoSpaceDE w:val="0"/>
        <w:autoSpaceDN w:val="0"/>
        <w:adjustRightInd w:val="0"/>
        <w:spacing w:line="240" w:lineRule="atLeast"/>
        <w:rPr>
          <w:rFonts w:cs="Arial"/>
          <w:b/>
          <w:color w:val="000000"/>
        </w:rPr>
      </w:pPr>
      <w:r>
        <w:rPr>
          <w:rFonts w:cs="Arial"/>
          <w:color w:val="000000"/>
        </w:rPr>
        <w:t>T</w:t>
      </w:r>
      <w:r w:rsidR="00A8640B">
        <w:rPr>
          <w:rFonts w:cs="Arial"/>
          <w:color w:val="000000"/>
        </w:rPr>
        <w:t>he PPDC workgroup on Comparative Safety Statements or Logos for Pesticide Product Labeling</w:t>
      </w:r>
    </w:p>
    <w:p w:rsidR="00A8640B" w:rsidRPr="00E87274" w:rsidRDefault="004B7C6C" w:rsidP="004B7C6C">
      <w:pPr>
        <w:keepLines/>
        <w:numPr>
          <w:ilvl w:val="0"/>
          <w:numId w:val="9"/>
        </w:numPr>
        <w:autoSpaceDE w:val="0"/>
        <w:autoSpaceDN w:val="0"/>
        <w:adjustRightInd w:val="0"/>
        <w:spacing w:line="240" w:lineRule="atLeast"/>
        <w:rPr>
          <w:rFonts w:cs="Arial"/>
          <w:b/>
          <w:color w:val="000000"/>
        </w:rPr>
      </w:pPr>
      <w:r>
        <w:rPr>
          <w:rFonts w:cs="Arial"/>
          <w:color w:val="000000"/>
        </w:rPr>
        <w:t>The State-FIFRA</w:t>
      </w:r>
      <w:r w:rsidR="00967EA0">
        <w:rPr>
          <w:rFonts w:cs="Arial"/>
          <w:color w:val="000000"/>
        </w:rPr>
        <w:t xml:space="preserve"> Issues Research and Evaluation Group (</w:t>
      </w:r>
      <w:r>
        <w:rPr>
          <w:rFonts w:cs="Arial"/>
          <w:color w:val="000000"/>
        </w:rPr>
        <w:t>SFIREG</w:t>
      </w:r>
      <w:r w:rsidR="00967EA0">
        <w:rPr>
          <w:rFonts w:cs="Arial"/>
          <w:color w:val="000000"/>
        </w:rPr>
        <w:t>)</w:t>
      </w:r>
      <w:r w:rsidR="00A8640B">
        <w:rPr>
          <w:rFonts w:cs="Arial"/>
          <w:color w:val="000000"/>
        </w:rPr>
        <w:t xml:space="preserve">.  </w:t>
      </w:r>
    </w:p>
    <w:p w:rsidR="00A8640B" w:rsidRDefault="00A8640B" w:rsidP="00841168">
      <w:pPr>
        <w:keepLines/>
        <w:autoSpaceDE w:val="0"/>
        <w:autoSpaceDN w:val="0"/>
        <w:adjustRightInd w:val="0"/>
        <w:spacing w:line="240" w:lineRule="atLeast"/>
        <w:rPr>
          <w:color w:val="000000"/>
        </w:rPr>
      </w:pPr>
    </w:p>
    <w:p w:rsidR="00841168" w:rsidRDefault="00176252" w:rsidP="00434DB9">
      <w:pPr>
        <w:keepLines/>
        <w:autoSpaceDE w:val="0"/>
        <w:autoSpaceDN w:val="0"/>
        <w:adjustRightInd w:val="0"/>
        <w:spacing w:line="240" w:lineRule="atLeast"/>
        <w:ind w:firstLine="720"/>
        <w:rPr>
          <w:color w:val="000000"/>
        </w:rPr>
      </w:pPr>
      <w:r>
        <w:rPr>
          <w:color w:val="000000"/>
        </w:rPr>
        <w:lastRenderedPageBreak/>
        <w:t>The focus groups used to test</w:t>
      </w:r>
      <w:r w:rsidR="00643199">
        <w:rPr>
          <w:color w:val="000000"/>
        </w:rPr>
        <w:t xml:space="preserve"> various versions of</w:t>
      </w:r>
      <w:r>
        <w:rPr>
          <w:color w:val="000000"/>
        </w:rPr>
        <w:t xml:space="preserve"> pesticide product labels</w:t>
      </w:r>
      <w:r w:rsidR="00643199">
        <w:rPr>
          <w:color w:val="000000"/>
        </w:rPr>
        <w:t xml:space="preserve"> and other informational material</w:t>
      </w:r>
      <w:r>
        <w:rPr>
          <w:color w:val="000000"/>
        </w:rPr>
        <w:t xml:space="preserve"> would be conducted with members of the general public</w:t>
      </w:r>
      <w:r w:rsidR="00F85411">
        <w:rPr>
          <w:color w:val="000000"/>
        </w:rPr>
        <w:t xml:space="preserve">, so there are no established, organized entities with </w:t>
      </w:r>
      <w:proofErr w:type="gramStart"/>
      <w:r w:rsidR="00F85411">
        <w:rPr>
          <w:color w:val="000000"/>
        </w:rPr>
        <w:t>whom</w:t>
      </w:r>
      <w:proofErr w:type="gramEnd"/>
      <w:r w:rsidR="00F85411">
        <w:rPr>
          <w:color w:val="000000"/>
        </w:rPr>
        <w:t xml:space="preserve"> EPA has a purposeful relationship.  Since EPA was not able to readily identify potential respondents, consultations with the general public have not been conducted.</w:t>
      </w:r>
      <w:r w:rsidR="00A4321B">
        <w:rPr>
          <w:color w:val="000000"/>
        </w:rPr>
        <w:t xml:space="preserve"> </w:t>
      </w:r>
      <w:r w:rsidR="00F85411">
        <w:rPr>
          <w:color w:val="000000"/>
        </w:rPr>
        <w:t xml:space="preserve"> However</w:t>
      </w:r>
      <w:r w:rsidR="00434DB9">
        <w:rPr>
          <w:color w:val="000000"/>
        </w:rPr>
        <w:t xml:space="preserve">, </w:t>
      </w:r>
      <w:r w:rsidR="00841168">
        <w:rPr>
          <w:color w:val="000000"/>
        </w:rPr>
        <w:t>EPA personnel</w:t>
      </w:r>
      <w:r w:rsidR="00A8640B">
        <w:rPr>
          <w:color w:val="000000"/>
        </w:rPr>
        <w:t>,</w:t>
      </w:r>
      <w:r w:rsidR="00841168">
        <w:rPr>
          <w:color w:val="000000"/>
        </w:rPr>
        <w:t xml:space="preserve"> with the assistance of </w:t>
      </w:r>
      <w:r w:rsidR="00967EA0">
        <w:rPr>
          <w:color w:val="000000"/>
        </w:rPr>
        <w:t>a contractor from</w:t>
      </w:r>
      <w:r w:rsidR="00841168">
        <w:rPr>
          <w:color w:val="000000"/>
        </w:rPr>
        <w:t xml:space="preserve"> industries with the expertise in consumer marketing and design</w:t>
      </w:r>
      <w:r w:rsidR="00AF3E7D">
        <w:rPr>
          <w:color w:val="000000"/>
        </w:rPr>
        <w:t xml:space="preserve"> of </w:t>
      </w:r>
      <w:r w:rsidR="00434DB9">
        <w:rPr>
          <w:color w:val="000000"/>
        </w:rPr>
        <w:t xml:space="preserve">focus group discussions about consumer products, </w:t>
      </w:r>
      <w:r w:rsidR="00841168">
        <w:rPr>
          <w:color w:val="000000"/>
        </w:rPr>
        <w:t xml:space="preserve">will </w:t>
      </w:r>
      <w:r w:rsidR="00434DB9">
        <w:rPr>
          <w:color w:val="000000"/>
        </w:rPr>
        <w:t xml:space="preserve">identify the materials and </w:t>
      </w:r>
      <w:r w:rsidR="00841168">
        <w:rPr>
          <w:color w:val="000000"/>
        </w:rPr>
        <w:t xml:space="preserve">develop the </w:t>
      </w:r>
      <w:r w:rsidR="00434DB9">
        <w:rPr>
          <w:color w:val="000000"/>
        </w:rPr>
        <w:t>design of</w:t>
      </w:r>
      <w:r w:rsidR="005E652D">
        <w:rPr>
          <w:color w:val="000000"/>
        </w:rPr>
        <w:t xml:space="preserve"> </w:t>
      </w:r>
      <w:r w:rsidR="00841168">
        <w:rPr>
          <w:color w:val="000000"/>
        </w:rPr>
        <w:t xml:space="preserve">the focus groups.  The overall conclusions (descriptive and summary statistics) of the </w:t>
      </w:r>
      <w:r w:rsidR="00AF3E7D">
        <w:rPr>
          <w:color w:val="000000"/>
        </w:rPr>
        <w:t>focus groups</w:t>
      </w:r>
      <w:r w:rsidR="00841168">
        <w:rPr>
          <w:color w:val="000000"/>
        </w:rPr>
        <w:t xml:space="preserve"> will be publicly-available. </w:t>
      </w:r>
    </w:p>
    <w:p w:rsidR="00CF53B1" w:rsidRDefault="00CF53B1" w:rsidP="00CF53B1">
      <w:pPr>
        <w:keepLines/>
        <w:autoSpaceDE w:val="0"/>
        <w:autoSpaceDN w:val="0"/>
        <w:adjustRightInd w:val="0"/>
        <w:spacing w:line="240" w:lineRule="atLeast"/>
        <w:rPr>
          <w:rFonts w:cs="Arial"/>
          <w:b/>
          <w:color w:val="000000"/>
        </w:rPr>
      </w:pPr>
      <w:r>
        <w:rPr>
          <w:vanish/>
          <w:highlight w:val="yellow"/>
        </w:rPr>
        <w:t>&gt;</w:t>
      </w:r>
    </w:p>
    <w:p w:rsidR="00CF53B1" w:rsidRDefault="00CF53B1" w:rsidP="00CF53B1">
      <w:pPr>
        <w:keepLines/>
        <w:autoSpaceDE w:val="0"/>
        <w:autoSpaceDN w:val="0"/>
        <w:adjustRightInd w:val="0"/>
        <w:spacing w:line="240" w:lineRule="atLeast"/>
        <w:rPr>
          <w:rFonts w:cs="Arial"/>
          <w:b/>
          <w:color w:val="000000"/>
        </w:rPr>
      </w:pPr>
      <w:r>
        <w:rPr>
          <w:rFonts w:cs="Arial"/>
          <w:color w:val="000000"/>
        </w:rPr>
        <w:tab/>
      </w:r>
      <w:r>
        <w:rPr>
          <w:rFonts w:cs="Arial"/>
          <w:b/>
          <w:color w:val="000000"/>
        </w:rPr>
        <w:t>3(d) Effects of Less Frequent Collection</w:t>
      </w:r>
    </w:p>
    <w:p w:rsidR="00CF53B1" w:rsidRDefault="00CF53B1" w:rsidP="00CF53B1">
      <w:pPr>
        <w:keepLines/>
        <w:autoSpaceDE w:val="0"/>
        <w:autoSpaceDN w:val="0"/>
        <w:adjustRightInd w:val="0"/>
        <w:spacing w:line="240" w:lineRule="atLeast"/>
        <w:rPr>
          <w:rFonts w:cs="Arial"/>
          <w:color w:val="000000"/>
        </w:rPr>
      </w:pPr>
      <w:r>
        <w:rPr>
          <w:rFonts w:cs="Arial"/>
          <w:color w:val="000000"/>
        </w:rPr>
        <w:tab/>
      </w:r>
    </w:p>
    <w:p w:rsidR="00D871B6" w:rsidRDefault="00AF3E7D" w:rsidP="00CF53B1">
      <w:pPr>
        <w:widowControl w:val="0"/>
      </w:pPr>
      <w:r>
        <w:rPr>
          <w:rFonts w:cs="Arial"/>
          <w:color w:val="000000"/>
        </w:rPr>
        <w:tab/>
        <w:t xml:space="preserve">Each </w:t>
      </w:r>
      <w:r w:rsidR="00CF53B1">
        <w:rPr>
          <w:rFonts w:cs="Arial"/>
          <w:color w:val="000000"/>
        </w:rPr>
        <w:t>focus group will be a one-time collection exercise for the enrolled participants</w:t>
      </w:r>
      <w:r w:rsidR="00537B2F">
        <w:rPr>
          <w:rFonts w:cs="Arial"/>
          <w:color w:val="000000"/>
        </w:rPr>
        <w:t>, so the effect of conducting the information collection activity less frequently would be to not conduct it at all</w:t>
      </w:r>
      <w:r w:rsidR="00CF53B1">
        <w:rPr>
          <w:rFonts w:cs="Arial"/>
          <w:color w:val="000000"/>
        </w:rPr>
        <w:t xml:space="preserve">. </w:t>
      </w:r>
    </w:p>
    <w:p w:rsidR="00E87274" w:rsidRDefault="00E87274"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b/>
          <w:color w:val="000000"/>
        </w:rPr>
      </w:pPr>
      <w:r>
        <w:rPr>
          <w:rFonts w:cs="Arial"/>
          <w:color w:val="000000"/>
        </w:rPr>
        <w:tab/>
      </w:r>
      <w:r>
        <w:rPr>
          <w:rFonts w:cs="Arial"/>
          <w:b/>
          <w:color w:val="000000"/>
        </w:rPr>
        <w:t>3(e) Compliance with General OMB Guidelines</w:t>
      </w:r>
    </w:p>
    <w:p w:rsidR="00CF53B1" w:rsidRDefault="00CF53B1" w:rsidP="00CF53B1">
      <w:pPr>
        <w:keepLines/>
        <w:autoSpaceDE w:val="0"/>
        <w:autoSpaceDN w:val="0"/>
        <w:adjustRightInd w:val="0"/>
        <w:spacing w:line="240" w:lineRule="atLeast"/>
        <w:rPr>
          <w:rFonts w:cs="Arial"/>
          <w:b/>
          <w:color w:val="000000"/>
        </w:rPr>
      </w:pPr>
    </w:p>
    <w:p w:rsidR="00CF53B1" w:rsidRPr="00E75BCC" w:rsidRDefault="00940DFC" w:rsidP="00CE4C78">
      <w:pPr>
        <w:pStyle w:val="BodyTextIndent"/>
        <w:rPr>
          <w:rFonts w:cs="Tahoma"/>
        </w:rPr>
      </w:pPr>
      <w:r>
        <w:rPr>
          <w:lang w:val="en-CA"/>
        </w:rPr>
        <w:fldChar w:fldCharType="begin"/>
      </w:r>
      <w:r w:rsidR="00CF53B1">
        <w:rPr>
          <w:lang w:val="en-CA"/>
        </w:rPr>
        <w:instrText xml:space="preserve"> SEQ CHAPTER \h \r 1</w:instrText>
      </w:r>
      <w:r>
        <w:rPr>
          <w:lang w:val="en-CA"/>
        </w:rPr>
        <w:fldChar w:fldCharType="end"/>
      </w:r>
      <w:r w:rsidR="00CF53B1">
        <w:t xml:space="preserve">This collection of information will be collected in accordance with all OMB guidelines under 5 CFR 1320.6.  </w:t>
      </w:r>
      <w:r w:rsidR="00CF53B1" w:rsidRPr="00E75BCC">
        <w:rPr>
          <w:rFonts w:cs="Tahoma"/>
        </w:rPr>
        <w:t xml:space="preserve">Respondents will be asked to </w:t>
      </w:r>
      <w:r w:rsidR="00CF53B1">
        <w:rPr>
          <w:rFonts w:cs="Tahoma"/>
        </w:rPr>
        <w:t>participate in the consumer research activities only once and their participation will be voluntary</w:t>
      </w:r>
      <w:r w:rsidR="00CF53B1" w:rsidRPr="00E75BCC">
        <w:rPr>
          <w:rFonts w:cs="Tahoma"/>
        </w:rPr>
        <w:t xml:space="preserve">. There will be no need for </w:t>
      </w:r>
      <w:r w:rsidR="00CF53B1">
        <w:rPr>
          <w:rFonts w:cs="Tahoma"/>
        </w:rPr>
        <w:t>participants</w:t>
      </w:r>
      <w:r w:rsidR="00CF53B1" w:rsidRPr="00E75BCC">
        <w:rPr>
          <w:rFonts w:cs="Tahoma"/>
        </w:rPr>
        <w:t xml:space="preserve"> to maintain records or submit proprietary trade secrets</w:t>
      </w:r>
      <w:r w:rsidR="00434DB9">
        <w:rPr>
          <w:rFonts w:cs="Tahoma"/>
        </w:rPr>
        <w:t xml:space="preserve"> or other information</w:t>
      </w:r>
      <w:r w:rsidR="00CF53B1" w:rsidRPr="00E75BCC">
        <w:rPr>
          <w:rFonts w:cs="Tahoma"/>
        </w:rPr>
        <w:t xml:space="preserve">.  </w:t>
      </w:r>
    </w:p>
    <w:p w:rsidR="00841168" w:rsidRDefault="00841168" w:rsidP="00CF53B1">
      <w:pPr>
        <w:keepLines/>
        <w:autoSpaceDE w:val="0"/>
        <w:autoSpaceDN w:val="0"/>
        <w:adjustRightInd w:val="0"/>
        <w:spacing w:line="240" w:lineRule="atLeast"/>
        <w:rPr>
          <w:rFonts w:cs="Arial"/>
          <w:b/>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ab/>
        <w:t xml:space="preserve">3(f) Confidentiality </w:t>
      </w:r>
    </w:p>
    <w:p w:rsidR="00CF53B1" w:rsidRDefault="00CF53B1" w:rsidP="00CF53B1">
      <w:pPr>
        <w:keepLines/>
        <w:autoSpaceDE w:val="0"/>
        <w:autoSpaceDN w:val="0"/>
        <w:adjustRightInd w:val="0"/>
        <w:spacing w:line="240" w:lineRule="atLeast"/>
        <w:rPr>
          <w:rFonts w:cs="Arial"/>
          <w:color w:val="000000"/>
        </w:rPr>
      </w:pPr>
    </w:p>
    <w:p w:rsidR="00CF53B1" w:rsidRPr="00E75BCC" w:rsidRDefault="00CF53B1" w:rsidP="00CF53B1">
      <w:pPr>
        <w:pStyle w:val="BodyTextIndent"/>
        <w:ind w:firstLine="0"/>
        <w:rPr>
          <w:rFonts w:cs="Tahoma"/>
        </w:rPr>
      </w:pPr>
      <w:r>
        <w:rPr>
          <w:rFonts w:cs="Arial"/>
          <w:color w:val="000000"/>
        </w:rPr>
        <w:tab/>
      </w:r>
      <w:r w:rsidR="00537B2F">
        <w:rPr>
          <w:lang w:val="en-CA"/>
        </w:rPr>
        <w:t xml:space="preserve">Respondents to this information collection will be private citizens rather than regulated parties, so </w:t>
      </w:r>
      <w:r w:rsidR="00537B2F">
        <w:rPr>
          <w:rFonts w:cs="Arial"/>
          <w:color w:val="000000"/>
        </w:rPr>
        <w:t>n</w:t>
      </w:r>
      <w:r>
        <w:rPr>
          <w:rFonts w:cs="Arial"/>
          <w:color w:val="000000"/>
        </w:rPr>
        <w:t>o proprietary trade secrets or other proprietary information will be collected.</w:t>
      </w:r>
    </w:p>
    <w:p w:rsidR="00404EE5" w:rsidRDefault="00404EE5" w:rsidP="00CF53B1">
      <w:pPr>
        <w:keepLines/>
        <w:autoSpaceDE w:val="0"/>
        <w:autoSpaceDN w:val="0"/>
        <w:adjustRightInd w:val="0"/>
        <w:spacing w:line="240" w:lineRule="atLeast"/>
        <w:rPr>
          <w:rFonts w:cs="Arial"/>
          <w:b/>
          <w:color w:val="000000"/>
        </w:rPr>
      </w:pPr>
    </w:p>
    <w:p w:rsidR="00CF53B1" w:rsidRDefault="00404EE5" w:rsidP="00CF53B1">
      <w:pPr>
        <w:keepLines/>
        <w:autoSpaceDE w:val="0"/>
        <w:autoSpaceDN w:val="0"/>
        <w:adjustRightInd w:val="0"/>
        <w:spacing w:line="240" w:lineRule="atLeast"/>
        <w:rPr>
          <w:rFonts w:cs="Arial"/>
          <w:b/>
          <w:color w:val="000000"/>
        </w:rPr>
      </w:pPr>
      <w:r>
        <w:rPr>
          <w:rFonts w:cs="Arial"/>
          <w:b/>
          <w:color w:val="000000"/>
        </w:rPr>
        <w:tab/>
      </w:r>
      <w:r w:rsidR="00CF53B1">
        <w:rPr>
          <w:rFonts w:cs="Arial"/>
          <w:b/>
          <w:color w:val="000000"/>
        </w:rPr>
        <w:t xml:space="preserve">3(g) Sensitive Questions </w:t>
      </w:r>
    </w:p>
    <w:p w:rsidR="00CF53B1" w:rsidRDefault="00CF53B1" w:rsidP="00CF53B1">
      <w:pPr>
        <w:keepLines/>
        <w:autoSpaceDE w:val="0"/>
        <w:autoSpaceDN w:val="0"/>
        <w:adjustRightInd w:val="0"/>
        <w:spacing w:line="240" w:lineRule="atLeast"/>
        <w:rPr>
          <w:rFonts w:cs="Arial"/>
          <w:color w:val="000000"/>
        </w:rPr>
      </w:pPr>
    </w:p>
    <w:p w:rsidR="00CF53B1" w:rsidRDefault="00967EA0" w:rsidP="00CF53B1">
      <w:pPr>
        <w:ind w:firstLine="720"/>
      </w:pPr>
      <w:r>
        <w:rPr>
          <w:rFonts w:cs="Arial"/>
          <w:color w:val="000000"/>
        </w:rPr>
        <w:t>Focus group participants voluntarily agree to participate in this research by specifically opting-in.  Participants must actively seek such opportunities by signing-up and placing their information in the focus group facility database.  A minimal amount of information is collected for that database</w:t>
      </w:r>
      <w:r w:rsidR="00872ADD">
        <w:rPr>
          <w:rFonts w:cs="Arial"/>
          <w:color w:val="000000"/>
        </w:rPr>
        <w:t>,</w:t>
      </w:r>
      <w:r>
        <w:rPr>
          <w:rFonts w:cs="Arial"/>
          <w:color w:val="000000"/>
        </w:rPr>
        <w:t xml:space="preserve"> such </w:t>
      </w:r>
      <w:r w:rsidR="00872ADD">
        <w:rPr>
          <w:rFonts w:cs="Arial"/>
          <w:color w:val="000000"/>
        </w:rPr>
        <w:t xml:space="preserve">as </w:t>
      </w:r>
      <w:r>
        <w:rPr>
          <w:rFonts w:cs="Arial"/>
          <w:color w:val="000000"/>
        </w:rPr>
        <w:t xml:space="preserve">name, address (contact information), </w:t>
      </w:r>
      <w:proofErr w:type="gramStart"/>
      <w:r>
        <w:rPr>
          <w:rFonts w:cs="Arial"/>
          <w:color w:val="000000"/>
        </w:rPr>
        <w:t>age</w:t>
      </w:r>
      <w:proofErr w:type="gramEnd"/>
      <w:r>
        <w:rPr>
          <w:rFonts w:cs="Arial"/>
          <w:color w:val="000000"/>
        </w:rPr>
        <w:t xml:space="preserve">, highest level of education completed, employment status, household income, ethnicity, and gender.  </w:t>
      </w:r>
      <w:r w:rsidR="003F0936">
        <w:rPr>
          <w:rFonts w:cs="Arial"/>
          <w:color w:val="000000"/>
        </w:rPr>
        <w:t>Such</w:t>
      </w:r>
      <w:r>
        <w:rPr>
          <w:rFonts w:cs="Arial"/>
          <w:color w:val="000000"/>
        </w:rPr>
        <w:t xml:space="preserve"> information would be collected by the research compan</w:t>
      </w:r>
      <w:r w:rsidR="00067324">
        <w:rPr>
          <w:rFonts w:cs="Arial"/>
          <w:color w:val="000000"/>
        </w:rPr>
        <w:t xml:space="preserve">y </w:t>
      </w:r>
      <w:r>
        <w:rPr>
          <w:rFonts w:cs="Arial"/>
          <w:color w:val="000000"/>
        </w:rPr>
        <w:t>as</w:t>
      </w:r>
      <w:r w:rsidR="00067324">
        <w:rPr>
          <w:rFonts w:cs="Arial"/>
          <w:color w:val="000000"/>
        </w:rPr>
        <w:t xml:space="preserve"> part of</w:t>
      </w:r>
      <w:r>
        <w:rPr>
          <w:rFonts w:cs="Arial"/>
          <w:color w:val="000000"/>
        </w:rPr>
        <w:t xml:space="preserve"> their standard business practice</w:t>
      </w:r>
      <w:r w:rsidR="00067324">
        <w:rPr>
          <w:rFonts w:cs="Arial"/>
          <w:color w:val="000000"/>
        </w:rPr>
        <w:t>,</w:t>
      </w:r>
      <w:r>
        <w:rPr>
          <w:rFonts w:cs="Arial"/>
          <w:color w:val="000000"/>
        </w:rPr>
        <w:t xml:space="preserve"> regardless of whether EPA conducted a survey or not. </w:t>
      </w:r>
      <w:r w:rsidR="003F0936">
        <w:rPr>
          <w:rFonts w:cs="Arial"/>
          <w:color w:val="000000"/>
        </w:rPr>
        <w:t xml:space="preserve"> The research company uses this information to search within their database to locate appropriate participants, and then balance the focus groups.  Significantly, EPA does not </w:t>
      </w:r>
      <w:r w:rsidR="00434DB9">
        <w:rPr>
          <w:color w:val="000000"/>
        </w:rPr>
        <w:t>collect or retain</w:t>
      </w:r>
      <w:r w:rsidR="003F0936">
        <w:rPr>
          <w:color w:val="000000"/>
        </w:rPr>
        <w:t xml:space="preserve"> this information</w:t>
      </w:r>
      <w:r w:rsidR="00CF53B1">
        <w:rPr>
          <w:color w:val="000000"/>
        </w:rPr>
        <w:t xml:space="preserve">.  </w:t>
      </w:r>
      <w:r w:rsidR="00CF53B1">
        <w:t xml:space="preserve">EPA </w:t>
      </w:r>
      <w:r w:rsidR="003F0936">
        <w:t xml:space="preserve">retains only the opinions of the participants.  </w:t>
      </w:r>
      <w:r w:rsidR="00CF53B1">
        <w:t xml:space="preserve">EPA will guarantee all participants that their responses will </w:t>
      </w:r>
      <w:r w:rsidR="00434DB9">
        <w:t>not be attributed to any individual</w:t>
      </w:r>
      <w:r w:rsidR="00CF53B1">
        <w:t xml:space="preserve">.  </w:t>
      </w:r>
      <w:r w:rsidR="00537B2F">
        <w:rPr>
          <w:rFonts w:cs="Tahoma"/>
        </w:rPr>
        <w:t xml:space="preserve">Consumer research conducted </w:t>
      </w:r>
      <w:r w:rsidR="00537B2F" w:rsidRPr="00E75BCC">
        <w:rPr>
          <w:rFonts w:cs="Tahoma"/>
        </w:rPr>
        <w:t xml:space="preserve">will fully conform to federal regulations – specifically the Privacy Act of 1974 (5 U.S.C. 552a), the Hawkins-Stafford Amendments of 1988 (P.L 100-297), and the Computer Security Act of 1987.  </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color w:val="000000"/>
        </w:rPr>
      </w:pPr>
      <w:r>
        <w:rPr>
          <w:rFonts w:cs="Arial"/>
          <w:color w:val="000000"/>
        </w:rPr>
        <w:tab/>
      </w:r>
      <w:r>
        <w:rPr>
          <w:rFonts w:cs="Arial"/>
          <w:b/>
          <w:color w:val="000000"/>
        </w:rPr>
        <w:t>3(h) Electronic Reporting</w:t>
      </w:r>
      <w:r>
        <w:rPr>
          <w:rFonts w:cs="Arial"/>
          <w:color w:val="000000"/>
        </w:rPr>
        <w:t xml:space="preserve">. </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color w:val="000000"/>
        </w:rPr>
      </w:pPr>
      <w:r>
        <w:rPr>
          <w:rFonts w:cs="Arial"/>
          <w:color w:val="000000"/>
        </w:rPr>
        <w:tab/>
        <w:t xml:space="preserve">There will be no direct electronic submission scheme for this collection.  </w:t>
      </w:r>
    </w:p>
    <w:p w:rsidR="00537B2F" w:rsidRDefault="00537B2F"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lastRenderedPageBreak/>
        <w:t>4</w:t>
      </w:r>
      <w:r w:rsidR="00537B2F">
        <w:rPr>
          <w:rFonts w:cs="Arial"/>
          <w:b/>
          <w:color w:val="000000"/>
        </w:rPr>
        <w:t>.</w:t>
      </w:r>
      <w:r w:rsidR="00537B2F">
        <w:rPr>
          <w:rFonts w:cs="Arial"/>
          <w:b/>
          <w:color w:val="000000"/>
        </w:rPr>
        <w:tab/>
      </w:r>
      <w:r>
        <w:rPr>
          <w:rFonts w:cs="Arial"/>
          <w:b/>
          <w:color w:val="000000"/>
        </w:rPr>
        <w:t xml:space="preserve">THE RESPONDENTS AND THE INFORMATION REQUESTED </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ab/>
        <w:t>4(a) Respondents</w:t>
      </w:r>
    </w:p>
    <w:p w:rsidR="00CF53B1" w:rsidRDefault="00CF53B1" w:rsidP="00CF53B1">
      <w:pPr>
        <w:keepLines/>
        <w:autoSpaceDE w:val="0"/>
        <w:autoSpaceDN w:val="0"/>
        <w:adjustRightInd w:val="0"/>
        <w:spacing w:line="240" w:lineRule="atLeast"/>
        <w:rPr>
          <w:rFonts w:cs="Arial"/>
          <w:color w:val="000000"/>
        </w:rPr>
      </w:pPr>
    </w:p>
    <w:p w:rsidR="00CF53B1" w:rsidRDefault="00CF53B1" w:rsidP="003F0936">
      <w:pPr>
        <w:rPr>
          <w:rFonts w:cs="Arial"/>
          <w:b/>
          <w:color w:val="000000"/>
        </w:rPr>
      </w:pPr>
      <w:r>
        <w:rPr>
          <w:rFonts w:cs="Arial"/>
          <w:color w:val="000000"/>
        </w:rPr>
        <w:tab/>
      </w:r>
      <w:r w:rsidRPr="002F48B7">
        <w:rPr>
          <w:rFonts w:cs="Shruti"/>
        </w:rPr>
        <w:t>Poten</w:t>
      </w:r>
      <w:r>
        <w:rPr>
          <w:rFonts w:cs="Shruti"/>
        </w:rPr>
        <w:t xml:space="preserve">tial respondents </w:t>
      </w:r>
      <w:r w:rsidR="00CE11C3">
        <w:rPr>
          <w:rFonts w:cs="Shruti"/>
        </w:rPr>
        <w:t xml:space="preserve">to this information collection </w:t>
      </w:r>
      <w:r w:rsidR="00D871B6">
        <w:rPr>
          <w:rFonts w:cs="Shruti"/>
        </w:rPr>
        <w:t xml:space="preserve">will </w:t>
      </w:r>
      <w:r w:rsidR="00E542E2">
        <w:rPr>
          <w:rFonts w:cs="Shruti"/>
        </w:rPr>
        <w:t xml:space="preserve">include </w:t>
      </w:r>
      <w:r w:rsidR="00E542E2" w:rsidRPr="002F48B7">
        <w:rPr>
          <w:rFonts w:cs="Shruti"/>
        </w:rPr>
        <w:t>members</w:t>
      </w:r>
      <w:r>
        <w:rPr>
          <w:rFonts w:cs="Shruti"/>
        </w:rPr>
        <w:t xml:space="preserve"> of the </w:t>
      </w:r>
      <w:r w:rsidR="00294D61">
        <w:rPr>
          <w:rFonts w:cs="Shruti"/>
        </w:rPr>
        <w:t xml:space="preserve">general </w:t>
      </w:r>
      <w:r>
        <w:rPr>
          <w:rFonts w:cs="Shruti"/>
        </w:rPr>
        <w:t>public</w:t>
      </w:r>
      <w:r w:rsidR="00CE11C3">
        <w:rPr>
          <w:rFonts w:cs="Shruti"/>
        </w:rPr>
        <w:t xml:space="preserve"> that volunteer </w:t>
      </w:r>
      <w:r w:rsidR="003F0936">
        <w:rPr>
          <w:rFonts w:cs="Shruti"/>
        </w:rPr>
        <w:t xml:space="preserve">(opt-in) </w:t>
      </w:r>
      <w:r w:rsidR="00CE11C3">
        <w:rPr>
          <w:rFonts w:cs="Shruti"/>
        </w:rPr>
        <w:t>to participate in a focus group</w:t>
      </w:r>
      <w:r w:rsidR="00294D61">
        <w:rPr>
          <w:rFonts w:cs="Shruti"/>
        </w:rPr>
        <w:t>.</w:t>
      </w:r>
      <w:r>
        <w:rPr>
          <w:rFonts w:cs="Shruti"/>
        </w:rPr>
        <w:t xml:space="preserve"> </w:t>
      </w:r>
    </w:p>
    <w:p w:rsidR="00E87274" w:rsidRDefault="00CF53B1" w:rsidP="00AF3E7D">
      <w:pPr>
        <w:keepLines/>
        <w:autoSpaceDE w:val="0"/>
        <w:autoSpaceDN w:val="0"/>
        <w:adjustRightInd w:val="0"/>
        <w:spacing w:line="240" w:lineRule="atLeast"/>
        <w:rPr>
          <w:rFonts w:cs="Arial"/>
          <w:b/>
          <w:color w:val="000000"/>
        </w:rPr>
      </w:pPr>
      <w:r>
        <w:rPr>
          <w:rFonts w:cs="Arial"/>
          <w:b/>
          <w:color w:val="000000"/>
        </w:rPr>
        <w:tab/>
      </w:r>
    </w:p>
    <w:p w:rsidR="00CF53B1" w:rsidRPr="00AF3E7D" w:rsidRDefault="00CF53B1" w:rsidP="00E87274">
      <w:pPr>
        <w:keepLines/>
        <w:autoSpaceDE w:val="0"/>
        <w:autoSpaceDN w:val="0"/>
        <w:adjustRightInd w:val="0"/>
        <w:spacing w:line="240" w:lineRule="atLeast"/>
        <w:ind w:firstLine="720"/>
        <w:rPr>
          <w:rFonts w:cs="Arial"/>
          <w:b/>
          <w:color w:val="000000"/>
        </w:rPr>
      </w:pPr>
      <w:r>
        <w:rPr>
          <w:rFonts w:cs="Arial"/>
          <w:b/>
          <w:color w:val="000000"/>
        </w:rPr>
        <w:t>4(b) Respondent Activities</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ind w:left="720"/>
        <w:rPr>
          <w:rFonts w:cs="Arial"/>
          <w:color w:val="000000"/>
        </w:rPr>
      </w:pPr>
      <w:r>
        <w:rPr>
          <w:rFonts w:cs="Arial"/>
          <w:color w:val="000000"/>
        </w:rPr>
        <w:t>Focus Groups may involve the following activities:</w:t>
      </w:r>
    </w:p>
    <w:p w:rsidR="00CF53B1" w:rsidRDefault="00CF53B1" w:rsidP="00CF53B1">
      <w:pPr>
        <w:keepLines/>
        <w:numPr>
          <w:ilvl w:val="0"/>
          <w:numId w:val="5"/>
        </w:numPr>
        <w:autoSpaceDE w:val="0"/>
        <w:autoSpaceDN w:val="0"/>
        <w:adjustRightInd w:val="0"/>
        <w:spacing w:line="240" w:lineRule="atLeast"/>
        <w:rPr>
          <w:rFonts w:cs="Arial"/>
          <w:color w:val="000000"/>
        </w:rPr>
      </w:pPr>
      <w:r>
        <w:rPr>
          <w:rFonts w:cs="Arial"/>
          <w:color w:val="000000"/>
        </w:rPr>
        <w:t>Listen to instructions</w:t>
      </w:r>
      <w:r w:rsidR="00CE11C3">
        <w:rPr>
          <w:rFonts w:cs="Arial"/>
          <w:color w:val="000000"/>
        </w:rPr>
        <w:t>.</w:t>
      </w:r>
    </w:p>
    <w:p w:rsidR="00CE11C3" w:rsidRDefault="00CE11C3" w:rsidP="00CF53B1">
      <w:pPr>
        <w:keepLines/>
        <w:numPr>
          <w:ilvl w:val="0"/>
          <w:numId w:val="5"/>
        </w:numPr>
        <w:autoSpaceDE w:val="0"/>
        <w:autoSpaceDN w:val="0"/>
        <w:adjustRightInd w:val="0"/>
        <w:spacing w:line="240" w:lineRule="atLeast"/>
        <w:rPr>
          <w:rFonts w:cs="Arial"/>
          <w:color w:val="000000"/>
        </w:rPr>
      </w:pPr>
      <w:r>
        <w:rPr>
          <w:rFonts w:cs="Arial"/>
          <w:color w:val="000000"/>
        </w:rPr>
        <w:t xml:space="preserve">Review </w:t>
      </w:r>
      <w:r w:rsidR="003F0936">
        <w:rPr>
          <w:rFonts w:cs="Arial"/>
          <w:color w:val="000000"/>
        </w:rPr>
        <w:t>handouts</w:t>
      </w:r>
      <w:r>
        <w:rPr>
          <w:rFonts w:cs="Arial"/>
          <w:color w:val="000000"/>
        </w:rPr>
        <w:t xml:space="preserve"> (labels </w:t>
      </w:r>
      <w:r w:rsidR="001232AD">
        <w:rPr>
          <w:rFonts w:cs="Arial"/>
          <w:color w:val="000000"/>
        </w:rPr>
        <w:t>and</w:t>
      </w:r>
      <w:r>
        <w:rPr>
          <w:rFonts w:cs="Arial"/>
          <w:color w:val="000000"/>
        </w:rPr>
        <w:t xml:space="preserve">/or other information) </w:t>
      </w:r>
      <w:r w:rsidR="003F0936">
        <w:rPr>
          <w:rFonts w:cs="Arial"/>
          <w:color w:val="000000"/>
        </w:rPr>
        <w:t>being</w:t>
      </w:r>
      <w:r>
        <w:rPr>
          <w:rFonts w:cs="Arial"/>
          <w:color w:val="000000"/>
        </w:rPr>
        <w:t xml:space="preserve"> discussed.</w:t>
      </w:r>
    </w:p>
    <w:p w:rsidR="00CF53B1" w:rsidRDefault="00D871B6" w:rsidP="00CF53B1">
      <w:pPr>
        <w:keepLines/>
        <w:numPr>
          <w:ilvl w:val="0"/>
          <w:numId w:val="5"/>
        </w:numPr>
        <w:autoSpaceDE w:val="0"/>
        <w:autoSpaceDN w:val="0"/>
        <w:adjustRightInd w:val="0"/>
        <w:spacing w:line="240" w:lineRule="atLeast"/>
        <w:rPr>
          <w:rFonts w:cs="Arial"/>
          <w:color w:val="000000"/>
        </w:rPr>
      </w:pPr>
      <w:r>
        <w:rPr>
          <w:rFonts w:cs="Arial"/>
          <w:color w:val="000000"/>
        </w:rPr>
        <w:t>Participate</w:t>
      </w:r>
      <w:r w:rsidR="00CF53B1">
        <w:rPr>
          <w:rFonts w:cs="Arial"/>
          <w:color w:val="000000"/>
        </w:rPr>
        <w:t xml:space="preserve"> in discussions</w:t>
      </w:r>
    </w:p>
    <w:p w:rsidR="00CF53B1" w:rsidRPr="00AD12AE" w:rsidRDefault="00CF53B1" w:rsidP="00CF53B1">
      <w:pPr>
        <w:keepLines/>
        <w:numPr>
          <w:ilvl w:val="0"/>
          <w:numId w:val="5"/>
        </w:numPr>
        <w:autoSpaceDE w:val="0"/>
        <w:autoSpaceDN w:val="0"/>
        <w:adjustRightInd w:val="0"/>
        <w:spacing w:line="240" w:lineRule="atLeast"/>
        <w:rPr>
          <w:rFonts w:cs="Arial"/>
          <w:color w:val="000000"/>
        </w:rPr>
      </w:pPr>
      <w:r>
        <w:rPr>
          <w:rFonts w:cs="Arial"/>
          <w:color w:val="000000"/>
        </w:rPr>
        <w:t>Complete forms</w:t>
      </w:r>
      <w:r w:rsidR="00CE11C3">
        <w:rPr>
          <w:rFonts w:cs="Arial"/>
          <w:color w:val="000000"/>
        </w:rPr>
        <w:t>, if applicable</w:t>
      </w:r>
    </w:p>
    <w:p w:rsidR="00CF53B1" w:rsidRDefault="00CF53B1" w:rsidP="00CF53B1">
      <w:pPr>
        <w:widowControl w:val="0"/>
      </w:pPr>
    </w:p>
    <w:p w:rsidR="00CF53B1" w:rsidRDefault="00940DFC" w:rsidP="008E43DE">
      <w:pPr>
        <w:ind w:left="720" w:hanging="720"/>
        <w:rPr>
          <w:b/>
          <w:bCs/>
        </w:rPr>
      </w:pPr>
      <w:r>
        <w:rPr>
          <w:lang w:val="en-CA"/>
        </w:rPr>
        <w:fldChar w:fldCharType="begin"/>
      </w:r>
      <w:r w:rsidR="00CF53B1">
        <w:rPr>
          <w:lang w:val="en-CA"/>
        </w:rPr>
        <w:instrText xml:space="preserve"> SEQ CHAPTER \h \r 1</w:instrText>
      </w:r>
      <w:r>
        <w:rPr>
          <w:lang w:val="en-CA"/>
        </w:rPr>
        <w:fldChar w:fldCharType="end"/>
      </w:r>
      <w:r w:rsidR="00CF53B1">
        <w:rPr>
          <w:b/>
          <w:bCs/>
        </w:rPr>
        <w:t>5</w:t>
      </w:r>
      <w:r w:rsidR="008E43DE">
        <w:rPr>
          <w:b/>
          <w:bCs/>
        </w:rPr>
        <w:t>.</w:t>
      </w:r>
      <w:r w:rsidR="008E43DE">
        <w:rPr>
          <w:b/>
          <w:bCs/>
        </w:rPr>
        <w:tab/>
      </w:r>
      <w:r w:rsidR="00CF53B1">
        <w:rPr>
          <w:b/>
          <w:bCs/>
        </w:rPr>
        <w:t>AGENCY ACTIVITIES, COLLECTION METHODOLOGY, AND INFORMATION MANAGEMENT</w:t>
      </w:r>
    </w:p>
    <w:p w:rsidR="00CF53B1" w:rsidRDefault="00CF53B1" w:rsidP="00CF53B1">
      <w:pPr>
        <w:rPr>
          <w:b/>
          <w:bCs/>
        </w:rPr>
      </w:pPr>
    </w:p>
    <w:p w:rsidR="00CF53B1" w:rsidRDefault="00CF53B1" w:rsidP="00CF53B1">
      <w:pPr>
        <w:widowControl w:val="0"/>
      </w:pPr>
      <w:r>
        <w:rPr>
          <w:b/>
          <w:bCs/>
        </w:rPr>
        <w:tab/>
      </w:r>
      <w:r>
        <w:rPr>
          <w:b/>
        </w:rPr>
        <w:t>5(a)</w:t>
      </w:r>
      <w:r>
        <w:rPr>
          <w:b/>
        </w:rPr>
        <w:tab/>
        <w:t>Agency Activities</w:t>
      </w:r>
    </w:p>
    <w:p w:rsidR="00CF53B1" w:rsidRDefault="00CF53B1" w:rsidP="00CF53B1">
      <w:pPr>
        <w:widowControl w:val="0"/>
      </w:pPr>
    </w:p>
    <w:p w:rsidR="00CF53B1" w:rsidRDefault="00CF53B1" w:rsidP="00CF53B1">
      <w:pPr>
        <w:widowControl w:val="0"/>
      </w:pPr>
      <w:r>
        <w:tab/>
        <w:t xml:space="preserve">EPA </w:t>
      </w:r>
      <w:r w:rsidR="00C71EDE">
        <w:t xml:space="preserve">or its contractor </w:t>
      </w:r>
      <w:r>
        <w:t>will perform the following activities:</w:t>
      </w:r>
    </w:p>
    <w:p w:rsidR="00CE11C3" w:rsidRDefault="00CE11C3" w:rsidP="00CF53B1">
      <w:pPr>
        <w:widowControl w:val="0"/>
        <w:numPr>
          <w:ilvl w:val="0"/>
          <w:numId w:val="6"/>
        </w:numPr>
      </w:pPr>
      <w:r>
        <w:t>Identify the topic for the focus group.</w:t>
      </w:r>
    </w:p>
    <w:p w:rsidR="00CF53B1" w:rsidRDefault="00CF53B1" w:rsidP="00CF53B1">
      <w:pPr>
        <w:widowControl w:val="0"/>
        <w:numPr>
          <w:ilvl w:val="0"/>
          <w:numId w:val="6"/>
        </w:numPr>
      </w:pPr>
      <w:r>
        <w:t>De</w:t>
      </w:r>
      <w:r w:rsidR="00FC6A9B">
        <w:t xml:space="preserve">sign the approach for conducting the focus group (agenda, discussion </w:t>
      </w:r>
      <w:r w:rsidR="00CE11C3">
        <w:t>points</w:t>
      </w:r>
      <w:r w:rsidR="00FC6A9B">
        <w:t>, presentation materials)</w:t>
      </w:r>
      <w:r w:rsidR="00CE11C3">
        <w:t>.</w:t>
      </w:r>
      <w:r>
        <w:t xml:space="preserve"> </w:t>
      </w:r>
    </w:p>
    <w:p w:rsidR="00CF53B1" w:rsidRDefault="00CF53B1" w:rsidP="00CF53B1">
      <w:pPr>
        <w:widowControl w:val="0"/>
        <w:numPr>
          <w:ilvl w:val="0"/>
          <w:numId w:val="6"/>
        </w:numPr>
      </w:pPr>
      <w:r>
        <w:t xml:space="preserve">Internal EPA review and approval of </w:t>
      </w:r>
      <w:r w:rsidR="00FC6A9B">
        <w:t>discussion topics</w:t>
      </w:r>
      <w:r w:rsidR="00CE11C3">
        <w:t xml:space="preserve"> and the design of the approach.</w:t>
      </w:r>
      <w:r w:rsidR="00FC6A9B">
        <w:t xml:space="preserve"> </w:t>
      </w:r>
    </w:p>
    <w:p w:rsidR="00CE11C3" w:rsidRDefault="000A0703" w:rsidP="00CE11C3">
      <w:pPr>
        <w:widowControl w:val="0"/>
        <w:numPr>
          <w:ilvl w:val="0"/>
          <w:numId w:val="6"/>
        </w:numPr>
      </w:pPr>
      <w:r w:rsidRPr="000A0703">
        <w:t>Identify</w:t>
      </w:r>
      <w:r w:rsidR="003F0936">
        <w:t xml:space="preserve"> and then screen</w:t>
      </w:r>
      <w:r w:rsidRPr="000A0703">
        <w:t xml:space="preserve"> focus group participants</w:t>
      </w:r>
      <w:r w:rsidR="00CE11C3">
        <w:t xml:space="preserve"> (</w:t>
      </w:r>
      <w:r w:rsidR="003F0936">
        <w:t>recruited from the focus group facility database</w:t>
      </w:r>
      <w:r w:rsidR="00CE11C3">
        <w:t>)</w:t>
      </w:r>
      <w:r w:rsidR="003F0936">
        <w:t>.</w:t>
      </w:r>
    </w:p>
    <w:p w:rsidR="00CF53B1" w:rsidRDefault="000A0703" w:rsidP="00CF53B1">
      <w:pPr>
        <w:widowControl w:val="0"/>
        <w:numPr>
          <w:ilvl w:val="0"/>
          <w:numId w:val="6"/>
        </w:numPr>
      </w:pPr>
      <w:r>
        <w:t>Conduct focus group</w:t>
      </w:r>
      <w:r w:rsidR="00CE11C3">
        <w:t>.</w:t>
      </w:r>
    </w:p>
    <w:p w:rsidR="00CF53B1" w:rsidRDefault="00CF53B1" w:rsidP="00CF53B1">
      <w:pPr>
        <w:widowControl w:val="0"/>
        <w:numPr>
          <w:ilvl w:val="0"/>
          <w:numId w:val="6"/>
        </w:numPr>
      </w:pPr>
      <w:r>
        <w:t>Review and analyze the information obtained</w:t>
      </w:r>
      <w:r w:rsidR="00CE11C3">
        <w:t>.</w:t>
      </w:r>
    </w:p>
    <w:p w:rsidR="003F0936" w:rsidRDefault="003F0936" w:rsidP="003F0936">
      <w:pPr>
        <w:widowControl w:val="0"/>
        <w:numPr>
          <w:ilvl w:val="0"/>
          <w:numId w:val="6"/>
        </w:numPr>
      </w:pPr>
      <w:r>
        <w:t>Provide an aggregated report of the information obtained and the overall conclusions and results.</w:t>
      </w:r>
    </w:p>
    <w:p w:rsidR="00CF53B1" w:rsidRDefault="00CF53B1" w:rsidP="00CF53B1">
      <w:pPr>
        <w:widowControl w:val="0"/>
        <w:numPr>
          <w:ilvl w:val="0"/>
          <w:numId w:val="6"/>
        </w:numPr>
      </w:pPr>
      <w:r>
        <w:t xml:space="preserve">File and store </w:t>
      </w:r>
      <w:r w:rsidR="00CE11C3">
        <w:t>data (information from focus group and analysis), as appropriate.</w:t>
      </w:r>
    </w:p>
    <w:p w:rsidR="00CE11C3" w:rsidRDefault="00CE11C3" w:rsidP="00CE11C3">
      <w:pPr>
        <w:widowControl w:val="0"/>
        <w:numPr>
          <w:ilvl w:val="0"/>
          <w:numId w:val="6"/>
        </w:numPr>
      </w:pPr>
      <w:r>
        <w:t>Use the data to inform the design of label statements for consumer pesticide products</w:t>
      </w:r>
      <w:r w:rsidR="003F0936">
        <w:t xml:space="preserve"> and/or prepare questions for a national survey</w:t>
      </w:r>
      <w:r>
        <w:t>.</w:t>
      </w:r>
    </w:p>
    <w:p w:rsidR="00CF53B1" w:rsidRDefault="00CF53B1" w:rsidP="00CF53B1">
      <w:pPr>
        <w:widowControl w:val="0"/>
      </w:pPr>
    </w:p>
    <w:p w:rsidR="00CF53B1" w:rsidRDefault="00CF53B1" w:rsidP="00CF53B1">
      <w:pPr>
        <w:widowControl w:val="0"/>
      </w:pPr>
      <w:r>
        <w:tab/>
      </w:r>
      <w:r>
        <w:rPr>
          <w:b/>
        </w:rPr>
        <w:t>5(b)</w:t>
      </w:r>
      <w:r>
        <w:rPr>
          <w:b/>
        </w:rPr>
        <w:tab/>
        <w:t>Collection Procedures</w:t>
      </w:r>
    </w:p>
    <w:p w:rsidR="00CF53B1" w:rsidRDefault="00CF53B1" w:rsidP="00CF53B1">
      <w:pPr>
        <w:widowControl w:val="0"/>
      </w:pPr>
    </w:p>
    <w:p w:rsidR="00CF53B1" w:rsidRDefault="00CF53B1" w:rsidP="00CF53B1">
      <w:r>
        <w:rPr>
          <w:rFonts w:cs="Arial"/>
          <w:b/>
          <w:color w:val="000000"/>
        </w:rPr>
        <w:tab/>
      </w:r>
      <w:r w:rsidR="00193558">
        <w:t>EPA</w:t>
      </w:r>
      <w:r w:rsidR="003F0936">
        <w:t>’s</w:t>
      </w:r>
      <w:r w:rsidR="00193558">
        <w:t xml:space="preserve"> contractor will implement the approach prepared for the focus group, including </w:t>
      </w:r>
      <w:r w:rsidR="00193558">
        <w:rPr>
          <w:rFonts w:cs="Arial"/>
          <w:color w:val="000000"/>
        </w:rPr>
        <w:t xml:space="preserve">making the necessary logistical arrangements </w:t>
      </w:r>
      <w:r w:rsidR="000A0703" w:rsidRPr="000A0703">
        <w:rPr>
          <w:rFonts w:cs="Arial"/>
          <w:color w:val="000000"/>
        </w:rPr>
        <w:t xml:space="preserve">for </w:t>
      </w:r>
      <w:r w:rsidR="00193558">
        <w:rPr>
          <w:rFonts w:cs="Arial"/>
          <w:color w:val="000000"/>
        </w:rPr>
        <w:t xml:space="preserve">the focus group </w:t>
      </w:r>
      <w:r w:rsidR="0097245D">
        <w:rPr>
          <w:rFonts w:cs="Arial"/>
          <w:color w:val="000000"/>
        </w:rPr>
        <w:t xml:space="preserve">and </w:t>
      </w:r>
      <w:r w:rsidR="00193558">
        <w:rPr>
          <w:rFonts w:cs="Arial"/>
          <w:color w:val="000000"/>
        </w:rPr>
        <w:t>contacting the participants</w:t>
      </w:r>
      <w:r w:rsidR="0097245D">
        <w:rPr>
          <w:rFonts w:cs="Arial"/>
          <w:color w:val="000000"/>
        </w:rPr>
        <w:t>.</w:t>
      </w:r>
      <w:r w:rsidR="00193558">
        <w:t xml:space="preserve">  </w:t>
      </w:r>
      <w:r w:rsidR="0097245D">
        <w:t xml:space="preserve">Both video and tape recordings will be used to </w:t>
      </w:r>
      <w:r w:rsidR="00193558">
        <w:t>document the discussions</w:t>
      </w:r>
      <w:r w:rsidR="0097245D">
        <w:t>.  Given the fixed position of the camera and recording equipment, identification of specific individuals would be challenging.  The contractor will also prepare</w:t>
      </w:r>
      <w:r w:rsidR="00193558">
        <w:t xml:space="preserve"> written transcripts</w:t>
      </w:r>
      <w:r w:rsidR="0097245D">
        <w:t>.  V</w:t>
      </w:r>
      <w:r w:rsidR="00193558">
        <w:t>ideo or tape recording</w:t>
      </w:r>
      <w:r w:rsidR="0097245D">
        <w:t xml:space="preserve"> “clips” may be used in briefing materials, but the “clips” will be maintained under Agency control and would not be distributed or used for publication purposes. </w:t>
      </w:r>
      <w:r w:rsidR="00193558">
        <w:t xml:space="preserve"> </w:t>
      </w:r>
    </w:p>
    <w:p w:rsidR="00AA5678" w:rsidRDefault="00CF53B1" w:rsidP="00CF53B1">
      <w:pPr>
        <w:widowControl w:val="0"/>
      </w:pPr>
      <w:r>
        <w:tab/>
      </w:r>
    </w:p>
    <w:p w:rsidR="00CF53B1" w:rsidRDefault="00CF53B1" w:rsidP="00894F52">
      <w:pPr>
        <w:widowControl w:val="0"/>
        <w:ind w:firstLine="720"/>
        <w:rPr>
          <w:b/>
        </w:rPr>
      </w:pPr>
      <w:proofErr w:type="gramStart"/>
      <w:r>
        <w:rPr>
          <w:b/>
        </w:rPr>
        <w:lastRenderedPageBreak/>
        <w:t>5(c)</w:t>
      </w:r>
      <w:r>
        <w:rPr>
          <w:b/>
        </w:rPr>
        <w:tab/>
        <w:t>Small Entity Flexibility</w:t>
      </w:r>
      <w:proofErr w:type="gramEnd"/>
    </w:p>
    <w:p w:rsidR="00CF53B1" w:rsidRDefault="00CF53B1" w:rsidP="00CF53B1">
      <w:pPr>
        <w:widowControl w:val="0"/>
        <w:rPr>
          <w:b/>
        </w:rPr>
      </w:pPr>
    </w:p>
    <w:p w:rsidR="00CF53B1" w:rsidRDefault="00CF53B1" w:rsidP="00CF53B1">
      <w:r>
        <w:tab/>
        <w:t xml:space="preserve">The </w:t>
      </w:r>
      <w:r w:rsidR="000A0703">
        <w:t>focus groups</w:t>
      </w:r>
      <w:r>
        <w:t xml:space="preserve"> will be designed </w:t>
      </w:r>
      <w:r w:rsidR="000A0703">
        <w:t xml:space="preserve">for participation </w:t>
      </w:r>
      <w:r>
        <w:t>by</w:t>
      </w:r>
      <w:r w:rsidR="000A0703">
        <w:t xml:space="preserve"> individuals</w:t>
      </w:r>
      <w:r>
        <w:t xml:space="preserve">, not businesses.  </w:t>
      </w:r>
    </w:p>
    <w:p w:rsidR="00CF53B1" w:rsidRDefault="00CF53B1" w:rsidP="00CF53B1">
      <w:pPr>
        <w:widowControl w:val="0"/>
      </w:pPr>
    </w:p>
    <w:p w:rsidR="00CF53B1" w:rsidRDefault="00CF53B1" w:rsidP="00CF53B1">
      <w:pPr>
        <w:widowControl w:val="0"/>
      </w:pPr>
      <w:r>
        <w:rPr>
          <w:b/>
        </w:rPr>
        <w:tab/>
        <w:t>5(d)</w:t>
      </w:r>
      <w:r>
        <w:rPr>
          <w:b/>
        </w:rPr>
        <w:tab/>
        <w:t>Collection Schedule</w:t>
      </w:r>
    </w:p>
    <w:p w:rsidR="00CF53B1" w:rsidRDefault="00CF53B1" w:rsidP="00CF53B1">
      <w:pPr>
        <w:widowControl w:val="0"/>
      </w:pPr>
    </w:p>
    <w:p w:rsidR="008E43DE" w:rsidRDefault="00CF53B1" w:rsidP="00CF53B1">
      <w:pPr>
        <w:widowControl w:val="0"/>
      </w:pPr>
      <w:r>
        <w:tab/>
      </w:r>
      <w:r>
        <w:rPr>
          <w:rFonts w:cs="Arial"/>
          <w:color w:val="000000"/>
        </w:rPr>
        <w:t xml:space="preserve">EPA anticipates conducting </w:t>
      </w:r>
      <w:r w:rsidR="00243C7F">
        <w:rPr>
          <w:rFonts w:cs="Arial"/>
          <w:color w:val="000000"/>
        </w:rPr>
        <w:t>up to 10</w:t>
      </w:r>
      <w:r>
        <w:rPr>
          <w:rFonts w:cs="Arial"/>
          <w:color w:val="000000"/>
        </w:rPr>
        <w:t xml:space="preserve"> </w:t>
      </w:r>
      <w:r w:rsidR="000A0703">
        <w:rPr>
          <w:rFonts w:cs="Arial"/>
          <w:color w:val="000000"/>
        </w:rPr>
        <w:t>focus groups each</w:t>
      </w:r>
      <w:r>
        <w:rPr>
          <w:rFonts w:cs="Arial"/>
          <w:color w:val="000000"/>
        </w:rPr>
        <w:t xml:space="preserve"> year, over the next three years.  </w:t>
      </w:r>
    </w:p>
    <w:p w:rsidR="00CF53B1" w:rsidRPr="00FD03AA" w:rsidRDefault="00CF53B1" w:rsidP="00CF53B1">
      <w:pPr>
        <w:pStyle w:val="Heading1"/>
        <w:numPr>
          <w:ilvl w:val="0"/>
          <w:numId w:val="0"/>
        </w:numPr>
        <w:rPr>
          <w:strike/>
          <w:sz w:val="24"/>
          <w:szCs w:val="24"/>
        </w:rPr>
      </w:pPr>
      <w:r w:rsidRPr="00FD03AA">
        <w:rPr>
          <w:sz w:val="24"/>
          <w:szCs w:val="24"/>
        </w:rPr>
        <w:t>6</w:t>
      </w:r>
      <w:r w:rsidR="008E43DE">
        <w:rPr>
          <w:sz w:val="24"/>
          <w:szCs w:val="24"/>
        </w:rPr>
        <w:t>.</w:t>
      </w:r>
      <w:r w:rsidRPr="00FD03AA">
        <w:rPr>
          <w:sz w:val="24"/>
          <w:szCs w:val="24"/>
        </w:rPr>
        <w:tab/>
        <w:t xml:space="preserve">ESTIMATING THE BURDEN AND COST OF THE COLLECTION </w:t>
      </w:r>
    </w:p>
    <w:p w:rsidR="00CF53B1" w:rsidRDefault="00CF53B1" w:rsidP="00CF53B1">
      <w:pPr>
        <w:pStyle w:val="Heading2"/>
      </w:pPr>
    </w:p>
    <w:p w:rsidR="00CF53B1" w:rsidRDefault="00CF53B1" w:rsidP="00CF53B1">
      <w:pPr>
        <w:pStyle w:val="Heading2"/>
      </w:pPr>
      <w:r>
        <w:tab/>
        <w:t>6(a)</w:t>
      </w:r>
      <w:r>
        <w:tab/>
        <w:t>Estimating Respondent Burden</w:t>
      </w:r>
      <w:r w:rsidR="008D719A">
        <w:t xml:space="preserve"> and Cost</w:t>
      </w:r>
    </w:p>
    <w:p w:rsidR="00CF53B1" w:rsidRDefault="00CF53B1" w:rsidP="00CF53B1"/>
    <w:p w:rsidR="008D719A" w:rsidRDefault="00CF53B1" w:rsidP="00CF53B1">
      <w:r>
        <w:tab/>
        <w:t xml:space="preserve">To estimate the </w:t>
      </w:r>
      <w:r w:rsidR="008E43DE">
        <w:t>paperwork</w:t>
      </w:r>
      <w:r>
        <w:t xml:space="preserve"> burden hours and costs</w:t>
      </w:r>
      <w:r w:rsidR="00E86CCC">
        <w:t>,</w:t>
      </w:r>
      <w:r>
        <w:t xml:space="preserve"> and the potential number of respondents, EPA used </w:t>
      </w:r>
      <w:r w:rsidR="005E652D">
        <w:t xml:space="preserve">the information obtained during the focus groups conducted during 2010. </w:t>
      </w:r>
    </w:p>
    <w:p w:rsidR="008D719A" w:rsidRDefault="008D719A" w:rsidP="00CF53B1"/>
    <w:p w:rsidR="00CF53B1" w:rsidRDefault="008D719A" w:rsidP="008D719A">
      <w:pPr>
        <w:ind w:firstLine="720"/>
      </w:pPr>
      <w:r>
        <w:t xml:space="preserve">The </w:t>
      </w:r>
      <w:r w:rsidR="005E652D">
        <w:t xml:space="preserve">per </w:t>
      </w:r>
      <w:r w:rsidR="00B079D6">
        <w:t>respondent burden</w:t>
      </w:r>
      <w:r w:rsidR="000371AE">
        <w:t xml:space="preserve"> </w:t>
      </w:r>
      <w:r>
        <w:t xml:space="preserve">to participate in a single focus group is estimated to be approximately </w:t>
      </w:r>
      <w:r w:rsidR="005E652D">
        <w:t>2 hours</w:t>
      </w:r>
      <w:r>
        <w:t xml:space="preserve">.  Each focus group </w:t>
      </w:r>
      <w:r w:rsidR="005E652D">
        <w:t xml:space="preserve">would have 8 to </w:t>
      </w:r>
      <w:r>
        <w:t xml:space="preserve">12 participants, </w:t>
      </w:r>
      <w:r w:rsidR="005E652D">
        <w:t xml:space="preserve">or an average of 10 participants </w:t>
      </w:r>
      <w:r>
        <w:t>for</w:t>
      </w:r>
      <w:r w:rsidR="005E652D">
        <w:t xml:space="preserve"> each focus group.</w:t>
      </w:r>
      <w:r>
        <w:t xml:space="preserve"> </w:t>
      </w:r>
      <w:r w:rsidR="005E652D">
        <w:t xml:space="preserve">  This is </w:t>
      </w:r>
      <w:r>
        <w:t xml:space="preserve">an estimated respondent burden of </w:t>
      </w:r>
      <w:r w:rsidR="007F40D5">
        <w:t>20</w:t>
      </w:r>
      <w:r>
        <w:t xml:space="preserve"> </w:t>
      </w:r>
      <w:r w:rsidR="000371AE">
        <w:t>hours</w:t>
      </w:r>
      <w:r w:rsidR="00F611C2">
        <w:t xml:space="preserve"> </w:t>
      </w:r>
      <w:r>
        <w:t>for each focus group</w:t>
      </w:r>
      <w:r w:rsidR="00B079D6">
        <w:t>.</w:t>
      </w:r>
      <w:r w:rsidR="00A4028B">
        <w:t xml:space="preserve">  </w:t>
      </w:r>
      <w:r w:rsidR="0005374F">
        <w:t>The industry standard is to use the same or similar materials to conduct a series of focus groups.  Therefore, f</w:t>
      </w:r>
      <w:r w:rsidR="00A4028B">
        <w:t xml:space="preserve">or a series of 10 focus groups, conducted using the same materials, the estimated </w:t>
      </w:r>
      <w:r w:rsidR="00B35E10">
        <w:t xml:space="preserve">annual </w:t>
      </w:r>
      <w:r w:rsidR="00A4028B">
        <w:t>respondent burden is 200 hours.</w:t>
      </w:r>
    </w:p>
    <w:p w:rsidR="006C495C" w:rsidRPr="000866DE" w:rsidRDefault="006C495C" w:rsidP="00CF53B1"/>
    <w:p w:rsidR="00CF53B1" w:rsidRPr="007F40D5" w:rsidRDefault="008607FF" w:rsidP="00CF53B1">
      <w:pPr>
        <w:ind w:firstLine="720"/>
        <w:rPr>
          <w:highlight w:val="yellow"/>
        </w:rPr>
      </w:pPr>
      <w:r>
        <w:t xml:space="preserve">Serving on a </w:t>
      </w:r>
      <w:r w:rsidR="00294D61">
        <w:t>focus group</w:t>
      </w:r>
      <w:r>
        <w:t xml:space="preserve"> means</w:t>
      </w:r>
      <w:r w:rsidR="00294D61">
        <w:t xml:space="preserve"> the respondent merely answers the questions</w:t>
      </w:r>
      <w:r w:rsidR="00243C7F">
        <w:t xml:space="preserve"> and participates in the discussions</w:t>
      </w:r>
      <w:r w:rsidR="00294D61">
        <w:t>.</w:t>
      </w:r>
      <w:r>
        <w:t xml:space="preserve">  </w:t>
      </w:r>
      <w:r w:rsidR="00CF53B1" w:rsidRPr="0019714B">
        <w:t>There are no capital expenditures</w:t>
      </w:r>
      <w:r w:rsidR="00CF53B1">
        <w:t>, or operation and maintenance costs</w:t>
      </w:r>
      <w:r w:rsidR="00CF53B1" w:rsidRPr="0019714B">
        <w:t xml:space="preserve"> associated with this information collection activity.</w:t>
      </w:r>
      <w:r w:rsidR="00CF53B1">
        <w:t xml:space="preserve">  </w:t>
      </w:r>
      <w:r w:rsidR="008D719A" w:rsidRPr="00955B5C">
        <w:t>T</w:t>
      </w:r>
      <w:r w:rsidR="002C695B" w:rsidRPr="00955B5C">
        <w:t>o value the respondents’ time, information from the Bureau of Labor Statistics</w:t>
      </w:r>
      <w:r w:rsidR="00955B5C" w:rsidRPr="00955B5C">
        <w:t xml:space="preserve"> </w:t>
      </w:r>
      <w:r w:rsidR="003E79AA">
        <w:t xml:space="preserve">(BLS) </w:t>
      </w:r>
      <w:r w:rsidR="00955B5C" w:rsidRPr="00955B5C">
        <w:t>released on June 8, 2011,</w:t>
      </w:r>
      <w:r w:rsidR="002C695B" w:rsidRPr="00955B5C">
        <w:t xml:space="preserve"> was used (</w:t>
      </w:r>
      <w:hyperlink r:id="rId9" w:history="1">
        <w:r w:rsidR="007C10F3" w:rsidRPr="00F771DC">
          <w:rPr>
            <w:rStyle w:val="Hyperlink"/>
          </w:rPr>
          <w:t>http://www.bls.gov/news.release/archives/ecec_06082011.pdf</w:t>
        </w:r>
      </w:hyperlink>
      <w:r w:rsidR="00955B5C" w:rsidRPr="00955B5C">
        <w:t>)</w:t>
      </w:r>
      <w:r w:rsidR="00D36438">
        <w:t>.</w:t>
      </w:r>
      <w:r w:rsidR="002C695B" w:rsidRPr="00955B5C">
        <w:t xml:space="preserve">  Wages averaged $</w:t>
      </w:r>
      <w:r w:rsidR="00955B5C" w:rsidRPr="00955B5C">
        <w:t>20.91</w:t>
      </w:r>
      <w:r w:rsidR="002C695B" w:rsidRPr="00955B5C">
        <w:t xml:space="preserve"> per hour.  </w:t>
      </w:r>
      <w:r w:rsidR="00955B5C" w:rsidRPr="00955B5C">
        <w:t xml:space="preserve">Benefits averaged $9.15. </w:t>
      </w:r>
      <w:r w:rsidR="002C695B" w:rsidRPr="00955B5C">
        <w:t xml:space="preserve">Thus, the total </w:t>
      </w:r>
      <w:r w:rsidR="008D719A" w:rsidRPr="00955B5C">
        <w:t>potential cost for the participants</w:t>
      </w:r>
      <w:r w:rsidR="00955B5C" w:rsidRPr="00955B5C">
        <w:t>’</w:t>
      </w:r>
      <w:r w:rsidR="008D719A" w:rsidRPr="00955B5C">
        <w:t xml:space="preserve"> time </w:t>
      </w:r>
      <w:r w:rsidR="002C695B" w:rsidRPr="00955B5C">
        <w:t xml:space="preserve">is </w:t>
      </w:r>
      <w:r w:rsidR="008D719A" w:rsidRPr="00955B5C">
        <w:t xml:space="preserve">estimated to be </w:t>
      </w:r>
      <w:r w:rsidR="002C695B" w:rsidRPr="00955B5C">
        <w:t>$</w:t>
      </w:r>
      <w:r w:rsidR="00955B5C" w:rsidRPr="00955B5C">
        <w:t>30.07</w:t>
      </w:r>
      <w:r w:rsidR="002C695B" w:rsidRPr="00955B5C">
        <w:t xml:space="preserve"> per hour</w:t>
      </w:r>
      <w:r w:rsidR="00955B5C" w:rsidRPr="00955B5C">
        <w:t>.  The cost of 10 focus group participants, two hours each</w:t>
      </w:r>
      <w:r w:rsidR="008D719A" w:rsidRPr="00955B5C">
        <w:t xml:space="preserve">, </w:t>
      </w:r>
      <w:r w:rsidR="00955B5C">
        <w:t>is</w:t>
      </w:r>
      <w:r w:rsidR="008D719A" w:rsidRPr="00955B5C">
        <w:t xml:space="preserve"> $</w:t>
      </w:r>
      <w:r w:rsidR="00955B5C" w:rsidRPr="00955B5C">
        <w:t>60</w:t>
      </w:r>
      <w:r w:rsidR="00522CE0">
        <w:t>1.40</w:t>
      </w:r>
      <w:r w:rsidR="00955B5C" w:rsidRPr="00955B5C">
        <w:t xml:space="preserve"> </w:t>
      </w:r>
      <w:r w:rsidR="008D719A" w:rsidRPr="00955B5C">
        <w:t>per focus group (</w:t>
      </w:r>
      <w:r w:rsidR="00955B5C" w:rsidRPr="00955B5C">
        <w:t>20</w:t>
      </w:r>
      <w:r w:rsidR="008D719A" w:rsidRPr="00955B5C">
        <w:t xml:space="preserve"> hours x $</w:t>
      </w:r>
      <w:r w:rsidR="00955B5C" w:rsidRPr="00955B5C">
        <w:t>30.07</w:t>
      </w:r>
      <w:r w:rsidR="008D719A" w:rsidRPr="00955B5C">
        <w:t xml:space="preserve"> per hour)</w:t>
      </w:r>
      <w:r w:rsidR="002C695B" w:rsidRPr="00955B5C">
        <w:t>.</w:t>
      </w:r>
      <w:r w:rsidR="00522CE0">
        <w:t xml:space="preserve">  The annual cost for a series of 10 focus groups is $6</w:t>
      </w:r>
      <w:r w:rsidR="006134D3">
        <w:t>,</w:t>
      </w:r>
      <w:r w:rsidR="00522CE0">
        <w:t xml:space="preserve">014.00. </w:t>
      </w:r>
    </w:p>
    <w:p w:rsidR="008607FF" w:rsidRPr="007F40D5" w:rsidRDefault="008607FF" w:rsidP="00CF53B1">
      <w:pPr>
        <w:ind w:firstLine="720"/>
        <w:rPr>
          <w:highlight w:val="yellow"/>
        </w:rPr>
      </w:pPr>
    </w:p>
    <w:p w:rsidR="007F40D5" w:rsidRDefault="007F40D5" w:rsidP="00CF53B1">
      <w:pPr>
        <w:ind w:firstLine="720"/>
      </w:pPr>
      <w:r>
        <w:t>EPA notes that focus group participants are paid.  This is an industry standard to acknowledge the use of the participant’s time, as well as driving and parking expenses.  A customary payment is $75 per participant for 2 hours.</w:t>
      </w:r>
      <w:r w:rsidR="00522CE0">
        <w:t xml:space="preserve">  This is part of the contractor costs.</w:t>
      </w:r>
    </w:p>
    <w:p w:rsidR="00CF53B1" w:rsidRPr="0019714B" w:rsidRDefault="00CF53B1" w:rsidP="00CF53B1">
      <w:pPr>
        <w:ind w:firstLine="720"/>
      </w:pPr>
    </w:p>
    <w:p w:rsidR="00CF53B1" w:rsidRDefault="00CF53B1" w:rsidP="00CF53B1">
      <w:pPr>
        <w:pStyle w:val="Heading2"/>
      </w:pPr>
      <w:r>
        <w:tab/>
        <w:t>6(b)</w:t>
      </w:r>
      <w:r>
        <w:tab/>
        <w:t>Estimating Agency Burden</w:t>
      </w:r>
      <w:r w:rsidR="00103687">
        <w:t xml:space="preserve"> and Costs</w:t>
      </w:r>
    </w:p>
    <w:p w:rsidR="00CF53B1" w:rsidRDefault="00CF53B1" w:rsidP="00CF53B1">
      <w:pPr>
        <w:pStyle w:val="Heading3"/>
        <w:numPr>
          <w:ilvl w:val="0"/>
          <w:numId w:val="0"/>
        </w:numPr>
      </w:pPr>
    </w:p>
    <w:p w:rsidR="00103687" w:rsidRDefault="00CF53B1" w:rsidP="00C343E1">
      <w:pPr>
        <w:ind w:firstLine="720"/>
      </w:pPr>
      <w:r>
        <w:t xml:space="preserve">Total </w:t>
      </w:r>
      <w:r w:rsidR="00B93CA5">
        <w:t xml:space="preserve">Agency </w:t>
      </w:r>
      <w:r w:rsidR="00103687">
        <w:t xml:space="preserve">burden and </w:t>
      </w:r>
      <w:r>
        <w:t>costs will depend on the costs necessary to develop</w:t>
      </w:r>
      <w:r w:rsidR="00B93CA5">
        <w:t xml:space="preserve"> and</w:t>
      </w:r>
      <w:r>
        <w:t xml:space="preserve"> conduct</w:t>
      </w:r>
      <w:r w:rsidR="00103687">
        <w:t xml:space="preserve"> </w:t>
      </w:r>
      <w:r w:rsidR="009A2AB8">
        <w:t xml:space="preserve">the </w:t>
      </w:r>
      <w:r w:rsidR="00243C7F">
        <w:t>focus group</w:t>
      </w:r>
      <w:r w:rsidR="0005374F">
        <w:t>s</w:t>
      </w:r>
      <w:r w:rsidR="00B93CA5">
        <w:t>, and then to analyze the data gathered and prepare the report that will be made publicly available</w:t>
      </w:r>
      <w:r w:rsidR="00103687">
        <w:t xml:space="preserve"> for that focus group</w:t>
      </w:r>
      <w:r w:rsidR="009A2AB8">
        <w:t xml:space="preserve">. </w:t>
      </w:r>
      <w:r w:rsidR="00B93CA5">
        <w:t xml:space="preserve">This </w:t>
      </w:r>
      <w:r w:rsidR="0005374F">
        <w:t>a</w:t>
      </w:r>
      <w:r w:rsidR="00B93CA5">
        <w:t>lso include</w:t>
      </w:r>
      <w:r w:rsidR="0005374F">
        <w:t>s</w:t>
      </w:r>
      <w:r w:rsidR="00B93CA5">
        <w:t xml:space="preserve"> </w:t>
      </w:r>
      <w:r>
        <w:t>costs such as hiring contractors</w:t>
      </w:r>
      <w:r w:rsidR="001572F3">
        <w:t xml:space="preserve"> to develop</w:t>
      </w:r>
      <w:r w:rsidR="0005374F">
        <w:t xml:space="preserve"> materials</w:t>
      </w:r>
      <w:r w:rsidR="001572F3">
        <w:t xml:space="preserve"> and conduct the </w:t>
      </w:r>
      <w:r w:rsidR="00B93CA5">
        <w:t>focus groups</w:t>
      </w:r>
      <w:r w:rsidR="003E79AA">
        <w:t>,</w:t>
      </w:r>
      <w:r w:rsidR="00B93CA5">
        <w:t xml:space="preserve"> </w:t>
      </w:r>
      <w:r>
        <w:t>travel to focus group cities</w:t>
      </w:r>
      <w:r w:rsidR="001572F3">
        <w:t xml:space="preserve"> for both </w:t>
      </w:r>
      <w:r w:rsidR="00496390">
        <w:t>a</w:t>
      </w:r>
      <w:r w:rsidR="001572F3">
        <w:t>gency and contractor personnel</w:t>
      </w:r>
      <w:r>
        <w:t>, and renting meeti</w:t>
      </w:r>
      <w:r w:rsidR="001C01D7">
        <w:t>ng space. Agency personnel would</w:t>
      </w:r>
      <w:r>
        <w:t xml:space="preserve"> determine how to use the information collected</w:t>
      </w:r>
      <w:r w:rsidR="00B93CA5">
        <w:t xml:space="preserve"> to improve consumer pesticide product labels, as well as related policies, guidance</w:t>
      </w:r>
      <w:r w:rsidR="006700AE">
        <w:t>,</w:t>
      </w:r>
      <w:r w:rsidR="00B93CA5">
        <w:t xml:space="preserve"> or regulations</w:t>
      </w:r>
      <w:r>
        <w:t xml:space="preserve">. </w:t>
      </w:r>
      <w:r w:rsidR="00103687">
        <w:t xml:space="preserve"> </w:t>
      </w:r>
      <w:r w:rsidR="0005374F">
        <w:t>The same or similar materials and ap</w:t>
      </w:r>
      <w:r w:rsidR="00B93CA5">
        <w:t xml:space="preserve">proaches </w:t>
      </w:r>
      <w:r w:rsidR="0005374F">
        <w:t>are used for a series of 10</w:t>
      </w:r>
      <w:r w:rsidR="00B93CA5">
        <w:t xml:space="preserve"> focus groups</w:t>
      </w:r>
      <w:r w:rsidR="001C01D7">
        <w:t>.</w:t>
      </w:r>
      <w:r w:rsidR="00C343E1">
        <w:t xml:space="preserve">  </w:t>
      </w:r>
    </w:p>
    <w:p w:rsidR="006700AE" w:rsidRDefault="006700AE" w:rsidP="00C343E1">
      <w:pPr>
        <w:ind w:firstLine="720"/>
      </w:pPr>
    </w:p>
    <w:p w:rsidR="001C01D7" w:rsidRDefault="00824347" w:rsidP="00C343E1">
      <w:pPr>
        <w:ind w:firstLine="720"/>
      </w:pPr>
      <w:r>
        <w:lastRenderedPageBreak/>
        <w:t>C</w:t>
      </w:r>
      <w:r w:rsidR="00C343E1">
        <w:t xml:space="preserve">osts for </w:t>
      </w:r>
      <w:r>
        <w:t xml:space="preserve">agency </w:t>
      </w:r>
      <w:r w:rsidR="00C343E1">
        <w:t xml:space="preserve">managerial and </w:t>
      </w:r>
      <w:r>
        <w:t xml:space="preserve">agency </w:t>
      </w:r>
      <w:r w:rsidR="00C343E1">
        <w:t xml:space="preserve">technical staff were determined using the </w:t>
      </w:r>
      <w:r w:rsidR="00103687">
        <w:t xml:space="preserve">following </w:t>
      </w:r>
      <w:r w:rsidR="00C343E1">
        <w:t>methodology</w:t>
      </w:r>
      <w:r w:rsidR="00103687">
        <w:t>:</w:t>
      </w:r>
      <w:r w:rsidR="00C343E1">
        <w:t xml:space="preserve">  </w:t>
      </w:r>
    </w:p>
    <w:p w:rsidR="00C343E1" w:rsidRDefault="00C343E1" w:rsidP="001C01D7"/>
    <w:p w:rsidR="00C343E1" w:rsidRDefault="00C343E1" w:rsidP="00C343E1">
      <w:r>
        <w:rPr>
          <w:bCs/>
        </w:rPr>
        <w:t>Methodology:</w:t>
      </w:r>
      <w:r>
        <w:rPr>
          <w:bCs/>
        </w:rPr>
        <w:tab/>
      </w:r>
      <w:r>
        <w:t xml:space="preserve">The methodology uses data on each sector and labor type for an </w:t>
      </w:r>
      <w:r w:rsidRPr="005F5600">
        <w:rPr>
          <w:rFonts w:ascii="Times" w:hAnsi="Times"/>
          <w:bCs/>
          <w:i/>
        </w:rPr>
        <w:t>Unloaded wage rate</w:t>
      </w:r>
      <w:r w:rsidRPr="008811D1">
        <w:rPr>
          <w:rFonts w:ascii="Times" w:hAnsi="Times"/>
          <w:bCs/>
        </w:rPr>
        <w:t xml:space="preserve"> </w:t>
      </w:r>
      <w:r>
        <w:rPr>
          <w:rFonts w:ascii="Times" w:hAnsi="Times"/>
          <w:bCs/>
        </w:rPr>
        <w:t>(</w:t>
      </w:r>
      <w:r w:rsidRPr="008811D1">
        <w:rPr>
          <w:rFonts w:ascii="Times" w:hAnsi="Times"/>
          <w:bCs/>
        </w:rPr>
        <w:t>hourly wage rate</w:t>
      </w:r>
      <w:r>
        <w:rPr>
          <w:rFonts w:ascii="Times" w:hAnsi="Times"/>
          <w:bCs/>
        </w:rPr>
        <w:t xml:space="preserve">), and calculates the </w:t>
      </w:r>
      <w:r w:rsidRPr="005F5600">
        <w:rPr>
          <w:rFonts w:ascii="Times" w:hAnsi="Times"/>
          <w:bCs/>
          <w:i/>
        </w:rPr>
        <w:t>Loaded wage rate</w:t>
      </w:r>
      <w:r w:rsidRPr="008811D1">
        <w:rPr>
          <w:rFonts w:ascii="Times" w:hAnsi="Times"/>
          <w:bCs/>
        </w:rPr>
        <w:t xml:space="preserve"> </w:t>
      </w:r>
      <w:r>
        <w:rPr>
          <w:rFonts w:ascii="Times" w:hAnsi="Times"/>
          <w:bCs/>
        </w:rPr>
        <w:t>(</w:t>
      </w:r>
      <w:r w:rsidRPr="008811D1">
        <w:rPr>
          <w:rFonts w:ascii="Times" w:hAnsi="Times"/>
          <w:bCs/>
        </w:rPr>
        <w:t>unloaded wage rate + benefits</w:t>
      </w:r>
      <w:r>
        <w:rPr>
          <w:rFonts w:ascii="Times" w:hAnsi="Times"/>
          <w:bCs/>
        </w:rPr>
        <w:t xml:space="preserve">), and the </w:t>
      </w:r>
      <w:r w:rsidRPr="005F5600">
        <w:rPr>
          <w:rFonts w:ascii="Times" w:hAnsi="Times"/>
          <w:bCs/>
          <w:i/>
        </w:rPr>
        <w:t>Fully loaded wage rate</w:t>
      </w:r>
      <w:r w:rsidRPr="00147676">
        <w:rPr>
          <w:rFonts w:ascii="Times" w:hAnsi="Times"/>
          <w:bCs/>
        </w:rPr>
        <w:t xml:space="preserve"> </w:t>
      </w:r>
      <w:r>
        <w:rPr>
          <w:rFonts w:ascii="Times" w:hAnsi="Times"/>
          <w:bCs/>
        </w:rPr>
        <w:t>(</w:t>
      </w:r>
      <w:r w:rsidRPr="008811D1">
        <w:rPr>
          <w:rFonts w:ascii="Times" w:hAnsi="Times"/>
          <w:bCs/>
        </w:rPr>
        <w:t>loaded wage rate + overhead</w:t>
      </w:r>
      <w:r>
        <w:rPr>
          <w:rFonts w:ascii="Times" w:hAnsi="Times"/>
          <w:bCs/>
        </w:rPr>
        <w:t>).</w:t>
      </w:r>
      <w:r w:rsidRPr="00147676">
        <w:t xml:space="preserve"> </w:t>
      </w:r>
      <w:r>
        <w:t xml:space="preserve"> Fully loaded wage rates are used to calculate </w:t>
      </w:r>
      <w:r w:rsidR="00B93CA5">
        <w:t xml:space="preserve">the Agency’s staffing </w:t>
      </w:r>
      <w:r>
        <w:t xml:space="preserve">costs.  </w:t>
      </w:r>
    </w:p>
    <w:p w:rsidR="00C343E1" w:rsidRDefault="00C343E1" w:rsidP="00C343E1"/>
    <w:p w:rsidR="00C343E1" w:rsidRDefault="00C343E1" w:rsidP="00C343E1">
      <w:r>
        <w:t xml:space="preserve">Unloaded Wage Rate:  </w:t>
      </w:r>
      <w:r>
        <w:rPr>
          <w:bCs/>
        </w:rPr>
        <w:t>Wages are estimated for l</w:t>
      </w:r>
      <w:r w:rsidRPr="008811D1">
        <w:rPr>
          <w:rFonts w:ascii="Times" w:hAnsi="Times"/>
          <w:bCs/>
        </w:rPr>
        <w:t>abor types</w:t>
      </w:r>
      <w:r>
        <w:rPr>
          <w:bCs/>
        </w:rPr>
        <w:t xml:space="preserve"> (</w:t>
      </w:r>
      <w:r w:rsidRPr="008811D1">
        <w:rPr>
          <w:bCs/>
        </w:rPr>
        <w:t>management, technical, and clerical</w:t>
      </w:r>
      <w:r>
        <w:rPr>
          <w:bCs/>
        </w:rPr>
        <w:t xml:space="preserve">) within applicable sectors. </w:t>
      </w:r>
      <w:r>
        <w:t>The Agency uses a</w:t>
      </w:r>
      <w:r w:rsidRPr="00507792">
        <w:t xml:space="preserve">verage wage data for the relevant sectors available in the National Industry-Specific Occupational Employment and Wage Estimates from the BLS at </w:t>
      </w:r>
      <w:hyperlink r:id="rId10" w:history="1">
        <w:r w:rsidRPr="00507792">
          <w:rPr>
            <w:rStyle w:val="Hyperlink"/>
          </w:rPr>
          <w:t>http://www.bls.gov/oes/current/oes_nat.htm</w:t>
        </w:r>
      </w:hyperlink>
      <w:r w:rsidRPr="00507792">
        <w:t xml:space="preserve">.  </w:t>
      </w:r>
    </w:p>
    <w:p w:rsidR="00C343E1" w:rsidRDefault="00C343E1" w:rsidP="00C343E1"/>
    <w:p w:rsidR="00C343E1" w:rsidRDefault="00C343E1" w:rsidP="00C343E1">
      <w:r>
        <w:t xml:space="preserve">Sectors: The </w:t>
      </w:r>
      <w:r w:rsidRPr="00147676">
        <w:t>specific North American Industry Classification System</w:t>
      </w:r>
      <w:r>
        <w:t xml:space="preserve"> (NAICS) code</w:t>
      </w:r>
      <w:r w:rsidRPr="00147676">
        <w:t xml:space="preserve"> and website for each sector</w:t>
      </w:r>
      <w:r>
        <w:t xml:space="preserve"> is included in that sector’s wage rate table .  </w:t>
      </w:r>
      <w:r w:rsidRPr="00507792">
        <w:t>Within each sector, the wage data are provided</w:t>
      </w:r>
      <w:r w:rsidRPr="00507792">
        <w:rPr>
          <w:b/>
        </w:rPr>
        <w:t xml:space="preserve"> </w:t>
      </w:r>
      <w:r w:rsidRPr="00507792">
        <w:t>by Standard Occupational Classification (SOC).  The SOC system is used by Federal statistical agencies to classify workers into occupational categories for the purpose of collecting, calcu</w:t>
      </w:r>
      <w:r>
        <w:t>lating, or disseminating data</w:t>
      </w:r>
      <w:r w:rsidRPr="00507792">
        <w:t xml:space="preserve"> </w:t>
      </w:r>
      <w:r>
        <w:t>(</w:t>
      </w:r>
      <w:r w:rsidRPr="00507792">
        <w:t xml:space="preserve">see </w:t>
      </w:r>
      <w:hyperlink r:id="rId11" w:history="1">
        <w:r w:rsidRPr="00507792">
          <w:rPr>
            <w:rStyle w:val="Hyperlink"/>
          </w:rPr>
          <w:t>http://www.bls.gov/oes/current/oes_stru.htm</w:t>
        </w:r>
      </w:hyperlink>
      <w:r>
        <w:t>).</w:t>
      </w:r>
      <w:r w:rsidRPr="00507792">
        <w:t xml:space="preserve">  </w:t>
      </w:r>
    </w:p>
    <w:p w:rsidR="00C343E1" w:rsidRDefault="00C343E1" w:rsidP="00C343E1"/>
    <w:p w:rsidR="00C343E1" w:rsidRDefault="00C343E1" w:rsidP="00C343E1">
      <w:r>
        <w:t xml:space="preserve">Loaded Wage Rate: Unless stated otherwise, all </w:t>
      </w:r>
      <w:r w:rsidRPr="00507792">
        <w:t xml:space="preserve">benefits </w:t>
      </w:r>
      <w:r>
        <w:t xml:space="preserve">represent </w:t>
      </w:r>
      <w:r w:rsidRPr="00507792">
        <w:t>43</w:t>
      </w:r>
      <w:r w:rsidR="0041152A">
        <w:t>.6</w:t>
      </w:r>
      <w:r w:rsidRPr="00507792">
        <w:t xml:space="preserve">% of </w:t>
      </w:r>
      <w:r>
        <w:t xml:space="preserve">unloaded </w:t>
      </w:r>
      <w:r w:rsidRPr="00507792">
        <w:t>wage rates, based on benefits for all civilian non-farm workers</w:t>
      </w:r>
      <w:r>
        <w:t>,</w:t>
      </w:r>
      <w:r w:rsidRPr="00507792">
        <w:t xml:space="preserve"> from </w:t>
      </w:r>
      <w:hyperlink r:id="rId12" w:history="1">
        <w:r w:rsidRPr="00056079">
          <w:rPr>
            <w:rStyle w:val="Hyperlink"/>
          </w:rPr>
          <w:t>http://www.bls.gov/news.release/ecec.t01.htm</w:t>
        </w:r>
      </w:hyperlink>
      <w:r>
        <w:t>. However, if other sectors are listed for which 43</w:t>
      </w:r>
      <w:r w:rsidR="005F2CB3">
        <w:t>.6</w:t>
      </w:r>
      <w:r>
        <w:t xml:space="preserve">% is not </w:t>
      </w:r>
      <w:r w:rsidR="004A6AF5">
        <w:t>applicable;</w:t>
      </w:r>
      <w:r>
        <w:t xml:space="preserve"> the applicable percentage will be stated.</w:t>
      </w:r>
    </w:p>
    <w:p w:rsidR="00C343E1" w:rsidRDefault="00C343E1" w:rsidP="00C343E1"/>
    <w:p w:rsidR="00C343E1" w:rsidRDefault="00C343E1" w:rsidP="00C343E1">
      <w:r>
        <w:t xml:space="preserve">Fully Loaded Wage Rate: </w:t>
      </w:r>
      <w:r w:rsidRPr="00507792">
        <w:t xml:space="preserve">We multiply the loaded wage </w:t>
      </w:r>
      <w:r>
        <w:t xml:space="preserve">rate </w:t>
      </w:r>
      <w:r w:rsidRPr="00507792">
        <w:t xml:space="preserve">by 50% (EPA guidelines </w:t>
      </w:r>
      <w:r>
        <w:t>20-70%) to get overhead costs.</w:t>
      </w:r>
      <w:r w:rsidR="00453CF4">
        <w:t xml:space="preserve">  Costs are indexed to </w:t>
      </w:r>
      <w:r w:rsidR="00466EA7">
        <w:t xml:space="preserve">2009 </w:t>
      </w:r>
      <w:r w:rsidR="00453CF4">
        <w:t>data</w:t>
      </w:r>
      <w:r w:rsidR="00586463">
        <w:t xml:space="preserve"> (See Attachment C)</w:t>
      </w:r>
      <w:r w:rsidR="00453CF4">
        <w:t xml:space="preserve">.  </w:t>
      </w:r>
    </w:p>
    <w:p w:rsidR="004F6A63" w:rsidRDefault="004F6A63" w:rsidP="00C343E1"/>
    <w:p w:rsidR="00103687" w:rsidRDefault="008C278C" w:rsidP="00103687">
      <w:pPr>
        <w:ind w:firstLine="720"/>
      </w:pPr>
      <w:r>
        <w:t xml:space="preserve">The industry standard is to use the same or similar materials to conduct a series of focus groups.  Therefore, the estimated annual Agency burden is for a series of 10 focus groups, conducted using the same materials. </w:t>
      </w:r>
    </w:p>
    <w:p w:rsidR="00775812" w:rsidRDefault="00775812" w:rsidP="00103687">
      <w:pPr>
        <w:ind w:firstLine="720"/>
      </w:pPr>
    </w:p>
    <w:p w:rsidR="00775812" w:rsidRDefault="00775812" w:rsidP="00103687">
      <w:pPr>
        <w:ind w:firstLine="720"/>
      </w:pPr>
      <w:r>
        <w:t>The e</w:t>
      </w:r>
      <w:r w:rsidRPr="00103687">
        <w:t xml:space="preserve">stimated Agency </w:t>
      </w:r>
      <w:r>
        <w:t xml:space="preserve">burden </w:t>
      </w:r>
      <w:r w:rsidRPr="00103687">
        <w:t xml:space="preserve">for </w:t>
      </w:r>
      <w:r>
        <w:t>one f</w:t>
      </w:r>
      <w:r w:rsidRPr="00103687">
        <w:t xml:space="preserve">ocus </w:t>
      </w:r>
      <w:r>
        <w:t>g</w:t>
      </w:r>
      <w:r w:rsidRPr="00103687">
        <w:t xml:space="preserve">roup </w:t>
      </w:r>
      <w:r>
        <w:t xml:space="preserve">is 36 hours and the estimated cost </w:t>
      </w:r>
      <w:r w:rsidRPr="00103687">
        <w:t xml:space="preserve">for </w:t>
      </w:r>
      <w:r>
        <w:t>one f</w:t>
      </w:r>
      <w:r w:rsidRPr="00103687">
        <w:t xml:space="preserve">ocus </w:t>
      </w:r>
      <w:r>
        <w:t>g</w:t>
      </w:r>
      <w:r w:rsidRPr="00103687">
        <w:t xml:space="preserve">roup </w:t>
      </w:r>
      <w:r>
        <w:t>of $11,</w:t>
      </w:r>
      <w:r w:rsidR="008C5571">
        <w:t>266</w:t>
      </w:r>
      <w:r>
        <w:t>, which includes an estimated $8,500 for c</w:t>
      </w:r>
      <w:r w:rsidRPr="00103687">
        <w:t xml:space="preserve">ontractor </w:t>
      </w:r>
      <w:r>
        <w:t>c</w:t>
      </w:r>
      <w:r w:rsidRPr="00103687">
        <w:t xml:space="preserve">osts </w:t>
      </w:r>
      <w:r>
        <w:t>and $2,</w:t>
      </w:r>
      <w:r w:rsidR="00466EA7">
        <w:t xml:space="preserve">766 </w:t>
      </w:r>
      <w:r>
        <w:t>for E</w:t>
      </w:r>
      <w:r w:rsidRPr="00103687">
        <w:t xml:space="preserve">PA </w:t>
      </w:r>
      <w:r>
        <w:t>administrative c</w:t>
      </w:r>
      <w:r w:rsidRPr="00103687">
        <w:t>osts</w:t>
      </w:r>
      <w:r>
        <w:t xml:space="preserve"> (See Table 1).  </w:t>
      </w:r>
    </w:p>
    <w:p w:rsidR="00103687" w:rsidRDefault="00103687" w:rsidP="00C343E1"/>
    <w:p w:rsidR="00103687" w:rsidRPr="00103687" w:rsidRDefault="00103687" w:rsidP="00103687">
      <w:pPr>
        <w:ind w:firstLine="720"/>
      </w:pPr>
      <w:r w:rsidRPr="00103687">
        <w:t xml:space="preserve">The </w:t>
      </w:r>
      <w:r>
        <w:t xml:space="preserve">total annual Agency </w:t>
      </w:r>
      <w:r w:rsidR="00C00BD4">
        <w:t xml:space="preserve">burden </w:t>
      </w:r>
      <w:r w:rsidRPr="00103687">
        <w:t xml:space="preserve">for </w:t>
      </w:r>
      <w:r>
        <w:t xml:space="preserve">conducting </w:t>
      </w:r>
      <w:r w:rsidR="00453CF4">
        <w:t xml:space="preserve">a series of </w:t>
      </w:r>
      <w:r w:rsidRPr="00103687">
        <w:t>10 focus groups</w:t>
      </w:r>
      <w:r w:rsidR="00C00BD4">
        <w:t xml:space="preserve"> is estimated to be </w:t>
      </w:r>
      <w:r w:rsidR="00AF255A" w:rsidRPr="00ED7FF7">
        <w:t>360</w:t>
      </w:r>
      <w:r w:rsidR="00C00BD4">
        <w:t xml:space="preserve"> hours (</w:t>
      </w:r>
      <w:r w:rsidR="00AF255A" w:rsidRPr="00ED7FF7">
        <w:t>36</w:t>
      </w:r>
      <w:r w:rsidR="00C00BD4">
        <w:t xml:space="preserve"> hours for one focus group x 10 focus groups) and cost $</w:t>
      </w:r>
      <w:r w:rsidR="00C90018">
        <w:rPr>
          <w:rFonts w:ascii="Times" w:hAnsi="Times"/>
        </w:rPr>
        <w:t>11</w:t>
      </w:r>
      <w:r w:rsidR="00466EA7">
        <w:rPr>
          <w:rFonts w:ascii="Times" w:hAnsi="Times"/>
        </w:rPr>
        <w:t>2</w:t>
      </w:r>
      <w:r w:rsidR="00C90018" w:rsidRPr="001655FA">
        <w:rPr>
          <w:rFonts w:ascii="Times" w:hAnsi="Times"/>
        </w:rPr>
        <w:t>,</w:t>
      </w:r>
      <w:r w:rsidR="00466EA7">
        <w:rPr>
          <w:rFonts w:ascii="Times" w:hAnsi="Times"/>
        </w:rPr>
        <w:t>657</w:t>
      </w:r>
      <w:r w:rsidR="00C90018" w:rsidRPr="001655FA">
        <w:rPr>
          <w:rFonts w:ascii="Times" w:hAnsi="Times"/>
        </w:rPr>
        <w:t>.</w:t>
      </w:r>
      <w:r w:rsidR="00466EA7">
        <w:rPr>
          <w:rFonts w:ascii="Times" w:hAnsi="Times"/>
        </w:rPr>
        <w:t>6</w:t>
      </w:r>
      <w:r w:rsidR="00C90018">
        <w:rPr>
          <w:rFonts w:ascii="Times" w:hAnsi="Times"/>
        </w:rPr>
        <w:t>0</w:t>
      </w:r>
      <w:r w:rsidR="00C90018" w:rsidDel="00C90018">
        <w:t xml:space="preserve"> </w:t>
      </w:r>
      <w:r w:rsidR="00AF255A" w:rsidRPr="00ED7FF7">
        <w:t>(</w:t>
      </w:r>
      <w:r w:rsidR="00C00BD4" w:rsidRPr="00ED7FF7">
        <w:t>$</w:t>
      </w:r>
      <w:r w:rsidR="00ED7FF7" w:rsidRPr="00ED7FF7">
        <w:t>2,</w:t>
      </w:r>
      <w:r w:rsidR="00466EA7">
        <w:t>765</w:t>
      </w:r>
      <w:r w:rsidR="00ED7FF7" w:rsidRPr="00ED7FF7">
        <w:t>.</w:t>
      </w:r>
      <w:r w:rsidR="00C90018">
        <w:t>7</w:t>
      </w:r>
      <w:r w:rsidR="00466EA7">
        <w:t>6</w:t>
      </w:r>
      <w:r w:rsidR="00C90018">
        <w:t xml:space="preserve"> </w:t>
      </w:r>
      <w:r w:rsidR="00775812">
        <w:t xml:space="preserve">plus $8,500 </w:t>
      </w:r>
      <w:r w:rsidR="00C00BD4">
        <w:t xml:space="preserve">for one focus group x </w:t>
      </w:r>
      <w:r w:rsidR="00C00BD4" w:rsidRPr="00103687">
        <w:t>10 focus groups</w:t>
      </w:r>
      <w:r w:rsidR="00C00BD4">
        <w:t>).</w:t>
      </w:r>
    </w:p>
    <w:p w:rsidR="008C747E" w:rsidRDefault="008C747E"/>
    <w:p w:rsidR="008C747E" w:rsidRDefault="008C747E"/>
    <w:p w:rsidR="008C747E" w:rsidRDefault="008C747E"/>
    <w:p w:rsidR="008C747E" w:rsidRDefault="008C747E"/>
    <w:p w:rsidR="008C747E" w:rsidRDefault="008C747E"/>
    <w:p w:rsidR="008C747E" w:rsidRDefault="008C747E"/>
    <w:p w:rsidR="008C747E" w:rsidRDefault="008C747E"/>
    <w:p w:rsidR="008C747E" w:rsidRDefault="008C747E"/>
    <w:p w:rsidR="008C747E" w:rsidRDefault="008C747E"/>
    <w:p w:rsidR="008C747E" w:rsidRDefault="008C747E" w:rsidP="008C747E">
      <w:pPr>
        <w:rPr>
          <w:b/>
        </w:rPr>
      </w:pPr>
      <w:r>
        <w:rPr>
          <w:b/>
        </w:rPr>
        <w:lastRenderedPageBreak/>
        <w:t xml:space="preserve">TABLE 1: Estimated Annual </w:t>
      </w:r>
      <w:r w:rsidRPr="00B25F1A">
        <w:rPr>
          <w:b/>
        </w:rPr>
        <w:t xml:space="preserve">Agency Burden Costs Estimates </w:t>
      </w:r>
      <w:r>
        <w:rPr>
          <w:b/>
        </w:rPr>
        <w:t xml:space="preserve">for One </w:t>
      </w:r>
      <w:r w:rsidRPr="00B25F1A">
        <w:rPr>
          <w:b/>
        </w:rPr>
        <w:t>Focus Group</w:t>
      </w:r>
    </w:p>
    <w:tbl>
      <w:tblPr>
        <w:tblW w:w="0" w:type="auto"/>
        <w:tblCellMar>
          <w:left w:w="136" w:type="dxa"/>
          <w:right w:w="136" w:type="dxa"/>
        </w:tblCellMar>
        <w:tblLook w:val="0000"/>
      </w:tblPr>
      <w:tblGrid>
        <w:gridCol w:w="2939"/>
        <w:gridCol w:w="1232"/>
        <w:gridCol w:w="1122"/>
        <w:gridCol w:w="1937"/>
        <w:gridCol w:w="1250"/>
        <w:gridCol w:w="1152"/>
      </w:tblGrid>
      <w:tr w:rsidR="008C747E" w:rsidRPr="001422A9" w:rsidTr="008C747E">
        <w:tc>
          <w:tcPr>
            <w:tcW w:w="0" w:type="auto"/>
            <w:vMerge w:val="restart"/>
            <w:tcBorders>
              <w:top w:val="double" w:sz="7" w:space="0" w:color="000000"/>
              <w:left w:val="double" w:sz="7" w:space="0" w:color="000000"/>
              <w:bottom w:val="nil"/>
              <w:right w:val="single" w:sz="6" w:space="0" w:color="FFFFFF"/>
            </w:tcBorders>
            <w:shd w:val="solid" w:color="C0C0C0" w:fill="FFFFFF"/>
          </w:tcPr>
          <w:p w:rsidR="008C747E" w:rsidRPr="00E87274" w:rsidRDefault="008C747E" w:rsidP="008C747E">
            <w:pPr>
              <w:jc w:val="center"/>
              <w:rPr>
                <w:sz w:val="22"/>
                <w:szCs w:val="22"/>
              </w:rPr>
            </w:pPr>
          </w:p>
          <w:p w:rsidR="008C747E" w:rsidRPr="00E87274" w:rsidRDefault="008C747E" w:rsidP="008C747E">
            <w:pPr>
              <w:jc w:val="center"/>
              <w:rPr>
                <w:sz w:val="22"/>
                <w:szCs w:val="22"/>
              </w:rPr>
            </w:pPr>
          </w:p>
          <w:p w:rsidR="008C747E" w:rsidRPr="00E87274" w:rsidRDefault="008C747E" w:rsidP="008C747E">
            <w:pPr>
              <w:tabs>
                <w:tab w:val="center" w:pos="1754"/>
              </w:tabs>
              <w:jc w:val="center"/>
              <w:rPr>
                <w:sz w:val="22"/>
                <w:szCs w:val="22"/>
              </w:rPr>
            </w:pPr>
            <w:r w:rsidRPr="00E87274">
              <w:rPr>
                <w:sz w:val="22"/>
                <w:szCs w:val="22"/>
              </w:rPr>
              <w:t>Collection</w:t>
            </w:r>
          </w:p>
          <w:p w:rsidR="008C747E" w:rsidRPr="00E87274" w:rsidRDefault="008C747E" w:rsidP="008C747E">
            <w:pPr>
              <w:jc w:val="center"/>
              <w:rPr>
                <w:sz w:val="22"/>
                <w:szCs w:val="22"/>
              </w:rPr>
            </w:pPr>
            <w:r w:rsidRPr="00E87274">
              <w:rPr>
                <w:sz w:val="22"/>
                <w:szCs w:val="22"/>
              </w:rPr>
              <w:t>Activities</w:t>
            </w:r>
          </w:p>
        </w:tc>
        <w:tc>
          <w:tcPr>
            <w:tcW w:w="0" w:type="auto"/>
            <w:gridSpan w:val="3"/>
            <w:tcBorders>
              <w:top w:val="double" w:sz="7" w:space="0" w:color="000000"/>
              <w:left w:val="single" w:sz="7" w:space="0" w:color="000000"/>
              <w:bottom w:val="single" w:sz="6" w:space="0" w:color="FFFFFF"/>
              <w:right w:val="single" w:sz="6" w:space="0" w:color="FFFFFF"/>
            </w:tcBorders>
            <w:shd w:val="solid" w:color="C0C0C0" w:fill="FFFFFF"/>
          </w:tcPr>
          <w:p w:rsidR="008C747E" w:rsidRPr="00E87274" w:rsidRDefault="008C747E" w:rsidP="008C747E">
            <w:pPr>
              <w:jc w:val="center"/>
              <w:rPr>
                <w:sz w:val="22"/>
                <w:szCs w:val="22"/>
              </w:rPr>
            </w:pPr>
          </w:p>
          <w:p w:rsidR="008C747E" w:rsidRPr="00E87274" w:rsidRDefault="008C747E" w:rsidP="008C747E">
            <w:pPr>
              <w:tabs>
                <w:tab w:val="center" w:pos="449"/>
              </w:tabs>
              <w:jc w:val="center"/>
              <w:rPr>
                <w:sz w:val="22"/>
                <w:szCs w:val="22"/>
              </w:rPr>
            </w:pPr>
            <w:r w:rsidRPr="00E87274">
              <w:rPr>
                <w:sz w:val="22"/>
                <w:szCs w:val="22"/>
              </w:rPr>
              <w:t>Burden Hours</w:t>
            </w:r>
          </w:p>
        </w:tc>
        <w:tc>
          <w:tcPr>
            <w:tcW w:w="0" w:type="auto"/>
            <w:gridSpan w:val="2"/>
            <w:tcBorders>
              <w:top w:val="double" w:sz="7" w:space="0" w:color="000000"/>
              <w:left w:val="single" w:sz="7" w:space="0" w:color="000000"/>
              <w:bottom w:val="single" w:sz="6" w:space="0" w:color="FFFFFF"/>
              <w:right w:val="double" w:sz="7" w:space="0" w:color="000000"/>
            </w:tcBorders>
            <w:shd w:val="solid" w:color="C0C0C0" w:fill="FFFFFF"/>
          </w:tcPr>
          <w:p w:rsidR="008C747E" w:rsidRPr="00E87274" w:rsidRDefault="008C747E" w:rsidP="008C747E">
            <w:pPr>
              <w:jc w:val="center"/>
              <w:rPr>
                <w:sz w:val="22"/>
                <w:szCs w:val="22"/>
              </w:rPr>
            </w:pPr>
          </w:p>
          <w:p w:rsidR="008C747E" w:rsidRPr="00E87274" w:rsidRDefault="008C747E" w:rsidP="008C747E">
            <w:pPr>
              <w:jc w:val="center"/>
              <w:rPr>
                <w:sz w:val="22"/>
                <w:szCs w:val="22"/>
              </w:rPr>
            </w:pPr>
            <w:r w:rsidRPr="00E87274">
              <w:rPr>
                <w:sz w:val="22"/>
                <w:szCs w:val="22"/>
              </w:rPr>
              <w:t>Total</w:t>
            </w:r>
          </w:p>
        </w:tc>
      </w:tr>
      <w:tr w:rsidR="008C747E" w:rsidRPr="001422A9" w:rsidTr="008C747E">
        <w:trPr>
          <w:trHeight w:val="1000"/>
        </w:trPr>
        <w:tc>
          <w:tcPr>
            <w:tcW w:w="0" w:type="auto"/>
            <w:vMerge/>
            <w:tcBorders>
              <w:top w:val="nil"/>
              <w:left w:val="double" w:sz="7" w:space="0" w:color="000000"/>
              <w:bottom w:val="single" w:sz="6" w:space="0" w:color="FFFFFF"/>
              <w:right w:val="single" w:sz="6" w:space="0" w:color="FFFFFF"/>
            </w:tcBorders>
            <w:shd w:val="solid" w:color="C0C0C0" w:fill="FFFFFF"/>
          </w:tcPr>
          <w:p w:rsidR="008C747E" w:rsidRPr="00E87274" w:rsidRDefault="008C747E" w:rsidP="008C747E">
            <w:pPr>
              <w:jc w:val="center"/>
              <w:rPr>
                <w:sz w:val="22"/>
                <w:szCs w:val="22"/>
              </w:rPr>
            </w:pPr>
          </w:p>
        </w:tc>
        <w:tc>
          <w:tcPr>
            <w:tcW w:w="0" w:type="auto"/>
            <w:tcBorders>
              <w:top w:val="single" w:sz="7" w:space="0" w:color="000000"/>
              <w:left w:val="single" w:sz="7" w:space="0" w:color="000000"/>
              <w:bottom w:val="single" w:sz="6" w:space="0" w:color="FFFFFF"/>
              <w:right w:val="single" w:sz="6" w:space="0" w:color="FFFFFF"/>
            </w:tcBorders>
            <w:shd w:val="solid" w:color="C0C0C0" w:fill="FFFFFF"/>
          </w:tcPr>
          <w:p w:rsidR="008C747E" w:rsidRPr="00E87274" w:rsidRDefault="008C747E" w:rsidP="008C747E">
            <w:pPr>
              <w:jc w:val="center"/>
              <w:rPr>
                <w:sz w:val="22"/>
                <w:szCs w:val="22"/>
              </w:rPr>
            </w:pPr>
          </w:p>
          <w:p w:rsidR="008C747E" w:rsidRPr="00E87274" w:rsidRDefault="008C747E" w:rsidP="008C747E">
            <w:pPr>
              <w:tabs>
                <w:tab w:val="center" w:pos="449"/>
              </w:tabs>
              <w:jc w:val="center"/>
              <w:rPr>
                <w:sz w:val="22"/>
                <w:szCs w:val="22"/>
              </w:rPr>
            </w:pPr>
            <w:r w:rsidRPr="00E87274">
              <w:rPr>
                <w:sz w:val="22"/>
                <w:szCs w:val="22"/>
              </w:rPr>
              <w:t>Mgmt.</w:t>
            </w:r>
          </w:p>
          <w:p w:rsidR="008C747E" w:rsidRPr="00E87274" w:rsidRDefault="008C747E" w:rsidP="00466EA7">
            <w:pPr>
              <w:tabs>
                <w:tab w:val="center" w:pos="449"/>
              </w:tabs>
              <w:jc w:val="center"/>
              <w:rPr>
                <w:sz w:val="22"/>
                <w:szCs w:val="22"/>
              </w:rPr>
            </w:pPr>
            <w:r w:rsidRPr="00E87274">
              <w:rPr>
                <w:sz w:val="22"/>
                <w:szCs w:val="22"/>
              </w:rPr>
              <w:t>$</w:t>
            </w:r>
            <w:r w:rsidR="00D80D77">
              <w:rPr>
                <w:sz w:val="22"/>
                <w:szCs w:val="22"/>
              </w:rPr>
              <w:t>11</w:t>
            </w:r>
            <w:r w:rsidR="00466EA7">
              <w:rPr>
                <w:sz w:val="22"/>
                <w:szCs w:val="22"/>
              </w:rPr>
              <w:t>2</w:t>
            </w:r>
            <w:r w:rsidR="005F2CB3">
              <w:rPr>
                <w:sz w:val="22"/>
                <w:szCs w:val="22"/>
              </w:rPr>
              <w:t>.</w:t>
            </w:r>
            <w:r w:rsidR="00466EA7">
              <w:rPr>
                <w:sz w:val="22"/>
                <w:szCs w:val="22"/>
              </w:rPr>
              <w:t>42</w:t>
            </w:r>
            <w:r w:rsidRPr="00E87274">
              <w:rPr>
                <w:sz w:val="22"/>
                <w:szCs w:val="22"/>
              </w:rPr>
              <w:t>/hr</w:t>
            </w:r>
          </w:p>
        </w:tc>
        <w:tc>
          <w:tcPr>
            <w:tcW w:w="0" w:type="auto"/>
            <w:tcBorders>
              <w:top w:val="single" w:sz="7" w:space="0" w:color="000000"/>
              <w:left w:val="single" w:sz="7" w:space="0" w:color="000000"/>
              <w:bottom w:val="single" w:sz="6" w:space="0" w:color="FFFFFF"/>
              <w:right w:val="single" w:sz="6" w:space="0" w:color="FFFFFF"/>
            </w:tcBorders>
            <w:shd w:val="solid" w:color="C0C0C0" w:fill="FFFFFF"/>
          </w:tcPr>
          <w:p w:rsidR="008C747E" w:rsidRPr="00E87274" w:rsidRDefault="008C747E" w:rsidP="008C747E">
            <w:pPr>
              <w:jc w:val="center"/>
              <w:rPr>
                <w:sz w:val="22"/>
                <w:szCs w:val="22"/>
              </w:rPr>
            </w:pPr>
          </w:p>
          <w:p w:rsidR="008C747E" w:rsidRPr="00E87274" w:rsidRDefault="008C747E" w:rsidP="008C747E">
            <w:pPr>
              <w:tabs>
                <w:tab w:val="center" w:pos="404"/>
              </w:tabs>
              <w:jc w:val="center"/>
              <w:rPr>
                <w:sz w:val="22"/>
                <w:szCs w:val="22"/>
              </w:rPr>
            </w:pPr>
            <w:r w:rsidRPr="00E87274">
              <w:rPr>
                <w:sz w:val="22"/>
                <w:szCs w:val="22"/>
              </w:rPr>
              <w:t>Tech.</w:t>
            </w:r>
          </w:p>
          <w:p w:rsidR="008C747E" w:rsidRPr="00E87274" w:rsidRDefault="008C747E" w:rsidP="00466EA7">
            <w:pPr>
              <w:tabs>
                <w:tab w:val="center" w:pos="404"/>
              </w:tabs>
              <w:jc w:val="center"/>
              <w:rPr>
                <w:sz w:val="22"/>
                <w:szCs w:val="22"/>
              </w:rPr>
            </w:pPr>
            <w:r w:rsidRPr="00E87274">
              <w:rPr>
                <w:sz w:val="22"/>
                <w:szCs w:val="22"/>
              </w:rPr>
              <w:t>$</w:t>
            </w:r>
            <w:r>
              <w:rPr>
                <w:sz w:val="22"/>
                <w:szCs w:val="22"/>
              </w:rPr>
              <w:t>7</w:t>
            </w:r>
            <w:r w:rsidR="00466EA7">
              <w:rPr>
                <w:sz w:val="22"/>
                <w:szCs w:val="22"/>
              </w:rPr>
              <w:t>4</w:t>
            </w:r>
            <w:r w:rsidR="005F2CB3">
              <w:rPr>
                <w:sz w:val="22"/>
                <w:szCs w:val="22"/>
              </w:rPr>
              <w:t>.</w:t>
            </w:r>
            <w:r w:rsidR="00466EA7">
              <w:rPr>
                <w:sz w:val="22"/>
                <w:szCs w:val="22"/>
              </w:rPr>
              <w:t>51</w:t>
            </w:r>
            <w:r w:rsidRPr="00E87274">
              <w:rPr>
                <w:sz w:val="22"/>
                <w:szCs w:val="22"/>
              </w:rPr>
              <w:t>/hr</w:t>
            </w:r>
          </w:p>
        </w:tc>
        <w:tc>
          <w:tcPr>
            <w:tcW w:w="0" w:type="auto"/>
            <w:tcBorders>
              <w:top w:val="single" w:sz="7" w:space="0" w:color="000000"/>
              <w:left w:val="single" w:sz="7" w:space="0" w:color="000000"/>
              <w:bottom w:val="single" w:sz="6" w:space="0" w:color="FFFFFF"/>
              <w:right w:val="single" w:sz="6" w:space="0" w:color="FFFFFF"/>
            </w:tcBorders>
            <w:shd w:val="solid" w:color="C0C0C0" w:fill="FFFFFF"/>
          </w:tcPr>
          <w:p w:rsidR="008C747E" w:rsidRPr="00E87274" w:rsidRDefault="008C747E" w:rsidP="008C747E">
            <w:pPr>
              <w:jc w:val="center"/>
              <w:rPr>
                <w:sz w:val="22"/>
                <w:szCs w:val="22"/>
              </w:rPr>
            </w:pPr>
          </w:p>
          <w:p w:rsidR="008C747E" w:rsidRPr="00E87274" w:rsidRDefault="008C747E" w:rsidP="008C747E">
            <w:pPr>
              <w:tabs>
                <w:tab w:val="center" w:pos="404"/>
              </w:tabs>
              <w:jc w:val="center"/>
              <w:rPr>
                <w:sz w:val="22"/>
                <w:szCs w:val="22"/>
              </w:rPr>
            </w:pPr>
            <w:r w:rsidRPr="00E87274">
              <w:rPr>
                <w:sz w:val="22"/>
                <w:szCs w:val="22"/>
              </w:rPr>
              <w:t>Contractor</w:t>
            </w:r>
          </w:p>
          <w:p w:rsidR="008C747E" w:rsidRPr="00E87274" w:rsidRDefault="008C747E" w:rsidP="008C747E">
            <w:pPr>
              <w:tabs>
                <w:tab w:val="center" w:pos="404"/>
              </w:tabs>
              <w:jc w:val="center"/>
              <w:rPr>
                <w:sz w:val="22"/>
                <w:szCs w:val="22"/>
              </w:rPr>
            </w:pPr>
          </w:p>
        </w:tc>
        <w:tc>
          <w:tcPr>
            <w:tcW w:w="0" w:type="auto"/>
            <w:tcBorders>
              <w:top w:val="single" w:sz="7" w:space="0" w:color="000000"/>
              <w:left w:val="single" w:sz="7" w:space="0" w:color="000000"/>
              <w:bottom w:val="single" w:sz="6" w:space="0" w:color="FFFFFF"/>
              <w:right w:val="single" w:sz="6" w:space="0" w:color="FFFFFF"/>
            </w:tcBorders>
            <w:shd w:val="solid" w:color="C0C0C0" w:fill="FFFFFF"/>
            <w:vAlign w:val="center"/>
          </w:tcPr>
          <w:p w:rsidR="008C747E" w:rsidRPr="00E87274" w:rsidRDefault="008C747E" w:rsidP="008C747E">
            <w:pPr>
              <w:jc w:val="center"/>
              <w:rPr>
                <w:sz w:val="22"/>
                <w:szCs w:val="22"/>
              </w:rPr>
            </w:pPr>
            <w:r w:rsidRPr="00E87274">
              <w:rPr>
                <w:sz w:val="22"/>
                <w:szCs w:val="22"/>
              </w:rPr>
              <w:t>EPA</w:t>
            </w:r>
            <w:r>
              <w:rPr>
                <w:sz w:val="22"/>
                <w:szCs w:val="22"/>
              </w:rPr>
              <w:t xml:space="preserve"> </w:t>
            </w:r>
            <w:r w:rsidRPr="00E87274">
              <w:rPr>
                <w:sz w:val="22"/>
                <w:szCs w:val="22"/>
              </w:rPr>
              <w:t>Hours</w:t>
            </w:r>
          </w:p>
        </w:tc>
        <w:tc>
          <w:tcPr>
            <w:tcW w:w="0" w:type="auto"/>
            <w:tcBorders>
              <w:top w:val="single" w:sz="7" w:space="0" w:color="000000"/>
              <w:left w:val="single" w:sz="7" w:space="0" w:color="000000"/>
              <w:bottom w:val="single" w:sz="6" w:space="0" w:color="FFFFFF"/>
              <w:right w:val="double" w:sz="7" w:space="0" w:color="000000"/>
            </w:tcBorders>
            <w:shd w:val="solid" w:color="C0C0C0" w:fill="FFFFFF"/>
            <w:vAlign w:val="center"/>
          </w:tcPr>
          <w:p w:rsidR="008C747E" w:rsidRPr="00E87274" w:rsidRDefault="008C747E" w:rsidP="008C747E">
            <w:pPr>
              <w:jc w:val="center"/>
              <w:rPr>
                <w:sz w:val="22"/>
                <w:szCs w:val="22"/>
              </w:rPr>
            </w:pPr>
            <w:r w:rsidRPr="00E87274">
              <w:rPr>
                <w:sz w:val="22"/>
                <w:szCs w:val="22"/>
              </w:rPr>
              <w:t>EPA</w:t>
            </w:r>
          </w:p>
          <w:p w:rsidR="008C747E" w:rsidRPr="00E87274" w:rsidRDefault="008C747E" w:rsidP="008C747E">
            <w:pPr>
              <w:jc w:val="center"/>
              <w:rPr>
                <w:sz w:val="22"/>
                <w:szCs w:val="22"/>
              </w:rPr>
            </w:pPr>
            <w:r w:rsidRPr="00E87274">
              <w:rPr>
                <w:sz w:val="22"/>
                <w:szCs w:val="22"/>
              </w:rPr>
              <w:t>Cost</w:t>
            </w:r>
          </w:p>
        </w:tc>
      </w:tr>
      <w:tr w:rsidR="008C747E" w:rsidRPr="004F6A63" w:rsidTr="008C747E">
        <w:trPr>
          <w:trHeight w:val="640"/>
        </w:trPr>
        <w:tc>
          <w:tcPr>
            <w:tcW w:w="0" w:type="auto"/>
            <w:tcBorders>
              <w:top w:val="single" w:sz="7" w:space="0" w:color="000000"/>
              <w:left w:val="double" w:sz="7" w:space="0" w:color="000000"/>
              <w:bottom w:val="single" w:sz="6" w:space="0" w:color="FFFFFF"/>
              <w:right w:val="single" w:sz="6" w:space="0" w:color="FFFFFF"/>
            </w:tcBorders>
            <w:vAlign w:val="center"/>
          </w:tcPr>
          <w:p w:rsidR="008C747E" w:rsidRPr="00E87274" w:rsidRDefault="008C747E" w:rsidP="008C747E">
            <w:pPr>
              <w:rPr>
                <w:rFonts w:ascii="Times" w:hAnsi="Times"/>
                <w:sz w:val="22"/>
                <w:szCs w:val="22"/>
              </w:rPr>
            </w:pPr>
            <w:r w:rsidRPr="00E87274">
              <w:rPr>
                <w:rFonts w:ascii="Times" w:hAnsi="Times"/>
                <w:sz w:val="22"/>
                <w:szCs w:val="22"/>
              </w:rPr>
              <w:t>Develop focus groups materials</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0.6</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12</w:t>
            </w:r>
          </w:p>
        </w:tc>
        <w:tc>
          <w:tcPr>
            <w:tcW w:w="0" w:type="auto"/>
            <w:vMerge w:val="restart"/>
            <w:tcBorders>
              <w:top w:val="single" w:sz="7" w:space="0" w:color="000000"/>
              <w:left w:val="single" w:sz="7" w:space="0" w:color="000000"/>
              <w:right w:val="single" w:sz="6" w:space="0" w:color="FFFFFF"/>
            </w:tcBorders>
            <w:vAlign w:val="center"/>
          </w:tcPr>
          <w:p w:rsidR="008C747E" w:rsidRPr="00E87274" w:rsidRDefault="008C747E" w:rsidP="008C747E">
            <w:pPr>
              <w:tabs>
                <w:tab w:val="center" w:pos="404"/>
              </w:tabs>
              <w:jc w:val="center"/>
              <w:rPr>
                <w:rFonts w:ascii="Times" w:hAnsi="Times"/>
                <w:sz w:val="22"/>
                <w:szCs w:val="22"/>
              </w:rPr>
            </w:pPr>
          </w:p>
          <w:p w:rsidR="008C747E" w:rsidRPr="00E87274" w:rsidRDefault="008C747E" w:rsidP="008C747E">
            <w:pPr>
              <w:tabs>
                <w:tab w:val="center" w:pos="404"/>
              </w:tabs>
              <w:jc w:val="center"/>
              <w:rPr>
                <w:rFonts w:ascii="Times" w:hAnsi="Times"/>
                <w:sz w:val="22"/>
                <w:szCs w:val="22"/>
              </w:rPr>
            </w:pPr>
          </w:p>
          <w:p w:rsidR="008C747E" w:rsidRPr="00E87274" w:rsidRDefault="008C747E" w:rsidP="008C747E">
            <w:pPr>
              <w:tabs>
                <w:tab w:val="center" w:pos="404"/>
              </w:tabs>
              <w:jc w:val="center"/>
              <w:rPr>
                <w:rFonts w:ascii="Times" w:hAnsi="Times"/>
                <w:sz w:val="22"/>
                <w:szCs w:val="22"/>
              </w:rPr>
            </w:pPr>
          </w:p>
          <w:p w:rsidR="008C747E" w:rsidRDefault="008C747E" w:rsidP="008C747E">
            <w:pPr>
              <w:tabs>
                <w:tab w:val="center" w:pos="404"/>
              </w:tabs>
              <w:jc w:val="center"/>
              <w:rPr>
                <w:rFonts w:ascii="Times" w:hAnsi="Times"/>
                <w:sz w:val="22"/>
                <w:szCs w:val="22"/>
              </w:rPr>
            </w:pPr>
            <w:r w:rsidRPr="00E87274">
              <w:rPr>
                <w:rFonts w:ascii="Times" w:hAnsi="Times"/>
                <w:sz w:val="22"/>
                <w:szCs w:val="22"/>
              </w:rPr>
              <w:t>$</w:t>
            </w:r>
            <w:r>
              <w:rPr>
                <w:rFonts w:ascii="Times" w:hAnsi="Times"/>
                <w:sz w:val="22"/>
                <w:szCs w:val="22"/>
              </w:rPr>
              <w:t>8,500.00</w:t>
            </w:r>
          </w:p>
          <w:p w:rsidR="008C747E" w:rsidRDefault="008C747E" w:rsidP="008C747E">
            <w:pPr>
              <w:tabs>
                <w:tab w:val="center" w:pos="404"/>
              </w:tabs>
              <w:jc w:val="center"/>
              <w:rPr>
                <w:rFonts w:ascii="Times" w:hAnsi="Times"/>
                <w:sz w:val="22"/>
                <w:szCs w:val="22"/>
              </w:rPr>
            </w:pPr>
            <w:r w:rsidRPr="00E87274">
              <w:rPr>
                <w:rFonts w:ascii="Times" w:hAnsi="Times"/>
                <w:sz w:val="22"/>
                <w:szCs w:val="22"/>
              </w:rPr>
              <w:t>per</w:t>
            </w:r>
            <w:r w:rsidR="00600B0B">
              <w:rPr>
                <w:rFonts w:ascii="Times" w:hAnsi="Times"/>
                <w:sz w:val="22"/>
                <w:szCs w:val="22"/>
              </w:rPr>
              <w:t xml:space="preserve"> focus group</w:t>
            </w:r>
          </w:p>
          <w:p w:rsidR="008C747E" w:rsidRDefault="008C747E" w:rsidP="008C747E">
            <w:pPr>
              <w:tabs>
                <w:tab w:val="center" w:pos="404"/>
              </w:tabs>
              <w:jc w:val="center"/>
              <w:rPr>
                <w:rFonts w:ascii="Times" w:hAnsi="Times"/>
                <w:sz w:val="22"/>
                <w:szCs w:val="22"/>
              </w:rPr>
            </w:pPr>
            <w:r>
              <w:rPr>
                <w:rFonts w:ascii="Times" w:hAnsi="Times"/>
                <w:sz w:val="22"/>
                <w:szCs w:val="22"/>
              </w:rPr>
              <w:t>(includes payments</w:t>
            </w:r>
          </w:p>
          <w:p w:rsidR="008C747E" w:rsidRPr="00E87274" w:rsidRDefault="008C747E" w:rsidP="008C747E">
            <w:pPr>
              <w:tabs>
                <w:tab w:val="center" w:pos="404"/>
              </w:tabs>
              <w:jc w:val="center"/>
              <w:rPr>
                <w:rFonts w:ascii="Times" w:hAnsi="Times"/>
                <w:sz w:val="22"/>
                <w:szCs w:val="22"/>
              </w:rPr>
            </w:pPr>
            <w:r>
              <w:rPr>
                <w:rFonts w:ascii="Times" w:hAnsi="Times"/>
                <w:sz w:val="22"/>
                <w:szCs w:val="22"/>
              </w:rPr>
              <w:t>to participants)</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12.6</w:t>
            </w:r>
          </w:p>
        </w:tc>
        <w:tc>
          <w:tcPr>
            <w:tcW w:w="0" w:type="auto"/>
            <w:tcBorders>
              <w:top w:val="single" w:sz="7" w:space="0" w:color="000000"/>
              <w:left w:val="single" w:sz="7" w:space="0" w:color="000000"/>
              <w:bottom w:val="single" w:sz="6" w:space="0" w:color="FFFFFF"/>
              <w:right w:val="double" w:sz="7" w:space="0" w:color="000000"/>
            </w:tcBorders>
            <w:vAlign w:val="center"/>
          </w:tcPr>
          <w:p w:rsidR="00D50F4C" w:rsidRDefault="008C747E" w:rsidP="00466EA7">
            <w:pPr>
              <w:jc w:val="center"/>
              <w:rPr>
                <w:rFonts w:ascii="Times" w:hAnsi="Times"/>
                <w:sz w:val="22"/>
                <w:szCs w:val="22"/>
              </w:rPr>
            </w:pPr>
            <w:r w:rsidRPr="008C747E">
              <w:rPr>
                <w:rFonts w:ascii="Times" w:hAnsi="Times"/>
                <w:sz w:val="22"/>
                <w:szCs w:val="22"/>
              </w:rPr>
              <w:t>$9</w:t>
            </w:r>
            <w:r w:rsidR="00466EA7">
              <w:rPr>
                <w:rFonts w:ascii="Times" w:hAnsi="Times"/>
                <w:sz w:val="22"/>
                <w:szCs w:val="22"/>
              </w:rPr>
              <w:t>61</w:t>
            </w:r>
            <w:r w:rsidR="00AC3D71">
              <w:rPr>
                <w:rFonts w:ascii="Times" w:hAnsi="Times"/>
                <w:sz w:val="22"/>
                <w:szCs w:val="22"/>
              </w:rPr>
              <w:t>.5</w:t>
            </w:r>
            <w:r w:rsidR="00466EA7">
              <w:rPr>
                <w:rFonts w:ascii="Times" w:hAnsi="Times"/>
                <w:sz w:val="22"/>
                <w:szCs w:val="22"/>
              </w:rPr>
              <w:t>7</w:t>
            </w:r>
          </w:p>
        </w:tc>
      </w:tr>
      <w:tr w:rsidR="008C747E" w:rsidRPr="004F6A63" w:rsidTr="008C747E">
        <w:trPr>
          <w:trHeight w:val="505"/>
        </w:trPr>
        <w:tc>
          <w:tcPr>
            <w:tcW w:w="0" w:type="auto"/>
            <w:tcBorders>
              <w:top w:val="single" w:sz="7" w:space="0" w:color="000000"/>
              <w:left w:val="double" w:sz="7" w:space="0" w:color="000000"/>
              <w:bottom w:val="single" w:sz="6" w:space="0" w:color="FFFFFF"/>
              <w:right w:val="single" w:sz="6" w:space="0" w:color="FFFFFF"/>
            </w:tcBorders>
            <w:vAlign w:val="center"/>
          </w:tcPr>
          <w:p w:rsidR="008C747E" w:rsidRPr="00E87274" w:rsidRDefault="008C747E" w:rsidP="008C747E">
            <w:pPr>
              <w:rPr>
                <w:rFonts w:ascii="Times" w:hAnsi="Times"/>
                <w:sz w:val="22"/>
                <w:szCs w:val="22"/>
              </w:rPr>
            </w:pPr>
            <w:r w:rsidRPr="00E87274">
              <w:rPr>
                <w:rFonts w:ascii="Times" w:hAnsi="Times"/>
                <w:sz w:val="22"/>
                <w:szCs w:val="22"/>
              </w:rPr>
              <w:t>Conduct focus groups</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0.4</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0.8</w:t>
            </w:r>
          </w:p>
        </w:tc>
        <w:tc>
          <w:tcPr>
            <w:tcW w:w="0" w:type="auto"/>
            <w:vMerge/>
            <w:tcBorders>
              <w:left w:val="single" w:sz="7" w:space="0" w:color="000000"/>
              <w:right w:val="single" w:sz="6" w:space="0" w:color="FFFFFF"/>
            </w:tcBorders>
            <w:vAlign w:val="center"/>
          </w:tcPr>
          <w:p w:rsidR="008C747E" w:rsidRPr="00E87274" w:rsidRDefault="008C747E" w:rsidP="008C747E">
            <w:pPr>
              <w:tabs>
                <w:tab w:val="center" w:pos="404"/>
              </w:tabs>
              <w:jc w:val="center"/>
              <w:rPr>
                <w:rFonts w:ascii="Times" w:hAnsi="Times"/>
                <w:sz w:val="22"/>
                <w:szCs w:val="22"/>
              </w:rPr>
            </w:pP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1.2</w:t>
            </w:r>
          </w:p>
        </w:tc>
        <w:tc>
          <w:tcPr>
            <w:tcW w:w="0" w:type="auto"/>
            <w:tcBorders>
              <w:top w:val="single" w:sz="7" w:space="0" w:color="000000"/>
              <w:left w:val="single" w:sz="7" w:space="0" w:color="000000"/>
              <w:bottom w:val="single" w:sz="6" w:space="0" w:color="FFFFFF"/>
              <w:right w:val="double" w:sz="7" w:space="0" w:color="000000"/>
            </w:tcBorders>
            <w:vAlign w:val="center"/>
          </w:tcPr>
          <w:p w:rsidR="00D50F4C" w:rsidRDefault="008C747E" w:rsidP="00466EA7">
            <w:pPr>
              <w:jc w:val="center"/>
              <w:rPr>
                <w:rFonts w:ascii="Times" w:hAnsi="Times"/>
                <w:sz w:val="22"/>
                <w:szCs w:val="22"/>
              </w:rPr>
            </w:pPr>
            <w:r w:rsidRPr="008C747E">
              <w:rPr>
                <w:rFonts w:ascii="Times" w:hAnsi="Times"/>
                <w:sz w:val="22"/>
                <w:szCs w:val="22"/>
              </w:rPr>
              <w:t>$10</w:t>
            </w:r>
            <w:r w:rsidR="00466EA7">
              <w:rPr>
                <w:rFonts w:ascii="Times" w:hAnsi="Times"/>
                <w:sz w:val="22"/>
                <w:szCs w:val="22"/>
              </w:rPr>
              <w:t>4</w:t>
            </w:r>
            <w:r w:rsidRPr="008C747E">
              <w:rPr>
                <w:rFonts w:ascii="Times" w:hAnsi="Times"/>
                <w:sz w:val="22"/>
                <w:szCs w:val="22"/>
              </w:rPr>
              <w:t>.</w:t>
            </w:r>
            <w:r w:rsidR="00466EA7">
              <w:rPr>
                <w:rFonts w:ascii="Times" w:hAnsi="Times"/>
                <w:sz w:val="22"/>
                <w:szCs w:val="22"/>
              </w:rPr>
              <w:t>58</w:t>
            </w:r>
          </w:p>
        </w:tc>
      </w:tr>
      <w:tr w:rsidR="008C747E" w:rsidRPr="004F6A63" w:rsidTr="008C747E">
        <w:trPr>
          <w:trHeight w:val="433"/>
        </w:trPr>
        <w:tc>
          <w:tcPr>
            <w:tcW w:w="0" w:type="auto"/>
            <w:tcBorders>
              <w:top w:val="single" w:sz="7" w:space="0" w:color="000000"/>
              <w:left w:val="double" w:sz="7" w:space="0" w:color="000000"/>
              <w:bottom w:val="single" w:sz="6" w:space="0" w:color="FFFFFF"/>
              <w:right w:val="single" w:sz="6" w:space="0" w:color="FFFFFF"/>
            </w:tcBorders>
            <w:vAlign w:val="center"/>
          </w:tcPr>
          <w:p w:rsidR="008C747E" w:rsidRPr="00E87274" w:rsidRDefault="008C747E" w:rsidP="008C747E">
            <w:pPr>
              <w:rPr>
                <w:rFonts w:ascii="Times" w:hAnsi="Times"/>
                <w:sz w:val="22"/>
                <w:szCs w:val="22"/>
              </w:rPr>
            </w:pPr>
            <w:r w:rsidRPr="00E87274">
              <w:rPr>
                <w:rFonts w:ascii="Times" w:hAnsi="Times"/>
                <w:sz w:val="22"/>
                <w:szCs w:val="22"/>
              </w:rPr>
              <w:t>Review data</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sidRPr="00E87274">
              <w:rPr>
                <w:rFonts w:ascii="Times" w:hAnsi="Times"/>
                <w:sz w:val="22"/>
                <w:szCs w:val="22"/>
              </w:rPr>
              <w:t>0</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6</w:t>
            </w:r>
          </w:p>
        </w:tc>
        <w:tc>
          <w:tcPr>
            <w:tcW w:w="0" w:type="auto"/>
            <w:vMerge/>
            <w:tcBorders>
              <w:left w:val="single" w:sz="7" w:space="0" w:color="000000"/>
              <w:right w:val="single" w:sz="6" w:space="0" w:color="FFFFFF"/>
            </w:tcBorders>
            <w:vAlign w:val="center"/>
          </w:tcPr>
          <w:p w:rsidR="008C747E" w:rsidRPr="00E87274" w:rsidRDefault="008C747E" w:rsidP="008C747E">
            <w:pPr>
              <w:tabs>
                <w:tab w:val="center" w:pos="404"/>
              </w:tabs>
              <w:jc w:val="center"/>
              <w:rPr>
                <w:rFonts w:ascii="Times" w:hAnsi="Times"/>
                <w:sz w:val="22"/>
                <w:szCs w:val="22"/>
              </w:rPr>
            </w:pP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6</w:t>
            </w:r>
          </w:p>
        </w:tc>
        <w:tc>
          <w:tcPr>
            <w:tcW w:w="0" w:type="auto"/>
            <w:tcBorders>
              <w:top w:val="single" w:sz="7" w:space="0" w:color="000000"/>
              <w:left w:val="single" w:sz="7" w:space="0" w:color="000000"/>
              <w:bottom w:val="single" w:sz="6" w:space="0" w:color="FFFFFF"/>
              <w:right w:val="double" w:sz="7" w:space="0" w:color="000000"/>
            </w:tcBorders>
            <w:vAlign w:val="center"/>
          </w:tcPr>
          <w:p w:rsidR="00D50F4C" w:rsidRDefault="008C747E" w:rsidP="00466EA7">
            <w:pPr>
              <w:jc w:val="center"/>
              <w:rPr>
                <w:rFonts w:ascii="Times" w:hAnsi="Times"/>
                <w:sz w:val="22"/>
                <w:szCs w:val="22"/>
              </w:rPr>
            </w:pPr>
            <w:r w:rsidRPr="008C747E">
              <w:rPr>
                <w:rFonts w:ascii="Times" w:hAnsi="Times"/>
                <w:sz w:val="22"/>
                <w:szCs w:val="22"/>
              </w:rPr>
              <w:t>$</w:t>
            </w:r>
            <w:r w:rsidR="00466EA7" w:rsidRPr="008C747E">
              <w:rPr>
                <w:rFonts w:ascii="Times" w:hAnsi="Times"/>
                <w:sz w:val="22"/>
                <w:szCs w:val="22"/>
              </w:rPr>
              <w:t>4</w:t>
            </w:r>
            <w:r w:rsidR="00466EA7">
              <w:rPr>
                <w:rFonts w:ascii="Times" w:hAnsi="Times"/>
                <w:sz w:val="22"/>
                <w:szCs w:val="22"/>
              </w:rPr>
              <w:t>47</w:t>
            </w:r>
            <w:r w:rsidRPr="008C747E">
              <w:rPr>
                <w:rFonts w:ascii="Times" w:hAnsi="Times"/>
                <w:sz w:val="22"/>
                <w:szCs w:val="22"/>
              </w:rPr>
              <w:t>.</w:t>
            </w:r>
            <w:r w:rsidR="00466EA7">
              <w:rPr>
                <w:rFonts w:ascii="Times" w:hAnsi="Times"/>
                <w:sz w:val="22"/>
                <w:szCs w:val="22"/>
              </w:rPr>
              <w:t>06</w:t>
            </w:r>
          </w:p>
        </w:tc>
      </w:tr>
      <w:tr w:rsidR="008C747E" w:rsidRPr="004F6A63" w:rsidTr="008C747E">
        <w:trPr>
          <w:trHeight w:val="460"/>
        </w:trPr>
        <w:tc>
          <w:tcPr>
            <w:tcW w:w="0" w:type="auto"/>
            <w:tcBorders>
              <w:top w:val="single" w:sz="7" w:space="0" w:color="000000"/>
              <w:left w:val="double" w:sz="7" w:space="0" w:color="000000"/>
              <w:bottom w:val="single" w:sz="6" w:space="0" w:color="FFFFFF"/>
              <w:right w:val="single" w:sz="6" w:space="0" w:color="FFFFFF"/>
            </w:tcBorders>
            <w:vAlign w:val="center"/>
          </w:tcPr>
          <w:p w:rsidR="008C747E" w:rsidRPr="00E87274" w:rsidRDefault="008C747E" w:rsidP="008C747E">
            <w:pPr>
              <w:rPr>
                <w:rFonts w:ascii="Times" w:hAnsi="Times"/>
                <w:sz w:val="22"/>
                <w:szCs w:val="22"/>
              </w:rPr>
            </w:pPr>
            <w:r w:rsidRPr="00E87274">
              <w:rPr>
                <w:rFonts w:ascii="Times" w:hAnsi="Times"/>
                <w:sz w:val="22"/>
                <w:szCs w:val="22"/>
              </w:rPr>
              <w:t>Analyze results</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sidRPr="00E87274">
              <w:rPr>
                <w:rFonts w:ascii="Times" w:hAnsi="Times"/>
                <w:sz w:val="22"/>
                <w:szCs w:val="22"/>
              </w:rPr>
              <w:t>0</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7</w:t>
            </w:r>
          </w:p>
        </w:tc>
        <w:tc>
          <w:tcPr>
            <w:tcW w:w="0" w:type="auto"/>
            <w:vMerge/>
            <w:tcBorders>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7</w:t>
            </w:r>
          </w:p>
        </w:tc>
        <w:tc>
          <w:tcPr>
            <w:tcW w:w="0" w:type="auto"/>
            <w:tcBorders>
              <w:top w:val="single" w:sz="7" w:space="0" w:color="000000"/>
              <w:left w:val="single" w:sz="7" w:space="0" w:color="000000"/>
              <w:bottom w:val="single" w:sz="6" w:space="0" w:color="FFFFFF"/>
              <w:right w:val="double" w:sz="7" w:space="0" w:color="000000"/>
            </w:tcBorders>
            <w:vAlign w:val="center"/>
          </w:tcPr>
          <w:p w:rsidR="00D50F4C" w:rsidRDefault="008C747E" w:rsidP="00466EA7">
            <w:pPr>
              <w:jc w:val="center"/>
              <w:rPr>
                <w:rFonts w:ascii="Times" w:hAnsi="Times"/>
                <w:sz w:val="22"/>
                <w:szCs w:val="22"/>
              </w:rPr>
            </w:pPr>
            <w:r w:rsidRPr="008C747E">
              <w:rPr>
                <w:rFonts w:ascii="Times" w:hAnsi="Times"/>
                <w:sz w:val="22"/>
                <w:szCs w:val="22"/>
              </w:rPr>
              <w:t>$5</w:t>
            </w:r>
            <w:r w:rsidR="00466EA7">
              <w:rPr>
                <w:rFonts w:ascii="Times" w:hAnsi="Times"/>
                <w:sz w:val="22"/>
                <w:szCs w:val="22"/>
              </w:rPr>
              <w:t>2</w:t>
            </w:r>
            <w:r w:rsidRPr="008C747E">
              <w:rPr>
                <w:rFonts w:ascii="Times" w:hAnsi="Times"/>
                <w:sz w:val="22"/>
                <w:szCs w:val="22"/>
              </w:rPr>
              <w:t>1.</w:t>
            </w:r>
            <w:r w:rsidR="00466EA7">
              <w:rPr>
                <w:rFonts w:ascii="Times" w:hAnsi="Times"/>
                <w:sz w:val="22"/>
                <w:szCs w:val="22"/>
              </w:rPr>
              <w:t>57</w:t>
            </w:r>
          </w:p>
        </w:tc>
      </w:tr>
      <w:tr w:rsidR="008C747E" w:rsidRPr="004F6A63" w:rsidTr="008C747E">
        <w:trPr>
          <w:trHeight w:val="433"/>
        </w:trPr>
        <w:tc>
          <w:tcPr>
            <w:tcW w:w="0" w:type="auto"/>
            <w:tcBorders>
              <w:top w:val="single" w:sz="7" w:space="0" w:color="000000"/>
              <w:left w:val="double" w:sz="7" w:space="0" w:color="000000"/>
              <w:bottom w:val="single" w:sz="6" w:space="0" w:color="FFFFFF"/>
              <w:right w:val="single" w:sz="6" w:space="0" w:color="FFFFFF"/>
            </w:tcBorders>
            <w:vAlign w:val="center"/>
          </w:tcPr>
          <w:p w:rsidR="008C747E" w:rsidRPr="00E87274" w:rsidRDefault="008C747E" w:rsidP="008C747E">
            <w:pPr>
              <w:rPr>
                <w:rFonts w:ascii="Times" w:hAnsi="Times"/>
                <w:sz w:val="22"/>
                <w:szCs w:val="22"/>
              </w:rPr>
            </w:pPr>
            <w:r w:rsidRPr="00E87274">
              <w:rPr>
                <w:rFonts w:ascii="Times" w:hAnsi="Times"/>
                <w:sz w:val="22"/>
                <w:szCs w:val="22"/>
              </w:rPr>
              <w:t>Store and maintain results</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sidRPr="00E87274">
              <w:rPr>
                <w:rFonts w:ascii="Times" w:hAnsi="Times"/>
                <w:sz w:val="22"/>
                <w:szCs w:val="22"/>
              </w:rPr>
              <w:t>0</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0.5</w:t>
            </w:r>
          </w:p>
        </w:tc>
        <w:tc>
          <w:tcPr>
            <w:tcW w:w="0" w:type="auto"/>
            <w:tcBorders>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0.5</w:t>
            </w:r>
          </w:p>
        </w:tc>
        <w:tc>
          <w:tcPr>
            <w:tcW w:w="0" w:type="auto"/>
            <w:tcBorders>
              <w:top w:val="single" w:sz="7" w:space="0" w:color="000000"/>
              <w:left w:val="single" w:sz="7" w:space="0" w:color="000000"/>
              <w:bottom w:val="single" w:sz="6" w:space="0" w:color="FFFFFF"/>
              <w:right w:val="double" w:sz="7" w:space="0" w:color="000000"/>
            </w:tcBorders>
            <w:vAlign w:val="center"/>
          </w:tcPr>
          <w:p w:rsidR="00D50F4C" w:rsidRDefault="008C747E" w:rsidP="00466EA7">
            <w:pPr>
              <w:jc w:val="center"/>
              <w:rPr>
                <w:rFonts w:ascii="Times" w:hAnsi="Times"/>
                <w:sz w:val="22"/>
                <w:szCs w:val="22"/>
              </w:rPr>
            </w:pPr>
            <w:r w:rsidRPr="008C747E">
              <w:rPr>
                <w:rFonts w:ascii="Times" w:hAnsi="Times"/>
                <w:sz w:val="22"/>
                <w:szCs w:val="22"/>
              </w:rPr>
              <w:t>$37.</w:t>
            </w:r>
            <w:r w:rsidR="00466EA7">
              <w:rPr>
                <w:rFonts w:ascii="Times" w:hAnsi="Times"/>
                <w:sz w:val="22"/>
                <w:szCs w:val="22"/>
              </w:rPr>
              <w:t>26</w:t>
            </w:r>
          </w:p>
        </w:tc>
      </w:tr>
      <w:tr w:rsidR="008C747E" w:rsidRPr="004F6A63" w:rsidTr="008C747E">
        <w:trPr>
          <w:trHeight w:val="433"/>
        </w:trPr>
        <w:tc>
          <w:tcPr>
            <w:tcW w:w="0" w:type="auto"/>
            <w:tcBorders>
              <w:top w:val="single" w:sz="7" w:space="0" w:color="000000"/>
              <w:left w:val="double" w:sz="7" w:space="0" w:color="000000"/>
              <w:bottom w:val="single" w:sz="6" w:space="0" w:color="FFFFFF"/>
              <w:right w:val="single" w:sz="6" w:space="0" w:color="FFFFFF"/>
            </w:tcBorders>
            <w:vAlign w:val="center"/>
          </w:tcPr>
          <w:p w:rsidR="008C747E" w:rsidRPr="00E87274" w:rsidRDefault="008C747E" w:rsidP="008C747E">
            <w:pPr>
              <w:rPr>
                <w:rFonts w:ascii="Times" w:hAnsi="Times"/>
                <w:sz w:val="22"/>
                <w:szCs w:val="22"/>
              </w:rPr>
            </w:pPr>
            <w:r w:rsidRPr="00E87274">
              <w:rPr>
                <w:rFonts w:ascii="Times" w:hAnsi="Times"/>
                <w:sz w:val="22"/>
                <w:szCs w:val="22"/>
              </w:rPr>
              <w:t>Prepare findings</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1.2</w:t>
            </w: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7.5</w:t>
            </w:r>
          </w:p>
        </w:tc>
        <w:tc>
          <w:tcPr>
            <w:tcW w:w="0" w:type="auto"/>
            <w:tcBorders>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p>
        </w:tc>
        <w:tc>
          <w:tcPr>
            <w:tcW w:w="0" w:type="auto"/>
            <w:tcBorders>
              <w:top w:val="single" w:sz="7" w:space="0" w:color="000000"/>
              <w:left w:val="single" w:sz="7" w:space="0" w:color="000000"/>
              <w:bottom w:val="single" w:sz="6" w:space="0" w:color="FFFFFF"/>
              <w:right w:val="single" w:sz="6" w:space="0" w:color="FFFFFF"/>
            </w:tcBorders>
            <w:vAlign w:val="center"/>
          </w:tcPr>
          <w:p w:rsidR="008C747E" w:rsidRPr="00E87274" w:rsidRDefault="008C747E" w:rsidP="008C747E">
            <w:pPr>
              <w:jc w:val="center"/>
              <w:rPr>
                <w:rFonts w:ascii="Times" w:hAnsi="Times"/>
                <w:sz w:val="22"/>
                <w:szCs w:val="22"/>
              </w:rPr>
            </w:pPr>
            <w:r>
              <w:rPr>
                <w:rFonts w:ascii="Times" w:hAnsi="Times"/>
                <w:sz w:val="22"/>
                <w:szCs w:val="22"/>
              </w:rPr>
              <w:t>8.7</w:t>
            </w:r>
          </w:p>
        </w:tc>
        <w:tc>
          <w:tcPr>
            <w:tcW w:w="0" w:type="auto"/>
            <w:tcBorders>
              <w:top w:val="single" w:sz="7" w:space="0" w:color="000000"/>
              <w:left w:val="single" w:sz="7" w:space="0" w:color="000000"/>
              <w:bottom w:val="single" w:sz="6" w:space="0" w:color="FFFFFF"/>
              <w:right w:val="double" w:sz="7" w:space="0" w:color="000000"/>
            </w:tcBorders>
            <w:vAlign w:val="center"/>
          </w:tcPr>
          <w:p w:rsidR="00D50F4C" w:rsidRDefault="008C747E" w:rsidP="00466EA7">
            <w:pPr>
              <w:jc w:val="center"/>
              <w:rPr>
                <w:rFonts w:ascii="Times" w:hAnsi="Times"/>
                <w:sz w:val="22"/>
                <w:szCs w:val="22"/>
              </w:rPr>
            </w:pPr>
            <w:r w:rsidRPr="008C747E">
              <w:rPr>
                <w:rFonts w:ascii="Times" w:hAnsi="Times"/>
                <w:sz w:val="22"/>
                <w:szCs w:val="22"/>
              </w:rPr>
              <w:t>$</w:t>
            </w:r>
            <w:r w:rsidR="00466EA7">
              <w:rPr>
                <w:rFonts w:ascii="Times" w:hAnsi="Times"/>
                <w:sz w:val="22"/>
                <w:szCs w:val="22"/>
              </w:rPr>
              <w:t>693.73</w:t>
            </w:r>
          </w:p>
        </w:tc>
      </w:tr>
      <w:tr w:rsidR="008C747E" w:rsidRPr="004F6A63" w:rsidTr="008C747E">
        <w:trPr>
          <w:trHeight w:val="413"/>
        </w:trPr>
        <w:tc>
          <w:tcPr>
            <w:tcW w:w="0" w:type="auto"/>
            <w:tcBorders>
              <w:top w:val="single" w:sz="15" w:space="0" w:color="000000"/>
              <w:left w:val="double" w:sz="7" w:space="0" w:color="000000"/>
              <w:bottom w:val="double" w:sz="7" w:space="0" w:color="000000"/>
              <w:right w:val="single" w:sz="6" w:space="0" w:color="FFFFFF"/>
            </w:tcBorders>
            <w:shd w:val="solid" w:color="C0C0C0" w:fill="FFFFFF"/>
            <w:vAlign w:val="center"/>
          </w:tcPr>
          <w:p w:rsidR="008C747E" w:rsidRPr="00E87274" w:rsidRDefault="008C747E" w:rsidP="008C747E">
            <w:pPr>
              <w:spacing w:after="58"/>
              <w:jc w:val="center"/>
              <w:rPr>
                <w:rFonts w:ascii="Times" w:hAnsi="Times"/>
                <w:sz w:val="22"/>
                <w:szCs w:val="22"/>
              </w:rPr>
            </w:pPr>
            <w:r w:rsidRPr="00E87274">
              <w:rPr>
                <w:rFonts w:ascii="Times" w:hAnsi="Times"/>
                <w:bCs/>
                <w:sz w:val="22"/>
                <w:szCs w:val="22"/>
              </w:rPr>
              <w:t>TOTAL</w:t>
            </w:r>
          </w:p>
        </w:tc>
        <w:tc>
          <w:tcPr>
            <w:tcW w:w="0" w:type="auto"/>
            <w:tcBorders>
              <w:top w:val="single" w:sz="15" w:space="0" w:color="000000"/>
              <w:left w:val="single" w:sz="7" w:space="0" w:color="000000"/>
              <w:bottom w:val="double" w:sz="7" w:space="0" w:color="000000"/>
              <w:right w:val="single" w:sz="6" w:space="0" w:color="FFFFFF"/>
            </w:tcBorders>
            <w:shd w:val="solid" w:color="C0C0C0" w:fill="FFFFFF"/>
            <w:vAlign w:val="center"/>
          </w:tcPr>
          <w:p w:rsidR="008C747E" w:rsidRPr="00E87274" w:rsidRDefault="008C747E" w:rsidP="008C747E">
            <w:pPr>
              <w:jc w:val="center"/>
              <w:rPr>
                <w:rFonts w:ascii="Times" w:hAnsi="Times"/>
                <w:sz w:val="22"/>
                <w:szCs w:val="22"/>
              </w:rPr>
            </w:pPr>
            <w:r>
              <w:rPr>
                <w:rFonts w:ascii="Times" w:hAnsi="Times"/>
                <w:sz w:val="22"/>
                <w:szCs w:val="22"/>
              </w:rPr>
              <w:t>2.2</w:t>
            </w:r>
          </w:p>
        </w:tc>
        <w:tc>
          <w:tcPr>
            <w:tcW w:w="0" w:type="auto"/>
            <w:tcBorders>
              <w:top w:val="single" w:sz="15" w:space="0" w:color="000000"/>
              <w:left w:val="single" w:sz="7" w:space="0" w:color="000000"/>
              <w:bottom w:val="double" w:sz="7" w:space="0" w:color="000000"/>
              <w:right w:val="single" w:sz="6" w:space="0" w:color="FFFFFF"/>
            </w:tcBorders>
            <w:shd w:val="solid" w:color="C0C0C0" w:fill="FFFFFF"/>
            <w:vAlign w:val="center"/>
          </w:tcPr>
          <w:p w:rsidR="008C747E" w:rsidRPr="00E87274" w:rsidRDefault="008C747E" w:rsidP="008C747E">
            <w:pPr>
              <w:jc w:val="center"/>
              <w:rPr>
                <w:rFonts w:ascii="Times" w:hAnsi="Times"/>
                <w:sz w:val="22"/>
                <w:szCs w:val="22"/>
              </w:rPr>
            </w:pPr>
            <w:r>
              <w:rPr>
                <w:rFonts w:ascii="Times" w:hAnsi="Times"/>
                <w:sz w:val="22"/>
                <w:szCs w:val="22"/>
              </w:rPr>
              <w:t>33.8</w:t>
            </w:r>
          </w:p>
        </w:tc>
        <w:tc>
          <w:tcPr>
            <w:tcW w:w="0" w:type="auto"/>
            <w:tcBorders>
              <w:top w:val="single" w:sz="15" w:space="0" w:color="000000"/>
              <w:left w:val="single" w:sz="7" w:space="0" w:color="000000"/>
              <w:bottom w:val="double" w:sz="7" w:space="0" w:color="000000"/>
              <w:right w:val="single" w:sz="6" w:space="0" w:color="FFFFFF"/>
            </w:tcBorders>
            <w:shd w:val="solid" w:color="C0C0C0" w:fill="FFFFFF"/>
            <w:vAlign w:val="center"/>
          </w:tcPr>
          <w:p w:rsidR="008C747E" w:rsidRPr="00E87274" w:rsidRDefault="008C747E" w:rsidP="008C747E">
            <w:pPr>
              <w:tabs>
                <w:tab w:val="center" w:pos="404"/>
              </w:tabs>
              <w:spacing w:after="58"/>
              <w:jc w:val="center"/>
              <w:rPr>
                <w:rFonts w:ascii="Times" w:hAnsi="Times"/>
                <w:sz w:val="22"/>
                <w:szCs w:val="22"/>
              </w:rPr>
            </w:pPr>
            <w:r>
              <w:rPr>
                <w:rFonts w:ascii="Times" w:hAnsi="Times"/>
                <w:sz w:val="22"/>
                <w:szCs w:val="22"/>
              </w:rPr>
              <w:t>$8,5</w:t>
            </w:r>
            <w:r w:rsidRPr="00E87274">
              <w:rPr>
                <w:rFonts w:ascii="Times" w:hAnsi="Times"/>
                <w:sz w:val="22"/>
                <w:szCs w:val="22"/>
              </w:rPr>
              <w:t>00</w:t>
            </w:r>
            <w:r>
              <w:rPr>
                <w:rFonts w:ascii="Times" w:hAnsi="Times"/>
                <w:sz w:val="22"/>
                <w:szCs w:val="22"/>
              </w:rPr>
              <w:t>.00</w:t>
            </w:r>
          </w:p>
        </w:tc>
        <w:tc>
          <w:tcPr>
            <w:tcW w:w="0" w:type="auto"/>
            <w:tcBorders>
              <w:top w:val="single" w:sz="15" w:space="0" w:color="000000"/>
              <w:left w:val="single" w:sz="7" w:space="0" w:color="000000"/>
              <w:bottom w:val="double" w:sz="7" w:space="0" w:color="000000"/>
              <w:right w:val="single" w:sz="6" w:space="0" w:color="FFFFFF"/>
            </w:tcBorders>
            <w:shd w:val="solid" w:color="C0C0C0" w:fill="FFFFFF"/>
            <w:vAlign w:val="center"/>
          </w:tcPr>
          <w:p w:rsidR="008C747E" w:rsidRPr="00E87274" w:rsidRDefault="008C747E" w:rsidP="008C747E">
            <w:pPr>
              <w:jc w:val="center"/>
              <w:rPr>
                <w:rFonts w:ascii="Times" w:hAnsi="Times"/>
                <w:sz w:val="22"/>
                <w:szCs w:val="22"/>
              </w:rPr>
            </w:pPr>
            <w:r>
              <w:rPr>
                <w:rFonts w:ascii="Times" w:hAnsi="Times"/>
                <w:sz w:val="22"/>
                <w:szCs w:val="22"/>
              </w:rPr>
              <w:t>36</w:t>
            </w:r>
          </w:p>
        </w:tc>
        <w:tc>
          <w:tcPr>
            <w:tcW w:w="0" w:type="auto"/>
            <w:tcBorders>
              <w:top w:val="single" w:sz="15" w:space="0" w:color="000000"/>
              <w:left w:val="single" w:sz="7" w:space="0" w:color="000000"/>
              <w:bottom w:val="double" w:sz="7" w:space="0" w:color="000000"/>
              <w:right w:val="double" w:sz="7" w:space="0" w:color="000000"/>
            </w:tcBorders>
            <w:shd w:val="solid" w:color="C0C0C0" w:fill="FFFFFF"/>
            <w:vAlign w:val="center"/>
          </w:tcPr>
          <w:p w:rsidR="00D50F4C" w:rsidRDefault="00940DFC" w:rsidP="00466EA7">
            <w:pPr>
              <w:spacing w:after="58"/>
              <w:jc w:val="center"/>
              <w:rPr>
                <w:rFonts w:ascii="Times" w:hAnsi="Times"/>
                <w:sz w:val="22"/>
                <w:szCs w:val="22"/>
              </w:rPr>
            </w:pPr>
            <w:r w:rsidRPr="008C747E">
              <w:rPr>
                <w:rFonts w:ascii="Times" w:hAnsi="Times"/>
                <w:sz w:val="22"/>
                <w:szCs w:val="22"/>
              </w:rPr>
              <w:fldChar w:fldCharType="begin"/>
            </w:r>
            <w:r w:rsidR="008C747E" w:rsidRPr="008C747E">
              <w:rPr>
                <w:rFonts w:ascii="Times" w:hAnsi="Times"/>
                <w:sz w:val="22"/>
                <w:szCs w:val="22"/>
              </w:rPr>
              <w:instrText xml:space="preserve"> =SUM(ABOVE) </w:instrText>
            </w:r>
            <w:r w:rsidRPr="008C747E">
              <w:rPr>
                <w:rFonts w:ascii="Times" w:hAnsi="Times"/>
                <w:sz w:val="22"/>
                <w:szCs w:val="22"/>
              </w:rPr>
              <w:fldChar w:fldCharType="separate"/>
            </w:r>
            <w:r w:rsidR="008C747E" w:rsidRPr="008C747E">
              <w:rPr>
                <w:rFonts w:ascii="Times" w:hAnsi="Times"/>
                <w:noProof/>
                <w:sz w:val="22"/>
                <w:szCs w:val="22"/>
              </w:rPr>
              <w:t>$</w:t>
            </w:r>
            <w:r w:rsidRPr="008C747E">
              <w:rPr>
                <w:rFonts w:ascii="Times" w:hAnsi="Times"/>
                <w:sz w:val="22"/>
                <w:szCs w:val="22"/>
              </w:rPr>
              <w:fldChar w:fldCharType="end"/>
            </w:r>
            <w:r w:rsidR="008C747E" w:rsidRPr="008C747E">
              <w:rPr>
                <w:rFonts w:ascii="Times" w:hAnsi="Times"/>
                <w:sz w:val="22"/>
                <w:szCs w:val="22"/>
              </w:rPr>
              <w:t>2,</w:t>
            </w:r>
            <w:r w:rsidR="00466EA7">
              <w:rPr>
                <w:rFonts w:ascii="Times" w:hAnsi="Times"/>
                <w:sz w:val="22"/>
                <w:szCs w:val="22"/>
              </w:rPr>
              <w:t>765</w:t>
            </w:r>
            <w:r w:rsidR="008C747E" w:rsidRPr="008C747E">
              <w:rPr>
                <w:rFonts w:ascii="Times" w:hAnsi="Times"/>
                <w:sz w:val="22"/>
                <w:szCs w:val="22"/>
              </w:rPr>
              <w:t>.7</w:t>
            </w:r>
            <w:r w:rsidR="00466EA7">
              <w:rPr>
                <w:rFonts w:ascii="Times" w:hAnsi="Times"/>
                <w:sz w:val="22"/>
                <w:szCs w:val="22"/>
              </w:rPr>
              <w:t>6</w:t>
            </w:r>
          </w:p>
        </w:tc>
      </w:tr>
    </w:tbl>
    <w:p w:rsidR="008C747E" w:rsidRDefault="008C747E" w:rsidP="00404EE5"/>
    <w:p w:rsidR="00C00BD4" w:rsidRPr="00C00BD4" w:rsidRDefault="00C00BD4" w:rsidP="00C00BD4">
      <w:pPr>
        <w:ind w:firstLine="720"/>
        <w:rPr>
          <w:b/>
          <w:bCs/>
        </w:rPr>
      </w:pPr>
      <w:r w:rsidRPr="00C00BD4">
        <w:rPr>
          <w:b/>
          <w:bCs/>
        </w:rPr>
        <w:t>6(</w:t>
      </w:r>
      <w:r>
        <w:rPr>
          <w:b/>
          <w:bCs/>
        </w:rPr>
        <w:t>c</w:t>
      </w:r>
      <w:r w:rsidRPr="00C00BD4">
        <w:rPr>
          <w:b/>
          <w:bCs/>
        </w:rPr>
        <w:t xml:space="preserve">) </w:t>
      </w:r>
      <w:r w:rsidRPr="00C00BD4">
        <w:rPr>
          <w:b/>
          <w:bCs/>
        </w:rPr>
        <w:tab/>
        <w:t xml:space="preserve">Bottom Line Burden Hours and Cost </w:t>
      </w:r>
    </w:p>
    <w:p w:rsidR="00C00BD4" w:rsidRDefault="00C00BD4" w:rsidP="001C01D7"/>
    <w:p w:rsidR="00C00BD4" w:rsidRDefault="00C00BD4" w:rsidP="001C01D7">
      <w:r>
        <w:tab/>
        <w:t>The total annual burden hours and costs for t</w:t>
      </w:r>
      <w:r w:rsidR="005A6D1C">
        <w:t>his ICR are presented in Table 2</w:t>
      </w:r>
      <w:r>
        <w:t>.</w:t>
      </w:r>
    </w:p>
    <w:p w:rsidR="00B81547" w:rsidRDefault="00B81547" w:rsidP="00E5713C">
      <w:pPr>
        <w:pStyle w:val="Heading3"/>
        <w:numPr>
          <w:ilvl w:val="0"/>
          <w:numId w:val="0"/>
        </w:numPr>
        <w:rPr>
          <w:rFonts w:ascii="Times" w:hAnsi="Times"/>
          <w:bCs w:val="0"/>
        </w:rPr>
      </w:pPr>
    </w:p>
    <w:p w:rsidR="00E5713C" w:rsidRDefault="000E5FA8" w:rsidP="00B81547">
      <w:pPr>
        <w:pStyle w:val="Heading3"/>
        <w:numPr>
          <w:ilvl w:val="0"/>
          <w:numId w:val="0"/>
        </w:numPr>
        <w:rPr>
          <w:rFonts w:ascii="Times" w:hAnsi="Times"/>
          <w:bCs w:val="0"/>
        </w:rPr>
      </w:pPr>
      <w:proofErr w:type="gramStart"/>
      <w:r>
        <w:rPr>
          <w:rFonts w:ascii="Times" w:hAnsi="Times"/>
          <w:bCs w:val="0"/>
        </w:rPr>
        <w:t xml:space="preserve">TABLE </w:t>
      </w:r>
      <w:r w:rsidR="005A6D1C">
        <w:rPr>
          <w:rFonts w:ascii="Times" w:hAnsi="Times"/>
          <w:bCs w:val="0"/>
        </w:rPr>
        <w:t>2</w:t>
      </w:r>
      <w:r>
        <w:rPr>
          <w:rFonts w:ascii="Times" w:hAnsi="Times"/>
          <w:bCs w:val="0"/>
        </w:rPr>
        <w:t>.</w:t>
      </w:r>
      <w:proofErr w:type="gramEnd"/>
      <w:r>
        <w:rPr>
          <w:rFonts w:ascii="Times" w:hAnsi="Times"/>
          <w:bCs w:val="0"/>
        </w:rPr>
        <w:t xml:space="preserve">  </w:t>
      </w:r>
      <w:r w:rsidR="00B81547">
        <w:rPr>
          <w:rFonts w:ascii="Times" w:hAnsi="Times"/>
          <w:bCs w:val="0"/>
        </w:rPr>
        <w:t>Estimated Annual Respondent and Agency</w:t>
      </w:r>
      <w:r w:rsidR="00E5713C" w:rsidRPr="000E5FA8">
        <w:rPr>
          <w:rFonts w:ascii="Times" w:hAnsi="Times"/>
          <w:bCs w:val="0"/>
        </w:rPr>
        <w:t xml:space="preserve"> Burd</w:t>
      </w:r>
      <w:r w:rsidR="00B81547">
        <w:rPr>
          <w:rFonts w:ascii="Times" w:hAnsi="Times"/>
          <w:bCs w:val="0"/>
        </w:rPr>
        <w:t>en Hours and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96"/>
        <w:gridCol w:w="1596"/>
        <w:gridCol w:w="1200"/>
        <w:gridCol w:w="1800"/>
        <w:gridCol w:w="1788"/>
      </w:tblGrid>
      <w:tr w:rsidR="00522CE0" w:rsidTr="0025408C">
        <w:tc>
          <w:tcPr>
            <w:tcW w:w="1596" w:type="dxa"/>
            <w:vMerge w:val="restart"/>
            <w:shd w:val="clear" w:color="auto" w:fill="D9D9D9"/>
          </w:tcPr>
          <w:p w:rsidR="0078775D" w:rsidRDefault="0078775D" w:rsidP="0025408C">
            <w:pPr>
              <w:keepNext/>
              <w:spacing w:line="1" w:lineRule="atLeast"/>
            </w:pPr>
          </w:p>
        </w:tc>
        <w:tc>
          <w:tcPr>
            <w:tcW w:w="3192" w:type="dxa"/>
            <w:gridSpan w:val="2"/>
            <w:shd w:val="clear" w:color="auto" w:fill="D9D9D9"/>
          </w:tcPr>
          <w:p w:rsidR="0078775D" w:rsidRDefault="0078775D" w:rsidP="0025408C">
            <w:pPr>
              <w:keepNext/>
              <w:spacing w:line="1" w:lineRule="atLeast"/>
              <w:jc w:val="center"/>
            </w:pPr>
            <w:r>
              <w:t>Per Event (Focus Group)</w:t>
            </w:r>
          </w:p>
        </w:tc>
        <w:tc>
          <w:tcPr>
            <w:tcW w:w="1200" w:type="dxa"/>
            <w:vMerge w:val="restart"/>
            <w:shd w:val="clear" w:color="auto" w:fill="D9D9D9"/>
          </w:tcPr>
          <w:p w:rsidR="0078775D" w:rsidRDefault="00522CE0" w:rsidP="00522CE0">
            <w:pPr>
              <w:keepNext/>
              <w:spacing w:line="1" w:lineRule="atLeast"/>
              <w:jc w:val="center"/>
            </w:pPr>
            <w:r>
              <w:t>10 Focus Groups per Year</w:t>
            </w:r>
          </w:p>
        </w:tc>
        <w:tc>
          <w:tcPr>
            <w:tcW w:w="3588" w:type="dxa"/>
            <w:gridSpan w:val="2"/>
            <w:shd w:val="clear" w:color="auto" w:fill="D9D9D9"/>
          </w:tcPr>
          <w:p w:rsidR="0078775D" w:rsidRDefault="0078775D" w:rsidP="0025408C">
            <w:pPr>
              <w:keepNext/>
              <w:spacing w:line="1" w:lineRule="atLeast"/>
              <w:jc w:val="center"/>
            </w:pPr>
            <w:r>
              <w:t>Total Annual</w:t>
            </w:r>
          </w:p>
        </w:tc>
      </w:tr>
      <w:tr w:rsidR="00522CE0" w:rsidTr="0025408C">
        <w:tc>
          <w:tcPr>
            <w:tcW w:w="1596" w:type="dxa"/>
            <w:vMerge/>
            <w:shd w:val="clear" w:color="auto" w:fill="D9D9D9"/>
          </w:tcPr>
          <w:p w:rsidR="0078775D" w:rsidRDefault="0078775D" w:rsidP="0025408C">
            <w:pPr>
              <w:keepNext/>
              <w:spacing w:line="1" w:lineRule="atLeast"/>
            </w:pPr>
          </w:p>
        </w:tc>
        <w:tc>
          <w:tcPr>
            <w:tcW w:w="1596" w:type="dxa"/>
            <w:shd w:val="clear" w:color="auto" w:fill="D9D9D9"/>
          </w:tcPr>
          <w:p w:rsidR="0078775D" w:rsidRDefault="0078775D" w:rsidP="0025408C">
            <w:pPr>
              <w:keepNext/>
              <w:spacing w:line="1" w:lineRule="atLeast"/>
              <w:jc w:val="center"/>
            </w:pPr>
            <w:r>
              <w:t>Burden Hrs.</w:t>
            </w:r>
          </w:p>
        </w:tc>
        <w:tc>
          <w:tcPr>
            <w:tcW w:w="1596" w:type="dxa"/>
            <w:shd w:val="clear" w:color="auto" w:fill="D9D9D9"/>
          </w:tcPr>
          <w:p w:rsidR="0078775D" w:rsidRDefault="0078775D" w:rsidP="0025408C">
            <w:pPr>
              <w:keepNext/>
              <w:spacing w:line="1" w:lineRule="atLeast"/>
              <w:jc w:val="center"/>
            </w:pPr>
            <w:r>
              <w:t>Costs</w:t>
            </w:r>
          </w:p>
        </w:tc>
        <w:tc>
          <w:tcPr>
            <w:tcW w:w="1200" w:type="dxa"/>
            <w:vMerge/>
            <w:shd w:val="clear" w:color="auto" w:fill="D9D9D9"/>
          </w:tcPr>
          <w:p w:rsidR="0078775D" w:rsidRDefault="0078775D" w:rsidP="0025408C">
            <w:pPr>
              <w:keepNext/>
              <w:spacing w:line="1" w:lineRule="atLeast"/>
              <w:jc w:val="center"/>
            </w:pPr>
          </w:p>
        </w:tc>
        <w:tc>
          <w:tcPr>
            <w:tcW w:w="1800" w:type="dxa"/>
            <w:shd w:val="clear" w:color="auto" w:fill="D9D9D9"/>
          </w:tcPr>
          <w:p w:rsidR="0078775D" w:rsidRDefault="0078775D" w:rsidP="0025408C">
            <w:pPr>
              <w:keepNext/>
              <w:spacing w:line="1" w:lineRule="atLeast"/>
              <w:jc w:val="center"/>
            </w:pPr>
            <w:r>
              <w:t>Burden Hrs.</w:t>
            </w:r>
          </w:p>
        </w:tc>
        <w:tc>
          <w:tcPr>
            <w:tcW w:w="1788" w:type="dxa"/>
            <w:shd w:val="clear" w:color="auto" w:fill="D9D9D9"/>
          </w:tcPr>
          <w:p w:rsidR="0078775D" w:rsidRDefault="0078775D" w:rsidP="0025408C">
            <w:pPr>
              <w:keepNext/>
              <w:spacing w:line="1" w:lineRule="atLeast"/>
              <w:jc w:val="center"/>
            </w:pPr>
            <w:r>
              <w:t>Costs</w:t>
            </w:r>
          </w:p>
        </w:tc>
      </w:tr>
      <w:tr w:rsidR="00522CE0" w:rsidTr="0025408C">
        <w:tc>
          <w:tcPr>
            <w:tcW w:w="1596" w:type="dxa"/>
          </w:tcPr>
          <w:p w:rsidR="0078775D" w:rsidRDefault="0078775D" w:rsidP="0025408C">
            <w:pPr>
              <w:keepNext/>
              <w:spacing w:line="1" w:lineRule="atLeast"/>
            </w:pPr>
            <w:r>
              <w:t>Respondent</w:t>
            </w:r>
          </w:p>
        </w:tc>
        <w:tc>
          <w:tcPr>
            <w:tcW w:w="1596" w:type="dxa"/>
          </w:tcPr>
          <w:p w:rsidR="0078775D" w:rsidRDefault="00522CE0" w:rsidP="0025408C">
            <w:pPr>
              <w:keepNext/>
              <w:spacing w:line="1" w:lineRule="atLeast"/>
              <w:jc w:val="center"/>
            </w:pPr>
            <w:r>
              <w:t>20</w:t>
            </w:r>
          </w:p>
        </w:tc>
        <w:tc>
          <w:tcPr>
            <w:tcW w:w="1596" w:type="dxa"/>
          </w:tcPr>
          <w:p w:rsidR="0078775D" w:rsidRDefault="0078775D" w:rsidP="00522CE0">
            <w:pPr>
              <w:keepNext/>
              <w:spacing w:line="1" w:lineRule="atLeast"/>
              <w:jc w:val="center"/>
            </w:pPr>
            <w:r>
              <w:t>$</w:t>
            </w:r>
            <w:r w:rsidR="00522CE0">
              <w:t>601.40</w:t>
            </w:r>
          </w:p>
        </w:tc>
        <w:tc>
          <w:tcPr>
            <w:tcW w:w="1200" w:type="dxa"/>
            <w:vMerge w:val="restart"/>
            <w:vAlign w:val="center"/>
          </w:tcPr>
          <w:p w:rsidR="0078775D" w:rsidRDefault="0078775D" w:rsidP="0025408C">
            <w:pPr>
              <w:keepNext/>
              <w:spacing w:line="1" w:lineRule="atLeast"/>
              <w:jc w:val="center"/>
            </w:pPr>
            <w:r>
              <w:t>10</w:t>
            </w:r>
          </w:p>
        </w:tc>
        <w:tc>
          <w:tcPr>
            <w:tcW w:w="1800" w:type="dxa"/>
          </w:tcPr>
          <w:p w:rsidR="0078775D" w:rsidRDefault="00522CE0" w:rsidP="00522CE0">
            <w:pPr>
              <w:keepNext/>
              <w:spacing w:line="1" w:lineRule="atLeast"/>
              <w:jc w:val="center"/>
            </w:pPr>
            <w:r>
              <w:t>200</w:t>
            </w:r>
          </w:p>
        </w:tc>
        <w:tc>
          <w:tcPr>
            <w:tcW w:w="1788" w:type="dxa"/>
          </w:tcPr>
          <w:p w:rsidR="0078775D" w:rsidRDefault="0078775D" w:rsidP="00522CE0">
            <w:pPr>
              <w:keepNext/>
              <w:spacing w:line="1" w:lineRule="atLeast"/>
              <w:jc w:val="center"/>
            </w:pPr>
            <w:r>
              <w:t>$</w:t>
            </w:r>
            <w:r w:rsidR="00522CE0">
              <w:t>6</w:t>
            </w:r>
            <w:r w:rsidR="00AF7B57">
              <w:t>,</w:t>
            </w:r>
            <w:r w:rsidR="00522CE0">
              <w:t>014.00</w:t>
            </w:r>
          </w:p>
        </w:tc>
      </w:tr>
      <w:tr w:rsidR="00522CE0" w:rsidTr="0025408C">
        <w:tc>
          <w:tcPr>
            <w:tcW w:w="1596" w:type="dxa"/>
          </w:tcPr>
          <w:p w:rsidR="0078775D" w:rsidRDefault="0078775D" w:rsidP="0025408C">
            <w:pPr>
              <w:keepNext/>
              <w:spacing w:line="1" w:lineRule="atLeast"/>
            </w:pPr>
            <w:r>
              <w:t>EPA</w:t>
            </w:r>
          </w:p>
        </w:tc>
        <w:tc>
          <w:tcPr>
            <w:tcW w:w="1596" w:type="dxa"/>
          </w:tcPr>
          <w:p w:rsidR="0078775D" w:rsidRDefault="001655FA" w:rsidP="0025408C">
            <w:pPr>
              <w:keepNext/>
              <w:spacing w:line="1" w:lineRule="atLeast"/>
              <w:jc w:val="center"/>
            </w:pPr>
            <w:r>
              <w:t>36</w:t>
            </w:r>
          </w:p>
        </w:tc>
        <w:tc>
          <w:tcPr>
            <w:tcW w:w="1596" w:type="dxa"/>
          </w:tcPr>
          <w:p w:rsidR="00D50F4C" w:rsidRDefault="00775812" w:rsidP="00466EA7">
            <w:pPr>
              <w:keepNext/>
              <w:spacing w:line="1" w:lineRule="atLeast"/>
              <w:jc w:val="center"/>
            </w:pPr>
            <w:r>
              <w:t>$11,</w:t>
            </w:r>
            <w:r w:rsidR="00466EA7">
              <w:t>265.76</w:t>
            </w:r>
          </w:p>
        </w:tc>
        <w:tc>
          <w:tcPr>
            <w:tcW w:w="1200" w:type="dxa"/>
            <w:vMerge/>
          </w:tcPr>
          <w:p w:rsidR="0078775D" w:rsidRDefault="0078775D" w:rsidP="0025408C">
            <w:pPr>
              <w:keepNext/>
              <w:spacing w:line="1" w:lineRule="atLeast"/>
              <w:jc w:val="center"/>
            </w:pPr>
          </w:p>
        </w:tc>
        <w:tc>
          <w:tcPr>
            <w:tcW w:w="1800" w:type="dxa"/>
          </w:tcPr>
          <w:p w:rsidR="0078775D" w:rsidRDefault="001655FA" w:rsidP="0025408C">
            <w:pPr>
              <w:keepNext/>
              <w:spacing w:line="1" w:lineRule="atLeast"/>
              <w:jc w:val="center"/>
            </w:pPr>
            <w:r>
              <w:t>360</w:t>
            </w:r>
          </w:p>
        </w:tc>
        <w:tc>
          <w:tcPr>
            <w:tcW w:w="1788" w:type="dxa"/>
          </w:tcPr>
          <w:p w:rsidR="00D50F4C" w:rsidRDefault="00940DFC" w:rsidP="00466EA7">
            <w:pPr>
              <w:keepNext/>
              <w:spacing w:line="1" w:lineRule="atLeast"/>
              <w:jc w:val="center"/>
            </w:pPr>
            <w:r w:rsidRPr="001655FA">
              <w:rPr>
                <w:rFonts w:ascii="Times" w:hAnsi="Times"/>
              </w:rPr>
              <w:fldChar w:fldCharType="begin"/>
            </w:r>
            <w:r w:rsidR="001655FA" w:rsidRPr="001655FA">
              <w:rPr>
                <w:rFonts w:ascii="Times" w:hAnsi="Times"/>
              </w:rPr>
              <w:instrText xml:space="preserve"> =SUM(ABOVE) </w:instrText>
            </w:r>
            <w:r w:rsidRPr="001655FA">
              <w:rPr>
                <w:rFonts w:ascii="Times" w:hAnsi="Times"/>
              </w:rPr>
              <w:fldChar w:fldCharType="separate"/>
            </w:r>
            <w:r w:rsidR="001655FA" w:rsidRPr="001655FA">
              <w:rPr>
                <w:rFonts w:ascii="Times" w:hAnsi="Times"/>
                <w:noProof/>
              </w:rPr>
              <w:t>$</w:t>
            </w:r>
            <w:r w:rsidRPr="001655FA">
              <w:rPr>
                <w:rFonts w:ascii="Times" w:hAnsi="Times"/>
              </w:rPr>
              <w:fldChar w:fldCharType="end"/>
            </w:r>
            <w:r w:rsidR="00775812">
              <w:rPr>
                <w:rFonts w:ascii="Times" w:hAnsi="Times"/>
              </w:rPr>
              <w:t>11</w:t>
            </w:r>
            <w:r w:rsidR="00466EA7">
              <w:rPr>
                <w:rFonts w:ascii="Times" w:hAnsi="Times"/>
              </w:rPr>
              <w:t>2</w:t>
            </w:r>
            <w:r w:rsidR="001655FA" w:rsidRPr="001655FA">
              <w:rPr>
                <w:rFonts w:ascii="Times" w:hAnsi="Times"/>
              </w:rPr>
              <w:t>,</w:t>
            </w:r>
            <w:r w:rsidR="00466EA7">
              <w:rPr>
                <w:rFonts w:ascii="Times" w:hAnsi="Times"/>
              </w:rPr>
              <w:t>657</w:t>
            </w:r>
            <w:r w:rsidR="001655FA" w:rsidRPr="001655FA">
              <w:rPr>
                <w:rFonts w:ascii="Times" w:hAnsi="Times"/>
              </w:rPr>
              <w:t>.</w:t>
            </w:r>
            <w:r w:rsidR="00466EA7">
              <w:rPr>
                <w:rFonts w:ascii="Times" w:hAnsi="Times"/>
              </w:rPr>
              <w:t>6</w:t>
            </w:r>
            <w:r w:rsidR="00C90018">
              <w:rPr>
                <w:rFonts w:ascii="Times" w:hAnsi="Times"/>
              </w:rPr>
              <w:t>0</w:t>
            </w:r>
          </w:p>
        </w:tc>
      </w:tr>
    </w:tbl>
    <w:p w:rsidR="00C00BD4" w:rsidRDefault="00C00BD4" w:rsidP="00CF53B1">
      <w:pPr>
        <w:keepNext/>
        <w:spacing w:line="1" w:lineRule="atLeast"/>
        <w:ind w:left="360"/>
      </w:pPr>
    </w:p>
    <w:p w:rsidR="008E43DE" w:rsidRDefault="00CF53B1" w:rsidP="00CF5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
          <w:bCs/>
        </w:rPr>
        <w:tab/>
        <w:t>6(</w:t>
      </w:r>
      <w:r w:rsidR="0078775D">
        <w:rPr>
          <w:b/>
          <w:bCs/>
        </w:rPr>
        <w:t>d</w:t>
      </w:r>
      <w:r>
        <w:rPr>
          <w:b/>
          <w:bCs/>
        </w:rPr>
        <w:t>)</w:t>
      </w:r>
      <w:r>
        <w:rPr>
          <w:b/>
          <w:bCs/>
        </w:rPr>
        <w:tab/>
      </w:r>
      <w:r w:rsidR="008E43DE">
        <w:rPr>
          <w:b/>
          <w:bCs/>
        </w:rPr>
        <w:t>Reason for Change in Burden</w:t>
      </w:r>
    </w:p>
    <w:p w:rsidR="008E43DE" w:rsidRDefault="008E43DE" w:rsidP="00CF5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8E43DE" w:rsidRPr="008E43DE" w:rsidRDefault="001655FA" w:rsidP="00CF5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sidR="004C2701">
        <w:rPr>
          <w:bCs/>
        </w:rPr>
        <w:t>The total annual respondent burde</w:t>
      </w:r>
      <w:r w:rsidR="009745F8">
        <w:rPr>
          <w:bCs/>
        </w:rPr>
        <w:t xml:space="preserve">n from the previously approved </w:t>
      </w:r>
      <w:r w:rsidR="004C2701">
        <w:rPr>
          <w:bCs/>
        </w:rPr>
        <w:t xml:space="preserve">ICR </w:t>
      </w:r>
      <w:r w:rsidR="009745F8">
        <w:rPr>
          <w:bCs/>
        </w:rPr>
        <w:t>was</w:t>
      </w:r>
      <w:r w:rsidR="004C2701">
        <w:rPr>
          <w:bCs/>
        </w:rPr>
        <w:t xml:space="preserve"> </w:t>
      </w:r>
      <w:r w:rsidR="00A25F8C">
        <w:rPr>
          <w:bCs/>
        </w:rPr>
        <w:t>80</w:t>
      </w:r>
      <w:r w:rsidR="004C2701">
        <w:rPr>
          <w:bCs/>
        </w:rPr>
        <w:t xml:space="preserve"> hours at a cost of $</w:t>
      </w:r>
      <w:r w:rsidR="00A25F8C">
        <w:rPr>
          <w:bCs/>
        </w:rPr>
        <w:t>2,012</w:t>
      </w:r>
      <w:r w:rsidR="004C2701">
        <w:rPr>
          <w:bCs/>
        </w:rPr>
        <w:t>.</w:t>
      </w:r>
      <w:r w:rsidR="00A25F8C">
        <w:rPr>
          <w:bCs/>
        </w:rPr>
        <w:t>80</w:t>
      </w:r>
      <w:r w:rsidR="004C2701">
        <w:rPr>
          <w:bCs/>
        </w:rPr>
        <w:t xml:space="preserve">.  The burden in the previously approved ICR is based on the Agency’s use of estimates that were based on a similar ICR.  </w:t>
      </w:r>
      <w:r>
        <w:rPr>
          <w:bCs/>
        </w:rPr>
        <w:t>This ICR renewal i</w:t>
      </w:r>
      <w:r w:rsidR="008E43DE">
        <w:rPr>
          <w:bCs/>
        </w:rPr>
        <w:t>s</w:t>
      </w:r>
      <w:r>
        <w:rPr>
          <w:bCs/>
        </w:rPr>
        <w:t xml:space="preserve"> based on the actual costs of conducting a series of 10 focus groups in 2010.  </w:t>
      </w:r>
      <w:r w:rsidR="004C2701">
        <w:rPr>
          <w:bCs/>
        </w:rPr>
        <w:t>T</w:t>
      </w:r>
      <w:r w:rsidR="001232AD">
        <w:rPr>
          <w:bCs/>
        </w:rPr>
        <w:t xml:space="preserve">his ICR will </w:t>
      </w:r>
      <w:r w:rsidR="00746C71">
        <w:rPr>
          <w:bCs/>
        </w:rPr>
        <w:t xml:space="preserve">increase </w:t>
      </w:r>
      <w:r w:rsidR="001232AD">
        <w:rPr>
          <w:bCs/>
        </w:rPr>
        <w:t xml:space="preserve">the burden hours to </w:t>
      </w:r>
      <w:r w:rsidR="004219A1">
        <w:rPr>
          <w:bCs/>
        </w:rPr>
        <w:t>200 hours at a cost of $6</w:t>
      </w:r>
      <w:r w:rsidR="009745F8">
        <w:rPr>
          <w:bCs/>
        </w:rPr>
        <w:t>,</w:t>
      </w:r>
      <w:r w:rsidR="004219A1">
        <w:rPr>
          <w:bCs/>
        </w:rPr>
        <w:t>014.00</w:t>
      </w:r>
      <w:r w:rsidR="001232AD">
        <w:rPr>
          <w:bCs/>
        </w:rPr>
        <w:t xml:space="preserve">. </w:t>
      </w:r>
      <w:r w:rsidR="002B0F7D">
        <w:rPr>
          <w:bCs/>
        </w:rPr>
        <w:t xml:space="preserve"> This change is an adjustment. </w:t>
      </w:r>
      <w:r w:rsidR="001232AD">
        <w:rPr>
          <w:bCs/>
        </w:rPr>
        <w:t xml:space="preserve">  </w:t>
      </w:r>
    </w:p>
    <w:p w:rsidR="008E43DE" w:rsidRDefault="008E43DE" w:rsidP="00CF5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F53B1" w:rsidRDefault="008E43DE" w:rsidP="00CF5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6(</w:t>
      </w:r>
      <w:r w:rsidR="0078775D">
        <w:rPr>
          <w:b/>
          <w:bCs/>
        </w:rPr>
        <w:t>e</w:t>
      </w:r>
      <w:r>
        <w:rPr>
          <w:b/>
          <w:bCs/>
        </w:rPr>
        <w:t>)</w:t>
      </w:r>
      <w:r>
        <w:rPr>
          <w:b/>
          <w:bCs/>
        </w:rPr>
        <w:tab/>
      </w:r>
      <w:r w:rsidR="00CF53B1">
        <w:rPr>
          <w:b/>
          <w:bCs/>
        </w:rPr>
        <w:t>Burden Statement</w:t>
      </w:r>
    </w:p>
    <w:p w:rsidR="00CF53B1" w:rsidRDefault="00CF53B1" w:rsidP="00CF53B1">
      <w:pPr>
        <w:keepNext/>
        <w:spacing w:line="1" w:lineRule="atLeast"/>
        <w:ind w:left="720"/>
      </w:pPr>
    </w:p>
    <w:p w:rsidR="00C32FC6" w:rsidRPr="00091B2D" w:rsidRDefault="00C32FC6" w:rsidP="00C32FC6">
      <w:pPr>
        <w:ind w:firstLine="720"/>
      </w:pPr>
      <w:r>
        <w:t>The total annual respondent</w:t>
      </w:r>
      <w:r w:rsidRPr="00091B2D">
        <w:t xml:space="preserve"> burden </w:t>
      </w:r>
      <w:r w:rsidR="00205096">
        <w:t xml:space="preserve">is estimated to be </w:t>
      </w:r>
      <w:r w:rsidR="001655FA">
        <w:t>20</w:t>
      </w:r>
      <w:r w:rsidR="00F41921">
        <w:t>0</w:t>
      </w:r>
      <w:r w:rsidR="00B63EBE">
        <w:t xml:space="preserve"> </w:t>
      </w:r>
      <w:r w:rsidRPr="00091B2D">
        <w:t>hours</w:t>
      </w:r>
      <w:r w:rsidR="00185EDB">
        <w:t xml:space="preserve"> </w:t>
      </w:r>
      <w:r w:rsidR="00304AC6">
        <w:t xml:space="preserve">at a cost of </w:t>
      </w:r>
      <w:r w:rsidR="00F41921">
        <w:t>$</w:t>
      </w:r>
      <w:r w:rsidR="001655FA">
        <w:t>6</w:t>
      </w:r>
      <w:r w:rsidR="000053FD">
        <w:t>,</w:t>
      </w:r>
      <w:r w:rsidR="001655FA">
        <w:t>014.00</w:t>
      </w:r>
      <w:r w:rsidR="0078775D">
        <w:t xml:space="preserve">, </w:t>
      </w:r>
      <w:r w:rsidR="001655FA">
        <w:t xml:space="preserve">for a series of </w:t>
      </w:r>
      <w:r w:rsidR="0078775D">
        <w:t>10 focus groups</w:t>
      </w:r>
      <w:r w:rsidR="001655FA">
        <w:t>.</w:t>
      </w:r>
      <w:r w:rsidRPr="00091B2D">
        <w:t xml:space="preserve">  </w:t>
      </w:r>
      <w:r w:rsidR="0078775D">
        <w:t xml:space="preserve">The per respondent burden is </w:t>
      </w:r>
      <w:r w:rsidR="001655FA">
        <w:t>2 hours</w:t>
      </w:r>
      <w:r w:rsidR="0078775D">
        <w:t xml:space="preserve">.  </w:t>
      </w:r>
      <w:r w:rsidRPr="00091B2D">
        <w:t xml:space="preserve">According to the PRA, “burden” means the total time, effort, or financial resources expended by persons to generate, maintain, retain, or disclose or provide information to or for a Federal agency.  For this collection, it is the time </w:t>
      </w:r>
      <w:r>
        <w:t xml:space="preserve">participating in a focus group.  </w:t>
      </w:r>
      <w:r w:rsidRPr="00091B2D">
        <w:t xml:space="preserve">The Agency may not conduct or sponsor, and a person is not required to respond to, a collection of information unless it displays a </w:t>
      </w:r>
      <w:r w:rsidRPr="00091B2D">
        <w:lastRenderedPageBreak/>
        <w:t>currently valid OMB control number.  The OMB control number</w:t>
      </w:r>
      <w:r>
        <w:t xml:space="preserve"> will </w:t>
      </w:r>
      <w:r w:rsidRPr="00091B2D">
        <w:t xml:space="preserve">appear on the information collection instrument as applicable, i.e., form or instructions.       </w:t>
      </w:r>
    </w:p>
    <w:p w:rsidR="00C32FC6" w:rsidRDefault="00C32FC6" w:rsidP="00C32FC6">
      <w:pPr>
        <w:rPr>
          <w:rFonts w:ascii="Shruti" w:hAnsi="Shruti" w:cs="Shruti"/>
        </w:rPr>
      </w:pPr>
    </w:p>
    <w:p w:rsidR="00BC796D" w:rsidRDefault="00C32FC6" w:rsidP="00C32FC6">
      <w:pPr>
        <w:tabs>
          <w:tab w:val="left" w:pos="-1080"/>
        </w:tabs>
        <w:ind w:firstLine="720"/>
      </w:pPr>
      <w:r>
        <w:rPr>
          <w:color w:val="000000"/>
        </w:rPr>
        <w:t xml:space="preserve">The Agency </w:t>
      </w:r>
      <w:r w:rsidRPr="00461597">
        <w:rPr>
          <w:color w:val="000000"/>
        </w:rPr>
        <w:t xml:space="preserve">has established a public docket for this </w:t>
      </w:r>
      <w:r>
        <w:rPr>
          <w:color w:val="000000"/>
        </w:rPr>
        <w:t>ICR</w:t>
      </w:r>
      <w:r w:rsidRPr="00461597">
        <w:rPr>
          <w:color w:val="000000"/>
        </w:rPr>
        <w:t xml:space="preserve"> under Docket ID No. EPA-HQ-</w:t>
      </w:r>
      <w:r w:rsidRPr="007857C7">
        <w:rPr>
          <w:color w:val="000000"/>
        </w:rPr>
        <w:t>OPP-</w:t>
      </w:r>
      <w:r w:rsidR="007857C7" w:rsidRPr="007857C7">
        <w:rPr>
          <w:color w:val="000000"/>
        </w:rPr>
        <w:t>2011-0902</w:t>
      </w:r>
      <w:r w:rsidR="00BC796D" w:rsidRPr="0061014F">
        <w:t>,</w:t>
      </w:r>
      <w:r w:rsidR="00BC796D">
        <w:t xml:space="preserve"> which is available for online viewing at www.regulations.gov, or in person viewing at the OPP Docket in the EPA Docket Center, EPA West, Rm. 3334, 1200 Pennsylvania Ave, NW, Washington DC.  This docket facility is open from 8:30 a.m. to 4:30 p.m., Monday through Friday, excluding legal holidays.  The OPP Docket telephone number is (703) 305-5805.  </w:t>
      </w:r>
    </w:p>
    <w:p w:rsidR="00BC796D" w:rsidRDefault="00BC796D" w:rsidP="00C32FC6">
      <w:pPr>
        <w:tabs>
          <w:tab w:val="left" w:pos="-1080"/>
        </w:tabs>
        <w:ind w:firstLine="720"/>
      </w:pPr>
    </w:p>
    <w:p w:rsidR="00CF53B1" w:rsidRDefault="00C32FC6" w:rsidP="00BC796D">
      <w:pPr>
        <w:tabs>
          <w:tab w:val="left" w:pos="-1080"/>
        </w:tabs>
        <w:ind w:firstLine="720"/>
      </w:pPr>
      <w:r>
        <w:rPr>
          <w:color w:val="000000"/>
        </w:rPr>
        <w:t xml:space="preserve">You may submit comments regarding </w:t>
      </w:r>
      <w:r w:rsidRPr="00B44687">
        <w:rPr>
          <w:color w:val="000000"/>
        </w:rPr>
        <w:t>the Agency's need for this information, the accuracy o</w:t>
      </w:r>
      <w:r>
        <w:rPr>
          <w:color w:val="000000"/>
        </w:rPr>
        <w:t>f the provided burden estimates</w:t>
      </w:r>
      <w:r w:rsidR="00C54831">
        <w:rPr>
          <w:color w:val="000000"/>
        </w:rPr>
        <w:t>,</w:t>
      </w:r>
      <w:r w:rsidRPr="00B44687">
        <w:rPr>
          <w:color w:val="000000"/>
        </w:rPr>
        <w:t xml:space="preserve"> and any suggested methods for minimizing respondent burden, including the use of automated collection techniques</w:t>
      </w:r>
      <w:r>
        <w:rPr>
          <w:color w:val="000000"/>
        </w:rPr>
        <w:t xml:space="preserve">.  </w:t>
      </w:r>
      <w:r>
        <w:t xml:space="preserve">Comments may be submitted to EPA electronically through </w:t>
      </w:r>
      <w:hyperlink r:id="rId13" w:history="1">
        <w:r w:rsidR="00A71E2D" w:rsidRPr="00D36438">
          <w:rPr>
            <w:rStyle w:val="Hyperlink"/>
            <w:u w:val="single"/>
          </w:rPr>
          <w:t>http://www.regulations.gov</w:t>
        </w:r>
      </w:hyperlink>
      <w:r>
        <w:t xml:space="preserve"> or by mail addressed to </w:t>
      </w:r>
      <w:r w:rsidRPr="00B53E61">
        <w:t>Director, Collection Strategies Division, U.S. Environmental Protection Agency (2822</w:t>
      </w:r>
      <w:r>
        <w:t>T</w:t>
      </w:r>
      <w:r w:rsidRPr="00B53E61">
        <w:t xml:space="preserve">), </w:t>
      </w:r>
      <w:proofErr w:type="gramStart"/>
      <w:r w:rsidRPr="00B53E61">
        <w:t>1200</w:t>
      </w:r>
      <w:proofErr w:type="gramEnd"/>
      <w:r w:rsidRPr="00B53E61">
        <w:t xml:space="preserve"> Pennsylvania Ave., NW, </w:t>
      </w:r>
      <w:smartTag w:uri="urn:schemas-microsoft-com:office:smarttags" w:element="City">
        <w:r w:rsidRPr="00B53E61">
          <w:t>Washington</w:t>
        </w:r>
      </w:smartTag>
      <w:r w:rsidRPr="00B53E61">
        <w:t xml:space="preserve">, </w:t>
      </w:r>
      <w:smartTag w:uri="urn:schemas-microsoft-com:office:smarttags" w:element="State">
        <w:r w:rsidRPr="00B53E61">
          <w:t>D.C.</w:t>
        </w:r>
      </w:smartTag>
      <w:r w:rsidRPr="00B53E61">
        <w:t xml:space="preserve"> </w:t>
      </w:r>
      <w:smartTag w:uri="urn:schemas-microsoft-com:office:smarttags" w:element="PostalCode">
        <w:r w:rsidRPr="00B53E61">
          <w:t>20460</w:t>
        </w:r>
      </w:smartTag>
      <w:r>
        <w:t xml:space="preserve">.  </w:t>
      </w:r>
      <w:r w:rsidRPr="00B44687">
        <w:t xml:space="preserve">You can also send comments to the Office of Information and Regulatory Affairs, Office of Management and Budget, </w:t>
      </w:r>
      <w:smartTag w:uri="urn:schemas-microsoft-com:office:smarttags" w:element="address">
        <w:smartTag w:uri="urn:schemas-microsoft-com:office:smarttags" w:element="Street">
          <w:r w:rsidRPr="00B44687">
            <w:t>725 17th Street, NW</w:t>
          </w:r>
        </w:smartTag>
        <w:r w:rsidRPr="00B44687">
          <w:t xml:space="preserve">, </w:t>
        </w:r>
        <w:smartTag w:uri="urn:schemas-microsoft-com:office:smarttags" w:element="City">
          <w:r w:rsidRPr="00B44687">
            <w:t>Washington</w:t>
          </w:r>
        </w:smartTag>
        <w:r w:rsidRPr="00B44687">
          <w:t xml:space="preserve">, </w:t>
        </w:r>
        <w:smartTag w:uri="urn:schemas-microsoft-com:office:smarttags" w:element="State">
          <w:r w:rsidRPr="00B44687">
            <w:t>DC</w:t>
          </w:r>
        </w:smartTag>
        <w:r w:rsidRPr="00B44687">
          <w:t xml:space="preserve"> </w:t>
        </w:r>
        <w:smartTag w:uri="urn:schemas-microsoft-com:office:smarttags" w:element="PostalCode">
          <w:r w:rsidRPr="00B44687">
            <w:t>20503</w:t>
          </w:r>
        </w:smartTag>
      </w:smartTag>
      <w:r w:rsidRPr="00B44687">
        <w:t xml:space="preserve">, Attention: Desk Office for EPA.  </w:t>
      </w:r>
      <w:r>
        <w:t>Include</w:t>
      </w:r>
      <w:r w:rsidRPr="00B44687">
        <w:t xml:space="preserve"> docket ID No. </w:t>
      </w:r>
      <w:r w:rsidRPr="00461597">
        <w:t>EPA-HQ-O</w:t>
      </w:r>
      <w:r w:rsidRPr="007857C7">
        <w:t>PP-</w:t>
      </w:r>
      <w:r w:rsidR="007857C7">
        <w:t>2011-0902</w:t>
      </w:r>
      <w:r w:rsidRPr="00B44687">
        <w:t xml:space="preserve"> and OMB </w:t>
      </w:r>
      <w:r w:rsidR="001D0CD9">
        <w:t>C</w:t>
      </w:r>
      <w:r w:rsidRPr="00B44687">
        <w:t xml:space="preserve">ontrol </w:t>
      </w:r>
      <w:r w:rsidR="001D0CD9">
        <w:t>No.</w:t>
      </w:r>
      <w:r w:rsidRPr="00B44687">
        <w:t xml:space="preserve"> 2</w:t>
      </w:r>
      <w:r>
        <w:t>070-</w:t>
      </w:r>
      <w:r w:rsidR="001655FA">
        <w:t>0175</w:t>
      </w:r>
      <w:r>
        <w:t xml:space="preserve"> in any correspondence but do not submit information under this collection to these addresses.</w:t>
      </w:r>
    </w:p>
    <w:p w:rsidR="00F67637" w:rsidRDefault="00F67637">
      <w:r>
        <w:br w:type="page"/>
      </w:r>
    </w:p>
    <w:p w:rsidR="009309A4" w:rsidRDefault="009309A4" w:rsidP="00385644">
      <w:pPr>
        <w:tabs>
          <w:tab w:val="left" w:pos="5940"/>
        </w:tabs>
        <w:spacing w:before="576"/>
        <w:jc w:val="center"/>
        <w:rPr>
          <w:b/>
          <w:bCs/>
        </w:rPr>
      </w:pPr>
      <w:r>
        <w:rPr>
          <w:b/>
          <w:bCs/>
        </w:rPr>
        <w:lastRenderedPageBreak/>
        <w:t>ATTACHMENTS TO THE SUPPORTING STATEMENT</w:t>
      </w:r>
    </w:p>
    <w:p w:rsidR="009309A4" w:rsidRDefault="009309A4" w:rsidP="00930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309A4" w:rsidRPr="00334298" w:rsidRDefault="009309A4" w:rsidP="00930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34298">
        <w:rPr>
          <w:color w:val="000000"/>
        </w:rPr>
        <w:t>Attachments to the supporting statement are available in the public docket established for this I</w:t>
      </w:r>
      <w:r w:rsidR="00385644">
        <w:rPr>
          <w:color w:val="000000"/>
        </w:rPr>
        <w:t xml:space="preserve">nformation </w:t>
      </w:r>
      <w:r w:rsidRPr="00334298">
        <w:rPr>
          <w:color w:val="000000"/>
        </w:rPr>
        <w:t>C</w:t>
      </w:r>
      <w:r w:rsidR="00385644">
        <w:rPr>
          <w:color w:val="000000"/>
        </w:rPr>
        <w:t xml:space="preserve">ollection </w:t>
      </w:r>
      <w:r w:rsidRPr="00334298">
        <w:rPr>
          <w:color w:val="000000"/>
        </w:rPr>
        <w:t>R</w:t>
      </w:r>
      <w:r w:rsidR="00385644">
        <w:rPr>
          <w:color w:val="000000"/>
        </w:rPr>
        <w:t>equest (ICR)</w:t>
      </w:r>
      <w:r w:rsidRPr="00334298">
        <w:rPr>
          <w:color w:val="000000"/>
        </w:rPr>
        <w:t xml:space="preserve"> under </w:t>
      </w:r>
      <w:r w:rsidR="00385644">
        <w:rPr>
          <w:color w:val="000000"/>
        </w:rPr>
        <w:t xml:space="preserve">the </w:t>
      </w:r>
      <w:r w:rsidRPr="00334298">
        <w:rPr>
          <w:color w:val="000000"/>
        </w:rPr>
        <w:t xml:space="preserve">docket identification number </w:t>
      </w:r>
      <w:r w:rsidRPr="00905C41">
        <w:rPr>
          <w:b/>
          <w:color w:val="000000"/>
        </w:rPr>
        <w:t>EPA-HQ-OPP-20</w:t>
      </w:r>
      <w:r w:rsidR="00AA5678">
        <w:rPr>
          <w:b/>
          <w:color w:val="000000"/>
        </w:rPr>
        <w:t>11</w:t>
      </w:r>
      <w:r w:rsidRPr="00905C41">
        <w:rPr>
          <w:b/>
          <w:color w:val="000000"/>
        </w:rPr>
        <w:t>-</w:t>
      </w:r>
      <w:r w:rsidR="00AA5678" w:rsidRPr="00905C41">
        <w:rPr>
          <w:b/>
          <w:color w:val="000000"/>
        </w:rPr>
        <w:t>0</w:t>
      </w:r>
      <w:r w:rsidR="00AA5678">
        <w:rPr>
          <w:b/>
          <w:color w:val="000000"/>
        </w:rPr>
        <w:t>902</w:t>
      </w:r>
      <w:r w:rsidRPr="00334298">
        <w:rPr>
          <w:color w:val="000000"/>
        </w:rPr>
        <w:t xml:space="preserve">.  These attachments are available for online viewing at </w:t>
      </w:r>
      <w:hyperlink r:id="rId14" w:history="1">
        <w:r w:rsidR="00A71E2D" w:rsidRPr="00D36438">
          <w:rPr>
            <w:rStyle w:val="Hyperlink"/>
            <w:u w:val="single"/>
          </w:rPr>
          <w:t>http://</w:t>
        </w:r>
        <w:r w:rsidRPr="00D36438">
          <w:rPr>
            <w:color w:val="0000FF"/>
            <w:u w:val="single"/>
          </w:rPr>
          <w:t>www.regulations.gov</w:t>
        </w:r>
      </w:hyperlink>
      <w:r w:rsidRPr="00D36438">
        <w:rPr>
          <w:color w:val="000000"/>
          <w:u w:val="single"/>
        </w:rPr>
        <w:t xml:space="preserve"> </w:t>
      </w:r>
      <w:r w:rsidR="00165882">
        <w:rPr>
          <w:color w:val="000000"/>
        </w:rPr>
        <w:t>unless</w:t>
      </w:r>
      <w:r w:rsidRPr="00334298">
        <w:rPr>
          <w:color w:val="000000"/>
        </w:rPr>
        <w:t xml:space="preserve"> otherwise accessed as described in </w:t>
      </w:r>
      <w:r w:rsidR="00385644">
        <w:rPr>
          <w:color w:val="000000"/>
        </w:rPr>
        <w:t xml:space="preserve">the </w:t>
      </w:r>
      <w:r w:rsidRPr="00334298">
        <w:rPr>
          <w:color w:val="000000"/>
        </w:rPr>
        <w:t>section</w:t>
      </w:r>
      <w:r w:rsidR="00385644">
        <w:rPr>
          <w:color w:val="000000"/>
        </w:rPr>
        <w:t xml:space="preserve">s below.  </w:t>
      </w:r>
    </w:p>
    <w:p w:rsidR="009309A4" w:rsidRDefault="009309A4" w:rsidP="00835661">
      <w:pPr>
        <w:spacing w:before="288"/>
        <w:ind w:left="720" w:hanging="720"/>
      </w:pPr>
      <w:r>
        <w:rPr>
          <w:b/>
          <w:bCs/>
        </w:rPr>
        <w:t>Attachment A</w:t>
      </w:r>
      <w:r w:rsidR="007112FE">
        <w:rPr>
          <w:b/>
          <w:bCs/>
        </w:rPr>
        <w:t xml:space="preserve">:  </w:t>
      </w:r>
      <w:r>
        <w:rPr>
          <w:b/>
          <w:bCs/>
        </w:rPr>
        <w:t xml:space="preserve">7 U.S.C. 136a - </w:t>
      </w:r>
      <w:r>
        <w:rPr>
          <w:i/>
          <w:iCs/>
        </w:rPr>
        <w:t>FIFRA Section 3</w:t>
      </w:r>
      <w:r w:rsidR="007112FE">
        <w:rPr>
          <w:i/>
          <w:iCs/>
        </w:rPr>
        <w:t>:</w:t>
      </w:r>
      <w:r>
        <w:rPr>
          <w:i/>
          <w:iCs/>
        </w:rPr>
        <w:t xml:space="preserve">- </w:t>
      </w:r>
      <w:r>
        <w:t xml:space="preserve">This </w:t>
      </w:r>
      <w:r w:rsidR="00165882">
        <w:t xml:space="preserve">attachment </w:t>
      </w:r>
      <w:r>
        <w:t>can be accessed via the internet at</w:t>
      </w:r>
      <w:r w:rsidR="004C5C99">
        <w:t>:</w:t>
      </w:r>
      <w:r>
        <w:t xml:space="preserve"> </w:t>
      </w:r>
      <w:hyperlink r:id="rId15" w:history="1">
        <w:r w:rsidR="000F6A98" w:rsidRPr="0091390B">
          <w:rPr>
            <w:rStyle w:val="Hyperlink"/>
          </w:rPr>
          <w:t>http://www.law.cornell.edu/uscode/7/136a.html</w:t>
        </w:r>
      </w:hyperlink>
      <w:r w:rsidR="000F6A98">
        <w:t xml:space="preserve"> </w:t>
      </w:r>
    </w:p>
    <w:p w:rsidR="009309A4" w:rsidRDefault="009309A4" w:rsidP="00835661">
      <w:pPr>
        <w:spacing w:before="288"/>
        <w:ind w:left="720" w:hanging="720"/>
      </w:pPr>
      <w:r>
        <w:rPr>
          <w:b/>
        </w:rPr>
        <w:t>Attachment B</w:t>
      </w:r>
      <w:r w:rsidR="007112FE">
        <w:rPr>
          <w:b/>
        </w:rPr>
        <w:t>:</w:t>
      </w:r>
      <w:r>
        <w:rPr>
          <w:b/>
        </w:rPr>
        <w:t xml:space="preserve"> </w:t>
      </w:r>
      <w:r w:rsidR="007112FE">
        <w:rPr>
          <w:b/>
        </w:rPr>
        <w:t xml:space="preserve"> </w:t>
      </w:r>
      <w:r>
        <w:rPr>
          <w:b/>
        </w:rPr>
        <w:t>40</w:t>
      </w:r>
      <w:r w:rsidR="00022502">
        <w:rPr>
          <w:b/>
        </w:rPr>
        <w:t xml:space="preserve"> </w:t>
      </w:r>
      <w:r>
        <w:rPr>
          <w:b/>
        </w:rPr>
        <w:t>CFR 156.10</w:t>
      </w:r>
      <w:r w:rsidR="007112FE">
        <w:rPr>
          <w:b/>
        </w:rPr>
        <w:t xml:space="preserve">:  </w:t>
      </w:r>
      <w:r w:rsidR="004C2701" w:rsidRPr="004C2701">
        <w:rPr>
          <w:i/>
        </w:rPr>
        <w:t>Labeling Requirements:</w:t>
      </w:r>
      <w:r w:rsidR="004C2701">
        <w:rPr>
          <w:b/>
        </w:rPr>
        <w:t xml:space="preserve">  </w:t>
      </w:r>
      <w:r w:rsidR="00165882" w:rsidRPr="00165882">
        <w:t>This attachment</w:t>
      </w:r>
      <w:r w:rsidR="00165882">
        <w:rPr>
          <w:b/>
        </w:rPr>
        <w:t xml:space="preserve"> </w:t>
      </w:r>
      <w:r>
        <w:t>can be accessed via the internet at</w:t>
      </w:r>
      <w:r w:rsidR="004C5C99">
        <w:t>:</w:t>
      </w:r>
      <w:r>
        <w:t xml:space="preserve"> </w:t>
      </w:r>
      <w:hyperlink r:id="rId16" w:history="1">
        <w:r w:rsidR="00A94F15" w:rsidRPr="00573823">
          <w:rPr>
            <w:rStyle w:val="Hyperlink"/>
          </w:rPr>
          <w:t>http://edocket.access.gpo.gov/cfr_2007/julqtr/pdf/40cfr156.10.pdf</w:t>
        </w:r>
      </w:hyperlink>
      <w:r w:rsidR="00A94F15">
        <w:t xml:space="preserve"> </w:t>
      </w:r>
    </w:p>
    <w:p w:rsidR="00C90018" w:rsidRDefault="00C90018" w:rsidP="00C90018">
      <w:pPr>
        <w:tabs>
          <w:tab w:val="left" w:pos="-1440"/>
          <w:tab w:val="left" w:pos="-720"/>
          <w:tab w:val="decimal" w:pos="0"/>
        </w:tabs>
        <w:jc w:val="center"/>
      </w:pPr>
    </w:p>
    <w:p w:rsidR="00C90018" w:rsidRPr="00C90018" w:rsidRDefault="00C90018" w:rsidP="00C90018">
      <w:pPr>
        <w:tabs>
          <w:tab w:val="left" w:pos="-1440"/>
          <w:tab w:val="left" w:pos="-720"/>
          <w:tab w:val="decimal" w:pos="0"/>
        </w:tabs>
        <w:rPr>
          <w:color w:val="000000"/>
        </w:rPr>
      </w:pPr>
      <w:r w:rsidRPr="00C90018">
        <w:rPr>
          <w:b/>
        </w:rPr>
        <w:t>Attachment C</w:t>
      </w:r>
      <w:r w:rsidRPr="00C90018">
        <w:t xml:space="preserve">: </w:t>
      </w:r>
      <w:r>
        <w:rPr>
          <w:b/>
          <w:color w:val="000000"/>
        </w:rPr>
        <w:t>Work Sheet</w:t>
      </w:r>
      <w:r w:rsidRPr="00C90018">
        <w:rPr>
          <w:b/>
          <w:color w:val="000000"/>
        </w:rPr>
        <w:t xml:space="preserve"> used to Calculate EPA and Federal Government </w:t>
      </w:r>
      <w:r w:rsidRPr="00C90018">
        <w:rPr>
          <w:b/>
          <w:bCs/>
          <w:color w:val="000000"/>
        </w:rPr>
        <w:t>Labor Costs</w:t>
      </w:r>
    </w:p>
    <w:p w:rsidR="00C90018" w:rsidRPr="00C90018" w:rsidRDefault="00C90018" w:rsidP="00835661">
      <w:pPr>
        <w:spacing w:before="288"/>
        <w:ind w:left="720" w:hanging="720"/>
      </w:pPr>
    </w:p>
    <w:p w:rsidR="001F09EF" w:rsidRPr="001F09EF" w:rsidRDefault="001F09EF" w:rsidP="007112FE">
      <w:pPr>
        <w:jc w:val="center"/>
      </w:pPr>
    </w:p>
    <w:sectPr w:rsidR="001F09EF" w:rsidRPr="001F09EF" w:rsidSect="00E87274">
      <w:headerReference w:type="default" r:id="rId17"/>
      <w:footerReference w:type="even" r:id="rId18"/>
      <w:footerReference w:type="default" r:id="rId19"/>
      <w:pgSz w:w="12240" w:h="15840"/>
      <w:pgMar w:top="1260" w:right="1440" w:bottom="1440" w:left="1440" w:header="720" w:footer="8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47F" w:rsidRDefault="00F7447F">
      <w:r>
        <w:separator/>
      </w:r>
    </w:p>
  </w:endnote>
  <w:endnote w:type="continuationSeparator" w:id="0">
    <w:p w:rsidR="00F7447F" w:rsidRDefault="00F744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6EF" w:rsidRDefault="00940DFC" w:rsidP="00AC2691">
    <w:pPr>
      <w:pStyle w:val="Footer"/>
      <w:framePr w:wrap="around" w:vAnchor="text" w:hAnchor="margin" w:xAlign="center" w:y="1"/>
      <w:rPr>
        <w:rStyle w:val="PageNumber"/>
      </w:rPr>
    </w:pPr>
    <w:r>
      <w:rPr>
        <w:rStyle w:val="PageNumber"/>
      </w:rPr>
      <w:fldChar w:fldCharType="begin"/>
    </w:r>
    <w:r w:rsidR="002F66EF">
      <w:rPr>
        <w:rStyle w:val="PageNumber"/>
      </w:rPr>
      <w:instrText xml:space="preserve">PAGE  </w:instrText>
    </w:r>
    <w:r>
      <w:rPr>
        <w:rStyle w:val="PageNumber"/>
      </w:rPr>
      <w:fldChar w:fldCharType="end"/>
    </w:r>
  </w:p>
  <w:p w:rsidR="002F66EF" w:rsidRDefault="002F66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8782"/>
      <w:docPartObj>
        <w:docPartGallery w:val="Page Numbers (Bottom of Page)"/>
        <w:docPartUnique/>
      </w:docPartObj>
    </w:sdtPr>
    <w:sdtContent>
      <w:sdt>
        <w:sdtPr>
          <w:id w:val="565050477"/>
          <w:docPartObj>
            <w:docPartGallery w:val="Page Numbers (Top of Page)"/>
            <w:docPartUnique/>
          </w:docPartObj>
        </w:sdtPr>
        <w:sdtContent>
          <w:p w:rsidR="002F66EF" w:rsidRPr="00894F52" w:rsidRDefault="002F66EF">
            <w:pPr>
              <w:pStyle w:val="Footer"/>
              <w:jc w:val="center"/>
            </w:pPr>
            <w:r w:rsidRPr="00894F52">
              <w:t xml:space="preserve">Page </w:t>
            </w:r>
            <w:r w:rsidR="00940DFC" w:rsidRPr="00894F52">
              <w:fldChar w:fldCharType="begin"/>
            </w:r>
            <w:r w:rsidRPr="00894F52">
              <w:instrText xml:space="preserve"> PAGE </w:instrText>
            </w:r>
            <w:r w:rsidR="00940DFC" w:rsidRPr="00894F52">
              <w:fldChar w:fldCharType="separate"/>
            </w:r>
            <w:r w:rsidR="00BC796D">
              <w:rPr>
                <w:noProof/>
              </w:rPr>
              <w:t>1</w:t>
            </w:r>
            <w:r w:rsidR="00940DFC" w:rsidRPr="00894F52">
              <w:fldChar w:fldCharType="end"/>
            </w:r>
            <w:r w:rsidRPr="00894F52">
              <w:t xml:space="preserve"> of </w:t>
            </w:r>
            <w:r w:rsidR="00940DFC" w:rsidRPr="00894F52">
              <w:fldChar w:fldCharType="begin"/>
            </w:r>
            <w:r w:rsidRPr="00894F52">
              <w:instrText xml:space="preserve"> NUMPAGES  </w:instrText>
            </w:r>
            <w:r w:rsidR="00940DFC" w:rsidRPr="00894F52">
              <w:fldChar w:fldCharType="separate"/>
            </w:r>
            <w:r w:rsidR="00BC796D">
              <w:rPr>
                <w:noProof/>
              </w:rPr>
              <w:t>11</w:t>
            </w:r>
            <w:r w:rsidR="00940DFC" w:rsidRPr="00894F52">
              <w:fldChar w:fldCharType="end"/>
            </w:r>
          </w:p>
        </w:sdtContent>
      </w:sdt>
    </w:sdtContent>
  </w:sdt>
  <w:p w:rsidR="002F66EF" w:rsidRDefault="002F66EF" w:rsidP="00A102E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47F" w:rsidRDefault="00F7447F">
      <w:r>
        <w:separator/>
      </w:r>
    </w:p>
  </w:footnote>
  <w:footnote w:type="continuationSeparator" w:id="0">
    <w:p w:rsidR="00F7447F" w:rsidRDefault="00F744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6EF" w:rsidRPr="00894F52" w:rsidRDefault="00894F52" w:rsidP="00894F52">
    <w:pPr>
      <w:pStyle w:val="Header"/>
      <w:jc w:val="right"/>
    </w:pPr>
    <w:r w:rsidRPr="00894F52">
      <w:t>July 6,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E0A00"/>
    <w:multiLevelType w:val="hybridMultilevel"/>
    <w:tmpl w:val="901E7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785444"/>
    <w:multiLevelType w:val="hybridMultilevel"/>
    <w:tmpl w:val="ED2429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E0B5349"/>
    <w:multiLevelType w:val="hybridMultilevel"/>
    <w:tmpl w:val="0E5414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D37175D"/>
    <w:multiLevelType w:val="hybridMultilevel"/>
    <w:tmpl w:val="098A5D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4620B4F"/>
    <w:multiLevelType w:val="hybridMultilevel"/>
    <w:tmpl w:val="FD36A8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47732A9"/>
    <w:multiLevelType w:val="multilevel"/>
    <w:tmpl w:val="24309280"/>
    <w:lvl w:ilvl="0">
      <w:start w:val="1"/>
      <w:numFmt w:val="decimal"/>
      <w:pStyle w:val="Heading1"/>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5F783C9D"/>
    <w:multiLevelType w:val="hybridMultilevel"/>
    <w:tmpl w:val="3594C0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16C247E"/>
    <w:multiLevelType w:val="hybridMultilevel"/>
    <w:tmpl w:val="D26E63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7497438"/>
    <w:multiLevelType w:val="hybridMultilevel"/>
    <w:tmpl w:val="B378B0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8"/>
  </w:num>
  <w:num w:numId="6">
    <w:abstractNumId w:val="4"/>
  </w:num>
  <w:num w:numId="7">
    <w:abstractNumId w:val="3"/>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F53B1"/>
    <w:rsid w:val="000053FD"/>
    <w:rsid w:val="00006413"/>
    <w:rsid w:val="00006EF2"/>
    <w:rsid w:val="00013500"/>
    <w:rsid w:val="00013F3D"/>
    <w:rsid w:val="00016708"/>
    <w:rsid w:val="00022502"/>
    <w:rsid w:val="000371AE"/>
    <w:rsid w:val="00042287"/>
    <w:rsid w:val="00044D0C"/>
    <w:rsid w:val="0005374F"/>
    <w:rsid w:val="00054B2E"/>
    <w:rsid w:val="0005784F"/>
    <w:rsid w:val="00062571"/>
    <w:rsid w:val="000653A4"/>
    <w:rsid w:val="00067324"/>
    <w:rsid w:val="00070A92"/>
    <w:rsid w:val="000715B5"/>
    <w:rsid w:val="00072AE0"/>
    <w:rsid w:val="0007627D"/>
    <w:rsid w:val="00081CBF"/>
    <w:rsid w:val="000910FE"/>
    <w:rsid w:val="000956A3"/>
    <w:rsid w:val="00097B7F"/>
    <w:rsid w:val="000A0703"/>
    <w:rsid w:val="000A0874"/>
    <w:rsid w:val="000A2E68"/>
    <w:rsid w:val="000A2FB2"/>
    <w:rsid w:val="000A498D"/>
    <w:rsid w:val="000B219A"/>
    <w:rsid w:val="000B51DD"/>
    <w:rsid w:val="000B6587"/>
    <w:rsid w:val="000B7A95"/>
    <w:rsid w:val="000C2AE5"/>
    <w:rsid w:val="000C706F"/>
    <w:rsid w:val="000D26F3"/>
    <w:rsid w:val="000D4192"/>
    <w:rsid w:val="000E5FA8"/>
    <w:rsid w:val="000F0D18"/>
    <w:rsid w:val="000F5E9E"/>
    <w:rsid w:val="000F6326"/>
    <w:rsid w:val="000F6A98"/>
    <w:rsid w:val="000F7ECC"/>
    <w:rsid w:val="0010137B"/>
    <w:rsid w:val="00101A82"/>
    <w:rsid w:val="00103687"/>
    <w:rsid w:val="00112703"/>
    <w:rsid w:val="00115D97"/>
    <w:rsid w:val="001162D5"/>
    <w:rsid w:val="001173C7"/>
    <w:rsid w:val="00121580"/>
    <w:rsid w:val="001232AD"/>
    <w:rsid w:val="00124C89"/>
    <w:rsid w:val="001447E4"/>
    <w:rsid w:val="0014592A"/>
    <w:rsid w:val="001514D1"/>
    <w:rsid w:val="001572F3"/>
    <w:rsid w:val="001655FA"/>
    <w:rsid w:val="00165882"/>
    <w:rsid w:val="0016649F"/>
    <w:rsid w:val="001672E8"/>
    <w:rsid w:val="00170250"/>
    <w:rsid w:val="00176252"/>
    <w:rsid w:val="00185EDB"/>
    <w:rsid w:val="00190C8D"/>
    <w:rsid w:val="00193558"/>
    <w:rsid w:val="001A2ABA"/>
    <w:rsid w:val="001A4DE0"/>
    <w:rsid w:val="001B1D5D"/>
    <w:rsid w:val="001B37B3"/>
    <w:rsid w:val="001B3E81"/>
    <w:rsid w:val="001B43AD"/>
    <w:rsid w:val="001B4EED"/>
    <w:rsid w:val="001C01D7"/>
    <w:rsid w:val="001C12DF"/>
    <w:rsid w:val="001C5ABD"/>
    <w:rsid w:val="001D0CD9"/>
    <w:rsid w:val="001E14B4"/>
    <w:rsid w:val="001F09EF"/>
    <w:rsid w:val="00201DB8"/>
    <w:rsid w:val="00205096"/>
    <w:rsid w:val="00223392"/>
    <w:rsid w:val="0022721D"/>
    <w:rsid w:val="00240AE9"/>
    <w:rsid w:val="00243C7F"/>
    <w:rsid w:val="00250CD9"/>
    <w:rsid w:val="0025408C"/>
    <w:rsid w:val="002670E4"/>
    <w:rsid w:val="00267D92"/>
    <w:rsid w:val="00282A87"/>
    <w:rsid w:val="00287140"/>
    <w:rsid w:val="00294D61"/>
    <w:rsid w:val="002A23FF"/>
    <w:rsid w:val="002A345E"/>
    <w:rsid w:val="002A43C0"/>
    <w:rsid w:val="002B0F7D"/>
    <w:rsid w:val="002B5624"/>
    <w:rsid w:val="002B7518"/>
    <w:rsid w:val="002C2AD8"/>
    <w:rsid w:val="002C390D"/>
    <w:rsid w:val="002C695B"/>
    <w:rsid w:val="002D0836"/>
    <w:rsid w:val="002D6EAF"/>
    <w:rsid w:val="002E3941"/>
    <w:rsid w:val="002F66EF"/>
    <w:rsid w:val="0030283A"/>
    <w:rsid w:val="003031EB"/>
    <w:rsid w:val="00304247"/>
    <w:rsid w:val="00304AC6"/>
    <w:rsid w:val="00312CB2"/>
    <w:rsid w:val="00321633"/>
    <w:rsid w:val="00344C71"/>
    <w:rsid w:val="003612CF"/>
    <w:rsid w:val="00363D4E"/>
    <w:rsid w:val="00365896"/>
    <w:rsid w:val="0037204D"/>
    <w:rsid w:val="0038062C"/>
    <w:rsid w:val="00385644"/>
    <w:rsid w:val="003A02BE"/>
    <w:rsid w:val="003A0665"/>
    <w:rsid w:val="003A08C0"/>
    <w:rsid w:val="003A1177"/>
    <w:rsid w:val="003A7683"/>
    <w:rsid w:val="003B0111"/>
    <w:rsid w:val="003C2B07"/>
    <w:rsid w:val="003C3C03"/>
    <w:rsid w:val="003C3CA9"/>
    <w:rsid w:val="003C40FB"/>
    <w:rsid w:val="003D37D1"/>
    <w:rsid w:val="003D7499"/>
    <w:rsid w:val="003D7CE2"/>
    <w:rsid w:val="003E1378"/>
    <w:rsid w:val="003E5BF3"/>
    <w:rsid w:val="003E79AA"/>
    <w:rsid w:val="003F0936"/>
    <w:rsid w:val="003F1B34"/>
    <w:rsid w:val="003F3918"/>
    <w:rsid w:val="003F39BA"/>
    <w:rsid w:val="003F39FB"/>
    <w:rsid w:val="003F7B31"/>
    <w:rsid w:val="00401B45"/>
    <w:rsid w:val="004032EF"/>
    <w:rsid w:val="00404EE5"/>
    <w:rsid w:val="0041152A"/>
    <w:rsid w:val="0041308C"/>
    <w:rsid w:val="0042170C"/>
    <w:rsid w:val="00421889"/>
    <w:rsid w:val="004219A1"/>
    <w:rsid w:val="00434DB9"/>
    <w:rsid w:val="00446D2A"/>
    <w:rsid w:val="0045245F"/>
    <w:rsid w:val="00453B94"/>
    <w:rsid w:val="00453CF4"/>
    <w:rsid w:val="00460BDD"/>
    <w:rsid w:val="00463683"/>
    <w:rsid w:val="00466EA7"/>
    <w:rsid w:val="004836B5"/>
    <w:rsid w:val="00496390"/>
    <w:rsid w:val="004A6AF5"/>
    <w:rsid w:val="004B7C6C"/>
    <w:rsid w:val="004C17FD"/>
    <w:rsid w:val="004C2701"/>
    <w:rsid w:val="004C5436"/>
    <w:rsid w:val="004C5C99"/>
    <w:rsid w:val="004C5FC5"/>
    <w:rsid w:val="004C7898"/>
    <w:rsid w:val="004D00F8"/>
    <w:rsid w:val="004D1DEB"/>
    <w:rsid w:val="004D58AF"/>
    <w:rsid w:val="004D6674"/>
    <w:rsid w:val="004D7709"/>
    <w:rsid w:val="004E6FAB"/>
    <w:rsid w:val="004E716D"/>
    <w:rsid w:val="004F1B8D"/>
    <w:rsid w:val="004F347B"/>
    <w:rsid w:val="004F5898"/>
    <w:rsid w:val="004F6A63"/>
    <w:rsid w:val="00506193"/>
    <w:rsid w:val="005077EE"/>
    <w:rsid w:val="00517498"/>
    <w:rsid w:val="00522CE0"/>
    <w:rsid w:val="00532BA0"/>
    <w:rsid w:val="0053535A"/>
    <w:rsid w:val="00537B2F"/>
    <w:rsid w:val="005431E4"/>
    <w:rsid w:val="00551861"/>
    <w:rsid w:val="00551F13"/>
    <w:rsid w:val="005603A4"/>
    <w:rsid w:val="00562399"/>
    <w:rsid w:val="00573C48"/>
    <w:rsid w:val="00575DF4"/>
    <w:rsid w:val="00580189"/>
    <w:rsid w:val="0058062E"/>
    <w:rsid w:val="00586463"/>
    <w:rsid w:val="00587A7A"/>
    <w:rsid w:val="005954E0"/>
    <w:rsid w:val="005A6D1C"/>
    <w:rsid w:val="005B00AE"/>
    <w:rsid w:val="005B6AC4"/>
    <w:rsid w:val="005E652D"/>
    <w:rsid w:val="005E6DE0"/>
    <w:rsid w:val="005E70D8"/>
    <w:rsid w:val="005F2CB3"/>
    <w:rsid w:val="00600B0B"/>
    <w:rsid w:val="006023E8"/>
    <w:rsid w:val="006073F4"/>
    <w:rsid w:val="006134D3"/>
    <w:rsid w:val="0061709E"/>
    <w:rsid w:val="00620E46"/>
    <w:rsid w:val="0062176E"/>
    <w:rsid w:val="00621948"/>
    <w:rsid w:val="00622D87"/>
    <w:rsid w:val="00623FDE"/>
    <w:rsid w:val="006350AA"/>
    <w:rsid w:val="00643199"/>
    <w:rsid w:val="00655657"/>
    <w:rsid w:val="00665EE5"/>
    <w:rsid w:val="006700AE"/>
    <w:rsid w:val="0067197A"/>
    <w:rsid w:val="00677345"/>
    <w:rsid w:val="00677A7D"/>
    <w:rsid w:val="006A1991"/>
    <w:rsid w:val="006A5B92"/>
    <w:rsid w:val="006A7EA0"/>
    <w:rsid w:val="006C495C"/>
    <w:rsid w:val="006D3FBE"/>
    <w:rsid w:val="006E25EF"/>
    <w:rsid w:val="006E340A"/>
    <w:rsid w:val="006E60FF"/>
    <w:rsid w:val="006E7CB5"/>
    <w:rsid w:val="006F1C7D"/>
    <w:rsid w:val="00700507"/>
    <w:rsid w:val="007112FE"/>
    <w:rsid w:val="007153E1"/>
    <w:rsid w:val="007227B3"/>
    <w:rsid w:val="00725258"/>
    <w:rsid w:val="00726F66"/>
    <w:rsid w:val="00736578"/>
    <w:rsid w:val="00745734"/>
    <w:rsid w:val="00746C71"/>
    <w:rsid w:val="00751C27"/>
    <w:rsid w:val="00753EDD"/>
    <w:rsid w:val="0075525F"/>
    <w:rsid w:val="00771140"/>
    <w:rsid w:val="00775812"/>
    <w:rsid w:val="00780200"/>
    <w:rsid w:val="007857C7"/>
    <w:rsid w:val="00785CB7"/>
    <w:rsid w:val="00786E10"/>
    <w:rsid w:val="0078775D"/>
    <w:rsid w:val="00797CB9"/>
    <w:rsid w:val="007A19CA"/>
    <w:rsid w:val="007A7CBD"/>
    <w:rsid w:val="007B0997"/>
    <w:rsid w:val="007C10F3"/>
    <w:rsid w:val="007C6510"/>
    <w:rsid w:val="007C6D15"/>
    <w:rsid w:val="007D0275"/>
    <w:rsid w:val="007D1693"/>
    <w:rsid w:val="007E702F"/>
    <w:rsid w:val="007F40D5"/>
    <w:rsid w:val="007F6BB6"/>
    <w:rsid w:val="008045E9"/>
    <w:rsid w:val="00805F2C"/>
    <w:rsid w:val="00807483"/>
    <w:rsid w:val="00811504"/>
    <w:rsid w:val="00817CCB"/>
    <w:rsid w:val="00824347"/>
    <w:rsid w:val="00835661"/>
    <w:rsid w:val="00841168"/>
    <w:rsid w:val="00844E6E"/>
    <w:rsid w:val="00856990"/>
    <w:rsid w:val="00857FD4"/>
    <w:rsid w:val="008607FF"/>
    <w:rsid w:val="00870EEE"/>
    <w:rsid w:val="0087287C"/>
    <w:rsid w:val="00872ADD"/>
    <w:rsid w:val="00880272"/>
    <w:rsid w:val="00884317"/>
    <w:rsid w:val="00884602"/>
    <w:rsid w:val="00894F52"/>
    <w:rsid w:val="008A00F3"/>
    <w:rsid w:val="008C278C"/>
    <w:rsid w:val="008C5571"/>
    <w:rsid w:val="008C747E"/>
    <w:rsid w:val="008D282E"/>
    <w:rsid w:val="008D4F1C"/>
    <w:rsid w:val="008D64E5"/>
    <w:rsid w:val="008D719A"/>
    <w:rsid w:val="008E2D92"/>
    <w:rsid w:val="008E43DE"/>
    <w:rsid w:val="008E5C82"/>
    <w:rsid w:val="008F1C57"/>
    <w:rsid w:val="008F5D9E"/>
    <w:rsid w:val="008F617C"/>
    <w:rsid w:val="008F6F71"/>
    <w:rsid w:val="00903D28"/>
    <w:rsid w:val="009309A4"/>
    <w:rsid w:val="009336DA"/>
    <w:rsid w:val="00940DFC"/>
    <w:rsid w:val="00951A73"/>
    <w:rsid w:val="00955B5C"/>
    <w:rsid w:val="00957C5F"/>
    <w:rsid w:val="00967EA0"/>
    <w:rsid w:val="0097245D"/>
    <w:rsid w:val="009745F8"/>
    <w:rsid w:val="009864B6"/>
    <w:rsid w:val="009927CA"/>
    <w:rsid w:val="00992A6C"/>
    <w:rsid w:val="009941C3"/>
    <w:rsid w:val="009A2AB8"/>
    <w:rsid w:val="009C6760"/>
    <w:rsid w:val="009C7E64"/>
    <w:rsid w:val="00A00892"/>
    <w:rsid w:val="00A067EA"/>
    <w:rsid w:val="00A102ED"/>
    <w:rsid w:val="00A16B30"/>
    <w:rsid w:val="00A16B61"/>
    <w:rsid w:val="00A17E1A"/>
    <w:rsid w:val="00A22766"/>
    <w:rsid w:val="00A25F8C"/>
    <w:rsid w:val="00A302D5"/>
    <w:rsid w:val="00A378C0"/>
    <w:rsid w:val="00A4028B"/>
    <w:rsid w:val="00A4321B"/>
    <w:rsid w:val="00A53235"/>
    <w:rsid w:val="00A56ACD"/>
    <w:rsid w:val="00A648BE"/>
    <w:rsid w:val="00A717E8"/>
    <w:rsid w:val="00A71E2D"/>
    <w:rsid w:val="00A828D5"/>
    <w:rsid w:val="00A84AAC"/>
    <w:rsid w:val="00A8640B"/>
    <w:rsid w:val="00A87189"/>
    <w:rsid w:val="00A94F15"/>
    <w:rsid w:val="00AA5678"/>
    <w:rsid w:val="00AB38F6"/>
    <w:rsid w:val="00AB6359"/>
    <w:rsid w:val="00AC2132"/>
    <w:rsid w:val="00AC2691"/>
    <w:rsid w:val="00AC3C7D"/>
    <w:rsid w:val="00AC3D71"/>
    <w:rsid w:val="00AC4F5A"/>
    <w:rsid w:val="00AD3703"/>
    <w:rsid w:val="00AE1C0E"/>
    <w:rsid w:val="00AE7800"/>
    <w:rsid w:val="00AF255A"/>
    <w:rsid w:val="00AF3820"/>
    <w:rsid w:val="00AF3E7D"/>
    <w:rsid w:val="00AF7B57"/>
    <w:rsid w:val="00B02F25"/>
    <w:rsid w:val="00B05822"/>
    <w:rsid w:val="00B068C2"/>
    <w:rsid w:val="00B079D6"/>
    <w:rsid w:val="00B15921"/>
    <w:rsid w:val="00B25AF5"/>
    <w:rsid w:val="00B25F1A"/>
    <w:rsid w:val="00B319F9"/>
    <w:rsid w:val="00B34F0A"/>
    <w:rsid w:val="00B35E10"/>
    <w:rsid w:val="00B517D7"/>
    <w:rsid w:val="00B540C3"/>
    <w:rsid w:val="00B550D6"/>
    <w:rsid w:val="00B6136B"/>
    <w:rsid w:val="00B63EBE"/>
    <w:rsid w:val="00B66A23"/>
    <w:rsid w:val="00B81547"/>
    <w:rsid w:val="00B91558"/>
    <w:rsid w:val="00B93CA5"/>
    <w:rsid w:val="00B94B75"/>
    <w:rsid w:val="00BA4403"/>
    <w:rsid w:val="00BA46E2"/>
    <w:rsid w:val="00BA4E1F"/>
    <w:rsid w:val="00BA6D34"/>
    <w:rsid w:val="00BB33BC"/>
    <w:rsid w:val="00BB58FC"/>
    <w:rsid w:val="00BC796D"/>
    <w:rsid w:val="00BD3FFA"/>
    <w:rsid w:val="00BD7E3C"/>
    <w:rsid w:val="00BE0157"/>
    <w:rsid w:val="00BE2641"/>
    <w:rsid w:val="00BE3666"/>
    <w:rsid w:val="00BE5928"/>
    <w:rsid w:val="00BE7447"/>
    <w:rsid w:val="00BE7A61"/>
    <w:rsid w:val="00BF2397"/>
    <w:rsid w:val="00C00206"/>
    <w:rsid w:val="00C00BD4"/>
    <w:rsid w:val="00C21051"/>
    <w:rsid w:val="00C27A54"/>
    <w:rsid w:val="00C32FC6"/>
    <w:rsid w:val="00C343E1"/>
    <w:rsid w:val="00C37364"/>
    <w:rsid w:val="00C40EF4"/>
    <w:rsid w:val="00C43B81"/>
    <w:rsid w:val="00C469D9"/>
    <w:rsid w:val="00C50B29"/>
    <w:rsid w:val="00C53430"/>
    <w:rsid w:val="00C53DA0"/>
    <w:rsid w:val="00C54831"/>
    <w:rsid w:val="00C673DA"/>
    <w:rsid w:val="00C676C2"/>
    <w:rsid w:val="00C71BA2"/>
    <w:rsid w:val="00C71EDE"/>
    <w:rsid w:val="00C778BC"/>
    <w:rsid w:val="00C86209"/>
    <w:rsid w:val="00C87520"/>
    <w:rsid w:val="00C90018"/>
    <w:rsid w:val="00CA09E3"/>
    <w:rsid w:val="00CB446E"/>
    <w:rsid w:val="00CC3565"/>
    <w:rsid w:val="00CD0E91"/>
    <w:rsid w:val="00CD2234"/>
    <w:rsid w:val="00CE11C3"/>
    <w:rsid w:val="00CE4C78"/>
    <w:rsid w:val="00CF1CF2"/>
    <w:rsid w:val="00CF528A"/>
    <w:rsid w:val="00CF53B1"/>
    <w:rsid w:val="00D00C55"/>
    <w:rsid w:val="00D0582C"/>
    <w:rsid w:val="00D068A0"/>
    <w:rsid w:val="00D0726B"/>
    <w:rsid w:val="00D107BE"/>
    <w:rsid w:val="00D115D5"/>
    <w:rsid w:val="00D222F9"/>
    <w:rsid w:val="00D3053D"/>
    <w:rsid w:val="00D36438"/>
    <w:rsid w:val="00D36E8E"/>
    <w:rsid w:val="00D50F4C"/>
    <w:rsid w:val="00D51B9A"/>
    <w:rsid w:val="00D52859"/>
    <w:rsid w:val="00D65D3A"/>
    <w:rsid w:val="00D80D77"/>
    <w:rsid w:val="00D82A9C"/>
    <w:rsid w:val="00D871B6"/>
    <w:rsid w:val="00D913EB"/>
    <w:rsid w:val="00DC6291"/>
    <w:rsid w:val="00DE4749"/>
    <w:rsid w:val="00DE6847"/>
    <w:rsid w:val="00E111CE"/>
    <w:rsid w:val="00E145FA"/>
    <w:rsid w:val="00E20392"/>
    <w:rsid w:val="00E21718"/>
    <w:rsid w:val="00E235DB"/>
    <w:rsid w:val="00E4095D"/>
    <w:rsid w:val="00E47383"/>
    <w:rsid w:val="00E47C39"/>
    <w:rsid w:val="00E47D7B"/>
    <w:rsid w:val="00E51D12"/>
    <w:rsid w:val="00E52BD8"/>
    <w:rsid w:val="00E542E2"/>
    <w:rsid w:val="00E5713C"/>
    <w:rsid w:val="00E572B9"/>
    <w:rsid w:val="00E6255A"/>
    <w:rsid w:val="00E62837"/>
    <w:rsid w:val="00E63D9F"/>
    <w:rsid w:val="00E734F0"/>
    <w:rsid w:val="00E8525A"/>
    <w:rsid w:val="00E86CCC"/>
    <w:rsid w:val="00E87274"/>
    <w:rsid w:val="00E87770"/>
    <w:rsid w:val="00E95A40"/>
    <w:rsid w:val="00EA6216"/>
    <w:rsid w:val="00EA7C97"/>
    <w:rsid w:val="00EB7C74"/>
    <w:rsid w:val="00EC2297"/>
    <w:rsid w:val="00EC5671"/>
    <w:rsid w:val="00ED2624"/>
    <w:rsid w:val="00ED53E7"/>
    <w:rsid w:val="00ED7FF7"/>
    <w:rsid w:val="00EE238E"/>
    <w:rsid w:val="00F04AF3"/>
    <w:rsid w:val="00F05811"/>
    <w:rsid w:val="00F268C9"/>
    <w:rsid w:val="00F40C33"/>
    <w:rsid w:val="00F41921"/>
    <w:rsid w:val="00F542DB"/>
    <w:rsid w:val="00F611C2"/>
    <w:rsid w:val="00F62878"/>
    <w:rsid w:val="00F6294B"/>
    <w:rsid w:val="00F6401C"/>
    <w:rsid w:val="00F67637"/>
    <w:rsid w:val="00F74022"/>
    <w:rsid w:val="00F7447F"/>
    <w:rsid w:val="00F7642C"/>
    <w:rsid w:val="00F8359F"/>
    <w:rsid w:val="00F85411"/>
    <w:rsid w:val="00F96777"/>
    <w:rsid w:val="00FA1A66"/>
    <w:rsid w:val="00FA6313"/>
    <w:rsid w:val="00FB30F8"/>
    <w:rsid w:val="00FB37FA"/>
    <w:rsid w:val="00FB6FB1"/>
    <w:rsid w:val="00FC6A9B"/>
    <w:rsid w:val="00FC6DD5"/>
    <w:rsid w:val="00FD03AA"/>
    <w:rsid w:val="00FD171D"/>
    <w:rsid w:val="00FD61ED"/>
    <w:rsid w:val="00FE5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3B1"/>
    <w:rPr>
      <w:sz w:val="24"/>
      <w:szCs w:val="24"/>
    </w:rPr>
  </w:style>
  <w:style w:type="paragraph" w:styleId="Heading1">
    <w:name w:val="heading 1"/>
    <w:basedOn w:val="Normal"/>
    <w:next w:val="Normal"/>
    <w:qFormat/>
    <w:rsid w:val="00CF53B1"/>
    <w:pPr>
      <w:keepNext/>
      <w:widowControl w:val="0"/>
      <w:numPr>
        <w:numId w:val="1"/>
      </w:numPr>
      <w:autoSpaceDE w:val="0"/>
      <w:autoSpaceDN w:val="0"/>
      <w:adjustRightInd w:val="0"/>
      <w:spacing w:before="240" w:after="60"/>
      <w:outlineLvl w:val="0"/>
    </w:pPr>
    <w:rPr>
      <w:rFonts w:cs="Arial"/>
      <w:b/>
      <w:bCs/>
      <w:kern w:val="32"/>
      <w:sz w:val="28"/>
      <w:szCs w:val="32"/>
    </w:rPr>
  </w:style>
  <w:style w:type="paragraph" w:styleId="Heading2">
    <w:name w:val="heading 2"/>
    <w:basedOn w:val="Normal"/>
    <w:next w:val="Normal"/>
    <w:autoRedefine/>
    <w:qFormat/>
    <w:rsid w:val="00CF53B1"/>
    <w:pPr>
      <w:widowControl w:val="0"/>
      <w:autoSpaceDE w:val="0"/>
      <w:autoSpaceDN w:val="0"/>
      <w:adjustRightInd w:val="0"/>
      <w:outlineLvl w:val="1"/>
    </w:pPr>
    <w:rPr>
      <w:rFonts w:eastAsia="Arial Unicode MS"/>
      <w:b/>
      <w:bCs/>
      <w:szCs w:val="20"/>
    </w:rPr>
  </w:style>
  <w:style w:type="paragraph" w:styleId="Heading3">
    <w:name w:val="heading 3"/>
    <w:basedOn w:val="Normal"/>
    <w:next w:val="Normal"/>
    <w:qFormat/>
    <w:rsid w:val="00CF53B1"/>
    <w:pPr>
      <w:keepNext/>
      <w:widowControl w:val="0"/>
      <w:numPr>
        <w:ilvl w:val="2"/>
        <w:numId w:val="1"/>
      </w:numPr>
      <w:autoSpaceDE w:val="0"/>
      <w:autoSpaceDN w:val="0"/>
      <w:adjustRightInd w:val="0"/>
      <w:outlineLvl w:val="2"/>
    </w:pPr>
    <w:rPr>
      <w:b/>
      <w:bCs/>
    </w:rPr>
  </w:style>
  <w:style w:type="paragraph" w:styleId="Heading4">
    <w:name w:val="heading 4"/>
    <w:basedOn w:val="Normal"/>
    <w:next w:val="Normal"/>
    <w:qFormat/>
    <w:rsid w:val="00CF53B1"/>
    <w:pPr>
      <w:keepNext/>
      <w:widowControl w:val="0"/>
      <w:numPr>
        <w:ilvl w:val="3"/>
        <w:numId w:val="1"/>
      </w:numPr>
      <w:autoSpaceDE w:val="0"/>
      <w:autoSpaceDN w:val="0"/>
      <w:adjustRightInd w:val="0"/>
      <w:spacing w:line="1" w:lineRule="atLeast"/>
      <w:outlineLvl w:val="3"/>
    </w:pPr>
    <w:rPr>
      <w:i/>
      <w:iCs/>
    </w:rPr>
  </w:style>
  <w:style w:type="paragraph" w:styleId="Heading5">
    <w:name w:val="heading 5"/>
    <w:basedOn w:val="Normal"/>
    <w:next w:val="Normal"/>
    <w:qFormat/>
    <w:rsid w:val="00CF53B1"/>
    <w:pPr>
      <w:keepNext/>
      <w:widowControl w:val="0"/>
      <w:numPr>
        <w:ilvl w:val="4"/>
        <w:numId w:val="1"/>
      </w:numPr>
      <w:autoSpaceDE w:val="0"/>
      <w:autoSpaceDN w:val="0"/>
      <w:adjustRightInd w:val="0"/>
      <w:spacing w:after="60"/>
      <w:outlineLvl w:val="4"/>
    </w:pPr>
    <w:rPr>
      <w:b/>
      <w:bCs/>
    </w:rPr>
  </w:style>
  <w:style w:type="paragraph" w:styleId="Heading6">
    <w:name w:val="heading 6"/>
    <w:basedOn w:val="Normal"/>
    <w:next w:val="Normal"/>
    <w:qFormat/>
    <w:rsid w:val="00CF53B1"/>
    <w:pPr>
      <w:keepNext/>
      <w:numPr>
        <w:ilvl w:val="5"/>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5"/>
    </w:pPr>
    <w:rPr>
      <w:b/>
      <w:bCs/>
      <w:szCs w:val="22"/>
    </w:rPr>
  </w:style>
  <w:style w:type="paragraph" w:styleId="Heading7">
    <w:name w:val="heading 7"/>
    <w:basedOn w:val="Normal"/>
    <w:next w:val="Normal"/>
    <w:qFormat/>
    <w:rsid w:val="00CF53B1"/>
    <w:pPr>
      <w:keepNext/>
      <w:widowControl w:val="0"/>
      <w:numPr>
        <w:ilvl w:val="6"/>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60" w:line="1" w:lineRule="atLeast"/>
      <w:outlineLvl w:val="6"/>
    </w:pPr>
    <w:rPr>
      <w:i/>
      <w:iCs/>
    </w:rPr>
  </w:style>
  <w:style w:type="paragraph" w:styleId="Heading8">
    <w:name w:val="heading 8"/>
    <w:basedOn w:val="Normal"/>
    <w:next w:val="Normal"/>
    <w:qFormat/>
    <w:rsid w:val="00CF53B1"/>
    <w:pPr>
      <w:keepNext/>
      <w:widowControl w:val="0"/>
      <w:numPr>
        <w:ilvl w:val="7"/>
        <w:numId w:val="1"/>
      </w:numPr>
      <w:autoSpaceDE w:val="0"/>
      <w:autoSpaceDN w:val="0"/>
      <w:adjustRightInd w:val="0"/>
      <w:outlineLvl w:val="7"/>
    </w:pPr>
    <w:rPr>
      <w:rFonts w:ascii="Times" w:hAnsi="Times" w:cs="Arial"/>
      <w:b/>
      <w:bCs/>
      <w:sz w:val="22"/>
      <w:szCs w:val="20"/>
    </w:rPr>
  </w:style>
  <w:style w:type="paragraph" w:styleId="Heading9">
    <w:name w:val="heading 9"/>
    <w:basedOn w:val="Normal"/>
    <w:next w:val="Normal"/>
    <w:qFormat/>
    <w:rsid w:val="00CF53B1"/>
    <w:pPr>
      <w:keepNext/>
      <w:numPr>
        <w:ilvl w:val="8"/>
        <w:numId w:val="1"/>
      </w:numPr>
      <w:autoSpaceDE w:val="0"/>
      <w:autoSpaceDN w:val="0"/>
      <w:adjustRightInd w:val="0"/>
      <w:jc w:val="center"/>
      <w:outlineLvl w:val="8"/>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CF53B1"/>
    <w:pPr>
      <w:widowControl w:val="0"/>
      <w:autoSpaceDE w:val="0"/>
      <w:autoSpaceDN w:val="0"/>
      <w:adjustRightInd w:val="0"/>
    </w:pPr>
    <w:rPr>
      <w:rFonts w:ascii="Courier 10cpi" w:hAnsi="Courier 10cpi"/>
      <w:sz w:val="24"/>
      <w:szCs w:val="24"/>
    </w:rPr>
  </w:style>
  <w:style w:type="character" w:styleId="Hyperlink">
    <w:name w:val="Hyperlink"/>
    <w:basedOn w:val="DefaultParagraphFont"/>
    <w:rsid w:val="00CF53B1"/>
    <w:rPr>
      <w:color w:val="0000FF"/>
    </w:rPr>
  </w:style>
  <w:style w:type="paragraph" w:styleId="BodyTextIndent">
    <w:name w:val="Body Text Indent"/>
    <w:basedOn w:val="Normal"/>
    <w:rsid w:val="00CF53B1"/>
    <w:pPr>
      <w:widowControl w:val="0"/>
      <w:autoSpaceDE w:val="0"/>
      <w:autoSpaceDN w:val="0"/>
      <w:adjustRightInd w:val="0"/>
      <w:spacing w:line="1" w:lineRule="atLeast"/>
      <w:ind w:firstLine="720"/>
    </w:pPr>
  </w:style>
  <w:style w:type="table" w:styleId="TableGrid">
    <w:name w:val="Table Grid"/>
    <w:basedOn w:val="TableNormal"/>
    <w:rsid w:val="00CF5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836B5"/>
    <w:pPr>
      <w:tabs>
        <w:tab w:val="center" w:pos="4320"/>
        <w:tab w:val="right" w:pos="8640"/>
      </w:tabs>
    </w:pPr>
  </w:style>
  <w:style w:type="paragraph" w:styleId="Footer">
    <w:name w:val="footer"/>
    <w:basedOn w:val="Normal"/>
    <w:link w:val="FooterChar"/>
    <w:uiPriority w:val="99"/>
    <w:rsid w:val="004836B5"/>
    <w:pPr>
      <w:tabs>
        <w:tab w:val="center" w:pos="4320"/>
        <w:tab w:val="right" w:pos="8640"/>
      </w:tabs>
    </w:pPr>
  </w:style>
  <w:style w:type="character" w:customStyle="1" w:styleId="Hypertext">
    <w:name w:val="Hypertext"/>
    <w:rsid w:val="00C32FC6"/>
    <w:rPr>
      <w:color w:val="0000FF"/>
      <w:u w:val="single"/>
    </w:rPr>
  </w:style>
  <w:style w:type="paragraph" w:styleId="FootnoteText">
    <w:name w:val="footnote text"/>
    <w:basedOn w:val="Normal"/>
    <w:semiHidden/>
    <w:rsid w:val="00A828D5"/>
    <w:rPr>
      <w:sz w:val="20"/>
      <w:szCs w:val="20"/>
    </w:rPr>
  </w:style>
  <w:style w:type="character" w:styleId="FootnoteReference">
    <w:name w:val="footnote reference"/>
    <w:basedOn w:val="DefaultParagraphFont"/>
    <w:semiHidden/>
    <w:rsid w:val="00A828D5"/>
    <w:rPr>
      <w:vertAlign w:val="superscript"/>
    </w:rPr>
  </w:style>
  <w:style w:type="paragraph" w:styleId="PlainText">
    <w:name w:val="Plain Text"/>
    <w:basedOn w:val="Normal"/>
    <w:rsid w:val="001F09EF"/>
    <w:rPr>
      <w:rFonts w:ascii="Courier New" w:hAnsi="Courier New" w:cs="Courier New"/>
      <w:sz w:val="20"/>
      <w:szCs w:val="20"/>
    </w:rPr>
  </w:style>
  <w:style w:type="character" w:styleId="PageNumber">
    <w:name w:val="page number"/>
    <w:basedOn w:val="DefaultParagraphFont"/>
    <w:rsid w:val="009C7E64"/>
  </w:style>
  <w:style w:type="character" w:styleId="FollowedHyperlink">
    <w:name w:val="FollowedHyperlink"/>
    <w:basedOn w:val="DefaultParagraphFont"/>
    <w:rsid w:val="004C5C99"/>
    <w:rPr>
      <w:color w:val="800080"/>
      <w:u w:val="single"/>
    </w:rPr>
  </w:style>
  <w:style w:type="paragraph" w:styleId="BalloonText">
    <w:name w:val="Balloon Text"/>
    <w:basedOn w:val="Normal"/>
    <w:semiHidden/>
    <w:rsid w:val="00E111CE"/>
    <w:rPr>
      <w:rFonts w:ascii="Tahoma" w:hAnsi="Tahoma" w:cs="Tahoma"/>
      <w:sz w:val="16"/>
      <w:szCs w:val="16"/>
    </w:rPr>
  </w:style>
  <w:style w:type="character" w:styleId="CommentReference">
    <w:name w:val="annotation reference"/>
    <w:basedOn w:val="DefaultParagraphFont"/>
    <w:semiHidden/>
    <w:rsid w:val="00E111CE"/>
    <w:rPr>
      <w:sz w:val="16"/>
      <w:szCs w:val="16"/>
    </w:rPr>
  </w:style>
  <w:style w:type="paragraph" w:styleId="CommentText">
    <w:name w:val="annotation text"/>
    <w:basedOn w:val="Normal"/>
    <w:semiHidden/>
    <w:rsid w:val="00E111CE"/>
    <w:rPr>
      <w:sz w:val="20"/>
      <w:szCs w:val="20"/>
    </w:rPr>
  </w:style>
  <w:style w:type="paragraph" w:styleId="CommentSubject">
    <w:name w:val="annotation subject"/>
    <w:basedOn w:val="CommentText"/>
    <w:next w:val="CommentText"/>
    <w:semiHidden/>
    <w:rsid w:val="00E111CE"/>
    <w:rPr>
      <w:b/>
      <w:bCs/>
    </w:rPr>
  </w:style>
  <w:style w:type="character" w:customStyle="1" w:styleId="FooterChar">
    <w:name w:val="Footer Char"/>
    <w:basedOn w:val="DefaultParagraphFont"/>
    <w:link w:val="Footer"/>
    <w:uiPriority w:val="99"/>
    <w:rsid w:val="00BE3666"/>
    <w:rPr>
      <w:sz w:val="24"/>
      <w:szCs w:val="24"/>
    </w:rPr>
  </w:style>
  <w:style w:type="paragraph" w:styleId="Revision">
    <w:name w:val="Revision"/>
    <w:hidden/>
    <w:uiPriority w:val="99"/>
    <w:semiHidden/>
    <w:rsid w:val="005F2CB3"/>
    <w:rPr>
      <w:sz w:val="24"/>
      <w:szCs w:val="24"/>
    </w:rPr>
  </w:style>
  <w:style w:type="paragraph" w:styleId="EndnoteText">
    <w:name w:val="endnote text"/>
    <w:basedOn w:val="Normal"/>
    <w:link w:val="EndnoteTextChar"/>
    <w:rsid w:val="00AF3820"/>
    <w:rPr>
      <w:sz w:val="20"/>
      <w:szCs w:val="20"/>
    </w:rPr>
  </w:style>
  <w:style w:type="character" w:customStyle="1" w:styleId="EndnoteTextChar">
    <w:name w:val="Endnote Text Char"/>
    <w:basedOn w:val="DefaultParagraphFont"/>
    <w:link w:val="EndnoteText"/>
    <w:rsid w:val="00AF3820"/>
  </w:style>
  <w:style w:type="character" w:styleId="EndnoteReference">
    <w:name w:val="endnote reference"/>
    <w:basedOn w:val="DefaultParagraphFont"/>
    <w:rsid w:val="00AF3820"/>
    <w:rPr>
      <w:vertAlign w:val="superscript"/>
    </w:rPr>
  </w:style>
</w:styles>
</file>

<file path=word/webSettings.xml><?xml version="1.0" encoding="utf-8"?>
<w:webSettings xmlns:r="http://schemas.openxmlformats.org/officeDocument/2006/relationships" xmlns:w="http://schemas.openxmlformats.org/wordprocessingml/2006/main">
  <w:divs>
    <w:div w:id="11627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regulation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s.gov/news.release/ecec.t01.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docket.access.gpo.gov/cfr_2007/julqtr/pdf/40cfr156.1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stru.htm" TargetMode="External"/><Relationship Id="rId5" Type="http://schemas.openxmlformats.org/officeDocument/2006/relationships/webSettings" Target="webSettings.xml"/><Relationship Id="rId15" Type="http://schemas.openxmlformats.org/officeDocument/2006/relationships/hyperlink" Target="http://www.law.cornell.edu/uscode/7/136a.html" TargetMode="External"/><Relationship Id="rId10" Type="http://schemas.openxmlformats.org/officeDocument/2006/relationships/hyperlink" Target="http://www.bls.gov/oes/current/oes_nat.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s.gov/news.release/archives/ecec_06082011.pdf"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B40ED-E9C4-43D2-806A-F74A9952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4063</Words>
  <Characters>23162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 AN</vt:lpstr>
    </vt:vector>
  </TitlesOfParts>
  <Company>EPA OPP</Company>
  <LinksUpToDate>false</LinksUpToDate>
  <CharactersWithSpaces>27171</CharactersWithSpaces>
  <SharedDoc>false</SharedDoc>
  <HLinks>
    <vt:vector size="48" baseType="variant">
      <vt:variant>
        <vt:i4>8257570</vt:i4>
      </vt:variant>
      <vt:variant>
        <vt:i4>31</vt:i4>
      </vt:variant>
      <vt:variant>
        <vt:i4>0</vt:i4>
      </vt:variant>
      <vt:variant>
        <vt:i4>5</vt:i4>
      </vt:variant>
      <vt:variant>
        <vt:lpwstr>http://www.access.gpo.gov/nara/cfr/waisidx_07/40cfrv23_07.html</vt:lpwstr>
      </vt:variant>
      <vt:variant>
        <vt:lpwstr/>
      </vt:variant>
      <vt:variant>
        <vt:i4>3539027</vt:i4>
      </vt:variant>
      <vt:variant>
        <vt:i4>28</vt:i4>
      </vt:variant>
      <vt:variant>
        <vt:i4>0</vt:i4>
      </vt:variant>
      <vt:variant>
        <vt:i4>5</vt:i4>
      </vt:variant>
      <vt:variant>
        <vt:lpwstr>http://www4.law.cornell.edu/uscode/7/usc_sec_07_00000136---a000-.html</vt:lpwstr>
      </vt:variant>
      <vt:variant>
        <vt:lpwstr/>
      </vt:variant>
      <vt:variant>
        <vt:i4>262200</vt:i4>
      </vt:variant>
      <vt:variant>
        <vt:i4>25</vt:i4>
      </vt:variant>
      <vt:variant>
        <vt:i4>0</vt:i4>
      </vt:variant>
      <vt:variant>
        <vt:i4>5</vt:i4>
      </vt:variant>
      <vt:variant>
        <vt:lpwstr>http://www.regulations.gov_/</vt:lpwstr>
      </vt:variant>
      <vt:variant>
        <vt:lpwstr/>
      </vt:variant>
      <vt:variant>
        <vt:i4>2818151</vt:i4>
      </vt:variant>
      <vt:variant>
        <vt:i4>22</vt:i4>
      </vt:variant>
      <vt:variant>
        <vt:i4>0</vt:i4>
      </vt:variant>
      <vt:variant>
        <vt:i4>5</vt:i4>
      </vt:variant>
      <vt:variant>
        <vt:lpwstr>http://www.regulations.gov/</vt:lpwstr>
      </vt:variant>
      <vt:variant>
        <vt:lpwstr/>
      </vt:variant>
      <vt:variant>
        <vt:i4>26</vt:i4>
      </vt:variant>
      <vt:variant>
        <vt:i4>13</vt:i4>
      </vt:variant>
      <vt:variant>
        <vt:i4>0</vt:i4>
      </vt:variant>
      <vt:variant>
        <vt:i4>5</vt:i4>
      </vt:variant>
      <vt:variant>
        <vt:lpwstr>http://www.bls.gov/news.release/ecec.t01.htm</vt:lpwstr>
      </vt:variant>
      <vt:variant>
        <vt:lpwstr/>
      </vt:variant>
      <vt:variant>
        <vt:i4>7340045</vt:i4>
      </vt:variant>
      <vt:variant>
        <vt:i4>10</vt:i4>
      </vt:variant>
      <vt:variant>
        <vt:i4>0</vt:i4>
      </vt:variant>
      <vt:variant>
        <vt:i4>5</vt:i4>
      </vt:variant>
      <vt:variant>
        <vt:lpwstr>http://www.bls.gov/oes/current/oes_stru.htm</vt:lpwstr>
      </vt:variant>
      <vt:variant>
        <vt:lpwstr/>
      </vt:variant>
      <vt:variant>
        <vt:i4>3407967</vt:i4>
      </vt:variant>
      <vt:variant>
        <vt:i4>7</vt:i4>
      </vt:variant>
      <vt:variant>
        <vt:i4>0</vt:i4>
      </vt:variant>
      <vt:variant>
        <vt:i4>5</vt:i4>
      </vt:variant>
      <vt:variant>
        <vt:lpwstr>http://www.bls.gov/oes/current/oes_nat.htm</vt:lpwstr>
      </vt:variant>
      <vt:variant>
        <vt:lpwstr/>
      </vt:variant>
      <vt:variant>
        <vt:i4>2228323</vt:i4>
      </vt:variant>
      <vt:variant>
        <vt:i4>4</vt:i4>
      </vt:variant>
      <vt:variant>
        <vt:i4>0</vt:i4>
      </vt:variant>
      <vt:variant>
        <vt:i4>5</vt:i4>
      </vt:variant>
      <vt:variant>
        <vt:lpwstr>http://www.bls.gov/opub/ted/2006/sept/wk4/art01.htm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dc:title>
  <dc:subject/>
  <dc:creator>kboyle</dc:creator>
  <cp:keywords/>
  <dc:description/>
  <cp:lastModifiedBy>EPA</cp:lastModifiedBy>
  <cp:revision>3</cp:revision>
  <cp:lastPrinted>2012-03-14T16:18:00Z</cp:lastPrinted>
  <dcterms:created xsi:type="dcterms:W3CDTF">2012-07-06T17:54:00Z</dcterms:created>
  <dcterms:modified xsi:type="dcterms:W3CDTF">2012-07-06T17:57:00Z</dcterms:modified>
</cp:coreProperties>
</file>