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8426D4" w:rsidRDefault="008A42CE" w:rsidP="00A7661C">
      <w:pPr>
        <w:tabs>
          <w:tab w:val="center" w:pos="4680"/>
        </w:tabs>
        <w:jc w:val="center"/>
        <w:rPr>
          <w:b/>
          <w:bCs/>
        </w:rPr>
      </w:pPr>
      <w:r>
        <w:rPr>
          <w:b/>
          <w:bCs/>
        </w:rPr>
        <w:softHyphen/>
      </w:r>
      <w:r w:rsidR="00D141F5" w:rsidRPr="008426D4">
        <w:rPr>
          <w:b/>
          <w:bCs/>
        </w:rPr>
        <w:fldChar w:fldCharType="begin"/>
      </w:r>
      <w:r w:rsidR="00CA4CD6" w:rsidRPr="008426D4">
        <w:rPr>
          <w:b/>
          <w:bCs/>
        </w:rPr>
        <w:instrText>tc \l2 "SF</w:instrText>
      </w:r>
      <w:r w:rsidR="00D141F5" w:rsidRPr="008426D4">
        <w:rPr>
          <w:b/>
          <w:bCs/>
        </w:rPr>
        <w:fldChar w:fldCharType="end"/>
      </w:r>
      <w:r w:rsidR="00CA4CD6" w:rsidRPr="008426D4">
        <w:rPr>
          <w:b/>
          <w:bCs/>
        </w:rPr>
        <w:t>SUPPORTING STATEMENT</w:t>
      </w:r>
    </w:p>
    <w:p w:rsidR="00CA4CD6" w:rsidRPr="008426D4" w:rsidRDefault="00CA4CD6" w:rsidP="00504745">
      <w:pPr>
        <w:tabs>
          <w:tab w:val="center" w:pos="4680"/>
        </w:tabs>
        <w:outlineLvl w:val="0"/>
      </w:pPr>
      <w:r w:rsidRPr="008426D4">
        <w:rPr>
          <w:b/>
          <w:bCs/>
        </w:rPr>
        <w:tab/>
        <w:t>ENVIRONMENTAL PROTECTION AGENCY</w:t>
      </w:r>
    </w:p>
    <w:p w:rsidR="00CA4CD6" w:rsidRPr="008426D4" w:rsidRDefault="00CA4CD6">
      <w:pPr>
        <w:tabs>
          <w:tab w:val="center" w:pos="4680"/>
        </w:tabs>
      </w:pPr>
      <w:r w:rsidRPr="008426D4">
        <w:tab/>
      </w:r>
    </w:p>
    <w:p w:rsidR="00CA4CD6" w:rsidRPr="008426D4" w:rsidRDefault="008426D4">
      <w:r w:rsidRPr="008426D4">
        <w:rPr>
          <w:b/>
        </w:rPr>
        <w:t xml:space="preserve">NESHAP for Beryllium (40 CFR </w:t>
      </w:r>
      <w:r>
        <w:rPr>
          <w:b/>
        </w:rPr>
        <w:t>P</w:t>
      </w:r>
      <w:r w:rsidRPr="008426D4">
        <w:rPr>
          <w:b/>
        </w:rPr>
        <w:t xml:space="preserve">art 61, </w:t>
      </w:r>
      <w:r>
        <w:rPr>
          <w:b/>
        </w:rPr>
        <w:t>S</w:t>
      </w:r>
      <w:r w:rsidRPr="008426D4">
        <w:rPr>
          <w:b/>
        </w:rPr>
        <w:t>ubpart C)</w:t>
      </w:r>
      <w:r w:rsidR="002B29A5" w:rsidRPr="008426D4">
        <w:rPr>
          <w:b/>
        </w:rPr>
        <w:t xml:space="preserve">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Pr="008426D4" w:rsidRDefault="00CA4CD6">
      <w:pPr>
        <w:rPr>
          <w:b/>
          <w:bCs/>
        </w:rPr>
      </w:pPr>
    </w:p>
    <w:p w:rsidR="00CA4CD6" w:rsidRPr="008426D4" w:rsidRDefault="00CA4CD6">
      <w:pPr>
        <w:ind w:firstLine="720"/>
        <w:rPr>
          <w:b/>
          <w:bCs/>
        </w:rPr>
      </w:pPr>
      <w:r w:rsidRPr="008426D4">
        <w:rPr>
          <w:b/>
          <w:bCs/>
        </w:rPr>
        <w:t>1(a</w:t>
      </w:r>
      <w:proofErr w:type="gramStart"/>
      <w:r w:rsidRPr="008426D4">
        <w:rPr>
          <w:b/>
          <w:bCs/>
        </w:rPr>
        <w:t>)  Title</w:t>
      </w:r>
      <w:proofErr w:type="gramEnd"/>
      <w:r w:rsidRPr="008426D4">
        <w:rPr>
          <w:b/>
          <w:bCs/>
        </w:rPr>
        <w:t xml:space="preserve"> of the Information Collection</w:t>
      </w:r>
    </w:p>
    <w:p w:rsidR="00CA4CD6" w:rsidRPr="008426D4" w:rsidRDefault="00CA4CD6">
      <w:pPr>
        <w:rPr>
          <w:b/>
          <w:bCs/>
        </w:rPr>
      </w:pPr>
    </w:p>
    <w:p w:rsidR="00CA4CD6" w:rsidRPr="008426D4" w:rsidRDefault="008426D4" w:rsidP="002B29A5">
      <w:pPr>
        <w:rPr>
          <w:bCs/>
        </w:rPr>
      </w:pPr>
      <w:r w:rsidRPr="008426D4">
        <w:rPr>
          <w:bCs/>
        </w:rPr>
        <w:t xml:space="preserve">NESHAP for Beryllium (40 CFR Part 61, Subpart C) </w:t>
      </w:r>
      <w:r w:rsidR="002B29A5" w:rsidRPr="008426D4">
        <w:rPr>
          <w:bCs/>
        </w:rPr>
        <w:t xml:space="preserve">(Renewal), </w:t>
      </w:r>
      <w:r w:rsidR="003468FD" w:rsidRPr="008426D4">
        <w:rPr>
          <w:bCs/>
        </w:rPr>
        <w:t xml:space="preserve">EPA ICR Number 0193.11, </w:t>
      </w:r>
      <w:r w:rsidR="009E6566">
        <w:rPr>
          <w:bCs/>
        </w:rPr>
        <w:t xml:space="preserve">                                            </w:t>
      </w:r>
      <w:r w:rsidR="002B29A5" w:rsidRPr="008426D4">
        <w:rPr>
          <w:bCs/>
        </w:rPr>
        <w:t xml:space="preserve">OMB Control Number </w:t>
      </w:r>
      <w:r w:rsidRPr="008426D4">
        <w:rPr>
          <w:bCs/>
        </w:rPr>
        <w:t>2060-0092</w:t>
      </w:r>
      <w:r w:rsidR="002B29A5" w:rsidRPr="008426D4">
        <w:rPr>
          <w:bCs/>
        </w:rPr>
        <w:t xml:space="preserve"> </w:t>
      </w:r>
    </w:p>
    <w:p w:rsidR="00CA4CD6" w:rsidRPr="008426D4" w:rsidRDefault="00CA4CD6">
      <w:pPr>
        <w:rPr>
          <w:b/>
          <w:bCs/>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rsidP="005D6195">
      <w:pPr>
        <w:ind w:firstLine="720"/>
        <w:rPr>
          <w:color w:val="000000"/>
        </w:rPr>
      </w:pPr>
      <w:r w:rsidRPr="005D6195">
        <w:rPr>
          <w:color w:val="000000"/>
        </w:rPr>
        <w:t>The</w:t>
      </w:r>
      <w:r w:rsidR="005D6195" w:rsidRPr="005D6195">
        <w:rPr>
          <w:color w:val="000000"/>
        </w:rPr>
        <w:t xml:space="preserve"> National Emission Standards for Hazardous Air Pollutants (NESHAP)</w:t>
      </w:r>
      <w:r w:rsidR="005D6195">
        <w:rPr>
          <w:color w:val="000000"/>
        </w:rPr>
        <w:t xml:space="preserve"> </w:t>
      </w:r>
      <w:r w:rsidRPr="005D6195">
        <w:rPr>
          <w:color w:val="000000"/>
        </w:rPr>
        <w:t xml:space="preserve">for </w:t>
      </w:r>
      <w:r w:rsidR="004C1770">
        <w:rPr>
          <w:color w:val="000000"/>
        </w:rPr>
        <w:t>Beryllium</w:t>
      </w:r>
      <w:r w:rsidRPr="005D6195">
        <w:rPr>
          <w:color w:val="000000"/>
        </w:rPr>
        <w:t xml:space="preserve"> were</w:t>
      </w:r>
      <w:r w:rsidR="003468FD">
        <w:rPr>
          <w:color w:val="000000"/>
        </w:rPr>
        <w:t>: 1)</w:t>
      </w:r>
      <w:r w:rsidRPr="005D6195">
        <w:rPr>
          <w:color w:val="000000"/>
        </w:rPr>
        <w:t xml:space="preserve"> proposed on</w:t>
      </w:r>
      <w:r w:rsidR="005D6195">
        <w:rPr>
          <w:color w:val="000000"/>
        </w:rPr>
        <w:t xml:space="preserve"> </w:t>
      </w:r>
      <w:r w:rsidR="005D6195" w:rsidRPr="005D6195">
        <w:rPr>
          <w:color w:val="000000"/>
        </w:rPr>
        <w:t xml:space="preserve">December 7, 1971 (36 </w:t>
      </w:r>
      <w:r w:rsidR="005D6195" w:rsidRPr="003468FD">
        <w:rPr>
          <w:color w:val="000000"/>
          <w:u w:val="single"/>
        </w:rPr>
        <w:t>FR</w:t>
      </w:r>
      <w:r w:rsidR="005D6195">
        <w:rPr>
          <w:color w:val="000000"/>
        </w:rPr>
        <w:t xml:space="preserve"> </w:t>
      </w:r>
      <w:r w:rsidR="005D6195" w:rsidRPr="005D6195">
        <w:rPr>
          <w:color w:val="000000"/>
        </w:rPr>
        <w:t>23939)</w:t>
      </w:r>
      <w:r w:rsidR="003468FD">
        <w:rPr>
          <w:color w:val="000000"/>
        </w:rPr>
        <w:t>; 2)</w:t>
      </w:r>
      <w:r w:rsidRPr="005D6195">
        <w:rPr>
          <w:color w:val="000000"/>
        </w:rPr>
        <w:t xml:space="preserve"> promulgated on</w:t>
      </w:r>
      <w:r w:rsidR="005D6195">
        <w:rPr>
          <w:color w:val="000000"/>
        </w:rPr>
        <w:t xml:space="preserve"> </w:t>
      </w:r>
      <w:r w:rsidR="005D6195" w:rsidRPr="005D6195">
        <w:rPr>
          <w:color w:val="000000"/>
        </w:rPr>
        <w:t xml:space="preserve">April 6, 1973 (38 </w:t>
      </w:r>
      <w:r w:rsidR="005D6195" w:rsidRPr="003468FD">
        <w:rPr>
          <w:color w:val="000000"/>
          <w:u w:val="single"/>
        </w:rPr>
        <w:t>FR</w:t>
      </w:r>
      <w:r w:rsidR="005D6195" w:rsidRPr="005D6195">
        <w:rPr>
          <w:color w:val="000000"/>
        </w:rPr>
        <w:t xml:space="preserve"> 8826)</w:t>
      </w:r>
      <w:r w:rsidR="003468FD">
        <w:rPr>
          <w:color w:val="000000"/>
        </w:rPr>
        <w:t>;</w:t>
      </w:r>
      <w:r w:rsidR="00BE1C7D">
        <w:rPr>
          <w:color w:val="000000"/>
        </w:rPr>
        <w:t xml:space="preserve"> and </w:t>
      </w:r>
      <w:r w:rsidR="003468FD">
        <w:rPr>
          <w:color w:val="000000"/>
        </w:rPr>
        <w:t xml:space="preserve">3) </w:t>
      </w:r>
      <w:r w:rsidR="00BE1C7D">
        <w:rPr>
          <w:color w:val="000000"/>
        </w:rPr>
        <w:t>last amended on October 17, 2000</w:t>
      </w:r>
      <w:r w:rsidRPr="005D6195">
        <w:rPr>
          <w:color w:val="000000"/>
        </w:rPr>
        <w:t xml:space="preserve">.  These regulations apply </w:t>
      </w:r>
      <w:r w:rsidR="00724BC7" w:rsidRPr="005D6195">
        <w:rPr>
          <w:color w:val="000000"/>
        </w:rPr>
        <w:t xml:space="preserve">to </w:t>
      </w:r>
      <w:r w:rsidR="005D6195" w:rsidRPr="005D6195">
        <w:rPr>
          <w:color w:val="000000"/>
        </w:rPr>
        <w:t>all extraction plants, ceramic plants, foundries, incinerators, and propellant plants which process beryllium ore, beryllium, beryllium oxide</w:t>
      </w:r>
      <w:r w:rsidR="005D6195">
        <w:rPr>
          <w:color w:val="000000"/>
        </w:rPr>
        <w:t>s</w:t>
      </w:r>
      <w:r w:rsidR="005D6195" w:rsidRPr="005D6195">
        <w:rPr>
          <w:color w:val="000000"/>
        </w:rPr>
        <w:t xml:space="preserve">, beryllium alloys, or beryllium-containing waste.  The </w:t>
      </w:r>
      <w:r w:rsidR="005D6195">
        <w:rPr>
          <w:color w:val="000000"/>
        </w:rPr>
        <w:t xml:space="preserve">regulations </w:t>
      </w:r>
      <w:r w:rsidR="005D6195" w:rsidRPr="005D6195">
        <w:rPr>
          <w:color w:val="000000"/>
        </w:rPr>
        <w:t xml:space="preserve">also </w:t>
      </w:r>
      <w:r w:rsidR="005D6195">
        <w:rPr>
          <w:color w:val="000000"/>
        </w:rPr>
        <w:t xml:space="preserve">apply </w:t>
      </w:r>
      <w:r w:rsidR="005D6195" w:rsidRPr="005D6195">
        <w:rPr>
          <w:color w:val="000000"/>
        </w:rPr>
        <w:t xml:space="preserve">to machine shops which process beryllium, beryllium oxides, or any alloy when such alloy contains more than 5 percent beryllium by weight.  All sources known to have caused, or to have the potential to cause, dangerous levels of beryllium in the ambient air are covered by the </w:t>
      </w:r>
      <w:r w:rsidR="005D6195">
        <w:rPr>
          <w:color w:val="000000"/>
        </w:rPr>
        <w:t>standard</w:t>
      </w:r>
      <w:r w:rsidR="005D6195" w:rsidRPr="005D6195">
        <w:rPr>
          <w:color w:val="000000"/>
        </w:rPr>
        <w:t>.</w:t>
      </w:r>
      <w:r w:rsidR="005D6195">
        <w:rPr>
          <w:color w:val="000000"/>
        </w:rPr>
        <w:t xml:space="preserve">  </w:t>
      </w:r>
      <w:r>
        <w:rPr>
          <w:color w:val="000000"/>
        </w:rPr>
        <w:t xml:space="preserve">This information is being collected to assure compliance with 40 CFR </w:t>
      </w:r>
      <w:proofErr w:type="gramStart"/>
      <w:r>
        <w:rPr>
          <w:color w:val="000000"/>
        </w:rPr>
        <w:t>part</w:t>
      </w:r>
      <w:proofErr w:type="gramEnd"/>
      <w:r>
        <w:rPr>
          <w:color w:val="000000"/>
        </w:rPr>
        <w:t xml:space="preserve"> </w:t>
      </w:r>
      <w:r w:rsidR="005D6195">
        <w:rPr>
          <w:color w:val="000000"/>
        </w:rPr>
        <w:t>61</w:t>
      </w:r>
      <w:r>
        <w:rPr>
          <w:color w:val="000000"/>
        </w:rPr>
        <w:t xml:space="preserve">, subpart </w:t>
      </w:r>
      <w:r w:rsidR="005D6195">
        <w:rPr>
          <w:color w:val="000000"/>
        </w:rPr>
        <w:t>C</w:t>
      </w:r>
      <w:r>
        <w:rPr>
          <w:color w:val="000000"/>
        </w:rPr>
        <w:t>.</w:t>
      </w:r>
    </w:p>
    <w:p w:rsidR="005D6195" w:rsidRDefault="005D6195">
      <w:pPr>
        <w:ind w:firstLine="720"/>
        <w:rPr>
          <w:color w:val="000000"/>
        </w:rPr>
      </w:pPr>
    </w:p>
    <w:p w:rsidR="00CA4CD6" w:rsidRDefault="00CA4CD6">
      <w:pPr>
        <w:ind w:firstLine="720"/>
        <w:rPr>
          <w:color w:val="000000"/>
        </w:rPr>
      </w:pPr>
      <w:r>
        <w:rPr>
          <w:color w:val="000000"/>
        </w:rPr>
        <w:t xml:space="preserve">In </w:t>
      </w:r>
      <w:r w:rsidRPr="005D6195">
        <w:t>general, all</w:t>
      </w:r>
      <w:r w:rsidR="005D6195" w:rsidRPr="005D6195">
        <w:t xml:space="preserve"> NESHAP </w:t>
      </w:r>
      <w:r w:rsidRPr="005D6195">
        <w:t>standards require initial notification</w:t>
      </w:r>
      <w:r w:rsidR="003468FD">
        <w:t xml:space="preserve"> report</w:t>
      </w:r>
      <w:r w:rsidRPr="005D6195">
        <w:t>s, performance tests, and periodic reports by</w:t>
      </w:r>
      <w:r>
        <w:rPr>
          <w:color w:val="000000"/>
        </w:rPr>
        <w:t xml:space="preserve"> the owners/operators of the affected facilities.  They are also required </w:t>
      </w:r>
      <w:r w:rsidR="003468FD">
        <w:rPr>
          <w:color w:val="000000"/>
        </w:rPr>
        <w:t xml:space="preserve">   </w:t>
      </w:r>
      <w:r>
        <w:rPr>
          <w:color w:val="000000"/>
        </w:rPr>
        <w:t xml:space="preserve">to maintain records of the occurrence and duration of any startup, shutdown, or malfunction </w:t>
      </w:r>
      <w:r w:rsidR="003468FD">
        <w:rPr>
          <w:color w:val="000000"/>
        </w:rPr>
        <w:t xml:space="preserve">     </w:t>
      </w:r>
      <w:r>
        <w:rPr>
          <w:color w:val="000000"/>
        </w:rPr>
        <w:t>in the operation of an affected facility, or any period during which the monitoring system is inoperative.  These notifications, reports, and records are essential in determining compliance, and are required of all affected facilities subject to</w:t>
      </w:r>
      <w:r w:rsidR="005D6195">
        <w:rPr>
          <w:color w:val="000000"/>
        </w:rPr>
        <w:t xml:space="preserve"> NESHAP</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990752">
        <w:rPr>
          <w:color w:val="000000"/>
        </w:rPr>
        <w:t xml:space="preserve"> </w:t>
      </w:r>
      <w:r w:rsidR="006F0EDD">
        <w:rPr>
          <w:color w:val="000000"/>
        </w:rPr>
        <w:t>two</w:t>
      </w:r>
      <w:r w:rsidR="00990752">
        <w:rPr>
          <w:color w:val="000000"/>
        </w:rPr>
        <w:t xml:space="preserve"> </w:t>
      </w:r>
      <w:r>
        <w:rPr>
          <w:color w:val="000000"/>
        </w:rPr>
        <w:t xml:space="preserve">years following the date of such measurements, maintenance reports, and records.  All reports are sent to the delegated state or local authority.  </w:t>
      </w:r>
      <w:r w:rsidR="003468FD">
        <w:rPr>
          <w:color w:val="000000"/>
        </w:rPr>
        <w:t xml:space="preserve"> </w:t>
      </w:r>
      <w:r>
        <w:rPr>
          <w:color w:val="000000"/>
        </w:rPr>
        <w:t>In the event that there is no such delegated authority, the reports are sent directly to the U</w:t>
      </w:r>
      <w:r w:rsidR="003468FD">
        <w:rPr>
          <w:color w:val="000000"/>
        </w:rPr>
        <w:t>.</w:t>
      </w:r>
      <w:r>
        <w:rPr>
          <w:color w:val="000000"/>
        </w:rPr>
        <w:t xml:space="preserve"> S</w:t>
      </w:r>
      <w:r w:rsidR="003468FD">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5D6195" w:rsidRDefault="00CA4CD6" w:rsidP="0099075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990752">
        <w:rPr>
          <w:color w:val="000000"/>
        </w:rPr>
        <w:t>is</w:t>
      </w:r>
      <w:r>
        <w:rPr>
          <w:color w:val="000000"/>
        </w:rPr>
        <w:t xml:space="preserve"> an average of </w:t>
      </w:r>
      <w:r w:rsidR="00990752">
        <w:rPr>
          <w:color w:val="000000"/>
        </w:rPr>
        <w:t xml:space="preserve">one </w:t>
      </w:r>
      <w:r>
        <w:rPr>
          <w:color w:val="000000"/>
        </w:rPr>
        <w:t xml:space="preserve">affected </w:t>
      </w:r>
      <w:r w:rsidR="00990752">
        <w:rPr>
          <w:color w:val="000000"/>
        </w:rPr>
        <w:t xml:space="preserve">facility at </w:t>
      </w:r>
      <w:r>
        <w:rPr>
          <w:color w:val="000000"/>
        </w:rPr>
        <w:t>each plant site</w:t>
      </w:r>
      <w:r w:rsidR="00990752">
        <w:rPr>
          <w:color w:val="000000"/>
        </w:rPr>
        <w:t>,</w:t>
      </w:r>
      <w:r>
        <w:rPr>
          <w:color w:val="000000"/>
        </w:rPr>
        <w:t xml:space="preserve"> and each plant site has only one respondent (i.e., the owner/operator of the plant site).</w:t>
      </w:r>
    </w:p>
    <w:p w:rsidR="00C60B12" w:rsidRPr="005D6195" w:rsidRDefault="00C60B12" w:rsidP="00990752">
      <w:pPr>
        <w:ind w:firstLine="720"/>
        <w:rPr>
          <w:color w:val="000000"/>
        </w:rPr>
      </w:pPr>
    </w:p>
    <w:p w:rsidR="00C60B12" w:rsidRPr="008B62DA" w:rsidRDefault="00E10DA7" w:rsidP="00D1527A">
      <w:pPr>
        <w:ind w:firstLine="720"/>
      </w:pPr>
      <w:r>
        <w:rPr>
          <w:color w:val="000000"/>
        </w:rPr>
        <w:t xml:space="preserve">Over the next three </w:t>
      </w:r>
      <w:r w:rsidRPr="00D1527A">
        <w:rPr>
          <w:color w:val="000000"/>
        </w:rPr>
        <w:t>years, an average of</w:t>
      </w:r>
      <w:r w:rsidR="00C60B12" w:rsidRPr="00D1527A">
        <w:rPr>
          <w:color w:val="000000"/>
        </w:rPr>
        <w:t xml:space="preserve"> </w:t>
      </w:r>
      <w:r w:rsidR="00D1527A" w:rsidRPr="00D1527A">
        <w:rPr>
          <w:color w:val="000000"/>
        </w:rPr>
        <w:t>33</w:t>
      </w:r>
      <w:r w:rsidR="00C60B12" w:rsidRPr="00D1527A">
        <w:rPr>
          <w:color w:val="000000"/>
        </w:rPr>
        <w:t xml:space="preserve"> </w:t>
      </w:r>
      <w:r w:rsidR="00CA4CD6" w:rsidRPr="00D1527A">
        <w:rPr>
          <w:color w:val="000000"/>
        </w:rPr>
        <w:t xml:space="preserve">respondents </w:t>
      </w:r>
      <w:r w:rsidRPr="00D1527A">
        <w:rPr>
          <w:color w:val="000000"/>
        </w:rPr>
        <w:t>per year will be subject to the standard</w:t>
      </w:r>
      <w:r w:rsidR="00CA4CD6" w:rsidRPr="00D1527A">
        <w:rPr>
          <w:color w:val="000000"/>
        </w:rPr>
        <w:t>, and</w:t>
      </w:r>
      <w:r w:rsidR="00D1527A" w:rsidRPr="00D1527A">
        <w:rPr>
          <w:color w:val="000000"/>
        </w:rPr>
        <w:t xml:space="preserve"> no </w:t>
      </w:r>
      <w:r w:rsidRPr="00D1527A">
        <w:rPr>
          <w:color w:val="000000"/>
        </w:rPr>
        <w:t xml:space="preserve">additional </w:t>
      </w:r>
      <w:r w:rsidR="00CA4CD6" w:rsidRPr="00D1527A">
        <w:rPr>
          <w:color w:val="000000"/>
        </w:rPr>
        <w:t xml:space="preserve">respondents </w:t>
      </w:r>
      <w:r w:rsidRPr="00D1527A">
        <w:rPr>
          <w:color w:val="000000"/>
        </w:rPr>
        <w:t xml:space="preserve">per year </w:t>
      </w:r>
      <w:r w:rsidR="00CA4CD6" w:rsidRPr="00D1527A">
        <w:rPr>
          <w:color w:val="000000"/>
        </w:rPr>
        <w:t xml:space="preserve">will become subject to the </w:t>
      </w:r>
      <w:r w:rsidRPr="00D1527A">
        <w:rPr>
          <w:color w:val="000000"/>
        </w:rPr>
        <w:t xml:space="preserve">standard.  </w:t>
      </w:r>
      <w:r w:rsidR="00D1527A" w:rsidRPr="00D1527A">
        <w:rPr>
          <w:color w:val="000000"/>
        </w:rPr>
        <w:t xml:space="preserve">Note that </w:t>
      </w:r>
      <w:r w:rsidR="008B62DA">
        <w:rPr>
          <w:color w:val="000000"/>
        </w:rPr>
        <w:t xml:space="preserve">of a total of </w:t>
      </w:r>
      <w:r w:rsidR="00D1527A" w:rsidRPr="00D1527A">
        <w:rPr>
          <w:color w:val="000000"/>
        </w:rPr>
        <w:t xml:space="preserve">approximately </w:t>
      </w:r>
      <w:r w:rsidR="00C60B12" w:rsidRPr="00D1527A">
        <w:rPr>
          <w:color w:val="000000"/>
        </w:rPr>
        <w:t>236 existing sources</w:t>
      </w:r>
      <w:r w:rsidR="008B62DA">
        <w:rPr>
          <w:color w:val="000000"/>
        </w:rPr>
        <w:t xml:space="preserve">, </w:t>
      </w:r>
      <w:r w:rsidR="00C60B12" w:rsidRPr="00D1527A">
        <w:rPr>
          <w:color w:val="000000"/>
        </w:rPr>
        <w:t xml:space="preserve">we assume approximately 10 sources have elected to comply with </w:t>
      </w:r>
      <w:r w:rsidR="00D1527A" w:rsidRPr="00D1527A">
        <w:rPr>
          <w:color w:val="000000"/>
        </w:rPr>
        <w:t>the</w:t>
      </w:r>
      <w:r w:rsidR="00C60B12" w:rsidRPr="00D1527A">
        <w:rPr>
          <w:color w:val="000000"/>
        </w:rPr>
        <w:t xml:space="preserve"> rule by monitoring ambient air beryllium concentrations</w:t>
      </w:r>
      <w:r w:rsidR="00D1527A" w:rsidRPr="00D1527A">
        <w:rPr>
          <w:color w:val="000000"/>
        </w:rPr>
        <w:t xml:space="preserve">, </w:t>
      </w:r>
      <w:r w:rsidR="003468FD">
        <w:rPr>
          <w:color w:val="000000"/>
        </w:rPr>
        <w:t>while</w:t>
      </w:r>
      <w:r w:rsidR="00D1527A" w:rsidRPr="00D1527A">
        <w:rPr>
          <w:color w:val="000000"/>
        </w:rPr>
        <w:t xml:space="preserve"> the remaining </w:t>
      </w:r>
      <w:r w:rsidR="00C60B12" w:rsidRPr="00D1527A">
        <w:rPr>
          <w:color w:val="000000"/>
        </w:rPr>
        <w:t xml:space="preserve">226 sources have elected to comply </w:t>
      </w:r>
      <w:r w:rsidR="00D1527A" w:rsidRPr="00D1527A">
        <w:rPr>
          <w:color w:val="000000"/>
        </w:rPr>
        <w:t>by conducting a one-time-</w:t>
      </w:r>
      <w:r w:rsidR="00C60B12" w:rsidRPr="00D1527A">
        <w:rPr>
          <w:color w:val="000000"/>
        </w:rPr>
        <w:t xml:space="preserve">only stack test.  We </w:t>
      </w:r>
      <w:r w:rsidR="00C60B12" w:rsidRPr="00D1527A">
        <w:rPr>
          <w:color w:val="000000"/>
        </w:rPr>
        <w:lastRenderedPageBreak/>
        <w:t xml:space="preserve">also </w:t>
      </w:r>
      <w:r w:rsidR="00D1527A" w:rsidRPr="00D1527A">
        <w:rPr>
          <w:color w:val="000000"/>
        </w:rPr>
        <w:t xml:space="preserve">have </w:t>
      </w:r>
      <w:r w:rsidR="00C60B12" w:rsidRPr="00D1527A">
        <w:rPr>
          <w:color w:val="000000"/>
        </w:rPr>
        <w:t>assumed that 10 percent of the 226 sources (</w:t>
      </w:r>
      <w:r w:rsidR="00AA4103">
        <w:rPr>
          <w:color w:val="000000"/>
        </w:rPr>
        <w:t xml:space="preserve">i.e., </w:t>
      </w:r>
      <w:r w:rsidR="00C60B12" w:rsidRPr="00D1527A">
        <w:rPr>
          <w:color w:val="000000"/>
        </w:rPr>
        <w:t>23 respondents) will engage in</w:t>
      </w:r>
      <w:r w:rsidR="00AA4103">
        <w:rPr>
          <w:color w:val="000000"/>
        </w:rPr>
        <w:t xml:space="preserve"> </w:t>
      </w:r>
      <w:r w:rsidR="00C60B12" w:rsidRPr="00D1527A">
        <w:rPr>
          <w:color w:val="000000"/>
        </w:rPr>
        <w:t>operational change</w:t>
      </w:r>
      <w:r w:rsidR="00AA4103">
        <w:rPr>
          <w:color w:val="000000"/>
        </w:rPr>
        <w:t xml:space="preserve">s that will require them to </w:t>
      </w:r>
      <w:r w:rsidR="00C60B12" w:rsidRPr="00D1527A">
        <w:rPr>
          <w:color w:val="000000"/>
        </w:rPr>
        <w:t>repeat stack test</w:t>
      </w:r>
      <w:r w:rsidR="00AA4103">
        <w:rPr>
          <w:color w:val="000000"/>
        </w:rPr>
        <w:t>ing</w:t>
      </w:r>
      <w:r w:rsidR="00C60B12" w:rsidRPr="00D1527A">
        <w:rPr>
          <w:color w:val="000000"/>
        </w:rPr>
        <w:t xml:space="preserve"> </w:t>
      </w:r>
      <w:r w:rsidR="00D1527A" w:rsidRPr="00D1527A">
        <w:rPr>
          <w:color w:val="000000"/>
        </w:rPr>
        <w:t xml:space="preserve">and </w:t>
      </w:r>
      <w:r w:rsidR="00AA4103">
        <w:rPr>
          <w:color w:val="000000"/>
        </w:rPr>
        <w:t xml:space="preserve">to carry out </w:t>
      </w:r>
      <w:r w:rsidR="00D1527A" w:rsidRPr="00D1527A">
        <w:rPr>
          <w:color w:val="000000"/>
        </w:rPr>
        <w:t xml:space="preserve">subsequent </w:t>
      </w:r>
      <w:r w:rsidR="00C60B12" w:rsidRPr="00D1527A">
        <w:rPr>
          <w:color w:val="000000"/>
        </w:rPr>
        <w:t>recordkeeping and reporting requirements.</w:t>
      </w:r>
    </w:p>
    <w:p w:rsidR="00D1527A" w:rsidRPr="008B62DA" w:rsidRDefault="00D1527A" w:rsidP="00C60B12">
      <w:pPr>
        <w:ind w:firstLine="720"/>
      </w:pPr>
    </w:p>
    <w:p w:rsidR="008B62DA" w:rsidRPr="008B62DA" w:rsidRDefault="008B62DA" w:rsidP="008B62DA">
      <w:pPr>
        <w:pBdr>
          <w:top w:val="single" w:sz="6" w:space="0" w:color="FFFFFF"/>
          <w:left w:val="single" w:sz="6" w:space="0" w:color="FFFFFF"/>
          <w:bottom w:val="single" w:sz="6" w:space="0" w:color="FFFFFF"/>
          <w:right w:val="single" w:sz="6" w:space="0" w:color="FFFFFF"/>
        </w:pBdr>
        <w:ind w:firstLine="720"/>
      </w:pPr>
      <w:r w:rsidRPr="008B62DA">
        <w:t>OMB approved the currently active ICR without any “Terms of Clearance.”</w:t>
      </w:r>
    </w:p>
    <w:p w:rsidR="00990752" w:rsidRPr="008B62DA" w:rsidRDefault="00990752">
      <w:pPr>
        <w:pBdr>
          <w:top w:val="single" w:sz="6" w:space="0" w:color="FFFFFF"/>
          <w:left w:val="single" w:sz="6" w:space="0" w:color="FFFFFF"/>
          <w:bottom w:val="single" w:sz="6" w:space="0" w:color="FFFFFF"/>
          <w:right w:val="single" w:sz="6" w:space="0" w:color="FFFFFF"/>
        </w:pBdr>
        <w:ind w:firstLine="720"/>
      </w:pPr>
    </w:p>
    <w:p w:rsidR="00990752" w:rsidRPr="00990752" w:rsidRDefault="009D6567" w:rsidP="002B29A5">
      <w:r w:rsidRPr="008B62DA">
        <w:tab/>
      </w:r>
      <w:r w:rsidR="00990752" w:rsidRPr="008B62DA">
        <w:t xml:space="preserve">The “Affected Public” </w:t>
      </w:r>
      <w:proofErr w:type="gramStart"/>
      <w:r w:rsidR="00990752" w:rsidRPr="008B62DA">
        <w:t>are</w:t>
      </w:r>
      <w:proofErr w:type="gramEnd"/>
      <w:r w:rsidR="00990752" w:rsidRPr="008B62DA">
        <w:t xml:space="preserve"> owners or operators of beryllium industry facilities.  </w:t>
      </w:r>
      <w:r w:rsidR="002B29A5" w:rsidRPr="008B62DA">
        <w:t xml:space="preserve">The </w:t>
      </w:r>
      <w:r w:rsidR="003468FD">
        <w:t>“</w:t>
      </w:r>
      <w:r w:rsidR="002B29A5" w:rsidRPr="008B62DA">
        <w:t>burden</w:t>
      </w:r>
      <w:r w:rsidR="003468FD">
        <w:t>”</w:t>
      </w:r>
      <w:r w:rsidR="004A4B25" w:rsidRPr="008B62DA">
        <w:t xml:space="preserve"> to the “Affected Public” ma</w:t>
      </w:r>
      <w:r w:rsidR="004A4B25" w:rsidRPr="00990752">
        <w:t xml:space="preserve">y be found </w:t>
      </w:r>
      <w:r w:rsidR="00BE1C7D">
        <w:t xml:space="preserve">below </w:t>
      </w:r>
      <w:r w:rsidR="004A4B25" w:rsidRPr="00990752">
        <w:t>in Table 1</w:t>
      </w:r>
      <w:r w:rsidR="002B29A5" w:rsidRPr="00990752">
        <w:t xml:space="preserve">: Annual Respondent </w:t>
      </w:r>
      <w:proofErr w:type="gramStart"/>
      <w:r w:rsidR="002B29A5" w:rsidRPr="00990752">
        <w:t xml:space="preserve">Burden </w:t>
      </w:r>
      <w:r w:rsidR="003468FD">
        <w:t xml:space="preserve"> </w:t>
      </w:r>
      <w:r w:rsidR="002B29A5" w:rsidRPr="00990752">
        <w:t>and</w:t>
      </w:r>
      <w:proofErr w:type="gramEnd"/>
      <w:r w:rsidR="002B29A5" w:rsidRPr="00990752">
        <w:t xml:space="preserve"> Cost –</w:t>
      </w:r>
      <w:r w:rsidR="008426D4" w:rsidRPr="00990752">
        <w:t xml:space="preserve"> NESHAP for Beryllium (40 CFR Part 61, Subpart C) (Renewal)</w:t>
      </w:r>
      <w:r w:rsidR="004A4B25" w:rsidRPr="00990752">
        <w:t xml:space="preserve">.  </w:t>
      </w:r>
      <w:r w:rsidR="00990752" w:rsidRPr="00990752">
        <w:t>T</w:t>
      </w:r>
      <w:r w:rsidRPr="00990752">
        <w:t xml:space="preserve">he </w:t>
      </w:r>
      <w:r w:rsidR="004A4B25" w:rsidRPr="00990752">
        <w:t xml:space="preserve">burden to the </w:t>
      </w:r>
      <w:r w:rsidRPr="00990752">
        <w:t xml:space="preserve">Federal Government is attributed entirely to work performed by </w:t>
      </w:r>
      <w:r w:rsidR="003468FD">
        <w:t>either F</w:t>
      </w:r>
      <w:r w:rsidRPr="00990752">
        <w:t>ederal employees</w:t>
      </w:r>
      <w:r w:rsidR="004A4B25" w:rsidRPr="00990752">
        <w:t xml:space="preserve"> or government contractor</w:t>
      </w:r>
      <w:r w:rsidR="00EF113F" w:rsidRPr="00990752">
        <w:t>s</w:t>
      </w:r>
      <w:r w:rsidR="00990752" w:rsidRPr="00990752">
        <w:t xml:space="preserve">. This burden may be found </w:t>
      </w:r>
      <w:r w:rsidR="00BE1C7D">
        <w:t xml:space="preserve">below </w:t>
      </w:r>
      <w:r w:rsidR="00990752" w:rsidRPr="00990752">
        <w:t xml:space="preserve">in </w:t>
      </w:r>
      <w:r w:rsidR="004A4B25" w:rsidRPr="00990752">
        <w:t xml:space="preserve">Table 2: </w:t>
      </w:r>
      <w:r w:rsidR="002B29A5" w:rsidRPr="00990752">
        <w:t>Average Annual EPA Burden and Cost –</w:t>
      </w:r>
      <w:r w:rsidR="008426D4" w:rsidRPr="00990752">
        <w:t>NESHAP for Beryllium (40 CFR Part 61, Subpart C) (Renewal).</w:t>
      </w:r>
    </w:p>
    <w:p w:rsidR="002B29A5" w:rsidRPr="00990752" w:rsidRDefault="002B29A5" w:rsidP="002B29A5"/>
    <w:p w:rsidR="00CA4CD6" w:rsidRPr="00990752" w:rsidRDefault="00CA4CD6" w:rsidP="00504745">
      <w:pPr>
        <w:pBdr>
          <w:top w:val="single" w:sz="6" w:space="0" w:color="FFFFFF"/>
          <w:left w:val="single" w:sz="6" w:space="0" w:color="FFFFFF"/>
          <w:bottom w:val="single" w:sz="6" w:space="0" w:color="FFFFFF"/>
          <w:right w:val="single" w:sz="6" w:space="0" w:color="FFFFFF"/>
        </w:pBdr>
        <w:outlineLvl w:val="0"/>
      </w:pPr>
      <w:r w:rsidRPr="00990752">
        <w:rPr>
          <w:b/>
          <w:bCs/>
        </w:rPr>
        <w:t>2.  Need for and Use of the Collection</w:t>
      </w:r>
    </w:p>
    <w:p w:rsidR="00CA4CD6" w:rsidRPr="00990752" w:rsidRDefault="00CA4CD6">
      <w:pPr>
        <w:pBdr>
          <w:top w:val="single" w:sz="6" w:space="0" w:color="FFFFFF"/>
          <w:left w:val="single" w:sz="6" w:space="0" w:color="FFFFFF"/>
          <w:bottom w:val="single" w:sz="6" w:space="0" w:color="FFFFFF"/>
          <w:right w:val="single" w:sz="6" w:space="0" w:color="FFFFFF"/>
        </w:pBdr>
      </w:pPr>
    </w:p>
    <w:p w:rsidR="00CA4CD6" w:rsidRPr="004607C3"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w:t>
      </w:r>
      <w:proofErr w:type="gramStart"/>
      <w:r>
        <w:rPr>
          <w:b/>
          <w:bCs/>
          <w:color w:val="000000"/>
        </w:rPr>
        <w:t>)  Need</w:t>
      </w:r>
      <w:proofErr w:type="gramEnd"/>
      <w:r>
        <w:rPr>
          <w:b/>
          <w:bCs/>
          <w:color w:val="000000"/>
        </w:rPr>
        <w:t>/</w:t>
      </w:r>
      <w:r w:rsidRPr="004607C3">
        <w:rPr>
          <w:b/>
          <w:bCs/>
        </w:rPr>
        <w:t>Authority for the Collection</w:t>
      </w:r>
    </w:p>
    <w:p w:rsidR="00CA4CD6" w:rsidRPr="004607C3" w:rsidRDefault="00CA4CD6">
      <w:pPr>
        <w:pBdr>
          <w:top w:val="single" w:sz="6" w:space="0" w:color="FFFFFF"/>
          <w:left w:val="single" w:sz="6" w:space="0" w:color="FFFFFF"/>
          <w:bottom w:val="single" w:sz="6" w:space="0" w:color="FFFFFF"/>
          <w:right w:val="single" w:sz="6" w:space="0" w:color="FFFFFF"/>
        </w:pBdr>
      </w:pPr>
    </w:p>
    <w:p w:rsidR="00CA4CD6" w:rsidRPr="004607C3" w:rsidRDefault="00CA4CD6">
      <w:pPr>
        <w:pBdr>
          <w:top w:val="single" w:sz="6" w:space="0" w:color="FFFFFF"/>
          <w:left w:val="single" w:sz="6" w:space="0" w:color="FFFFFF"/>
          <w:bottom w:val="single" w:sz="6" w:space="0" w:color="FFFFFF"/>
          <w:right w:val="single" w:sz="6" w:space="0" w:color="FFFFFF"/>
        </w:pBdr>
        <w:ind w:firstLine="720"/>
      </w:pPr>
      <w:r w:rsidRPr="004607C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4607C3" w:rsidRPr="004607C3">
        <w:t xml:space="preserve">  </w:t>
      </w:r>
      <w:r w:rsidRPr="004607C3">
        <w:t xml:space="preserve">In addition, section 114(a) states that the Administrator may require any owner/operator subject to any requirement of this Act to: </w:t>
      </w:r>
    </w:p>
    <w:p w:rsidR="00CA4CD6" w:rsidRPr="004607C3" w:rsidRDefault="00CA4CD6">
      <w:pPr>
        <w:pBdr>
          <w:top w:val="single" w:sz="6" w:space="0" w:color="FFFFFF"/>
          <w:left w:val="single" w:sz="6" w:space="0" w:color="FFFFFF"/>
          <w:bottom w:val="single" w:sz="6" w:space="0" w:color="FFFFFF"/>
          <w:right w:val="single" w:sz="6" w:space="0" w:color="FFFFFF"/>
        </w:pBdr>
      </w:pPr>
    </w:p>
    <w:p w:rsidR="00CA4CD6" w:rsidRPr="004607C3" w:rsidRDefault="00CA4CD6">
      <w:pPr>
        <w:pBdr>
          <w:top w:val="single" w:sz="6" w:space="0" w:color="FFFFFF"/>
          <w:left w:val="single" w:sz="6" w:space="0" w:color="FFFFFF"/>
          <w:bottom w:val="single" w:sz="6" w:space="0" w:color="FFFFFF"/>
          <w:right w:val="single" w:sz="6" w:space="0" w:color="FFFFFF"/>
        </w:pBdr>
        <w:ind w:left="1440" w:right="1440"/>
      </w:pPr>
      <w:r w:rsidRPr="004607C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607C3" w:rsidRPr="004607C3">
        <w:t>strator may reasonably require.</w:t>
      </w:r>
    </w:p>
    <w:p w:rsidR="00CA4CD6" w:rsidRPr="004607C3" w:rsidRDefault="00CA4CD6">
      <w:pPr>
        <w:pBdr>
          <w:top w:val="single" w:sz="6" w:space="0" w:color="FFFFFF"/>
          <w:left w:val="single" w:sz="6" w:space="0" w:color="FFFFFF"/>
          <w:bottom w:val="single" w:sz="6" w:space="0" w:color="FFFFFF"/>
          <w:right w:val="single" w:sz="6" w:space="0" w:color="FFFFFF"/>
        </w:pBdr>
      </w:pPr>
    </w:p>
    <w:p w:rsidR="00CA4CD6" w:rsidRPr="004607C3" w:rsidRDefault="00CA4CD6">
      <w:pPr>
        <w:pBdr>
          <w:top w:val="single" w:sz="6" w:space="0" w:color="FFFFFF"/>
          <w:left w:val="single" w:sz="6" w:space="0" w:color="FFFFFF"/>
          <w:bottom w:val="single" w:sz="6" w:space="0" w:color="FFFFFF"/>
          <w:right w:val="single" w:sz="6" w:space="0" w:color="FFFFFF"/>
        </w:pBdr>
        <w:ind w:firstLine="720"/>
      </w:pPr>
      <w:r w:rsidRPr="004607C3">
        <w:t>In the Administrator's judgment,</w:t>
      </w:r>
      <w:r w:rsidR="004607C3" w:rsidRPr="004607C3">
        <w:t xml:space="preserve"> beryllium </w:t>
      </w:r>
      <w:r w:rsidRPr="004607C3">
        <w:t>emissions from</w:t>
      </w:r>
      <w:r w:rsidR="004607C3" w:rsidRPr="004607C3">
        <w:t xml:space="preserve"> extraction plants, ceramic plants, foundries, incinerators, propellant plants, and machine shops which process beryllium ore, beryllium, beryllium oxide, beryllium alloys, or beryllium-containing waste </w:t>
      </w:r>
      <w:r w:rsidRPr="004607C3">
        <w:t>cause or contribute to air pollution that may reasonably be anticipated to endanger public health or welfare.  Therefore, the</w:t>
      </w:r>
      <w:r w:rsidR="004607C3" w:rsidRPr="004607C3">
        <w:t xml:space="preserve"> NESHAP </w:t>
      </w:r>
      <w:r w:rsidRPr="004607C3">
        <w:t xml:space="preserve">were promulgated for this source category at 40 CFR </w:t>
      </w:r>
      <w:proofErr w:type="gramStart"/>
      <w:r w:rsidRPr="004607C3">
        <w:t>part</w:t>
      </w:r>
      <w:proofErr w:type="gramEnd"/>
      <w:r w:rsidRPr="004607C3">
        <w:t xml:space="preserve"> </w:t>
      </w:r>
      <w:r w:rsidR="004607C3" w:rsidRPr="004607C3">
        <w:t>61,</w:t>
      </w:r>
      <w:r w:rsidRPr="004607C3">
        <w:rPr>
          <w:b/>
          <w:bCs/>
          <w:i/>
          <w:iCs/>
        </w:rPr>
        <w:t xml:space="preserve"> </w:t>
      </w:r>
      <w:r w:rsidRPr="004607C3">
        <w:t>subpart</w:t>
      </w:r>
      <w:r w:rsidR="004607C3" w:rsidRPr="004607C3">
        <w:t xml:space="preserve"> C.</w:t>
      </w:r>
    </w:p>
    <w:p w:rsidR="00E0128E" w:rsidRDefault="00E0128E">
      <w:pPr>
        <w:pBdr>
          <w:top w:val="single" w:sz="6" w:space="0" w:color="FFFFFF"/>
          <w:left w:val="single" w:sz="6" w:space="0" w:color="FFFFFF"/>
          <w:bottom w:val="single" w:sz="6" w:space="0" w:color="FFFFFF"/>
          <w:right w:val="single" w:sz="6" w:space="0" w:color="FFFFFF"/>
        </w:pBdr>
        <w:ind w:firstLine="720"/>
        <w:rPr>
          <w:b/>
          <w:bCs/>
        </w:rPr>
      </w:pPr>
    </w:p>
    <w:p w:rsidR="00E0128E" w:rsidRDefault="00E0128E">
      <w:pPr>
        <w:pBdr>
          <w:top w:val="single" w:sz="6" w:space="0" w:color="FFFFFF"/>
          <w:left w:val="single" w:sz="6" w:space="0" w:color="FFFFFF"/>
          <w:bottom w:val="single" w:sz="6" w:space="0" w:color="FFFFFF"/>
          <w:right w:val="single" w:sz="6" w:space="0" w:color="FFFFFF"/>
        </w:pBdr>
        <w:ind w:firstLine="720"/>
        <w:rPr>
          <w:b/>
          <w:bCs/>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607C3">
        <w:rPr>
          <w:b/>
          <w:bCs/>
        </w:rPr>
        <w:lastRenderedPageBreak/>
        <w:t>2(b</w:t>
      </w:r>
      <w:proofErr w:type="gramStart"/>
      <w:r w:rsidRPr="004607C3">
        <w:rPr>
          <w:b/>
          <w:bCs/>
        </w:rPr>
        <w:t>)  Practica</w:t>
      </w:r>
      <w:r>
        <w:rPr>
          <w:b/>
          <w:bCs/>
          <w:color w:val="000000"/>
        </w:rPr>
        <w:t>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3468FD">
        <w:rPr>
          <w:color w:val="000000"/>
        </w:rPr>
        <w:t xml:space="preserve"> </w:t>
      </w:r>
      <w:r>
        <w:rPr>
          <w:color w:val="000000"/>
        </w:rPr>
        <w:t>the</w:t>
      </w:r>
      <w:proofErr w:type="gramEnd"/>
      <w:r>
        <w:rPr>
          <w:color w:val="000000"/>
        </w:rPr>
        <w:t xml:space="preserve"> applicable regulations which were promulgated in accordance with the Clean Air Act.  The collected information is also used for targeting inspections and as evidence in legal proceedings.</w:t>
      </w:r>
    </w:p>
    <w:p w:rsidR="00CA4CD6" w:rsidRPr="00D373E1" w:rsidRDefault="00CA4CD6">
      <w:pPr>
        <w:pBdr>
          <w:top w:val="single" w:sz="6" w:space="0" w:color="FFFFFF"/>
          <w:left w:val="single" w:sz="6" w:space="0" w:color="FFFFFF"/>
          <w:bottom w:val="single" w:sz="6" w:space="0" w:color="FFFFFF"/>
          <w:right w:val="single" w:sz="6" w:space="0" w:color="FFFFFF"/>
        </w:pBdr>
      </w:pPr>
    </w:p>
    <w:p w:rsidR="00CA4CD6" w:rsidRPr="00D373E1" w:rsidRDefault="00CA4CD6">
      <w:pPr>
        <w:pBdr>
          <w:top w:val="single" w:sz="6" w:space="0" w:color="FFFFFF"/>
          <w:left w:val="single" w:sz="6" w:space="0" w:color="FFFFFF"/>
          <w:bottom w:val="single" w:sz="6" w:space="0" w:color="FFFFFF"/>
          <w:right w:val="single" w:sz="6" w:space="0" w:color="FFFFFF"/>
        </w:pBdr>
        <w:ind w:firstLine="720"/>
      </w:pPr>
      <w:r w:rsidRPr="00D373E1">
        <w:t>Performance tests are required in order to determine an affected facility</w:t>
      </w:r>
      <w:r w:rsidR="00724BC7" w:rsidRPr="00D373E1">
        <w:t>’</w:t>
      </w:r>
      <w:r w:rsidRPr="00D373E1">
        <w:t>s initial capability to comply with the emission standard</w:t>
      </w:r>
      <w:r w:rsidR="003468FD">
        <w:t>s</w:t>
      </w:r>
      <w:r w:rsidRPr="00D373E1">
        <w:t xml:space="preserve">. </w:t>
      </w:r>
      <w:r w:rsidR="003468FD">
        <w:t xml:space="preserve"> </w:t>
      </w:r>
      <w:r w:rsidRPr="00D373E1">
        <w:t>Continuous emission monitors are used to ensure compliance with the standard</w:t>
      </w:r>
      <w:r w:rsidR="003468FD">
        <w:t>s</w:t>
      </w:r>
      <w:r w:rsidRPr="00D373E1">
        <w:t xml:space="preserve"> at all times.</w:t>
      </w:r>
      <w:r w:rsidR="00D373E1" w:rsidRPr="00D373E1">
        <w:t xml:space="preserve">  During the performance test a record of the operating parameters under which compliance was achieved may be recorded and used to determine compliance in place of a continuous emission monitor.</w:t>
      </w:r>
    </w:p>
    <w:p w:rsidR="00CA4CD6" w:rsidRPr="00D373E1" w:rsidRDefault="00CA4CD6">
      <w:pPr>
        <w:pBdr>
          <w:top w:val="single" w:sz="6" w:space="0" w:color="FFFFFF"/>
          <w:left w:val="single" w:sz="6" w:space="0" w:color="FFFFFF"/>
          <w:bottom w:val="single" w:sz="6" w:space="0" w:color="FFFFFF"/>
          <w:right w:val="single" w:sz="6" w:space="0" w:color="FFFFFF"/>
        </w:pBdr>
      </w:pPr>
    </w:p>
    <w:p w:rsidR="00CA4CD6" w:rsidRPr="00D373E1" w:rsidRDefault="00CA4CD6">
      <w:pPr>
        <w:pBdr>
          <w:top w:val="single" w:sz="6" w:space="0" w:color="FFFFFF"/>
          <w:left w:val="single" w:sz="6" w:space="0" w:color="FFFFFF"/>
          <w:bottom w:val="single" w:sz="6" w:space="0" w:color="FFFFFF"/>
          <w:right w:val="single" w:sz="6" w:space="0" w:color="FFFFFF"/>
        </w:pBdr>
        <w:ind w:firstLine="720"/>
      </w:pPr>
      <w:r w:rsidRPr="00D373E1">
        <w:t xml:space="preserve">The notifications required in the standard are used to inform </w:t>
      </w:r>
      <w:r w:rsidR="003468FD">
        <w:t xml:space="preserve">either </w:t>
      </w:r>
      <w:r w:rsidRPr="00D373E1">
        <w:t xml:space="preserve">the Agency or delegated authority when a source becomes subject to the requirements of the regulations.  </w:t>
      </w:r>
      <w:r w:rsidR="003468FD">
        <w:t xml:space="preserve">    </w:t>
      </w:r>
      <w:r w:rsidRPr="00D373E1">
        <w:t>The reviewing authority may then inspect the source to check if the</w:t>
      </w:r>
      <w:r w:rsidR="00D373E1" w:rsidRPr="00D373E1">
        <w:t xml:space="preserve"> pollution control devices are properly installed and operated, that leaks are being detected and repaired, </w:t>
      </w:r>
      <w:r w:rsidRPr="00D373E1">
        <w:t xml:space="preserve">and </w:t>
      </w:r>
      <w:r w:rsidR="00D373E1" w:rsidRPr="00D373E1">
        <w:t xml:space="preserve">that </w:t>
      </w:r>
      <w:r w:rsidRPr="00D373E1">
        <w:t>the standard</w:t>
      </w:r>
      <w:r w:rsidR="00D373E1" w:rsidRPr="00D373E1">
        <w:t xml:space="preserve"> is</w:t>
      </w:r>
      <w:r w:rsidRPr="00D373E1">
        <w:t xml:space="preserve"> being met.  The performance test may also be observed.</w:t>
      </w:r>
    </w:p>
    <w:p w:rsidR="00CA4CD6" w:rsidRPr="00D373E1"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373E1">
        <w:t>The required reports are used to determine</w:t>
      </w:r>
      <w:r>
        <w:rPr>
          <w:color w:val="000000"/>
        </w:rPr>
        <w:t xml:space="preserve"> periods of excess emissions, identify problems at the facility, verify operation/maintenance procedures</w:t>
      </w:r>
      <w:r w:rsidR="00EB7F63">
        <w:rPr>
          <w:color w:val="000000"/>
        </w:rPr>
        <w:t>,</w:t>
      </w:r>
      <w:r>
        <w:rPr>
          <w:color w:val="000000"/>
        </w:rPr>
        <w:t xml:space="preserve">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451EF6">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w:t>
      </w:r>
      <w:r w:rsidR="00BB1524">
        <w:rPr>
          <w:color w:val="000000"/>
        </w:rPr>
        <w:t>61</w:t>
      </w:r>
      <w:r>
        <w:rPr>
          <w:color w:val="000000"/>
        </w:rPr>
        <w:t>, subpart</w:t>
      </w:r>
      <w:r w:rsidR="00BB1524">
        <w:rPr>
          <w:color w:val="000000"/>
        </w:rPr>
        <w:t xml:space="preserve"> C</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451EF6">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F032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w:t>
      </w:r>
      <w:r w:rsidRPr="00EF0326">
        <w:t>required by the Federal standards.  Therefore</w:t>
      </w:r>
      <w:proofErr w:type="gramStart"/>
      <w:r w:rsidRPr="00EF0326">
        <w:t>,  duplication</w:t>
      </w:r>
      <w:proofErr w:type="gramEnd"/>
      <w:r w:rsidRPr="00EF0326">
        <w:t xml:space="preserve"> </w:t>
      </w:r>
      <w:r w:rsidR="003468FD">
        <w:t xml:space="preserve">does not </w:t>
      </w:r>
      <w:r w:rsidRPr="00EF0326">
        <w:t>exists.</w:t>
      </w:r>
    </w:p>
    <w:p w:rsidR="00CA4CD6" w:rsidRPr="00EF0326" w:rsidRDefault="00CA4CD6">
      <w:pPr>
        <w:pBdr>
          <w:top w:val="single" w:sz="6" w:space="0" w:color="FFFFFF"/>
          <w:left w:val="single" w:sz="6" w:space="0" w:color="FFFFFF"/>
          <w:bottom w:val="single" w:sz="6" w:space="0" w:color="FFFFFF"/>
          <w:right w:val="single" w:sz="6" w:space="0" w:color="FFFFFF"/>
        </w:pBdr>
      </w:pPr>
    </w:p>
    <w:p w:rsidR="00CA4CD6" w:rsidRPr="00EF0326" w:rsidRDefault="00CA4CD6">
      <w:pPr>
        <w:pBdr>
          <w:top w:val="single" w:sz="6" w:space="0" w:color="FFFFFF"/>
          <w:left w:val="single" w:sz="6" w:space="0" w:color="FFFFFF"/>
          <w:bottom w:val="single" w:sz="6" w:space="0" w:color="FFFFFF"/>
          <w:right w:val="single" w:sz="6" w:space="0" w:color="FFFFFF"/>
        </w:pBdr>
        <w:ind w:firstLine="720"/>
      </w:pPr>
      <w:r w:rsidRPr="00EF0326">
        <w:rPr>
          <w:b/>
          <w:bCs/>
        </w:rPr>
        <w:t>3(b</w:t>
      </w:r>
      <w:proofErr w:type="gramStart"/>
      <w:r w:rsidRPr="00EF0326">
        <w:rPr>
          <w:b/>
          <w:bCs/>
        </w:rPr>
        <w:t>)  Public</w:t>
      </w:r>
      <w:proofErr w:type="gramEnd"/>
      <w:r w:rsidRPr="00EF0326">
        <w:rPr>
          <w:b/>
          <w:bCs/>
        </w:rPr>
        <w:t xml:space="preserve"> Notice Required Prior to ICR Submission to OMB</w:t>
      </w:r>
    </w:p>
    <w:p w:rsidR="00CA4CD6" w:rsidRPr="00EF0326"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EF0326">
        <w:t xml:space="preserve">An announcement of a public comment period for the renewal of this ICR was published in the </w:t>
      </w:r>
      <w:r w:rsidRPr="00EF0326">
        <w:rPr>
          <w:u w:val="single"/>
        </w:rPr>
        <w:t>Federal Register</w:t>
      </w:r>
      <w:r w:rsidRPr="00EF0326">
        <w:t xml:space="preserve"> (</w:t>
      </w:r>
      <w:r w:rsidR="00EF0326" w:rsidRPr="00EF0326">
        <w:t>78</w:t>
      </w:r>
      <w:r w:rsidRPr="00EF0326">
        <w:t xml:space="preserve"> </w:t>
      </w:r>
      <w:r w:rsidRPr="00EF0326">
        <w:rPr>
          <w:u w:val="single"/>
        </w:rPr>
        <w:t>FR</w:t>
      </w:r>
      <w:r w:rsidRPr="00EF0326">
        <w:t xml:space="preserve"> </w:t>
      </w:r>
      <w:r w:rsidR="00EF0326" w:rsidRPr="00EF0326">
        <w:t xml:space="preserve">33409) </w:t>
      </w:r>
      <w:r w:rsidRPr="00EF0326">
        <w:t>on</w:t>
      </w:r>
      <w:r w:rsidR="00EF0326" w:rsidRPr="00EF0326">
        <w:t xml:space="preserve"> June 4, 2013</w:t>
      </w:r>
      <w:r w:rsidRPr="00EF0326">
        <w:t>.</w:t>
      </w:r>
      <w:r w:rsidR="00EF0326" w:rsidRPr="00EF0326">
        <w:t xml:space="preserve">  No comments were received on the burden published in the </w:t>
      </w:r>
      <w:r w:rsidR="00EF0326" w:rsidRPr="00EF0326">
        <w:rPr>
          <w:u w:val="single"/>
        </w:rPr>
        <w:t>Federal Register</w:t>
      </w:r>
      <w:r w:rsidR="00EF0326" w:rsidRPr="00EF0326">
        <w:t>.</w:t>
      </w:r>
    </w:p>
    <w:p w:rsidR="004C1770" w:rsidRDefault="004C1770">
      <w:pPr>
        <w:pBdr>
          <w:top w:val="single" w:sz="6" w:space="0" w:color="FFFFFF"/>
          <w:left w:val="single" w:sz="6" w:space="0" w:color="FFFFFF"/>
          <w:bottom w:val="single" w:sz="6" w:space="0" w:color="FFFFFF"/>
          <w:right w:val="single" w:sz="6" w:space="0" w:color="FFFFFF"/>
        </w:pBdr>
        <w:ind w:firstLine="720"/>
      </w:pPr>
    </w:p>
    <w:p w:rsidR="00123889" w:rsidRDefault="00123889" w:rsidP="004C177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4C1770">
      <w:pPr>
        <w:spacing w:line="244" w:lineRule="exact"/>
        <w:rPr>
          <w:color w:val="FF0000"/>
        </w:rPr>
      </w:pPr>
    </w:p>
    <w:p w:rsidR="00EF0326" w:rsidRPr="00EF0326" w:rsidRDefault="00EF0326" w:rsidP="004C1770">
      <w:pPr>
        <w:ind w:firstLine="720"/>
      </w:pPr>
      <w:r w:rsidRPr="00DB53D0">
        <w:t xml:space="preserve">The Agency’s industry experts have been consulted, and the Agency’s internal data sources and projections of industry growth over the next three years have been considered.  </w:t>
      </w:r>
      <w:r w:rsidR="003468FD">
        <w:t xml:space="preserve">   </w:t>
      </w:r>
      <w:r w:rsidRPr="00DB53D0">
        <w:t xml:space="preserve">The primary source of information as reported by industry, in compliance with the recordkeeping </w:t>
      </w:r>
      <w:r w:rsidRPr="00DB53D0">
        <w:lastRenderedPageBreak/>
        <w:t xml:space="preserve">and reporting provisions in the standard, is the Online Tracking Information System (OTIS) which is operated and maintained by the EPA Office of Compliance. </w:t>
      </w:r>
      <w:r w:rsidRPr="00EF0326">
        <w:t xml:space="preserve">OTIS is the EPA database for the collection, maintenance, and retrieval of all compliance data.  </w:t>
      </w:r>
    </w:p>
    <w:p w:rsidR="00EF0326" w:rsidRPr="00EF0326" w:rsidRDefault="00EF0326" w:rsidP="00EF0326">
      <w:pPr>
        <w:widowControl/>
        <w:ind w:firstLine="720"/>
      </w:pPr>
    </w:p>
    <w:p w:rsidR="00EF0326" w:rsidRDefault="00EF0326" w:rsidP="00EF0326">
      <w:pPr>
        <w:widowControl/>
        <w:ind w:firstLine="720"/>
      </w:pPr>
      <w:r w:rsidRPr="00EF0326">
        <w:t>Consultations with industry representatives (i.e., respondents) were conducted to determine if there is any way for EPA to reduce the recordkeeping and reporting burden or improve the language in the standard to make it easier to comply.  In developing this ICR, EPA contacted</w:t>
      </w:r>
      <w:r w:rsidR="00451EF6">
        <w:t>: 1)</w:t>
      </w:r>
      <w:r w:rsidRPr="00EF0326">
        <w:t xml:space="preserve"> </w:t>
      </w:r>
      <w:r w:rsidR="00CD0AF2">
        <w:t xml:space="preserve">the </w:t>
      </w:r>
      <w:r w:rsidR="00CD0AF2" w:rsidRPr="00CD0AF2">
        <w:t>Society for Mining, Metallurgy, and Exploration (SME)</w:t>
      </w:r>
      <w:r w:rsidR="00451EF6">
        <w:t>,</w:t>
      </w:r>
      <w:r w:rsidR="00CD0AF2">
        <w:t xml:space="preserve"> at </w:t>
      </w:r>
      <w:r w:rsidR="00CD0AF2" w:rsidRPr="00CD0AF2">
        <w:t>(303) 948-4200</w:t>
      </w:r>
      <w:r w:rsidR="003468FD">
        <w:t>;</w:t>
      </w:r>
      <w:r w:rsidR="00CD0AF2">
        <w:t xml:space="preserve"> and </w:t>
      </w:r>
      <w:r w:rsidR="00451EF6">
        <w:t xml:space="preserve">2) </w:t>
      </w:r>
      <w:r w:rsidR="00CD0AF2">
        <w:t xml:space="preserve">the </w:t>
      </w:r>
      <w:r w:rsidR="00CD0AF2" w:rsidRPr="00CD0AF2">
        <w:t>National Mining Association (NMA)</w:t>
      </w:r>
      <w:r w:rsidR="00451EF6">
        <w:t>,</w:t>
      </w:r>
      <w:r w:rsidR="00CD0AF2">
        <w:t xml:space="preserve"> at </w:t>
      </w:r>
      <w:r w:rsidR="00CD0AF2" w:rsidRPr="00CD0AF2">
        <w:t>(202) 463-2600</w:t>
      </w:r>
      <w:r>
        <w:t>.</w:t>
      </w:r>
    </w:p>
    <w:p w:rsidR="004C1770" w:rsidRDefault="004C1770" w:rsidP="00EF0326">
      <w:pPr>
        <w:widowControl/>
        <w:ind w:firstLine="720"/>
      </w:pPr>
    </w:p>
    <w:p w:rsidR="004C1770" w:rsidRPr="00EF0326" w:rsidRDefault="004C1770" w:rsidP="00EF0326">
      <w:pPr>
        <w:widowControl/>
        <w:ind w:firstLine="720"/>
      </w:pPr>
      <w:r>
        <w:t>It is our policy to respond after a thorough review of comments received since the last ICR renewal</w:t>
      </w:r>
      <w:r w:rsidR="003468FD">
        <w:t>,</w:t>
      </w:r>
      <w:r>
        <w:t xml:space="preserve"> as well as those submitted in response to the first </w:t>
      </w:r>
      <w:r w:rsidRPr="004C1770">
        <w:rPr>
          <w:u w:val="single"/>
        </w:rPr>
        <w:t>Federal Register</w:t>
      </w:r>
      <w:r>
        <w:t xml:space="preserve"> notice.  In this case, no comments were received. </w:t>
      </w:r>
    </w:p>
    <w:p w:rsidR="00123889" w:rsidRPr="00EF0326" w:rsidRDefault="00123889">
      <w:pPr>
        <w:pBdr>
          <w:top w:val="single" w:sz="6" w:space="0" w:color="FFFFFF"/>
          <w:left w:val="single" w:sz="6" w:space="0" w:color="FFFFFF"/>
          <w:bottom w:val="single" w:sz="6" w:space="0" w:color="FFFFFF"/>
          <w:right w:val="single" w:sz="6" w:space="0" w:color="FFFFFF"/>
        </w:pBdr>
      </w:pPr>
    </w:p>
    <w:p w:rsidR="00CA4CD6" w:rsidRPr="00EF0326" w:rsidRDefault="00CA4CD6">
      <w:pPr>
        <w:pBdr>
          <w:top w:val="single" w:sz="6" w:space="0" w:color="FFFFFF"/>
          <w:left w:val="single" w:sz="6" w:space="0" w:color="FFFFFF"/>
          <w:bottom w:val="single" w:sz="6" w:space="0" w:color="FFFFFF"/>
          <w:right w:val="single" w:sz="6" w:space="0" w:color="FFFFFF"/>
        </w:pBdr>
        <w:ind w:firstLine="720"/>
      </w:pPr>
      <w:r w:rsidRPr="00EF0326">
        <w:rPr>
          <w:b/>
          <w:bCs/>
        </w:rPr>
        <w:t>3(d</w:t>
      </w:r>
      <w:proofErr w:type="gramStart"/>
      <w:r w:rsidRPr="00EF0326">
        <w:rPr>
          <w:b/>
          <w:bCs/>
        </w:rPr>
        <w:t>)  Effects</w:t>
      </w:r>
      <w:proofErr w:type="gramEnd"/>
      <w:r w:rsidRPr="00EF0326">
        <w:rPr>
          <w:b/>
          <w:bCs/>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B1524"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w:t>
      </w:r>
      <w:r w:rsidR="00CA4CD6" w:rsidRPr="00BB1524">
        <w:t>5 CFR part 1320, section 1320.5.</w:t>
      </w:r>
    </w:p>
    <w:p w:rsidR="00CA4CD6" w:rsidRPr="00BB1524" w:rsidRDefault="00CA4CD6">
      <w:pPr>
        <w:pBdr>
          <w:top w:val="single" w:sz="6" w:space="0" w:color="FFFFFF"/>
          <w:left w:val="single" w:sz="6" w:space="0" w:color="FFFFFF"/>
          <w:bottom w:val="single" w:sz="6" w:space="0" w:color="FFFFFF"/>
          <w:right w:val="single" w:sz="6" w:space="0" w:color="FFFFFF"/>
        </w:pBdr>
      </w:pPr>
    </w:p>
    <w:p w:rsidR="00CA4CD6" w:rsidRPr="00BB1524" w:rsidRDefault="00CA4CD6">
      <w:pPr>
        <w:pBdr>
          <w:top w:val="single" w:sz="6" w:space="0" w:color="FFFFFF"/>
          <w:left w:val="single" w:sz="6" w:space="0" w:color="FFFFFF"/>
          <w:bottom w:val="single" w:sz="6" w:space="0" w:color="FFFFFF"/>
          <w:right w:val="single" w:sz="6" w:space="0" w:color="FFFFFF"/>
        </w:pBdr>
        <w:ind w:firstLine="720"/>
      </w:pPr>
      <w:r w:rsidRPr="00BB1524">
        <w:rPr>
          <w:b/>
          <w:bCs/>
        </w:rPr>
        <w:t>3(f</w:t>
      </w:r>
      <w:proofErr w:type="gramStart"/>
      <w:r w:rsidRPr="00BB1524">
        <w:rPr>
          <w:b/>
          <w:bCs/>
        </w:rPr>
        <w:t>)  Confidentiality</w:t>
      </w:r>
      <w:proofErr w:type="gramEnd"/>
    </w:p>
    <w:p w:rsidR="00CA4CD6" w:rsidRPr="00BB1524" w:rsidRDefault="00CA4CD6">
      <w:pPr>
        <w:pBdr>
          <w:top w:val="single" w:sz="6" w:space="0" w:color="FFFFFF"/>
          <w:left w:val="single" w:sz="6" w:space="0" w:color="FFFFFF"/>
          <w:bottom w:val="single" w:sz="6" w:space="0" w:color="FFFFFF"/>
          <w:right w:val="single" w:sz="6" w:space="0" w:color="FFFFFF"/>
        </w:pBdr>
      </w:pPr>
    </w:p>
    <w:p w:rsidR="00CA4CD6" w:rsidRDefault="00CA4CD6" w:rsidP="00EB7F63">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441954">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25657">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rsidR="00CA4CD6" w:rsidRDefault="00CA4CD6" w:rsidP="00C25657">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C25657">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rsidP="00C25657">
      <w:pPr>
        <w:keepNext/>
        <w:keepLines/>
        <w:pBdr>
          <w:top w:val="single" w:sz="6" w:space="0" w:color="FFFFFF"/>
          <w:left w:val="single" w:sz="6" w:space="0" w:color="FFFFFF"/>
          <w:bottom w:val="single" w:sz="6" w:space="0" w:color="FFFFFF"/>
          <w:right w:val="single" w:sz="6" w:space="0" w:color="FFFFFF"/>
        </w:pBdr>
        <w:rPr>
          <w:color w:val="000000"/>
        </w:rPr>
      </w:pPr>
    </w:p>
    <w:p w:rsidR="00535DEC" w:rsidRPr="00535DEC" w:rsidRDefault="00535DEC" w:rsidP="00C25657">
      <w:pPr>
        <w:keepNext/>
        <w:keepLines/>
        <w:pBdr>
          <w:top w:val="single" w:sz="6" w:space="0" w:color="FFFFFF"/>
          <w:left w:val="single" w:sz="6" w:space="0" w:color="FFFFFF"/>
          <w:bottom w:val="single" w:sz="6" w:space="0" w:color="FFFFFF"/>
          <w:right w:val="single" w:sz="6" w:space="0" w:color="FFFFFF"/>
        </w:pBdr>
        <w:ind w:firstLine="720"/>
      </w:pPr>
      <w:r w:rsidRPr="002B2D0B">
        <w:t>The respondents to the recordkeeping and reporting requirements are</w:t>
      </w:r>
      <w:r>
        <w:t xml:space="preserve"> sources </w:t>
      </w:r>
      <w:r w:rsidRPr="00535DEC">
        <w:t xml:space="preserve">which process beryllium </w:t>
      </w:r>
      <w:r>
        <w:t>and its derivatives</w:t>
      </w:r>
      <w:r w:rsidRPr="002B2D0B">
        <w:t>.  The United States Standard Industrial Classification (SIC) codes and corresponding North American Industry Classification System (NAI</w:t>
      </w:r>
      <w:r w:rsidRPr="00535DEC">
        <w:t>CS) codes for the respondents affected by the standard are provided in the following table.</w:t>
      </w:r>
    </w:p>
    <w:p w:rsidR="00CA4CD6" w:rsidRPr="00535DEC"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400"/>
        <w:gridCol w:w="1800"/>
        <w:gridCol w:w="2160"/>
      </w:tblGrid>
      <w:tr w:rsidR="00CA4CD6" w:rsidRPr="00535DEC" w:rsidTr="00E63ABD">
        <w:trPr>
          <w:tblHeader/>
        </w:trPr>
        <w:tc>
          <w:tcPr>
            <w:tcW w:w="5400" w:type="dxa"/>
          </w:tcPr>
          <w:p w:rsidR="00CA4CD6" w:rsidRPr="00535DEC" w:rsidRDefault="00CA4CD6" w:rsidP="00CF2B37">
            <w:pPr>
              <w:spacing w:line="120" w:lineRule="exact"/>
              <w:jc w:val="center"/>
            </w:pPr>
          </w:p>
          <w:p w:rsidR="00CA4CD6" w:rsidRPr="00535DEC" w:rsidRDefault="00CA4CD6" w:rsidP="00E63ABD">
            <w:pPr>
              <w:pBdr>
                <w:top w:val="single" w:sz="6" w:space="0" w:color="FFFFFF"/>
                <w:left w:val="single" w:sz="6" w:space="0" w:color="FFFFFF"/>
                <w:bottom w:val="single" w:sz="6" w:space="0" w:color="FFFFFF"/>
                <w:right w:val="single" w:sz="6" w:space="0" w:color="FFFFFF"/>
              </w:pBdr>
              <w:spacing w:after="54"/>
              <w:jc w:val="center"/>
              <w:rPr>
                <w:b/>
                <w:bCs/>
              </w:rPr>
            </w:pPr>
            <w:r w:rsidRPr="00535DEC">
              <w:rPr>
                <w:b/>
                <w:bCs/>
              </w:rPr>
              <w:t>Standard</w:t>
            </w:r>
            <w:r w:rsidR="004C701D" w:rsidRPr="00535DEC">
              <w:rPr>
                <w:b/>
                <w:bCs/>
              </w:rPr>
              <w:t xml:space="preserve"> </w:t>
            </w:r>
            <w:r w:rsidR="004C701D" w:rsidRPr="00535DEC">
              <w:rPr>
                <w:b/>
              </w:rPr>
              <w:t>(</w:t>
            </w:r>
            <w:r w:rsidR="00BB1524" w:rsidRPr="00535DEC">
              <w:rPr>
                <w:b/>
              </w:rPr>
              <w:t xml:space="preserve">40 CFR, </w:t>
            </w:r>
            <w:r w:rsidR="00E63ABD">
              <w:rPr>
                <w:b/>
              </w:rPr>
              <w:t>P</w:t>
            </w:r>
            <w:r w:rsidR="00BB1524" w:rsidRPr="00535DEC">
              <w:rPr>
                <w:b/>
              </w:rPr>
              <w:t xml:space="preserve">art 61, </w:t>
            </w:r>
            <w:r w:rsidR="00E63ABD">
              <w:rPr>
                <w:b/>
              </w:rPr>
              <w:t>S</w:t>
            </w:r>
            <w:r w:rsidR="00BB1524" w:rsidRPr="00535DEC">
              <w:rPr>
                <w:b/>
              </w:rPr>
              <w:t>ubpart C</w:t>
            </w:r>
            <w:r w:rsidR="004C701D" w:rsidRPr="00535DEC">
              <w:rPr>
                <w:b/>
              </w:rPr>
              <w:t>)</w:t>
            </w:r>
          </w:p>
        </w:tc>
        <w:tc>
          <w:tcPr>
            <w:tcW w:w="1800" w:type="dxa"/>
          </w:tcPr>
          <w:p w:rsidR="00CA4CD6" w:rsidRPr="00535DEC" w:rsidRDefault="00CA4CD6" w:rsidP="00CF2B37">
            <w:pPr>
              <w:spacing w:line="120" w:lineRule="exact"/>
              <w:jc w:val="center"/>
              <w:rPr>
                <w:b/>
                <w:bCs/>
              </w:rPr>
            </w:pPr>
          </w:p>
          <w:p w:rsidR="00CA4CD6" w:rsidRPr="00535DEC"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535DEC">
              <w:rPr>
                <w:b/>
                <w:bCs/>
              </w:rPr>
              <w:t>SIC Codes</w:t>
            </w:r>
          </w:p>
        </w:tc>
        <w:tc>
          <w:tcPr>
            <w:tcW w:w="2160" w:type="dxa"/>
          </w:tcPr>
          <w:p w:rsidR="00CA4CD6" w:rsidRPr="00535DEC" w:rsidRDefault="00CA4CD6" w:rsidP="00CF2B37">
            <w:pPr>
              <w:spacing w:line="120" w:lineRule="exact"/>
              <w:jc w:val="center"/>
              <w:rPr>
                <w:b/>
                <w:bCs/>
              </w:rPr>
            </w:pPr>
          </w:p>
          <w:p w:rsidR="00CA4CD6" w:rsidRPr="00535DEC"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535DEC">
              <w:rPr>
                <w:b/>
                <w:bCs/>
              </w:rPr>
              <w:t>NAICS Codes</w:t>
            </w:r>
          </w:p>
        </w:tc>
      </w:tr>
      <w:tr w:rsidR="00CA4CD6" w:rsidTr="00E63ABD">
        <w:tc>
          <w:tcPr>
            <w:tcW w:w="5400" w:type="dxa"/>
          </w:tcPr>
          <w:p w:rsidR="00CA4CD6" w:rsidRPr="00BB1524" w:rsidRDefault="00CA4CD6">
            <w:pPr>
              <w:spacing w:line="120" w:lineRule="exact"/>
              <w:rPr>
                <w:b/>
                <w:bCs/>
              </w:rPr>
            </w:pPr>
          </w:p>
          <w:p w:rsidR="00CA4CD6" w:rsidRPr="00BB1524" w:rsidRDefault="00BB1524" w:rsidP="00BB1524">
            <w:pPr>
              <w:pBdr>
                <w:top w:val="single" w:sz="6" w:space="0" w:color="FFFFFF"/>
                <w:left w:val="single" w:sz="6" w:space="0" w:color="FFFFFF"/>
                <w:bottom w:val="single" w:sz="6" w:space="0" w:color="FFFFFF"/>
                <w:right w:val="single" w:sz="6" w:space="0" w:color="FFFFFF"/>
              </w:pBdr>
              <w:spacing w:after="54"/>
            </w:pPr>
            <w:r w:rsidRPr="00BB1524">
              <w:t>Industrial Inorganic Chemicals, not elsewhere Classified</w:t>
            </w:r>
          </w:p>
        </w:tc>
        <w:tc>
          <w:tcPr>
            <w:tcW w:w="180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t>2819</w:t>
            </w:r>
          </w:p>
        </w:tc>
        <w:tc>
          <w:tcPr>
            <w:tcW w:w="216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rsidRPr="00BB1524">
              <w:t>325188</w:t>
            </w:r>
          </w:p>
        </w:tc>
      </w:tr>
      <w:tr w:rsidR="00CA4CD6" w:rsidTr="00E63ABD">
        <w:tc>
          <w:tcPr>
            <w:tcW w:w="5400" w:type="dxa"/>
          </w:tcPr>
          <w:p w:rsidR="00CA4CD6" w:rsidRPr="00BB1524" w:rsidRDefault="00CA4CD6">
            <w:pPr>
              <w:spacing w:line="120" w:lineRule="exact"/>
            </w:pPr>
          </w:p>
          <w:p w:rsidR="00CA4CD6" w:rsidRPr="00BB1524" w:rsidRDefault="00BB1524">
            <w:pPr>
              <w:pBdr>
                <w:top w:val="single" w:sz="6" w:space="0" w:color="FFFFFF"/>
                <w:left w:val="single" w:sz="6" w:space="0" w:color="FFFFFF"/>
                <w:bottom w:val="single" w:sz="6" w:space="0" w:color="FFFFFF"/>
                <w:right w:val="single" w:sz="6" w:space="0" w:color="FFFFFF"/>
              </w:pBdr>
              <w:spacing w:after="54"/>
            </w:pPr>
            <w:r w:rsidRPr="00BB1524">
              <w:t>Primary Smelting and Refining of Nonferrous Metals, except Copper and Aluminum</w:t>
            </w:r>
          </w:p>
        </w:tc>
        <w:tc>
          <w:tcPr>
            <w:tcW w:w="180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t>3339</w:t>
            </w:r>
          </w:p>
        </w:tc>
        <w:tc>
          <w:tcPr>
            <w:tcW w:w="216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rsidRPr="00BB1524">
              <w:t>331419</w:t>
            </w:r>
          </w:p>
        </w:tc>
      </w:tr>
      <w:tr w:rsidR="00CA4CD6" w:rsidTr="00E63ABD">
        <w:tc>
          <w:tcPr>
            <w:tcW w:w="5400" w:type="dxa"/>
          </w:tcPr>
          <w:p w:rsidR="00CA4CD6" w:rsidRPr="00BB1524" w:rsidRDefault="00CA4CD6">
            <w:pPr>
              <w:spacing w:line="120" w:lineRule="exact"/>
            </w:pPr>
          </w:p>
          <w:p w:rsidR="00CA4CD6" w:rsidRPr="00BB1524" w:rsidRDefault="00BB1524">
            <w:pPr>
              <w:pBdr>
                <w:top w:val="single" w:sz="6" w:space="0" w:color="FFFFFF"/>
                <w:left w:val="single" w:sz="6" w:space="0" w:color="FFFFFF"/>
                <w:bottom w:val="single" w:sz="6" w:space="0" w:color="FFFFFF"/>
                <w:right w:val="single" w:sz="6" w:space="0" w:color="FFFFFF"/>
              </w:pBdr>
              <w:spacing w:after="54"/>
            </w:pPr>
            <w:r w:rsidRPr="00BB1524">
              <w:t>Nonferrous Foundries, except Aluminum an</w:t>
            </w:r>
            <w:r>
              <w:t>d</w:t>
            </w:r>
            <w:r w:rsidRPr="00BB1524">
              <w:t xml:space="preserve"> Copper</w:t>
            </w:r>
          </w:p>
        </w:tc>
        <w:tc>
          <w:tcPr>
            <w:tcW w:w="180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rsidRPr="00BB1524">
              <w:t>3369</w:t>
            </w:r>
          </w:p>
        </w:tc>
        <w:tc>
          <w:tcPr>
            <w:tcW w:w="216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rsidRPr="00BB1524">
              <w:t>331528</w:t>
            </w:r>
          </w:p>
        </w:tc>
      </w:tr>
      <w:tr w:rsidR="00CA4CD6" w:rsidTr="00E63ABD">
        <w:tc>
          <w:tcPr>
            <w:tcW w:w="5400" w:type="dxa"/>
          </w:tcPr>
          <w:p w:rsidR="00CA4CD6" w:rsidRPr="00BB1524" w:rsidRDefault="00CA4CD6">
            <w:pPr>
              <w:spacing w:line="120" w:lineRule="exact"/>
            </w:pPr>
          </w:p>
          <w:p w:rsidR="00CA4CD6" w:rsidRPr="00BB1524" w:rsidRDefault="00BB1524">
            <w:pPr>
              <w:pBdr>
                <w:top w:val="single" w:sz="6" w:space="0" w:color="FFFFFF"/>
                <w:left w:val="single" w:sz="6" w:space="0" w:color="FFFFFF"/>
                <w:bottom w:val="single" w:sz="6" w:space="0" w:color="FFFFFF"/>
                <w:right w:val="single" w:sz="6" w:space="0" w:color="FFFFFF"/>
              </w:pBdr>
              <w:spacing w:after="54"/>
            </w:pPr>
            <w:r w:rsidRPr="00BB1524">
              <w:t>Industrial and Commercial Machinery and Equipment, not elsewhere Classified</w:t>
            </w:r>
          </w:p>
        </w:tc>
        <w:tc>
          <w:tcPr>
            <w:tcW w:w="180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t>3</w:t>
            </w:r>
            <w:r w:rsidRPr="00BB1524">
              <w:t>5</w:t>
            </w:r>
            <w:r>
              <w:t>99</w:t>
            </w:r>
          </w:p>
        </w:tc>
        <w:tc>
          <w:tcPr>
            <w:tcW w:w="216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54"/>
              <w:jc w:val="center"/>
            </w:pPr>
            <w:r w:rsidRPr="00BB1524">
              <w:t>332710</w:t>
            </w:r>
          </w:p>
        </w:tc>
      </w:tr>
      <w:tr w:rsidR="00CA4CD6" w:rsidTr="00E63ABD">
        <w:tc>
          <w:tcPr>
            <w:tcW w:w="5400" w:type="dxa"/>
          </w:tcPr>
          <w:p w:rsidR="00CA4CD6" w:rsidRPr="00BB1524" w:rsidRDefault="00CA4CD6">
            <w:pPr>
              <w:spacing w:line="120" w:lineRule="exact"/>
            </w:pPr>
          </w:p>
          <w:p w:rsidR="00CA4CD6" w:rsidRPr="00BB1524" w:rsidRDefault="00BB1524">
            <w:pPr>
              <w:pBdr>
                <w:top w:val="single" w:sz="6" w:space="0" w:color="FFFFFF"/>
                <w:left w:val="single" w:sz="6" w:space="0" w:color="FFFFFF"/>
                <w:bottom w:val="single" w:sz="6" w:space="0" w:color="FFFFFF"/>
                <w:right w:val="single" w:sz="6" w:space="0" w:color="FFFFFF"/>
              </w:pBdr>
              <w:spacing w:after="73"/>
            </w:pPr>
            <w:r w:rsidRPr="00BB1524">
              <w:t>Refuse Systems</w:t>
            </w:r>
          </w:p>
        </w:tc>
        <w:tc>
          <w:tcPr>
            <w:tcW w:w="180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73"/>
              <w:jc w:val="center"/>
            </w:pPr>
            <w:r>
              <w:t>4953</w:t>
            </w:r>
          </w:p>
        </w:tc>
        <w:tc>
          <w:tcPr>
            <w:tcW w:w="2160" w:type="dxa"/>
          </w:tcPr>
          <w:p w:rsidR="00CA4CD6" w:rsidRPr="00BB1524" w:rsidRDefault="00CA4CD6" w:rsidP="00E63ABD">
            <w:pPr>
              <w:spacing w:line="120" w:lineRule="exact"/>
              <w:jc w:val="center"/>
            </w:pPr>
          </w:p>
          <w:p w:rsidR="00CA4CD6" w:rsidRPr="00BB1524" w:rsidRDefault="00BB1524" w:rsidP="00E63ABD">
            <w:pPr>
              <w:pBdr>
                <w:top w:val="single" w:sz="6" w:space="0" w:color="FFFFFF"/>
                <w:left w:val="single" w:sz="6" w:space="0" w:color="FFFFFF"/>
                <w:bottom w:val="single" w:sz="6" w:space="0" w:color="FFFFFF"/>
                <w:right w:val="single" w:sz="6" w:space="0" w:color="FFFFFF"/>
              </w:pBdr>
              <w:spacing w:after="73"/>
              <w:jc w:val="center"/>
            </w:pPr>
            <w:r w:rsidRPr="00BB1524">
              <w:t>562211</w:t>
            </w:r>
            <w:r>
              <w:t xml:space="preserve"> and </w:t>
            </w:r>
            <w:r w:rsidRPr="00BB1524">
              <w:t>562920</w:t>
            </w:r>
          </w:p>
        </w:tc>
      </w:tr>
    </w:tbl>
    <w:p w:rsidR="00CA4CD6" w:rsidRPr="00CF6699" w:rsidRDefault="00CA4CD6">
      <w:pPr>
        <w:pBdr>
          <w:top w:val="single" w:sz="6" w:space="0" w:color="FFFFFF"/>
          <w:left w:val="single" w:sz="6" w:space="0" w:color="FFFFFF"/>
          <w:bottom w:val="single" w:sz="6" w:space="0" w:color="FFFFFF"/>
          <w:right w:val="single" w:sz="6" w:space="0" w:color="FFFFFF"/>
        </w:pBdr>
      </w:pPr>
    </w:p>
    <w:p w:rsidR="00CA4CD6" w:rsidRPr="00CF6699" w:rsidRDefault="00CA4CD6">
      <w:pPr>
        <w:pBdr>
          <w:top w:val="single" w:sz="6" w:space="0" w:color="FFFFFF"/>
          <w:left w:val="single" w:sz="6" w:space="0" w:color="FFFFFF"/>
          <w:bottom w:val="single" w:sz="6" w:space="0" w:color="FFFFFF"/>
          <w:right w:val="single" w:sz="6" w:space="0" w:color="FFFFFF"/>
        </w:pBdr>
        <w:ind w:firstLine="720"/>
      </w:pPr>
      <w:r w:rsidRPr="00CF6699">
        <w:rPr>
          <w:b/>
          <w:bCs/>
        </w:rPr>
        <w:t>4(b</w:t>
      </w:r>
      <w:proofErr w:type="gramStart"/>
      <w:r w:rsidRPr="00CF6699">
        <w:rPr>
          <w:b/>
          <w:bCs/>
        </w:rPr>
        <w:t>)  Information</w:t>
      </w:r>
      <w:proofErr w:type="gramEnd"/>
      <w:r w:rsidRPr="00CF6699">
        <w:rPr>
          <w:b/>
          <w:bCs/>
        </w:rPr>
        <w:t xml:space="preserve"> Requested</w:t>
      </w:r>
    </w:p>
    <w:p w:rsidR="00CA4CD6" w:rsidRPr="00CF6699" w:rsidRDefault="00CA4CD6">
      <w:pPr>
        <w:pBdr>
          <w:top w:val="single" w:sz="6" w:space="0" w:color="FFFFFF"/>
          <w:left w:val="single" w:sz="6" w:space="0" w:color="FFFFFF"/>
          <w:bottom w:val="single" w:sz="6" w:space="0" w:color="FFFFFF"/>
          <w:right w:val="single" w:sz="6" w:space="0" w:color="FFFFFF"/>
        </w:pBdr>
      </w:pPr>
    </w:p>
    <w:p w:rsidR="00CA4CD6" w:rsidRPr="00CF6699"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w:t>
      </w:r>
      <w:proofErr w:type="spellStart"/>
      <w:r>
        <w:rPr>
          <w:b/>
          <w:bCs/>
          <w:color w:val="000000"/>
        </w:rPr>
        <w:t>i</w:t>
      </w:r>
      <w:proofErr w:type="spellEnd"/>
      <w:r>
        <w:rPr>
          <w:b/>
          <w:bCs/>
          <w:color w:val="000000"/>
        </w:rPr>
        <w:t>)  Data Items</w:t>
      </w:r>
    </w:p>
    <w:p w:rsidR="00CA4CD6" w:rsidRPr="00CF6699" w:rsidRDefault="00CA4CD6">
      <w:pPr>
        <w:pBdr>
          <w:top w:val="single" w:sz="6" w:space="0" w:color="FFFFFF"/>
          <w:left w:val="single" w:sz="6" w:space="0" w:color="FFFFFF"/>
          <w:bottom w:val="single" w:sz="6" w:space="0" w:color="FFFFFF"/>
          <w:right w:val="single" w:sz="6" w:space="0" w:color="FFFFFF"/>
        </w:pBdr>
      </w:pPr>
    </w:p>
    <w:p w:rsidR="00CA4CD6" w:rsidRPr="00CF6699" w:rsidRDefault="00817E8B">
      <w:pPr>
        <w:pBdr>
          <w:top w:val="single" w:sz="6" w:space="0" w:color="FFFFFF"/>
          <w:left w:val="single" w:sz="6" w:space="0" w:color="FFFFFF"/>
          <w:bottom w:val="single" w:sz="6" w:space="0" w:color="FFFFFF"/>
          <w:right w:val="single" w:sz="6" w:space="0" w:color="FFFFFF"/>
        </w:pBdr>
        <w:ind w:firstLine="720"/>
      </w:pPr>
      <w:r w:rsidRPr="00CF6699">
        <w:t>I</w:t>
      </w:r>
      <w:r w:rsidR="00CA4CD6" w:rsidRPr="00CF6699">
        <w:t>n this ICR</w:t>
      </w:r>
      <w:r w:rsidRPr="00CF6699">
        <w:t>, all the data</w:t>
      </w:r>
      <w:r w:rsidR="00CA4CD6" w:rsidRPr="00CF6699">
        <w:t xml:space="preserve"> </w:t>
      </w:r>
      <w:r w:rsidRPr="00CF6699">
        <w:t xml:space="preserve">that is </w:t>
      </w:r>
      <w:r w:rsidR="00CA4CD6" w:rsidRPr="00CF6699">
        <w:t xml:space="preserve">recorded or reported </w:t>
      </w:r>
      <w:r w:rsidRPr="00CF6699">
        <w:t>is</w:t>
      </w:r>
      <w:r w:rsidR="00CA4CD6" w:rsidRPr="00CF6699">
        <w:t xml:space="preserve"> required by</w:t>
      </w:r>
      <w:r w:rsidR="00CF6699" w:rsidRPr="00CF6699">
        <w:t xml:space="preserve"> </w:t>
      </w:r>
      <w:r w:rsidR="00E63ABD">
        <w:t xml:space="preserve">the </w:t>
      </w:r>
      <w:r w:rsidR="00CF6699" w:rsidRPr="00CF6699">
        <w:t xml:space="preserve">NESHAP for Beryllium (40 CFR </w:t>
      </w:r>
      <w:r w:rsidR="00E63ABD">
        <w:t>P</w:t>
      </w:r>
      <w:r w:rsidR="00CF6699" w:rsidRPr="00CF6699">
        <w:t xml:space="preserve">art 61, </w:t>
      </w:r>
      <w:r w:rsidR="00E63ABD">
        <w:t>S</w:t>
      </w:r>
      <w:r w:rsidR="00CF6699" w:rsidRPr="00CF6699">
        <w:t>ubpart C)</w:t>
      </w:r>
      <w:r w:rsidR="00CA4CD6" w:rsidRPr="00CF669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CF6699">
        <w:rPr>
          <w:color w:val="000000"/>
        </w:rPr>
        <w:t>notifications/</w:t>
      </w:r>
      <w:r>
        <w:rPr>
          <w:color w:val="000000"/>
        </w:rPr>
        <w:t>reports:</w:t>
      </w:r>
    </w:p>
    <w:p w:rsidR="00CA4CD6" w:rsidRDefault="00CA4CD6" w:rsidP="00EB7F63">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CF669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rsidP="00EB7F63">
            <w:pPr>
              <w:keepNext/>
              <w:keepLines/>
              <w:spacing w:line="120" w:lineRule="exact"/>
            </w:pPr>
          </w:p>
          <w:p w:rsidR="00CA4CD6" w:rsidRPr="00CF2B37" w:rsidRDefault="00CA4CD6" w:rsidP="00EB7F63">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CF6699">
              <w:rPr>
                <w:b/>
              </w:rPr>
              <w:t>/Reports</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F354E5" w:rsidRDefault="00CF6699" w:rsidP="00EB7F63">
            <w:pPr>
              <w:keepNext/>
              <w:keepLines/>
              <w:pBdr>
                <w:top w:val="single" w:sz="6" w:space="0" w:color="FFFFFF"/>
                <w:left w:val="single" w:sz="6" w:space="0" w:color="FFFFFF"/>
                <w:bottom w:val="single" w:sz="6" w:space="0" w:color="FFFFFF"/>
                <w:right w:val="single" w:sz="6" w:space="0" w:color="FFFFFF"/>
              </w:pBdr>
              <w:spacing w:after="58"/>
            </w:pPr>
            <w:r w:rsidRPr="00F354E5">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CA4CD6" w:rsidRPr="00F354E5" w:rsidRDefault="00CF6699" w:rsidP="00EB7F63">
            <w:pPr>
              <w:keepNext/>
              <w:keepLines/>
              <w:pBdr>
                <w:top w:val="single" w:sz="6" w:space="0" w:color="FFFFFF"/>
                <w:left w:val="single" w:sz="6" w:space="0" w:color="FFFFFF"/>
                <w:bottom w:val="single" w:sz="6" w:space="0" w:color="FFFFFF"/>
                <w:right w:val="single" w:sz="6" w:space="0" w:color="FFFFFF"/>
              </w:pBdr>
              <w:spacing w:after="58"/>
            </w:pPr>
            <w:r w:rsidRPr="00F354E5">
              <w:t>61.07</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F354E5" w:rsidRDefault="00CF6699">
            <w:pPr>
              <w:pBdr>
                <w:top w:val="single" w:sz="6" w:space="0" w:color="FFFFFF"/>
                <w:left w:val="single" w:sz="6" w:space="0" w:color="FFFFFF"/>
                <w:bottom w:val="single" w:sz="6" w:space="0" w:color="FFFFFF"/>
                <w:right w:val="single" w:sz="6" w:space="0" w:color="FFFFFF"/>
              </w:pBdr>
              <w:spacing w:after="58"/>
            </w:pPr>
            <w:r w:rsidRPr="00F354E5">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CA4CD6" w:rsidRPr="00F354E5" w:rsidRDefault="00CF6699">
            <w:pPr>
              <w:pBdr>
                <w:top w:val="single" w:sz="6" w:space="0" w:color="FFFFFF"/>
                <w:left w:val="single" w:sz="6" w:space="0" w:color="FFFFFF"/>
                <w:bottom w:val="single" w:sz="6" w:space="0" w:color="FFFFFF"/>
                <w:right w:val="single" w:sz="6" w:space="0" w:color="FFFFFF"/>
              </w:pBdr>
              <w:spacing w:after="58"/>
            </w:pPr>
            <w:r w:rsidRPr="00F354E5">
              <w:t>61.09(a)(2)</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CF2B37" w:rsidRDefault="00CF6699" w:rsidP="0072156B">
            <w:pPr>
              <w:pBdr>
                <w:top w:val="single" w:sz="6" w:space="0" w:color="FFFFFF"/>
                <w:left w:val="single" w:sz="6" w:space="0" w:color="FFFFFF"/>
                <w:bottom w:val="single" w:sz="6" w:space="0" w:color="FFFFFF"/>
                <w:right w:val="single" w:sz="6" w:space="0" w:color="FFFFFF"/>
              </w:pBdr>
              <w:spacing w:after="58"/>
            </w:pPr>
            <w:r w:rsidRPr="00CF6699">
              <w:t>Notification o</w:t>
            </w:r>
            <w:r w:rsidR="0072156B">
              <w:t>f emission test</w:t>
            </w:r>
          </w:p>
        </w:tc>
        <w:tc>
          <w:tcPr>
            <w:tcW w:w="2340" w:type="dxa"/>
            <w:tcBorders>
              <w:top w:val="single" w:sz="7" w:space="0" w:color="000000"/>
              <w:left w:val="single" w:sz="7" w:space="0" w:color="000000"/>
              <w:bottom w:val="single" w:sz="7" w:space="0" w:color="000000"/>
              <w:right w:val="single" w:sz="7" w:space="0" w:color="000000"/>
            </w:tcBorders>
          </w:tcPr>
          <w:p w:rsidR="00CA4CD6" w:rsidRPr="004F7B9A" w:rsidRDefault="006F0EDD" w:rsidP="0072156B">
            <w:pPr>
              <w:pBdr>
                <w:top w:val="single" w:sz="6" w:space="0" w:color="FFFFFF"/>
                <w:left w:val="single" w:sz="6" w:space="0" w:color="FFFFFF"/>
                <w:bottom w:val="single" w:sz="6" w:space="0" w:color="FFFFFF"/>
                <w:right w:val="single" w:sz="6" w:space="0" w:color="FFFFFF"/>
              </w:pBdr>
              <w:spacing w:after="58"/>
              <w:rPr>
                <w:highlight w:val="yellow"/>
              </w:rPr>
            </w:pPr>
            <w:r>
              <w:t xml:space="preserve">61.13(c) and </w:t>
            </w:r>
            <w:r w:rsidR="0072156B">
              <w:t>61.33(b)</w:t>
            </w:r>
          </w:p>
        </w:tc>
      </w:tr>
      <w:tr w:rsidR="004F5414"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4F5414" w:rsidRPr="00CF6699" w:rsidRDefault="0072156B" w:rsidP="0072156B">
            <w:pPr>
              <w:pBdr>
                <w:top w:val="single" w:sz="6" w:space="0" w:color="FFFFFF"/>
                <w:left w:val="single" w:sz="6" w:space="0" w:color="FFFFFF"/>
                <w:bottom w:val="single" w:sz="6" w:space="0" w:color="FFFFFF"/>
                <w:right w:val="single" w:sz="6" w:space="0" w:color="FFFFFF"/>
              </w:pBdr>
              <w:spacing w:after="58"/>
            </w:pPr>
            <w:r>
              <w:t>Report of emission test results</w:t>
            </w:r>
          </w:p>
        </w:tc>
        <w:tc>
          <w:tcPr>
            <w:tcW w:w="2340" w:type="dxa"/>
            <w:tcBorders>
              <w:top w:val="single" w:sz="7" w:space="0" w:color="000000"/>
              <w:left w:val="single" w:sz="7" w:space="0" w:color="000000"/>
              <w:bottom w:val="single" w:sz="7" w:space="0" w:color="000000"/>
              <w:right w:val="single" w:sz="7" w:space="0" w:color="000000"/>
            </w:tcBorders>
          </w:tcPr>
          <w:p w:rsidR="004F5414" w:rsidRPr="004F7B9A" w:rsidRDefault="006F0EDD" w:rsidP="0072156B">
            <w:pPr>
              <w:pBdr>
                <w:top w:val="single" w:sz="6" w:space="0" w:color="FFFFFF"/>
                <w:left w:val="single" w:sz="6" w:space="0" w:color="FFFFFF"/>
                <w:bottom w:val="single" w:sz="6" w:space="0" w:color="FFFFFF"/>
                <w:right w:val="single" w:sz="6" w:space="0" w:color="FFFFFF"/>
              </w:pBdr>
              <w:spacing w:after="58"/>
              <w:rPr>
                <w:highlight w:val="yellow"/>
              </w:rPr>
            </w:pPr>
            <w:r>
              <w:t xml:space="preserve">61.13(f) and </w:t>
            </w:r>
            <w:r w:rsidR="0072156B">
              <w:t>61.33(d)</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4F7B9A" w:rsidRDefault="00CF6699">
            <w:pPr>
              <w:pBdr>
                <w:top w:val="single" w:sz="6" w:space="0" w:color="FFFFFF"/>
                <w:left w:val="single" w:sz="6" w:space="0" w:color="FFFFFF"/>
                <w:bottom w:val="single" w:sz="6" w:space="0" w:color="FFFFFF"/>
                <w:right w:val="single" w:sz="6" w:space="0" w:color="FFFFFF"/>
              </w:pBdr>
              <w:spacing w:after="58"/>
            </w:pPr>
            <w:r w:rsidRPr="004F7B9A">
              <w:t>Notification requesting approval to meet an ambient concentration limit on beryllium in the vicinity of the stationary source (alternative standard)</w:t>
            </w:r>
          </w:p>
        </w:tc>
        <w:tc>
          <w:tcPr>
            <w:tcW w:w="2340" w:type="dxa"/>
            <w:tcBorders>
              <w:top w:val="single" w:sz="7" w:space="0" w:color="000000"/>
              <w:left w:val="single" w:sz="7" w:space="0" w:color="000000"/>
              <w:bottom w:val="single" w:sz="7" w:space="0" w:color="000000"/>
              <w:right w:val="single" w:sz="7" w:space="0" w:color="000000"/>
            </w:tcBorders>
          </w:tcPr>
          <w:p w:rsidR="00CA4CD6" w:rsidRPr="004F7B9A" w:rsidRDefault="00CF6699">
            <w:pPr>
              <w:pBdr>
                <w:top w:val="single" w:sz="6" w:space="0" w:color="FFFFFF"/>
                <w:left w:val="single" w:sz="6" w:space="0" w:color="FFFFFF"/>
                <w:bottom w:val="single" w:sz="6" w:space="0" w:color="FFFFFF"/>
                <w:right w:val="single" w:sz="6" w:space="0" w:color="FFFFFF"/>
              </w:pBdr>
              <w:spacing w:after="58"/>
            </w:pPr>
            <w:r w:rsidRPr="004F7B9A">
              <w:t>61.32(b)</w:t>
            </w:r>
          </w:p>
        </w:tc>
      </w:tr>
      <w:tr w:rsidR="00CA4CD6"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F354E5" w:rsidRDefault="00CF6699">
            <w:pPr>
              <w:pBdr>
                <w:top w:val="single" w:sz="6" w:space="0" w:color="FFFFFF"/>
                <w:left w:val="single" w:sz="6" w:space="0" w:color="FFFFFF"/>
                <w:bottom w:val="single" w:sz="6" w:space="0" w:color="FFFFFF"/>
                <w:right w:val="single" w:sz="6" w:space="0" w:color="FFFFFF"/>
              </w:pBdr>
              <w:spacing w:after="58"/>
            </w:pPr>
            <w:r w:rsidRPr="00F354E5">
              <w:t xml:space="preserve">Source status report for facilities complying by ambient monitoring, a </w:t>
            </w:r>
            <w:r w:rsidRPr="00F354E5">
              <w:lastRenderedPageBreak/>
              <w:t>monthly report of all measured beryllium concentrations shall be submitted to the administrator</w:t>
            </w:r>
          </w:p>
        </w:tc>
        <w:tc>
          <w:tcPr>
            <w:tcW w:w="2340" w:type="dxa"/>
            <w:tcBorders>
              <w:top w:val="single" w:sz="7" w:space="0" w:color="000000"/>
              <w:left w:val="single" w:sz="7" w:space="0" w:color="000000"/>
              <w:bottom w:val="single" w:sz="7" w:space="0" w:color="000000"/>
              <w:right w:val="single" w:sz="7" w:space="0" w:color="000000"/>
            </w:tcBorders>
          </w:tcPr>
          <w:p w:rsidR="00CA4CD6" w:rsidRPr="00F354E5" w:rsidRDefault="00CF6699">
            <w:pPr>
              <w:pBdr>
                <w:top w:val="single" w:sz="6" w:space="0" w:color="FFFFFF"/>
                <w:left w:val="single" w:sz="6" w:space="0" w:color="FFFFFF"/>
                <w:bottom w:val="single" w:sz="6" w:space="0" w:color="FFFFFF"/>
                <w:right w:val="single" w:sz="6" w:space="0" w:color="FFFFFF"/>
              </w:pBdr>
              <w:spacing w:after="58"/>
            </w:pPr>
            <w:r w:rsidRPr="00F354E5">
              <w:lastRenderedPageBreak/>
              <w:t>61.10(a) and 61.34(d)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CF669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A4CD6" w:rsidRPr="00CF2B37" w:rsidTr="0036303E">
        <w:trPr>
          <w:jc w:val="center"/>
        </w:trPr>
        <w:tc>
          <w:tcPr>
            <w:tcW w:w="7020" w:type="dxa"/>
            <w:tcBorders>
              <w:top w:val="single" w:sz="7" w:space="0" w:color="000000"/>
              <w:left w:val="single" w:sz="7" w:space="0" w:color="000000"/>
              <w:bottom w:val="single" w:sz="7" w:space="0" w:color="000000"/>
              <w:right w:val="single" w:sz="7" w:space="0" w:color="000000"/>
            </w:tcBorders>
          </w:tcPr>
          <w:p w:rsidR="00CA4CD6" w:rsidRPr="006F0EDD" w:rsidRDefault="00F354E5" w:rsidP="00CF6699">
            <w:pPr>
              <w:pBdr>
                <w:top w:val="single" w:sz="6" w:space="0" w:color="FFFFFF"/>
                <w:left w:val="single" w:sz="6" w:space="0" w:color="FFFFFF"/>
                <w:bottom w:val="single" w:sz="6" w:space="0" w:color="FFFFFF"/>
                <w:right w:val="single" w:sz="6" w:space="0" w:color="FFFFFF"/>
              </w:pBdr>
              <w:spacing w:after="58"/>
            </w:pPr>
            <w:r w:rsidRPr="006F0EDD">
              <w:t xml:space="preserve">Maintain records of monitoring data, monitoring system calibration checks, and </w:t>
            </w:r>
            <w:r w:rsidR="00CB33CC">
              <w:t>any periods when the monitoring system is malfunctioning or inoperative for two years.</w:t>
            </w:r>
          </w:p>
        </w:tc>
        <w:tc>
          <w:tcPr>
            <w:tcW w:w="2340" w:type="dxa"/>
            <w:tcBorders>
              <w:top w:val="single" w:sz="7" w:space="0" w:color="000000"/>
              <w:left w:val="single" w:sz="7" w:space="0" w:color="000000"/>
              <w:bottom w:val="single" w:sz="7" w:space="0" w:color="000000"/>
              <w:right w:val="single" w:sz="7" w:space="0" w:color="000000"/>
            </w:tcBorders>
          </w:tcPr>
          <w:p w:rsidR="00CA4CD6" w:rsidRPr="006F0EDD" w:rsidRDefault="006F0EDD">
            <w:pPr>
              <w:pBdr>
                <w:top w:val="single" w:sz="6" w:space="0" w:color="FFFFFF"/>
                <w:left w:val="single" w:sz="6" w:space="0" w:color="FFFFFF"/>
                <w:bottom w:val="single" w:sz="6" w:space="0" w:color="FFFFFF"/>
                <w:right w:val="single" w:sz="6" w:space="0" w:color="FFFFFF"/>
              </w:pBdr>
              <w:spacing w:after="58"/>
            </w:pPr>
            <w:r w:rsidRPr="006F0EDD">
              <w:t>61.14(f)</w:t>
            </w:r>
          </w:p>
        </w:tc>
      </w:tr>
      <w:tr w:rsidR="0072156B" w:rsidRPr="00CF2B37" w:rsidTr="0036303E">
        <w:trPr>
          <w:jc w:val="center"/>
        </w:trPr>
        <w:tc>
          <w:tcPr>
            <w:tcW w:w="7020" w:type="dxa"/>
            <w:tcBorders>
              <w:top w:val="single" w:sz="7" w:space="0" w:color="000000"/>
              <w:left w:val="single" w:sz="7" w:space="0" w:color="000000"/>
              <w:bottom w:val="single" w:sz="7" w:space="0" w:color="000000"/>
              <w:right w:val="single" w:sz="7" w:space="0" w:color="000000"/>
            </w:tcBorders>
          </w:tcPr>
          <w:p w:rsidR="0072156B" w:rsidRPr="00CF2B37" w:rsidRDefault="0072156B" w:rsidP="0072156B">
            <w:pPr>
              <w:pBdr>
                <w:top w:val="single" w:sz="6" w:space="0" w:color="FFFFFF"/>
                <w:left w:val="single" w:sz="6" w:space="0" w:color="FFFFFF"/>
                <w:bottom w:val="single" w:sz="6" w:space="0" w:color="FFFFFF"/>
                <w:right w:val="single" w:sz="6" w:space="0" w:color="FFFFFF"/>
              </w:pBdr>
              <w:spacing w:after="58"/>
            </w:pPr>
            <w:r w:rsidRPr="0072156B">
              <w:t>Maintain records of emission test results and other data needed to determine emissions and air concentrations for two years</w:t>
            </w:r>
          </w:p>
        </w:tc>
        <w:tc>
          <w:tcPr>
            <w:tcW w:w="2340" w:type="dxa"/>
            <w:tcBorders>
              <w:top w:val="single" w:sz="7" w:space="0" w:color="000000"/>
              <w:left w:val="single" w:sz="7" w:space="0" w:color="000000"/>
              <w:bottom w:val="single" w:sz="7" w:space="0" w:color="000000"/>
              <w:right w:val="single" w:sz="7" w:space="0" w:color="000000"/>
            </w:tcBorders>
          </w:tcPr>
          <w:p w:rsidR="0072156B" w:rsidRPr="004F7B9A" w:rsidRDefault="006F0EDD" w:rsidP="006F0EDD">
            <w:pPr>
              <w:pBdr>
                <w:top w:val="single" w:sz="6" w:space="0" w:color="FFFFFF"/>
                <w:left w:val="single" w:sz="6" w:space="0" w:color="FFFFFF"/>
                <w:bottom w:val="single" w:sz="6" w:space="0" w:color="FFFFFF"/>
                <w:right w:val="single" w:sz="6" w:space="0" w:color="FFFFFF"/>
              </w:pBdr>
              <w:spacing w:after="58"/>
              <w:rPr>
                <w:highlight w:val="yellow"/>
              </w:rPr>
            </w:pPr>
            <w:r>
              <w:t>61.13(g),</w:t>
            </w:r>
            <w:r w:rsidR="0072156B" w:rsidRPr="00F354E5">
              <w:t xml:space="preserve"> 61.34</w:t>
            </w:r>
            <w:r w:rsidR="0072156B" w:rsidRPr="0072156B">
              <w:t>(c)</w:t>
            </w:r>
            <w:r w:rsidR="0072156B">
              <w:t>,</w:t>
            </w:r>
            <w:r w:rsidR="0072156B" w:rsidRPr="0072156B">
              <w:t xml:space="preserve"> and 61.33(e)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F6699" w:rsidRDefault="00CA4CD6">
      <w:pPr>
        <w:pBdr>
          <w:top w:val="single" w:sz="6" w:space="0" w:color="FFFFFF"/>
          <w:left w:val="single" w:sz="6" w:space="0" w:color="FFFFFF"/>
          <w:bottom w:val="single" w:sz="6" w:space="0" w:color="FFFFFF"/>
          <w:right w:val="single" w:sz="6" w:space="0" w:color="FFFFFF"/>
        </w:pBdr>
        <w:ind w:firstLine="720"/>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w:t>
      </w:r>
      <w:r w:rsidRPr="00CF6699">
        <w:t>electronic reporting systems are still not widely used.  At this time, it is estimated that approximately 10 percent of the respon</w:t>
      </w:r>
      <w:r w:rsidR="00CF6699">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rsidP="00EB7F63">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B7F63">
            <w:pPr>
              <w:keepNext/>
              <w:keepLines/>
              <w:spacing w:line="120" w:lineRule="exact"/>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B7F63">
            <w:pPr>
              <w:keepNext/>
              <w:keepLines/>
              <w:spacing w:line="120" w:lineRule="exact"/>
              <w:rPr>
                <w:b/>
                <w:bCs/>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B7F63">
            <w:pPr>
              <w:keepNext/>
              <w:keepLines/>
              <w:spacing w:line="120" w:lineRule="exact"/>
              <w:rPr>
                <w:color w:val="000000"/>
              </w:rPr>
            </w:pPr>
          </w:p>
          <w:p w:rsidR="00CA4CD6" w:rsidRDefault="00CF6699" w:rsidP="00EB7F63">
            <w:pPr>
              <w:keepNext/>
              <w:keepLines/>
              <w:pBdr>
                <w:top w:val="single" w:sz="6" w:space="0" w:color="FFFFFF"/>
                <w:left w:val="single" w:sz="6" w:space="0" w:color="FFFFFF"/>
                <w:bottom w:val="single" w:sz="6" w:space="0" w:color="FFFFFF"/>
                <w:right w:val="single" w:sz="6" w:space="0" w:color="FFFFFF"/>
              </w:pBdr>
              <w:spacing w:after="55"/>
              <w:rPr>
                <w:color w:val="000000"/>
              </w:rPr>
            </w:pPr>
            <w:r w:rsidRPr="00CF6699">
              <w:rPr>
                <w:color w:val="000000"/>
              </w:rPr>
              <w:t xml:space="preserve">For </w:t>
            </w:r>
            <w:r w:rsidRPr="00CF6699">
              <w:t>facilities that have elected to comply with an alternative ambient air quality limit, install, calibrate, maintain, and operate a continuous monitor in the vicinity of the affected facility to measure beryllium concentrations.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F6699" w:rsidP="00CF6699">
            <w:pPr>
              <w:pBdr>
                <w:top w:val="single" w:sz="6" w:space="0" w:color="FFFFFF"/>
                <w:left w:val="single" w:sz="6" w:space="0" w:color="FFFFFF"/>
                <w:bottom w:val="single" w:sz="6" w:space="0" w:color="FFFFFF"/>
                <w:right w:val="single" w:sz="6" w:space="0" w:color="FFFFFF"/>
              </w:pBdr>
              <w:spacing w:after="55"/>
              <w:rPr>
                <w:color w:val="000000"/>
              </w:rPr>
            </w:pPr>
            <w:r w:rsidRPr="00CF6699">
              <w:rPr>
                <w:color w:val="000000"/>
              </w:rPr>
              <w:t>For facilities complying by ambient monitoring, perform emission testing to determine beryllium emissions to the atmosphere according to Method 104 or Method 103 (an alternative method needing approval) of appendix B to part 61.</w:t>
            </w:r>
          </w:p>
        </w:tc>
      </w:tr>
      <w:tr w:rsidR="00CA4CD6" w:rsidTr="00CA6E55">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CA6E55">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CA6E55">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rsidRPr="00CF6699">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F6699" w:rsidRDefault="00CA4CD6">
            <w:pPr>
              <w:spacing w:line="120" w:lineRule="exact"/>
            </w:pPr>
          </w:p>
          <w:p w:rsidR="00CA4CD6" w:rsidRPr="00CF6699" w:rsidRDefault="00CA4CD6">
            <w:pPr>
              <w:pBdr>
                <w:top w:val="single" w:sz="6" w:space="0" w:color="FFFFFF"/>
                <w:left w:val="single" w:sz="6" w:space="0" w:color="FFFFFF"/>
                <w:bottom w:val="single" w:sz="6" w:space="0" w:color="FFFFFF"/>
                <w:right w:val="single" w:sz="6" w:space="0" w:color="FFFFFF"/>
              </w:pBdr>
              <w:spacing w:after="55"/>
            </w:pPr>
            <w:r w:rsidRPr="00CF6699">
              <w:t>Train personnel to be able to respond to a collection of information.</w:t>
            </w:r>
          </w:p>
        </w:tc>
      </w:tr>
      <w:tr w:rsidR="00CA4CD6" w:rsidRPr="00CF6699">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CF6699" w:rsidRDefault="00CA4CD6">
            <w:pPr>
              <w:spacing w:line="120" w:lineRule="exact"/>
            </w:pPr>
          </w:p>
          <w:p w:rsidR="00CA4CD6" w:rsidRPr="00CF6699" w:rsidRDefault="00CA4CD6">
            <w:pPr>
              <w:pBdr>
                <w:top w:val="single" w:sz="6" w:space="0" w:color="FFFFFF"/>
                <w:left w:val="single" w:sz="6" w:space="0" w:color="FFFFFF"/>
                <w:bottom w:val="single" w:sz="6" w:space="0" w:color="FFFFFF"/>
                <w:right w:val="single" w:sz="6" w:space="0" w:color="FFFFFF"/>
              </w:pBdr>
              <w:spacing w:after="74"/>
            </w:pPr>
            <w:r w:rsidRPr="00CF6699">
              <w:t>Transmit, or otherwise disclose the information.</w:t>
            </w:r>
          </w:p>
        </w:tc>
      </w:tr>
    </w:tbl>
    <w:p w:rsidR="00CA4CD6" w:rsidRPr="00CF6699" w:rsidRDefault="00CA4CD6">
      <w:pPr>
        <w:pBdr>
          <w:top w:val="single" w:sz="6" w:space="0" w:color="FFFFFF"/>
          <w:left w:val="single" w:sz="6" w:space="0" w:color="FFFFFF"/>
          <w:bottom w:val="single" w:sz="6" w:space="0" w:color="FFFFFF"/>
          <w:right w:val="single" w:sz="6" w:space="0" w:color="FFFFFF"/>
        </w:pBdr>
      </w:pPr>
    </w:p>
    <w:p w:rsidR="00606DEF" w:rsidRPr="00CF6699" w:rsidRDefault="00CF2B37" w:rsidP="00CF2B37">
      <w:pPr>
        <w:pBdr>
          <w:top w:val="single" w:sz="6" w:space="0" w:color="FFFFFF"/>
          <w:left w:val="single" w:sz="6" w:space="0" w:color="FFFFFF"/>
          <w:bottom w:val="single" w:sz="6" w:space="0" w:color="FFFFFF"/>
          <w:right w:val="single" w:sz="6" w:space="0" w:color="FFFFFF"/>
        </w:pBdr>
        <w:ind w:firstLine="720"/>
      </w:pPr>
      <w:r w:rsidRPr="00CF6699">
        <w:t xml:space="preserve">Currently sources are using monitoring and reporting equipment that provide parameter data in an automated way </w:t>
      </w:r>
      <w:r w:rsidR="00FE7236">
        <w:t>(</w:t>
      </w:r>
      <w:r w:rsidRPr="00CF6699">
        <w:t>e.g., continuous parameter monitoring system</w:t>
      </w:r>
      <w:r w:rsidR="00FE7236">
        <w:t>)</w:t>
      </w:r>
      <w:r w:rsidRPr="00CF6699">
        <w:t xml:space="preserve">.  Although personnel at the source still need to evaluate the data, this type of monitoring equipment has significantly reduced the burden associated with monitoring and recordkeeping. </w:t>
      </w:r>
    </w:p>
    <w:p w:rsidR="00CF2B37" w:rsidRPr="00CF6699"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B7F63">
            <w:pPr>
              <w:keepNext/>
              <w:keepLines/>
              <w:spacing w:line="120" w:lineRule="exact"/>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EB7F63">
            <w:pPr>
              <w:keepNext/>
              <w:keepLines/>
              <w:spacing w:line="120" w:lineRule="exact"/>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rsidRPr="00CF6699">
        <w:tc>
          <w:tcPr>
            <w:tcW w:w="9360" w:type="dxa"/>
            <w:tcBorders>
              <w:top w:val="single" w:sz="7" w:space="0" w:color="000000"/>
              <w:left w:val="single" w:sz="7" w:space="0" w:color="000000"/>
              <w:bottom w:val="single" w:sz="7" w:space="0" w:color="000000"/>
              <w:right w:val="single" w:sz="7" w:space="0" w:color="000000"/>
            </w:tcBorders>
          </w:tcPr>
          <w:p w:rsidR="00CA4CD6" w:rsidRPr="00CF6699" w:rsidRDefault="00CA4CD6">
            <w:pPr>
              <w:spacing w:line="120" w:lineRule="exact"/>
            </w:pPr>
          </w:p>
          <w:p w:rsidR="00CA4CD6" w:rsidRPr="00CF6699" w:rsidRDefault="00CA4CD6" w:rsidP="004C701D">
            <w:pPr>
              <w:pBdr>
                <w:top w:val="single" w:sz="6" w:space="0" w:color="FFFFFF"/>
                <w:left w:val="single" w:sz="6" w:space="0" w:color="FFFFFF"/>
                <w:bottom w:val="single" w:sz="6" w:space="0" w:color="FFFFFF"/>
                <w:right w:val="single" w:sz="6" w:space="0" w:color="FFFFFF"/>
              </w:pBdr>
              <w:spacing w:after="72"/>
            </w:pPr>
            <w:r w:rsidRPr="00CF6699">
              <w:t xml:space="preserve">Input, analyze, and maintain data in the </w:t>
            </w:r>
            <w:r w:rsidR="004C701D" w:rsidRPr="00CF6699">
              <w:t xml:space="preserve">Online Tracking Information System (OTIS). </w:t>
            </w:r>
          </w:p>
        </w:tc>
      </w:tr>
    </w:tbl>
    <w:p w:rsidR="00CA4CD6" w:rsidRPr="00CF6699" w:rsidRDefault="00CA4CD6">
      <w:pPr>
        <w:pBdr>
          <w:top w:val="single" w:sz="6" w:space="0" w:color="FFFFFF"/>
          <w:left w:val="single" w:sz="6" w:space="0" w:color="FFFFFF"/>
          <w:bottom w:val="single" w:sz="6" w:space="0" w:color="FFFFFF"/>
          <w:right w:val="single" w:sz="6" w:space="0" w:color="FFFFFF"/>
        </w:pBdr>
        <w:rPr>
          <w:b/>
          <w:bCs/>
        </w:rPr>
      </w:pPr>
    </w:p>
    <w:p w:rsidR="00CA4CD6" w:rsidRPr="00CF6699" w:rsidRDefault="00CA4CD6">
      <w:pPr>
        <w:pBdr>
          <w:top w:val="single" w:sz="6" w:space="0" w:color="FFFFFF"/>
          <w:left w:val="single" w:sz="6" w:space="0" w:color="FFFFFF"/>
          <w:bottom w:val="single" w:sz="6" w:space="0" w:color="FFFFFF"/>
          <w:right w:val="single" w:sz="6" w:space="0" w:color="FFFFFF"/>
        </w:pBdr>
        <w:ind w:firstLine="720"/>
      </w:pPr>
      <w:r w:rsidRPr="00CF6699">
        <w:rPr>
          <w:b/>
          <w:bCs/>
        </w:rPr>
        <w:t>5(b</w:t>
      </w:r>
      <w:proofErr w:type="gramStart"/>
      <w:r w:rsidRPr="00CF6699">
        <w:rPr>
          <w:b/>
          <w:bCs/>
        </w:rPr>
        <w:t>)  Collection</w:t>
      </w:r>
      <w:proofErr w:type="gramEnd"/>
      <w:r w:rsidRPr="00CF6699">
        <w:rPr>
          <w:b/>
          <w:bCs/>
        </w:rPr>
        <w:t xml:space="preserve"> Methodology and Management</w:t>
      </w:r>
    </w:p>
    <w:p w:rsidR="00CA4CD6" w:rsidRPr="00CF6699" w:rsidRDefault="00CA4CD6">
      <w:pPr>
        <w:pBdr>
          <w:top w:val="single" w:sz="6" w:space="0" w:color="FFFFFF"/>
          <w:left w:val="single" w:sz="6" w:space="0" w:color="FFFFFF"/>
          <w:bottom w:val="single" w:sz="6" w:space="0" w:color="FFFFFF"/>
          <w:right w:val="single" w:sz="6" w:space="0" w:color="FFFFFF"/>
        </w:pBdr>
      </w:pPr>
    </w:p>
    <w:p w:rsidR="00CA4CD6" w:rsidRPr="00CF6699" w:rsidRDefault="00CF6699">
      <w:pPr>
        <w:pBdr>
          <w:top w:val="single" w:sz="6" w:space="0" w:color="FFFFFF"/>
          <w:left w:val="single" w:sz="6" w:space="0" w:color="FFFFFF"/>
          <w:bottom w:val="single" w:sz="6" w:space="0" w:color="FFFFFF"/>
          <w:right w:val="single" w:sz="6" w:space="0" w:color="FFFFFF"/>
        </w:pBdr>
        <w:ind w:firstLine="720"/>
      </w:pPr>
      <w:r w:rsidRPr="00CF6699">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w:t>
      </w:r>
      <w:r w:rsidR="00CA4CD6" w:rsidRPr="00CF6699">
        <w:t xml:space="preserve">  Data and records maintained by the respondents are tabulated and published for use in </w:t>
      </w:r>
      <w:r w:rsidR="00CA4CD6" w:rsidRPr="00CF6699">
        <w:lastRenderedPageBreak/>
        <w:t>compliance and enforcement programs.</w:t>
      </w:r>
    </w:p>
    <w:p w:rsidR="00CA4CD6" w:rsidRPr="00CF669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F6699">
        <w:t xml:space="preserve">Information contained in </w:t>
      </w:r>
      <w:r w:rsidR="004C701D" w:rsidRPr="00CF6699">
        <w:t xml:space="preserve">the reports is entered into OTIS </w:t>
      </w:r>
      <w:r w:rsidRPr="00CF6699">
        <w:t xml:space="preserve">which is operated and maintained by EPA's Office of Compliance.  </w:t>
      </w:r>
      <w:r w:rsidR="004C701D" w:rsidRPr="00CF6699">
        <w:t xml:space="preserve">OTIS </w:t>
      </w:r>
      <w:r w:rsidRPr="00CF6699">
        <w:t>is EPA</w:t>
      </w:r>
      <w:r w:rsidR="004C701D" w:rsidRPr="00CF6699">
        <w:t>’</w:t>
      </w:r>
      <w:r w:rsidRPr="00CF6699">
        <w:t xml:space="preserve">s database for the collection, maintenance, and retrieval of compliance data for approximately 125,000 industrial and government-owned facilities.  EPA uses the </w:t>
      </w:r>
      <w:r w:rsidR="004C701D" w:rsidRPr="00CF6699">
        <w:t>OTIS</w:t>
      </w:r>
      <w:r w:rsidRPr="00CF6699">
        <w:t xml:space="preserve"> for tracking air pollution compliance and enforcement by local and state</w:t>
      </w:r>
      <w:r>
        <w:rPr>
          <w:color w:val="000000"/>
        </w:rPr>
        <w:t xml:space="preserv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C25657">
        <w:rPr>
          <w:color w:val="000000"/>
        </w:rPr>
        <w:t>two</w:t>
      </w:r>
      <w:r w:rsidR="00CF6699">
        <w:rPr>
          <w:color w:val="00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F6699" w:rsidRPr="00CF6699" w:rsidRDefault="00CA4CD6" w:rsidP="00CF6699">
      <w:pPr>
        <w:pBdr>
          <w:top w:val="single" w:sz="6" w:space="0" w:color="FFFFFF"/>
          <w:left w:val="single" w:sz="6" w:space="0" w:color="FFFFFF"/>
          <w:bottom w:val="single" w:sz="6" w:space="0" w:color="FFFFFF"/>
          <w:right w:val="single" w:sz="6" w:space="0" w:color="FFFFFF"/>
        </w:pBdr>
        <w:ind w:firstLine="720"/>
        <w:rPr>
          <w:bCs/>
          <w:color w:val="000000"/>
        </w:rPr>
      </w:pPr>
      <w:r>
        <w:rPr>
          <w:color w:val="000000"/>
        </w:rPr>
        <w:t xml:space="preserve">A majority of the respondents are large entities (i.e., large businesses).  However, </w:t>
      </w:r>
      <w:r w:rsidR="00B66130">
        <w:rPr>
          <w:color w:val="000000"/>
        </w:rPr>
        <w:t xml:space="preserve">        </w:t>
      </w:r>
      <w:r>
        <w:rPr>
          <w:color w:val="000000"/>
        </w:rPr>
        <w:t>the impact on small entities (i.e., small businesses) was taken into consideration during the development of the regulation.</w:t>
      </w:r>
      <w:r w:rsidR="00CF6699">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r w:rsidR="00CF6699">
        <w:rPr>
          <w:color w:val="000000"/>
        </w:rPr>
        <w:t>.</w:t>
      </w:r>
    </w:p>
    <w:p w:rsidR="00CA4CD6" w:rsidRPr="00CF6699" w:rsidRDefault="00CA4CD6">
      <w:pPr>
        <w:pBdr>
          <w:top w:val="single" w:sz="6" w:space="0" w:color="FFFFFF"/>
          <w:left w:val="single" w:sz="6" w:space="0" w:color="FFFFFF"/>
          <w:bottom w:val="single" w:sz="6" w:space="0" w:color="FFFFFF"/>
          <w:right w:val="single" w:sz="6" w:space="0" w:color="FFFFFF"/>
        </w:pBdr>
        <w:rPr>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 1</w:t>
      </w:r>
      <w:r w:rsidR="008426D4" w:rsidRPr="008426D4">
        <w:rPr>
          <w:color w:val="000000"/>
        </w:rPr>
        <w:t>: Annual Respondent Burden and Cost – NESHAP for Beryllium (40 CFR Part 61, Subpart C)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004F7B9A">
        <w:rPr>
          <w:color w:val="000000"/>
        </w:rPr>
        <w:t>the subpart</w:t>
      </w:r>
      <w:r>
        <w:rPr>
          <w:color w:val="000000"/>
        </w:rPr>
        <w:t xml:space="preserve"> included in this ICR.  The individual burdens are expressed under standardized headings believed to be consistent with the concept of burden under the Paperwork Reduction Act.  Where</w:t>
      </w:r>
      <w:r w:rsidR="003B279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00449A">
      <w:pPr>
        <w:keepNext/>
        <w:keepLines/>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proofErr w:type="gramStart"/>
      <w:r>
        <w:rPr>
          <w:b/>
          <w:bCs/>
          <w:color w:val="000000"/>
        </w:rPr>
        <w:t>)  Estimating</w:t>
      </w:r>
      <w:proofErr w:type="gramEnd"/>
      <w:r>
        <w:rPr>
          <w:b/>
          <w:bCs/>
          <w:color w:val="000000"/>
        </w:rPr>
        <w:t xml:space="preserve"> Respondent Burden</w:t>
      </w:r>
    </w:p>
    <w:p w:rsidR="00CA4CD6" w:rsidRDefault="00CA4CD6" w:rsidP="0000449A">
      <w:pPr>
        <w:keepNext/>
        <w:keepLines/>
        <w:pBdr>
          <w:top w:val="single" w:sz="6" w:space="1" w:color="FFFFFF"/>
          <w:left w:val="single" w:sz="6" w:space="0" w:color="FFFFFF"/>
          <w:bottom w:val="single" w:sz="6" w:space="0" w:color="FFFFFF"/>
          <w:right w:val="single" w:sz="6" w:space="0" w:color="FFFFFF"/>
        </w:pBdr>
        <w:rPr>
          <w:color w:val="000000"/>
        </w:rPr>
      </w:pPr>
    </w:p>
    <w:p w:rsidR="00CA4CD6" w:rsidRDefault="00CA4CD6" w:rsidP="0000449A">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725901">
        <w:rPr>
          <w:color w:val="000000"/>
        </w:rPr>
        <w:t>-</w:t>
      </w:r>
      <w:r>
        <w:rPr>
          <w:color w:val="000000"/>
        </w:rPr>
        <w:t>keeping and reporting requirement</w:t>
      </w:r>
      <w:r w:rsidR="004C701D">
        <w:rPr>
          <w:color w:val="000000"/>
        </w:rPr>
        <w:t>s is estimated to be</w:t>
      </w:r>
      <w:r w:rsidR="004F7B9A">
        <w:rPr>
          <w:color w:val="000000"/>
        </w:rPr>
        <w:t xml:space="preserve"> </w:t>
      </w:r>
      <w:r w:rsidR="004F7B9A" w:rsidRPr="004F7B9A">
        <w:rPr>
          <w:color w:val="000000"/>
        </w:rPr>
        <w:t>2,629</w:t>
      </w:r>
      <w:r w:rsidR="00FB37F6">
        <w:rPr>
          <w:color w:val="000000"/>
        </w:rPr>
        <w:t xml:space="preserve"> hours</w:t>
      </w:r>
      <w:r w:rsidR="004F7B9A">
        <w:rPr>
          <w:color w:val="000000"/>
        </w:rPr>
        <w:t xml:space="preserve"> </w:t>
      </w:r>
      <w:r w:rsidR="004C701D">
        <w:rPr>
          <w:color w:val="000000"/>
        </w:rPr>
        <w:t>(</w:t>
      </w:r>
      <w:r w:rsidR="00B66130">
        <w:rPr>
          <w:color w:val="000000"/>
        </w:rPr>
        <w:t>see ‘</w:t>
      </w:r>
      <w:r>
        <w:rPr>
          <w:color w:val="000000"/>
        </w:rPr>
        <w:t>Total Labor Hours</w:t>
      </w:r>
      <w:r w:rsidR="00B66130">
        <w:rPr>
          <w:color w:val="000000"/>
        </w:rPr>
        <w:t>’</w:t>
      </w:r>
      <w:r>
        <w:rPr>
          <w:color w:val="000000"/>
        </w:rPr>
        <w:t xml:space="preserve"> from Table 1</w:t>
      </w:r>
      <w:r w:rsidR="00FB37F6">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CF6699">
        <w:rPr>
          <w:color w:val="000000"/>
        </w:rPr>
        <w:t xml:space="preserve"> NESHAP </w:t>
      </w:r>
      <w:r>
        <w:rPr>
          <w:color w:val="000000"/>
        </w:rPr>
        <w:t>program, the previously</w:t>
      </w:r>
      <w:r w:rsidR="00B66130">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F87E6A">
        <w:rPr>
          <w:color w:val="000000"/>
        </w:rPr>
        <w:t>3</w:t>
      </w:r>
      <w:r w:rsidR="004F6FCD">
        <w:rPr>
          <w:color w:val="000000"/>
        </w:rPr>
        <w:t>.</w:t>
      </w:r>
      <w:r w:rsidR="00F87E6A">
        <w:rPr>
          <w:color w:val="000000"/>
        </w:rPr>
        <w:t>04</w:t>
      </w:r>
      <w:r>
        <w:rPr>
          <w:color w:val="000000"/>
        </w:rPr>
        <w:t xml:space="preserve"> ($5</w:t>
      </w:r>
      <w:r w:rsidR="00E72D70">
        <w:rPr>
          <w:color w:val="000000"/>
        </w:rPr>
        <w:t>8</w:t>
      </w:r>
      <w:r w:rsidR="004F6FCD">
        <w:rPr>
          <w:color w:val="000000"/>
        </w:rPr>
        <w:t>.</w:t>
      </w:r>
      <w:r w:rsidR="00F87E6A">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87E6A">
        <w:rPr>
          <w:color w:val="000000"/>
        </w:rPr>
        <w:t>2</w:t>
      </w:r>
      <w:r>
        <w:rPr>
          <w:color w:val="000000"/>
        </w:rPr>
        <w:t xml:space="preserve"> ($4</w:t>
      </w:r>
      <w:r w:rsidR="00E72D70">
        <w:rPr>
          <w:color w:val="000000"/>
        </w:rPr>
        <w:t>8</w:t>
      </w:r>
      <w:r>
        <w:rPr>
          <w:color w:val="000000"/>
        </w:rPr>
        <w:t>.</w:t>
      </w:r>
      <w:r w:rsidR="00E72D70">
        <w:rPr>
          <w:color w:val="000000"/>
        </w:rPr>
        <w:t>2</w:t>
      </w:r>
      <w:r w:rsidR="00F87E6A">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F87E6A">
        <w:rPr>
          <w:color w:val="000000"/>
        </w:rPr>
        <w:t>18</w:t>
      </w:r>
      <w:r>
        <w:rPr>
          <w:color w:val="000000"/>
        </w:rPr>
        <w:t xml:space="preserve"> ($2</w:t>
      </w:r>
      <w:r w:rsidR="00102B52">
        <w:rPr>
          <w:color w:val="000000"/>
        </w:rPr>
        <w:t>4</w:t>
      </w:r>
      <w:r>
        <w:rPr>
          <w:color w:val="000000"/>
        </w:rPr>
        <w:t>.</w:t>
      </w:r>
      <w:r w:rsidR="00F87E6A">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87E6A">
        <w:rPr>
          <w:color w:val="000000"/>
        </w:rPr>
        <w:t>March 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151565" w:rsidRDefault="00151565" w:rsidP="00151565">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w:t>
      </w:r>
      <w:r w:rsidR="00151565">
        <w:rPr>
          <w:color w:val="000000"/>
        </w:rPr>
        <w:t xml:space="preserve"> </w:t>
      </w:r>
      <w:r>
        <w:rPr>
          <w:color w:val="000000"/>
        </w:rPr>
        <w:t>are both labor costs</w:t>
      </w:r>
      <w:r w:rsidR="00151565">
        <w:rPr>
          <w:color w:val="000000"/>
        </w:rPr>
        <w:t>,</w:t>
      </w:r>
      <w:r>
        <w:rPr>
          <w:color w:val="000000"/>
        </w:rPr>
        <w:t xml:space="preserve"> which are addressed elsewhere in this ICR</w:t>
      </w:r>
      <w:r w:rsidR="00151565">
        <w:rPr>
          <w:color w:val="000000"/>
        </w:rPr>
        <w:t>,</w:t>
      </w:r>
      <w:r>
        <w:rPr>
          <w:color w:val="000000"/>
        </w:rPr>
        <w:t xml:space="preserve"> and the costs associated with continuous monitoring.  </w:t>
      </w:r>
      <w:r w:rsidR="00151565">
        <w:rPr>
          <w:color w:val="000000"/>
        </w:rPr>
        <w:t>Capital/startup costs are one</w:t>
      </w:r>
      <w:r>
        <w:rPr>
          <w:color w:val="000000"/>
        </w:rPr>
        <w:t xml:space="preserve">time costs when a facility becomes subject to the regulation.  </w:t>
      </w:r>
      <w:r w:rsidR="00151565">
        <w:rPr>
          <w:color w:val="000000"/>
        </w:rPr>
        <w:t>A</w:t>
      </w:r>
      <w:r>
        <w:rPr>
          <w:color w:val="000000"/>
        </w:rPr>
        <w:t>nnual operation and maintenance costs are the ongoing costs to maintain the monitor and other costs su</w:t>
      </w:r>
      <w:r w:rsidR="00151565">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rsidP="00EB7F63">
      <w:pPr>
        <w:keepNext/>
        <w:keepLines/>
        <w:pBdr>
          <w:top w:val="single" w:sz="6" w:space="0" w:color="FFFFFF"/>
          <w:left w:val="single" w:sz="6" w:space="0" w:color="FFFFFF"/>
          <w:bottom w:val="single" w:sz="6" w:space="0" w:color="FFFFFF"/>
          <w:right w:val="single" w:sz="6" w:space="0" w:color="FFFFFF"/>
        </w:pBdr>
        <w:rPr>
          <w:color w:val="000000"/>
        </w:rPr>
      </w:pPr>
    </w:p>
    <w:tbl>
      <w:tblPr>
        <w:tblW w:w="9810" w:type="dxa"/>
        <w:tblInd w:w="111" w:type="dxa"/>
        <w:tblLayout w:type="fixed"/>
        <w:tblCellMar>
          <w:left w:w="111" w:type="dxa"/>
          <w:right w:w="111" w:type="dxa"/>
        </w:tblCellMar>
        <w:tblLook w:val="0000"/>
      </w:tblPr>
      <w:tblGrid>
        <w:gridCol w:w="1620"/>
        <w:gridCol w:w="1440"/>
        <w:gridCol w:w="1350"/>
        <w:gridCol w:w="1440"/>
        <w:gridCol w:w="1350"/>
        <w:gridCol w:w="1260"/>
        <w:gridCol w:w="1350"/>
      </w:tblGrid>
      <w:tr w:rsidR="00A73600" w:rsidTr="00151565">
        <w:trPr>
          <w:tblHeader/>
        </w:trPr>
        <w:tc>
          <w:tcPr>
            <w:tcW w:w="9810" w:type="dxa"/>
            <w:gridSpan w:val="7"/>
            <w:tcBorders>
              <w:top w:val="single" w:sz="7" w:space="0" w:color="000000"/>
              <w:left w:val="single" w:sz="7" w:space="0" w:color="000000"/>
              <w:bottom w:val="single" w:sz="6" w:space="0" w:color="FFFFFF"/>
              <w:right w:val="single" w:sz="7" w:space="0" w:color="000000"/>
            </w:tcBorders>
          </w:tcPr>
          <w:p w:rsidR="00CA4CD6" w:rsidRDefault="00CA4CD6" w:rsidP="00EB7F63">
            <w:pPr>
              <w:keepNext/>
              <w:keepLines/>
              <w:spacing w:line="120" w:lineRule="exact"/>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151565">
        <w:tc>
          <w:tcPr>
            <w:tcW w:w="1620" w:type="dxa"/>
            <w:tcBorders>
              <w:top w:val="single" w:sz="7" w:space="0" w:color="000000"/>
              <w:left w:val="single" w:sz="7" w:space="0" w:color="000000"/>
              <w:bottom w:val="single" w:sz="6" w:space="0" w:color="FFFFFF"/>
              <w:right w:val="single" w:sz="6" w:space="0" w:color="FFFFFF"/>
            </w:tcBorders>
          </w:tcPr>
          <w:p w:rsidR="00CA4CD6" w:rsidRDefault="00CA4CD6" w:rsidP="00EB7F63">
            <w:pPr>
              <w:spacing w:line="120" w:lineRule="exact"/>
              <w:jc w:val="center"/>
              <w:rPr>
                <w:b/>
                <w:bCs/>
                <w:color w:val="000000"/>
              </w:rPr>
            </w:pP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EB7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EB7F63">
            <w:pPr>
              <w:spacing w:line="120" w:lineRule="exact"/>
              <w:jc w:val="center"/>
              <w:rPr>
                <w:color w:val="000000"/>
                <w:sz w:val="20"/>
                <w:szCs w:val="20"/>
              </w:rPr>
            </w:pP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EB7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EB7F63">
            <w:pPr>
              <w:spacing w:line="120" w:lineRule="exact"/>
              <w:jc w:val="center"/>
              <w:rPr>
                <w:color w:val="000000"/>
                <w:sz w:val="20"/>
                <w:szCs w:val="20"/>
              </w:rPr>
            </w:pP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EB7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EB7F63">
            <w:pPr>
              <w:spacing w:line="120" w:lineRule="exact"/>
              <w:jc w:val="center"/>
              <w:rPr>
                <w:color w:val="000000"/>
                <w:sz w:val="20"/>
                <w:szCs w:val="20"/>
              </w:rPr>
            </w:pP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EB7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EB7F63">
            <w:pPr>
              <w:spacing w:line="120" w:lineRule="exact"/>
              <w:jc w:val="center"/>
              <w:rPr>
                <w:color w:val="000000"/>
                <w:sz w:val="20"/>
                <w:szCs w:val="20"/>
              </w:rPr>
            </w:pP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EB7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EB7F63">
            <w:pPr>
              <w:spacing w:line="120" w:lineRule="exact"/>
              <w:jc w:val="center"/>
              <w:rPr>
                <w:color w:val="000000"/>
                <w:sz w:val="20"/>
                <w:szCs w:val="20"/>
              </w:rPr>
            </w:pP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EB7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EB7F63">
            <w:pPr>
              <w:spacing w:line="120" w:lineRule="exact"/>
              <w:jc w:val="center"/>
              <w:rPr>
                <w:color w:val="000000"/>
                <w:sz w:val="20"/>
                <w:szCs w:val="20"/>
              </w:rPr>
            </w:pP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EB7F6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EB7F6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151565">
        <w:tc>
          <w:tcPr>
            <w:tcW w:w="1620" w:type="dxa"/>
            <w:tcBorders>
              <w:top w:val="single" w:sz="7" w:space="0" w:color="000000"/>
              <w:left w:val="single" w:sz="7" w:space="0" w:color="000000"/>
              <w:bottom w:val="single" w:sz="6" w:space="0" w:color="FFFFFF"/>
              <w:right w:val="single" w:sz="6" w:space="0" w:color="FFFFFF"/>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151565">
              <w:rPr>
                <w:color w:val="000000"/>
                <w:sz w:val="20"/>
                <w:szCs w:val="20"/>
              </w:rPr>
              <w:t>Ambient monitor</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$3,500</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$35,000</w:t>
            </w:r>
          </w:p>
        </w:tc>
      </w:tr>
      <w:tr w:rsidR="00CA4CD6" w:rsidTr="00151565">
        <w:tc>
          <w:tcPr>
            <w:tcW w:w="1620" w:type="dxa"/>
            <w:tcBorders>
              <w:top w:val="single" w:sz="7" w:space="0" w:color="000000"/>
              <w:left w:val="single" w:sz="7" w:space="0" w:color="000000"/>
              <w:bottom w:val="single" w:sz="7" w:space="0" w:color="000000"/>
              <w:right w:val="single" w:sz="6" w:space="0" w:color="FFFFFF"/>
            </w:tcBorders>
          </w:tcPr>
          <w:p w:rsidR="00CA4CD6" w:rsidRDefault="00CA4CD6">
            <w:pPr>
              <w:spacing w:line="120" w:lineRule="exact"/>
              <w:rPr>
                <w:color w:val="000000"/>
                <w:sz w:val="20"/>
                <w:szCs w:val="20"/>
              </w:rPr>
            </w:pPr>
          </w:p>
          <w:p w:rsidR="00CA4CD6" w:rsidRDefault="00151565">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151565">
            <w:pPr>
              <w:spacing w:line="120" w:lineRule="exact"/>
              <w:jc w:val="center"/>
              <w:rPr>
                <w:color w:val="000000"/>
                <w:sz w:val="20"/>
                <w:szCs w:val="20"/>
              </w:rPr>
            </w:pPr>
          </w:p>
          <w:p w:rsidR="00CA4CD6" w:rsidRDefault="00CA4CD6" w:rsidP="0015156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151565">
            <w:pPr>
              <w:spacing w:line="120" w:lineRule="exact"/>
              <w:jc w:val="center"/>
              <w:rPr>
                <w:color w:val="000000"/>
                <w:sz w:val="20"/>
                <w:szCs w:val="20"/>
              </w:rPr>
            </w:pPr>
          </w:p>
          <w:p w:rsidR="00CA4CD6" w:rsidRDefault="00CA4CD6" w:rsidP="0015156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CA4CD6" w:rsidRDefault="00CA4CD6" w:rsidP="00151565">
            <w:pPr>
              <w:spacing w:line="120" w:lineRule="exact"/>
              <w:jc w:val="center"/>
              <w:rPr>
                <w:color w:val="000000"/>
                <w:sz w:val="20"/>
                <w:szCs w:val="20"/>
              </w:rPr>
            </w:pPr>
          </w:p>
          <w:p w:rsidR="00CA4CD6" w:rsidRDefault="00CA4CD6" w:rsidP="0015156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A4CD6" w:rsidRDefault="00CA4CD6" w:rsidP="00151565">
            <w:pPr>
              <w:spacing w:line="120" w:lineRule="exact"/>
              <w:jc w:val="center"/>
              <w:rPr>
                <w:color w:val="000000"/>
                <w:sz w:val="20"/>
                <w:szCs w:val="20"/>
              </w:rPr>
            </w:pPr>
          </w:p>
          <w:p w:rsidR="00CA4CD6" w:rsidRDefault="00CA4CD6" w:rsidP="0015156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CA4CD6" w:rsidRDefault="00CA4CD6" w:rsidP="00151565">
            <w:pPr>
              <w:spacing w:line="120" w:lineRule="exact"/>
              <w:jc w:val="center"/>
              <w:rPr>
                <w:color w:val="000000"/>
                <w:sz w:val="20"/>
                <w:szCs w:val="20"/>
              </w:rPr>
            </w:pPr>
          </w:p>
          <w:p w:rsidR="00CA4CD6" w:rsidRDefault="00151565" w:rsidP="00151565">
            <w:pPr>
              <w:pBdr>
                <w:top w:val="single" w:sz="6" w:space="0" w:color="FFFFFF"/>
                <w:left w:val="single" w:sz="6" w:space="0" w:color="FFFFFF"/>
                <w:bottom w:val="single" w:sz="6" w:space="0" w:color="FFFFFF"/>
                <w:right w:val="single" w:sz="6" w:space="0" w:color="FFFFFF"/>
              </w:pBdr>
              <w:spacing w:after="72"/>
              <w:jc w:val="center"/>
              <w:rPr>
                <w:color w:val="000000"/>
              </w:rPr>
            </w:pPr>
            <w:r>
              <w:rPr>
                <w:color w:val="000000"/>
                <w:sz w:val="20"/>
                <w:szCs w:val="20"/>
              </w:rPr>
              <w:t>$35,000</w:t>
            </w:r>
          </w:p>
        </w:tc>
      </w:tr>
    </w:tbl>
    <w:p w:rsidR="00CA4CD6" w:rsidRPr="00151565" w:rsidRDefault="00CA4CD6">
      <w:pPr>
        <w:pBdr>
          <w:top w:val="single" w:sz="6" w:space="0" w:color="FFFFFF"/>
          <w:left w:val="single" w:sz="6" w:space="0" w:color="FFFFFF"/>
          <w:bottom w:val="single" w:sz="6" w:space="0" w:color="FFFFFF"/>
          <w:right w:val="single" w:sz="6" w:space="0" w:color="FFFFFF"/>
        </w:pBdr>
      </w:pPr>
      <w:r>
        <w:rPr>
          <w:color w:val="000000"/>
        </w:rPr>
        <w:t xml:space="preserve"> </w:t>
      </w:r>
      <w:r>
        <w:rPr>
          <w:color w:val="000000"/>
        </w:rPr>
        <w:tab/>
      </w:r>
    </w:p>
    <w:p w:rsidR="00CA4CD6" w:rsidRPr="00151565" w:rsidRDefault="00CA4CD6">
      <w:pPr>
        <w:pBdr>
          <w:top w:val="single" w:sz="6" w:space="0" w:color="FFFFFF"/>
          <w:left w:val="single" w:sz="6" w:space="0" w:color="FFFFFF"/>
          <w:bottom w:val="single" w:sz="6" w:space="0" w:color="FFFFFF"/>
          <w:right w:val="single" w:sz="6" w:space="0" w:color="FFFFFF"/>
        </w:pBdr>
        <w:ind w:firstLine="720"/>
      </w:pPr>
      <w:r w:rsidRPr="00151565">
        <w:t>The total capital/startup costs for this ICR are $</w:t>
      </w:r>
      <w:r w:rsidR="00151565" w:rsidRPr="00151565">
        <w:t>0</w:t>
      </w:r>
      <w:r w:rsidRPr="00151565">
        <w:t>.  This is the total o</w:t>
      </w:r>
      <w:r w:rsidR="00507EC5" w:rsidRPr="00151565">
        <w:t xml:space="preserve">f column D in the </w:t>
      </w:r>
      <w:r w:rsidR="00507EC5" w:rsidRPr="00151565">
        <w:lastRenderedPageBreak/>
        <w:t xml:space="preserve">above table. </w:t>
      </w:r>
    </w:p>
    <w:p w:rsidR="00CA4CD6" w:rsidRPr="00151565" w:rsidRDefault="00CA4CD6">
      <w:pPr>
        <w:pBdr>
          <w:top w:val="single" w:sz="6" w:space="0" w:color="FFFFFF"/>
          <w:left w:val="single" w:sz="6" w:space="0" w:color="FFFFFF"/>
          <w:bottom w:val="single" w:sz="6" w:space="0" w:color="FFFFFF"/>
          <w:right w:val="single" w:sz="6" w:space="0" w:color="FFFFFF"/>
        </w:pBdr>
      </w:pPr>
    </w:p>
    <w:p w:rsidR="00CA4CD6" w:rsidRPr="00151565" w:rsidRDefault="00CA4CD6">
      <w:pPr>
        <w:pBdr>
          <w:top w:val="single" w:sz="6" w:space="0" w:color="FFFFFF"/>
          <w:left w:val="single" w:sz="6" w:space="0" w:color="FFFFFF"/>
          <w:bottom w:val="single" w:sz="6" w:space="0" w:color="FFFFFF"/>
          <w:right w:val="single" w:sz="6" w:space="0" w:color="FFFFFF"/>
        </w:pBdr>
        <w:ind w:firstLine="720"/>
      </w:pPr>
      <w:r w:rsidRPr="00151565">
        <w:t>The total operation and maintenance (O&amp;M) costs for this ICR are $</w:t>
      </w:r>
      <w:r w:rsidR="00151565" w:rsidRPr="00151565">
        <w:t>35,000</w:t>
      </w:r>
      <w:r w:rsidRPr="00151565">
        <w:t xml:space="preserve">.  </w:t>
      </w:r>
      <w:r w:rsidR="00507EC5" w:rsidRPr="00151565">
        <w:t xml:space="preserve">This is the total of column G. </w:t>
      </w:r>
    </w:p>
    <w:p w:rsidR="004C701D" w:rsidRPr="00151565" w:rsidRDefault="004C701D">
      <w:pPr>
        <w:pBdr>
          <w:top w:val="single" w:sz="6" w:space="0" w:color="FFFFFF"/>
          <w:left w:val="single" w:sz="6" w:space="0" w:color="FFFFFF"/>
          <w:bottom w:val="single" w:sz="6" w:space="0" w:color="FFFFFF"/>
          <w:right w:val="single" w:sz="6" w:space="0" w:color="FFFFFF"/>
        </w:pBdr>
        <w:ind w:firstLine="720"/>
      </w:pPr>
    </w:p>
    <w:p w:rsidR="00CA4CD6" w:rsidRPr="00151565" w:rsidRDefault="00CA4CD6">
      <w:pPr>
        <w:pBdr>
          <w:top w:val="single" w:sz="6" w:space="0" w:color="FFFFFF"/>
          <w:left w:val="single" w:sz="6" w:space="0" w:color="FFFFFF"/>
          <w:bottom w:val="single" w:sz="6" w:space="0" w:color="FFFFFF"/>
          <w:right w:val="single" w:sz="6" w:space="0" w:color="FFFFFF"/>
        </w:pBdr>
        <w:ind w:firstLine="720"/>
      </w:pPr>
      <w:r w:rsidRPr="00151565">
        <w:t>The average annual cost for capital/startup and operation and maintenance costs to industry over the next three years of the ICR is estimated to be $</w:t>
      </w:r>
      <w:r w:rsidR="00151565" w:rsidRPr="00151565">
        <w:t>35,000</w:t>
      </w:r>
      <w:r w:rsidRPr="00151565">
        <w:t>.</w:t>
      </w:r>
    </w:p>
    <w:p w:rsidR="00CA4CD6" w:rsidRPr="00151565" w:rsidRDefault="00CA4CD6">
      <w:pPr>
        <w:pBdr>
          <w:top w:val="single" w:sz="6" w:space="0" w:color="FFFFFF"/>
          <w:left w:val="single" w:sz="6" w:space="0" w:color="FFFFFF"/>
          <w:bottom w:val="single" w:sz="6" w:space="0" w:color="FFFFFF"/>
          <w:right w:val="single" w:sz="6" w:space="0" w:color="FFFFFF"/>
        </w:pBdr>
      </w:pPr>
    </w:p>
    <w:p w:rsidR="00CA4CD6" w:rsidRPr="00151565" w:rsidRDefault="00CA4CD6">
      <w:pPr>
        <w:pBdr>
          <w:top w:val="single" w:sz="6" w:space="0" w:color="FFFFFF"/>
          <w:left w:val="single" w:sz="6" w:space="0" w:color="FFFFFF"/>
          <w:bottom w:val="single" w:sz="6" w:space="0" w:color="FFFFFF"/>
          <w:right w:val="single" w:sz="6" w:space="0" w:color="FFFFFF"/>
        </w:pBdr>
        <w:ind w:firstLine="720"/>
      </w:pPr>
      <w:r w:rsidRPr="00151565">
        <w:rPr>
          <w:b/>
          <w:bCs/>
        </w:rPr>
        <w:t>6(c</w:t>
      </w:r>
      <w:proofErr w:type="gramStart"/>
      <w:r w:rsidRPr="00151565">
        <w:rPr>
          <w:b/>
          <w:bCs/>
        </w:rPr>
        <w:t>)  Estimating</w:t>
      </w:r>
      <w:proofErr w:type="gramEnd"/>
      <w:r w:rsidRPr="00151565">
        <w:rPr>
          <w:b/>
          <w:bCs/>
        </w:rPr>
        <w:t xml:space="preserve"> Agency Burden and Cost</w:t>
      </w:r>
    </w:p>
    <w:p w:rsidR="00CA4CD6" w:rsidRPr="00151565"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51565">
        <w:t>The only costs to the Agency are those</w:t>
      </w:r>
      <w:r>
        <w:rPr>
          <w:color w:val="000000"/>
        </w:rPr>
        <w:t xml:space="preserv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51565" w:rsidRPr="00151565">
        <w:rPr>
          <w:color w:val="000000"/>
        </w:rPr>
        <w:t>14,822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locality</w:t>
      </w:r>
      <w:r w:rsidR="008826B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8426D4" w:rsidRPr="008426D4">
        <w:rPr>
          <w:color w:val="000000"/>
        </w:rPr>
        <w:t>: Average Annual EPA Burden and Cost –</w:t>
      </w:r>
      <w:r w:rsidR="008A6013">
        <w:rPr>
          <w:color w:val="000000"/>
        </w:rPr>
        <w:t xml:space="preserve"> </w:t>
      </w:r>
      <w:r w:rsidR="008426D4" w:rsidRPr="008426D4">
        <w:rPr>
          <w:color w:val="000000"/>
        </w:rPr>
        <w:t>NESHAP for Beryllium (40 CFR Part 61, Subpart C) (Renewal)</w:t>
      </w:r>
      <w:r w:rsidR="008426D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rsidP="00EB7F63">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EB7F63">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51565">
        <w:rPr>
          <w:color w:val="000000"/>
        </w:rPr>
        <w:t xml:space="preserve">33 </w:t>
      </w:r>
      <w:r>
        <w:rPr>
          <w:color w:val="000000"/>
        </w:rPr>
        <w:t>existing respondents will be subject to the standard</w:t>
      </w:r>
      <w:r w:rsidR="00B66130">
        <w:rPr>
          <w:color w:val="000000"/>
        </w:rPr>
        <w:t>s</w:t>
      </w:r>
      <w:r>
        <w:rPr>
          <w:color w:val="000000"/>
        </w:rPr>
        <w:t>.  It is estimated that</w:t>
      </w:r>
      <w:r w:rsidR="00151565">
        <w:rPr>
          <w:color w:val="000000"/>
        </w:rPr>
        <w:t xml:space="preserve"> no</w:t>
      </w:r>
      <w:r>
        <w:rPr>
          <w:color w:val="000000"/>
        </w:rPr>
        <w:t xml:space="preserve"> additional</w:t>
      </w:r>
      <w:r w:rsidR="00151565">
        <w:rPr>
          <w:color w:val="000000"/>
        </w:rPr>
        <w:t xml:space="preserve"> </w:t>
      </w:r>
      <w:r>
        <w:rPr>
          <w:color w:val="000000"/>
        </w:rPr>
        <w:t>respondents per year will become subject</w:t>
      </w:r>
      <w:r w:rsidR="00B66130">
        <w:rPr>
          <w:color w:val="000000"/>
        </w:rPr>
        <w:t xml:space="preserve"> to these same standards</w:t>
      </w:r>
      <w:r>
        <w:rPr>
          <w:color w:val="000000"/>
        </w:rPr>
        <w:t>.  The overall average number of responden</w:t>
      </w:r>
      <w:r w:rsidR="0035325B">
        <w:rPr>
          <w:color w:val="000000"/>
        </w:rPr>
        <w:t>ts, as shown in the table below,</w:t>
      </w:r>
      <w:r>
        <w:rPr>
          <w:color w:val="000000"/>
        </w:rPr>
        <w:t xml:space="preserve"> is</w:t>
      </w:r>
      <w:r w:rsidR="00151565">
        <w:rPr>
          <w:color w:val="000000"/>
        </w:rPr>
        <w:t xml:space="preserve"> 33 p</w:t>
      </w:r>
      <w:r>
        <w:rPr>
          <w:color w:val="000000"/>
        </w:rPr>
        <w:t>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66130">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110" w:type="dxa"/>
        <w:tblLayout w:type="fixed"/>
        <w:tblCellMar>
          <w:left w:w="110" w:type="dxa"/>
          <w:right w:w="110" w:type="dxa"/>
        </w:tblCellMar>
        <w:tblLook w:val="0000"/>
      </w:tblPr>
      <w:tblGrid>
        <w:gridCol w:w="900"/>
        <w:gridCol w:w="1483"/>
        <w:gridCol w:w="1330"/>
        <w:gridCol w:w="2026"/>
        <w:gridCol w:w="1721"/>
        <w:gridCol w:w="1445"/>
      </w:tblGrid>
      <w:tr w:rsidR="00A73600" w:rsidTr="00EB7F63">
        <w:trPr>
          <w:tblHeader/>
          <w:jc w:val="center"/>
        </w:trPr>
        <w:tc>
          <w:tcPr>
            <w:tcW w:w="8905" w:type="dxa"/>
            <w:gridSpan w:val="6"/>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rPr>
                <w:color w:val="00000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EB7F63">
        <w:trPr>
          <w:jc w:val="center"/>
        </w:trPr>
        <w:tc>
          <w:tcPr>
            <w:tcW w:w="900"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rPr>
                <w:b/>
                <w:bCs/>
                <w:color w:val="00000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13" w:type="dxa"/>
            <w:gridSpan w:val="2"/>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rPr>
                <w:color w:val="000000"/>
                <w:sz w:val="18"/>
                <w:szCs w:val="18"/>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26"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rPr>
                <w:color w:val="000000"/>
                <w:sz w:val="18"/>
                <w:szCs w:val="18"/>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166" w:type="dxa"/>
            <w:gridSpan w:val="2"/>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rPr>
                <w:color w:val="000000"/>
                <w:sz w:val="18"/>
                <w:szCs w:val="18"/>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2857D8">
        <w:trPr>
          <w:jc w:val="center"/>
        </w:trPr>
        <w:tc>
          <w:tcPr>
            <w:tcW w:w="900"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jc w:val="center"/>
              <w:rPr>
                <w:color w:val="000000"/>
                <w:sz w:val="18"/>
                <w:szCs w:val="18"/>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483"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jc w:val="center"/>
              <w:rPr>
                <w:color w:val="000000"/>
                <w:sz w:val="20"/>
                <w:szCs w:val="2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330"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jc w:val="center"/>
              <w:rPr>
                <w:color w:val="000000"/>
                <w:sz w:val="20"/>
                <w:szCs w:val="2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2857D8" w:rsidP="0000449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 </w:t>
            </w:r>
            <w:r w:rsidRPr="002857D8">
              <w:rPr>
                <w:color w:val="000000"/>
                <w:sz w:val="20"/>
                <w:szCs w:val="20"/>
                <w:vertAlign w:val="superscript"/>
              </w:rPr>
              <w:t>2</w:t>
            </w:r>
          </w:p>
        </w:tc>
        <w:tc>
          <w:tcPr>
            <w:tcW w:w="2026"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jc w:val="center"/>
              <w:rPr>
                <w:color w:val="000000"/>
                <w:sz w:val="20"/>
                <w:szCs w:val="2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721"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jc w:val="center"/>
              <w:rPr>
                <w:color w:val="000000"/>
                <w:sz w:val="20"/>
                <w:szCs w:val="2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445" w:type="dxa"/>
            <w:tcBorders>
              <w:top w:val="single" w:sz="4" w:space="0" w:color="auto"/>
              <w:left w:val="single" w:sz="4" w:space="0" w:color="auto"/>
              <w:bottom w:val="single" w:sz="4" w:space="0" w:color="auto"/>
              <w:right w:val="single" w:sz="4" w:space="0" w:color="auto"/>
            </w:tcBorders>
          </w:tcPr>
          <w:p w:rsidR="00CA4CD6" w:rsidRDefault="00CA4CD6" w:rsidP="0000449A">
            <w:pPr>
              <w:keepNext/>
              <w:keepLines/>
              <w:spacing w:line="120" w:lineRule="exact"/>
              <w:jc w:val="center"/>
              <w:rPr>
                <w:color w:val="000000"/>
                <w:sz w:val="20"/>
                <w:szCs w:val="20"/>
              </w:rPr>
            </w:pPr>
          </w:p>
          <w:p w:rsidR="00CA4CD6" w:rsidRDefault="00CA4CD6" w:rsidP="0000449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00449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2857D8">
        <w:trPr>
          <w:jc w:val="center"/>
        </w:trPr>
        <w:tc>
          <w:tcPr>
            <w:tcW w:w="900"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20"/>
                <w:szCs w:val="20"/>
              </w:rPr>
            </w:pPr>
          </w:p>
          <w:p w:rsidR="00CA4CD6" w:rsidRPr="00151565"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1</w:t>
            </w:r>
          </w:p>
        </w:tc>
        <w:tc>
          <w:tcPr>
            <w:tcW w:w="1483"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30"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33</w:t>
            </w:r>
          </w:p>
        </w:tc>
        <w:tc>
          <w:tcPr>
            <w:tcW w:w="2026"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721"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445"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33</w:t>
            </w:r>
          </w:p>
        </w:tc>
      </w:tr>
      <w:tr w:rsidR="00CA4CD6" w:rsidTr="002857D8">
        <w:trPr>
          <w:jc w:val="center"/>
        </w:trPr>
        <w:tc>
          <w:tcPr>
            <w:tcW w:w="900"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CA4CD6"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2</w:t>
            </w:r>
          </w:p>
        </w:tc>
        <w:tc>
          <w:tcPr>
            <w:tcW w:w="1483"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330"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33</w:t>
            </w:r>
          </w:p>
        </w:tc>
        <w:tc>
          <w:tcPr>
            <w:tcW w:w="2026"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721"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445" w:type="dxa"/>
            <w:tcBorders>
              <w:top w:val="single" w:sz="4" w:space="0" w:color="auto"/>
              <w:left w:val="single" w:sz="4" w:space="0" w:color="auto"/>
              <w:bottom w:val="single" w:sz="4" w:space="0" w:color="auto"/>
              <w:right w:val="single" w:sz="4" w:space="0" w:color="auto"/>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33</w:t>
            </w:r>
          </w:p>
        </w:tc>
      </w:tr>
      <w:tr w:rsidR="00CA4CD6" w:rsidTr="002857D8">
        <w:trPr>
          <w:jc w:val="center"/>
        </w:trPr>
        <w:tc>
          <w:tcPr>
            <w:tcW w:w="900" w:type="dxa"/>
            <w:tcBorders>
              <w:top w:val="single" w:sz="4" w:space="0" w:color="auto"/>
              <w:left w:val="single" w:sz="8" w:space="0" w:color="000000"/>
              <w:bottom w:val="single" w:sz="6"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CA4CD6"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151565">
              <w:rPr>
                <w:sz w:val="18"/>
                <w:szCs w:val="18"/>
              </w:rPr>
              <w:t>3</w:t>
            </w:r>
          </w:p>
        </w:tc>
        <w:tc>
          <w:tcPr>
            <w:tcW w:w="1483" w:type="dxa"/>
            <w:tcBorders>
              <w:top w:val="single" w:sz="4" w:space="0" w:color="auto"/>
              <w:left w:val="single" w:sz="6" w:space="0" w:color="000000"/>
              <w:bottom w:val="single" w:sz="6"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330" w:type="dxa"/>
            <w:tcBorders>
              <w:top w:val="single" w:sz="4" w:space="0" w:color="auto"/>
              <w:left w:val="single" w:sz="6" w:space="0" w:color="000000"/>
              <w:bottom w:val="single" w:sz="6"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33</w:t>
            </w:r>
          </w:p>
        </w:tc>
        <w:tc>
          <w:tcPr>
            <w:tcW w:w="2026" w:type="dxa"/>
            <w:tcBorders>
              <w:top w:val="single" w:sz="4" w:space="0" w:color="auto"/>
              <w:left w:val="single" w:sz="6" w:space="0" w:color="000000"/>
              <w:bottom w:val="single" w:sz="6"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721" w:type="dxa"/>
            <w:tcBorders>
              <w:top w:val="single" w:sz="4" w:space="0" w:color="auto"/>
              <w:left w:val="single" w:sz="6" w:space="0" w:color="000000"/>
              <w:bottom w:val="single" w:sz="6"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445" w:type="dxa"/>
            <w:tcBorders>
              <w:top w:val="single" w:sz="4" w:space="0" w:color="auto"/>
              <w:left w:val="single" w:sz="6" w:space="0" w:color="000000"/>
              <w:bottom w:val="single" w:sz="6" w:space="0" w:color="000000"/>
              <w:right w:val="single" w:sz="8"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33</w:t>
            </w:r>
          </w:p>
        </w:tc>
      </w:tr>
      <w:tr w:rsidR="00CA4CD6" w:rsidTr="002857D8">
        <w:trPr>
          <w:jc w:val="center"/>
        </w:trPr>
        <w:tc>
          <w:tcPr>
            <w:tcW w:w="900" w:type="dxa"/>
            <w:tcBorders>
              <w:top w:val="single" w:sz="6" w:space="0" w:color="000000"/>
              <w:left w:val="single" w:sz="8" w:space="0" w:color="000000"/>
              <w:bottom w:val="single" w:sz="8"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CA4CD6"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151565">
              <w:rPr>
                <w:sz w:val="18"/>
                <w:szCs w:val="18"/>
              </w:rPr>
              <w:t>Average</w:t>
            </w:r>
          </w:p>
        </w:tc>
        <w:tc>
          <w:tcPr>
            <w:tcW w:w="1483" w:type="dxa"/>
            <w:tcBorders>
              <w:top w:val="single" w:sz="6" w:space="0" w:color="000000"/>
              <w:left w:val="single" w:sz="6" w:space="0" w:color="000000"/>
              <w:bottom w:val="single" w:sz="8"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330" w:type="dxa"/>
            <w:tcBorders>
              <w:top w:val="single" w:sz="6" w:space="0" w:color="000000"/>
              <w:left w:val="single" w:sz="6" w:space="0" w:color="000000"/>
              <w:bottom w:val="single" w:sz="8"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33</w:t>
            </w:r>
          </w:p>
        </w:tc>
        <w:tc>
          <w:tcPr>
            <w:tcW w:w="2026" w:type="dxa"/>
            <w:tcBorders>
              <w:top w:val="single" w:sz="6" w:space="0" w:color="000000"/>
              <w:left w:val="single" w:sz="6" w:space="0" w:color="000000"/>
              <w:bottom w:val="single" w:sz="8"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721" w:type="dxa"/>
            <w:tcBorders>
              <w:top w:val="single" w:sz="6" w:space="0" w:color="000000"/>
              <w:left w:val="single" w:sz="6" w:space="0" w:color="000000"/>
              <w:bottom w:val="single" w:sz="8" w:space="0" w:color="000000"/>
              <w:right w:val="single" w:sz="6"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445" w:type="dxa"/>
            <w:tcBorders>
              <w:top w:val="single" w:sz="6" w:space="0" w:color="000000"/>
              <w:left w:val="single" w:sz="6" w:space="0" w:color="000000"/>
              <w:bottom w:val="single" w:sz="8" w:space="0" w:color="000000"/>
              <w:right w:val="single" w:sz="8" w:space="0" w:color="000000"/>
            </w:tcBorders>
          </w:tcPr>
          <w:p w:rsidR="00CA4CD6" w:rsidRPr="00151565" w:rsidRDefault="00CA4CD6" w:rsidP="0000449A">
            <w:pPr>
              <w:keepNext/>
              <w:keepLines/>
              <w:spacing w:line="120" w:lineRule="exact"/>
              <w:rPr>
                <w:sz w:val="18"/>
                <w:szCs w:val="18"/>
              </w:rPr>
            </w:pPr>
          </w:p>
          <w:p w:rsidR="00CA4CD6" w:rsidRPr="00151565" w:rsidRDefault="00151565" w:rsidP="0000449A">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33</w:t>
            </w:r>
          </w:p>
        </w:tc>
      </w:tr>
    </w:tbl>
    <w:p w:rsidR="00CA4CD6"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151565">
        <w:rPr>
          <w:vertAlign w:val="superscript"/>
        </w:rPr>
        <w:t>1</w:t>
      </w:r>
      <w:r w:rsidRPr="00151565">
        <w:t xml:space="preserve"> </w:t>
      </w:r>
      <w:r w:rsidRPr="00151565">
        <w:rPr>
          <w:sz w:val="20"/>
          <w:szCs w:val="20"/>
        </w:rPr>
        <w:t>New respondent include sources with constructed, reconstructed</w:t>
      </w:r>
      <w:r w:rsidR="00151565" w:rsidRPr="00151565">
        <w:rPr>
          <w:sz w:val="20"/>
          <w:szCs w:val="20"/>
        </w:rPr>
        <w:t>,</w:t>
      </w:r>
      <w:r w:rsidRPr="00151565">
        <w:rPr>
          <w:sz w:val="20"/>
          <w:szCs w:val="20"/>
        </w:rPr>
        <w:t xml:space="preserve"> and modified affected facilities.</w:t>
      </w:r>
    </w:p>
    <w:p w:rsidR="002857D8" w:rsidRPr="00151565" w:rsidRDefault="002857D8" w:rsidP="002857D8">
      <w:pPr>
        <w:pBdr>
          <w:top w:val="single" w:sz="6" w:space="0" w:color="FFFFFF"/>
          <w:left w:val="single" w:sz="6" w:space="0" w:color="FFFFFF"/>
          <w:bottom w:val="single" w:sz="6" w:space="0" w:color="FFFFFF"/>
          <w:right w:val="single" w:sz="6" w:space="0" w:color="FFFFFF"/>
        </w:pBdr>
        <w:ind w:left="810" w:hanging="90"/>
        <w:rPr>
          <w:sz w:val="20"/>
          <w:szCs w:val="20"/>
        </w:rPr>
      </w:pPr>
      <w:r w:rsidRPr="002857D8">
        <w:rPr>
          <w:sz w:val="20"/>
          <w:szCs w:val="20"/>
          <w:vertAlign w:val="superscript"/>
        </w:rPr>
        <w:t>2</w:t>
      </w:r>
      <w:r>
        <w:rPr>
          <w:sz w:val="20"/>
          <w:szCs w:val="20"/>
        </w:rPr>
        <w:t xml:space="preserve"> </w:t>
      </w:r>
      <w:r w:rsidR="008826B0">
        <w:rPr>
          <w:sz w:val="20"/>
          <w:szCs w:val="20"/>
        </w:rPr>
        <w:t>It i</w:t>
      </w:r>
      <w:r>
        <w:rPr>
          <w:sz w:val="20"/>
          <w:szCs w:val="20"/>
        </w:rPr>
        <w:t>ncludes 10 sources that elected to comply by conducting ambient air monitoring</w:t>
      </w:r>
      <w:r w:rsidR="008826B0">
        <w:rPr>
          <w:sz w:val="20"/>
          <w:szCs w:val="20"/>
        </w:rPr>
        <w:t>,</w:t>
      </w:r>
      <w:r>
        <w:rPr>
          <w:sz w:val="20"/>
          <w:szCs w:val="20"/>
        </w:rPr>
        <w:t xml:space="preserve"> and 23 sources that are required to conduct a repeat stack test due to an operational change. </w:t>
      </w:r>
    </w:p>
    <w:p w:rsidR="00CA4CD6" w:rsidRPr="00151565" w:rsidRDefault="00CA4CD6">
      <w:pPr>
        <w:pBdr>
          <w:top w:val="single" w:sz="6" w:space="0" w:color="FFFFFF"/>
          <w:left w:val="single" w:sz="6" w:space="0" w:color="FFFFFF"/>
          <w:bottom w:val="single" w:sz="6" w:space="0" w:color="FFFFFF"/>
          <w:right w:val="single" w:sz="6" w:space="0" w:color="FFFFFF"/>
        </w:pBdr>
        <w:ind w:firstLine="5760"/>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151565">
        <w:rPr>
          <w:color w:val="000000"/>
        </w:rPr>
        <w:t xml:space="preserve"> 33</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90"/>
        <w:gridCol w:w="1170"/>
        <w:gridCol w:w="1260"/>
        <w:gridCol w:w="1890"/>
        <w:gridCol w:w="2070"/>
      </w:tblGrid>
      <w:tr w:rsidR="00A73600" w:rsidTr="001A6886">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151565" w:rsidTr="001A6886">
        <w:trPr>
          <w:tblHeader/>
        </w:trPr>
        <w:tc>
          <w:tcPr>
            <w:tcW w:w="2790" w:type="dxa"/>
          </w:tcPr>
          <w:p w:rsidR="00CA4CD6" w:rsidRPr="00151565" w:rsidRDefault="00CA4CD6" w:rsidP="0035325B">
            <w:pPr>
              <w:spacing w:line="120" w:lineRule="exact"/>
              <w:jc w:val="center"/>
              <w:rPr>
                <w:b/>
                <w:bCs/>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51565">
              <w:rPr>
                <w:sz w:val="18"/>
                <w:szCs w:val="18"/>
              </w:rPr>
              <w:t>(A)</w:t>
            </w: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Information Collection Activity</w:t>
            </w:r>
          </w:p>
        </w:tc>
        <w:tc>
          <w:tcPr>
            <w:tcW w:w="1170" w:type="dxa"/>
          </w:tcPr>
          <w:p w:rsidR="00CA4CD6" w:rsidRPr="00151565" w:rsidRDefault="00CA4CD6" w:rsidP="0035325B">
            <w:pPr>
              <w:spacing w:line="120" w:lineRule="exact"/>
              <w:jc w:val="center"/>
              <w:rPr>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51565">
              <w:rPr>
                <w:sz w:val="18"/>
                <w:szCs w:val="18"/>
              </w:rPr>
              <w:t>(B)</w:t>
            </w: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Number of Respondents</w:t>
            </w:r>
          </w:p>
        </w:tc>
        <w:tc>
          <w:tcPr>
            <w:tcW w:w="1260" w:type="dxa"/>
          </w:tcPr>
          <w:p w:rsidR="00CA4CD6" w:rsidRPr="00151565" w:rsidRDefault="00CA4CD6" w:rsidP="0035325B">
            <w:pPr>
              <w:spacing w:line="120" w:lineRule="exact"/>
              <w:jc w:val="center"/>
              <w:rPr>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51565">
              <w:rPr>
                <w:sz w:val="18"/>
                <w:szCs w:val="18"/>
              </w:rPr>
              <w:t>(C)</w:t>
            </w: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Number of Responses</w:t>
            </w:r>
          </w:p>
        </w:tc>
        <w:tc>
          <w:tcPr>
            <w:tcW w:w="1890" w:type="dxa"/>
          </w:tcPr>
          <w:p w:rsidR="00CA4CD6" w:rsidRPr="00151565" w:rsidRDefault="00CA4CD6" w:rsidP="0035325B">
            <w:pPr>
              <w:spacing w:line="120" w:lineRule="exact"/>
              <w:jc w:val="center"/>
              <w:rPr>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51565">
              <w:rPr>
                <w:sz w:val="18"/>
                <w:szCs w:val="18"/>
              </w:rPr>
              <w:t>(D)</w:t>
            </w:r>
          </w:p>
          <w:p w:rsidR="00CA4CD6" w:rsidRPr="0015156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Number of Existing Respondents That Keep Records But Do Not Submit Reports</w:t>
            </w:r>
          </w:p>
        </w:tc>
        <w:tc>
          <w:tcPr>
            <w:tcW w:w="2070" w:type="dxa"/>
          </w:tcPr>
          <w:p w:rsidR="00CA4CD6" w:rsidRPr="00151565" w:rsidRDefault="00CA4CD6" w:rsidP="0035325B">
            <w:pPr>
              <w:spacing w:line="120" w:lineRule="exact"/>
              <w:jc w:val="center"/>
              <w:rPr>
                <w:sz w:val="18"/>
                <w:szCs w:val="18"/>
              </w:rPr>
            </w:pP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51565">
              <w:rPr>
                <w:sz w:val="18"/>
                <w:szCs w:val="18"/>
              </w:rPr>
              <w:t>(E)</w:t>
            </w:r>
          </w:p>
          <w:p w:rsidR="00CA4CD6" w:rsidRPr="0015156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151565">
              <w:rPr>
                <w:sz w:val="18"/>
                <w:szCs w:val="18"/>
              </w:rPr>
              <w:t>Total Annual  Responses</w:t>
            </w:r>
          </w:p>
          <w:p w:rsidR="00CA4CD6" w:rsidRPr="0015156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E=(</w:t>
            </w:r>
            <w:proofErr w:type="spellStart"/>
            <w:r w:rsidRPr="00151565">
              <w:rPr>
                <w:sz w:val="18"/>
                <w:szCs w:val="18"/>
              </w:rPr>
              <w:t>BxC</w:t>
            </w:r>
            <w:proofErr w:type="spellEnd"/>
            <w:r w:rsidRPr="00151565">
              <w:rPr>
                <w:sz w:val="18"/>
                <w:szCs w:val="18"/>
              </w:rPr>
              <w:t>)+D</w:t>
            </w:r>
          </w:p>
        </w:tc>
      </w:tr>
      <w:tr w:rsidR="00CA4CD6" w:rsidRPr="00151565" w:rsidTr="001A6886">
        <w:tc>
          <w:tcPr>
            <w:tcW w:w="2790" w:type="dxa"/>
          </w:tcPr>
          <w:p w:rsidR="00CA4CD6" w:rsidRPr="00151565" w:rsidRDefault="00CA4CD6" w:rsidP="001A6886">
            <w:pPr>
              <w:spacing w:line="120" w:lineRule="exact"/>
              <w:rPr>
                <w:sz w:val="18"/>
                <w:szCs w:val="18"/>
              </w:rPr>
            </w:pPr>
          </w:p>
          <w:p w:rsidR="00CA4CD6" w:rsidRPr="00151565" w:rsidRDefault="00151565" w:rsidP="001A6886">
            <w:pPr>
              <w:pBdr>
                <w:top w:val="single" w:sz="6" w:space="0" w:color="FFFFFF"/>
                <w:left w:val="single" w:sz="6" w:space="0" w:color="FFFFFF"/>
                <w:bottom w:val="single" w:sz="6" w:space="0" w:color="FFFFFF"/>
                <w:right w:val="single" w:sz="6" w:space="0" w:color="FFFFFF"/>
              </w:pBdr>
              <w:spacing w:after="52"/>
              <w:rPr>
                <w:sz w:val="18"/>
                <w:szCs w:val="18"/>
              </w:rPr>
            </w:pPr>
            <w:r w:rsidRPr="00151565">
              <w:rPr>
                <w:sz w:val="18"/>
                <w:szCs w:val="18"/>
              </w:rPr>
              <w:t>Notification of stack test</w:t>
            </w:r>
          </w:p>
        </w:tc>
        <w:tc>
          <w:tcPr>
            <w:tcW w:w="117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23</w:t>
            </w:r>
          </w:p>
        </w:tc>
        <w:tc>
          <w:tcPr>
            <w:tcW w:w="126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1</w:t>
            </w:r>
          </w:p>
        </w:tc>
        <w:tc>
          <w:tcPr>
            <w:tcW w:w="189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0</w:t>
            </w:r>
          </w:p>
        </w:tc>
        <w:tc>
          <w:tcPr>
            <w:tcW w:w="207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23</w:t>
            </w:r>
          </w:p>
        </w:tc>
      </w:tr>
      <w:tr w:rsidR="00CA4CD6" w:rsidRPr="00151565" w:rsidTr="001A6886">
        <w:tc>
          <w:tcPr>
            <w:tcW w:w="2790" w:type="dxa"/>
          </w:tcPr>
          <w:p w:rsidR="00CA4CD6" w:rsidRPr="00151565" w:rsidRDefault="00CA4CD6" w:rsidP="001A6886">
            <w:pPr>
              <w:spacing w:line="120" w:lineRule="exact"/>
              <w:rPr>
                <w:sz w:val="18"/>
                <w:szCs w:val="18"/>
              </w:rPr>
            </w:pPr>
          </w:p>
          <w:p w:rsidR="00CA4CD6" w:rsidRPr="00151565" w:rsidRDefault="00151565" w:rsidP="001A6886">
            <w:pPr>
              <w:pBdr>
                <w:top w:val="single" w:sz="6" w:space="0" w:color="FFFFFF"/>
                <w:left w:val="single" w:sz="6" w:space="0" w:color="FFFFFF"/>
                <w:bottom w:val="single" w:sz="6" w:space="0" w:color="FFFFFF"/>
                <w:right w:val="single" w:sz="6" w:space="0" w:color="FFFFFF"/>
              </w:pBdr>
              <w:spacing w:after="52"/>
              <w:rPr>
                <w:sz w:val="18"/>
                <w:szCs w:val="18"/>
              </w:rPr>
            </w:pPr>
            <w:r w:rsidRPr="00151565">
              <w:rPr>
                <w:sz w:val="18"/>
                <w:szCs w:val="18"/>
              </w:rPr>
              <w:t>Emission level/operational changes</w:t>
            </w:r>
          </w:p>
        </w:tc>
        <w:tc>
          <w:tcPr>
            <w:tcW w:w="117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23</w:t>
            </w:r>
          </w:p>
        </w:tc>
        <w:tc>
          <w:tcPr>
            <w:tcW w:w="126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1</w:t>
            </w:r>
          </w:p>
        </w:tc>
        <w:tc>
          <w:tcPr>
            <w:tcW w:w="189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0</w:t>
            </w:r>
          </w:p>
        </w:tc>
        <w:tc>
          <w:tcPr>
            <w:tcW w:w="2070" w:type="dxa"/>
          </w:tcPr>
          <w:p w:rsidR="00CA4CD6" w:rsidRPr="00151565" w:rsidRDefault="00CA4CD6">
            <w:pPr>
              <w:spacing w:line="120" w:lineRule="exact"/>
              <w:rPr>
                <w:sz w:val="18"/>
                <w:szCs w:val="18"/>
              </w:rPr>
            </w:pPr>
          </w:p>
          <w:p w:rsidR="00CA4CD6" w:rsidRPr="00151565" w:rsidRDefault="00151565">
            <w:pPr>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23</w:t>
            </w:r>
          </w:p>
        </w:tc>
      </w:tr>
      <w:tr w:rsidR="00CA4CD6" w:rsidRPr="00151565" w:rsidTr="001A6886">
        <w:tc>
          <w:tcPr>
            <w:tcW w:w="2790" w:type="dxa"/>
          </w:tcPr>
          <w:p w:rsidR="00CA4CD6" w:rsidRPr="00151565" w:rsidRDefault="00CA4CD6" w:rsidP="00EB7F63">
            <w:pPr>
              <w:keepNext/>
              <w:keepLines/>
              <w:spacing w:line="120" w:lineRule="exact"/>
              <w:rPr>
                <w:sz w:val="18"/>
                <w:szCs w:val="18"/>
              </w:rPr>
            </w:pPr>
          </w:p>
          <w:p w:rsidR="00CA4CD6" w:rsidRPr="00151565" w:rsidRDefault="00151565" w:rsidP="001A6886">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151565">
              <w:rPr>
                <w:sz w:val="18"/>
                <w:szCs w:val="18"/>
              </w:rPr>
              <w:t>Monthly ambient concentrations</w:t>
            </w:r>
          </w:p>
        </w:tc>
        <w:tc>
          <w:tcPr>
            <w:tcW w:w="1170" w:type="dxa"/>
          </w:tcPr>
          <w:p w:rsidR="00CA4CD6" w:rsidRPr="00151565" w:rsidRDefault="00CA4CD6" w:rsidP="00EB7F63">
            <w:pPr>
              <w:keepNext/>
              <w:keepLines/>
              <w:spacing w:line="120" w:lineRule="exact"/>
              <w:rPr>
                <w:sz w:val="18"/>
                <w:szCs w:val="18"/>
              </w:rPr>
            </w:pPr>
          </w:p>
          <w:p w:rsidR="00CA4CD6" w:rsidRPr="00151565" w:rsidRDefault="00151565"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10</w:t>
            </w:r>
          </w:p>
        </w:tc>
        <w:tc>
          <w:tcPr>
            <w:tcW w:w="1260" w:type="dxa"/>
          </w:tcPr>
          <w:p w:rsidR="00CA4CD6" w:rsidRPr="00151565" w:rsidRDefault="00CA4CD6" w:rsidP="00EB7F63">
            <w:pPr>
              <w:keepNext/>
              <w:keepLines/>
              <w:spacing w:line="120" w:lineRule="exact"/>
              <w:rPr>
                <w:sz w:val="18"/>
                <w:szCs w:val="18"/>
              </w:rPr>
            </w:pPr>
          </w:p>
          <w:p w:rsidR="00CA4CD6" w:rsidRPr="00151565" w:rsidRDefault="00151565"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12</w:t>
            </w:r>
          </w:p>
        </w:tc>
        <w:tc>
          <w:tcPr>
            <w:tcW w:w="1890" w:type="dxa"/>
          </w:tcPr>
          <w:p w:rsidR="00CA4CD6" w:rsidRPr="00151565" w:rsidRDefault="00CA4CD6" w:rsidP="00EB7F63">
            <w:pPr>
              <w:keepNext/>
              <w:keepLines/>
              <w:spacing w:line="120" w:lineRule="exact"/>
              <w:rPr>
                <w:sz w:val="18"/>
                <w:szCs w:val="18"/>
              </w:rPr>
            </w:pPr>
          </w:p>
          <w:p w:rsidR="00CA4CD6" w:rsidRPr="00151565" w:rsidRDefault="00151565"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0</w:t>
            </w:r>
          </w:p>
        </w:tc>
        <w:tc>
          <w:tcPr>
            <w:tcW w:w="2070" w:type="dxa"/>
          </w:tcPr>
          <w:p w:rsidR="00CA4CD6" w:rsidRPr="00151565" w:rsidRDefault="00CA4CD6" w:rsidP="00EB7F63">
            <w:pPr>
              <w:keepNext/>
              <w:keepLines/>
              <w:spacing w:line="120" w:lineRule="exact"/>
              <w:rPr>
                <w:sz w:val="18"/>
                <w:szCs w:val="18"/>
              </w:rPr>
            </w:pPr>
          </w:p>
          <w:p w:rsidR="00CA4CD6" w:rsidRPr="00151565" w:rsidRDefault="00151565"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120</w:t>
            </w:r>
          </w:p>
        </w:tc>
      </w:tr>
      <w:tr w:rsidR="00CA4CD6" w:rsidRPr="00151565" w:rsidTr="001A6886">
        <w:tc>
          <w:tcPr>
            <w:tcW w:w="2790" w:type="dxa"/>
          </w:tcPr>
          <w:p w:rsidR="00CA4CD6" w:rsidRPr="00151565" w:rsidRDefault="00CA4CD6" w:rsidP="00EB7F63">
            <w:pPr>
              <w:keepNext/>
              <w:keepLines/>
              <w:spacing w:line="120" w:lineRule="exact"/>
              <w:rPr>
                <w:sz w:val="18"/>
                <w:szCs w:val="18"/>
              </w:rPr>
            </w:pPr>
          </w:p>
          <w:p w:rsidR="00CA4CD6" w:rsidRPr="00151565" w:rsidRDefault="00CA4CD6"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170" w:type="dxa"/>
          </w:tcPr>
          <w:p w:rsidR="00CA4CD6" w:rsidRPr="00151565" w:rsidRDefault="00CA4CD6" w:rsidP="00EB7F63">
            <w:pPr>
              <w:keepNext/>
              <w:keepLines/>
              <w:spacing w:line="120" w:lineRule="exact"/>
              <w:rPr>
                <w:sz w:val="18"/>
                <w:szCs w:val="18"/>
              </w:rPr>
            </w:pPr>
          </w:p>
          <w:p w:rsidR="00CA4CD6" w:rsidRPr="00151565" w:rsidRDefault="00CA4CD6"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151565" w:rsidRDefault="00CA4CD6" w:rsidP="00EB7F63">
            <w:pPr>
              <w:keepNext/>
              <w:keepLines/>
              <w:spacing w:line="120" w:lineRule="exact"/>
              <w:rPr>
                <w:sz w:val="18"/>
                <w:szCs w:val="18"/>
              </w:rPr>
            </w:pPr>
          </w:p>
          <w:p w:rsidR="00CA4CD6" w:rsidRPr="00151565" w:rsidRDefault="00CA4CD6"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151565" w:rsidRDefault="00CA4CD6" w:rsidP="00EB7F63">
            <w:pPr>
              <w:keepNext/>
              <w:keepLines/>
              <w:spacing w:line="120" w:lineRule="exact"/>
              <w:rPr>
                <w:sz w:val="18"/>
                <w:szCs w:val="18"/>
              </w:rPr>
            </w:pPr>
          </w:p>
          <w:p w:rsidR="00CA4CD6" w:rsidRPr="00151565" w:rsidRDefault="00CA4CD6"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151565">
              <w:rPr>
                <w:sz w:val="18"/>
                <w:szCs w:val="18"/>
              </w:rPr>
              <w:t>Total</w:t>
            </w:r>
          </w:p>
        </w:tc>
        <w:tc>
          <w:tcPr>
            <w:tcW w:w="2070" w:type="dxa"/>
          </w:tcPr>
          <w:p w:rsidR="00CA4CD6" w:rsidRPr="00151565" w:rsidRDefault="00CA4CD6" w:rsidP="00EB7F63">
            <w:pPr>
              <w:keepNext/>
              <w:keepLines/>
              <w:spacing w:line="120" w:lineRule="exact"/>
              <w:rPr>
                <w:sz w:val="18"/>
                <w:szCs w:val="18"/>
              </w:rPr>
            </w:pPr>
          </w:p>
          <w:p w:rsidR="00CA4CD6" w:rsidRPr="00151565" w:rsidRDefault="00151565" w:rsidP="00EB7F6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166</w:t>
            </w:r>
          </w:p>
        </w:tc>
      </w:tr>
    </w:tbl>
    <w:p w:rsidR="00CA4CD6" w:rsidRPr="00151565" w:rsidRDefault="00CA4CD6">
      <w:pPr>
        <w:pBdr>
          <w:top w:val="single" w:sz="6" w:space="0" w:color="FFFFFF"/>
          <w:left w:val="single" w:sz="6" w:space="0" w:color="FFFFFF"/>
          <w:bottom w:val="single" w:sz="6" w:space="0" w:color="FFFFFF"/>
          <w:right w:val="single" w:sz="6" w:space="0" w:color="FFFFFF"/>
        </w:pBdr>
      </w:pPr>
    </w:p>
    <w:p w:rsidR="00CA4CD6" w:rsidRPr="00151565" w:rsidRDefault="00CA4CD6">
      <w:pPr>
        <w:pBdr>
          <w:top w:val="single" w:sz="6" w:space="0" w:color="FFFFFF"/>
          <w:left w:val="single" w:sz="6" w:space="0" w:color="FFFFFF"/>
          <w:bottom w:val="single" w:sz="6" w:space="0" w:color="FFFFFF"/>
          <w:right w:val="single" w:sz="6" w:space="0" w:color="FFFFFF"/>
        </w:pBdr>
        <w:ind w:firstLine="720"/>
      </w:pPr>
      <w:r w:rsidRPr="00151565">
        <w:t>The number of Total Annual Responses is</w:t>
      </w:r>
      <w:r w:rsidR="00151565" w:rsidRPr="00151565">
        <w:t xml:space="preserve"> </w:t>
      </w:r>
      <w:r w:rsidR="0000449A">
        <w:t>1</w:t>
      </w:r>
      <w:r w:rsidR="00151565" w:rsidRPr="00151565">
        <w:t>66.</w:t>
      </w:r>
    </w:p>
    <w:p w:rsidR="00CA4CD6" w:rsidRPr="00151565" w:rsidRDefault="00CA4CD6">
      <w:pPr>
        <w:pBdr>
          <w:top w:val="single" w:sz="6" w:space="0" w:color="FFFFFF"/>
          <w:left w:val="single" w:sz="6" w:space="0" w:color="FFFFFF"/>
          <w:bottom w:val="single" w:sz="6" w:space="0" w:color="FFFFFF"/>
          <w:right w:val="single" w:sz="6" w:space="0" w:color="FFFFFF"/>
        </w:pBdr>
      </w:pPr>
      <w:r w:rsidRPr="00151565">
        <w:t xml:space="preserve"> </w:t>
      </w:r>
    </w:p>
    <w:p w:rsidR="00CA4CD6" w:rsidRPr="003E5DC2" w:rsidRDefault="00CA4CD6">
      <w:pPr>
        <w:pBdr>
          <w:top w:val="single" w:sz="6" w:space="0" w:color="FFFFFF"/>
          <w:left w:val="single" w:sz="6" w:space="0" w:color="FFFFFF"/>
          <w:bottom w:val="single" w:sz="6" w:space="0" w:color="FFFFFF"/>
          <w:right w:val="single" w:sz="6" w:space="0" w:color="FFFFFF"/>
        </w:pBdr>
        <w:ind w:firstLine="720"/>
      </w:pPr>
      <w:r w:rsidRPr="00151565">
        <w:t>The total annual labor costs are</w:t>
      </w:r>
      <w:r w:rsidR="00151565">
        <w:t xml:space="preserve"> $</w:t>
      </w:r>
      <w:r w:rsidR="0000449A" w:rsidRPr="0000449A">
        <w:t>257,208</w:t>
      </w:r>
      <w:r w:rsidRPr="00151565">
        <w:t>.</w:t>
      </w:r>
      <w:r w:rsidR="00507EC5" w:rsidRPr="00151565">
        <w:t xml:space="preserve">  </w:t>
      </w:r>
      <w:r w:rsidRPr="00151565">
        <w:t>Details</w:t>
      </w:r>
      <w:r w:rsidRPr="003E5DC2">
        <w:t xml:space="preserve"> regarding these estimates may be found </w:t>
      </w:r>
      <w:r w:rsidR="007A458D" w:rsidRPr="003E5DC2">
        <w:t xml:space="preserve">below </w:t>
      </w:r>
      <w:r w:rsidR="0035325B" w:rsidRPr="003E5DC2">
        <w:t>in Table 1</w:t>
      </w:r>
      <w:r w:rsidR="008426D4" w:rsidRPr="003E5DC2">
        <w:t>: Annual Respondent Burden and Cost – NESHAP for Beryllium (40 CFR Part 61, Subpart C) (Renewal)</w:t>
      </w:r>
      <w:r w:rsidRPr="003E5DC2">
        <w:t>.</w:t>
      </w:r>
    </w:p>
    <w:p w:rsidR="00CA4CD6" w:rsidRPr="003E5DC2" w:rsidRDefault="00CA4CD6">
      <w:pPr>
        <w:pBdr>
          <w:top w:val="single" w:sz="6" w:space="0" w:color="FFFFFF"/>
          <w:left w:val="single" w:sz="6" w:space="0" w:color="FFFFFF"/>
          <w:bottom w:val="single" w:sz="6" w:space="0" w:color="FFFFFF"/>
          <w:right w:val="single" w:sz="6" w:space="0" w:color="FFFFFF"/>
        </w:pBdr>
      </w:pPr>
    </w:p>
    <w:p w:rsidR="00CA4CD6" w:rsidRPr="003E5DC2" w:rsidRDefault="00CA4CD6" w:rsidP="0000449A">
      <w:pPr>
        <w:keepNext/>
        <w:keepLines/>
        <w:pBdr>
          <w:top w:val="single" w:sz="6" w:space="0" w:color="FFFFFF"/>
          <w:left w:val="single" w:sz="6" w:space="0" w:color="FFFFFF"/>
          <w:bottom w:val="single" w:sz="6" w:space="0" w:color="FFFFFF"/>
          <w:right w:val="single" w:sz="6" w:space="0" w:color="FFFFFF"/>
        </w:pBdr>
        <w:ind w:firstLine="720"/>
      </w:pPr>
      <w:r w:rsidRPr="003E5DC2">
        <w:rPr>
          <w:b/>
          <w:bCs/>
        </w:rPr>
        <w:lastRenderedPageBreak/>
        <w:t>6(e</w:t>
      </w:r>
      <w:proofErr w:type="gramStart"/>
      <w:r w:rsidRPr="003E5DC2">
        <w:rPr>
          <w:b/>
          <w:bCs/>
        </w:rPr>
        <w:t>)  Bottom</w:t>
      </w:r>
      <w:proofErr w:type="gramEnd"/>
      <w:r w:rsidRPr="003E5DC2">
        <w:rPr>
          <w:b/>
          <w:bCs/>
        </w:rPr>
        <w:t xml:space="preserve"> Line Burden Hours and Cost Tables</w:t>
      </w:r>
    </w:p>
    <w:p w:rsidR="00CA4CD6" w:rsidRPr="003E5DC2" w:rsidRDefault="00CA4CD6" w:rsidP="0000449A">
      <w:pPr>
        <w:keepNext/>
        <w:keepLines/>
        <w:pBdr>
          <w:top w:val="single" w:sz="6" w:space="0" w:color="FFFFFF"/>
          <w:left w:val="single" w:sz="6" w:space="0" w:color="FFFFFF"/>
          <w:bottom w:val="single" w:sz="6" w:space="0" w:color="FFFFFF"/>
          <w:right w:val="single" w:sz="6" w:space="0" w:color="FFFFFF"/>
        </w:pBdr>
      </w:pPr>
    </w:p>
    <w:p w:rsidR="00CA4CD6" w:rsidRPr="003E5DC2" w:rsidRDefault="00CA4CD6" w:rsidP="0000449A">
      <w:pPr>
        <w:keepNext/>
        <w:keepLines/>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w:t>
      </w:r>
      <w:r w:rsidRPr="003E5DC2">
        <w:t>burden hours and cost calculations for the respondents and the Agency are shown in Tables 1 and 2</w:t>
      </w:r>
      <w:r w:rsidR="00FE2099" w:rsidRPr="003E5DC2">
        <w:t xml:space="preserve"> below</w:t>
      </w:r>
      <w:r w:rsidRPr="003E5DC2">
        <w:t>, respe</w:t>
      </w:r>
      <w:r w:rsidR="0000449A">
        <w:t>ctively, and summarized below.</w:t>
      </w:r>
    </w:p>
    <w:p w:rsidR="00CA4CD6" w:rsidRPr="003E5DC2" w:rsidRDefault="00CA4CD6">
      <w:pPr>
        <w:pBdr>
          <w:top w:val="single" w:sz="6" w:space="0" w:color="FFFFFF"/>
          <w:left w:val="single" w:sz="6" w:space="0" w:color="FFFFFF"/>
          <w:bottom w:val="single" w:sz="6" w:space="0" w:color="FFFFFF"/>
          <w:right w:val="single" w:sz="6" w:space="0" w:color="FFFFFF"/>
        </w:pBdr>
      </w:pPr>
    </w:p>
    <w:p w:rsidR="00CA4CD6" w:rsidRPr="003E5DC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E5DC2">
        <w:rPr>
          <w:b/>
          <w:bCs/>
        </w:rPr>
        <w:t>(</w:t>
      </w:r>
      <w:proofErr w:type="spellStart"/>
      <w:r w:rsidRPr="003E5DC2">
        <w:rPr>
          <w:b/>
          <w:bCs/>
        </w:rPr>
        <w:t>i</w:t>
      </w:r>
      <w:proofErr w:type="spellEnd"/>
      <w:r w:rsidRPr="003E5DC2">
        <w:rPr>
          <w:b/>
          <w:bCs/>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151565">
        <w:rPr>
          <w:color w:val="000000"/>
        </w:rPr>
        <w:t xml:space="preserve"> </w:t>
      </w:r>
      <w:r w:rsidR="00151565" w:rsidRPr="00151565">
        <w:rPr>
          <w:color w:val="000000"/>
        </w:rPr>
        <w:t>2,629</w:t>
      </w:r>
      <w:r w:rsidR="00473DC0">
        <w:rPr>
          <w:color w:val="000000"/>
        </w:rPr>
        <w:t xml:space="preserve"> </w:t>
      </w:r>
      <w:r w:rsidR="003F1952">
        <w:rPr>
          <w:color w:val="000000"/>
        </w:rPr>
        <w:t xml:space="preserve">hours </w:t>
      </w:r>
      <w:r w:rsidR="00473DC0">
        <w:rPr>
          <w:color w:val="000000"/>
        </w:rPr>
        <w:t>at a cost of $257,208</w:t>
      </w:r>
      <w:r>
        <w:rPr>
          <w:color w:val="000000"/>
        </w:rPr>
        <w:t>.</w:t>
      </w:r>
      <w:r w:rsidR="00507EC5">
        <w:rPr>
          <w:color w:val="000000"/>
        </w:rPr>
        <w:t xml:space="preserve">  </w:t>
      </w:r>
      <w:r>
        <w:rPr>
          <w:color w:val="000000"/>
        </w:rPr>
        <w:t>Details regarding these estimates may be found</w:t>
      </w:r>
      <w:r w:rsidR="00473DC0">
        <w:rPr>
          <w:color w:val="000000"/>
        </w:rPr>
        <w:t xml:space="preserve"> below</w:t>
      </w:r>
      <w:r>
        <w:rPr>
          <w:color w:val="000000"/>
        </w:rPr>
        <w:t xml:space="preserve"> in Table 1</w:t>
      </w:r>
      <w:r w:rsidR="008426D4" w:rsidRPr="008426D4">
        <w:rPr>
          <w:color w:val="000000"/>
        </w:rPr>
        <w:t>: Annual Respondent Burden and Cost – NESHAP for Beryllium (40 CFR Part 61, Subpart C) (Renewal)</w:t>
      </w:r>
      <w:r w:rsidR="008426D4">
        <w:rPr>
          <w:color w:val="000000"/>
        </w:rPr>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3F1952">
        <w:rPr>
          <w:color w:val="000000"/>
        </w:rPr>
        <w:t xml:space="preserve">   </w:t>
      </w:r>
      <w:r>
        <w:rPr>
          <w:color w:val="000000"/>
        </w:rPr>
        <w:t xml:space="preserve">of information is estimated to average </w:t>
      </w:r>
      <w:r w:rsidR="00151565">
        <w:rPr>
          <w:color w:val="000000"/>
        </w:rPr>
        <w:t xml:space="preserve">16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151565">
        <w:rPr>
          <w:color w:val="000000"/>
        </w:rPr>
        <w:t xml:space="preserve"> $35,000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 next three years is estimated to be</w:t>
      </w:r>
      <w:r w:rsidR="00151565">
        <w:rPr>
          <w:color w:val="000000"/>
        </w:rPr>
        <w:t xml:space="preserve"> 329 </w:t>
      </w:r>
      <w:r>
        <w:rPr>
          <w:color w:val="000000"/>
        </w:rPr>
        <w:t>labor hours at a cost of</w:t>
      </w:r>
      <w:r w:rsidR="00151565">
        <w:rPr>
          <w:color w:val="000000"/>
        </w:rPr>
        <w:t xml:space="preserve"> $</w:t>
      </w:r>
      <w:r w:rsidR="00151565" w:rsidRPr="00151565">
        <w:rPr>
          <w:color w:val="000000"/>
        </w:rPr>
        <w:t>14,822</w:t>
      </w:r>
      <w:r w:rsidR="00144F35">
        <w:rPr>
          <w:color w:val="000000"/>
        </w:rPr>
        <w:t xml:space="preserve">.  See </w:t>
      </w:r>
      <w:r w:rsidR="000F7EFA">
        <w:rPr>
          <w:color w:val="000000"/>
        </w:rPr>
        <w:t xml:space="preserve">below </w:t>
      </w:r>
      <w:r w:rsidR="00144F35">
        <w:rPr>
          <w:color w:val="000000"/>
        </w:rPr>
        <w:t>Table 2</w:t>
      </w:r>
      <w:r w:rsidR="008426D4" w:rsidRPr="008426D4">
        <w:rPr>
          <w:color w:val="000000"/>
        </w:rPr>
        <w:t xml:space="preserve">: Average Annual EPA Burden and Cost – NESHAP for Beryllium (40 CFR </w:t>
      </w:r>
      <w:proofErr w:type="gramStart"/>
      <w:r w:rsidR="008426D4" w:rsidRPr="008426D4">
        <w:rPr>
          <w:color w:val="000000"/>
        </w:rPr>
        <w:t>Part</w:t>
      </w:r>
      <w:proofErr w:type="gramEnd"/>
      <w:r w:rsidR="008426D4" w:rsidRPr="008426D4">
        <w:rPr>
          <w:color w:val="000000"/>
        </w:rPr>
        <w:t xml:space="preserve"> 61, Subpart C) (Renewal)</w:t>
      </w:r>
      <w:r w:rsidR="008426D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A64884" w:rsidRPr="00A64884" w:rsidRDefault="00A64884" w:rsidP="00A64884">
      <w:pPr>
        <w:pBdr>
          <w:top w:val="single" w:sz="6" w:space="0" w:color="FFFFFF"/>
          <w:left w:val="single" w:sz="6" w:space="0" w:color="FFFFFF"/>
          <w:bottom w:val="single" w:sz="6" w:space="0" w:color="FFFFFF"/>
          <w:right w:val="single" w:sz="6" w:space="0" w:color="FFFFFF"/>
        </w:pBdr>
        <w:rPr>
          <w:color w:val="FF0000"/>
        </w:rPr>
      </w:pPr>
    </w:p>
    <w:p w:rsidR="00A64884" w:rsidRPr="005366EB" w:rsidRDefault="00A64884" w:rsidP="00A64884">
      <w:pPr>
        <w:pBdr>
          <w:top w:val="single" w:sz="6" w:space="0" w:color="FFFFFF"/>
          <w:left w:val="single" w:sz="6" w:space="0" w:color="FFFFFF"/>
          <w:bottom w:val="single" w:sz="6" w:space="0" w:color="FFFFFF"/>
          <w:right w:val="single" w:sz="6" w:space="0" w:color="FFFFFF"/>
        </w:pBdr>
        <w:ind w:firstLine="720"/>
      </w:pPr>
      <w:r w:rsidRPr="005366EB">
        <w:t xml:space="preserve">There is an apparent increase of two hours in the total estimated respondent burden as currently identified in the OMB Inventory of Approved Burdens.  This increase is due to rounding, and is not due to any program changes. </w:t>
      </w:r>
      <w:r w:rsidR="005366EB" w:rsidRPr="005366EB">
        <w:t xml:space="preserve"> </w:t>
      </w:r>
      <w:r w:rsidRPr="005366EB">
        <w:t>The most</w:t>
      </w:r>
      <w:r w:rsidR="003F1952">
        <w:t>-</w:t>
      </w:r>
      <w:r w:rsidRPr="005366EB">
        <w:t xml:space="preserve">recently approved ICR </w:t>
      </w:r>
      <w:r w:rsidR="003E2B37" w:rsidRPr="005366EB">
        <w:t>rounded</w:t>
      </w:r>
      <w:r w:rsidRPr="005366EB">
        <w:t xml:space="preserve"> </w:t>
      </w:r>
      <w:r w:rsidR="003F1952">
        <w:t xml:space="preserve">  </w:t>
      </w:r>
      <w:r w:rsidR="003E2B37" w:rsidRPr="005366EB">
        <w:t xml:space="preserve">the </w:t>
      </w:r>
      <w:r w:rsidRPr="005366EB">
        <w:t>burden hours associated with recordkeeping for operating parameters and emissions</w:t>
      </w:r>
      <w:r w:rsidR="003E2B37" w:rsidRPr="005366EB">
        <w:t xml:space="preserve"> to the nearest whole number</w:t>
      </w:r>
      <w:r w:rsidRPr="005366EB">
        <w:t xml:space="preserve">.  In contrast, </w:t>
      </w:r>
      <w:r w:rsidR="003E2B37" w:rsidRPr="005366EB">
        <w:t xml:space="preserve">burden hours are rounded to two decimal places in </w:t>
      </w:r>
      <w:r w:rsidRPr="005366EB">
        <w:t>this ICR</w:t>
      </w:r>
      <w:r w:rsidR="003E2B37" w:rsidRPr="005366EB">
        <w:t xml:space="preserve">, resulting </w:t>
      </w:r>
      <w:r w:rsidRPr="005366EB">
        <w:t xml:space="preserve">in </w:t>
      </w:r>
      <w:r w:rsidR="003E2B37" w:rsidRPr="005366EB">
        <w:t>an</w:t>
      </w:r>
      <w:r w:rsidRPr="005366EB">
        <w:t xml:space="preserve"> apparent </w:t>
      </w:r>
      <w:r w:rsidR="003E2B37" w:rsidRPr="005366EB">
        <w:t>increase of two hours.</w:t>
      </w:r>
    </w:p>
    <w:p w:rsidR="00A64884" w:rsidRPr="005366EB" w:rsidRDefault="00A64884" w:rsidP="00A64884">
      <w:pPr>
        <w:pBdr>
          <w:top w:val="single" w:sz="6" w:space="0" w:color="FFFFFF"/>
          <w:left w:val="single" w:sz="6" w:space="0" w:color="FFFFFF"/>
          <w:bottom w:val="single" w:sz="6" w:space="0" w:color="FFFFFF"/>
          <w:right w:val="single" w:sz="6" w:space="0" w:color="FFFFFF"/>
        </w:pBdr>
      </w:pPr>
    </w:p>
    <w:p w:rsidR="00CA4CD6" w:rsidRPr="005366EB" w:rsidRDefault="00A64884" w:rsidP="00A64884">
      <w:pPr>
        <w:pBdr>
          <w:top w:val="single" w:sz="6" w:space="0" w:color="FFFFFF"/>
          <w:left w:val="single" w:sz="6" w:space="0" w:color="FFFFFF"/>
          <w:bottom w:val="single" w:sz="6" w:space="0" w:color="FFFFFF"/>
          <w:right w:val="single" w:sz="6" w:space="0" w:color="FFFFFF"/>
        </w:pBdr>
      </w:pPr>
      <w:r w:rsidRPr="005366EB">
        <w:tab/>
        <w:t xml:space="preserve">There is an increase in the respondent cost from the most recently approved ICR due </w:t>
      </w:r>
      <w:r w:rsidR="003F1952">
        <w:t xml:space="preserve">     </w:t>
      </w:r>
      <w:r w:rsidRPr="005366EB">
        <w:t>to the use of updated labor rates.  This ICR references labor rates from the Bureau of Labor Statistics to calculate the respondent burden cost.</w:t>
      </w:r>
      <w:r w:rsidR="005366EB" w:rsidRPr="005366EB">
        <w:t xml:space="preserve"> </w:t>
      </w:r>
    </w:p>
    <w:p w:rsidR="00A64884" w:rsidRDefault="00A64884" w:rsidP="00A64884">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FF531A">
        <w:rPr>
          <w:color w:val="000000"/>
        </w:rPr>
        <w:t xml:space="preserve"> 16</w:t>
      </w:r>
      <w:r>
        <w:rPr>
          <w:color w:val="000000"/>
        </w:rPr>
        <w:t xml:space="preserve"> hours per response.  </w:t>
      </w:r>
      <w:r w:rsidR="003F1952">
        <w:rPr>
          <w:color w:val="000000"/>
        </w:rPr>
        <w:t>“</w:t>
      </w:r>
      <w:r>
        <w:rPr>
          <w:color w:val="000000"/>
        </w:rPr>
        <w:t>Burden</w:t>
      </w:r>
      <w:r w:rsidR="003F1952">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w:t>
      </w:r>
      <w:r>
        <w:rPr>
          <w:color w:val="000000"/>
        </w:rPr>
        <w:lastRenderedPageBreak/>
        <w:t>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426D4" w:rsidRDefault="00CA4CD6">
      <w:pPr>
        <w:pBdr>
          <w:top w:val="single" w:sz="6" w:space="0" w:color="FFFFFF"/>
          <w:left w:val="single" w:sz="6" w:space="0" w:color="FFFFFF"/>
          <w:bottom w:val="single" w:sz="6" w:space="0" w:color="FFFFFF"/>
          <w:right w:val="single" w:sz="6" w:space="0" w:color="FFFFFF"/>
        </w:pBdr>
        <w:ind w:firstLine="720"/>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part 9 and 48 </w:t>
      </w:r>
      <w:r w:rsidRPr="008426D4">
        <w:t>CFR chapter 15.</w:t>
      </w:r>
    </w:p>
    <w:p w:rsidR="006741F7" w:rsidRPr="008426D4" w:rsidRDefault="006741F7" w:rsidP="00354C15"/>
    <w:p w:rsidR="00354C15" w:rsidRPr="008426D4" w:rsidRDefault="00FB0650" w:rsidP="00354C15">
      <w:r w:rsidRPr="008426D4">
        <w:tab/>
      </w:r>
      <w:r w:rsidR="00CA4CD6" w:rsidRPr="008426D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426D4" w:rsidRPr="008426D4">
        <w:t>EPA-HQ-OECA-2013-0301</w:t>
      </w:r>
      <w:r w:rsidR="00354C15" w:rsidRPr="008426D4">
        <w:t xml:space="preserve">.  An electronic version of the public docket is available at </w:t>
      </w:r>
      <w:r w:rsidR="00354C15" w:rsidRPr="001401A0">
        <w:rPr>
          <w:u w:val="single"/>
        </w:rPr>
        <w:t>http://www.regulations.gov/</w:t>
      </w:r>
      <w:r w:rsidR="003F1952">
        <w:rPr>
          <w:u w:val="single"/>
        </w:rPr>
        <w:t>,</w:t>
      </w:r>
      <w:r w:rsidR="00354C15" w:rsidRPr="008426D4">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8426D4">
        <w:rPr>
          <w:rStyle w:val="1"/>
        </w:rPr>
        <w:t xml:space="preserve">, select “search,” then key in the docket ID number identified in this document.  The documents are also </w:t>
      </w:r>
      <w:r w:rsidR="00CA4CD6" w:rsidRPr="008426D4">
        <w:t xml:space="preserve">available for public viewing at the Enforcement and Compliance Docket and Information Center in the EPA Docket Center (EPA/DC), </w:t>
      </w:r>
      <w:r w:rsidR="003F1952">
        <w:t>WJC</w:t>
      </w:r>
      <w:r w:rsidR="00D95819" w:rsidRPr="008426D4">
        <w:t xml:space="preserve"> West, Room 3334</w:t>
      </w:r>
      <w:r w:rsidR="00CA4CD6" w:rsidRPr="008426D4">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8426D4">
        <w:t>for the docket center i</w:t>
      </w:r>
      <w:r w:rsidR="00CA4CD6" w:rsidRPr="008426D4">
        <w:t>s (202) 566-</w:t>
      </w:r>
      <w:r w:rsidR="00850ACF" w:rsidRPr="008426D4">
        <w:t>17</w:t>
      </w:r>
      <w:r w:rsidR="001401A0">
        <w:t>52</w:t>
      </w:r>
      <w:r w:rsidR="00354C15" w:rsidRPr="008426D4">
        <w:t xml:space="preserve">.  </w:t>
      </w:r>
      <w:r w:rsidR="00CA4CD6" w:rsidRPr="008426D4">
        <w:t xml:space="preserve">Also, you can send comments to the Office of Information and Regulatory Affairs, Office of Management and Budget, 725 17th Street, NW, Washington, DC 20503, Attention: Desk Officer for EPA.  Please include the EPA Docket ID Number </w:t>
      </w:r>
      <w:r w:rsidR="008426D4" w:rsidRPr="008426D4">
        <w:t>EPA-HQ-OECA-2013-0301</w:t>
      </w:r>
      <w:r w:rsidR="00CA4CD6" w:rsidRPr="008426D4">
        <w:t xml:space="preserve"> and OMB Control Number</w:t>
      </w:r>
      <w:r w:rsidR="008426D4" w:rsidRPr="008426D4">
        <w:t xml:space="preserve"> 2060-0092 </w:t>
      </w:r>
      <w:r w:rsidR="00CA4CD6" w:rsidRPr="008426D4">
        <w:t xml:space="preserve">in any correspondence. </w:t>
      </w:r>
    </w:p>
    <w:p w:rsidR="00F340DF" w:rsidRPr="008426D4" w:rsidRDefault="00F340DF" w:rsidP="00F340DF">
      <w:pPr>
        <w:rPr>
          <w:rStyle w:val="1"/>
          <w:rFonts w:ascii="WP TypographicSymbols" w:hAnsi="WP TypographicSymbols" w:cs="WP TypographicSymbols"/>
        </w:rPr>
      </w:pPr>
    </w:p>
    <w:p w:rsidR="00F340DF" w:rsidRPr="008426D4" w:rsidRDefault="00CA4CD6" w:rsidP="00504745">
      <w:pPr>
        <w:outlineLvl w:val="0"/>
        <w:rPr>
          <w:b/>
          <w:bCs/>
        </w:rPr>
      </w:pPr>
      <w:r w:rsidRPr="008426D4">
        <w:rPr>
          <w:b/>
          <w:bCs/>
        </w:rPr>
        <w:t>Part B of the Supporting Statement</w:t>
      </w:r>
    </w:p>
    <w:p w:rsidR="00F340DF" w:rsidRPr="008426D4" w:rsidRDefault="00F340DF" w:rsidP="00F340DF">
      <w:pPr>
        <w:rPr>
          <w:b/>
          <w:bCs/>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8426D4" w:rsidRDefault="00144F35" w:rsidP="00223FE9">
      <w:pPr>
        <w:jc w:val="center"/>
        <w:outlineLvl w:val="0"/>
        <w:rPr>
          <w:b/>
          <w:bCs/>
        </w:rPr>
      </w:pPr>
      <w:r w:rsidRPr="008426D4">
        <w:rPr>
          <w:b/>
          <w:bCs/>
        </w:rPr>
        <w:lastRenderedPageBreak/>
        <w:t>Table 1</w:t>
      </w:r>
      <w:r w:rsidR="008426D4" w:rsidRPr="008426D4">
        <w:rPr>
          <w:b/>
          <w:bCs/>
        </w:rPr>
        <w:t>: Annual Respondent Burden and Cost – NESHAP for Beryllium (40 CFR Part 61, Subpart C) (Renewal)</w:t>
      </w:r>
    </w:p>
    <w:p w:rsidR="00144F35" w:rsidRPr="008426D4" w:rsidRDefault="00144F35" w:rsidP="00F340DF">
      <w:pPr>
        <w:rPr>
          <w:b/>
          <w:bCs/>
        </w:rPr>
      </w:pPr>
    </w:p>
    <w:tbl>
      <w:tblPr>
        <w:tblW w:w="13950" w:type="dxa"/>
        <w:tblInd w:w="-482" w:type="dxa"/>
        <w:tblCellMar>
          <w:left w:w="58" w:type="dxa"/>
          <w:right w:w="58" w:type="dxa"/>
        </w:tblCellMar>
        <w:tblLook w:val="04A0"/>
      </w:tblPr>
      <w:tblGrid>
        <w:gridCol w:w="3600"/>
        <w:gridCol w:w="1440"/>
        <w:gridCol w:w="1440"/>
        <w:gridCol w:w="1440"/>
        <w:gridCol w:w="1220"/>
        <w:gridCol w:w="950"/>
        <w:gridCol w:w="1300"/>
        <w:gridCol w:w="940"/>
        <w:gridCol w:w="1620"/>
      </w:tblGrid>
      <w:tr w:rsidR="00EB7F63" w:rsidRPr="00EB7F63" w:rsidTr="007301B6">
        <w:trPr>
          <w:trHeight w:val="285"/>
          <w:tblHeader/>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B7F63" w:rsidRDefault="00EB7F63" w:rsidP="00EB7F63">
            <w:pPr>
              <w:widowControl/>
              <w:autoSpaceDE/>
              <w:autoSpaceDN/>
              <w:adjustRightInd/>
              <w:jc w:val="center"/>
              <w:rPr>
                <w:b/>
                <w:bCs/>
                <w:sz w:val="20"/>
                <w:szCs w:val="20"/>
              </w:rPr>
            </w:pPr>
            <w:r w:rsidRPr="00EB7F63">
              <w:rPr>
                <w:b/>
                <w:bCs/>
                <w:sz w:val="20"/>
                <w:szCs w:val="20"/>
              </w:rPr>
              <w:t>Burden Item</w:t>
            </w: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EB7F63">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C</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D</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F</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G</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EB7F63" w:rsidRPr="00EB7F63" w:rsidRDefault="00EB7F63" w:rsidP="00EB7F63">
            <w:pPr>
              <w:widowControl/>
              <w:autoSpaceDE/>
              <w:autoSpaceDN/>
              <w:adjustRightInd/>
              <w:jc w:val="center"/>
              <w:rPr>
                <w:b/>
                <w:bCs/>
                <w:sz w:val="20"/>
                <w:szCs w:val="20"/>
              </w:rPr>
            </w:pPr>
            <w:r w:rsidRPr="00EB7F63">
              <w:rPr>
                <w:b/>
                <w:bCs/>
                <w:sz w:val="20"/>
                <w:szCs w:val="20"/>
              </w:rPr>
              <w:t>H</w:t>
            </w:r>
          </w:p>
        </w:tc>
      </w:tr>
      <w:tr w:rsidR="00EB7F63" w:rsidRPr="00EB7F63" w:rsidTr="007301B6">
        <w:trPr>
          <w:trHeight w:val="1592"/>
          <w:tblHeader/>
        </w:trPr>
        <w:tc>
          <w:tcPr>
            <w:tcW w:w="3600" w:type="dxa"/>
            <w:vMerge/>
            <w:tcBorders>
              <w:top w:val="single" w:sz="4" w:space="0" w:color="auto"/>
              <w:left w:val="single" w:sz="4" w:space="0" w:color="auto"/>
              <w:bottom w:val="single" w:sz="4" w:space="0" w:color="auto"/>
              <w:right w:val="single" w:sz="4" w:space="0" w:color="auto"/>
            </w:tcBorders>
            <w:vAlign w:val="center"/>
            <w:hideMark/>
          </w:tcPr>
          <w:p w:rsidR="00EB7F63" w:rsidRPr="00EB7F63" w:rsidRDefault="00EB7F63" w:rsidP="00EB7F63">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7301B6" w:rsidRDefault="007301B6" w:rsidP="007301B6">
            <w:pPr>
              <w:widowControl/>
              <w:autoSpaceDE/>
              <w:autoSpaceDN/>
              <w:adjustRightInd/>
              <w:jc w:val="center"/>
              <w:rPr>
                <w:b/>
                <w:bCs/>
                <w:sz w:val="20"/>
                <w:szCs w:val="20"/>
              </w:rPr>
            </w:pPr>
            <w:r w:rsidRPr="00EB7F63">
              <w:rPr>
                <w:b/>
                <w:bCs/>
                <w:sz w:val="20"/>
                <w:szCs w:val="20"/>
              </w:rPr>
              <w:t>P</w:t>
            </w:r>
            <w:r w:rsidR="00EB7F63" w:rsidRPr="00EB7F63">
              <w:rPr>
                <w:b/>
                <w:bCs/>
                <w:sz w:val="20"/>
                <w:szCs w:val="20"/>
              </w:rPr>
              <w:t>erson</w:t>
            </w:r>
          </w:p>
          <w:p w:rsidR="00EB7F63" w:rsidRDefault="00EB7F63" w:rsidP="007301B6">
            <w:pPr>
              <w:widowControl/>
              <w:autoSpaceDE/>
              <w:autoSpaceDN/>
              <w:adjustRightInd/>
              <w:jc w:val="center"/>
              <w:rPr>
                <w:b/>
                <w:bCs/>
                <w:sz w:val="20"/>
                <w:szCs w:val="20"/>
              </w:rPr>
            </w:pPr>
            <w:r w:rsidRPr="00EB7F63">
              <w:rPr>
                <w:b/>
                <w:bCs/>
                <w:sz w:val="20"/>
                <w:szCs w:val="20"/>
              </w:rPr>
              <w:t>hours per occurrence</w:t>
            </w:r>
          </w:p>
          <w:p w:rsidR="007301B6" w:rsidRDefault="007301B6" w:rsidP="007301B6">
            <w:pPr>
              <w:widowControl/>
              <w:autoSpaceDE/>
              <w:autoSpaceDN/>
              <w:adjustRightInd/>
              <w:jc w:val="center"/>
              <w:rPr>
                <w:b/>
                <w:bCs/>
                <w:sz w:val="20"/>
                <w:szCs w:val="20"/>
              </w:rPr>
            </w:pPr>
          </w:p>
          <w:p w:rsidR="007301B6" w:rsidRDefault="007301B6" w:rsidP="007301B6">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EB7F63">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5D3A65" w:rsidRDefault="00EB7F63" w:rsidP="00EB7F63">
            <w:pPr>
              <w:widowControl/>
              <w:autoSpaceDE/>
              <w:autoSpaceDN/>
              <w:adjustRightInd/>
              <w:jc w:val="center"/>
              <w:rPr>
                <w:b/>
                <w:bCs/>
                <w:sz w:val="20"/>
                <w:szCs w:val="20"/>
              </w:rPr>
            </w:pPr>
            <w:r w:rsidRPr="00EB7F63">
              <w:rPr>
                <w:b/>
                <w:bCs/>
                <w:sz w:val="20"/>
                <w:szCs w:val="20"/>
              </w:rPr>
              <w:t xml:space="preserve">No. of occurrences </w:t>
            </w:r>
          </w:p>
          <w:p w:rsidR="007301B6" w:rsidRDefault="00EB7F63" w:rsidP="00EB7F63">
            <w:pPr>
              <w:widowControl/>
              <w:autoSpaceDE/>
              <w:autoSpaceDN/>
              <w:adjustRightInd/>
              <w:jc w:val="center"/>
              <w:rPr>
                <w:b/>
                <w:bCs/>
                <w:sz w:val="20"/>
                <w:szCs w:val="20"/>
              </w:rPr>
            </w:pPr>
            <w:r w:rsidRPr="00EB7F63">
              <w:rPr>
                <w:b/>
                <w:bCs/>
                <w:sz w:val="20"/>
                <w:szCs w:val="20"/>
              </w:rPr>
              <w:t xml:space="preserve">per </w:t>
            </w:r>
          </w:p>
          <w:p w:rsidR="005D3A65" w:rsidRDefault="00EB7F63" w:rsidP="00EB7F63">
            <w:pPr>
              <w:widowControl/>
              <w:autoSpaceDE/>
              <w:autoSpaceDN/>
              <w:adjustRightInd/>
              <w:jc w:val="center"/>
              <w:rPr>
                <w:b/>
                <w:bCs/>
                <w:sz w:val="20"/>
                <w:szCs w:val="20"/>
              </w:rPr>
            </w:pPr>
            <w:r w:rsidRPr="00EB7F63">
              <w:rPr>
                <w:b/>
                <w:bCs/>
                <w:sz w:val="20"/>
                <w:szCs w:val="20"/>
              </w:rPr>
              <w:t xml:space="preserve">respondent </w:t>
            </w:r>
          </w:p>
          <w:p w:rsidR="00EB7F63" w:rsidRDefault="00EB7F63" w:rsidP="00EB7F63">
            <w:pPr>
              <w:widowControl/>
              <w:autoSpaceDE/>
              <w:autoSpaceDN/>
              <w:adjustRightInd/>
              <w:jc w:val="center"/>
              <w:rPr>
                <w:b/>
                <w:bCs/>
                <w:sz w:val="20"/>
                <w:szCs w:val="20"/>
              </w:rPr>
            </w:pPr>
            <w:r w:rsidRPr="00EB7F63">
              <w:rPr>
                <w:b/>
                <w:bCs/>
                <w:sz w:val="20"/>
                <w:szCs w:val="20"/>
              </w:rPr>
              <w:t>per year</w:t>
            </w: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EB7F63">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7301B6" w:rsidRDefault="007301B6" w:rsidP="007301B6">
            <w:pPr>
              <w:widowControl/>
              <w:autoSpaceDE/>
              <w:autoSpaceDN/>
              <w:adjustRightInd/>
              <w:jc w:val="center"/>
              <w:rPr>
                <w:b/>
                <w:bCs/>
                <w:sz w:val="20"/>
                <w:szCs w:val="20"/>
              </w:rPr>
            </w:pPr>
            <w:r w:rsidRPr="00EB7F63">
              <w:rPr>
                <w:b/>
                <w:bCs/>
                <w:sz w:val="20"/>
                <w:szCs w:val="20"/>
              </w:rPr>
              <w:t>P</w:t>
            </w:r>
            <w:r w:rsidR="00EB7F63" w:rsidRPr="00EB7F63">
              <w:rPr>
                <w:b/>
                <w:bCs/>
                <w:sz w:val="20"/>
                <w:szCs w:val="20"/>
              </w:rPr>
              <w:t>erson</w:t>
            </w:r>
          </w:p>
          <w:p w:rsidR="00EB7F63" w:rsidRDefault="00EB7F63" w:rsidP="007301B6">
            <w:pPr>
              <w:widowControl/>
              <w:autoSpaceDE/>
              <w:autoSpaceDN/>
              <w:adjustRightInd/>
              <w:jc w:val="center"/>
              <w:rPr>
                <w:b/>
                <w:bCs/>
                <w:sz w:val="20"/>
                <w:szCs w:val="20"/>
              </w:rPr>
            </w:pPr>
            <w:r w:rsidRPr="00EB7F63">
              <w:rPr>
                <w:b/>
                <w:bCs/>
                <w:sz w:val="20"/>
                <w:szCs w:val="20"/>
              </w:rPr>
              <w:t>hours per respondent</w:t>
            </w:r>
          </w:p>
          <w:p w:rsidR="005366EB" w:rsidRDefault="00EB7F63" w:rsidP="007301B6">
            <w:pPr>
              <w:widowControl/>
              <w:autoSpaceDE/>
              <w:autoSpaceDN/>
              <w:adjustRightInd/>
              <w:jc w:val="center"/>
              <w:rPr>
                <w:b/>
                <w:bCs/>
                <w:sz w:val="20"/>
                <w:szCs w:val="20"/>
              </w:rPr>
            </w:pPr>
            <w:r w:rsidRPr="00EB7F63">
              <w:rPr>
                <w:b/>
                <w:bCs/>
                <w:sz w:val="20"/>
                <w:szCs w:val="20"/>
              </w:rPr>
              <w:t>per year</w:t>
            </w:r>
          </w:p>
          <w:p w:rsidR="00EB7F63" w:rsidRDefault="00EB7F63" w:rsidP="007301B6">
            <w:pPr>
              <w:widowControl/>
              <w:autoSpaceDE/>
              <w:autoSpaceDN/>
              <w:adjustRightInd/>
              <w:jc w:val="center"/>
              <w:rPr>
                <w:b/>
                <w:bCs/>
                <w:sz w:val="20"/>
                <w:szCs w:val="20"/>
              </w:rPr>
            </w:pPr>
            <w:r w:rsidRPr="00EB7F63">
              <w:rPr>
                <w:b/>
                <w:bCs/>
                <w:sz w:val="20"/>
                <w:szCs w:val="20"/>
              </w:rPr>
              <w:t>(</w:t>
            </w:r>
            <w:proofErr w:type="spellStart"/>
            <w:r w:rsidRPr="00EB7F63">
              <w:rPr>
                <w:b/>
                <w:bCs/>
                <w:sz w:val="20"/>
                <w:szCs w:val="20"/>
              </w:rPr>
              <w:t>AxB</w:t>
            </w:r>
            <w:proofErr w:type="spellEnd"/>
            <w:r w:rsidRPr="00EB7F63">
              <w:rPr>
                <w:b/>
                <w:bCs/>
                <w:sz w:val="20"/>
                <w:szCs w:val="20"/>
              </w:rPr>
              <w:t>)</w:t>
            </w: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EB7F63">
            <w:pPr>
              <w:widowControl/>
              <w:autoSpaceDE/>
              <w:autoSpaceDN/>
              <w:adjustRightInd/>
              <w:jc w:val="center"/>
              <w:rPr>
                <w:b/>
                <w:bCs/>
                <w:sz w:val="20"/>
                <w:szCs w:val="20"/>
              </w:rPr>
            </w:pPr>
          </w:p>
        </w:tc>
        <w:tc>
          <w:tcPr>
            <w:tcW w:w="1220" w:type="dxa"/>
            <w:tcBorders>
              <w:top w:val="nil"/>
              <w:left w:val="nil"/>
              <w:bottom w:val="single" w:sz="4" w:space="0" w:color="auto"/>
              <w:right w:val="single" w:sz="4" w:space="0" w:color="auto"/>
            </w:tcBorders>
            <w:shd w:val="clear" w:color="auto" w:fill="auto"/>
            <w:vAlign w:val="bottom"/>
            <w:hideMark/>
          </w:tcPr>
          <w:p w:rsidR="005D3A65" w:rsidRDefault="00EB7F63" w:rsidP="00EB7F63">
            <w:pPr>
              <w:widowControl/>
              <w:autoSpaceDE/>
              <w:autoSpaceDN/>
              <w:adjustRightInd/>
              <w:jc w:val="center"/>
              <w:rPr>
                <w:b/>
                <w:bCs/>
                <w:sz w:val="20"/>
                <w:szCs w:val="20"/>
              </w:rPr>
            </w:pPr>
            <w:r w:rsidRPr="00EB7F63">
              <w:rPr>
                <w:b/>
                <w:bCs/>
                <w:sz w:val="20"/>
                <w:szCs w:val="20"/>
              </w:rPr>
              <w:t xml:space="preserve">Respondents </w:t>
            </w:r>
          </w:p>
          <w:p w:rsidR="00EB7F63" w:rsidRDefault="00EB7F63" w:rsidP="00EB7F63">
            <w:pPr>
              <w:widowControl/>
              <w:autoSpaceDE/>
              <w:autoSpaceDN/>
              <w:adjustRightInd/>
              <w:jc w:val="center"/>
              <w:rPr>
                <w:b/>
                <w:bCs/>
                <w:sz w:val="20"/>
                <w:szCs w:val="20"/>
                <w:vertAlign w:val="superscript"/>
              </w:rPr>
            </w:pPr>
            <w:r w:rsidRPr="00EB7F63">
              <w:rPr>
                <w:b/>
                <w:bCs/>
                <w:sz w:val="20"/>
                <w:szCs w:val="20"/>
              </w:rPr>
              <w:t xml:space="preserve">per year </w:t>
            </w:r>
            <w:r w:rsidRPr="00EB7F63">
              <w:rPr>
                <w:b/>
                <w:bCs/>
                <w:sz w:val="20"/>
                <w:szCs w:val="20"/>
                <w:vertAlign w:val="superscript"/>
              </w:rPr>
              <w:t>a</w:t>
            </w:r>
          </w:p>
          <w:p w:rsidR="007301B6" w:rsidRDefault="007301B6" w:rsidP="00EB7F63">
            <w:pPr>
              <w:widowControl/>
              <w:autoSpaceDE/>
              <w:autoSpaceDN/>
              <w:adjustRightInd/>
              <w:jc w:val="center"/>
              <w:rPr>
                <w:b/>
                <w:bCs/>
                <w:sz w:val="20"/>
                <w:szCs w:val="20"/>
                <w:vertAlign w:val="superscript"/>
              </w:rPr>
            </w:pPr>
          </w:p>
          <w:p w:rsidR="007301B6" w:rsidRDefault="007301B6" w:rsidP="00EB7F63">
            <w:pPr>
              <w:widowControl/>
              <w:autoSpaceDE/>
              <w:autoSpaceDN/>
              <w:adjustRightInd/>
              <w:jc w:val="center"/>
              <w:rPr>
                <w:b/>
                <w:bCs/>
                <w:sz w:val="20"/>
                <w:szCs w:val="20"/>
                <w:vertAlign w:val="superscript"/>
              </w:rPr>
            </w:pPr>
          </w:p>
          <w:p w:rsidR="007301B6" w:rsidRDefault="007301B6" w:rsidP="00EB7F63">
            <w:pPr>
              <w:widowControl/>
              <w:autoSpaceDE/>
              <w:autoSpaceDN/>
              <w:adjustRightInd/>
              <w:jc w:val="center"/>
              <w:rPr>
                <w:b/>
                <w:bCs/>
                <w:sz w:val="20"/>
                <w:szCs w:val="20"/>
                <w:vertAlign w:val="superscript"/>
              </w:rPr>
            </w:pPr>
          </w:p>
          <w:p w:rsidR="007301B6" w:rsidRDefault="007301B6" w:rsidP="00EB7F63">
            <w:pPr>
              <w:widowControl/>
              <w:autoSpaceDE/>
              <w:autoSpaceDN/>
              <w:adjustRightInd/>
              <w:jc w:val="center"/>
              <w:rPr>
                <w:b/>
                <w:bCs/>
                <w:sz w:val="20"/>
                <w:szCs w:val="20"/>
                <w:vertAlign w:val="superscript"/>
              </w:rPr>
            </w:pPr>
          </w:p>
          <w:p w:rsidR="007301B6" w:rsidRDefault="007301B6" w:rsidP="00EB7F63">
            <w:pPr>
              <w:widowControl/>
              <w:autoSpaceDE/>
              <w:autoSpaceDN/>
              <w:adjustRightInd/>
              <w:jc w:val="center"/>
              <w:rPr>
                <w:b/>
                <w:bCs/>
                <w:sz w:val="20"/>
                <w:szCs w:val="20"/>
                <w:vertAlign w:val="superscript"/>
              </w:rPr>
            </w:pPr>
          </w:p>
          <w:p w:rsidR="007301B6" w:rsidRPr="00EB7F63" w:rsidRDefault="007301B6" w:rsidP="007301B6">
            <w:pPr>
              <w:widowControl/>
              <w:autoSpaceDE/>
              <w:autoSpaceDN/>
              <w:adjustRightInd/>
              <w:rPr>
                <w:b/>
                <w:bCs/>
                <w:sz w:val="20"/>
                <w:szCs w:val="20"/>
              </w:rPr>
            </w:pPr>
          </w:p>
        </w:tc>
        <w:tc>
          <w:tcPr>
            <w:tcW w:w="950" w:type="dxa"/>
            <w:tcBorders>
              <w:top w:val="nil"/>
              <w:left w:val="nil"/>
              <w:bottom w:val="single" w:sz="4" w:space="0" w:color="auto"/>
              <w:right w:val="single" w:sz="4" w:space="0" w:color="auto"/>
            </w:tcBorders>
            <w:shd w:val="clear" w:color="auto" w:fill="auto"/>
            <w:vAlign w:val="bottom"/>
            <w:hideMark/>
          </w:tcPr>
          <w:p w:rsidR="005D3A65" w:rsidRDefault="00EB7F63" w:rsidP="00EB7F63">
            <w:pPr>
              <w:widowControl/>
              <w:autoSpaceDE/>
              <w:autoSpaceDN/>
              <w:adjustRightInd/>
              <w:jc w:val="center"/>
              <w:rPr>
                <w:b/>
                <w:bCs/>
                <w:sz w:val="20"/>
                <w:szCs w:val="20"/>
              </w:rPr>
            </w:pPr>
            <w:r w:rsidRPr="00EB7F63">
              <w:rPr>
                <w:b/>
                <w:bCs/>
                <w:sz w:val="20"/>
                <w:szCs w:val="20"/>
              </w:rPr>
              <w:t xml:space="preserve">Technical hours </w:t>
            </w:r>
          </w:p>
          <w:p w:rsidR="00EB7F63" w:rsidRDefault="00EB7F63" w:rsidP="00EB7F63">
            <w:pPr>
              <w:widowControl/>
              <w:autoSpaceDE/>
              <w:autoSpaceDN/>
              <w:adjustRightInd/>
              <w:jc w:val="center"/>
              <w:rPr>
                <w:b/>
                <w:bCs/>
                <w:sz w:val="20"/>
                <w:szCs w:val="20"/>
              </w:rPr>
            </w:pPr>
            <w:r w:rsidRPr="00EB7F63">
              <w:rPr>
                <w:b/>
                <w:bCs/>
                <w:sz w:val="20"/>
                <w:szCs w:val="20"/>
              </w:rPr>
              <w:t>per year (</w:t>
            </w:r>
            <w:proofErr w:type="spellStart"/>
            <w:r w:rsidRPr="00EB7F63">
              <w:rPr>
                <w:b/>
                <w:bCs/>
                <w:sz w:val="20"/>
                <w:szCs w:val="20"/>
              </w:rPr>
              <w:t>CxD</w:t>
            </w:r>
            <w:proofErr w:type="spellEnd"/>
            <w:r w:rsidRPr="00EB7F63">
              <w:rPr>
                <w:b/>
                <w:bCs/>
                <w:sz w:val="20"/>
                <w:szCs w:val="20"/>
              </w:rPr>
              <w:t>)</w:t>
            </w: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7301B6">
            <w:pPr>
              <w:widowControl/>
              <w:autoSpaceDE/>
              <w:autoSpaceDN/>
              <w:adjustRightInd/>
              <w:rPr>
                <w:b/>
                <w:bCs/>
                <w:sz w:val="20"/>
                <w:szCs w:val="20"/>
              </w:rPr>
            </w:pPr>
          </w:p>
        </w:tc>
        <w:tc>
          <w:tcPr>
            <w:tcW w:w="1300" w:type="dxa"/>
            <w:tcBorders>
              <w:top w:val="nil"/>
              <w:left w:val="nil"/>
              <w:bottom w:val="single" w:sz="4" w:space="0" w:color="auto"/>
              <w:right w:val="single" w:sz="4" w:space="0" w:color="auto"/>
            </w:tcBorders>
            <w:shd w:val="clear" w:color="auto" w:fill="auto"/>
            <w:vAlign w:val="bottom"/>
            <w:hideMark/>
          </w:tcPr>
          <w:p w:rsidR="005D3A65" w:rsidRDefault="00EB7F63" w:rsidP="00EB7F63">
            <w:pPr>
              <w:widowControl/>
              <w:autoSpaceDE/>
              <w:autoSpaceDN/>
              <w:adjustRightInd/>
              <w:jc w:val="center"/>
              <w:rPr>
                <w:b/>
                <w:bCs/>
                <w:sz w:val="20"/>
                <w:szCs w:val="20"/>
              </w:rPr>
            </w:pPr>
            <w:r w:rsidRPr="00EB7F63">
              <w:rPr>
                <w:b/>
                <w:bCs/>
                <w:sz w:val="20"/>
                <w:szCs w:val="20"/>
              </w:rPr>
              <w:t>Management hours</w:t>
            </w:r>
          </w:p>
          <w:p w:rsidR="00EB7F63" w:rsidRDefault="00EB7F63" w:rsidP="00EB7F63">
            <w:pPr>
              <w:widowControl/>
              <w:autoSpaceDE/>
              <w:autoSpaceDN/>
              <w:adjustRightInd/>
              <w:jc w:val="center"/>
              <w:rPr>
                <w:b/>
                <w:bCs/>
                <w:sz w:val="20"/>
                <w:szCs w:val="20"/>
              </w:rPr>
            </w:pPr>
            <w:r w:rsidRPr="00EB7F63">
              <w:rPr>
                <w:b/>
                <w:bCs/>
                <w:sz w:val="20"/>
                <w:szCs w:val="20"/>
              </w:rPr>
              <w:t>per year  (Ex0.05)</w:t>
            </w: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7301B6">
            <w:pPr>
              <w:widowControl/>
              <w:autoSpaceDE/>
              <w:autoSpaceDN/>
              <w:adjustRightInd/>
              <w:rPr>
                <w:b/>
                <w:bCs/>
                <w:sz w:val="20"/>
                <w:szCs w:val="20"/>
              </w:rPr>
            </w:pPr>
          </w:p>
        </w:tc>
        <w:tc>
          <w:tcPr>
            <w:tcW w:w="940" w:type="dxa"/>
            <w:tcBorders>
              <w:top w:val="nil"/>
              <w:left w:val="nil"/>
              <w:bottom w:val="single" w:sz="4" w:space="0" w:color="auto"/>
              <w:right w:val="single" w:sz="4" w:space="0" w:color="auto"/>
            </w:tcBorders>
            <w:shd w:val="clear" w:color="auto" w:fill="auto"/>
            <w:vAlign w:val="bottom"/>
            <w:hideMark/>
          </w:tcPr>
          <w:p w:rsidR="005D3A65" w:rsidRDefault="00EB7F63" w:rsidP="00EB7F63">
            <w:pPr>
              <w:widowControl/>
              <w:autoSpaceDE/>
              <w:autoSpaceDN/>
              <w:adjustRightInd/>
              <w:jc w:val="center"/>
              <w:rPr>
                <w:b/>
                <w:bCs/>
                <w:sz w:val="20"/>
                <w:szCs w:val="20"/>
              </w:rPr>
            </w:pPr>
            <w:r w:rsidRPr="00EB7F63">
              <w:rPr>
                <w:b/>
                <w:bCs/>
                <w:sz w:val="20"/>
                <w:szCs w:val="20"/>
              </w:rPr>
              <w:t xml:space="preserve">Clerical hours </w:t>
            </w:r>
          </w:p>
          <w:p w:rsidR="00EB7F63" w:rsidRDefault="00EB7F63" w:rsidP="00EB7F63">
            <w:pPr>
              <w:widowControl/>
              <w:autoSpaceDE/>
              <w:autoSpaceDN/>
              <w:adjustRightInd/>
              <w:jc w:val="center"/>
              <w:rPr>
                <w:b/>
                <w:bCs/>
                <w:sz w:val="20"/>
                <w:szCs w:val="20"/>
              </w:rPr>
            </w:pPr>
            <w:r w:rsidRPr="00EB7F63">
              <w:rPr>
                <w:b/>
                <w:bCs/>
                <w:sz w:val="20"/>
                <w:szCs w:val="20"/>
              </w:rPr>
              <w:t>per year (Ex0.10)</w:t>
            </w: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EB7F63">
            <w:pPr>
              <w:widowControl/>
              <w:autoSpaceDE/>
              <w:autoSpaceDN/>
              <w:adjustRightInd/>
              <w:jc w:val="center"/>
              <w:rPr>
                <w:b/>
                <w:bCs/>
                <w:sz w:val="20"/>
                <w:szCs w:val="20"/>
              </w:rPr>
            </w:pPr>
          </w:p>
        </w:tc>
        <w:tc>
          <w:tcPr>
            <w:tcW w:w="1620" w:type="dxa"/>
            <w:tcBorders>
              <w:top w:val="nil"/>
              <w:left w:val="nil"/>
              <w:bottom w:val="single" w:sz="4" w:space="0" w:color="auto"/>
              <w:right w:val="single" w:sz="4" w:space="0" w:color="auto"/>
            </w:tcBorders>
            <w:shd w:val="clear" w:color="auto" w:fill="auto"/>
            <w:vAlign w:val="bottom"/>
            <w:hideMark/>
          </w:tcPr>
          <w:p w:rsidR="00EB7F63" w:rsidRDefault="00EB7F63" w:rsidP="00EB7F63">
            <w:pPr>
              <w:widowControl/>
              <w:autoSpaceDE/>
              <w:autoSpaceDN/>
              <w:adjustRightInd/>
              <w:jc w:val="center"/>
              <w:rPr>
                <w:b/>
                <w:bCs/>
                <w:sz w:val="20"/>
                <w:szCs w:val="20"/>
              </w:rPr>
            </w:pPr>
            <w:r w:rsidRPr="00EB7F63">
              <w:rPr>
                <w:b/>
                <w:bCs/>
                <w:sz w:val="20"/>
                <w:szCs w:val="20"/>
              </w:rPr>
              <w:t xml:space="preserve">Total cost per year </w:t>
            </w:r>
            <w:r w:rsidRPr="00EB7F63">
              <w:rPr>
                <w:b/>
                <w:bCs/>
                <w:sz w:val="20"/>
                <w:szCs w:val="20"/>
                <w:vertAlign w:val="superscript"/>
              </w:rPr>
              <w:t>b</w:t>
            </w:r>
            <w:r w:rsidRPr="00EB7F63">
              <w:rPr>
                <w:b/>
                <w:bCs/>
                <w:sz w:val="20"/>
                <w:szCs w:val="20"/>
              </w:rPr>
              <w:t xml:space="preserve"> ($)</w:t>
            </w: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Default="007301B6" w:rsidP="00EB7F63">
            <w:pPr>
              <w:widowControl/>
              <w:autoSpaceDE/>
              <w:autoSpaceDN/>
              <w:adjustRightInd/>
              <w:jc w:val="center"/>
              <w:rPr>
                <w:b/>
                <w:bCs/>
                <w:sz w:val="20"/>
                <w:szCs w:val="20"/>
              </w:rPr>
            </w:pPr>
          </w:p>
          <w:p w:rsidR="007301B6" w:rsidRPr="00EB7F63" w:rsidRDefault="007301B6" w:rsidP="00EB7F63">
            <w:pPr>
              <w:widowControl/>
              <w:autoSpaceDE/>
              <w:autoSpaceDN/>
              <w:adjustRightInd/>
              <w:jc w:val="center"/>
              <w:rPr>
                <w:b/>
                <w:bCs/>
                <w:sz w:val="20"/>
                <w:szCs w:val="20"/>
              </w:rPr>
            </w:pP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rPr>
                <w:sz w:val="20"/>
                <w:szCs w:val="20"/>
              </w:rPr>
            </w:pPr>
            <w:r w:rsidRPr="00EB7F63">
              <w:rPr>
                <w:sz w:val="20"/>
              </w:rPr>
              <w:t>1. Applications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5D3A65">
            <w:pPr>
              <w:widowControl/>
              <w:autoSpaceDE/>
              <w:autoSpaceDN/>
              <w:adjustRightInd/>
              <w:ind w:leftChars="82" w:left="445" w:hangingChars="124" w:hanging="248"/>
              <w:rPr>
                <w:sz w:val="20"/>
                <w:szCs w:val="20"/>
              </w:rPr>
            </w:pPr>
            <w:r w:rsidRPr="00EB7F63">
              <w:rPr>
                <w:sz w:val="20"/>
              </w:rPr>
              <w:t>A. Application for approval of construction/modification</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0 </w:t>
            </w: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82" w:left="445" w:hangingChars="124" w:hanging="248"/>
              <w:rPr>
                <w:sz w:val="20"/>
              </w:rPr>
            </w:pPr>
            <w:r w:rsidRPr="00EB7F63">
              <w:rPr>
                <w:sz w:val="20"/>
              </w:rPr>
              <w:t>B. Request for ambient air monitoring alternative</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0 </w:t>
            </w: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rPr>
                <w:sz w:val="20"/>
                <w:szCs w:val="20"/>
              </w:rPr>
            </w:pPr>
            <w:r w:rsidRPr="00EB7F63">
              <w:rPr>
                <w:sz w:val="20"/>
              </w:rPr>
              <w:t>2. Surveys and studies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$0</w:t>
            </w:r>
          </w:p>
        </w:tc>
      </w:tr>
      <w:tr w:rsidR="00C25657" w:rsidRPr="00EB7F63" w:rsidTr="007301B6">
        <w:trPr>
          <w:cantSplit/>
          <w:trHeight w:val="233"/>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rPr>
                <w:sz w:val="20"/>
                <w:szCs w:val="20"/>
              </w:rPr>
            </w:pPr>
            <w:r w:rsidRPr="00EB7F63">
              <w:rPr>
                <w:sz w:val="20"/>
              </w:rPr>
              <w:t>3. Reporting requirements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$0</w:t>
            </w:r>
          </w:p>
        </w:tc>
      </w:tr>
      <w:tr w:rsidR="00C25657" w:rsidRPr="00EB7F63" w:rsidTr="007301B6">
        <w:trPr>
          <w:cantSplit/>
          <w:trHeight w:val="260"/>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 xml:space="preserve">A. Read instructions </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0 </w:t>
            </w:r>
          </w:p>
        </w:tc>
      </w:tr>
      <w:tr w:rsidR="00C25657" w:rsidRPr="00EB7F63" w:rsidTr="007301B6">
        <w:trPr>
          <w:cantSplit/>
          <w:trHeight w:val="170"/>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 xml:space="preserve">B. Required activities </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p>
        </w:tc>
      </w:tr>
      <w:tr w:rsidR="00C25657" w:rsidRPr="00EB7F63" w:rsidTr="007301B6">
        <w:trPr>
          <w:cantSplit/>
          <w:trHeight w:val="197"/>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Initial emissions test</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20</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20</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0 </w:t>
            </w:r>
          </w:p>
        </w:tc>
      </w:tr>
      <w:tr w:rsidR="00C25657" w:rsidRPr="00EB7F63" w:rsidTr="007301B6">
        <w:trPr>
          <w:cantSplit/>
          <w:trHeight w:val="31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 xml:space="preserve">Determine emission level from stack test </w:t>
            </w:r>
            <w:r w:rsidRPr="005D3A65">
              <w:rPr>
                <w:sz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8</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8</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23</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184</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9.2</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18.4</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20,698.16 </w:t>
            </w: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Monitoring of ambient beryllium concentrations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See 3E</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C. Create information</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See 3E</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D. Gather existing information</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See 3E</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E. Write report</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0 </w:t>
            </w:r>
          </w:p>
        </w:tc>
      </w:tr>
      <w:tr w:rsidR="00C25657" w:rsidRPr="00EB7F63" w:rsidTr="007301B6">
        <w:trPr>
          <w:cantSplit/>
          <w:trHeight w:val="197"/>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 xml:space="preserve">Notification of stack test </w:t>
            </w:r>
            <w:r w:rsidRPr="005D3A65">
              <w:rPr>
                <w:sz w:val="20"/>
                <w:vertAlign w:val="superscript"/>
              </w:rPr>
              <w:t>d</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23</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46</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2.3</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4.6</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5,174.54 </w:t>
            </w:r>
          </w:p>
        </w:tc>
      </w:tr>
      <w:tr w:rsidR="00C25657" w:rsidRPr="00EB7F63" w:rsidTr="007301B6">
        <w:trPr>
          <w:cantSplit/>
          <w:trHeight w:val="31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 xml:space="preserve">Report of emission level determination/operational change </w:t>
            </w:r>
            <w:r w:rsidRPr="005D3A65">
              <w:rPr>
                <w:sz w:val="20"/>
                <w:vertAlign w:val="superscript"/>
              </w:rPr>
              <w:t>e</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8</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8</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23</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184</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9.2</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18.4</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20,698.16 </w:t>
            </w:r>
          </w:p>
        </w:tc>
      </w:tr>
      <w:tr w:rsidR="00C25657" w:rsidRPr="00EB7F63" w:rsidTr="007301B6">
        <w:trPr>
          <w:cantSplit/>
          <w:trHeight w:val="170"/>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Plan for locating monitors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16</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16</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0 </w:t>
            </w:r>
          </w:p>
        </w:tc>
      </w:tr>
      <w:tr w:rsidR="00C25657" w:rsidRPr="00EB7F63" w:rsidTr="007301B6">
        <w:trPr>
          <w:cantSplit/>
          <w:trHeight w:val="315"/>
        </w:trPr>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 xml:space="preserve">Report monthly ambient concentrations </w:t>
            </w:r>
            <w:r w:rsidRPr="005D3A65">
              <w:rPr>
                <w:sz w:val="20"/>
                <w:vertAlign w:val="superscript"/>
              </w:rPr>
              <w:t>f</w:t>
            </w:r>
          </w:p>
        </w:tc>
        <w:tc>
          <w:tcPr>
            <w:tcW w:w="1440" w:type="dxa"/>
            <w:tcBorders>
              <w:top w:val="single" w:sz="4" w:space="0" w:color="auto"/>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8</w:t>
            </w:r>
          </w:p>
        </w:tc>
        <w:tc>
          <w:tcPr>
            <w:tcW w:w="1440" w:type="dxa"/>
            <w:tcBorders>
              <w:top w:val="single" w:sz="4" w:space="0" w:color="auto"/>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12</w:t>
            </w:r>
          </w:p>
        </w:tc>
        <w:tc>
          <w:tcPr>
            <w:tcW w:w="1440" w:type="dxa"/>
            <w:tcBorders>
              <w:top w:val="single" w:sz="4" w:space="0" w:color="auto"/>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96</w:t>
            </w:r>
          </w:p>
        </w:tc>
        <w:tc>
          <w:tcPr>
            <w:tcW w:w="1220" w:type="dxa"/>
            <w:tcBorders>
              <w:top w:val="single" w:sz="4" w:space="0" w:color="auto"/>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10</w:t>
            </w:r>
          </w:p>
        </w:tc>
        <w:tc>
          <w:tcPr>
            <w:tcW w:w="950" w:type="dxa"/>
            <w:tcBorders>
              <w:top w:val="single" w:sz="4" w:space="0" w:color="auto"/>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960</w:t>
            </w:r>
          </w:p>
        </w:tc>
        <w:tc>
          <w:tcPr>
            <w:tcW w:w="1300" w:type="dxa"/>
            <w:tcBorders>
              <w:top w:val="single" w:sz="4" w:space="0" w:color="auto"/>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48</w:t>
            </w:r>
          </w:p>
        </w:tc>
        <w:tc>
          <w:tcPr>
            <w:tcW w:w="940" w:type="dxa"/>
            <w:tcBorders>
              <w:top w:val="single" w:sz="4" w:space="0" w:color="auto"/>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96</w:t>
            </w:r>
          </w:p>
        </w:tc>
        <w:tc>
          <w:tcPr>
            <w:tcW w:w="1620" w:type="dxa"/>
            <w:tcBorders>
              <w:top w:val="single" w:sz="4" w:space="0" w:color="auto"/>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107,990.4</w:t>
            </w:r>
            <w:r w:rsidR="005366EB">
              <w:rPr>
                <w:sz w:val="20"/>
                <w:szCs w:val="20"/>
              </w:rPr>
              <w:t>0</w:t>
            </w:r>
            <w:r w:rsidR="00C25657">
              <w:rPr>
                <w:sz w:val="20"/>
                <w:szCs w:val="20"/>
              </w:rPr>
              <w:t xml:space="preserve"> </w:t>
            </w:r>
          </w:p>
        </w:tc>
      </w:tr>
      <w:tr w:rsidR="005D3A65" w:rsidRPr="00EB7F63" w:rsidTr="007301B6">
        <w:trPr>
          <w:trHeight w:val="255"/>
        </w:trPr>
        <w:tc>
          <w:tcPr>
            <w:tcW w:w="9140" w:type="dxa"/>
            <w:gridSpan w:val="5"/>
            <w:tcBorders>
              <w:top w:val="single" w:sz="4" w:space="0" w:color="auto"/>
              <w:left w:val="single" w:sz="4" w:space="0" w:color="auto"/>
              <w:bottom w:val="single" w:sz="4" w:space="0" w:color="auto"/>
              <w:right w:val="single" w:sz="4" w:space="0" w:color="auto"/>
            </w:tcBorders>
            <w:shd w:val="clear" w:color="auto" w:fill="auto"/>
            <w:hideMark/>
          </w:tcPr>
          <w:p w:rsidR="005D3A65" w:rsidRPr="007301B6" w:rsidRDefault="007301B6" w:rsidP="007301B6">
            <w:pPr>
              <w:widowControl/>
              <w:autoSpaceDE/>
              <w:autoSpaceDN/>
              <w:adjustRightInd/>
              <w:rPr>
                <w:b/>
                <w:sz w:val="20"/>
                <w:szCs w:val="20"/>
              </w:rPr>
            </w:pPr>
            <w:r w:rsidRPr="007301B6">
              <w:rPr>
                <w:b/>
                <w:i/>
                <w:iCs/>
                <w:sz w:val="20"/>
                <w:szCs w:val="20"/>
              </w:rPr>
              <w:t>Subtotal for Reporting Requirements</w:t>
            </w:r>
          </w:p>
        </w:tc>
        <w:tc>
          <w:tcPr>
            <w:tcW w:w="3190" w:type="dxa"/>
            <w:gridSpan w:val="3"/>
            <w:tcBorders>
              <w:top w:val="single" w:sz="4" w:space="0" w:color="auto"/>
              <w:left w:val="single" w:sz="4" w:space="0" w:color="auto"/>
              <w:bottom w:val="single" w:sz="4" w:space="0" w:color="auto"/>
              <w:right w:val="single" w:sz="4" w:space="0" w:color="auto"/>
            </w:tcBorders>
            <w:shd w:val="clear" w:color="auto" w:fill="auto"/>
            <w:hideMark/>
          </w:tcPr>
          <w:p w:rsidR="005D3A65" w:rsidRPr="007301B6" w:rsidRDefault="00C25657" w:rsidP="00D715BC">
            <w:pPr>
              <w:widowControl/>
              <w:autoSpaceDE/>
              <w:autoSpaceDN/>
              <w:adjustRightInd/>
              <w:jc w:val="center"/>
              <w:rPr>
                <w:b/>
                <w:sz w:val="20"/>
                <w:szCs w:val="20"/>
              </w:rPr>
            </w:pPr>
            <w:r w:rsidRPr="007301B6">
              <w:rPr>
                <w:b/>
                <w:sz w:val="20"/>
                <w:szCs w:val="20"/>
              </w:rPr>
              <w:t>1,580</w:t>
            </w:r>
            <w:r w:rsidR="00C5367B">
              <w:rPr>
                <w:b/>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5D3A65" w:rsidRPr="007301B6" w:rsidRDefault="008B46D9" w:rsidP="00C25657">
            <w:pPr>
              <w:widowControl/>
              <w:autoSpaceDE/>
              <w:autoSpaceDN/>
              <w:adjustRightInd/>
              <w:jc w:val="right"/>
              <w:rPr>
                <w:b/>
                <w:sz w:val="20"/>
                <w:szCs w:val="20"/>
              </w:rPr>
            </w:pPr>
            <w:r>
              <w:rPr>
                <w:b/>
                <w:sz w:val="20"/>
                <w:szCs w:val="20"/>
              </w:rPr>
              <w:t>$</w:t>
            </w:r>
            <w:r w:rsidR="00C25657" w:rsidRPr="007301B6">
              <w:rPr>
                <w:b/>
                <w:sz w:val="20"/>
                <w:szCs w:val="20"/>
              </w:rPr>
              <w:t>154,561</w:t>
            </w:r>
            <w:r w:rsidR="00C5367B">
              <w:rPr>
                <w:b/>
                <w:sz w:val="20"/>
                <w:szCs w:val="20"/>
              </w:rPr>
              <w:t>.26</w:t>
            </w:r>
          </w:p>
        </w:tc>
      </w:tr>
      <w:tr w:rsidR="00EB7F63" w:rsidRPr="00EB7F63" w:rsidTr="007301B6">
        <w:trPr>
          <w:cantSplit/>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hideMark/>
          </w:tcPr>
          <w:p w:rsidR="00EB7F63" w:rsidRPr="00EB7F63" w:rsidRDefault="00EB7F63" w:rsidP="005D3A65">
            <w:pPr>
              <w:keepNext/>
              <w:keepLines/>
              <w:autoSpaceDE/>
              <w:autoSpaceDN/>
              <w:adjustRightInd/>
              <w:rPr>
                <w:sz w:val="20"/>
                <w:szCs w:val="20"/>
              </w:rPr>
            </w:pPr>
            <w:r w:rsidRPr="00EB7F63">
              <w:rPr>
                <w:sz w:val="20"/>
              </w:rPr>
              <w:lastRenderedPageBreak/>
              <w:t>4. Recordkeeping requirements</w:t>
            </w:r>
          </w:p>
        </w:tc>
        <w:tc>
          <w:tcPr>
            <w:tcW w:w="144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center"/>
              <w:rPr>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center"/>
              <w:rPr>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center"/>
              <w:rPr>
                <w:sz w:val="20"/>
                <w:szCs w:val="20"/>
              </w:rPr>
            </w:pPr>
          </w:p>
        </w:tc>
        <w:tc>
          <w:tcPr>
            <w:tcW w:w="122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center"/>
              <w:rPr>
                <w:sz w:val="20"/>
                <w:szCs w:val="20"/>
              </w:rPr>
            </w:pPr>
          </w:p>
        </w:tc>
        <w:tc>
          <w:tcPr>
            <w:tcW w:w="95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center"/>
              <w:rPr>
                <w:sz w:val="20"/>
                <w:szCs w:val="20"/>
              </w:rPr>
            </w:pPr>
          </w:p>
        </w:tc>
        <w:tc>
          <w:tcPr>
            <w:tcW w:w="130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center"/>
              <w:rPr>
                <w:sz w:val="20"/>
                <w:szCs w:val="20"/>
              </w:rPr>
            </w:pPr>
          </w:p>
        </w:tc>
        <w:tc>
          <w:tcPr>
            <w:tcW w:w="94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center"/>
              <w:rPr>
                <w:sz w:val="20"/>
                <w:szCs w:val="20"/>
              </w:rPr>
            </w:pPr>
          </w:p>
        </w:tc>
        <w:tc>
          <w:tcPr>
            <w:tcW w:w="1620" w:type="dxa"/>
            <w:tcBorders>
              <w:top w:val="single" w:sz="4" w:space="0" w:color="auto"/>
              <w:left w:val="nil"/>
              <w:bottom w:val="single" w:sz="4" w:space="0" w:color="auto"/>
              <w:right w:val="single" w:sz="4" w:space="0" w:color="auto"/>
            </w:tcBorders>
            <w:shd w:val="clear" w:color="auto" w:fill="auto"/>
            <w:hideMark/>
          </w:tcPr>
          <w:p w:rsidR="00EB7F63" w:rsidRPr="00EB7F63" w:rsidRDefault="00EB7F63" w:rsidP="00D715BC">
            <w:pPr>
              <w:keepNext/>
              <w:keepLines/>
              <w:autoSpaceDE/>
              <w:autoSpaceDN/>
              <w:adjustRightInd/>
              <w:jc w:val="right"/>
              <w:rPr>
                <w:sz w:val="20"/>
                <w:szCs w:val="20"/>
              </w:rPr>
            </w:pPr>
            <w:r w:rsidRPr="00EB7F63">
              <w:rPr>
                <w:sz w:val="20"/>
              </w:rPr>
              <w:t> </w:t>
            </w: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5D3A65">
            <w:pPr>
              <w:keepNext/>
              <w:keepLines/>
              <w:autoSpaceDE/>
              <w:autoSpaceDN/>
              <w:adjustRightInd/>
              <w:ind w:firstLineChars="100" w:firstLine="200"/>
              <w:rPr>
                <w:sz w:val="20"/>
                <w:szCs w:val="20"/>
              </w:rPr>
            </w:pPr>
            <w:r w:rsidRPr="00EB7F63">
              <w:rPr>
                <w:sz w:val="20"/>
              </w:rPr>
              <w:t>A. Read instructions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center"/>
              <w:rPr>
                <w:sz w:val="20"/>
                <w:szCs w:val="20"/>
              </w:rPr>
            </w:pPr>
            <w:r>
              <w:rPr>
                <w:sz w:val="20"/>
                <w:szCs w:val="20"/>
              </w:rPr>
              <w:t>See 3A</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keepNext/>
              <w:keepLines/>
              <w:autoSpaceDE/>
              <w:autoSpaceDN/>
              <w:adjustRightInd/>
              <w:jc w:val="right"/>
              <w:rPr>
                <w:sz w:val="20"/>
                <w:szCs w:val="20"/>
              </w:rPr>
            </w:pPr>
            <w:r w:rsidRPr="00EB7F63">
              <w:rPr>
                <w:sz w:val="20"/>
              </w:rPr>
              <w:t> </w:t>
            </w: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B. Plan activities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See 4C</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r w:rsidRPr="00EB7F63">
              <w:rPr>
                <w:sz w:val="20"/>
              </w:rPr>
              <w:t> </w:t>
            </w: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C. Implement activities</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r w:rsidRPr="00EB7F63">
              <w:rPr>
                <w:sz w:val="20"/>
              </w:rPr>
              <w:t> </w:t>
            </w:r>
          </w:p>
        </w:tc>
      </w:tr>
      <w:tr w:rsidR="00C25657"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EB7F63" w:rsidRDefault="00C25657" w:rsidP="00EB7F63">
            <w:pPr>
              <w:widowControl/>
              <w:autoSpaceDE/>
              <w:autoSpaceDN/>
              <w:adjustRightInd/>
              <w:ind w:firstLineChars="100" w:firstLine="200"/>
              <w:rPr>
                <w:sz w:val="20"/>
                <w:szCs w:val="20"/>
              </w:rPr>
            </w:pPr>
            <w:r w:rsidRPr="00EB7F63">
              <w:rPr>
                <w:sz w:val="20"/>
              </w:rPr>
              <w:t>D. Develop record system</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right"/>
              <w:rPr>
                <w:sz w:val="20"/>
                <w:szCs w:val="20"/>
              </w:rPr>
            </w:pPr>
            <w:r w:rsidRPr="00EB7F63">
              <w:rPr>
                <w:sz w:val="20"/>
              </w:rPr>
              <w:t> </w:t>
            </w:r>
          </w:p>
        </w:tc>
      </w:tr>
      <w:tr w:rsidR="00EB7F63"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EB7F63" w:rsidRPr="00EB7F63" w:rsidRDefault="00EB7F63" w:rsidP="00EB7F63">
            <w:pPr>
              <w:widowControl/>
              <w:autoSpaceDE/>
              <w:autoSpaceDN/>
              <w:adjustRightInd/>
              <w:ind w:firstLineChars="100" w:firstLine="200"/>
              <w:rPr>
                <w:sz w:val="20"/>
                <w:szCs w:val="20"/>
              </w:rPr>
            </w:pPr>
            <w:r w:rsidRPr="00EB7F63">
              <w:rPr>
                <w:sz w:val="20"/>
              </w:rPr>
              <w:t>E. Time to enter information</w:t>
            </w:r>
          </w:p>
        </w:tc>
        <w:tc>
          <w:tcPr>
            <w:tcW w:w="14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right"/>
              <w:rPr>
                <w:sz w:val="20"/>
                <w:szCs w:val="20"/>
              </w:rPr>
            </w:pPr>
            <w:r w:rsidRPr="00EB7F63">
              <w:rPr>
                <w:sz w:val="20"/>
              </w:rPr>
              <w:t> </w:t>
            </w:r>
          </w:p>
        </w:tc>
      </w:tr>
      <w:tr w:rsidR="00C25657" w:rsidRPr="00EB7F63" w:rsidTr="007301B6">
        <w:trPr>
          <w:cantSplit/>
          <w:trHeight w:val="315"/>
        </w:trPr>
        <w:tc>
          <w:tcPr>
            <w:tcW w:w="3600" w:type="dxa"/>
            <w:tcBorders>
              <w:top w:val="nil"/>
              <w:left w:val="single" w:sz="4" w:space="0" w:color="auto"/>
              <w:bottom w:val="single" w:sz="4" w:space="0" w:color="auto"/>
              <w:right w:val="single" w:sz="4" w:space="0" w:color="auto"/>
            </w:tcBorders>
            <w:shd w:val="clear" w:color="auto" w:fill="auto"/>
            <w:hideMark/>
          </w:tcPr>
          <w:p w:rsidR="00C25657" w:rsidRPr="005D3A65" w:rsidRDefault="00C25657" w:rsidP="005D3A65">
            <w:pPr>
              <w:widowControl/>
              <w:autoSpaceDE/>
              <w:autoSpaceDN/>
              <w:adjustRightInd/>
              <w:ind w:leftChars="148" w:left="355" w:firstLineChars="1" w:firstLine="2"/>
              <w:rPr>
                <w:sz w:val="20"/>
              </w:rPr>
            </w:pPr>
            <w:r w:rsidRPr="00EB7F63">
              <w:rPr>
                <w:sz w:val="20"/>
              </w:rPr>
              <w:t xml:space="preserve">Records of operating parameters and emissions </w:t>
            </w:r>
            <w:r w:rsidRPr="005D3A65">
              <w:rPr>
                <w:sz w:val="20"/>
                <w:vertAlign w:val="superscript"/>
              </w:rPr>
              <w:t>g</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0.25</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365</w:t>
            </w:r>
          </w:p>
        </w:tc>
        <w:tc>
          <w:tcPr>
            <w:tcW w:w="14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91.25</w:t>
            </w:r>
          </w:p>
        </w:tc>
        <w:tc>
          <w:tcPr>
            <w:tcW w:w="122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10</w:t>
            </w:r>
          </w:p>
        </w:tc>
        <w:tc>
          <w:tcPr>
            <w:tcW w:w="95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912.5</w:t>
            </w:r>
          </w:p>
        </w:tc>
        <w:tc>
          <w:tcPr>
            <w:tcW w:w="130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45.63</w:t>
            </w:r>
          </w:p>
        </w:tc>
        <w:tc>
          <w:tcPr>
            <w:tcW w:w="940" w:type="dxa"/>
            <w:tcBorders>
              <w:top w:val="nil"/>
              <w:left w:val="nil"/>
              <w:bottom w:val="single" w:sz="4" w:space="0" w:color="auto"/>
              <w:right w:val="single" w:sz="4" w:space="0" w:color="auto"/>
            </w:tcBorders>
            <w:shd w:val="clear" w:color="auto" w:fill="auto"/>
            <w:hideMark/>
          </w:tcPr>
          <w:p w:rsidR="00C25657" w:rsidRPr="00EB7F63" w:rsidRDefault="00C25657" w:rsidP="00D715BC">
            <w:pPr>
              <w:widowControl/>
              <w:autoSpaceDE/>
              <w:autoSpaceDN/>
              <w:adjustRightInd/>
              <w:jc w:val="center"/>
              <w:rPr>
                <w:sz w:val="20"/>
                <w:szCs w:val="20"/>
              </w:rPr>
            </w:pPr>
            <w:r>
              <w:rPr>
                <w:sz w:val="20"/>
                <w:szCs w:val="20"/>
              </w:rPr>
              <w:t>91.25</w:t>
            </w:r>
          </w:p>
        </w:tc>
        <w:tc>
          <w:tcPr>
            <w:tcW w:w="1620" w:type="dxa"/>
            <w:tcBorders>
              <w:top w:val="nil"/>
              <w:left w:val="nil"/>
              <w:bottom w:val="single" w:sz="4" w:space="0" w:color="auto"/>
              <w:right w:val="single" w:sz="4" w:space="0" w:color="auto"/>
            </w:tcBorders>
            <w:shd w:val="clear" w:color="auto" w:fill="auto"/>
            <w:hideMark/>
          </w:tcPr>
          <w:p w:rsidR="00C25657" w:rsidRPr="00EB7F63" w:rsidRDefault="008B46D9" w:rsidP="00D715BC">
            <w:pPr>
              <w:widowControl/>
              <w:autoSpaceDE/>
              <w:autoSpaceDN/>
              <w:adjustRightInd/>
              <w:jc w:val="right"/>
              <w:rPr>
                <w:sz w:val="20"/>
                <w:szCs w:val="20"/>
              </w:rPr>
            </w:pPr>
            <w:r>
              <w:rPr>
                <w:sz w:val="20"/>
                <w:szCs w:val="20"/>
              </w:rPr>
              <w:t>$</w:t>
            </w:r>
            <w:r w:rsidR="00C25657">
              <w:rPr>
                <w:sz w:val="20"/>
                <w:szCs w:val="20"/>
              </w:rPr>
              <w:t xml:space="preserve">102,647.13 </w:t>
            </w:r>
          </w:p>
        </w:tc>
      </w:tr>
      <w:tr w:rsidR="00EB7F63"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EB7F63" w:rsidRPr="00EB7F63" w:rsidRDefault="00EB7F63" w:rsidP="00EB7F63">
            <w:pPr>
              <w:widowControl/>
              <w:autoSpaceDE/>
              <w:autoSpaceDN/>
              <w:adjustRightInd/>
              <w:ind w:firstLineChars="100" w:firstLine="200"/>
              <w:rPr>
                <w:sz w:val="20"/>
                <w:szCs w:val="20"/>
              </w:rPr>
            </w:pPr>
            <w:r w:rsidRPr="00EB7F63">
              <w:rPr>
                <w:sz w:val="20"/>
              </w:rPr>
              <w:t>F. Time to train personnel</w:t>
            </w:r>
          </w:p>
        </w:tc>
        <w:tc>
          <w:tcPr>
            <w:tcW w:w="1440" w:type="dxa"/>
            <w:tcBorders>
              <w:top w:val="nil"/>
              <w:left w:val="nil"/>
              <w:bottom w:val="single" w:sz="4" w:space="0" w:color="auto"/>
              <w:right w:val="single" w:sz="4" w:space="0" w:color="auto"/>
            </w:tcBorders>
            <w:shd w:val="clear" w:color="auto" w:fill="auto"/>
            <w:hideMark/>
          </w:tcPr>
          <w:p w:rsidR="00EB7F63" w:rsidRPr="00EB7F63" w:rsidRDefault="00C25657" w:rsidP="00D715BC">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95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30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9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62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right"/>
              <w:rPr>
                <w:sz w:val="20"/>
                <w:szCs w:val="20"/>
              </w:rPr>
            </w:pPr>
            <w:r w:rsidRPr="00EB7F63">
              <w:rPr>
                <w:sz w:val="20"/>
              </w:rPr>
              <w:t> </w:t>
            </w:r>
          </w:p>
        </w:tc>
      </w:tr>
      <w:tr w:rsidR="00EB7F63" w:rsidRPr="00EB7F63" w:rsidTr="007301B6">
        <w:trPr>
          <w:cantSplit/>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EB7F63" w:rsidRPr="00EB7F63" w:rsidRDefault="00EB7F63" w:rsidP="00EB7F63">
            <w:pPr>
              <w:widowControl/>
              <w:autoSpaceDE/>
              <w:autoSpaceDN/>
              <w:adjustRightInd/>
              <w:ind w:firstLineChars="100" w:firstLine="200"/>
              <w:rPr>
                <w:sz w:val="20"/>
                <w:szCs w:val="20"/>
              </w:rPr>
            </w:pPr>
            <w:r w:rsidRPr="00EB7F63">
              <w:rPr>
                <w:sz w:val="20"/>
              </w:rPr>
              <w:t>G. Time for audits</w:t>
            </w:r>
          </w:p>
        </w:tc>
        <w:tc>
          <w:tcPr>
            <w:tcW w:w="1440" w:type="dxa"/>
            <w:tcBorders>
              <w:top w:val="nil"/>
              <w:left w:val="nil"/>
              <w:bottom w:val="single" w:sz="4" w:space="0" w:color="auto"/>
              <w:right w:val="single" w:sz="4" w:space="0" w:color="auto"/>
            </w:tcBorders>
            <w:shd w:val="clear" w:color="auto" w:fill="auto"/>
            <w:hideMark/>
          </w:tcPr>
          <w:p w:rsidR="00EB7F63" w:rsidRPr="00EB7F63" w:rsidRDefault="00C25657" w:rsidP="00D715BC">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EB7F63" w:rsidRPr="00EB7F63" w:rsidRDefault="00EB7F63" w:rsidP="00D715BC">
            <w:pPr>
              <w:widowControl/>
              <w:autoSpaceDE/>
              <w:autoSpaceDN/>
              <w:adjustRightInd/>
              <w:jc w:val="center"/>
              <w:rPr>
                <w:sz w:val="20"/>
                <w:szCs w:val="20"/>
              </w:rPr>
            </w:pPr>
          </w:p>
        </w:tc>
        <w:tc>
          <w:tcPr>
            <w:tcW w:w="1220" w:type="dxa"/>
            <w:tcBorders>
              <w:top w:val="nil"/>
              <w:left w:val="nil"/>
              <w:bottom w:val="single" w:sz="4" w:space="0" w:color="auto"/>
              <w:right w:val="single" w:sz="4" w:space="0" w:color="auto"/>
            </w:tcBorders>
            <w:shd w:val="clear" w:color="auto" w:fill="auto"/>
            <w:hideMark/>
          </w:tcPr>
          <w:p w:rsidR="00EB7F63" w:rsidRPr="007301B6" w:rsidRDefault="00EB7F63" w:rsidP="00D715BC">
            <w:pPr>
              <w:widowControl/>
              <w:autoSpaceDE/>
              <w:autoSpaceDN/>
              <w:adjustRightInd/>
              <w:jc w:val="center"/>
              <w:rPr>
                <w:b/>
                <w:sz w:val="20"/>
                <w:szCs w:val="20"/>
              </w:rPr>
            </w:pPr>
          </w:p>
        </w:tc>
        <w:tc>
          <w:tcPr>
            <w:tcW w:w="950" w:type="dxa"/>
            <w:tcBorders>
              <w:top w:val="nil"/>
              <w:left w:val="nil"/>
              <w:bottom w:val="single" w:sz="4" w:space="0" w:color="auto"/>
              <w:right w:val="single" w:sz="4" w:space="0" w:color="auto"/>
            </w:tcBorders>
            <w:shd w:val="clear" w:color="auto" w:fill="auto"/>
            <w:hideMark/>
          </w:tcPr>
          <w:p w:rsidR="00EB7F63" w:rsidRPr="007301B6" w:rsidRDefault="00EB7F63" w:rsidP="00D715BC">
            <w:pPr>
              <w:widowControl/>
              <w:autoSpaceDE/>
              <w:autoSpaceDN/>
              <w:adjustRightInd/>
              <w:jc w:val="center"/>
              <w:rPr>
                <w:b/>
                <w:sz w:val="20"/>
                <w:szCs w:val="20"/>
              </w:rPr>
            </w:pPr>
          </w:p>
        </w:tc>
        <w:tc>
          <w:tcPr>
            <w:tcW w:w="1300" w:type="dxa"/>
            <w:tcBorders>
              <w:top w:val="nil"/>
              <w:left w:val="nil"/>
              <w:bottom w:val="single" w:sz="4" w:space="0" w:color="auto"/>
              <w:right w:val="single" w:sz="4" w:space="0" w:color="auto"/>
            </w:tcBorders>
            <w:shd w:val="clear" w:color="auto" w:fill="auto"/>
            <w:hideMark/>
          </w:tcPr>
          <w:p w:rsidR="00EB7F63" w:rsidRPr="007301B6" w:rsidRDefault="00EB7F63" w:rsidP="00D715BC">
            <w:pPr>
              <w:widowControl/>
              <w:autoSpaceDE/>
              <w:autoSpaceDN/>
              <w:adjustRightInd/>
              <w:jc w:val="center"/>
              <w:rPr>
                <w:b/>
                <w:sz w:val="20"/>
                <w:szCs w:val="20"/>
              </w:rPr>
            </w:pPr>
          </w:p>
        </w:tc>
        <w:tc>
          <w:tcPr>
            <w:tcW w:w="940" w:type="dxa"/>
            <w:tcBorders>
              <w:top w:val="nil"/>
              <w:left w:val="nil"/>
              <w:bottom w:val="single" w:sz="4" w:space="0" w:color="auto"/>
              <w:right w:val="single" w:sz="4" w:space="0" w:color="auto"/>
            </w:tcBorders>
            <w:shd w:val="clear" w:color="auto" w:fill="auto"/>
            <w:hideMark/>
          </w:tcPr>
          <w:p w:rsidR="00EB7F63" w:rsidRPr="007301B6" w:rsidRDefault="00EB7F63" w:rsidP="00D715BC">
            <w:pPr>
              <w:widowControl/>
              <w:autoSpaceDE/>
              <w:autoSpaceDN/>
              <w:adjustRightInd/>
              <w:jc w:val="center"/>
              <w:rPr>
                <w:b/>
                <w:sz w:val="20"/>
                <w:szCs w:val="20"/>
              </w:rPr>
            </w:pPr>
          </w:p>
        </w:tc>
        <w:tc>
          <w:tcPr>
            <w:tcW w:w="1620" w:type="dxa"/>
            <w:tcBorders>
              <w:top w:val="nil"/>
              <w:left w:val="nil"/>
              <w:bottom w:val="single" w:sz="4" w:space="0" w:color="auto"/>
              <w:right w:val="single" w:sz="4" w:space="0" w:color="auto"/>
            </w:tcBorders>
            <w:shd w:val="clear" w:color="auto" w:fill="auto"/>
            <w:hideMark/>
          </w:tcPr>
          <w:p w:rsidR="00EB7F63" w:rsidRPr="007301B6" w:rsidRDefault="00EB7F63" w:rsidP="00D715BC">
            <w:pPr>
              <w:widowControl/>
              <w:autoSpaceDE/>
              <w:autoSpaceDN/>
              <w:adjustRightInd/>
              <w:jc w:val="right"/>
              <w:rPr>
                <w:b/>
                <w:sz w:val="20"/>
                <w:szCs w:val="20"/>
              </w:rPr>
            </w:pPr>
            <w:r w:rsidRPr="007301B6">
              <w:rPr>
                <w:b/>
                <w:sz w:val="20"/>
              </w:rPr>
              <w:t> </w:t>
            </w:r>
          </w:p>
        </w:tc>
      </w:tr>
      <w:tr w:rsidR="00C25657" w:rsidRPr="00EB7F63" w:rsidTr="007301B6">
        <w:trPr>
          <w:trHeight w:val="255"/>
        </w:trPr>
        <w:tc>
          <w:tcPr>
            <w:tcW w:w="9140" w:type="dxa"/>
            <w:gridSpan w:val="5"/>
            <w:tcBorders>
              <w:top w:val="single" w:sz="4" w:space="0" w:color="auto"/>
              <w:left w:val="single" w:sz="4" w:space="0" w:color="auto"/>
              <w:bottom w:val="single" w:sz="4" w:space="0" w:color="auto"/>
              <w:right w:val="single" w:sz="4" w:space="0" w:color="auto"/>
            </w:tcBorders>
            <w:shd w:val="clear" w:color="auto" w:fill="auto"/>
            <w:hideMark/>
          </w:tcPr>
          <w:p w:rsidR="00C25657" w:rsidRPr="007301B6" w:rsidRDefault="007301B6" w:rsidP="005D3A65">
            <w:pPr>
              <w:widowControl/>
              <w:autoSpaceDE/>
              <w:autoSpaceDN/>
              <w:adjustRightInd/>
              <w:rPr>
                <w:b/>
                <w:sz w:val="20"/>
                <w:szCs w:val="20"/>
              </w:rPr>
            </w:pPr>
            <w:r w:rsidRPr="007301B6">
              <w:rPr>
                <w:b/>
                <w:i/>
                <w:iCs/>
                <w:sz w:val="20"/>
                <w:szCs w:val="20"/>
              </w:rPr>
              <w:t>Subtotal for Recordkeeping Requirements</w:t>
            </w:r>
          </w:p>
        </w:tc>
        <w:tc>
          <w:tcPr>
            <w:tcW w:w="3190" w:type="dxa"/>
            <w:gridSpan w:val="3"/>
            <w:tcBorders>
              <w:top w:val="single" w:sz="4" w:space="0" w:color="auto"/>
              <w:left w:val="single" w:sz="4" w:space="0" w:color="auto"/>
              <w:bottom w:val="single" w:sz="4" w:space="0" w:color="auto"/>
              <w:right w:val="single" w:sz="4" w:space="0" w:color="auto"/>
            </w:tcBorders>
            <w:shd w:val="clear" w:color="auto" w:fill="auto"/>
            <w:hideMark/>
          </w:tcPr>
          <w:p w:rsidR="00C25657" w:rsidRPr="007301B6" w:rsidRDefault="00C25657" w:rsidP="00C25657">
            <w:pPr>
              <w:widowControl/>
              <w:autoSpaceDE/>
              <w:autoSpaceDN/>
              <w:adjustRightInd/>
              <w:jc w:val="center"/>
              <w:rPr>
                <w:b/>
                <w:sz w:val="20"/>
                <w:szCs w:val="20"/>
              </w:rPr>
            </w:pPr>
            <w:r w:rsidRPr="007301B6">
              <w:rPr>
                <w:b/>
                <w:sz w:val="20"/>
                <w:szCs w:val="20"/>
              </w:rPr>
              <w:t>1,049</w:t>
            </w:r>
            <w:r w:rsidR="008B46D9">
              <w:rPr>
                <w:b/>
                <w:sz w:val="20"/>
                <w:szCs w:val="20"/>
              </w:rPr>
              <w:t>.38</w:t>
            </w:r>
          </w:p>
        </w:tc>
        <w:tc>
          <w:tcPr>
            <w:tcW w:w="1620" w:type="dxa"/>
            <w:tcBorders>
              <w:top w:val="nil"/>
              <w:left w:val="nil"/>
              <w:bottom w:val="single" w:sz="4" w:space="0" w:color="auto"/>
              <w:right w:val="single" w:sz="4" w:space="0" w:color="auto"/>
            </w:tcBorders>
            <w:shd w:val="clear" w:color="auto" w:fill="auto"/>
            <w:hideMark/>
          </w:tcPr>
          <w:p w:rsidR="00C25657" w:rsidRPr="007301B6" w:rsidRDefault="008B46D9" w:rsidP="00D715BC">
            <w:pPr>
              <w:widowControl/>
              <w:autoSpaceDE/>
              <w:autoSpaceDN/>
              <w:adjustRightInd/>
              <w:jc w:val="right"/>
              <w:rPr>
                <w:b/>
                <w:sz w:val="20"/>
                <w:szCs w:val="20"/>
              </w:rPr>
            </w:pPr>
            <w:r>
              <w:rPr>
                <w:b/>
                <w:sz w:val="20"/>
                <w:szCs w:val="20"/>
              </w:rPr>
              <w:t>$</w:t>
            </w:r>
            <w:r w:rsidR="00C25657" w:rsidRPr="007301B6">
              <w:rPr>
                <w:b/>
                <w:sz w:val="20"/>
                <w:szCs w:val="20"/>
              </w:rPr>
              <w:t>102,647</w:t>
            </w:r>
            <w:r w:rsidR="00C5367B">
              <w:rPr>
                <w:b/>
                <w:sz w:val="20"/>
                <w:szCs w:val="20"/>
              </w:rPr>
              <w:t>.13</w:t>
            </w:r>
          </w:p>
        </w:tc>
      </w:tr>
      <w:tr w:rsidR="00C25657" w:rsidRPr="00EB7F63" w:rsidTr="007301B6">
        <w:trPr>
          <w:trHeight w:val="255"/>
        </w:trPr>
        <w:tc>
          <w:tcPr>
            <w:tcW w:w="914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25657" w:rsidRPr="00EB7F63" w:rsidRDefault="00C25657" w:rsidP="00C5367B">
            <w:pPr>
              <w:widowControl/>
              <w:autoSpaceDE/>
              <w:autoSpaceDN/>
              <w:adjustRightInd/>
              <w:rPr>
                <w:sz w:val="20"/>
                <w:szCs w:val="20"/>
              </w:rPr>
            </w:pPr>
            <w:r w:rsidRPr="00EB7F63">
              <w:rPr>
                <w:b/>
                <w:bCs/>
                <w:sz w:val="20"/>
                <w:szCs w:val="20"/>
              </w:rPr>
              <w:t>TOTAL ANNUAL BURDEN AND COST (</w:t>
            </w:r>
            <w:r w:rsidR="00C5367B">
              <w:rPr>
                <w:b/>
                <w:bCs/>
                <w:sz w:val="20"/>
                <w:szCs w:val="20"/>
              </w:rPr>
              <w:t>rounded</w:t>
            </w:r>
            <w:r w:rsidRPr="00EB7F63">
              <w:rPr>
                <w:b/>
                <w:bCs/>
                <w:sz w:val="20"/>
                <w:szCs w:val="20"/>
              </w:rPr>
              <w:t>)</w:t>
            </w:r>
            <w:r w:rsidRPr="00EB7F63">
              <w:rPr>
                <w:sz w:val="20"/>
                <w:szCs w:val="20"/>
              </w:rPr>
              <w:t> </w:t>
            </w:r>
          </w:p>
        </w:tc>
        <w:tc>
          <w:tcPr>
            <w:tcW w:w="3190" w:type="dxa"/>
            <w:gridSpan w:val="3"/>
            <w:tcBorders>
              <w:top w:val="single" w:sz="4" w:space="0" w:color="auto"/>
              <w:left w:val="single" w:sz="4" w:space="0" w:color="auto"/>
              <w:bottom w:val="single" w:sz="4" w:space="0" w:color="auto"/>
              <w:right w:val="single" w:sz="4" w:space="0" w:color="auto"/>
            </w:tcBorders>
            <w:shd w:val="clear" w:color="auto" w:fill="auto"/>
            <w:hideMark/>
          </w:tcPr>
          <w:p w:rsidR="00C25657" w:rsidRPr="005366EB" w:rsidRDefault="00C25657" w:rsidP="00C25657">
            <w:pPr>
              <w:widowControl/>
              <w:autoSpaceDE/>
              <w:autoSpaceDN/>
              <w:adjustRightInd/>
              <w:jc w:val="center"/>
              <w:rPr>
                <w:b/>
                <w:sz w:val="20"/>
                <w:szCs w:val="20"/>
              </w:rPr>
            </w:pPr>
            <w:r w:rsidRPr="005366EB">
              <w:rPr>
                <w:b/>
                <w:sz w:val="20"/>
                <w:szCs w:val="20"/>
              </w:rPr>
              <w:t>2,629</w:t>
            </w:r>
          </w:p>
        </w:tc>
        <w:tc>
          <w:tcPr>
            <w:tcW w:w="1620" w:type="dxa"/>
            <w:tcBorders>
              <w:top w:val="nil"/>
              <w:left w:val="nil"/>
              <w:bottom w:val="single" w:sz="4" w:space="0" w:color="auto"/>
              <w:right w:val="single" w:sz="4" w:space="0" w:color="auto"/>
            </w:tcBorders>
            <w:shd w:val="clear" w:color="auto" w:fill="auto"/>
            <w:hideMark/>
          </w:tcPr>
          <w:p w:rsidR="00C25657" w:rsidRPr="005366EB" w:rsidRDefault="008B46D9" w:rsidP="00D715BC">
            <w:pPr>
              <w:widowControl/>
              <w:autoSpaceDE/>
              <w:autoSpaceDN/>
              <w:adjustRightInd/>
              <w:jc w:val="right"/>
              <w:rPr>
                <w:b/>
                <w:sz w:val="20"/>
                <w:szCs w:val="20"/>
              </w:rPr>
            </w:pPr>
            <w:r>
              <w:rPr>
                <w:b/>
                <w:sz w:val="20"/>
                <w:szCs w:val="20"/>
              </w:rPr>
              <w:t>$</w:t>
            </w:r>
            <w:r w:rsidR="00C25657" w:rsidRPr="005366EB">
              <w:rPr>
                <w:b/>
                <w:sz w:val="20"/>
                <w:szCs w:val="20"/>
              </w:rPr>
              <w:t>257,208</w:t>
            </w:r>
          </w:p>
        </w:tc>
      </w:tr>
    </w:tbl>
    <w:p w:rsidR="00C25657" w:rsidRPr="00C25657" w:rsidRDefault="00C25657" w:rsidP="00A7661C">
      <w:pPr>
        <w:rPr>
          <w:sz w:val="20"/>
          <w:szCs w:val="20"/>
        </w:rPr>
      </w:pPr>
    </w:p>
    <w:p w:rsidR="000D501C" w:rsidRPr="000D501C" w:rsidRDefault="000D501C" w:rsidP="000D501C">
      <w:pPr>
        <w:rPr>
          <w:sz w:val="20"/>
          <w:szCs w:val="20"/>
        </w:rPr>
      </w:pPr>
      <w:r w:rsidRPr="000D501C">
        <w:rPr>
          <w:sz w:val="20"/>
          <w:szCs w:val="20"/>
        </w:rPr>
        <w:t>Assumptions:</w:t>
      </w:r>
    </w:p>
    <w:p w:rsidR="00223FE9" w:rsidRPr="00223FE9" w:rsidRDefault="00223FE9" w:rsidP="00223FE9">
      <w:pPr>
        <w:ind w:left="180" w:hanging="180"/>
        <w:rPr>
          <w:sz w:val="20"/>
          <w:szCs w:val="20"/>
        </w:rPr>
      </w:pPr>
      <w:r w:rsidRPr="0037693C">
        <w:rPr>
          <w:sz w:val="20"/>
          <w:szCs w:val="20"/>
          <w:vertAlign w:val="superscript"/>
        </w:rPr>
        <w:t>a.</w:t>
      </w:r>
      <w:r w:rsidRPr="00223FE9">
        <w:rPr>
          <w:sz w:val="20"/>
          <w:szCs w:val="20"/>
        </w:rPr>
        <w:t xml:space="preserve"> For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them to repeat stack testing and to carry out subsequent recordkeeping and</w:t>
      </w:r>
      <w:r>
        <w:rPr>
          <w:sz w:val="20"/>
          <w:szCs w:val="20"/>
        </w:rPr>
        <w:t xml:space="preserve"> reporting requirements.</w:t>
      </w:r>
    </w:p>
    <w:p w:rsidR="00223FE9" w:rsidRPr="00223FE9" w:rsidRDefault="00223FE9" w:rsidP="00223FE9">
      <w:pPr>
        <w:ind w:left="180" w:hanging="180"/>
        <w:rPr>
          <w:sz w:val="20"/>
          <w:szCs w:val="20"/>
        </w:rPr>
      </w:pPr>
      <w:r w:rsidRPr="0037693C">
        <w:rPr>
          <w:sz w:val="20"/>
          <w:szCs w:val="20"/>
          <w:vertAlign w:val="superscript"/>
        </w:rPr>
        <w:t>b.</w:t>
      </w:r>
      <w:r w:rsidRPr="00223FE9">
        <w:rPr>
          <w:sz w:val="20"/>
          <w:szCs w:val="20"/>
        </w:rPr>
        <w:t xml:space="preserve"> This ICR uses the following labor rates: $101.22 for technical, $123.04 for managerial, and $51.18 for clerical labor.  These rates are from the United States Department of Labor, Bureau of Labor Statistics, March 2013, “Table 2. </w:t>
      </w:r>
      <w:proofErr w:type="gramStart"/>
      <w:r w:rsidRPr="00223FE9">
        <w:rPr>
          <w:sz w:val="20"/>
          <w:szCs w:val="20"/>
        </w:rPr>
        <w:t>Civilian Workers, by occupational and industry group.”</w:t>
      </w:r>
      <w:proofErr w:type="gramEnd"/>
      <w:r w:rsidRPr="00223FE9">
        <w:rPr>
          <w:sz w:val="20"/>
          <w:szCs w:val="20"/>
        </w:rPr>
        <w:t xml:space="preserve">  The rates are from column 1, “Total compensation.”  The rates have been increased by 110 percent to account for the benefit packages available to those employed </w:t>
      </w:r>
      <w:r>
        <w:rPr>
          <w:sz w:val="20"/>
          <w:szCs w:val="20"/>
        </w:rPr>
        <w:t>by private industry.</w:t>
      </w:r>
    </w:p>
    <w:p w:rsidR="00223FE9" w:rsidRPr="00223FE9" w:rsidRDefault="00223FE9" w:rsidP="00223FE9">
      <w:pPr>
        <w:ind w:left="180" w:hanging="180"/>
        <w:rPr>
          <w:sz w:val="20"/>
          <w:szCs w:val="20"/>
        </w:rPr>
      </w:pPr>
      <w:r w:rsidRPr="0037693C">
        <w:rPr>
          <w:sz w:val="20"/>
          <w:szCs w:val="20"/>
          <w:vertAlign w:val="superscript"/>
        </w:rPr>
        <w:t>c.</w:t>
      </w:r>
      <w:r w:rsidRPr="00223FE9">
        <w:rPr>
          <w:sz w:val="20"/>
          <w:szCs w:val="20"/>
        </w:rPr>
        <w:t xml:space="preserve"> We have assumed that each respondent will take eight hours to determine the emission le</w:t>
      </w:r>
      <w:r>
        <w:rPr>
          <w:sz w:val="20"/>
          <w:szCs w:val="20"/>
        </w:rPr>
        <w:t>vel from the stack test.</w:t>
      </w:r>
    </w:p>
    <w:p w:rsidR="00223FE9" w:rsidRPr="00223FE9" w:rsidRDefault="00223FE9" w:rsidP="00223FE9">
      <w:pPr>
        <w:ind w:left="180" w:hanging="180"/>
        <w:rPr>
          <w:sz w:val="20"/>
          <w:szCs w:val="20"/>
        </w:rPr>
      </w:pPr>
      <w:r w:rsidRPr="0037693C">
        <w:rPr>
          <w:sz w:val="20"/>
          <w:szCs w:val="20"/>
          <w:vertAlign w:val="superscript"/>
        </w:rPr>
        <w:t>d.</w:t>
      </w:r>
      <w:r w:rsidRPr="00223FE9">
        <w:rPr>
          <w:sz w:val="20"/>
          <w:szCs w:val="20"/>
        </w:rPr>
        <w:t xml:space="preserve"> We have assumed that each respondent will take two hours to write not</w:t>
      </w:r>
      <w:r>
        <w:rPr>
          <w:sz w:val="20"/>
          <w:szCs w:val="20"/>
        </w:rPr>
        <w:t>ification report of stack test.</w:t>
      </w:r>
    </w:p>
    <w:p w:rsidR="00223FE9" w:rsidRPr="00223FE9" w:rsidRDefault="00223FE9" w:rsidP="00223FE9">
      <w:pPr>
        <w:ind w:left="180" w:hanging="180"/>
        <w:rPr>
          <w:sz w:val="20"/>
          <w:szCs w:val="20"/>
        </w:rPr>
      </w:pPr>
      <w:r w:rsidRPr="0037693C">
        <w:rPr>
          <w:sz w:val="20"/>
          <w:szCs w:val="20"/>
          <w:vertAlign w:val="superscript"/>
        </w:rPr>
        <w:t>e.</w:t>
      </w:r>
      <w:r w:rsidRPr="00223FE9">
        <w:rPr>
          <w:sz w:val="20"/>
          <w:szCs w:val="20"/>
        </w:rPr>
        <w:t xml:space="preserve"> We have assumed that each respondent will take eight hours to complete the report of emission level determina</w:t>
      </w:r>
      <w:r>
        <w:rPr>
          <w:sz w:val="20"/>
          <w:szCs w:val="20"/>
        </w:rPr>
        <w:t>tion/operational change.</w:t>
      </w:r>
    </w:p>
    <w:p w:rsidR="00223FE9" w:rsidRPr="00223FE9" w:rsidRDefault="00223FE9" w:rsidP="00223FE9">
      <w:pPr>
        <w:ind w:left="180" w:hanging="180"/>
        <w:rPr>
          <w:sz w:val="20"/>
          <w:szCs w:val="20"/>
        </w:rPr>
      </w:pPr>
      <w:r w:rsidRPr="0037693C">
        <w:rPr>
          <w:sz w:val="20"/>
          <w:szCs w:val="20"/>
          <w:vertAlign w:val="superscript"/>
        </w:rPr>
        <w:t>f.</w:t>
      </w:r>
      <w:r w:rsidRPr="00223FE9">
        <w:rPr>
          <w:sz w:val="20"/>
          <w:szCs w:val="20"/>
        </w:rPr>
        <w:t xml:space="preserve"> We have assumed that each respondent will take eight hours once per month to write the monthly ambien</w:t>
      </w:r>
      <w:r>
        <w:rPr>
          <w:sz w:val="20"/>
          <w:szCs w:val="20"/>
        </w:rPr>
        <w:t>t concentrations report.</w:t>
      </w:r>
    </w:p>
    <w:p w:rsidR="00144F35" w:rsidRPr="00223FE9" w:rsidRDefault="00223FE9" w:rsidP="0037693C">
      <w:pPr>
        <w:ind w:left="180" w:hanging="180"/>
        <w:rPr>
          <w:sz w:val="20"/>
          <w:szCs w:val="20"/>
        </w:rPr>
      </w:pPr>
      <w:r w:rsidRPr="0037693C">
        <w:rPr>
          <w:sz w:val="20"/>
          <w:szCs w:val="20"/>
          <w:vertAlign w:val="superscript"/>
        </w:rPr>
        <w:t>g.</w:t>
      </w:r>
      <w:r w:rsidRPr="00223FE9">
        <w:rPr>
          <w:sz w:val="20"/>
          <w:szCs w:val="20"/>
        </w:rPr>
        <w:t xml:space="preserve"> We have assumed that each of the ten respondents will take fifteen minutes each day to enter records of operating parameters an</w:t>
      </w:r>
      <w:r>
        <w:rPr>
          <w:sz w:val="20"/>
          <w:szCs w:val="20"/>
        </w:rPr>
        <w:t>d emissions information.</w:t>
      </w:r>
      <w:r w:rsidR="00144F35" w:rsidRPr="008426D4">
        <w:rPr>
          <w:b/>
          <w:bCs/>
        </w:rPr>
        <w:br w:type="page"/>
      </w:r>
      <w:r w:rsidR="00144F35" w:rsidRPr="008426D4">
        <w:rPr>
          <w:b/>
          <w:bCs/>
        </w:rPr>
        <w:lastRenderedPageBreak/>
        <w:t>Table 2</w:t>
      </w:r>
      <w:r w:rsidR="008426D4" w:rsidRPr="008426D4">
        <w:rPr>
          <w:b/>
          <w:bCs/>
        </w:rPr>
        <w:t>: Average Annual EPA Burden and Cost –</w:t>
      </w:r>
      <w:r w:rsidR="008A6013">
        <w:rPr>
          <w:b/>
          <w:bCs/>
        </w:rPr>
        <w:t xml:space="preserve"> </w:t>
      </w:r>
      <w:r w:rsidR="008426D4" w:rsidRPr="008426D4">
        <w:rPr>
          <w:b/>
          <w:bCs/>
        </w:rPr>
        <w:t>NESHAP for Beryllium (40 CFR Part 61, Subpart C) (Renewal)</w:t>
      </w:r>
    </w:p>
    <w:p w:rsidR="00144F35" w:rsidRPr="008426D4" w:rsidRDefault="00144F35" w:rsidP="00F340DF">
      <w:pPr>
        <w:rPr>
          <w:b/>
          <w:bCs/>
        </w:rPr>
      </w:pPr>
    </w:p>
    <w:tbl>
      <w:tblPr>
        <w:tblW w:w="13744" w:type="dxa"/>
        <w:jc w:val="center"/>
        <w:tblInd w:w="-296" w:type="dxa"/>
        <w:tblCellMar>
          <w:left w:w="58" w:type="dxa"/>
          <w:right w:w="58" w:type="dxa"/>
        </w:tblCellMar>
        <w:tblLook w:val="04A0"/>
      </w:tblPr>
      <w:tblGrid>
        <w:gridCol w:w="3558"/>
        <w:gridCol w:w="1415"/>
        <w:gridCol w:w="1440"/>
        <w:gridCol w:w="1440"/>
        <w:gridCol w:w="1206"/>
        <w:gridCol w:w="1044"/>
        <w:gridCol w:w="1260"/>
        <w:gridCol w:w="992"/>
        <w:gridCol w:w="1389"/>
      </w:tblGrid>
      <w:tr w:rsidR="000D501C" w:rsidRPr="000D501C" w:rsidTr="000F7EFA">
        <w:trPr>
          <w:trHeight w:val="255"/>
          <w:jc w:val="center"/>
        </w:trPr>
        <w:tc>
          <w:tcPr>
            <w:tcW w:w="355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D501C" w:rsidRPr="000D501C" w:rsidRDefault="000D501C" w:rsidP="000D501C">
            <w:pPr>
              <w:widowControl/>
              <w:autoSpaceDE/>
              <w:autoSpaceDN/>
              <w:adjustRightInd/>
              <w:jc w:val="center"/>
              <w:rPr>
                <w:b/>
                <w:bCs/>
                <w:sz w:val="20"/>
                <w:szCs w:val="20"/>
              </w:rPr>
            </w:pPr>
            <w:r w:rsidRPr="000D501C">
              <w:rPr>
                <w:b/>
                <w:bCs/>
                <w:sz w:val="20"/>
                <w:szCs w:val="20"/>
              </w:rPr>
              <w:t>Burden Item</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F</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G</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rsidR="000D501C" w:rsidRPr="000D501C" w:rsidRDefault="000D501C" w:rsidP="000D501C">
            <w:pPr>
              <w:widowControl/>
              <w:autoSpaceDE/>
              <w:autoSpaceDN/>
              <w:adjustRightInd/>
              <w:jc w:val="center"/>
              <w:rPr>
                <w:b/>
                <w:bCs/>
                <w:sz w:val="20"/>
                <w:szCs w:val="20"/>
              </w:rPr>
            </w:pPr>
            <w:r w:rsidRPr="000D501C">
              <w:rPr>
                <w:b/>
                <w:bCs/>
                <w:sz w:val="20"/>
                <w:szCs w:val="20"/>
              </w:rPr>
              <w:t>H</w:t>
            </w:r>
          </w:p>
        </w:tc>
      </w:tr>
      <w:tr w:rsidR="000D501C" w:rsidRPr="000D501C" w:rsidTr="000F7EFA">
        <w:trPr>
          <w:trHeight w:val="818"/>
          <w:jc w:val="center"/>
        </w:trPr>
        <w:tc>
          <w:tcPr>
            <w:tcW w:w="3558" w:type="dxa"/>
            <w:vMerge/>
            <w:tcBorders>
              <w:top w:val="single" w:sz="4" w:space="0" w:color="auto"/>
              <w:left w:val="single" w:sz="4" w:space="0" w:color="auto"/>
              <w:bottom w:val="single" w:sz="4" w:space="0" w:color="000000"/>
              <w:right w:val="single" w:sz="4" w:space="0" w:color="auto"/>
            </w:tcBorders>
            <w:vAlign w:val="center"/>
            <w:hideMark/>
          </w:tcPr>
          <w:p w:rsidR="000D501C" w:rsidRPr="000D501C" w:rsidRDefault="000D501C" w:rsidP="000D501C">
            <w:pPr>
              <w:widowControl/>
              <w:autoSpaceDE/>
              <w:autoSpaceDN/>
              <w:adjustRightInd/>
              <w:rPr>
                <w:b/>
                <w:bCs/>
                <w:sz w:val="20"/>
                <w:szCs w:val="20"/>
              </w:rPr>
            </w:pPr>
          </w:p>
        </w:tc>
        <w:tc>
          <w:tcPr>
            <w:tcW w:w="1415"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Technical person-hours </w:t>
            </w:r>
          </w:p>
          <w:p w:rsidR="000D501C" w:rsidRPr="000D501C" w:rsidRDefault="000D501C" w:rsidP="000D501C">
            <w:pPr>
              <w:widowControl/>
              <w:autoSpaceDE/>
              <w:autoSpaceDN/>
              <w:adjustRightInd/>
              <w:jc w:val="center"/>
              <w:rPr>
                <w:b/>
                <w:bCs/>
                <w:sz w:val="20"/>
                <w:szCs w:val="20"/>
              </w:rPr>
            </w:pPr>
            <w:r w:rsidRPr="000D501C">
              <w:rPr>
                <w:b/>
                <w:bCs/>
                <w:sz w:val="20"/>
                <w:szCs w:val="20"/>
              </w:rPr>
              <w:t>per occurrence</w:t>
            </w:r>
          </w:p>
        </w:tc>
        <w:tc>
          <w:tcPr>
            <w:tcW w:w="1440"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No. of occurrences </w:t>
            </w:r>
          </w:p>
          <w:p w:rsidR="000D501C" w:rsidRDefault="000D501C" w:rsidP="000D501C">
            <w:pPr>
              <w:widowControl/>
              <w:autoSpaceDE/>
              <w:autoSpaceDN/>
              <w:adjustRightInd/>
              <w:jc w:val="center"/>
              <w:rPr>
                <w:b/>
                <w:bCs/>
                <w:sz w:val="20"/>
                <w:szCs w:val="20"/>
              </w:rPr>
            </w:pPr>
            <w:r w:rsidRPr="000D501C">
              <w:rPr>
                <w:b/>
                <w:bCs/>
                <w:sz w:val="20"/>
                <w:szCs w:val="20"/>
              </w:rPr>
              <w:t xml:space="preserve">per respondent </w:t>
            </w:r>
          </w:p>
          <w:p w:rsidR="000D501C" w:rsidRPr="000D501C" w:rsidRDefault="000D501C" w:rsidP="000D501C">
            <w:pPr>
              <w:widowControl/>
              <w:autoSpaceDE/>
              <w:autoSpaceDN/>
              <w:adjustRightInd/>
              <w:jc w:val="center"/>
              <w:rPr>
                <w:b/>
                <w:bCs/>
                <w:sz w:val="20"/>
                <w:szCs w:val="20"/>
              </w:rPr>
            </w:pPr>
            <w:r w:rsidRPr="000D501C">
              <w:rPr>
                <w:b/>
                <w:bCs/>
                <w:sz w:val="20"/>
                <w:szCs w:val="20"/>
              </w:rPr>
              <w:t>per year</w:t>
            </w:r>
          </w:p>
        </w:tc>
        <w:tc>
          <w:tcPr>
            <w:tcW w:w="1440"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Technical person-hours </w:t>
            </w:r>
          </w:p>
          <w:p w:rsidR="000D501C" w:rsidRDefault="000D501C" w:rsidP="000D501C">
            <w:pPr>
              <w:widowControl/>
              <w:autoSpaceDE/>
              <w:autoSpaceDN/>
              <w:adjustRightInd/>
              <w:jc w:val="center"/>
              <w:rPr>
                <w:b/>
                <w:bCs/>
                <w:sz w:val="20"/>
                <w:szCs w:val="20"/>
              </w:rPr>
            </w:pPr>
            <w:r w:rsidRPr="000D501C">
              <w:rPr>
                <w:b/>
                <w:bCs/>
                <w:sz w:val="20"/>
                <w:szCs w:val="20"/>
              </w:rPr>
              <w:t xml:space="preserve">per respondent </w:t>
            </w:r>
          </w:p>
          <w:p w:rsidR="005366EB" w:rsidRDefault="000D501C" w:rsidP="000D501C">
            <w:pPr>
              <w:widowControl/>
              <w:autoSpaceDE/>
              <w:autoSpaceDN/>
              <w:adjustRightInd/>
              <w:jc w:val="center"/>
              <w:rPr>
                <w:b/>
                <w:bCs/>
                <w:sz w:val="20"/>
                <w:szCs w:val="20"/>
              </w:rPr>
            </w:pPr>
            <w:r w:rsidRPr="000D501C">
              <w:rPr>
                <w:b/>
                <w:bCs/>
                <w:sz w:val="20"/>
                <w:szCs w:val="20"/>
              </w:rPr>
              <w:t xml:space="preserve">per year </w:t>
            </w:r>
          </w:p>
          <w:p w:rsidR="000D501C" w:rsidRPr="000D501C" w:rsidRDefault="000D501C" w:rsidP="000D501C">
            <w:pPr>
              <w:widowControl/>
              <w:autoSpaceDE/>
              <w:autoSpaceDN/>
              <w:adjustRightInd/>
              <w:jc w:val="center"/>
              <w:rPr>
                <w:b/>
                <w:bCs/>
                <w:sz w:val="20"/>
                <w:szCs w:val="20"/>
              </w:rPr>
            </w:pPr>
            <w:r w:rsidRPr="000D501C">
              <w:rPr>
                <w:b/>
                <w:bCs/>
                <w:sz w:val="20"/>
                <w:szCs w:val="20"/>
              </w:rPr>
              <w:t>(</w:t>
            </w:r>
            <w:proofErr w:type="spellStart"/>
            <w:r w:rsidRPr="000D501C">
              <w:rPr>
                <w:b/>
                <w:bCs/>
                <w:sz w:val="20"/>
                <w:szCs w:val="20"/>
              </w:rPr>
              <w:t>AxB</w:t>
            </w:r>
            <w:proofErr w:type="spellEnd"/>
            <w:r w:rsidRPr="000D501C">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Respondents </w:t>
            </w:r>
          </w:p>
          <w:p w:rsidR="000D501C" w:rsidRPr="000D501C" w:rsidRDefault="000D501C" w:rsidP="000D501C">
            <w:pPr>
              <w:widowControl/>
              <w:autoSpaceDE/>
              <w:autoSpaceDN/>
              <w:adjustRightInd/>
              <w:jc w:val="center"/>
              <w:rPr>
                <w:b/>
                <w:bCs/>
                <w:sz w:val="20"/>
                <w:szCs w:val="20"/>
              </w:rPr>
            </w:pPr>
            <w:r w:rsidRPr="000D501C">
              <w:rPr>
                <w:b/>
                <w:bCs/>
                <w:sz w:val="20"/>
                <w:szCs w:val="20"/>
              </w:rPr>
              <w:t>per year</w:t>
            </w:r>
            <w:r>
              <w:rPr>
                <w:b/>
                <w:bCs/>
                <w:sz w:val="20"/>
                <w:szCs w:val="20"/>
              </w:rPr>
              <w:t xml:space="preserve"> </w:t>
            </w:r>
            <w:r w:rsidRPr="000D501C">
              <w:rPr>
                <w:b/>
                <w:bCs/>
                <w:sz w:val="20"/>
                <w:szCs w:val="20"/>
                <w:vertAlign w:val="superscript"/>
              </w:rPr>
              <w:t>a</w:t>
            </w:r>
          </w:p>
        </w:tc>
        <w:tc>
          <w:tcPr>
            <w:tcW w:w="1044"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Technical hours </w:t>
            </w:r>
          </w:p>
          <w:p w:rsidR="000D501C" w:rsidRPr="000D501C" w:rsidRDefault="000D501C" w:rsidP="000D501C">
            <w:pPr>
              <w:widowControl/>
              <w:autoSpaceDE/>
              <w:autoSpaceDN/>
              <w:adjustRightInd/>
              <w:jc w:val="center"/>
              <w:rPr>
                <w:b/>
                <w:bCs/>
                <w:sz w:val="20"/>
                <w:szCs w:val="20"/>
              </w:rPr>
            </w:pPr>
            <w:r w:rsidRPr="000D501C">
              <w:rPr>
                <w:b/>
                <w:bCs/>
                <w:sz w:val="20"/>
                <w:szCs w:val="20"/>
              </w:rPr>
              <w:t>per year (</w:t>
            </w:r>
            <w:proofErr w:type="spellStart"/>
            <w:r w:rsidRPr="000D501C">
              <w:rPr>
                <w:b/>
                <w:bCs/>
                <w:sz w:val="20"/>
                <w:szCs w:val="20"/>
              </w:rPr>
              <w:t>CxD</w:t>
            </w:r>
            <w:proofErr w:type="spellEnd"/>
            <w:r w:rsidRPr="000D501C">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Management hours </w:t>
            </w:r>
          </w:p>
          <w:p w:rsidR="000D501C" w:rsidRPr="000D501C" w:rsidRDefault="000D501C" w:rsidP="000D501C">
            <w:pPr>
              <w:widowControl/>
              <w:autoSpaceDE/>
              <w:autoSpaceDN/>
              <w:adjustRightInd/>
              <w:jc w:val="center"/>
              <w:rPr>
                <w:b/>
                <w:bCs/>
                <w:sz w:val="20"/>
                <w:szCs w:val="20"/>
              </w:rPr>
            </w:pPr>
            <w:r w:rsidRPr="000D501C">
              <w:rPr>
                <w:b/>
                <w:bCs/>
                <w:sz w:val="20"/>
                <w:szCs w:val="20"/>
              </w:rPr>
              <w:t>per year  (Ex0.05)</w:t>
            </w:r>
          </w:p>
        </w:tc>
        <w:tc>
          <w:tcPr>
            <w:tcW w:w="992"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Clerical hours </w:t>
            </w:r>
          </w:p>
          <w:p w:rsidR="000D501C" w:rsidRPr="000D501C" w:rsidRDefault="000D501C" w:rsidP="000D501C">
            <w:pPr>
              <w:widowControl/>
              <w:autoSpaceDE/>
              <w:autoSpaceDN/>
              <w:adjustRightInd/>
              <w:jc w:val="center"/>
              <w:rPr>
                <w:b/>
                <w:bCs/>
                <w:sz w:val="20"/>
                <w:szCs w:val="20"/>
              </w:rPr>
            </w:pPr>
            <w:r w:rsidRPr="000D501C">
              <w:rPr>
                <w:b/>
                <w:bCs/>
                <w:sz w:val="20"/>
                <w:szCs w:val="20"/>
              </w:rPr>
              <w:t>per year (Ex0.10)</w:t>
            </w:r>
          </w:p>
        </w:tc>
        <w:tc>
          <w:tcPr>
            <w:tcW w:w="1389" w:type="dxa"/>
            <w:tcBorders>
              <w:top w:val="nil"/>
              <w:left w:val="nil"/>
              <w:bottom w:val="single" w:sz="4" w:space="0" w:color="auto"/>
              <w:right w:val="single" w:sz="4" w:space="0" w:color="auto"/>
            </w:tcBorders>
            <w:shd w:val="clear" w:color="auto" w:fill="auto"/>
            <w:vAlign w:val="bottom"/>
            <w:hideMark/>
          </w:tcPr>
          <w:p w:rsidR="000D501C" w:rsidRDefault="000D501C" w:rsidP="000D501C">
            <w:pPr>
              <w:widowControl/>
              <w:autoSpaceDE/>
              <w:autoSpaceDN/>
              <w:adjustRightInd/>
              <w:jc w:val="center"/>
              <w:rPr>
                <w:b/>
                <w:bCs/>
                <w:sz w:val="20"/>
                <w:szCs w:val="20"/>
              </w:rPr>
            </w:pPr>
            <w:r w:rsidRPr="000D501C">
              <w:rPr>
                <w:b/>
                <w:bCs/>
                <w:sz w:val="20"/>
                <w:szCs w:val="20"/>
              </w:rPr>
              <w:t xml:space="preserve">Total cost </w:t>
            </w:r>
          </w:p>
          <w:p w:rsidR="000D501C" w:rsidRPr="000D501C" w:rsidRDefault="000D501C" w:rsidP="000D501C">
            <w:pPr>
              <w:widowControl/>
              <w:autoSpaceDE/>
              <w:autoSpaceDN/>
              <w:adjustRightInd/>
              <w:jc w:val="center"/>
              <w:rPr>
                <w:b/>
                <w:bCs/>
                <w:sz w:val="20"/>
                <w:szCs w:val="20"/>
              </w:rPr>
            </w:pPr>
            <w:r w:rsidRPr="000D501C">
              <w:rPr>
                <w:b/>
                <w:bCs/>
                <w:sz w:val="20"/>
                <w:szCs w:val="20"/>
              </w:rPr>
              <w:t xml:space="preserve">per year </w:t>
            </w:r>
            <w:r>
              <w:rPr>
                <w:b/>
                <w:bCs/>
                <w:sz w:val="20"/>
                <w:szCs w:val="20"/>
                <w:vertAlign w:val="superscript"/>
              </w:rPr>
              <w:t>b</w:t>
            </w:r>
            <w:r w:rsidRPr="000D501C">
              <w:rPr>
                <w:b/>
                <w:bCs/>
                <w:sz w:val="20"/>
                <w:szCs w:val="20"/>
              </w:rPr>
              <w:t xml:space="preserve">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rPr>
                <w:sz w:val="20"/>
                <w:szCs w:val="20"/>
              </w:rPr>
            </w:pPr>
            <w:r w:rsidRPr="000D501C">
              <w:rPr>
                <w:sz w:val="20"/>
              </w:rPr>
              <w:t>Initial performance test</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389"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right"/>
              <w:rPr>
                <w:sz w:val="20"/>
                <w:szCs w:val="20"/>
              </w:rPr>
            </w:pPr>
            <w:r w:rsidRPr="000D501C">
              <w:rPr>
                <w:sz w:val="20"/>
              </w:rPr>
              <w:t>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ind w:leftChars="71" w:left="170"/>
              <w:rPr>
                <w:sz w:val="20"/>
              </w:rPr>
            </w:pPr>
            <w:r w:rsidRPr="000D501C">
              <w:rPr>
                <w:sz w:val="20"/>
              </w:rPr>
              <w:t>New plant</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20</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20</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rPr>
              <w:t>$</w:t>
            </w:r>
            <w:r w:rsidR="000D501C" w:rsidRPr="000D501C">
              <w:rPr>
                <w:sz w:val="20"/>
              </w:rPr>
              <w:t xml:space="preserve">0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rPr>
                <w:sz w:val="20"/>
                <w:szCs w:val="20"/>
              </w:rPr>
            </w:pPr>
            <w:r w:rsidRPr="000D501C">
              <w:rPr>
                <w:sz w:val="20"/>
              </w:rPr>
              <w:t>Report review</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389"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right"/>
              <w:rPr>
                <w:sz w:val="20"/>
                <w:szCs w:val="20"/>
              </w:rPr>
            </w:pPr>
            <w:r w:rsidRPr="000D501C">
              <w:rPr>
                <w:sz w:val="20"/>
              </w:rPr>
              <w:t>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ind w:leftChars="71" w:left="170"/>
              <w:rPr>
                <w:sz w:val="20"/>
              </w:rPr>
            </w:pPr>
            <w:r w:rsidRPr="000D501C">
              <w:rPr>
                <w:sz w:val="20"/>
              </w:rPr>
              <w:t>Notification of construction</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rPr>
              <w:t>$</w:t>
            </w:r>
            <w:r w:rsidR="000D501C" w:rsidRPr="000D501C">
              <w:rPr>
                <w:sz w:val="20"/>
              </w:rPr>
              <w:t xml:space="preserve">0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ind w:leftChars="71" w:left="170"/>
              <w:rPr>
                <w:sz w:val="20"/>
              </w:rPr>
            </w:pPr>
            <w:r w:rsidRPr="000D501C">
              <w:rPr>
                <w:sz w:val="20"/>
              </w:rPr>
              <w:t xml:space="preserve">Request to use ambient air concentration alternative </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szCs w:val="20"/>
              </w:rPr>
              <w:t>$</w:t>
            </w:r>
            <w:r w:rsidR="000D501C" w:rsidRPr="000D501C">
              <w:rPr>
                <w:sz w:val="20"/>
                <w:szCs w:val="20"/>
              </w:rPr>
              <w:t xml:space="preserve">0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ind w:leftChars="71" w:left="170"/>
              <w:rPr>
                <w:sz w:val="20"/>
              </w:rPr>
            </w:pPr>
            <w:r w:rsidRPr="000D501C">
              <w:rPr>
                <w:sz w:val="20"/>
              </w:rPr>
              <w:t>Notification of actual startup</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0.5</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1</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szCs w:val="20"/>
              </w:rPr>
              <w:t>$</w:t>
            </w:r>
            <w:r w:rsidR="000D501C" w:rsidRPr="000D501C">
              <w:rPr>
                <w:sz w:val="20"/>
                <w:szCs w:val="20"/>
              </w:rPr>
              <w:t xml:space="preserve">0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ind w:leftChars="71" w:left="170"/>
              <w:rPr>
                <w:sz w:val="20"/>
              </w:rPr>
            </w:pPr>
            <w:r w:rsidRPr="000D501C">
              <w:rPr>
                <w:sz w:val="20"/>
              </w:rPr>
              <w:t>Notification of initial stack test</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0.5</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1</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szCs w:val="20"/>
              </w:rPr>
              <w:t>$</w:t>
            </w:r>
            <w:r w:rsidR="000D501C" w:rsidRPr="000D501C">
              <w:rPr>
                <w:sz w:val="20"/>
                <w:szCs w:val="20"/>
              </w:rPr>
              <w:t xml:space="preserve">0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ind w:leftChars="71" w:left="170"/>
              <w:rPr>
                <w:sz w:val="20"/>
              </w:rPr>
            </w:pPr>
            <w:r w:rsidRPr="000D501C">
              <w:rPr>
                <w:sz w:val="20"/>
              </w:rPr>
              <w:t>Report of initial analysis</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szCs w:val="20"/>
              </w:rPr>
              <w:t>$</w:t>
            </w:r>
            <w:r w:rsidR="000D501C" w:rsidRPr="000D501C">
              <w:rPr>
                <w:sz w:val="20"/>
                <w:szCs w:val="20"/>
              </w:rPr>
              <w:t xml:space="preserve">0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rPr>
                <w:sz w:val="20"/>
                <w:szCs w:val="20"/>
              </w:rPr>
            </w:pPr>
            <w:r w:rsidRPr="000D501C">
              <w:rPr>
                <w:sz w:val="20"/>
              </w:rPr>
              <w:t>Existing plant</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p>
        </w:tc>
        <w:tc>
          <w:tcPr>
            <w:tcW w:w="1389"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right"/>
              <w:rPr>
                <w:sz w:val="20"/>
                <w:szCs w:val="20"/>
              </w:rPr>
            </w:pPr>
            <w:r w:rsidRPr="000D501C">
              <w:rPr>
                <w:sz w:val="20"/>
              </w:rPr>
              <w:t> </w:t>
            </w:r>
          </w:p>
        </w:tc>
      </w:tr>
      <w:tr w:rsidR="000D501C" w:rsidRPr="000D501C" w:rsidTr="000F7EFA">
        <w:trPr>
          <w:trHeight w:val="25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ind w:leftChars="71" w:left="170"/>
              <w:rPr>
                <w:sz w:val="20"/>
              </w:rPr>
            </w:pPr>
            <w:r w:rsidRPr="000D501C">
              <w:rPr>
                <w:sz w:val="20"/>
              </w:rPr>
              <w:t>Notification of stack test</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40</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40</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0</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rPr>
              <w:t>$</w:t>
            </w:r>
            <w:r w:rsidR="000D501C" w:rsidRPr="000D501C">
              <w:rPr>
                <w:sz w:val="20"/>
              </w:rPr>
              <w:t xml:space="preserve">0 </w:t>
            </w:r>
          </w:p>
        </w:tc>
      </w:tr>
      <w:tr w:rsidR="000D501C" w:rsidRPr="000D501C" w:rsidTr="000F7EFA">
        <w:trPr>
          <w:trHeight w:val="350"/>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1A6886">
            <w:pPr>
              <w:widowControl/>
              <w:autoSpaceDE/>
              <w:autoSpaceDN/>
              <w:adjustRightInd/>
              <w:ind w:leftChars="141" w:left="338"/>
              <w:rPr>
                <w:sz w:val="20"/>
                <w:szCs w:val="20"/>
              </w:rPr>
            </w:pPr>
            <w:r w:rsidRPr="000D501C">
              <w:rPr>
                <w:sz w:val="20"/>
              </w:rPr>
              <w:t xml:space="preserve">Report of emission level determination/operational change </w:t>
            </w:r>
            <w:r w:rsidRPr="000D501C">
              <w:rPr>
                <w:sz w:val="20"/>
                <w:szCs w:val="20"/>
                <w:vertAlign w:val="superscript"/>
              </w:rPr>
              <w:t>c</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23</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46</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2.3</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4.6</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szCs w:val="20"/>
              </w:rPr>
              <w:t>$</w:t>
            </w:r>
            <w:r w:rsidR="000D501C" w:rsidRPr="000D501C">
              <w:rPr>
                <w:sz w:val="20"/>
                <w:szCs w:val="20"/>
              </w:rPr>
              <w:t xml:space="preserve">2,383.93 </w:t>
            </w:r>
          </w:p>
        </w:tc>
      </w:tr>
      <w:tr w:rsidR="000D501C" w:rsidRPr="000D501C" w:rsidTr="000F7EFA">
        <w:trPr>
          <w:trHeight w:val="315"/>
          <w:jc w:val="center"/>
        </w:trPr>
        <w:tc>
          <w:tcPr>
            <w:tcW w:w="3558" w:type="dxa"/>
            <w:tcBorders>
              <w:top w:val="nil"/>
              <w:left w:val="single" w:sz="4" w:space="0" w:color="auto"/>
              <w:bottom w:val="single" w:sz="4" w:space="0" w:color="auto"/>
              <w:right w:val="single" w:sz="4" w:space="0" w:color="auto"/>
            </w:tcBorders>
            <w:shd w:val="clear" w:color="auto" w:fill="auto"/>
            <w:hideMark/>
          </w:tcPr>
          <w:p w:rsidR="000D501C" w:rsidRPr="000D501C" w:rsidRDefault="000D501C" w:rsidP="001A6886">
            <w:pPr>
              <w:widowControl/>
              <w:autoSpaceDE/>
              <w:autoSpaceDN/>
              <w:adjustRightInd/>
              <w:ind w:leftChars="141" w:left="338"/>
              <w:rPr>
                <w:sz w:val="20"/>
              </w:rPr>
            </w:pPr>
            <w:r w:rsidRPr="000D501C">
              <w:rPr>
                <w:sz w:val="20"/>
              </w:rPr>
              <w:t xml:space="preserve">Report of monthly ambient concentrations </w:t>
            </w:r>
            <w:r w:rsidRPr="000D501C">
              <w:rPr>
                <w:sz w:val="20"/>
                <w:vertAlign w:val="superscript"/>
              </w:rPr>
              <w:t>d</w:t>
            </w:r>
          </w:p>
        </w:tc>
        <w:tc>
          <w:tcPr>
            <w:tcW w:w="1415"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2</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12</w:t>
            </w:r>
          </w:p>
        </w:tc>
        <w:tc>
          <w:tcPr>
            <w:tcW w:w="144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24</w:t>
            </w:r>
          </w:p>
        </w:tc>
        <w:tc>
          <w:tcPr>
            <w:tcW w:w="1206"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rPr>
              <w:t>10</w:t>
            </w:r>
          </w:p>
        </w:tc>
        <w:tc>
          <w:tcPr>
            <w:tcW w:w="1044"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240</w:t>
            </w:r>
          </w:p>
        </w:tc>
        <w:tc>
          <w:tcPr>
            <w:tcW w:w="1260"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12</w:t>
            </w:r>
          </w:p>
        </w:tc>
        <w:tc>
          <w:tcPr>
            <w:tcW w:w="992" w:type="dxa"/>
            <w:tcBorders>
              <w:top w:val="nil"/>
              <w:left w:val="nil"/>
              <w:bottom w:val="single" w:sz="4" w:space="0" w:color="auto"/>
              <w:right w:val="single" w:sz="4" w:space="0" w:color="auto"/>
            </w:tcBorders>
            <w:shd w:val="clear" w:color="auto" w:fill="auto"/>
            <w:hideMark/>
          </w:tcPr>
          <w:p w:rsidR="000D501C" w:rsidRPr="000D501C" w:rsidRDefault="000D501C" w:rsidP="00D715BC">
            <w:pPr>
              <w:widowControl/>
              <w:autoSpaceDE/>
              <w:autoSpaceDN/>
              <w:adjustRightInd/>
              <w:jc w:val="center"/>
              <w:rPr>
                <w:sz w:val="20"/>
                <w:szCs w:val="20"/>
              </w:rPr>
            </w:pPr>
            <w:r w:rsidRPr="000D501C">
              <w:rPr>
                <w:sz w:val="20"/>
                <w:szCs w:val="20"/>
              </w:rPr>
              <w:t>24</w:t>
            </w:r>
          </w:p>
        </w:tc>
        <w:tc>
          <w:tcPr>
            <w:tcW w:w="1389" w:type="dxa"/>
            <w:tcBorders>
              <w:top w:val="nil"/>
              <w:left w:val="nil"/>
              <w:bottom w:val="single" w:sz="4" w:space="0" w:color="auto"/>
              <w:right w:val="single" w:sz="4" w:space="0" w:color="auto"/>
            </w:tcBorders>
            <w:shd w:val="clear" w:color="auto" w:fill="auto"/>
            <w:hideMark/>
          </w:tcPr>
          <w:p w:rsidR="000D501C" w:rsidRPr="000D501C" w:rsidRDefault="000F7EFA" w:rsidP="00D715BC">
            <w:pPr>
              <w:widowControl/>
              <w:autoSpaceDE/>
              <w:autoSpaceDN/>
              <w:adjustRightInd/>
              <w:jc w:val="right"/>
              <w:rPr>
                <w:sz w:val="20"/>
                <w:szCs w:val="20"/>
              </w:rPr>
            </w:pPr>
            <w:r>
              <w:rPr>
                <w:sz w:val="20"/>
                <w:szCs w:val="20"/>
              </w:rPr>
              <w:t>$</w:t>
            </w:r>
            <w:r w:rsidR="000D501C" w:rsidRPr="000D501C">
              <w:rPr>
                <w:sz w:val="20"/>
                <w:szCs w:val="20"/>
              </w:rPr>
              <w:t xml:space="preserve">12,437.88 </w:t>
            </w:r>
          </w:p>
        </w:tc>
      </w:tr>
      <w:tr w:rsidR="000D501C" w:rsidRPr="000D501C" w:rsidTr="000F7EFA">
        <w:trPr>
          <w:trHeight w:val="255"/>
          <w:jc w:val="center"/>
        </w:trPr>
        <w:tc>
          <w:tcPr>
            <w:tcW w:w="9059" w:type="dxa"/>
            <w:gridSpan w:val="5"/>
            <w:tcBorders>
              <w:top w:val="nil"/>
              <w:left w:val="single" w:sz="4" w:space="0" w:color="auto"/>
              <w:bottom w:val="single" w:sz="4" w:space="0" w:color="auto"/>
              <w:right w:val="nil"/>
            </w:tcBorders>
            <w:shd w:val="clear" w:color="auto" w:fill="auto"/>
            <w:hideMark/>
          </w:tcPr>
          <w:p w:rsidR="000D501C" w:rsidRPr="000D501C" w:rsidRDefault="000D501C" w:rsidP="00983777">
            <w:pPr>
              <w:widowControl/>
              <w:autoSpaceDE/>
              <w:autoSpaceDN/>
              <w:adjustRightInd/>
              <w:rPr>
                <w:sz w:val="20"/>
                <w:szCs w:val="20"/>
              </w:rPr>
            </w:pPr>
            <w:r w:rsidRPr="000D501C">
              <w:rPr>
                <w:b/>
                <w:bCs/>
                <w:sz w:val="20"/>
                <w:szCs w:val="20"/>
              </w:rPr>
              <w:t>TOTAL ANNUAL BURDEN AND COST (</w:t>
            </w:r>
            <w:r w:rsidR="00983777">
              <w:rPr>
                <w:b/>
                <w:bCs/>
                <w:sz w:val="20"/>
                <w:szCs w:val="20"/>
              </w:rPr>
              <w:t>rounded</w:t>
            </w:r>
            <w:r w:rsidRPr="000D501C">
              <w:rPr>
                <w:b/>
                <w:bCs/>
                <w:sz w:val="20"/>
                <w:szCs w:val="20"/>
              </w:rPr>
              <w:t>)</w:t>
            </w:r>
          </w:p>
        </w:tc>
        <w:tc>
          <w:tcPr>
            <w:tcW w:w="3296" w:type="dxa"/>
            <w:gridSpan w:val="3"/>
            <w:tcBorders>
              <w:top w:val="single" w:sz="4" w:space="0" w:color="auto"/>
              <w:left w:val="single" w:sz="4" w:space="0" w:color="auto"/>
              <w:bottom w:val="single" w:sz="4" w:space="0" w:color="auto"/>
              <w:right w:val="single" w:sz="4" w:space="0" w:color="auto"/>
            </w:tcBorders>
            <w:shd w:val="clear" w:color="auto" w:fill="auto"/>
            <w:hideMark/>
          </w:tcPr>
          <w:p w:rsidR="000D501C" w:rsidRPr="005366EB" w:rsidRDefault="000D501C" w:rsidP="00D715BC">
            <w:pPr>
              <w:widowControl/>
              <w:autoSpaceDE/>
              <w:autoSpaceDN/>
              <w:adjustRightInd/>
              <w:jc w:val="center"/>
              <w:rPr>
                <w:b/>
                <w:sz w:val="20"/>
                <w:szCs w:val="20"/>
              </w:rPr>
            </w:pPr>
            <w:r w:rsidRPr="005366EB">
              <w:rPr>
                <w:b/>
                <w:sz w:val="20"/>
                <w:szCs w:val="20"/>
              </w:rPr>
              <w:t>329</w:t>
            </w:r>
          </w:p>
        </w:tc>
        <w:tc>
          <w:tcPr>
            <w:tcW w:w="1389" w:type="dxa"/>
            <w:tcBorders>
              <w:top w:val="nil"/>
              <w:left w:val="nil"/>
              <w:bottom w:val="single" w:sz="4" w:space="0" w:color="auto"/>
              <w:right w:val="single" w:sz="4" w:space="0" w:color="auto"/>
            </w:tcBorders>
            <w:shd w:val="clear" w:color="auto" w:fill="auto"/>
            <w:hideMark/>
          </w:tcPr>
          <w:p w:rsidR="000D501C" w:rsidRPr="005366EB" w:rsidRDefault="000F7EFA" w:rsidP="00D715BC">
            <w:pPr>
              <w:widowControl/>
              <w:autoSpaceDE/>
              <w:autoSpaceDN/>
              <w:adjustRightInd/>
              <w:jc w:val="right"/>
              <w:rPr>
                <w:b/>
                <w:sz w:val="20"/>
                <w:szCs w:val="20"/>
              </w:rPr>
            </w:pPr>
            <w:r>
              <w:rPr>
                <w:b/>
                <w:sz w:val="20"/>
                <w:szCs w:val="20"/>
              </w:rPr>
              <w:t>$</w:t>
            </w:r>
            <w:r w:rsidR="000D501C" w:rsidRPr="005366EB">
              <w:rPr>
                <w:b/>
                <w:sz w:val="20"/>
                <w:szCs w:val="20"/>
              </w:rPr>
              <w:t>14,822</w:t>
            </w:r>
          </w:p>
        </w:tc>
      </w:tr>
    </w:tbl>
    <w:p w:rsidR="001A6886" w:rsidRDefault="001A6886" w:rsidP="0002255C">
      <w:pPr>
        <w:rPr>
          <w:bCs/>
          <w:sz w:val="20"/>
          <w:szCs w:val="20"/>
        </w:rPr>
      </w:pPr>
    </w:p>
    <w:p w:rsidR="0002255C" w:rsidRPr="0002255C" w:rsidRDefault="0002255C" w:rsidP="0002255C">
      <w:pPr>
        <w:rPr>
          <w:bCs/>
          <w:sz w:val="20"/>
          <w:szCs w:val="20"/>
        </w:rPr>
      </w:pPr>
      <w:r w:rsidRPr="0002255C">
        <w:rPr>
          <w:bCs/>
          <w:sz w:val="20"/>
          <w:szCs w:val="20"/>
        </w:rPr>
        <w:t>Assumptions:</w:t>
      </w:r>
    </w:p>
    <w:p w:rsidR="00223FE9" w:rsidRPr="00223FE9" w:rsidRDefault="00223FE9" w:rsidP="00223FE9">
      <w:pPr>
        <w:ind w:left="180" w:hanging="180"/>
        <w:rPr>
          <w:bCs/>
          <w:sz w:val="20"/>
          <w:szCs w:val="20"/>
        </w:rPr>
      </w:pPr>
      <w:r w:rsidRPr="00983777">
        <w:rPr>
          <w:bCs/>
          <w:sz w:val="20"/>
          <w:szCs w:val="20"/>
          <w:vertAlign w:val="superscript"/>
        </w:rPr>
        <w:t>a.</w:t>
      </w:r>
      <w:r w:rsidRPr="00223FE9">
        <w:rPr>
          <w:bCs/>
          <w:sz w:val="20"/>
          <w:szCs w:val="20"/>
        </w:rPr>
        <w:t xml:space="preserve"> For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them to repeat stack testing and to carry out subsequent recordkeeping and</w:t>
      </w:r>
      <w:r>
        <w:rPr>
          <w:bCs/>
          <w:sz w:val="20"/>
          <w:szCs w:val="20"/>
        </w:rPr>
        <w:t xml:space="preserve"> reporting requirements.</w:t>
      </w:r>
    </w:p>
    <w:p w:rsidR="00223FE9" w:rsidRPr="00223FE9" w:rsidRDefault="00223FE9" w:rsidP="00223FE9">
      <w:pPr>
        <w:ind w:left="180" w:hanging="180"/>
        <w:rPr>
          <w:bCs/>
          <w:sz w:val="20"/>
          <w:szCs w:val="20"/>
        </w:rPr>
      </w:pPr>
      <w:r w:rsidRPr="00983777">
        <w:rPr>
          <w:bCs/>
          <w:sz w:val="20"/>
          <w:szCs w:val="20"/>
          <w:vertAlign w:val="superscript"/>
        </w:rPr>
        <w:t>b.</w:t>
      </w:r>
      <w:r w:rsidRPr="00223FE9">
        <w:rPr>
          <w:bCs/>
          <w:sz w:val="20"/>
          <w:szCs w:val="20"/>
        </w:rPr>
        <w:t xml:space="preserve"> This ICR uses the following labor rates: $46.21 for technical, $62.27 for managerial, and $25.01 for clerical labor.  These rates are from the Office of Personnel Management (OPM), 2013 General Schedule, which excludes </w:t>
      </w:r>
      <w:proofErr w:type="gramStart"/>
      <w:r w:rsidRPr="00223FE9">
        <w:rPr>
          <w:bCs/>
          <w:sz w:val="20"/>
          <w:szCs w:val="20"/>
        </w:rPr>
        <w:t>locality</w:t>
      </w:r>
      <w:proofErr w:type="gramEnd"/>
      <w:r w:rsidRPr="00223FE9">
        <w:rPr>
          <w:bCs/>
          <w:sz w:val="20"/>
          <w:szCs w:val="20"/>
        </w:rPr>
        <w:t xml:space="preserve"> rates of pay.  The rates have been increased by 60 percent to account for the benefit packages available </w:t>
      </w:r>
      <w:r>
        <w:rPr>
          <w:bCs/>
          <w:sz w:val="20"/>
          <w:szCs w:val="20"/>
        </w:rPr>
        <w:t>to government employees.</w:t>
      </w:r>
      <w:r>
        <w:rPr>
          <w:bCs/>
          <w:sz w:val="20"/>
          <w:szCs w:val="20"/>
        </w:rPr>
        <w:tab/>
      </w:r>
    </w:p>
    <w:p w:rsidR="00223FE9" w:rsidRPr="00223FE9" w:rsidRDefault="00223FE9" w:rsidP="00223FE9">
      <w:pPr>
        <w:ind w:left="180" w:hanging="180"/>
        <w:rPr>
          <w:bCs/>
          <w:sz w:val="20"/>
          <w:szCs w:val="20"/>
        </w:rPr>
      </w:pPr>
      <w:r w:rsidRPr="00983777">
        <w:rPr>
          <w:bCs/>
          <w:sz w:val="20"/>
          <w:szCs w:val="20"/>
          <w:vertAlign w:val="superscript"/>
        </w:rPr>
        <w:t>c.</w:t>
      </w:r>
      <w:r w:rsidRPr="00223FE9">
        <w:rPr>
          <w:bCs/>
          <w:sz w:val="20"/>
          <w:szCs w:val="20"/>
        </w:rPr>
        <w:t xml:space="preserve"> We have assumed it will take two hours per respondent to review the emission level determination/op</w:t>
      </w:r>
      <w:r>
        <w:rPr>
          <w:bCs/>
          <w:sz w:val="20"/>
          <w:szCs w:val="20"/>
        </w:rPr>
        <w:t>erational change report.</w:t>
      </w:r>
    </w:p>
    <w:p w:rsidR="00223FE9" w:rsidRPr="00223FE9" w:rsidRDefault="00223FE9" w:rsidP="00223FE9">
      <w:pPr>
        <w:ind w:left="180" w:hanging="180"/>
        <w:rPr>
          <w:bCs/>
          <w:sz w:val="20"/>
          <w:szCs w:val="20"/>
        </w:rPr>
      </w:pPr>
      <w:r w:rsidRPr="00983777">
        <w:rPr>
          <w:bCs/>
          <w:sz w:val="20"/>
          <w:szCs w:val="20"/>
          <w:vertAlign w:val="superscript"/>
        </w:rPr>
        <w:t>d.</w:t>
      </w:r>
      <w:r w:rsidRPr="00223FE9">
        <w:rPr>
          <w:bCs/>
          <w:sz w:val="20"/>
          <w:szCs w:val="20"/>
        </w:rPr>
        <w:t xml:space="preserve"> We have assumed it will take two hours per respondent per month to review the monthly ambient concentrations report.</w:t>
      </w:r>
    </w:p>
    <w:sectPr w:rsidR="00223FE9" w:rsidRPr="00223FE9" w:rsidSect="000D501C">
      <w:pgSz w:w="15840" w:h="12240" w:orient="landscape"/>
      <w:pgMar w:top="1440" w:right="144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9A1" w:rsidRDefault="00B449A1">
      <w:r>
        <w:separator/>
      </w:r>
    </w:p>
  </w:endnote>
  <w:endnote w:type="continuationSeparator" w:id="0">
    <w:p w:rsidR="00B449A1" w:rsidRDefault="00B44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9A1" w:rsidRDefault="00B449A1">
      <w:r>
        <w:separator/>
      </w:r>
    </w:p>
  </w:footnote>
  <w:footnote w:type="continuationSeparator" w:id="0">
    <w:p w:rsidR="00B449A1" w:rsidRDefault="00B44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B6" w:rsidRDefault="00D141F5">
    <w:pPr>
      <w:framePr w:w="9361" w:wrap="notBeside" w:vAnchor="text" w:hAnchor="text" w:x="1" w:y="1"/>
      <w:jc w:val="center"/>
    </w:pPr>
    <w:fldSimple w:instr="PAGE ">
      <w:r w:rsidR="00725901">
        <w:rPr>
          <w:noProof/>
        </w:rPr>
        <w:t>16</w:t>
      </w:r>
    </w:fldSimple>
  </w:p>
  <w:p w:rsidR="007301B6" w:rsidRDefault="007301B6"/>
  <w:p w:rsidR="007301B6" w:rsidRDefault="007301B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4C55B73"/>
    <w:multiLevelType w:val="hybridMultilevel"/>
    <w:tmpl w:val="2D7C7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77DA8"/>
    <w:multiLevelType w:val="hybridMultilevel"/>
    <w:tmpl w:val="D0A4D7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9428FE"/>
    <w:multiLevelType w:val="hybridMultilevel"/>
    <w:tmpl w:val="C5F02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nsid w:val="6A2308BB"/>
    <w:multiLevelType w:val="hybridMultilevel"/>
    <w:tmpl w:val="79EE2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1"/>
  </w:num>
  <w:num w:numId="4">
    <w:abstractNumId w:val="12"/>
  </w:num>
  <w:num w:numId="5">
    <w:abstractNumId w:val="10"/>
  </w:num>
  <w:num w:numId="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449A"/>
    <w:rsid w:val="0000687D"/>
    <w:rsid w:val="0002255C"/>
    <w:rsid w:val="0002713B"/>
    <w:rsid w:val="0003619B"/>
    <w:rsid w:val="00055BDF"/>
    <w:rsid w:val="00055DC5"/>
    <w:rsid w:val="000A1FBB"/>
    <w:rsid w:val="000A687C"/>
    <w:rsid w:val="000D2272"/>
    <w:rsid w:val="000D501C"/>
    <w:rsid w:val="000F772C"/>
    <w:rsid w:val="000F7EFA"/>
    <w:rsid w:val="00101B40"/>
    <w:rsid w:val="00102B52"/>
    <w:rsid w:val="0010697C"/>
    <w:rsid w:val="00123889"/>
    <w:rsid w:val="00126A7C"/>
    <w:rsid w:val="001356D4"/>
    <w:rsid w:val="001401A0"/>
    <w:rsid w:val="0014079D"/>
    <w:rsid w:val="00144978"/>
    <w:rsid w:val="00144A82"/>
    <w:rsid w:val="00144F35"/>
    <w:rsid w:val="00151565"/>
    <w:rsid w:val="0015433E"/>
    <w:rsid w:val="001841D7"/>
    <w:rsid w:val="00186DA3"/>
    <w:rsid w:val="00195753"/>
    <w:rsid w:val="001A0B41"/>
    <w:rsid w:val="001A6886"/>
    <w:rsid w:val="001B0B9A"/>
    <w:rsid w:val="001B35F2"/>
    <w:rsid w:val="001C5991"/>
    <w:rsid w:val="001D762C"/>
    <w:rsid w:val="001F19FF"/>
    <w:rsid w:val="002041C5"/>
    <w:rsid w:val="002063FE"/>
    <w:rsid w:val="00206932"/>
    <w:rsid w:val="0021722B"/>
    <w:rsid w:val="00223FE9"/>
    <w:rsid w:val="0022738C"/>
    <w:rsid w:val="00234A28"/>
    <w:rsid w:val="00236DB3"/>
    <w:rsid w:val="002431D9"/>
    <w:rsid w:val="002638A0"/>
    <w:rsid w:val="002712EB"/>
    <w:rsid w:val="0027222A"/>
    <w:rsid w:val="002743D2"/>
    <w:rsid w:val="00277F42"/>
    <w:rsid w:val="00281CAE"/>
    <w:rsid w:val="002857D8"/>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468FD"/>
    <w:rsid w:val="003511C6"/>
    <w:rsid w:val="0035325B"/>
    <w:rsid w:val="00354C15"/>
    <w:rsid w:val="0036303E"/>
    <w:rsid w:val="0037693C"/>
    <w:rsid w:val="003B2791"/>
    <w:rsid w:val="003C4B46"/>
    <w:rsid w:val="003C5023"/>
    <w:rsid w:val="003E2B37"/>
    <w:rsid w:val="003E30B5"/>
    <w:rsid w:val="003E4C18"/>
    <w:rsid w:val="003E5DC2"/>
    <w:rsid w:val="003F1952"/>
    <w:rsid w:val="0040391F"/>
    <w:rsid w:val="0044133C"/>
    <w:rsid w:val="00441954"/>
    <w:rsid w:val="00442232"/>
    <w:rsid w:val="00451EF6"/>
    <w:rsid w:val="00455557"/>
    <w:rsid w:val="004607C3"/>
    <w:rsid w:val="00473DC0"/>
    <w:rsid w:val="00484A45"/>
    <w:rsid w:val="004A4B25"/>
    <w:rsid w:val="004C1770"/>
    <w:rsid w:val="004C5E95"/>
    <w:rsid w:val="004C701D"/>
    <w:rsid w:val="004F1469"/>
    <w:rsid w:val="004F5414"/>
    <w:rsid w:val="004F6FCD"/>
    <w:rsid w:val="004F7B9A"/>
    <w:rsid w:val="00504745"/>
    <w:rsid w:val="00507EC5"/>
    <w:rsid w:val="00516952"/>
    <w:rsid w:val="005253D4"/>
    <w:rsid w:val="00527B30"/>
    <w:rsid w:val="005332C8"/>
    <w:rsid w:val="00535DEC"/>
    <w:rsid w:val="005366EB"/>
    <w:rsid w:val="00551815"/>
    <w:rsid w:val="00555452"/>
    <w:rsid w:val="00560AD2"/>
    <w:rsid w:val="00565A51"/>
    <w:rsid w:val="00571260"/>
    <w:rsid w:val="00583626"/>
    <w:rsid w:val="00597050"/>
    <w:rsid w:val="005A1986"/>
    <w:rsid w:val="005B5DE8"/>
    <w:rsid w:val="005C3665"/>
    <w:rsid w:val="005C42AC"/>
    <w:rsid w:val="005D385C"/>
    <w:rsid w:val="005D3A65"/>
    <w:rsid w:val="005D6195"/>
    <w:rsid w:val="005E194B"/>
    <w:rsid w:val="005F42F8"/>
    <w:rsid w:val="00601205"/>
    <w:rsid w:val="00606DEF"/>
    <w:rsid w:val="0062656F"/>
    <w:rsid w:val="006267A3"/>
    <w:rsid w:val="00631517"/>
    <w:rsid w:val="00635DBD"/>
    <w:rsid w:val="006741F7"/>
    <w:rsid w:val="00694B55"/>
    <w:rsid w:val="006A620F"/>
    <w:rsid w:val="006D1B12"/>
    <w:rsid w:val="006E1F8E"/>
    <w:rsid w:val="006E4A6E"/>
    <w:rsid w:val="006E642B"/>
    <w:rsid w:val="006F0EDD"/>
    <w:rsid w:val="006F7B23"/>
    <w:rsid w:val="0072156B"/>
    <w:rsid w:val="00724BC7"/>
    <w:rsid w:val="00725901"/>
    <w:rsid w:val="007301B6"/>
    <w:rsid w:val="00756372"/>
    <w:rsid w:val="00763160"/>
    <w:rsid w:val="007661A1"/>
    <w:rsid w:val="00780612"/>
    <w:rsid w:val="00786A20"/>
    <w:rsid w:val="007A0634"/>
    <w:rsid w:val="007A16F4"/>
    <w:rsid w:val="007A458D"/>
    <w:rsid w:val="007C0FAA"/>
    <w:rsid w:val="007E6FF4"/>
    <w:rsid w:val="007F07FB"/>
    <w:rsid w:val="00810507"/>
    <w:rsid w:val="00813E69"/>
    <w:rsid w:val="00817E8B"/>
    <w:rsid w:val="008233BD"/>
    <w:rsid w:val="008338D4"/>
    <w:rsid w:val="0084255D"/>
    <w:rsid w:val="008426D4"/>
    <w:rsid w:val="00850ACF"/>
    <w:rsid w:val="00852038"/>
    <w:rsid w:val="00861489"/>
    <w:rsid w:val="008826B0"/>
    <w:rsid w:val="0088639E"/>
    <w:rsid w:val="008A42CE"/>
    <w:rsid w:val="008A46EB"/>
    <w:rsid w:val="008A6013"/>
    <w:rsid w:val="008B407C"/>
    <w:rsid w:val="008B46D9"/>
    <w:rsid w:val="008B62DA"/>
    <w:rsid w:val="008E65E6"/>
    <w:rsid w:val="008F285B"/>
    <w:rsid w:val="008F4564"/>
    <w:rsid w:val="009018EC"/>
    <w:rsid w:val="00906EDB"/>
    <w:rsid w:val="00912E00"/>
    <w:rsid w:val="00923C46"/>
    <w:rsid w:val="00930F00"/>
    <w:rsid w:val="00935EE9"/>
    <w:rsid w:val="009711DB"/>
    <w:rsid w:val="00983777"/>
    <w:rsid w:val="00990752"/>
    <w:rsid w:val="009A0F50"/>
    <w:rsid w:val="009A16CD"/>
    <w:rsid w:val="009C06F5"/>
    <w:rsid w:val="009D6567"/>
    <w:rsid w:val="009D7EBE"/>
    <w:rsid w:val="009E0F31"/>
    <w:rsid w:val="009E6566"/>
    <w:rsid w:val="00A007F5"/>
    <w:rsid w:val="00A038EC"/>
    <w:rsid w:val="00A145B0"/>
    <w:rsid w:val="00A15172"/>
    <w:rsid w:val="00A26EF7"/>
    <w:rsid w:val="00A277D6"/>
    <w:rsid w:val="00A379F8"/>
    <w:rsid w:val="00A5464F"/>
    <w:rsid w:val="00A54EEA"/>
    <w:rsid w:val="00A56BFF"/>
    <w:rsid w:val="00A64884"/>
    <w:rsid w:val="00A71977"/>
    <w:rsid w:val="00A73600"/>
    <w:rsid w:val="00A74C1E"/>
    <w:rsid w:val="00A7661C"/>
    <w:rsid w:val="00A95BC7"/>
    <w:rsid w:val="00A962DF"/>
    <w:rsid w:val="00AA4103"/>
    <w:rsid w:val="00AD72CF"/>
    <w:rsid w:val="00AE098B"/>
    <w:rsid w:val="00AF70A1"/>
    <w:rsid w:val="00B07F79"/>
    <w:rsid w:val="00B16C07"/>
    <w:rsid w:val="00B449A1"/>
    <w:rsid w:val="00B46A57"/>
    <w:rsid w:val="00B50BF8"/>
    <w:rsid w:val="00B65754"/>
    <w:rsid w:val="00B66130"/>
    <w:rsid w:val="00B66231"/>
    <w:rsid w:val="00B71671"/>
    <w:rsid w:val="00B769F1"/>
    <w:rsid w:val="00B816B0"/>
    <w:rsid w:val="00B82025"/>
    <w:rsid w:val="00BA0A91"/>
    <w:rsid w:val="00BA4887"/>
    <w:rsid w:val="00BB1524"/>
    <w:rsid w:val="00BB3390"/>
    <w:rsid w:val="00BB3C1A"/>
    <w:rsid w:val="00BC6DEF"/>
    <w:rsid w:val="00BD7CAE"/>
    <w:rsid w:val="00BE1C7D"/>
    <w:rsid w:val="00BE2989"/>
    <w:rsid w:val="00BE7A11"/>
    <w:rsid w:val="00BF722F"/>
    <w:rsid w:val="00C13FE8"/>
    <w:rsid w:val="00C25657"/>
    <w:rsid w:val="00C30A60"/>
    <w:rsid w:val="00C33ABA"/>
    <w:rsid w:val="00C37BB6"/>
    <w:rsid w:val="00C52EFD"/>
    <w:rsid w:val="00C5367B"/>
    <w:rsid w:val="00C60B12"/>
    <w:rsid w:val="00C64378"/>
    <w:rsid w:val="00C75CF0"/>
    <w:rsid w:val="00C808B5"/>
    <w:rsid w:val="00C82DB6"/>
    <w:rsid w:val="00CA4CD6"/>
    <w:rsid w:val="00CA6E55"/>
    <w:rsid w:val="00CA7DA0"/>
    <w:rsid w:val="00CB33CC"/>
    <w:rsid w:val="00CC48AB"/>
    <w:rsid w:val="00CC58F6"/>
    <w:rsid w:val="00CD0AF2"/>
    <w:rsid w:val="00CD2069"/>
    <w:rsid w:val="00CD280D"/>
    <w:rsid w:val="00CF2B37"/>
    <w:rsid w:val="00CF6699"/>
    <w:rsid w:val="00D13D9A"/>
    <w:rsid w:val="00D141F5"/>
    <w:rsid w:val="00D14A8D"/>
    <w:rsid w:val="00D1527A"/>
    <w:rsid w:val="00D21198"/>
    <w:rsid w:val="00D2273E"/>
    <w:rsid w:val="00D373E1"/>
    <w:rsid w:val="00D42D52"/>
    <w:rsid w:val="00D46FA2"/>
    <w:rsid w:val="00D5080D"/>
    <w:rsid w:val="00D56F5F"/>
    <w:rsid w:val="00D61B37"/>
    <w:rsid w:val="00D63B96"/>
    <w:rsid w:val="00D715BC"/>
    <w:rsid w:val="00D92F66"/>
    <w:rsid w:val="00D95819"/>
    <w:rsid w:val="00DA7285"/>
    <w:rsid w:val="00DB0AC0"/>
    <w:rsid w:val="00DB59E1"/>
    <w:rsid w:val="00DD1AC1"/>
    <w:rsid w:val="00DD7D49"/>
    <w:rsid w:val="00DF5C4E"/>
    <w:rsid w:val="00E0128E"/>
    <w:rsid w:val="00E10DA7"/>
    <w:rsid w:val="00E1538C"/>
    <w:rsid w:val="00E25DB6"/>
    <w:rsid w:val="00E276CD"/>
    <w:rsid w:val="00E32EDA"/>
    <w:rsid w:val="00E44C37"/>
    <w:rsid w:val="00E53137"/>
    <w:rsid w:val="00E63ABD"/>
    <w:rsid w:val="00E702F6"/>
    <w:rsid w:val="00E72D70"/>
    <w:rsid w:val="00E77D5E"/>
    <w:rsid w:val="00E868BB"/>
    <w:rsid w:val="00EA37A9"/>
    <w:rsid w:val="00EA7026"/>
    <w:rsid w:val="00EB7F63"/>
    <w:rsid w:val="00EC4074"/>
    <w:rsid w:val="00ED741E"/>
    <w:rsid w:val="00EF0326"/>
    <w:rsid w:val="00EF113F"/>
    <w:rsid w:val="00F02EB3"/>
    <w:rsid w:val="00F03080"/>
    <w:rsid w:val="00F033F0"/>
    <w:rsid w:val="00F03803"/>
    <w:rsid w:val="00F066C9"/>
    <w:rsid w:val="00F20822"/>
    <w:rsid w:val="00F340DF"/>
    <w:rsid w:val="00F354E5"/>
    <w:rsid w:val="00F538BC"/>
    <w:rsid w:val="00F84384"/>
    <w:rsid w:val="00F87E6A"/>
    <w:rsid w:val="00F9092B"/>
    <w:rsid w:val="00F92D22"/>
    <w:rsid w:val="00FB0650"/>
    <w:rsid w:val="00FB37F6"/>
    <w:rsid w:val="00FB4D98"/>
    <w:rsid w:val="00FB6378"/>
    <w:rsid w:val="00FB7BCE"/>
    <w:rsid w:val="00FC4E09"/>
    <w:rsid w:val="00FD72B2"/>
    <w:rsid w:val="00FE2099"/>
    <w:rsid w:val="00FE7236"/>
    <w:rsid w:val="00FF5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BB1524"/>
    <w:rPr>
      <w:sz w:val="24"/>
      <w:szCs w:val="24"/>
    </w:rPr>
  </w:style>
  <w:style w:type="paragraph" w:styleId="ListParagraph">
    <w:name w:val="List Paragraph"/>
    <w:basedOn w:val="Normal"/>
    <w:uiPriority w:val="34"/>
    <w:qFormat/>
    <w:rsid w:val="000D501C"/>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21488200">
      <w:bodyDiv w:val="1"/>
      <w:marLeft w:val="0"/>
      <w:marRight w:val="0"/>
      <w:marTop w:val="0"/>
      <w:marBottom w:val="0"/>
      <w:divBdr>
        <w:top w:val="none" w:sz="0" w:space="0" w:color="auto"/>
        <w:left w:val="none" w:sz="0" w:space="0" w:color="auto"/>
        <w:bottom w:val="none" w:sz="0" w:space="0" w:color="auto"/>
        <w:right w:val="none" w:sz="0" w:space="0" w:color="auto"/>
      </w:divBdr>
    </w:div>
    <w:div w:id="1614365709">
      <w:bodyDiv w:val="1"/>
      <w:marLeft w:val="0"/>
      <w:marRight w:val="0"/>
      <w:marTop w:val="0"/>
      <w:marBottom w:val="0"/>
      <w:divBdr>
        <w:top w:val="none" w:sz="0" w:space="0" w:color="auto"/>
        <w:left w:val="none" w:sz="0" w:space="0" w:color="auto"/>
        <w:bottom w:val="none" w:sz="0" w:space="0" w:color="auto"/>
        <w:right w:val="none" w:sz="0" w:space="0" w:color="auto"/>
      </w:divBdr>
    </w:div>
    <w:div w:id="19206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9342-2397-4406-B92D-C71E6429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5196</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2013-11-26T19:29:00Z</cp:lastPrinted>
  <dcterms:created xsi:type="dcterms:W3CDTF">2013-12-16T16:54:00Z</dcterms:created>
  <dcterms:modified xsi:type="dcterms:W3CDTF">2013-12-16T16:54:00Z</dcterms:modified>
</cp:coreProperties>
</file>