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623"/>
        <w:gridCol w:w="6988"/>
        <w:gridCol w:w="574"/>
        <w:gridCol w:w="141"/>
        <w:gridCol w:w="13"/>
        <w:gridCol w:w="728"/>
        <w:gridCol w:w="103"/>
        <w:gridCol w:w="10"/>
        <w:gridCol w:w="448"/>
        <w:gridCol w:w="164"/>
        <w:gridCol w:w="8"/>
        <w:gridCol w:w="687"/>
        <w:gridCol w:w="31"/>
        <w:gridCol w:w="10"/>
        <w:gridCol w:w="554"/>
        <w:gridCol w:w="157"/>
        <w:gridCol w:w="36"/>
        <w:gridCol w:w="31"/>
        <w:gridCol w:w="10"/>
        <w:gridCol w:w="29"/>
      </w:tblGrid>
      <w:tr w:rsidR="00955095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55095" w:rsidRPr="0010662B" w:rsidRDefault="00955095" w:rsidP="0061734D">
            <w:pPr>
              <w:spacing w:after="0" w:line="240" w:lineRule="auto"/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</w:pPr>
            <w:bookmarkStart w:id="0" w:name="_GoBack"/>
            <w:bookmarkEnd w:id="0"/>
            <w:r w:rsidRPr="0010662B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>Schedule RC-R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>, Part I.B</w:t>
            </w:r>
            <w:r w:rsidRPr="0010662B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 –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10662B"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>Regulatory Capital</w:t>
            </w:r>
            <w:r>
              <w:rPr>
                <w:rFonts w:cs="Calibri"/>
                <w:b/>
                <w:bCs/>
                <w:color w:val="000000"/>
                <w:sz w:val="28"/>
                <w:szCs w:val="28"/>
                <w:u w:val="single"/>
              </w:rPr>
              <w:t xml:space="preserve"> Components and Ratios</w:t>
            </w:r>
          </w:p>
        </w:tc>
        <w:tc>
          <w:tcPr>
            <w:tcW w:w="2876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</w:tcPr>
          <w:p w:rsidR="00955095" w:rsidRPr="00955095" w:rsidRDefault="00955095" w:rsidP="00955095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28"/>
                <w:szCs w:val="28"/>
              </w:rPr>
            </w:pPr>
            <w:r w:rsidRPr="00955095">
              <w:rPr>
                <w:rFonts w:cs="Calibri"/>
                <w:b/>
                <w:color w:val="000000"/>
                <w:sz w:val="28"/>
                <w:szCs w:val="28"/>
              </w:rPr>
              <w:t>FFIEC  031 and 041</w:t>
            </w:r>
          </w:p>
        </w:tc>
        <w:tc>
          <w:tcPr>
            <w:tcW w:w="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55095" w:rsidRPr="00E55F2B" w:rsidRDefault="00955095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D59FC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59FC" w:rsidRDefault="009D59FC" w:rsidP="00D137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Advanced approaches </w:t>
            </w:r>
            <w:r w:rsidR="00955C9E">
              <w:rPr>
                <w:rFonts w:cs="Calibri"/>
                <w:color w:val="000000"/>
                <w:sz w:val="20"/>
                <w:szCs w:val="20"/>
              </w:rPr>
              <w:t>institutions</w:t>
            </w:r>
            <w:r w:rsidR="00B738E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773A19" w:rsidRPr="008F6929">
              <w:rPr>
                <w:rFonts w:cs="Calibri"/>
                <w:color w:val="000000"/>
                <w:sz w:val="20"/>
                <w:szCs w:val="20"/>
              </w:rPr>
              <w:t xml:space="preserve">must </w:t>
            </w:r>
            <w:r w:rsidR="00E6357D">
              <w:rPr>
                <w:rFonts w:cs="Calibri"/>
                <w:color w:val="000000"/>
                <w:sz w:val="20"/>
                <w:szCs w:val="20"/>
              </w:rPr>
              <w:t>complete</w:t>
            </w:r>
            <w:r w:rsidR="00773A19">
              <w:rPr>
                <w:rFonts w:cs="Calibri"/>
                <w:color w:val="000000"/>
                <w:sz w:val="20"/>
                <w:szCs w:val="20"/>
              </w:rPr>
              <w:t xml:space="preserve"> this Schedule </w:t>
            </w:r>
            <w:r w:rsidR="00871507">
              <w:rPr>
                <w:rFonts w:cs="Calibri"/>
                <w:color w:val="000000"/>
                <w:sz w:val="20"/>
                <w:szCs w:val="20"/>
              </w:rPr>
              <w:t>R</w:t>
            </w:r>
            <w:r w:rsidR="00773A19">
              <w:rPr>
                <w:rFonts w:cs="Calibri"/>
                <w:color w:val="000000"/>
                <w:sz w:val="20"/>
                <w:szCs w:val="20"/>
              </w:rPr>
              <w:t xml:space="preserve">C-R, Part 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>I</w:t>
            </w:r>
            <w:r w:rsidR="00773A19">
              <w:rPr>
                <w:rFonts w:cs="Calibri"/>
                <w:color w:val="000000"/>
                <w:sz w:val="20"/>
                <w:szCs w:val="20"/>
              </w:rPr>
              <w:t xml:space="preserve">.B,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starting on </w:t>
            </w:r>
            <w:r w:rsidR="00120FF9">
              <w:rPr>
                <w:rFonts w:cs="Calibri"/>
                <w:color w:val="000000"/>
                <w:sz w:val="20"/>
                <w:szCs w:val="20"/>
              </w:rPr>
              <w:t>March 31</w:t>
            </w:r>
            <w:r>
              <w:rPr>
                <w:rFonts w:cs="Calibri"/>
                <w:color w:val="000000"/>
                <w:sz w:val="20"/>
                <w:szCs w:val="20"/>
              </w:rPr>
              <w:t>, 2014.</w:t>
            </w:r>
          </w:p>
          <w:p w:rsidR="009D59FC" w:rsidRDefault="00773A19" w:rsidP="00D137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Starting on March 31, 2015, all </w:t>
            </w:r>
            <w:r w:rsidR="009D59FC">
              <w:rPr>
                <w:rFonts w:cs="Calibri"/>
                <w:color w:val="000000"/>
                <w:sz w:val="20"/>
                <w:szCs w:val="20"/>
              </w:rPr>
              <w:t xml:space="preserve">other </w:t>
            </w:r>
            <w:r w:rsidR="00871507">
              <w:rPr>
                <w:rFonts w:cs="Calibri"/>
                <w:color w:val="000000"/>
                <w:sz w:val="20"/>
                <w:szCs w:val="20"/>
              </w:rPr>
              <w:t>institutions</w:t>
            </w:r>
            <w:r w:rsidR="009D59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 xml:space="preserve">also </w:t>
            </w:r>
            <w:r w:rsidR="009D59FC">
              <w:rPr>
                <w:rFonts w:cs="Calibri"/>
                <w:color w:val="000000"/>
                <w:sz w:val="20"/>
                <w:szCs w:val="20"/>
              </w:rPr>
              <w:t xml:space="preserve">must </w:t>
            </w:r>
            <w:r w:rsidR="00E6357D">
              <w:rPr>
                <w:rFonts w:cs="Calibri"/>
                <w:color w:val="000000"/>
                <w:sz w:val="20"/>
                <w:szCs w:val="20"/>
              </w:rPr>
              <w:t>complete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this 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>Part I.B</w:t>
            </w:r>
            <w:r w:rsidR="009D59FC">
              <w:rPr>
                <w:rFonts w:cs="Calibri"/>
                <w:color w:val="000000"/>
                <w:sz w:val="20"/>
                <w:szCs w:val="20"/>
              </w:rPr>
              <w:t>.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 xml:space="preserve">  On that date, Schedule RC-R, Part I.A</w:t>
            </w:r>
            <w:r w:rsidR="00E6357D">
              <w:rPr>
                <w:rFonts w:cs="Calibri"/>
                <w:color w:val="000000"/>
                <w:sz w:val="20"/>
                <w:szCs w:val="20"/>
              </w:rPr>
              <w:t>,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 xml:space="preserve"> will be removed and Part I.B will be designated Part I.</w:t>
            </w:r>
            <w:r w:rsidR="009D59F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D59FC" w:rsidRDefault="0025006B" w:rsidP="00D137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Part I.B</w:t>
            </w:r>
            <w:r w:rsidR="009D59FC" w:rsidRPr="00E55F2B">
              <w:rPr>
                <w:rFonts w:cs="Calibri"/>
                <w:color w:val="000000"/>
                <w:sz w:val="20"/>
                <w:szCs w:val="20"/>
              </w:rPr>
              <w:t xml:space="preserve"> is to be 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>completed</w:t>
            </w:r>
            <w:r w:rsidR="009D59FC" w:rsidRPr="00E55F2B">
              <w:rPr>
                <w:rFonts w:cs="Calibri"/>
                <w:color w:val="000000"/>
                <w:sz w:val="20"/>
                <w:szCs w:val="20"/>
              </w:rPr>
              <w:t xml:space="preserve"> on a consolidated basis</w:t>
            </w:r>
            <w:r w:rsidR="009D59FC">
              <w:rPr>
                <w:rFonts w:cs="Calibri"/>
                <w:color w:val="000000"/>
                <w:sz w:val="20"/>
                <w:szCs w:val="20"/>
              </w:rPr>
              <w:t>.</w:t>
            </w:r>
          </w:p>
          <w:p w:rsidR="009D59FC" w:rsidRPr="00E55F2B" w:rsidRDefault="009D59FC" w:rsidP="00D137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59FC" w:rsidRPr="00E55F2B" w:rsidRDefault="009D59FC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D59FC" w:rsidRPr="00E55F2B" w:rsidRDefault="009D59FC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59FC" w:rsidRPr="00E55F2B" w:rsidRDefault="009D59FC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9FC" w:rsidRPr="00E55F2B" w:rsidRDefault="009D59FC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D59FC" w:rsidRPr="00E55F2B" w:rsidRDefault="009D59FC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 xml:space="preserve">Dollar Amounts in Thousands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36426B" w:rsidRPr="00E55F2B" w:rsidRDefault="00E350CA" w:rsidP="0095509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RC</w:t>
            </w:r>
            <w:r w:rsidR="00955095">
              <w:rPr>
                <w:rFonts w:cs="Calibr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Bil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Mil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Thou</w:t>
            </w:r>
          </w:p>
        </w:tc>
        <w:tc>
          <w:tcPr>
            <w:tcW w:w="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b/>
                <w:bCs/>
                <w:color w:val="000000"/>
                <w:sz w:val="20"/>
                <w:szCs w:val="20"/>
              </w:rPr>
              <w:t>Common equity tier 1 capital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" w:name="_Ref331676123"/>
          </w:p>
        </w:tc>
        <w:bookmarkEnd w:id="1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222BBA" w:rsidRDefault="0036426B" w:rsidP="00706452">
            <w:pPr>
              <w:spacing w:after="0" w:line="240" w:lineRule="auto"/>
              <w:rPr>
                <w:rFonts w:cs="Calibri"/>
                <w:i/>
                <w:color w:val="000000"/>
                <w:sz w:val="16"/>
                <w:szCs w:val="16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Common stock plus related surplus, net of treasury stock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63387B">
              <w:rPr>
                <w:rFonts w:cs="Calibri"/>
                <w:color w:val="000000"/>
                <w:sz w:val="20"/>
                <w:szCs w:val="20"/>
              </w:rPr>
              <w:t xml:space="preserve">and unearned </w:t>
            </w:r>
            <w:r w:rsidR="00706452">
              <w:rPr>
                <w:rFonts w:cs="Calibri"/>
                <w:color w:val="000000"/>
                <w:sz w:val="20"/>
                <w:szCs w:val="20"/>
              </w:rPr>
              <w:t>e</w:t>
            </w:r>
            <w:r w:rsidR="0063387B">
              <w:rPr>
                <w:rFonts w:cs="Calibri"/>
                <w:color w:val="000000"/>
                <w:sz w:val="20"/>
                <w:szCs w:val="20"/>
              </w:rPr>
              <w:t xml:space="preserve">mployee </w:t>
            </w:r>
            <w:r w:rsidR="00706452">
              <w:rPr>
                <w:rFonts w:cs="Calibri"/>
                <w:color w:val="000000"/>
                <w:sz w:val="20"/>
                <w:szCs w:val="20"/>
              </w:rPr>
              <w:t>s</w:t>
            </w:r>
            <w:r w:rsidR="0063387B">
              <w:rPr>
                <w:rFonts w:cs="Calibri"/>
                <w:color w:val="000000"/>
                <w:sz w:val="20"/>
                <w:szCs w:val="20"/>
              </w:rPr>
              <w:t xml:space="preserve">tock </w:t>
            </w:r>
            <w:r w:rsidR="00706452">
              <w:rPr>
                <w:rFonts w:cs="Calibri"/>
                <w:color w:val="000000"/>
                <w:sz w:val="20"/>
                <w:szCs w:val="20"/>
              </w:rPr>
              <w:t>o</w:t>
            </w:r>
            <w:r w:rsidR="0063387B">
              <w:rPr>
                <w:rFonts w:cs="Calibri"/>
                <w:color w:val="000000"/>
                <w:sz w:val="20"/>
                <w:szCs w:val="20"/>
              </w:rPr>
              <w:t xml:space="preserve">wnership </w:t>
            </w:r>
            <w:r w:rsidR="00706452">
              <w:rPr>
                <w:rFonts w:cs="Calibri"/>
                <w:color w:val="000000"/>
                <w:sz w:val="20"/>
                <w:szCs w:val="20"/>
              </w:rPr>
              <w:t>p</w:t>
            </w:r>
            <w:r w:rsidR="0063387B">
              <w:rPr>
                <w:rFonts w:cs="Calibri"/>
                <w:color w:val="000000"/>
                <w:sz w:val="20"/>
                <w:szCs w:val="20"/>
              </w:rPr>
              <w:t xml:space="preserve">lan (ESOP) </w:t>
            </w:r>
            <w:r w:rsidR="00A4643E">
              <w:rPr>
                <w:rFonts w:cs="Calibri"/>
                <w:color w:val="000000"/>
                <w:sz w:val="20"/>
                <w:szCs w:val="20"/>
              </w:rPr>
              <w:t>shares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6B" w:rsidRPr="00C566F3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D773E3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D773E3" w:rsidRDefault="0036426B" w:rsidP="00790E8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D773E3">
              <w:rPr>
                <w:rFonts w:cs="Calibri"/>
                <w:color w:val="000000"/>
                <w:sz w:val="20"/>
                <w:szCs w:val="20"/>
              </w:rPr>
              <w:t>Retained earnings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…………………………………………………………………………………………………….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 </w:t>
            </w:r>
          </w:p>
        </w:tc>
      </w:tr>
      <w:tr w:rsidR="00DD2500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D2500" w:rsidRPr="00D773E3" w:rsidRDefault="00DD2500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D2500" w:rsidRPr="00D773E3" w:rsidRDefault="00DD2500" w:rsidP="00790E8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D773E3">
              <w:rPr>
                <w:rFonts w:cs="Calibri"/>
                <w:color w:val="000000"/>
                <w:sz w:val="20"/>
                <w:szCs w:val="20"/>
              </w:rPr>
              <w:t>Accumulated other comprehensive income (AOCI)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………………………………………………….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2500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00" w:rsidRPr="00E55F2B" w:rsidRDefault="00DD2500" w:rsidP="00202C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00" w:rsidRPr="00E55F2B" w:rsidRDefault="00DD2500" w:rsidP="00202C01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2500" w:rsidRPr="00E55F2B" w:rsidRDefault="00DD2500" w:rsidP="00D55B5C">
            <w:pPr>
              <w:tabs>
                <w:tab w:val="left" w:pos="493"/>
              </w:tabs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D2500" w:rsidRPr="00E55F2B" w:rsidRDefault="00DD2500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334D9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334D9" w:rsidRPr="00D773E3" w:rsidRDefault="00E334D9" w:rsidP="00202C01">
            <w:pPr>
              <w:pStyle w:val="ListParagraph"/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</w:tcBorders>
            <w:vAlign w:val="center"/>
          </w:tcPr>
          <w:p w:rsidR="00E334D9" w:rsidRPr="00D773E3" w:rsidRDefault="00E334D9" w:rsidP="00E334D9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34D9" w:rsidRPr="00E334D9" w:rsidRDefault="00E334D9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334D9" w:rsidRPr="00E55F2B" w:rsidRDefault="00E334D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55B5C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5B5C" w:rsidRPr="00D773E3" w:rsidRDefault="00D55B5C" w:rsidP="00202C01">
            <w:pPr>
              <w:pStyle w:val="ListParagraph"/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</w:tcBorders>
            <w:vAlign w:val="center"/>
          </w:tcPr>
          <w:p w:rsidR="00D55B5C" w:rsidRDefault="00D55B5C" w:rsidP="00D1373C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a.  AOCI opt-out election</w:t>
            </w:r>
            <w:r w:rsidRPr="00202C0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1A40EC">
              <w:rPr>
                <w:rFonts w:cs="Calibri"/>
                <w:color w:val="000000"/>
                <w:sz w:val="20"/>
                <w:szCs w:val="20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</w:rPr>
              <w:t>e</w:t>
            </w:r>
            <w:r w:rsidRPr="001A40EC">
              <w:rPr>
                <w:rFonts w:cs="Calibri"/>
                <w:color w:val="000000"/>
                <w:sz w:val="20"/>
                <w:szCs w:val="20"/>
              </w:rPr>
              <w:t>nter “1” for Yes; enter “0” for No</w:t>
            </w:r>
            <w:r w:rsidR="001E73C0">
              <w:rPr>
                <w:rFonts w:cs="Calibri"/>
                <w:color w:val="000000"/>
                <w:sz w:val="20"/>
                <w:szCs w:val="20"/>
              </w:rPr>
              <w:t>.</w:t>
            </w:r>
            <w:r w:rsidRPr="001A40EC">
              <w:rPr>
                <w:rFonts w:cs="Calibri"/>
                <w:color w:val="000000"/>
                <w:sz w:val="20"/>
                <w:szCs w:val="20"/>
              </w:rPr>
              <w:t>)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………………………………..</w:t>
            </w:r>
          </w:p>
        </w:tc>
        <w:tc>
          <w:tcPr>
            <w:tcW w:w="728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A40EC">
              <w:rPr>
                <w:rFonts w:cs="Calibri"/>
                <w:color w:val="000000"/>
                <w:sz w:val="20"/>
                <w:szCs w:val="20"/>
              </w:rPr>
              <w:t>0=No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B5C" w:rsidRPr="00E334D9" w:rsidRDefault="00EB5179" w:rsidP="00C566F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RC</w:t>
            </w:r>
            <w:r w:rsidR="00C566F3">
              <w:rPr>
                <w:rFonts w:cs="Calibr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55B5C" w:rsidRPr="00E55F2B" w:rsidRDefault="00D55B5C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55B5C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left w:val="nil"/>
              <w:bottom w:val="nil"/>
              <w:right w:val="nil"/>
            </w:tcBorders>
            <w:noWrap/>
          </w:tcPr>
          <w:p w:rsidR="00D55B5C" w:rsidRPr="00D773E3" w:rsidRDefault="00D55B5C" w:rsidP="00202C01">
            <w:pPr>
              <w:pStyle w:val="ListParagraph"/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left w:val="nil"/>
              <w:bottom w:val="nil"/>
            </w:tcBorders>
            <w:vAlign w:val="center"/>
          </w:tcPr>
          <w:p w:rsidR="00D55B5C" w:rsidRDefault="00D55B5C" w:rsidP="00E334D9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1A40EC">
              <w:rPr>
                <w:rFonts w:cs="Calibri"/>
                <w:color w:val="000000"/>
                <w:sz w:val="20"/>
                <w:szCs w:val="20"/>
              </w:rPr>
              <w:t>1=Yes</w:t>
            </w:r>
          </w:p>
        </w:tc>
        <w:tc>
          <w:tcPr>
            <w:tcW w:w="72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B5C" w:rsidRPr="00E334D9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55B5C" w:rsidRPr="00E55F2B" w:rsidRDefault="00D55B5C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55B5C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55B5C" w:rsidRPr="00D773E3" w:rsidRDefault="00D55B5C" w:rsidP="00202C01">
            <w:pPr>
              <w:pStyle w:val="ListParagraph"/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</w:tcBorders>
            <w:vAlign w:val="center"/>
          </w:tcPr>
          <w:p w:rsidR="00D55B5C" w:rsidRDefault="00D55B5C" w:rsidP="00E334D9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B5C" w:rsidRPr="00E334D9" w:rsidRDefault="00D55B5C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D55B5C" w:rsidRPr="00E55F2B" w:rsidRDefault="00D55B5C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B5179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B5179" w:rsidRPr="00D773E3" w:rsidRDefault="00EB5179" w:rsidP="00202C01">
            <w:pPr>
              <w:pStyle w:val="ListParagraph"/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right w:val="nil"/>
            </w:tcBorders>
            <w:vAlign w:val="center"/>
          </w:tcPr>
          <w:p w:rsidR="00EB5179" w:rsidRDefault="00EB5179" w:rsidP="00EB6C71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179" w:rsidRPr="00E334D9" w:rsidRDefault="00955095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RCxx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79" w:rsidRPr="00E334D9" w:rsidRDefault="00EB5179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Bil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79" w:rsidRPr="00E334D9" w:rsidRDefault="00EB5179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Mil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5179" w:rsidRPr="00E334D9" w:rsidRDefault="00EB5179" w:rsidP="00E334D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Thou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</w:tcPr>
          <w:p w:rsidR="00EB5179" w:rsidRPr="00E55F2B" w:rsidRDefault="00EB517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D773E3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2" w:name="_Ref331676130"/>
          </w:p>
        </w:tc>
        <w:bookmarkEnd w:id="2"/>
        <w:tc>
          <w:tcPr>
            <w:tcW w:w="6988" w:type="dxa"/>
            <w:tcBorders>
              <w:left w:val="nil"/>
              <w:right w:val="nil"/>
            </w:tcBorders>
            <w:vAlign w:val="center"/>
          </w:tcPr>
          <w:p w:rsidR="0036426B" w:rsidRPr="00D773E3" w:rsidRDefault="009F0EE2" w:rsidP="00955C9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D773E3">
              <w:rPr>
                <w:rFonts w:cs="Calibri"/>
                <w:color w:val="000000"/>
                <w:sz w:val="20"/>
                <w:szCs w:val="20"/>
              </w:rPr>
              <w:t xml:space="preserve">Common equity tier </w:t>
            </w:r>
            <w:r w:rsidR="00B42AB0" w:rsidRPr="00D773E3">
              <w:rPr>
                <w:rFonts w:cs="Calibri"/>
                <w:color w:val="000000"/>
                <w:sz w:val="20"/>
                <w:szCs w:val="20"/>
              </w:rPr>
              <w:t xml:space="preserve">1 </w:t>
            </w:r>
            <w:r w:rsidRPr="00D773E3">
              <w:rPr>
                <w:rFonts w:cs="Calibri"/>
                <w:color w:val="000000"/>
                <w:sz w:val="20"/>
                <w:szCs w:val="20"/>
              </w:rPr>
              <w:t>m</w:t>
            </w:r>
            <w:r w:rsidR="0036426B" w:rsidRPr="00D773E3">
              <w:rPr>
                <w:rFonts w:cs="Calibri"/>
                <w:color w:val="000000"/>
                <w:sz w:val="20"/>
                <w:szCs w:val="20"/>
              </w:rPr>
              <w:t xml:space="preserve">inority interest includable in common equity tier 1 capital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D773E3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3" w:name="_Ref331676167"/>
          </w:p>
        </w:tc>
        <w:bookmarkEnd w:id="3"/>
        <w:tc>
          <w:tcPr>
            <w:tcW w:w="6988" w:type="dxa"/>
            <w:tcBorders>
              <w:top w:val="nil"/>
              <w:left w:val="nil"/>
              <w:right w:val="nil"/>
            </w:tcBorders>
            <w:vAlign w:val="center"/>
          </w:tcPr>
          <w:p w:rsidR="0036426B" w:rsidRPr="00D773E3" w:rsidRDefault="0036426B" w:rsidP="0096624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D773E3">
              <w:rPr>
                <w:rFonts w:cs="Calibri"/>
                <w:color w:val="000000"/>
                <w:sz w:val="20"/>
                <w:szCs w:val="20"/>
              </w:rPr>
              <w:t xml:space="preserve">Common equity tier 1 capital before adjustments </w:t>
            </w:r>
            <w:r w:rsidR="0096624F" w:rsidRPr="00D773E3">
              <w:rPr>
                <w:rFonts w:cs="Calibri"/>
                <w:color w:val="000000"/>
                <w:sz w:val="20"/>
                <w:szCs w:val="20"/>
              </w:rPr>
              <w:t xml:space="preserve">and deductions </w:t>
            </w:r>
            <w:r w:rsidRPr="00D773E3">
              <w:rPr>
                <w:rFonts w:cs="Calibri"/>
                <w:color w:val="000000"/>
                <w:sz w:val="20"/>
                <w:szCs w:val="20"/>
              </w:rPr>
              <w:t>(sum of items 1 through 4)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………………………………………………………………………………………………………………..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26B" w:rsidRPr="00E55F2B" w:rsidRDefault="0036426B" w:rsidP="00E62085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26B" w:rsidRPr="00E55F2B" w:rsidRDefault="0036426B" w:rsidP="008145A3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b/>
                <w:bCs/>
                <w:color w:val="000000"/>
                <w:sz w:val="20"/>
                <w:szCs w:val="20"/>
              </w:rPr>
              <w:t>Common equity tier 1 capital: adjustments</w:t>
            </w:r>
            <w:r w:rsidR="008145A3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and</w:t>
            </w:r>
            <w:r w:rsidR="008145A3" w:rsidRPr="00E55F2B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deductions </w:t>
            </w:r>
          </w:p>
        </w:tc>
        <w:tc>
          <w:tcPr>
            <w:tcW w:w="728" w:type="dxa"/>
            <w:gridSpan w:val="3"/>
            <w:tcBorders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left w:val="nil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6426B" w:rsidRPr="00E55F2B" w:rsidRDefault="009D59FC" w:rsidP="00870F1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Goodwill net of </w:t>
            </w:r>
            <w:r w:rsidR="00AC342E">
              <w:rPr>
                <w:rFonts w:cs="Calibri"/>
                <w:color w:val="000000"/>
                <w:sz w:val="20"/>
                <w:szCs w:val="20"/>
              </w:rPr>
              <w:t xml:space="preserve">associated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deferred tax liabilities (DTLs)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……………………………….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426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right w:val="nil"/>
            </w:tcBorders>
            <w:noWrap/>
          </w:tcPr>
          <w:p w:rsidR="0036426B" w:rsidRPr="00E55F2B" w:rsidRDefault="0036426B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26B" w:rsidRPr="00E55F2B" w:rsidRDefault="009A03CB" w:rsidP="00BA13F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Intangible</w:t>
            </w:r>
            <w:r w:rsidR="0036426B">
              <w:rPr>
                <w:rFonts w:cs="Calibri"/>
                <w:color w:val="000000"/>
                <w:sz w:val="20"/>
                <w:szCs w:val="20"/>
              </w:rPr>
              <w:t xml:space="preserve"> assets </w:t>
            </w:r>
            <w:r w:rsidR="008145A3">
              <w:rPr>
                <w:rFonts w:cs="Calibri"/>
                <w:color w:val="000000"/>
                <w:sz w:val="20"/>
                <w:szCs w:val="20"/>
              </w:rPr>
              <w:t>(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other than goodwill and </w:t>
            </w:r>
            <w:r w:rsidR="008145A3">
              <w:rPr>
                <w:rFonts w:cs="Calibri"/>
                <w:color w:val="000000"/>
                <w:sz w:val="20"/>
                <w:szCs w:val="20"/>
              </w:rPr>
              <w:t>m</w:t>
            </w:r>
            <w:r w:rsidR="008145A3" w:rsidRPr="00E55F2B">
              <w:rPr>
                <w:rFonts w:cs="Calibri"/>
                <w:color w:val="000000"/>
                <w:sz w:val="20"/>
                <w:szCs w:val="20"/>
              </w:rPr>
              <w:t xml:space="preserve">ortgage </w:t>
            </w:r>
            <w:r w:rsidR="008145A3">
              <w:rPr>
                <w:rFonts w:cs="Calibri"/>
                <w:color w:val="000000"/>
                <w:sz w:val="20"/>
                <w:szCs w:val="20"/>
              </w:rPr>
              <w:t>s</w:t>
            </w:r>
            <w:r w:rsidR="008145A3" w:rsidRPr="00E55F2B">
              <w:rPr>
                <w:rFonts w:cs="Calibri"/>
                <w:color w:val="000000"/>
                <w:sz w:val="20"/>
                <w:szCs w:val="20"/>
              </w:rPr>
              <w:t xml:space="preserve">ervicing </w:t>
            </w:r>
            <w:r w:rsidR="008145A3">
              <w:rPr>
                <w:rFonts w:cs="Calibri"/>
                <w:color w:val="000000"/>
                <w:sz w:val="20"/>
                <w:szCs w:val="20"/>
              </w:rPr>
              <w:t>a</w:t>
            </w:r>
            <w:r w:rsidR="008145A3" w:rsidRPr="00E55F2B">
              <w:rPr>
                <w:rFonts w:cs="Calibri"/>
                <w:color w:val="000000"/>
                <w:sz w:val="20"/>
                <w:szCs w:val="20"/>
              </w:rPr>
              <w:t xml:space="preserve">ssets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(MSAs)</w:t>
            </w:r>
            <w:r w:rsidR="008145A3">
              <w:rPr>
                <w:rFonts w:cs="Calibri"/>
                <w:color w:val="000000"/>
                <w:sz w:val="20"/>
                <w:szCs w:val="20"/>
              </w:rPr>
              <w:t>)</w:t>
            </w:r>
            <w:r w:rsidR="0036426B">
              <w:rPr>
                <w:rFonts w:cs="Calibri"/>
                <w:color w:val="000000"/>
                <w:sz w:val="20"/>
                <w:szCs w:val="20"/>
              </w:rPr>
              <w:t xml:space="preserve">, net of </w:t>
            </w:r>
            <w:r w:rsidR="00AC342E">
              <w:rPr>
                <w:rFonts w:cs="Calibri"/>
                <w:color w:val="000000"/>
                <w:sz w:val="20"/>
                <w:szCs w:val="20"/>
              </w:rPr>
              <w:t xml:space="preserve">associated </w:t>
            </w:r>
            <w:r w:rsidR="0036426B">
              <w:rPr>
                <w:rFonts w:cs="Calibri"/>
                <w:color w:val="000000"/>
                <w:sz w:val="20"/>
                <w:szCs w:val="20"/>
              </w:rPr>
              <w:t>DTLs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  <w:trHeight w:val="498"/>
        </w:trPr>
        <w:tc>
          <w:tcPr>
            <w:tcW w:w="623" w:type="dxa"/>
            <w:tcBorders>
              <w:top w:val="nil"/>
              <w:left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6426B" w:rsidRPr="00E55F2B" w:rsidRDefault="009A03CB" w:rsidP="009F524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Deferred tax assets (DTAs) that arise from </w:t>
            </w:r>
            <w:r w:rsidR="00773A19">
              <w:rPr>
                <w:rFonts w:cs="Calibri"/>
                <w:color w:val="000000"/>
                <w:sz w:val="20"/>
                <w:szCs w:val="20"/>
              </w:rPr>
              <w:t xml:space="preserve">net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operating loss and tax credit carryforwards, net of </w:t>
            </w:r>
            <w:r w:rsidR="00773A19">
              <w:rPr>
                <w:rFonts w:cs="Calibri"/>
                <w:color w:val="000000"/>
                <w:sz w:val="20"/>
                <w:szCs w:val="20"/>
              </w:rPr>
              <w:t xml:space="preserve">any </w:t>
            </w:r>
            <w:r w:rsidR="009F5243">
              <w:rPr>
                <w:rFonts w:cs="Calibri"/>
                <w:color w:val="000000"/>
                <w:sz w:val="20"/>
                <w:szCs w:val="20"/>
              </w:rPr>
              <w:t>related</w:t>
            </w:r>
            <w:r w:rsidR="009F5243" w:rsidRPr="00E55F2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AC342E">
              <w:rPr>
                <w:rFonts w:cs="Calibri"/>
                <w:color w:val="000000"/>
                <w:sz w:val="20"/>
                <w:szCs w:val="20"/>
              </w:rPr>
              <w:t xml:space="preserve">valuation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allowances and net of DTLs</w:t>
            </w:r>
            <w:r w:rsidR="00825661">
              <w:rPr>
                <w:rFonts w:cs="Calibri"/>
                <w:color w:val="000000"/>
                <w:sz w:val="20"/>
                <w:szCs w:val="20"/>
              </w:rPr>
              <w:t>………………..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6B" w:rsidRPr="00E55F2B" w:rsidRDefault="0036426B" w:rsidP="00A8338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6B" w:rsidRPr="00E55F2B" w:rsidRDefault="0036426B" w:rsidP="00A8338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6B" w:rsidRPr="00E55F2B" w:rsidRDefault="0036426B" w:rsidP="00A8338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342E" w:rsidRPr="00E55F2B" w:rsidTr="000F4908">
        <w:trPr>
          <w:gridAfter w:val="2"/>
          <w:wAfter w:w="39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C342E" w:rsidRPr="00E55F2B" w:rsidRDefault="00AC342E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342E" w:rsidRPr="009F5243" w:rsidRDefault="00AC342E" w:rsidP="003019C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AOCI-related adjustments</w:t>
            </w:r>
            <w:r w:rsidR="00DD2500"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r w:rsidR="00EB5179">
              <w:rPr>
                <w:rFonts w:cs="Calibri"/>
                <w:color w:val="000000"/>
                <w:sz w:val="20"/>
                <w:szCs w:val="20"/>
              </w:rPr>
              <w:t xml:space="preserve">if entered “1” for Yes in 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 xml:space="preserve">item </w:t>
            </w:r>
            <w:r w:rsidR="00EB5179">
              <w:rPr>
                <w:rFonts w:cs="Calibri"/>
                <w:color w:val="000000"/>
                <w:sz w:val="20"/>
                <w:szCs w:val="20"/>
              </w:rPr>
              <w:t xml:space="preserve">3.a, 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>complete only items</w:t>
            </w:r>
            <w:r w:rsidR="00D30A60">
              <w:rPr>
                <w:rFonts w:cs="Calibri"/>
                <w:color w:val="000000"/>
                <w:sz w:val="20"/>
                <w:szCs w:val="20"/>
              </w:rPr>
              <w:t> </w:t>
            </w:r>
            <w:r w:rsidR="00EB5179">
              <w:rPr>
                <w:rFonts w:cs="Calibri"/>
                <w:color w:val="000000"/>
                <w:sz w:val="20"/>
                <w:szCs w:val="20"/>
              </w:rPr>
              <w:t xml:space="preserve">9.a through 9.e; if 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 xml:space="preserve">entered </w:t>
            </w:r>
            <w:r w:rsidR="00EB5179">
              <w:rPr>
                <w:rFonts w:cs="Calibri"/>
                <w:color w:val="000000"/>
                <w:sz w:val="20"/>
                <w:szCs w:val="20"/>
              </w:rPr>
              <w:t xml:space="preserve">“0” for No in 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 xml:space="preserve">item </w:t>
            </w:r>
            <w:r w:rsidR="00EB5179">
              <w:rPr>
                <w:rFonts w:cs="Calibri"/>
                <w:color w:val="000000"/>
                <w:sz w:val="20"/>
                <w:szCs w:val="20"/>
              </w:rPr>
              <w:t xml:space="preserve">3.a, </w:t>
            </w:r>
            <w:r w:rsidR="003019C2">
              <w:rPr>
                <w:rFonts w:cs="Calibri"/>
                <w:color w:val="000000"/>
                <w:sz w:val="20"/>
                <w:szCs w:val="20"/>
              </w:rPr>
              <w:t xml:space="preserve"> complete only item </w:t>
            </w:r>
            <w:r w:rsidR="00EB5179">
              <w:rPr>
                <w:rFonts w:cs="Calibri"/>
                <w:color w:val="000000"/>
                <w:sz w:val="20"/>
                <w:szCs w:val="20"/>
              </w:rPr>
              <w:t>9.f</w:t>
            </w:r>
            <w:r w:rsidR="00DD2500">
              <w:rPr>
                <w:rFonts w:cs="Calibri"/>
                <w:color w:val="000000"/>
                <w:sz w:val="20"/>
                <w:szCs w:val="20"/>
              </w:rPr>
              <w:t>)</w:t>
            </w:r>
            <w:r w:rsidR="00FB5EF1">
              <w:rPr>
                <w:rFonts w:cs="Calibri"/>
                <w:color w:val="000000"/>
                <w:sz w:val="20"/>
                <w:szCs w:val="20"/>
              </w:rPr>
              <w:t>:</w:t>
            </w:r>
            <w:r w:rsidR="00DD250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342E" w:rsidRPr="00E55F2B" w:rsidRDefault="00AC342E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342E" w:rsidRPr="00E55F2B" w:rsidRDefault="00AC342E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D4C31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D4C31" w:rsidRPr="00E55F2B" w:rsidRDefault="00AD4C31" w:rsidP="009F5243">
            <w:pPr>
              <w:pStyle w:val="ListParagraph"/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4C31" w:rsidRPr="009F5243" w:rsidRDefault="00202C01" w:rsidP="009A03CB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</w:t>
            </w:r>
            <w:r w:rsidR="00AD4C31">
              <w:rPr>
                <w:rFonts w:cs="Calibri"/>
                <w:color w:val="000000"/>
                <w:sz w:val="20"/>
                <w:szCs w:val="20"/>
              </w:rPr>
              <w:t xml:space="preserve">.  </w:t>
            </w:r>
            <w:r w:rsidR="009A03CB">
              <w:rPr>
                <w:rFonts w:cs="Calibri"/>
                <w:color w:val="000000"/>
                <w:sz w:val="20"/>
                <w:szCs w:val="20"/>
              </w:rPr>
              <w:t>LESS</w:t>
            </w:r>
            <w:r w:rsidR="00AD4C31">
              <w:rPr>
                <w:rFonts w:cs="Calibri"/>
                <w:color w:val="000000"/>
                <w:sz w:val="20"/>
                <w:szCs w:val="20"/>
              </w:rPr>
              <w:t>:</w:t>
            </w:r>
            <w:r w:rsidR="00AD4C31" w:rsidRPr="009F524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9A03CB">
              <w:rPr>
                <w:rFonts w:cs="Calibri"/>
                <w:color w:val="000000"/>
                <w:sz w:val="20"/>
                <w:szCs w:val="20"/>
              </w:rPr>
              <w:t>N</w:t>
            </w:r>
            <w:r w:rsidR="009A03CB" w:rsidRPr="009F5243">
              <w:rPr>
                <w:rFonts w:cs="Calibri"/>
                <w:color w:val="000000"/>
                <w:sz w:val="20"/>
                <w:szCs w:val="20"/>
              </w:rPr>
              <w:t xml:space="preserve">et </w:t>
            </w:r>
            <w:r w:rsidR="00AD4C31" w:rsidRPr="009F5243">
              <w:rPr>
                <w:rFonts w:cs="Calibri"/>
                <w:color w:val="000000"/>
                <w:sz w:val="20"/>
                <w:szCs w:val="20"/>
              </w:rPr>
              <w:t xml:space="preserve">unrealized gains (losses) on </w:t>
            </w:r>
            <w:r w:rsidR="00AD4C31">
              <w:rPr>
                <w:rFonts w:cs="Calibri"/>
                <w:color w:val="000000"/>
                <w:sz w:val="20"/>
                <w:szCs w:val="20"/>
              </w:rPr>
              <w:t>available-for-sale</w:t>
            </w:r>
            <w:r w:rsidR="00AD4C31" w:rsidRPr="009F5243">
              <w:rPr>
                <w:rFonts w:cs="Calibri"/>
                <w:color w:val="000000"/>
                <w:sz w:val="20"/>
                <w:szCs w:val="20"/>
              </w:rPr>
              <w:t xml:space="preserve"> securities</w:t>
            </w:r>
            <w:r w:rsidR="00AD4C3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AD4C31" w:rsidRPr="00AD4C31">
              <w:rPr>
                <w:rFonts w:cs="Calibri"/>
                <w:color w:val="000000"/>
                <w:sz w:val="20"/>
                <w:szCs w:val="20"/>
              </w:rPr>
              <w:t>(if a gain, report as a positive value; if a loss, report as a negative value)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D4C31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4C31" w:rsidRPr="00E55F2B" w:rsidRDefault="00AD4C31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D4C31" w:rsidRPr="00E55F2B" w:rsidRDefault="00AD4C31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D4C31" w:rsidRPr="00E55F2B" w:rsidRDefault="00AD4C31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D4C31" w:rsidRPr="00E55F2B" w:rsidRDefault="00AD4C31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F5243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F5243" w:rsidRPr="009F5243" w:rsidRDefault="009F5243" w:rsidP="009F5243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243" w:rsidRPr="009F5243" w:rsidRDefault="00202C01" w:rsidP="00FA5605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b</w:t>
            </w:r>
            <w:r w:rsidR="009F5243">
              <w:rPr>
                <w:rFonts w:cs="Calibri"/>
                <w:color w:val="000000"/>
                <w:sz w:val="20"/>
                <w:szCs w:val="20"/>
              </w:rPr>
              <w:t xml:space="preserve">.  </w:t>
            </w:r>
            <w:r w:rsidR="009A03CB">
              <w:rPr>
                <w:rFonts w:cs="Calibri"/>
                <w:color w:val="000000"/>
                <w:sz w:val="20"/>
                <w:szCs w:val="20"/>
              </w:rPr>
              <w:t>LESS</w:t>
            </w:r>
            <w:r w:rsidR="00AD4C31">
              <w:rPr>
                <w:rFonts w:cs="Calibri"/>
                <w:color w:val="000000"/>
                <w:sz w:val="20"/>
                <w:szCs w:val="20"/>
              </w:rPr>
              <w:t>:</w:t>
            </w:r>
            <w:r w:rsidR="00AD4C31" w:rsidRPr="009F524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9A03CB">
              <w:rPr>
                <w:rFonts w:cs="Calibri"/>
                <w:color w:val="000000"/>
                <w:sz w:val="20"/>
                <w:szCs w:val="20"/>
              </w:rPr>
              <w:t>N</w:t>
            </w:r>
            <w:r w:rsidR="009A03CB" w:rsidRPr="009F5243">
              <w:rPr>
                <w:rFonts w:cs="Calibri"/>
                <w:color w:val="000000"/>
                <w:sz w:val="20"/>
                <w:szCs w:val="20"/>
              </w:rPr>
              <w:t xml:space="preserve">et </w:t>
            </w:r>
            <w:r w:rsidR="00AD4C31" w:rsidRPr="009F5243">
              <w:rPr>
                <w:rFonts w:cs="Calibri"/>
                <w:color w:val="000000"/>
                <w:sz w:val="20"/>
                <w:szCs w:val="20"/>
              </w:rPr>
              <w:t xml:space="preserve">unrealized loss on </w:t>
            </w:r>
            <w:r w:rsidR="00AD4C31">
              <w:rPr>
                <w:rFonts w:cs="Calibri"/>
                <w:color w:val="000000"/>
                <w:sz w:val="20"/>
                <w:szCs w:val="20"/>
              </w:rPr>
              <w:t>available-for-sale</w:t>
            </w:r>
            <w:r w:rsidR="00AD4C31" w:rsidRPr="009F524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5D0E60" w:rsidRPr="00900891">
              <w:rPr>
                <w:rFonts w:cs="Calibri"/>
                <w:color w:val="000000"/>
                <w:sz w:val="20"/>
                <w:szCs w:val="20"/>
              </w:rPr>
              <w:t xml:space="preserve">preferred stock classified as an equity security under GAAP and </w:t>
            </w:r>
            <w:r w:rsidR="00FA5605">
              <w:rPr>
                <w:rFonts w:cs="Calibri"/>
                <w:color w:val="000000"/>
                <w:sz w:val="20"/>
                <w:szCs w:val="20"/>
              </w:rPr>
              <w:t xml:space="preserve">available-for-sale </w:t>
            </w:r>
            <w:r w:rsidR="005D0E60" w:rsidRPr="00900891">
              <w:rPr>
                <w:rFonts w:cs="Calibri"/>
                <w:color w:val="000000"/>
                <w:sz w:val="20"/>
                <w:szCs w:val="20"/>
              </w:rPr>
              <w:t>equity exposures</w:t>
            </w:r>
            <w:r w:rsidR="00AD4C31" w:rsidRPr="009F524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D01CE9" w:rsidRPr="00D01CE9">
              <w:rPr>
                <w:rFonts w:cs="Calibri"/>
                <w:color w:val="000000"/>
                <w:sz w:val="20"/>
                <w:szCs w:val="20"/>
              </w:rPr>
              <w:t>(report loss as a positive value)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243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43" w:rsidRPr="00E55F2B" w:rsidRDefault="009F5243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243" w:rsidRPr="00E55F2B" w:rsidRDefault="009F5243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F5243" w:rsidRPr="00E55F2B" w:rsidRDefault="009F5243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F5243" w:rsidRPr="00E55F2B" w:rsidRDefault="009F5243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F5243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F5243" w:rsidRPr="009F5243" w:rsidRDefault="009F5243" w:rsidP="009F5243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243" w:rsidRDefault="00202C01" w:rsidP="00AC342E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</w:t>
            </w:r>
            <w:r w:rsidR="009F5243">
              <w:rPr>
                <w:rFonts w:cs="Calibri"/>
                <w:color w:val="000000"/>
                <w:sz w:val="20"/>
                <w:szCs w:val="20"/>
              </w:rPr>
              <w:t xml:space="preserve">.  </w:t>
            </w:r>
            <w:r w:rsidR="009A03CB">
              <w:rPr>
                <w:rFonts w:cs="Calibri"/>
                <w:color w:val="000000"/>
                <w:sz w:val="20"/>
                <w:szCs w:val="20"/>
              </w:rPr>
              <w:t>LESS</w:t>
            </w:r>
            <w:r w:rsidR="00AD4C31">
              <w:rPr>
                <w:rFonts w:cs="Calibri"/>
                <w:color w:val="000000"/>
                <w:sz w:val="20"/>
                <w:szCs w:val="20"/>
              </w:rPr>
              <w:t>:</w:t>
            </w:r>
            <w:r w:rsidR="00AD4C31" w:rsidRPr="009F524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9A03CB">
              <w:rPr>
                <w:rFonts w:cs="Calibri"/>
                <w:color w:val="000000"/>
                <w:sz w:val="20"/>
                <w:szCs w:val="20"/>
              </w:rPr>
              <w:t>A</w:t>
            </w:r>
            <w:r w:rsidR="009A03CB" w:rsidRPr="009F5243">
              <w:rPr>
                <w:rFonts w:cs="Calibri"/>
                <w:color w:val="000000"/>
                <w:sz w:val="20"/>
                <w:szCs w:val="20"/>
              </w:rPr>
              <w:t xml:space="preserve">ccumulated </w:t>
            </w:r>
            <w:r w:rsidR="00AD4C31" w:rsidRPr="009F5243">
              <w:rPr>
                <w:rFonts w:cs="Calibri"/>
                <w:color w:val="000000"/>
                <w:sz w:val="20"/>
                <w:szCs w:val="20"/>
              </w:rPr>
              <w:t>net gains (losses) on cash flow hedges</w:t>
            </w:r>
            <w:r w:rsidR="00AD4C3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AD4C31" w:rsidRPr="00AD4C31">
              <w:rPr>
                <w:rFonts w:cs="Calibri"/>
                <w:color w:val="000000"/>
                <w:sz w:val="20"/>
                <w:szCs w:val="20"/>
              </w:rPr>
              <w:t>(if a gain, report as a positive value; if a loss, report as a negative value)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</w:t>
            </w:r>
            <w:r w:rsidR="001E73C0">
              <w:rPr>
                <w:rFonts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243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43" w:rsidRPr="00E55F2B" w:rsidRDefault="009F5243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243" w:rsidRPr="00E55F2B" w:rsidRDefault="009F5243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F5243" w:rsidRPr="00E55F2B" w:rsidRDefault="009F5243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F5243" w:rsidRPr="00E55F2B" w:rsidRDefault="009F5243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F5243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F5243" w:rsidRPr="009F5243" w:rsidRDefault="009F5243" w:rsidP="009F5243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243" w:rsidRDefault="00202C01" w:rsidP="00825661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r w:rsidR="009F5243" w:rsidRPr="009F5243">
              <w:rPr>
                <w:rFonts w:cs="Calibri"/>
                <w:color w:val="000000"/>
                <w:sz w:val="20"/>
                <w:szCs w:val="20"/>
              </w:rPr>
              <w:t>.</w:t>
            </w:r>
            <w:r w:rsidR="009F5243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  <w:r w:rsidR="00AA58F7">
              <w:rPr>
                <w:rFonts w:cs="Calibri"/>
                <w:color w:val="000000"/>
                <w:sz w:val="20"/>
                <w:szCs w:val="20"/>
              </w:rPr>
              <w:t>LESS</w:t>
            </w:r>
            <w:r w:rsidR="00D01CE9">
              <w:rPr>
                <w:rFonts w:cs="Calibri"/>
                <w:color w:val="000000"/>
                <w:sz w:val="20"/>
                <w:szCs w:val="20"/>
              </w:rPr>
              <w:t>:</w:t>
            </w:r>
            <w:r w:rsidR="009F5243" w:rsidRPr="009F524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773A19">
              <w:rPr>
                <w:rFonts w:cs="Calibri"/>
                <w:color w:val="000000"/>
                <w:sz w:val="20"/>
                <w:szCs w:val="20"/>
              </w:rPr>
              <w:t xml:space="preserve">Amounts recorded in AOCI </w:t>
            </w:r>
            <w:r w:rsidR="005D0E60" w:rsidRPr="00E54617">
              <w:rPr>
                <w:rFonts w:cs="Calibri"/>
                <w:color w:val="000000"/>
                <w:sz w:val="20"/>
                <w:szCs w:val="20"/>
              </w:rPr>
              <w:t xml:space="preserve">attributed to defined benefit postretirement plans resulting from the initial and subsequent application of the relevant GAAP standards that pertain to such plans </w:t>
            </w:r>
            <w:r w:rsidR="005D0E60" w:rsidRPr="008F692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D01CE9" w:rsidRPr="00AD4C31">
              <w:rPr>
                <w:rFonts w:cs="Calibri"/>
                <w:color w:val="000000"/>
                <w:sz w:val="20"/>
                <w:szCs w:val="20"/>
              </w:rPr>
              <w:t>(if a gain, report as a positive value; if a loss, report as a negative value)</w:t>
            </w:r>
            <w:r w:rsidR="003620C9">
              <w:rPr>
                <w:rFonts w:cs="Calibri"/>
                <w:color w:val="000000"/>
                <w:sz w:val="20"/>
                <w:szCs w:val="20"/>
              </w:rPr>
              <w:t>………………………………………………</w:t>
            </w:r>
            <w:r w:rsidR="00825661">
              <w:rPr>
                <w:rFonts w:cs="Calibri"/>
                <w:color w:val="000000"/>
                <w:sz w:val="20"/>
                <w:szCs w:val="20"/>
              </w:rPr>
              <w:t>………………………</w:t>
            </w:r>
            <w:r w:rsidR="001E73C0">
              <w:rPr>
                <w:rFonts w:cs="Calibri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F5243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5243" w:rsidRPr="00E55F2B" w:rsidRDefault="009F5243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F5243" w:rsidRPr="00E55F2B" w:rsidRDefault="009F5243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F5243" w:rsidRPr="00E55F2B" w:rsidRDefault="009F5243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F5243" w:rsidRPr="00E55F2B" w:rsidRDefault="009F5243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B5179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EB5179" w:rsidRPr="009F5243" w:rsidRDefault="00EB5179" w:rsidP="009F5243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179" w:rsidRDefault="00EB5179" w:rsidP="00D01CA6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e.  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5D0E60">
              <w:rPr>
                <w:rFonts w:cs="Calibri"/>
                <w:color w:val="000000"/>
                <w:sz w:val="20"/>
                <w:szCs w:val="20"/>
              </w:rPr>
              <w:t>Net u</w:t>
            </w:r>
            <w:r w:rsidR="005D0E60" w:rsidRPr="008F6929">
              <w:rPr>
                <w:rFonts w:cs="Calibri"/>
                <w:color w:val="000000"/>
                <w:sz w:val="20"/>
                <w:szCs w:val="20"/>
              </w:rPr>
              <w:t xml:space="preserve">nrealized </w:t>
            </w:r>
            <w:r w:rsidR="005D0E60">
              <w:rPr>
                <w:rFonts w:cs="Calibri"/>
                <w:color w:val="000000"/>
                <w:sz w:val="20"/>
                <w:szCs w:val="20"/>
              </w:rPr>
              <w:t>gains (losses) on</w:t>
            </w:r>
            <w:r w:rsidR="005D0E60" w:rsidRPr="008F6929">
              <w:rPr>
                <w:rFonts w:cs="Calibri"/>
                <w:color w:val="000000"/>
                <w:sz w:val="20"/>
                <w:szCs w:val="20"/>
              </w:rPr>
              <w:t xml:space="preserve"> held-to-maturity securities </w:t>
            </w:r>
            <w:r w:rsidR="005D0E60">
              <w:rPr>
                <w:rFonts w:cs="Calibri"/>
                <w:color w:val="000000"/>
                <w:sz w:val="20"/>
                <w:szCs w:val="20"/>
              </w:rPr>
              <w:t>that are included</w:t>
            </w:r>
            <w:r w:rsidR="005D0E60" w:rsidRPr="008F6929">
              <w:rPr>
                <w:rFonts w:cs="Calibri"/>
                <w:color w:val="000000"/>
                <w:sz w:val="20"/>
                <w:szCs w:val="20"/>
              </w:rPr>
              <w:t xml:space="preserve"> in AOCI </w:t>
            </w:r>
            <w:r w:rsidR="005D0E60">
              <w:rPr>
                <w:rFonts w:cs="Calibri"/>
                <w:color w:val="000000"/>
                <w:sz w:val="20"/>
                <w:szCs w:val="20"/>
              </w:rPr>
              <w:t>(</w:t>
            </w:r>
            <w:r w:rsidR="005D0E60" w:rsidRPr="008F6929">
              <w:rPr>
                <w:rFonts w:cs="Calibri"/>
                <w:color w:val="000000"/>
                <w:sz w:val="20"/>
                <w:szCs w:val="20"/>
              </w:rPr>
              <w:t>if a gain, report as a positive value; if a loss, report as a negative value</w:t>
            </w:r>
            <w:r w:rsidR="005D0E60">
              <w:rPr>
                <w:rFonts w:cs="Calibri"/>
                <w:color w:val="000000"/>
                <w:sz w:val="20"/>
                <w:szCs w:val="20"/>
              </w:rPr>
              <w:t>)</w:t>
            </w:r>
            <w:r w:rsidR="00825661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………………………………………………………………………………………………..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179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179" w:rsidRPr="00E55F2B" w:rsidRDefault="00EB5179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5179" w:rsidRPr="00E55F2B" w:rsidRDefault="00EB5179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B5179" w:rsidRPr="00E55F2B" w:rsidRDefault="00EB517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EB5179" w:rsidRPr="00E55F2B" w:rsidRDefault="00EB5179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D2FB5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D2FB5" w:rsidRPr="009F5243" w:rsidRDefault="00BD2FB5" w:rsidP="009F5243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179" w:rsidRDefault="00EB5179" w:rsidP="00BD2FB5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f</w:t>
            </w:r>
            <w:r w:rsidR="00BD2FB5">
              <w:rPr>
                <w:rFonts w:cs="Calibri"/>
                <w:color w:val="000000"/>
                <w:sz w:val="20"/>
                <w:szCs w:val="20"/>
              </w:rPr>
              <w:t xml:space="preserve">.  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D01CA6">
              <w:rPr>
                <w:rFonts w:cs="Calibri"/>
                <w:color w:val="000000"/>
                <w:sz w:val="20"/>
                <w:szCs w:val="20"/>
              </w:rPr>
              <w:t>To be completed only by i</w:t>
            </w:r>
            <w:r w:rsidR="00871507">
              <w:rPr>
                <w:rFonts w:cs="Calibri"/>
                <w:color w:val="000000"/>
                <w:sz w:val="20"/>
                <w:szCs w:val="20"/>
              </w:rPr>
              <w:t xml:space="preserve">nstitutions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that entered “0” for No in </w:t>
            </w:r>
            <w:r w:rsidR="00D01CA6">
              <w:rPr>
                <w:rFonts w:cs="Calibri"/>
                <w:color w:val="000000"/>
                <w:sz w:val="20"/>
                <w:szCs w:val="20"/>
              </w:rPr>
              <w:t xml:space="preserve">item </w:t>
            </w:r>
            <w:r>
              <w:rPr>
                <w:rFonts w:cs="Calibri"/>
                <w:color w:val="000000"/>
                <w:sz w:val="20"/>
                <w:szCs w:val="20"/>
              </w:rPr>
              <w:t>3.a:</w:t>
            </w:r>
          </w:p>
          <w:p w:rsidR="00BD2FB5" w:rsidRDefault="00EB5179" w:rsidP="007472EF">
            <w:pPr>
              <w:spacing w:after="0" w:line="240" w:lineRule="auto"/>
              <w:ind w:left="253" w:hanging="253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    </w:t>
            </w:r>
            <w:r w:rsidR="00BD2FB5"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20C9">
              <w:rPr>
                <w:rFonts w:cs="Calibri"/>
                <w:color w:val="000000"/>
                <w:sz w:val="20"/>
                <w:szCs w:val="20"/>
              </w:rPr>
              <w:t xml:space="preserve">Accumulated net </w:t>
            </w:r>
            <w:r w:rsidR="00BD2FB5" w:rsidRPr="00D773E3">
              <w:rPr>
                <w:rFonts w:cs="Calibri"/>
                <w:color w:val="000000"/>
                <w:sz w:val="20"/>
                <w:szCs w:val="20"/>
              </w:rPr>
              <w:t xml:space="preserve">gain </w:t>
            </w:r>
            <w:r w:rsidR="00BD2FB5">
              <w:rPr>
                <w:rFonts w:cs="Calibri"/>
                <w:color w:val="000000"/>
                <w:sz w:val="20"/>
                <w:szCs w:val="20"/>
              </w:rPr>
              <w:t>(</w:t>
            </w:r>
            <w:r w:rsidR="00BD2FB5" w:rsidRPr="00D773E3">
              <w:rPr>
                <w:rFonts w:cs="Calibri"/>
                <w:color w:val="000000"/>
                <w:sz w:val="20"/>
                <w:szCs w:val="20"/>
              </w:rPr>
              <w:t>loss</w:t>
            </w:r>
            <w:r w:rsidR="00BD2FB5">
              <w:rPr>
                <w:rFonts w:cs="Calibri"/>
                <w:color w:val="000000"/>
                <w:sz w:val="20"/>
                <w:szCs w:val="20"/>
              </w:rPr>
              <w:t>)</w:t>
            </w:r>
            <w:r w:rsidR="00BD2FB5" w:rsidRPr="00D773E3">
              <w:rPr>
                <w:rFonts w:cs="Calibri"/>
                <w:color w:val="000000"/>
                <w:sz w:val="20"/>
                <w:szCs w:val="20"/>
              </w:rPr>
              <w:t xml:space="preserve"> on cash</w:t>
            </w:r>
            <w:r w:rsidR="0052203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D2FB5" w:rsidRPr="00D773E3">
              <w:rPr>
                <w:rFonts w:cs="Calibri"/>
                <w:color w:val="000000"/>
                <w:sz w:val="20"/>
                <w:szCs w:val="20"/>
              </w:rPr>
              <w:t xml:space="preserve">flow hedges included in AOCI, net of </w:t>
            </w:r>
            <w:r w:rsidR="00BD2FB5">
              <w:rPr>
                <w:rFonts w:cs="Calibri"/>
                <w:color w:val="000000"/>
                <w:sz w:val="20"/>
                <w:szCs w:val="20"/>
              </w:rPr>
              <w:t xml:space="preserve">applicable </w:t>
            </w:r>
            <w:r w:rsidR="007472EF">
              <w:rPr>
                <w:rFonts w:cs="Calibri"/>
                <w:color w:val="000000"/>
                <w:sz w:val="20"/>
                <w:szCs w:val="20"/>
              </w:rPr>
              <w:t xml:space="preserve">income </w:t>
            </w:r>
            <w:r w:rsidR="00BD2FB5">
              <w:rPr>
                <w:rFonts w:cs="Calibri"/>
                <w:color w:val="000000"/>
                <w:sz w:val="20"/>
                <w:szCs w:val="20"/>
              </w:rPr>
              <w:t>tax</w:t>
            </w:r>
            <w:r w:rsidR="007472EF">
              <w:rPr>
                <w:rFonts w:cs="Calibri"/>
                <w:color w:val="000000"/>
                <w:sz w:val="20"/>
                <w:szCs w:val="20"/>
              </w:rPr>
              <w:t>es</w:t>
            </w:r>
            <w:r w:rsidR="00BD2FB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D2FB5" w:rsidRPr="00D773E3">
              <w:rPr>
                <w:rFonts w:cs="Calibri"/>
                <w:color w:val="000000"/>
                <w:sz w:val="20"/>
                <w:szCs w:val="20"/>
              </w:rPr>
              <w:t xml:space="preserve">, that relate to the hedging of items </w:t>
            </w:r>
            <w:r w:rsidR="00BD2FB5">
              <w:rPr>
                <w:rFonts w:cs="Calibri"/>
                <w:color w:val="000000"/>
                <w:sz w:val="20"/>
                <w:szCs w:val="20"/>
              </w:rPr>
              <w:t xml:space="preserve">that are </w:t>
            </w:r>
            <w:r w:rsidR="00BD2FB5" w:rsidRPr="00D773E3">
              <w:rPr>
                <w:rFonts w:cs="Calibri"/>
                <w:color w:val="000000"/>
                <w:sz w:val="20"/>
                <w:szCs w:val="20"/>
              </w:rPr>
              <w:t>not recognized at fair value on the balance sheet</w:t>
            </w:r>
            <w:r w:rsidR="00BD2FB5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D2FB5" w:rsidRPr="00AD4C31">
              <w:rPr>
                <w:rFonts w:cs="Calibri"/>
                <w:color w:val="000000"/>
                <w:sz w:val="20"/>
                <w:szCs w:val="20"/>
              </w:rPr>
              <w:t>(if a gain, report as a positive value; if a loss, report as a negative value)</w:t>
            </w:r>
            <w:r w:rsidR="003620C9">
              <w:rPr>
                <w:rFonts w:cs="Calibri"/>
                <w:color w:val="000000"/>
                <w:sz w:val="20"/>
                <w:szCs w:val="20"/>
              </w:rPr>
              <w:t>……………………………………………</w:t>
            </w:r>
            <w:r w:rsidR="001E73C0">
              <w:rPr>
                <w:rFonts w:cs="Calibri"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D2FB5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D2FB5" w:rsidRPr="00E55F2B" w:rsidRDefault="00BD2FB5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D2FB5" w:rsidRPr="00E55F2B" w:rsidRDefault="00BD2FB5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D2FB5" w:rsidRPr="00E55F2B" w:rsidRDefault="00BD2FB5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BD2FB5" w:rsidRPr="00E55F2B" w:rsidRDefault="00BD2FB5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01CA6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01CA6" w:rsidRPr="00E55F2B" w:rsidRDefault="00D01CA6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1CA6" w:rsidRPr="00881959" w:rsidRDefault="00D01CA6" w:rsidP="00FB5EF1">
            <w:pPr>
              <w:spacing w:after="0" w:line="240" w:lineRule="auto"/>
              <w:rPr>
                <w:rFonts w:cs="Calibri"/>
                <w:i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Other deductions from (additions to) common equity tier 1 capital before threshold-based deductions</w:t>
            </w:r>
            <w:r w:rsidR="00FB5EF1">
              <w:rPr>
                <w:rFonts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876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1CA6" w:rsidRPr="00E55F2B" w:rsidRDefault="00D01CA6" w:rsidP="00D01CA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01CA6" w:rsidRPr="00E55F2B" w:rsidRDefault="00D01CA6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D01CA6" w:rsidRPr="00E55F2B" w:rsidRDefault="00D01CA6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20C9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20C9" w:rsidRPr="003620C9" w:rsidRDefault="003620C9" w:rsidP="003620C9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20C9" w:rsidRDefault="003620C9" w:rsidP="00D30A60">
            <w:pPr>
              <w:spacing w:after="0" w:line="240" w:lineRule="auto"/>
              <w:ind w:left="259" w:hanging="259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a.  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8471B3">
              <w:rPr>
                <w:rFonts w:cs="Calibri"/>
                <w:color w:val="000000"/>
                <w:sz w:val="20"/>
                <w:szCs w:val="20"/>
              </w:rPr>
              <w:t>Unrealized net gain (loss) related to changes in the fair value of liabilities that are due to changes in own credit risk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8F6929">
              <w:rPr>
                <w:rFonts w:cs="Calibri"/>
                <w:color w:val="000000"/>
                <w:sz w:val="20"/>
                <w:szCs w:val="20"/>
              </w:rPr>
              <w:t>(if a gain, report as a positive value; if</w:t>
            </w:r>
            <w:r w:rsidR="00D30A60"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8F6929">
              <w:rPr>
                <w:rFonts w:cs="Calibri"/>
                <w:color w:val="000000"/>
                <w:sz w:val="20"/>
                <w:szCs w:val="20"/>
              </w:rPr>
              <w:t xml:space="preserve">a loss, report as a negative value) </w:t>
            </w:r>
            <w:r w:rsidR="00825661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</w:t>
            </w:r>
            <w:r w:rsidR="001E73C0">
              <w:rPr>
                <w:rFonts w:cs="Calibri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20C9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20C9" w:rsidRPr="00E55F2B" w:rsidRDefault="003620C9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20C9" w:rsidRPr="00E55F2B" w:rsidRDefault="003620C9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20C9" w:rsidRPr="00E55F2B" w:rsidRDefault="003620C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20C9" w:rsidRPr="00E55F2B" w:rsidRDefault="003620C9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B5EF1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FB5EF1" w:rsidRPr="00E55F2B" w:rsidRDefault="00FB5EF1" w:rsidP="00825661">
            <w:pPr>
              <w:pStyle w:val="ListParagraph"/>
              <w:numPr>
                <w:ilvl w:val="1"/>
                <w:numId w:val="1"/>
              </w:num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EF1" w:rsidRDefault="00FB5EF1" w:rsidP="00D30A60">
            <w:pPr>
              <w:spacing w:after="0" w:line="240" w:lineRule="auto"/>
              <w:ind w:left="259" w:hanging="259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b.  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All othe</w:t>
            </w:r>
            <w:r w:rsidR="001E73C0">
              <w:rPr>
                <w:rFonts w:cs="Calibri"/>
                <w:color w:val="000000"/>
                <w:sz w:val="20"/>
                <w:szCs w:val="20"/>
              </w:rPr>
              <w:t>r deductions from (additions to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) common equity tier 1 capital before threshold-based </w:t>
            </w:r>
            <w:r w:rsidR="00D30A60">
              <w:rPr>
                <w:rFonts w:cs="Calibri"/>
                <w:color w:val="000000"/>
                <w:sz w:val="20"/>
                <w:szCs w:val="20"/>
              </w:rPr>
              <w:t>d</w:t>
            </w:r>
            <w:r>
              <w:rPr>
                <w:rFonts w:cs="Calibri"/>
                <w:color w:val="000000"/>
                <w:sz w:val="20"/>
                <w:szCs w:val="20"/>
              </w:rPr>
              <w:t>eductions………………………………………………………..……..…</w:t>
            </w:r>
            <w:r w:rsidR="001E73C0">
              <w:rPr>
                <w:rFonts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B5EF1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5EF1" w:rsidRPr="00E55F2B" w:rsidRDefault="00FB5EF1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B5EF1" w:rsidRPr="00E55F2B" w:rsidRDefault="00FB5EF1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FB5EF1" w:rsidRPr="00E55F2B" w:rsidRDefault="00FB5EF1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FB5EF1" w:rsidRPr="00E55F2B" w:rsidRDefault="00FB5EF1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E55F2B" w:rsidRDefault="005E2309" w:rsidP="006C693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Non-significant investments in the capital of unconsolidated financial institutions in the form of common stock </w:t>
            </w:r>
            <w:r w:rsidR="006C693D">
              <w:rPr>
                <w:rFonts w:cs="Calibri"/>
                <w:color w:val="000000"/>
                <w:sz w:val="20"/>
                <w:szCs w:val="20"/>
              </w:rPr>
              <w:t xml:space="preserve">that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exceed the 10 percent threshold for non-significant investments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……………………………………………………………………………………..</w:t>
            </w:r>
            <w:r w:rsidR="0036426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763C9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1763C9" w:rsidRPr="00E55F2B" w:rsidRDefault="001763C9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63C9" w:rsidRPr="00E55F2B" w:rsidRDefault="001763C9" w:rsidP="00D137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Subtotal (item 5 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minus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items 6 through 11)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……………………………………………………………..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763C9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763C9" w:rsidRPr="00E55F2B" w:rsidRDefault="001763C9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63C9" w:rsidRPr="00E55F2B" w:rsidRDefault="001763C9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763C9" w:rsidRPr="00E55F2B" w:rsidRDefault="001763C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1763C9" w:rsidRPr="00E55F2B" w:rsidRDefault="001763C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E55F2B" w:rsidRDefault="005526B4" w:rsidP="00D137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Significant investments in the capital of unconsolidated financial institutions in the form of common stock</w:t>
            </w:r>
            <w:r w:rsidR="00EB5179">
              <w:rPr>
                <w:rFonts w:cs="Calibri"/>
                <w:color w:val="000000"/>
                <w:sz w:val="20"/>
                <w:szCs w:val="20"/>
              </w:rPr>
              <w:t>, net of associated DTLs, that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 exceed the 10 percent common equity tier 1 capital deduction threshold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………………………………………………….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E55F2B" w:rsidRDefault="005526B4" w:rsidP="0026658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MSAs</w:t>
            </w:r>
            <w:r w:rsidR="00870F14">
              <w:rPr>
                <w:rFonts w:cs="Calibri"/>
                <w:color w:val="000000"/>
                <w:sz w:val="20"/>
                <w:szCs w:val="20"/>
              </w:rPr>
              <w:t>,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 net of associated DTLs</w:t>
            </w:r>
            <w:r w:rsidR="00870F14">
              <w:rPr>
                <w:rFonts w:cs="Calibri"/>
                <w:color w:val="000000"/>
                <w:sz w:val="20"/>
                <w:szCs w:val="20"/>
              </w:rPr>
              <w:t>,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EB5179">
              <w:rPr>
                <w:rFonts w:cs="Calibri"/>
                <w:color w:val="000000"/>
                <w:sz w:val="20"/>
                <w:szCs w:val="20"/>
              </w:rPr>
              <w:t xml:space="preserve">that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exceed the 10 percent common equity tie</w:t>
            </w:r>
            <w:r w:rsidR="0026658F">
              <w:rPr>
                <w:rFonts w:cs="Calibri"/>
                <w:color w:val="000000"/>
                <w:sz w:val="20"/>
                <w:szCs w:val="20"/>
              </w:rPr>
              <w:t>r 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 xml:space="preserve">1 capital deduction </w:t>
            </w:r>
            <w:r w:rsidR="0026658F">
              <w:rPr>
                <w:rFonts w:cs="Calibri"/>
                <w:color w:val="000000"/>
                <w:sz w:val="20"/>
                <w:szCs w:val="20"/>
              </w:rPr>
              <w:t xml:space="preserve"> thr</w:t>
            </w:r>
            <w:r w:rsidR="00D1373C">
              <w:rPr>
                <w:rFonts w:cs="Calibri"/>
                <w:color w:val="000000"/>
                <w:sz w:val="20"/>
                <w:szCs w:val="20"/>
              </w:rPr>
              <w:t>eshold………………………………………………………………………….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E55F2B" w:rsidRDefault="005526B4" w:rsidP="00D1373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DTAs arising from temporary differences that could not be realized through net operating loss carrybacks, net of related valuation allowances and net of DTLs, </w:t>
            </w:r>
            <w:r w:rsidR="00EB5179">
              <w:rPr>
                <w:rFonts w:cs="Calibri"/>
                <w:color w:val="000000"/>
                <w:sz w:val="20"/>
                <w:szCs w:val="20"/>
              </w:rPr>
              <w:t xml:space="preserve">that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exceed the 10 percent common equity tier 1 capital deduction threshold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26B" w:rsidRPr="00E55F2B" w:rsidRDefault="005526B4" w:rsidP="005643E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Amount of significant investments in the capital of unconsolidated financial institutio</w:t>
            </w:r>
            <w:r w:rsidR="004F0021">
              <w:rPr>
                <w:rFonts w:cs="Calibri"/>
                <w:color w:val="000000"/>
                <w:sz w:val="20"/>
                <w:szCs w:val="20"/>
              </w:rPr>
              <w:t>ns in the form of common stock</w:t>
            </w:r>
            <w:r w:rsidR="00482E63">
              <w:rPr>
                <w:rFonts w:cs="Calibri"/>
                <w:color w:val="000000"/>
                <w:sz w:val="20"/>
                <w:szCs w:val="20"/>
              </w:rPr>
              <w:t xml:space="preserve">, net of </w:t>
            </w:r>
            <w:r w:rsidR="005D3A85">
              <w:rPr>
                <w:rFonts w:cs="Calibri"/>
                <w:color w:val="000000"/>
                <w:sz w:val="20"/>
                <w:szCs w:val="20"/>
              </w:rPr>
              <w:t xml:space="preserve">associated </w:t>
            </w:r>
            <w:r w:rsidR="00482E63">
              <w:rPr>
                <w:rFonts w:cs="Calibri"/>
                <w:color w:val="000000"/>
                <w:sz w:val="20"/>
                <w:szCs w:val="20"/>
              </w:rPr>
              <w:t>DTLs</w:t>
            </w:r>
            <w:r w:rsidR="004F0021">
              <w:rPr>
                <w:rFonts w:cs="Calibri"/>
                <w:color w:val="000000"/>
                <w:sz w:val="20"/>
                <w:szCs w:val="20"/>
              </w:rPr>
              <w:t>;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 MSAs, </w:t>
            </w:r>
            <w:r w:rsidR="004F0021">
              <w:rPr>
                <w:rFonts w:cs="Calibri"/>
                <w:color w:val="000000"/>
                <w:sz w:val="20"/>
                <w:szCs w:val="20"/>
              </w:rPr>
              <w:t>net of associated DT</w:t>
            </w:r>
            <w:r w:rsidR="009D7D40">
              <w:rPr>
                <w:rFonts w:cs="Calibri"/>
                <w:color w:val="000000"/>
                <w:sz w:val="20"/>
                <w:szCs w:val="20"/>
              </w:rPr>
              <w:t>L</w:t>
            </w:r>
            <w:r w:rsidR="004F0021">
              <w:rPr>
                <w:rFonts w:cs="Calibri"/>
                <w:color w:val="000000"/>
                <w:sz w:val="20"/>
                <w:szCs w:val="20"/>
              </w:rPr>
              <w:t xml:space="preserve">s;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and DTAs arising from temporary differences that could not be realized through net operating loss carrybacks</w:t>
            </w:r>
            <w:r w:rsidR="007974C9">
              <w:rPr>
                <w:rFonts w:cs="Calibri"/>
                <w:color w:val="000000"/>
                <w:sz w:val="20"/>
                <w:szCs w:val="20"/>
              </w:rPr>
              <w:t>, net of related valuation allowances and net of DTLs</w:t>
            </w:r>
            <w:r w:rsidR="003620C9">
              <w:rPr>
                <w:rFonts w:cs="Calibri"/>
                <w:color w:val="000000"/>
                <w:sz w:val="20"/>
                <w:szCs w:val="20"/>
              </w:rPr>
              <w:t>;</w:t>
            </w:r>
            <w:r w:rsidR="003620C9" w:rsidRPr="00E55F2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4F0021">
              <w:rPr>
                <w:rFonts w:cs="Calibri"/>
                <w:color w:val="000000"/>
                <w:sz w:val="20"/>
                <w:szCs w:val="20"/>
              </w:rPr>
              <w:t xml:space="preserve">that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exceed</w:t>
            </w:r>
            <w:r w:rsidR="003620C9">
              <w:rPr>
                <w:rFonts w:cs="Calibri"/>
                <w:color w:val="000000"/>
                <w:sz w:val="20"/>
                <w:szCs w:val="20"/>
              </w:rPr>
              <w:t>s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 the 15 percent common equity tier 1 capital deduction threshold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</w:t>
            </w:r>
            <w:r w:rsidR="006B6A3E">
              <w:rPr>
                <w:rFonts w:cs="Calibri"/>
                <w:color w:val="000000"/>
                <w:sz w:val="20"/>
                <w:szCs w:val="20"/>
              </w:rPr>
              <w:t>…………</w:t>
            </w:r>
            <w:r w:rsidR="005600A6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4" w:name="_Ref331676158"/>
          </w:p>
        </w:tc>
        <w:bookmarkEnd w:id="4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E55F2B" w:rsidRDefault="005526B4" w:rsidP="00DB263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D</w:t>
            </w:r>
            <w:r w:rsidR="00EB0720">
              <w:rPr>
                <w:rFonts w:cs="Calibri"/>
                <w:color w:val="000000"/>
                <w:sz w:val="20"/>
                <w:szCs w:val="20"/>
              </w:rPr>
              <w:t xml:space="preserve">eductions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 xml:space="preserve">applied to common equity tier 1 capital due to insufficient </w:t>
            </w:r>
            <w:r w:rsidR="003620C9">
              <w:rPr>
                <w:rFonts w:cs="Calibri"/>
                <w:color w:val="000000"/>
                <w:sz w:val="20"/>
                <w:szCs w:val="20"/>
              </w:rPr>
              <w:t>amount</w:t>
            </w:r>
            <w:r w:rsidR="008508F2">
              <w:rPr>
                <w:rFonts w:cs="Calibri"/>
                <w:color w:val="000000"/>
                <w:sz w:val="20"/>
                <w:szCs w:val="20"/>
              </w:rPr>
              <w:t>s</w:t>
            </w:r>
            <w:r w:rsidR="003620C9">
              <w:rPr>
                <w:rFonts w:cs="Calibri"/>
                <w:color w:val="000000"/>
                <w:sz w:val="20"/>
                <w:szCs w:val="20"/>
              </w:rPr>
              <w:t xml:space="preserve"> of </w:t>
            </w:r>
            <w:r w:rsidR="0036426B" w:rsidRPr="00E55F2B">
              <w:rPr>
                <w:rFonts w:cs="Calibri"/>
                <w:color w:val="000000"/>
                <w:sz w:val="20"/>
                <w:szCs w:val="20"/>
              </w:rPr>
              <w:t>additional tier 1 capital and tier 2 capital to cover deductions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</w:t>
            </w:r>
            <w:r w:rsidR="008508F2">
              <w:rPr>
                <w:rFonts w:cs="Calibri"/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5" w:name="_Ref331676173"/>
          </w:p>
        </w:tc>
        <w:bookmarkEnd w:id="5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E55F2B" w:rsidRDefault="0036426B" w:rsidP="00AA2B0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Total adjustments</w:t>
            </w:r>
            <w:r w:rsidR="00EB0720">
              <w:rPr>
                <w:rFonts w:cs="Calibri"/>
                <w:color w:val="000000"/>
                <w:sz w:val="20"/>
                <w:szCs w:val="20"/>
              </w:rPr>
              <w:t xml:space="preserve"> and deductions</w:t>
            </w:r>
            <w:r w:rsidRPr="00E55F2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for</w:t>
            </w:r>
            <w:r w:rsidRPr="00E55F2B">
              <w:rPr>
                <w:rFonts w:cs="Calibri"/>
                <w:color w:val="000000"/>
                <w:sz w:val="20"/>
                <w:szCs w:val="20"/>
              </w:rPr>
              <w:t xml:space="preserve"> common equity ti</w:t>
            </w:r>
            <w:r w:rsidR="00AA2B09">
              <w:rPr>
                <w:rFonts w:cs="Calibri"/>
                <w:color w:val="000000"/>
                <w:sz w:val="20"/>
                <w:szCs w:val="20"/>
              </w:rPr>
              <w:t>er 1 capital (sum of items </w:t>
            </w:r>
            <w:r w:rsidR="00870F14">
              <w:rPr>
                <w:rFonts w:cs="Calibri"/>
                <w:color w:val="000000"/>
                <w:sz w:val="20"/>
                <w:szCs w:val="20"/>
              </w:rPr>
              <w:t>1</w:t>
            </w:r>
            <w:r w:rsidR="0060685C">
              <w:rPr>
                <w:rFonts w:cs="Calibri"/>
                <w:color w:val="000000"/>
                <w:sz w:val="20"/>
                <w:szCs w:val="20"/>
              </w:rPr>
              <w:t>3</w:t>
            </w:r>
            <w:r w:rsidR="004F002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1763C9">
              <w:rPr>
                <w:rFonts w:cs="Calibri"/>
                <w:color w:val="000000"/>
                <w:sz w:val="20"/>
                <w:szCs w:val="20"/>
              </w:rPr>
              <w:t>through 1</w:t>
            </w:r>
            <w:r w:rsidR="00A90150">
              <w:rPr>
                <w:rFonts w:cs="Calibri"/>
                <w:color w:val="000000"/>
                <w:sz w:val="20"/>
                <w:szCs w:val="20"/>
              </w:rPr>
              <w:t>7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6" w:name="_Ref331676247"/>
          </w:p>
        </w:tc>
        <w:bookmarkEnd w:id="6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6426B" w:rsidRPr="00CF3E44" w:rsidRDefault="0036426B" w:rsidP="00085279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CF3E44">
              <w:rPr>
                <w:rFonts w:cs="Calibri"/>
                <w:b/>
                <w:color w:val="000000"/>
                <w:sz w:val="20"/>
                <w:szCs w:val="20"/>
              </w:rPr>
              <w:t xml:space="preserve">Common equity tier 1 capital </w:t>
            </w:r>
            <w:r w:rsidRPr="00DC449F">
              <w:rPr>
                <w:rFonts w:cs="Calibri"/>
                <w:color w:val="000000"/>
                <w:sz w:val="20"/>
                <w:szCs w:val="20"/>
              </w:rPr>
              <w:t xml:space="preserve">(item </w:t>
            </w:r>
            <w:r w:rsidR="0060685C">
              <w:rPr>
                <w:rFonts w:cs="Calibri"/>
                <w:color w:val="000000"/>
                <w:sz w:val="20"/>
                <w:szCs w:val="20"/>
              </w:rPr>
              <w:t>12</w:t>
            </w:r>
            <w:r w:rsidR="00F85AC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minus</w:t>
            </w:r>
            <w:r w:rsidRPr="00DC449F">
              <w:rPr>
                <w:rFonts w:cs="Calibri"/>
                <w:color w:val="000000"/>
                <w:sz w:val="20"/>
                <w:szCs w:val="20"/>
              </w:rPr>
              <w:t xml:space="preserve"> item </w:t>
            </w:r>
            <w:r w:rsidR="00A90150">
              <w:rPr>
                <w:rFonts w:cs="Calibri"/>
                <w:color w:val="000000"/>
                <w:sz w:val="20"/>
                <w:szCs w:val="20"/>
              </w:rPr>
              <w:t>18</w:t>
            </w:r>
            <w:r w:rsidRPr="00DC449F">
              <w:rPr>
                <w:rFonts w:cs="Calibri"/>
                <w:color w:val="000000"/>
                <w:sz w:val="20"/>
                <w:szCs w:val="20"/>
              </w:rPr>
              <w:t>)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C566F3"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80373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1402F6" w:rsidRDefault="001402F6" w:rsidP="0096624F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36426B" w:rsidRPr="00E55F2B" w:rsidRDefault="0036426B" w:rsidP="0096624F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b/>
                <w:color w:val="000000"/>
                <w:sz w:val="20"/>
                <w:szCs w:val="20"/>
              </w:rPr>
              <w:t xml:space="preserve">Additional tier 1 capital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000000" w:fill="D9D9D9"/>
            <w:vAlign w:val="center"/>
          </w:tcPr>
          <w:p w:rsidR="0036426B" w:rsidRPr="00E55F2B" w:rsidRDefault="0036426B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36426B" w:rsidRPr="00E55F2B" w:rsidRDefault="0036426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36426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36426B" w:rsidRPr="00E55F2B" w:rsidRDefault="0036426B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7" w:name="_Ref331676190"/>
          </w:p>
        </w:tc>
        <w:bookmarkEnd w:id="7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26B" w:rsidRPr="00E55F2B" w:rsidRDefault="0036426B" w:rsidP="0096624F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Additional tier 1 capital instruments plus related surplus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……………………………………….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6426B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6426B" w:rsidRPr="00E55F2B" w:rsidRDefault="0036426B" w:rsidP="00CF00F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6426B" w:rsidRPr="00E55F2B" w:rsidRDefault="0036426B" w:rsidP="00CF00F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6426B" w:rsidRPr="00E55F2B" w:rsidRDefault="0036426B" w:rsidP="00CF00F7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36426B" w:rsidRPr="00E55F2B" w:rsidRDefault="0036426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8" w:name="_Ref331676194"/>
          </w:p>
        </w:tc>
        <w:bookmarkEnd w:id="8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C524CC" w:rsidRDefault="00737E9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524CC">
              <w:rPr>
                <w:rFonts w:cs="Calibri"/>
                <w:color w:val="000000"/>
                <w:sz w:val="20"/>
                <w:szCs w:val="20"/>
              </w:rPr>
              <w:t>Non-qualifying capital instruments subject to phase out from additional tier 1 capital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……………………………………………………………………………………………………………………..</w:t>
            </w:r>
            <w:r w:rsidR="00EF6958" w:rsidRPr="00C524C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9" w:name="_Ref331676199"/>
          </w:p>
        </w:tc>
        <w:bookmarkEnd w:id="9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C524CC" w:rsidRDefault="00EF6958" w:rsidP="00955C9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524CC">
              <w:rPr>
                <w:rFonts w:cs="Calibri"/>
                <w:color w:val="000000"/>
                <w:sz w:val="20"/>
                <w:szCs w:val="20"/>
              </w:rPr>
              <w:t>Tier 1 minority interest not included in common equity tier 1 capital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…………………….</w:t>
            </w:r>
            <w:r w:rsidRPr="00C524CC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0" w:name="_Ref331676230"/>
          </w:p>
        </w:tc>
        <w:bookmarkEnd w:id="10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E55F2B" w:rsidRDefault="0096624F" w:rsidP="00A9015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 xml:space="preserve">Additional tier 1 capital </w:t>
            </w:r>
            <w:r w:rsidRPr="00085279">
              <w:rPr>
                <w:rFonts w:cs="Calibri"/>
                <w:color w:val="000000"/>
                <w:sz w:val="20"/>
                <w:szCs w:val="20"/>
              </w:rPr>
              <w:t xml:space="preserve">before deductions (sum of items </w:t>
            </w:r>
            <w:r w:rsidR="00EB0720" w:rsidRPr="00085279">
              <w:rPr>
                <w:rFonts w:cs="Calibri"/>
                <w:color w:val="000000"/>
                <w:sz w:val="20"/>
                <w:szCs w:val="20"/>
              </w:rPr>
              <w:t>2</w:t>
            </w:r>
            <w:r w:rsidR="00A90150" w:rsidRPr="00085279">
              <w:rPr>
                <w:rFonts w:cs="Calibri"/>
                <w:color w:val="000000"/>
                <w:sz w:val="20"/>
                <w:szCs w:val="20"/>
              </w:rPr>
              <w:t>0</w:t>
            </w:r>
            <w:r w:rsidR="00EB0720" w:rsidRPr="00085279">
              <w:rPr>
                <w:rFonts w:cs="Calibri"/>
                <w:color w:val="000000"/>
                <w:sz w:val="20"/>
                <w:szCs w:val="20"/>
              </w:rPr>
              <w:t>,</w:t>
            </w:r>
            <w:r w:rsidRPr="00085279">
              <w:rPr>
                <w:rFonts w:cs="Calibri"/>
                <w:color w:val="000000"/>
                <w:sz w:val="20"/>
                <w:szCs w:val="20"/>
              </w:rPr>
              <w:t xml:space="preserve"> 2</w:t>
            </w:r>
            <w:r w:rsidR="00A90150" w:rsidRPr="00085279">
              <w:rPr>
                <w:rFonts w:cs="Calibri"/>
                <w:color w:val="000000"/>
                <w:sz w:val="20"/>
                <w:szCs w:val="20"/>
              </w:rPr>
              <w:t>1</w:t>
            </w:r>
            <w:r w:rsidR="001763C9" w:rsidRPr="00085279">
              <w:rPr>
                <w:rFonts w:cs="Calibri"/>
                <w:color w:val="000000"/>
                <w:sz w:val="20"/>
                <w:szCs w:val="20"/>
              </w:rPr>
              <w:t>,</w:t>
            </w:r>
            <w:r w:rsidR="005A43B4" w:rsidRPr="00085279">
              <w:rPr>
                <w:rFonts w:cs="Calibri"/>
                <w:color w:val="000000"/>
                <w:sz w:val="20"/>
                <w:szCs w:val="20"/>
              </w:rPr>
              <w:t xml:space="preserve"> and </w:t>
            </w:r>
            <w:r w:rsidR="001763C9" w:rsidRPr="00085279">
              <w:rPr>
                <w:rFonts w:cs="Calibri"/>
                <w:color w:val="000000"/>
                <w:sz w:val="20"/>
                <w:szCs w:val="20"/>
              </w:rPr>
              <w:t>2</w:t>
            </w:r>
            <w:r w:rsidR="00A90150" w:rsidRPr="00085279"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085279">
              <w:rPr>
                <w:rFonts w:cs="Calibri"/>
                <w:color w:val="000000"/>
                <w:sz w:val="20"/>
                <w:szCs w:val="20"/>
              </w:rPr>
              <w:t>)</w:t>
            </w:r>
            <w:r w:rsidR="00085279" w:rsidRPr="00085279">
              <w:rPr>
                <w:rFonts w:cs="Calibri"/>
                <w:color w:val="000000"/>
                <w:sz w:val="20"/>
                <w:szCs w:val="20"/>
              </w:rPr>
              <w:t>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1" w:name="_Ref331676220"/>
          </w:p>
        </w:tc>
        <w:bookmarkEnd w:id="11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2F6" w:rsidRPr="00E55F2B" w:rsidRDefault="004B1D03" w:rsidP="005C644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154DBE">
              <w:rPr>
                <w:rFonts w:cs="Calibri"/>
                <w:color w:val="000000"/>
                <w:sz w:val="20"/>
                <w:szCs w:val="20"/>
              </w:rPr>
              <w:t>A</w:t>
            </w:r>
            <w:r w:rsidR="00D51FE9">
              <w:rPr>
                <w:rFonts w:cs="Calibri"/>
                <w:color w:val="000000"/>
                <w:sz w:val="20"/>
                <w:szCs w:val="20"/>
              </w:rPr>
              <w:t>dditional tier 1 capital deductions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………………………………………………………………..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ind w:right="-108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2" w:name="_Ref331676255"/>
          </w:p>
        </w:tc>
        <w:bookmarkEnd w:id="12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624F" w:rsidRPr="00DC449F" w:rsidRDefault="0096624F" w:rsidP="0008527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03732">
              <w:rPr>
                <w:rFonts w:cs="Calibri"/>
                <w:b/>
                <w:color w:val="000000"/>
                <w:sz w:val="20"/>
                <w:szCs w:val="20"/>
              </w:rPr>
              <w:t>Additional tier 1 capital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(</w:t>
            </w:r>
            <w:r w:rsidR="00371725">
              <w:rPr>
                <w:rFonts w:cs="Calibri"/>
                <w:color w:val="000000"/>
                <w:sz w:val="20"/>
                <w:szCs w:val="20"/>
              </w:rPr>
              <w:t xml:space="preserve">greater of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item </w:t>
            </w:r>
            <w:r w:rsidR="001763C9">
              <w:rPr>
                <w:rFonts w:cs="Calibri"/>
                <w:color w:val="000000"/>
                <w:sz w:val="20"/>
                <w:szCs w:val="20"/>
              </w:rPr>
              <w:t>2</w:t>
            </w:r>
            <w:r w:rsidR="00A90150">
              <w:rPr>
                <w:rFonts w:cs="Calibri"/>
                <w:color w:val="000000"/>
                <w:sz w:val="20"/>
                <w:szCs w:val="20"/>
              </w:rPr>
              <w:t>3</w:t>
            </w:r>
            <w:r w:rsidR="001763C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minus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item </w:t>
            </w:r>
            <w:r w:rsidR="001763C9">
              <w:rPr>
                <w:rFonts w:cs="Calibri"/>
                <w:color w:val="000000"/>
                <w:sz w:val="20"/>
                <w:szCs w:val="20"/>
              </w:rPr>
              <w:t>2</w:t>
            </w:r>
            <w:r w:rsidR="00A90150">
              <w:rPr>
                <w:rFonts w:cs="Calibri"/>
                <w:color w:val="000000"/>
                <w:sz w:val="20"/>
                <w:szCs w:val="20"/>
              </w:rPr>
              <w:t>4</w:t>
            </w:r>
            <w:r w:rsidR="00D565E5">
              <w:rPr>
                <w:rFonts w:cs="Calibri"/>
                <w:color w:val="000000"/>
                <w:sz w:val="20"/>
                <w:szCs w:val="20"/>
              </w:rPr>
              <w:t>,</w:t>
            </w:r>
            <w:r w:rsidR="00371725">
              <w:rPr>
                <w:rFonts w:cs="Calibri"/>
                <w:color w:val="000000"/>
                <w:sz w:val="20"/>
                <w:szCs w:val="20"/>
              </w:rPr>
              <w:t xml:space="preserve"> or zero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……………………….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6624F" w:rsidRPr="00E55F2B" w:rsidRDefault="00C566F3" w:rsidP="00C566F3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AC0C88" w:rsidRPr="00E55F2B" w:rsidTr="000F4908">
        <w:trPr>
          <w:gridAfter w:val="2"/>
          <w:wAfter w:w="39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AC0C88" w:rsidRPr="00E55F2B" w:rsidRDefault="00AC0C88" w:rsidP="00803732">
            <w:pPr>
              <w:pStyle w:val="ListParagraph"/>
              <w:spacing w:after="0" w:line="240" w:lineRule="auto"/>
              <w:ind w:left="21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C0C88" w:rsidRPr="00E55F2B" w:rsidRDefault="00AC0C88" w:rsidP="00917A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90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2"/>
          <w:wAfter w:w="39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AC0C88" w:rsidRPr="00E55F2B" w:rsidRDefault="00AC0C88" w:rsidP="00917A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T</w:t>
            </w:r>
            <w:r w:rsidRPr="00E55F2B">
              <w:rPr>
                <w:rFonts w:cs="Calibri"/>
                <w:b/>
                <w:color w:val="000000"/>
                <w:sz w:val="20"/>
                <w:szCs w:val="20"/>
              </w:rPr>
              <w:t>ier 1 capital</w:t>
            </w:r>
          </w:p>
        </w:tc>
        <w:tc>
          <w:tcPr>
            <w:tcW w:w="2907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3" w:name="_Ref331676353"/>
          </w:p>
        </w:tc>
        <w:bookmarkEnd w:id="13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6624F" w:rsidRPr="00803732" w:rsidRDefault="0096624F" w:rsidP="00A90150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803732">
              <w:rPr>
                <w:rFonts w:cs="Calibri"/>
                <w:b/>
                <w:color w:val="000000"/>
                <w:sz w:val="20"/>
                <w:szCs w:val="20"/>
              </w:rPr>
              <w:t xml:space="preserve">Tier 1 capital </w:t>
            </w:r>
            <w:r w:rsidRPr="00DC449F">
              <w:rPr>
                <w:rFonts w:cs="Calibri"/>
                <w:color w:val="000000"/>
                <w:sz w:val="20"/>
                <w:szCs w:val="20"/>
              </w:rPr>
              <w:t xml:space="preserve">(sum of items </w:t>
            </w:r>
            <w:r w:rsidR="00A90150">
              <w:rPr>
                <w:rFonts w:cs="Calibri"/>
                <w:color w:val="000000"/>
                <w:sz w:val="20"/>
                <w:szCs w:val="20"/>
              </w:rPr>
              <w:t>19</w:t>
            </w:r>
            <w:r w:rsidR="001763C9" w:rsidRPr="00DC449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DC449F">
              <w:rPr>
                <w:rFonts w:cs="Calibri"/>
                <w:color w:val="000000"/>
                <w:sz w:val="20"/>
                <w:szCs w:val="20"/>
              </w:rPr>
              <w:t xml:space="preserve">and </w:t>
            </w:r>
            <w:r w:rsidR="00A90150">
              <w:rPr>
                <w:rFonts w:cs="Calibri"/>
                <w:color w:val="000000"/>
                <w:sz w:val="20"/>
                <w:szCs w:val="20"/>
              </w:rPr>
              <w:t>25</w:t>
            </w:r>
            <w:r w:rsidRPr="00DC449F">
              <w:rPr>
                <w:rFonts w:cs="Calibri"/>
                <w:color w:val="000000"/>
                <w:sz w:val="20"/>
                <w:szCs w:val="20"/>
              </w:rPr>
              <w:t>)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6624F" w:rsidRPr="00E55F2B" w:rsidRDefault="000F5E90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  <w:r w:rsidR="0096624F"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</w:tcBorders>
            <w:shd w:val="clear" w:color="auto" w:fill="D9D9D9"/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6624F" w:rsidRPr="00E55F2B" w:rsidRDefault="0096624F" w:rsidP="00CE758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96624F">
            <w:pPr>
              <w:spacing w:after="0" w:line="240" w:lineRule="auto"/>
              <w:rPr>
                <w:rFonts w:cs="Calibri"/>
                <w:b/>
                <w:iCs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Tier 2 capital </w:t>
            </w:r>
          </w:p>
        </w:tc>
        <w:tc>
          <w:tcPr>
            <w:tcW w:w="72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D9D9D9"/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:rsidR="0096624F" w:rsidRPr="00E55F2B" w:rsidRDefault="0096624F" w:rsidP="00CE758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4" w:name="_Ref331676294"/>
          </w:p>
        </w:tc>
        <w:bookmarkEnd w:id="14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C524CC" w:rsidRDefault="0096624F" w:rsidP="00917A4B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524CC">
              <w:rPr>
                <w:rFonts w:cs="Calibri"/>
                <w:color w:val="000000"/>
                <w:sz w:val="20"/>
                <w:szCs w:val="20"/>
              </w:rPr>
              <w:t>Tier 2 capital instruments plus related surplus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………………………………………………………..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E55F2B" w:rsidRDefault="000F5E90" w:rsidP="000F5E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5" w:name="_Ref331676299"/>
          </w:p>
        </w:tc>
        <w:bookmarkEnd w:id="15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C524CC" w:rsidRDefault="00737E9B" w:rsidP="00411D4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524CC">
              <w:rPr>
                <w:rFonts w:cs="Calibri"/>
                <w:color w:val="000000"/>
                <w:sz w:val="20"/>
                <w:szCs w:val="20"/>
              </w:rPr>
              <w:t>Non-qualifying capital instruments subject to phase out from tier 2 capital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…………….</w:t>
            </w:r>
            <w:r w:rsidRPr="00C524CC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E55F2B" w:rsidRDefault="000F5E90" w:rsidP="000F5E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6" w:name="_Ref331676305"/>
          </w:p>
        </w:tc>
        <w:bookmarkEnd w:id="16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C524CC" w:rsidRDefault="00737E9B" w:rsidP="00955C9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524CC">
              <w:rPr>
                <w:rFonts w:cs="Calibri"/>
                <w:color w:val="000000"/>
                <w:sz w:val="20"/>
                <w:szCs w:val="20"/>
              </w:rPr>
              <w:t>Total capital minority interest that is not included in tier 1 capital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…………………………..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E55F2B" w:rsidRDefault="000F5E90" w:rsidP="000F5E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7" w:name="_Ref331676310"/>
          </w:p>
        </w:tc>
        <w:bookmarkEnd w:id="17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E55F2B" w:rsidRDefault="00D77C21" w:rsidP="0082566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a. </w:t>
            </w:r>
            <w:r w:rsidR="005F4515" w:rsidRPr="00E55F2B">
              <w:rPr>
                <w:rFonts w:cs="Calibri"/>
                <w:color w:val="000000"/>
                <w:sz w:val="20"/>
                <w:szCs w:val="20"/>
              </w:rPr>
              <w:t>Allowance for loan and lease losses includ</w:t>
            </w:r>
            <w:r w:rsidR="005F4515">
              <w:rPr>
                <w:rFonts w:cs="Calibri"/>
                <w:color w:val="000000"/>
                <w:sz w:val="20"/>
                <w:szCs w:val="20"/>
              </w:rPr>
              <w:t>able in tier 2 capital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E55F2B" w:rsidRDefault="000F5E90" w:rsidP="000F5E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D77C21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77C21" w:rsidRPr="00E55F2B" w:rsidRDefault="00D77C21" w:rsidP="00D77C21">
            <w:pPr>
              <w:pStyle w:val="ListParagraph"/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7C21" w:rsidRDefault="00D77C21" w:rsidP="00BA13F4">
            <w:pPr>
              <w:spacing w:after="0" w:line="240" w:lineRule="auto"/>
              <w:ind w:left="259" w:hanging="259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b. </w:t>
            </w:r>
            <w:r w:rsidR="005C6443">
              <w:rPr>
                <w:rFonts w:cs="Calibri"/>
                <w:color w:val="000000"/>
                <w:sz w:val="20"/>
                <w:szCs w:val="20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Advanced approaches </w:t>
            </w:r>
            <w:r w:rsidR="00554D4C">
              <w:rPr>
                <w:rFonts w:cs="Calibri"/>
                <w:color w:val="000000"/>
                <w:sz w:val="20"/>
                <w:szCs w:val="20"/>
              </w:rPr>
              <w:t>institutions</w:t>
            </w:r>
            <w:r w:rsidR="00997214">
              <w:rPr>
                <w:rFonts w:cs="Calibri"/>
                <w:color w:val="000000"/>
                <w:sz w:val="20"/>
                <w:szCs w:val="20"/>
              </w:rPr>
              <w:t xml:space="preserve"> that exit parallel run</w:t>
            </w:r>
            <w:r w:rsidR="004B1D03">
              <w:rPr>
                <w:rFonts w:cs="Calibri"/>
                <w:color w:val="000000"/>
                <w:sz w:val="20"/>
                <w:szCs w:val="20"/>
              </w:rPr>
              <w:t xml:space="preserve"> only</w:t>
            </w:r>
            <w:r w:rsidR="005C6443">
              <w:rPr>
                <w:rFonts w:cs="Calibri"/>
                <w:color w:val="000000"/>
                <w:sz w:val="20"/>
                <w:szCs w:val="20"/>
              </w:rPr>
              <w:t>)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E</w:t>
            </w:r>
            <w:r w:rsidR="004B68D1">
              <w:rPr>
                <w:rFonts w:cs="Calibri"/>
                <w:color w:val="000000"/>
                <w:sz w:val="20"/>
                <w:szCs w:val="20"/>
              </w:rPr>
              <w:t xml:space="preserve">ligible </w:t>
            </w:r>
            <w:r>
              <w:rPr>
                <w:rFonts w:cs="Calibri"/>
                <w:color w:val="000000"/>
                <w:sz w:val="20"/>
                <w:szCs w:val="20"/>
              </w:rPr>
              <w:t>credit reserves includable in tier 2 capital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77C21" w:rsidRPr="00E55F2B" w:rsidRDefault="000F5E90" w:rsidP="000F5E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77C21" w:rsidRPr="00E55F2B" w:rsidRDefault="00D77C21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77C21" w:rsidRPr="00E55F2B" w:rsidRDefault="00D77C21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77C21" w:rsidRPr="00E55F2B" w:rsidRDefault="00D77C21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D77C21" w:rsidRPr="00E55F2B" w:rsidRDefault="00D77C21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A5BB5" w:rsidRPr="00E55F2B" w:rsidTr="000F4908">
        <w:trPr>
          <w:gridAfter w:val="3"/>
          <w:wAfter w:w="70" w:type="dxa"/>
          <w:cantSplit/>
          <w:trHeight w:val="188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2A5BB5" w:rsidRPr="00E55F2B" w:rsidRDefault="002A5BB5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5BB5" w:rsidRDefault="008508F2" w:rsidP="009B6C2C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8508F2">
              <w:rPr>
                <w:sz w:val="20"/>
                <w:szCs w:val="20"/>
              </w:rPr>
              <w:t>Unrealized gains on available-for-sale preferred stock classified as an equity security under GAAP and available-for-sale equity exposures includable in Tier 2 capital</w:t>
            </w:r>
            <w:r w:rsidR="00085279">
              <w:rPr>
                <w:sz w:val="20"/>
                <w:szCs w:val="20"/>
              </w:rPr>
              <w:t>…</w:t>
            </w:r>
            <w:r w:rsidR="002F3F10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A5BB5" w:rsidRPr="000F5E90" w:rsidRDefault="000F5E90" w:rsidP="000F5E90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  <w:r w:rsidRPr="000F5E90">
              <w:rPr>
                <w:rFonts w:cs="Calibri"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A5BB5" w:rsidRPr="00E55F2B" w:rsidRDefault="002A5BB5" w:rsidP="0067499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5BB5" w:rsidRPr="00E55F2B" w:rsidRDefault="002A5BB5" w:rsidP="0067499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2A5BB5" w:rsidRPr="00E55F2B" w:rsidRDefault="002A5BB5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2A5BB5" w:rsidRPr="00E55F2B" w:rsidRDefault="002A5BB5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6624F" w:rsidRPr="00E55F2B" w:rsidTr="000F4908">
        <w:trPr>
          <w:gridAfter w:val="3"/>
          <w:wAfter w:w="70" w:type="dxa"/>
          <w:cantSplit/>
          <w:trHeight w:val="188"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8" w:name="_Ref331676338"/>
          </w:p>
        </w:tc>
        <w:bookmarkEnd w:id="18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E55F2B" w:rsidRDefault="00D77C21" w:rsidP="0082566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a. </w:t>
            </w:r>
            <w:r w:rsidR="0096624F" w:rsidRPr="00E55F2B">
              <w:rPr>
                <w:rFonts w:cs="Calibri"/>
                <w:color w:val="000000"/>
                <w:sz w:val="20"/>
                <w:szCs w:val="20"/>
              </w:rPr>
              <w:t xml:space="preserve">Tier 2 capital before </w:t>
            </w:r>
            <w:r w:rsidR="00EB0720">
              <w:rPr>
                <w:rFonts w:cs="Calibri"/>
                <w:color w:val="000000"/>
                <w:sz w:val="20"/>
                <w:szCs w:val="20"/>
              </w:rPr>
              <w:t>deductions</w:t>
            </w:r>
            <w:r w:rsidR="0096624F" w:rsidRPr="00E55F2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96624F" w:rsidRPr="00C17E6B">
              <w:rPr>
                <w:rFonts w:cs="Calibri"/>
                <w:color w:val="000000"/>
                <w:sz w:val="20"/>
                <w:szCs w:val="20"/>
              </w:rPr>
              <w:t xml:space="preserve">(sum of items </w:t>
            </w:r>
            <w:r w:rsidR="001763C9">
              <w:rPr>
                <w:rFonts w:cs="Calibri"/>
                <w:color w:val="000000"/>
                <w:sz w:val="20"/>
                <w:szCs w:val="20"/>
              </w:rPr>
              <w:t>2</w:t>
            </w:r>
            <w:r w:rsidR="009B6C2C">
              <w:rPr>
                <w:rFonts w:cs="Calibri"/>
                <w:color w:val="000000"/>
                <w:sz w:val="20"/>
                <w:szCs w:val="20"/>
              </w:rPr>
              <w:t>7</w:t>
            </w:r>
            <w:r w:rsidR="001763C9" w:rsidRPr="00C17E6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96624F" w:rsidRPr="00C17E6B">
              <w:rPr>
                <w:rFonts w:cs="Calibri"/>
                <w:color w:val="000000"/>
                <w:sz w:val="20"/>
                <w:szCs w:val="20"/>
              </w:rPr>
              <w:t xml:space="preserve">through </w:t>
            </w:r>
            <w:r w:rsidR="001763C9">
              <w:rPr>
                <w:rFonts w:cs="Calibri"/>
                <w:color w:val="000000"/>
                <w:sz w:val="20"/>
                <w:szCs w:val="20"/>
              </w:rPr>
              <w:t>3</w:t>
            </w:r>
            <w:r w:rsidR="009B6C2C">
              <w:rPr>
                <w:rFonts w:cs="Calibri"/>
                <w:color w:val="000000"/>
                <w:sz w:val="20"/>
                <w:szCs w:val="20"/>
              </w:rPr>
              <w:t>0</w:t>
            </w:r>
            <w:r>
              <w:rPr>
                <w:rFonts w:cs="Calibri"/>
                <w:color w:val="000000"/>
                <w:sz w:val="20"/>
                <w:szCs w:val="20"/>
              </w:rPr>
              <w:t>.a</w:t>
            </w:r>
            <w:r w:rsidR="002A5BB5">
              <w:rPr>
                <w:rFonts w:cs="Calibri"/>
                <w:color w:val="000000"/>
                <w:sz w:val="20"/>
                <w:szCs w:val="20"/>
              </w:rPr>
              <w:t>, plus item 31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  <w:r w:rsidR="006B6A3E">
              <w:rPr>
                <w:rFonts w:cs="Calibri"/>
                <w:color w:val="000000"/>
                <w:sz w:val="20"/>
                <w:szCs w:val="20"/>
              </w:rPr>
              <w:t>…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0F5E90" w:rsidRDefault="000F5E90" w:rsidP="000F5E90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  <w:r w:rsidRPr="000F5E90">
              <w:rPr>
                <w:rFonts w:cs="Calibri"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B1328B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1328B" w:rsidRPr="00B1328B" w:rsidRDefault="00B1328B" w:rsidP="00B1328B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328B" w:rsidRDefault="00B1328B" w:rsidP="000F4908">
            <w:pPr>
              <w:spacing w:after="0" w:line="240" w:lineRule="auto"/>
              <w:ind w:left="259" w:hanging="259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b. </w:t>
            </w:r>
            <w:r w:rsidR="00CC3B85">
              <w:rPr>
                <w:rFonts w:cs="Calibri"/>
                <w:color w:val="000000"/>
                <w:sz w:val="20"/>
                <w:szCs w:val="20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Advanced approaches </w:t>
            </w:r>
            <w:r w:rsidR="00554D4C">
              <w:rPr>
                <w:rFonts w:cs="Calibri"/>
                <w:color w:val="000000"/>
                <w:sz w:val="20"/>
                <w:szCs w:val="20"/>
              </w:rPr>
              <w:t>institutions</w:t>
            </w:r>
            <w:r w:rsidR="00997214">
              <w:rPr>
                <w:rFonts w:cs="Calibri"/>
                <w:color w:val="000000"/>
                <w:sz w:val="20"/>
                <w:szCs w:val="20"/>
              </w:rPr>
              <w:t xml:space="preserve"> that exit parallel run</w:t>
            </w:r>
            <w:r w:rsidR="0026658F">
              <w:rPr>
                <w:rFonts w:cs="Calibri"/>
                <w:color w:val="000000"/>
                <w:sz w:val="20"/>
                <w:szCs w:val="20"/>
              </w:rPr>
              <w:t xml:space="preserve"> only):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26658F">
              <w:rPr>
                <w:rFonts w:cs="Calibri"/>
                <w:color w:val="000000"/>
                <w:sz w:val="20"/>
                <w:szCs w:val="20"/>
              </w:rPr>
              <w:t>T</w:t>
            </w:r>
            <w:r w:rsidRPr="00E55F2B">
              <w:rPr>
                <w:rFonts w:cs="Calibri"/>
                <w:color w:val="000000"/>
                <w:sz w:val="20"/>
                <w:szCs w:val="20"/>
              </w:rPr>
              <w:t xml:space="preserve">ier 2 capital before </w:t>
            </w:r>
            <w:r>
              <w:rPr>
                <w:rFonts w:cs="Calibri"/>
                <w:color w:val="000000"/>
                <w:sz w:val="20"/>
                <w:szCs w:val="20"/>
              </w:rPr>
              <w:t>deductions</w:t>
            </w:r>
            <w:r w:rsidRPr="00E55F2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(sum of items 2</w:t>
            </w:r>
            <w:r w:rsidR="009B6C2C">
              <w:rPr>
                <w:rFonts w:cs="Calibri"/>
                <w:color w:val="000000"/>
                <w:sz w:val="20"/>
                <w:szCs w:val="20"/>
              </w:rPr>
              <w:t>7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through </w:t>
            </w:r>
            <w:r w:rsidR="009B6C2C">
              <w:rPr>
                <w:rFonts w:cs="Calibri"/>
                <w:color w:val="000000"/>
                <w:sz w:val="20"/>
                <w:szCs w:val="20"/>
              </w:rPr>
              <w:t>2</w:t>
            </w:r>
            <w:r w:rsidR="00CC3B85">
              <w:rPr>
                <w:rFonts w:cs="Calibri"/>
                <w:color w:val="000000"/>
                <w:sz w:val="20"/>
                <w:szCs w:val="20"/>
              </w:rPr>
              <w:t>9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, plus </w:t>
            </w:r>
            <w:r w:rsidR="00256048">
              <w:rPr>
                <w:rFonts w:cs="Calibri"/>
                <w:color w:val="000000"/>
                <w:sz w:val="20"/>
                <w:szCs w:val="20"/>
              </w:rPr>
              <w:t xml:space="preserve">items 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="009B6C2C">
              <w:rPr>
                <w:rFonts w:cs="Calibri"/>
                <w:color w:val="000000"/>
                <w:sz w:val="20"/>
                <w:szCs w:val="20"/>
              </w:rPr>
              <w:t>0</w:t>
            </w:r>
            <w:r>
              <w:rPr>
                <w:rFonts w:cs="Calibri"/>
                <w:color w:val="000000"/>
                <w:sz w:val="20"/>
                <w:szCs w:val="20"/>
              </w:rPr>
              <w:t>.b</w:t>
            </w:r>
            <w:r w:rsidR="002A5BB5">
              <w:rPr>
                <w:rFonts w:cs="Calibri"/>
                <w:color w:val="000000"/>
                <w:sz w:val="20"/>
                <w:szCs w:val="20"/>
              </w:rPr>
              <w:t xml:space="preserve"> and 31</w:t>
            </w:r>
            <w:r w:rsidRPr="00C17E6B">
              <w:rPr>
                <w:rFonts w:cs="Calibri"/>
                <w:color w:val="000000"/>
                <w:sz w:val="20"/>
                <w:szCs w:val="20"/>
              </w:rPr>
              <w:t>)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1328B" w:rsidRPr="000F5E90" w:rsidRDefault="000F5E90" w:rsidP="000F5E90">
            <w:pPr>
              <w:spacing w:after="0" w:line="240" w:lineRule="auto"/>
              <w:jc w:val="center"/>
              <w:rPr>
                <w:rFonts w:cs="Calibri"/>
                <w:iCs/>
                <w:color w:val="000000"/>
                <w:sz w:val="20"/>
                <w:szCs w:val="20"/>
              </w:rPr>
            </w:pPr>
            <w:r>
              <w:rPr>
                <w:rFonts w:cs="Calibri"/>
                <w:iCs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1328B" w:rsidRPr="00E55F2B" w:rsidRDefault="00B1328B" w:rsidP="0067499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1328B" w:rsidRPr="00E55F2B" w:rsidRDefault="00B1328B" w:rsidP="00674990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B1328B" w:rsidRPr="00E55F2B" w:rsidRDefault="00B1328B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B1328B" w:rsidRPr="00E55F2B" w:rsidRDefault="00B1328B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19" w:name="_Ref331676326"/>
          </w:p>
        </w:tc>
        <w:bookmarkEnd w:id="19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E55F2B" w:rsidRDefault="00120FF9" w:rsidP="005C644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LESS: T</w:t>
            </w:r>
            <w:r w:rsidR="00EB0720">
              <w:rPr>
                <w:rFonts w:cs="Calibri"/>
                <w:color w:val="000000"/>
                <w:sz w:val="20"/>
                <w:szCs w:val="20"/>
              </w:rPr>
              <w:t xml:space="preserve">ier 2 capital 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deductions……………………………………………………………………………….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0F5E90" w:rsidRDefault="000F5E90" w:rsidP="000F5E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6624F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24F" w:rsidRPr="00E55F2B" w:rsidRDefault="0096624F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  <w:bookmarkStart w:id="20" w:name="_Ref331676362"/>
          </w:p>
        </w:tc>
        <w:bookmarkEnd w:id="20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624F" w:rsidRPr="00803732" w:rsidRDefault="00C13929" w:rsidP="00085279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1E73C0">
              <w:rPr>
                <w:rFonts w:cs="Calibri"/>
                <w:color w:val="000000"/>
                <w:sz w:val="20"/>
                <w:szCs w:val="20"/>
              </w:rPr>
              <w:t>a.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="0096624F" w:rsidRPr="00803732">
              <w:rPr>
                <w:rFonts w:cs="Calibri"/>
                <w:b/>
                <w:color w:val="000000"/>
                <w:sz w:val="20"/>
                <w:szCs w:val="20"/>
              </w:rPr>
              <w:t xml:space="preserve">Tier 2 capital </w:t>
            </w:r>
            <w:r w:rsidR="0096624F" w:rsidRPr="00D61704">
              <w:rPr>
                <w:rFonts w:cs="Calibri"/>
                <w:color w:val="000000"/>
                <w:sz w:val="20"/>
                <w:szCs w:val="20"/>
              </w:rPr>
              <w:t>(</w:t>
            </w:r>
            <w:r w:rsidR="00371725">
              <w:rPr>
                <w:rFonts w:cs="Calibri"/>
                <w:color w:val="000000"/>
                <w:sz w:val="20"/>
                <w:szCs w:val="20"/>
              </w:rPr>
              <w:t xml:space="preserve">greater of </w:t>
            </w:r>
            <w:r w:rsidR="0096624F" w:rsidRPr="00D61704">
              <w:rPr>
                <w:rFonts w:cs="Calibri"/>
                <w:color w:val="000000"/>
                <w:sz w:val="20"/>
                <w:szCs w:val="20"/>
              </w:rPr>
              <w:t xml:space="preserve">item </w:t>
            </w:r>
            <w:r w:rsidR="001763C9">
              <w:rPr>
                <w:rFonts w:cs="Calibri"/>
                <w:color w:val="000000"/>
                <w:sz w:val="20"/>
                <w:szCs w:val="20"/>
              </w:rPr>
              <w:t>3</w:t>
            </w:r>
            <w:r w:rsidR="002A5BB5"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.a</w:t>
            </w:r>
            <w:r w:rsidR="001763C9" w:rsidRPr="00D6170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minus</w:t>
            </w:r>
            <w:r w:rsidR="0096624F" w:rsidRPr="00D61704">
              <w:rPr>
                <w:rFonts w:cs="Calibri"/>
                <w:color w:val="000000"/>
                <w:sz w:val="20"/>
                <w:szCs w:val="20"/>
              </w:rPr>
              <w:t xml:space="preserve"> item </w:t>
            </w:r>
            <w:r w:rsidR="001763C9">
              <w:rPr>
                <w:rFonts w:cs="Calibri"/>
                <w:color w:val="000000"/>
                <w:sz w:val="20"/>
                <w:szCs w:val="20"/>
              </w:rPr>
              <w:t>3</w:t>
            </w:r>
            <w:r w:rsidR="002A5BB5">
              <w:rPr>
                <w:rFonts w:cs="Calibri"/>
                <w:color w:val="000000"/>
                <w:sz w:val="20"/>
                <w:szCs w:val="20"/>
              </w:rPr>
              <w:t>3</w:t>
            </w:r>
            <w:r w:rsidR="00D565E5">
              <w:rPr>
                <w:rFonts w:cs="Calibri"/>
                <w:color w:val="000000"/>
                <w:sz w:val="20"/>
                <w:szCs w:val="20"/>
              </w:rPr>
              <w:t>,</w:t>
            </w:r>
            <w:r w:rsidR="00371725">
              <w:rPr>
                <w:rFonts w:cs="Calibri"/>
                <w:color w:val="000000"/>
                <w:sz w:val="20"/>
                <w:szCs w:val="20"/>
              </w:rPr>
              <w:t xml:space="preserve"> or zero</w:t>
            </w:r>
            <w:r w:rsidR="0096624F" w:rsidRPr="00D61704">
              <w:rPr>
                <w:rFonts w:cs="Calibri"/>
                <w:color w:val="000000"/>
                <w:sz w:val="20"/>
                <w:szCs w:val="20"/>
              </w:rPr>
              <w:t>)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6624F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6624F" w:rsidRPr="00E55F2B" w:rsidRDefault="0096624F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6624F" w:rsidRPr="00E55F2B" w:rsidRDefault="0096624F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96624F" w:rsidRPr="00E55F2B" w:rsidRDefault="0096624F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81C9C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B81C9C" w:rsidRPr="00B81C9C" w:rsidRDefault="00B81C9C" w:rsidP="00B81C9C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1C9C" w:rsidRDefault="00B81C9C" w:rsidP="00BC5552">
            <w:pPr>
              <w:spacing w:after="0" w:line="240" w:lineRule="auto"/>
              <w:ind w:left="259" w:hanging="259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A7DAD">
              <w:rPr>
                <w:rFonts w:cs="Calibri"/>
                <w:color w:val="000000"/>
                <w:sz w:val="20"/>
                <w:szCs w:val="20"/>
              </w:rPr>
              <w:t>b.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774EC2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>A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dvanced approaches </w:t>
            </w:r>
            <w:r w:rsidR="00554D4C">
              <w:rPr>
                <w:rFonts w:cs="Calibri"/>
                <w:color w:val="000000"/>
                <w:sz w:val="20"/>
                <w:szCs w:val="20"/>
              </w:rPr>
              <w:t>institutions</w:t>
            </w:r>
            <w:r w:rsidR="00997214">
              <w:rPr>
                <w:rFonts w:cs="Calibri"/>
                <w:color w:val="000000"/>
                <w:sz w:val="20"/>
                <w:szCs w:val="20"/>
              </w:rPr>
              <w:t xml:space="preserve"> that exit parallel run</w:t>
            </w:r>
            <w:r w:rsidR="00E26DB9">
              <w:rPr>
                <w:rFonts w:cs="Calibri"/>
                <w:color w:val="000000"/>
                <w:sz w:val="20"/>
                <w:szCs w:val="20"/>
              </w:rPr>
              <w:t xml:space="preserve"> only): T</w:t>
            </w:r>
            <w:r>
              <w:rPr>
                <w:rFonts w:cs="Calibri"/>
                <w:color w:val="000000"/>
                <w:sz w:val="20"/>
                <w:szCs w:val="20"/>
              </w:rPr>
              <w:t>ier 2 capital (</w:t>
            </w:r>
            <w:r w:rsidR="00371725">
              <w:rPr>
                <w:rFonts w:cs="Calibri"/>
                <w:color w:val="000000"/>
                <w:sz w:val="20"/>
                <w:szCs w:val="20"/>
              </w:rPr>
              <w:t xml:space="preserve">greater of </w:t>
            </w:r>
            <w:r>
              <w:rPr>
                <w:rFonts w:cs="Calibri"/>
                <w:color w:val="000000"/>
                <w:sz w:val="20"/>
                <w:szCs w:val="20"/>
              </w:rPr>
              <w:t>item 3</w:t>
            </w:r>
            <w:r w:rsidR="002A5BB5"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.b </w:t>
            </w:r>
            <w:r w:rsidR="006B76FC">
              <w:rPr>
                <w:rFonts w:cs="Calibri"/>
                <w:color w:val="000000"/>
                <w:sz w:val="20"/>
                <w:szCs w:val="20"/>
              </w:rPr>
              <w:t>minus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item 3</w:t>
            </w:r>
            <w:r w:rsidR="002A5BB5">
              <w:rPr>
                <w:rFonts w:cs="Calibri"/>
                <w:color w:val="000000"/>
                <w:sz w:val="20"/>
                <w:szCs w:val="20"/>
              </w:rPr>
              <w:t>3</w:t>
            </w:r>
            <w:r w:rsidR="00371725">
              <w:rPr>
                <w:rFonts w:cs="Calibri"/>
                <w:color w:val="000000"/>
                <w:sz w:val="20"/>
                <w:szCs w:val="20"/>
              </w:rPr>
              <w:t xml:space="preserve"> or zero</w:t>
            </w:r>
            <w:r>
              <w:rPr>
                <w:rFonts w:cs="Calibri"/>
                <w:color w:val="000000"/>
                <w:sz w:val="20"/>
                <w:szCs w:val="20"/>
              </w:rPr>
              <w:t>)</w:t>
            </w:r>
            <w:r w:rsidR="00085279"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81C9C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81C9C" w:rsidRPr="00E55F2B" w:rsidRDefault="00B81C9C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81C9C" w:rsidRPr="00E55F2B" w:rsidRDefault="00B81C9C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B81C9C" w:rsidRPr="00E55F2B" w:rsidRDefault="00B81C9C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B81C9C" w:rsidRPr="00E55F2B" w:rsidRDefault="00B81C9C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C0C88" w:rsidRPr="00FA5605" w:rsidRDefault="00AC0C88" w:rsidP="00FA5605">
            <w:pPr>
              <w:spacing w:after="0" w:line="240" w:lineRule="auto"/>
              <w:ind w:left="21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C88" w:rsidRDefault="00AC0C88" w:rsidP="0082566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876" w:type="dxa"/>
            <w:gridSpan w:val="10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C0C88" w:rsidRDefault="00AC0C88" w:rsidP="00825661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iCs/>
                <w:color w:val="000000"/>
                <w:sz w:val="20"/>
                <w:szCs w:val="20"/>
              </w:rPr>
              <w:t>Total</w:t>
            </w:r>
            <w:r w:rsidRPr="00E55F2B">
              <w:rPr>
                <w:rFonts w:cs="Calibri"/>
                <w:b/>
                <w:iCs/>
                <w:color w:val="000000"/>
                <w:sz w:val="20"/>
                <w:szCs w:val="20"/>
              </w:rPr>
              <w:t xml:space="preserve"> capital </w:t>
            </w:r>
          </w:p>
        </w:tc>
        <w:tc>
          <w:tcPr>
            <w:tcW w:w="2876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C0C88" w:rsidRPr="00E55F2B" w:rsidRDefault="00AC0C88" w:rsidP="00E6208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76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C88" w:rsidRDefault="00AC0C88" w:rsidP="00825661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a. </w:t>
            </w:r>
            <w:r w:rsidRPr="00243831">
              <w:rPr>
                <w:rFonts w:cs="Calibri"/>
                <w:b/>
                <w:color w:val="000000"/>
                <w:sz w:val="20"/>
                <w:szCs w:val="20"/>
              </w:rPr>
              <w:t>Total capital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43831">
              <w:rPr>
                <w:rFonts w:cs="Calibri"/>
                <w:color w:val="000000"/>
                <w:sz w:val="20"/>
                <w:szCs w:val="20"/>
              </w:rPr>
              <w:t>(sum of items 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243831">
              <w:rPr>
                <w:rFonts w:cs="Calibri"/>
                <w:color w:val="000000"/>
                <w:sz w:val="20"/>
                <w:szCs w:val="20"/>
              </w:rPr>
              <w:t xml:space="preserve"> and 3</w:t>
            </w:r>
            <w:r>
              <w:rPr>
                <w:rFonts w:cs="Calibri"/>
                <w:color w:val="000000"/>
                <w:sz w:val="20"/>
                <w:szCs w:val="20"/>
              </w:rPr>
              <w:t>4.</w:t>
            </w:r>
            <w:r w:rsidRPr="00243831">
              <w:rPr>
                <w:rFonts w:cs="Calibri"/>
                <w:color w:val="000000"/>
                <w:sz w:val="20"/>
                <w:szCs w:val="20"/>
              </w:rPr>
              <w:t>a)</w:t>
            </w:r>
            <w:r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C88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C0C88" w:rsidRPr="00B81C9C" w:rsidRDefault="00AC0C88" w:rsidP="00B81C9C">
            <w:pPr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C88" w:rsidRDefault="00AC0C88" w:rsidP="00BC5552">
            <w:pPr>
              <w:spacing w:after="0" w:line="240" w:lineRule="auto"/>
              <w:ind w:left="259" w:hanging="259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b. (Advanced approaches institutions that exit parallel run only): </w:t>
            </w:r>
            <w:r w:rsidR="0026658F">
              <w:rPr>
                <w:rFonts w:cs="Calibri"/>
                <w:color w:val="000000"/>
                <w:sz w:val="20"/>
                <w:szCs w:val="20"/>
              </w:rPr>
              <w:t>T</w:t>
            </w:r>
            <w:r>
              <w:rPr>
                <w:rFonts w:cs="Calibri"/>
                <w:color w:val="000000"/>
                <w:sz w:val="20"/>
                <w:szCs w:val="20"/>
              </w:rPr>
              <w:t>otal capital</w:t>
            </w:r>
            <w:r w:rsidRPr="00243831">
              <w:rPr>
                <w:rFonts w:cs="Calibri"/>
                <w:color w:val="000000"/>
                <w:sz w:val="20"/>
                <w:szCs w:val="20"/>
              </w:rPr>
              <w:t xml:space="preserve"> (sum of items 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243831">
              <w:rPr>
                <w:rFonts w:cs="Calibri"/>
                <w:color w:val="000000"/>
                <w:sz w:val="20"/>
                <w:szCs w:val="20"/>
              </w:rPr>
              <w:t xml:space="preserve"> and 3</w:t>
            </w:r>
            <w:r>
              <w:rPr>
                <w:rFonts w:cs="Calibri"/>
                <w:color w:val="000000"/>
                <w:sz w:val="20"/>
                <w:szCs w:val="20"/>
              </w:rPr>
              <w:t>4.</w:t>
            </w:r>
            <w:r w:rsidRPr="00243831">
              <w:rPr>
                <w:rFonts w:cs="Calibri"/>
                <w:color w:val="000000"/>
                <w:sz w:val="20"/>
                <w:szCs w:val="20"/>
              </w:rPr>
              <w:t>b)</w:t>
            </w:r>
            <w:r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………………………………………………………………………………………..</w:t>
            </w:r>
          </w:p>
        </w:tc>
        <w:tc>
          <w:tcPr>
            <w:tcW w:w="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C88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2"/>
          <w:wAfter w:w="39" w:type="dxa"/>
          <w:cantSplit/>
          <w:trHeight w:val="90"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AC0C88" w:rsidRDefault="00AC0C88" w:rsidP="007E317C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AC0C88" w:rsidRPr="00040CC2" w:rsidRDefault="00AC0C88" w:rsidP="007E317C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Total assets for the leverage ratio</w:t>
            </w:r>
          </w:p>
        </w:tc>
        <w:tc>
          <w:tcPr>
            <w:tcW w:w="290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C0C88" w:rsidRDefault="00AC0C88" w:rsidP="002A5BB5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36.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C88" w:rsidRPr="00222BBA" w:rsidRDefault="00AC0C88" w:rsidP="006B6A3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Average t</w:t>
            </w:r>
            <w:r w:rsidRPr="00222BBA">
              <w:rPr>
                <w:rFonts w:cs="Calibri"/>
                <w:color w:val="000000"/>
                <w:sz w:val="20"/>
                <w:szCs w:val="20"/>
              </w:rPr>
              <w:t xml:space="preserve">otal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consolidated </w:t>
            </w:r>
            <w:r w:rsidRPr="00222BBA">
              <w:rPr>
                <w:rFonts w:cs="Calibri"/>
                <w:color w:val="000000"/>
                <w:sz w:val="20"/>
                <w:szCs w:val="20"/>
              </w:rPr>
              <w:t>assets</w:t>
            </w:r>
            <w:r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</w:t>
            </w:r>
            <w:r w:rsidRPr="00222BB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C88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C0C88" w:rsidRDefault="00AC0C88" w:rsidP="002A5BB5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37.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C88" w:rsidRPr="005116CC" w:rsidRDefault="00AC0C88" w:rsidP="00DB2634">
            <w:pPr>
              <w:spacing w:after="0" w:line="240" w:lineRule="auto"/>
              <w:rPr>
                <w:rFonts w:cs="Calibri"/>
                <w:i/>
                <w:color w:val="0000FF"/>
                <w:sz w:val="16"/>
                <w:szCs w:val="16"/>
              </w:rPr>
            </w:pPr>
            <w:r w:rsidRPr="00222BBA"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Deductions from common equity tier 1 capital and additional tier 1 capital (sum of items 6, 7, 8, and 10.b)…………………………………………………………………….............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C88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C0C88" w:rsidRDefault="00AC0C88" w:rsidP="002A5BB5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38.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C88" w:rsidRPr="00222BBA" w:rsidRDefault="00AC0C88" w:rsidP="00CA25A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LESS: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Other deductions from (additions to) assets for leverage ratio purposes…</w:t>
            </w:r>
            <w:r w:rsidR="00D565E5">
              <w:rPr>
                <w:rFonts w:cs="Calibri"/>
                <w:color w:val="000000"/>
                <w:sz w:val="20"/>
                <w:szCs w:val="20"/>
              </w:rPr>
              <w:t>…….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C88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AC0C88" w:rsidRDefault="00AC0C88" w:rsidP="002A5BB5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39.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0C88" w:rsidRPr="009C3D53" w:rsidRDefault="00AC0C88" w:rsidP="00647EB7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22BBA">
              <w:rPr>
                <w:rFonts w:cs="Calibri"/>
                <w:b/>
                <w:color w:val="000000"/>
                <w:sz w:val="20"/>
                <w:szCs w:val="20"/>
              </w:rPr>
              <w:t xml:space="preserve">Total assets for the leverage ratio </w:t>
            </w:r>
            <w:r w:rsidRPr="00E83E91">
              <w:rPr>
                <w:rFonts w:cs="Calibri"/>
                <w:color w:val="000000"/>
                <w:sz w:val="20"/>
                <w:szCs w:val="20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</w:rPr>
              <w:t>item 36 minus items 37 and 38</w:t>
            </w:r>
            <w:r w:rsidRPr="00E83E91">
              <w:rPr>
                <w:rFonts w:cs="Calibri"/>
                <w:color w:val="000000"/>
                <w:sz w:val="20"/>
                <w:szCs w:val="20"/>
              </w:rPr>
              <w:t>)</w:t>
            </w:r>
            <w:r>
              <w:rPr>
                <w:rFonts w:cs="Calibri"/>
                <w:color w:val="000000"/>
                <w:sz w:val="20"/>
                <w:szCs w:val="20"/>
              </w:rPr>
              <w:t>………………………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C88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600A6" w:rsidRPr="00E55F2B" w:rsidTr="000F4908">
        <w:trPr>
          <w:gridAfter w:val="2"/>
          <w:wAfter w:w="39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5600A6" w:rsidRDefault="005600A6" w:rsidP="00803732">
            <w:pPr>
              <w:pStyle w:val="ListParagraph"/>
              <w:spacing w:after="0" w:line="240" w:lineRule="auto"/>
              <w:ind w:left="360"/>
              <w:rPr>
                <w:rFonts w:cs="Calibri"/>
                <w:color w:val="000000"/>
                <w:sz w:val="20"/>
                <w:szCs w:val="20"/>
              </w:rPr>
            </w:pPr>
          </w:p>
          <w:p w:rsidR="005600A6" w:rsidRPr="005600A6" w:rsidRDefault="005600A6" w:rsidP="00411D44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5600A6">
              <w:rPr>
                <w:rFonts w:cs="Calibri"/>
                <w:b/>
                <w:color w:val="000000"/>
                <w:sz w:val="20"/>
                <w:szCs w:val="20"/>
              </w:rPr>
              <w:t>Total risk-weighted assets</w:t>
            </w:r>
          </w:p>
        </w:tc>
        <w:tc>
          <w:tcPr>
            <w:tcW w:w="29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:rsidR="005600A6" w:rsidRPr="00E55F2B" w:rsidRDefault="005600A6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5600A6" w:rsidRPr="00E55F2B" w:rsidRDefault="005600A6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right w:val="nil"/>
            </w:tcBorders>
            <w:noWrap/>
          </w:tcPr>
          <w:p w:rsidR="00AC0C88" w:rsidRPr="00E55F2B" w:rsidRDefault="00AC0C88" w:rsidP="002A5BB5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bookmarkStart w:id="21" w:name="_Ref331676374"/>
            <w:r>
              <w:rPr>
                <w:rFonts w:cs="Calibri"/>
                <w:color w:val="000000"/>
                <w:sz w:val="20"/>
                <w:szCs w:val="20"/>
              </w:rPr>
              <w:t xml:space="preserve"> 40.</w:t>
            </w:r>
          </w:p>
        </w:tc>
        <w:bookmarkEnd w:id="21"/>
        <w:tc>
          <w:tcPr>
            <w:tcW w:w="6988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AC0C88" w:rsidRPr="00753E20" w:rsidRDefault="00AC0C88" w:rsidP="00665EBB">
            <w:pPr>
              <w:spacing w:after="0" w:line="240" w:lineRule="auto"/>
              <w:rPr>
                <w:rFonts w:cs="Calibri"/>
                <w:b/>
                <w:i/>
                <w:color w:val="0000FF"/>
                <w:sz w:val="16"/>
                <w:szCs w:val="16"/>
              </w:rPr>
            </w:pPr>
            <w:r w:rsidRPr="001E73C0">
              <w:rPr>
                <w:rFonts w:cs="Calibri"/>
                <w:color w:val="000000"/>
                <w:sz w:val="20"/>
                <w:szCs w:val="20"/>
              </w:rPr>
              <w:t>a.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 </w:t>
            </w:r>
            <w:r w:rsidRPr="00040CC2">
              <w:rPr>
                <w:rFonts w:cs="Calibri"/>
                <w:b/>
                <w:color w:val="000000"/>
                <w:sz w:val="20"/>
                <w:szCs w:val="20"/>
              </w:rPr>
              <w:t xml:space="preserve">Total risk-weighted assets </w:t>
            </w:r>
            <w:r w:rsidRPr="00D61704">
              <w:rPr>
                <w:rFonts w:cs="Calibri"/>
                <w:color w:val="000000"/>
                <w:sz w:val="20"/>
                <w:szCs w:val="20"/>
              </w:rPr>
              <w:t>(</w:t>
            </w:r>
            <w:r>
              <w:rPr>
                <w:rFonts w:cs="Calibri"/>
                <w:color w:val="000000"/>
                <w:sz w:val="20"/>
                <w:szCs w:val="20"/>
              </w:rPr>
              <w:t>from Schedule RC-R,</w:t>
            </w:r>
            <w:r w:rsidR="00665EBB">
              <w:rPr>
                <w:rFonts w:cs="Calibri"/>
                <w:color w:val="000000"/>
                <w:sz w:val="20"/>
                <w:szCs w:val="20"/>
              </w:rPr>
              <w:t xml:space="preserve"> Part II,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item 62</w:t>
            </w:r>
            <w:r w:rsidRPr="00D61704">
              <w:rPr>
                <w:rFonts w:cs="Calibri"/>
                <w:color w:val="000000"/>
                <w:sz w:val="20"/>
                <w:szCs w:val="20"/>
              </w:rPr>
              <w:t>)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………………………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C88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623" w:type="dxa"/>
            <w:tcBorders>
              <w:top w:val="nil"/>
              <w:left w:val="nil"/>
              <w:right w:val="nil"/>
            </w:tcBorders>
            <w:noWrap/>
          </w:tcPr>
          <w:p w:rsidR="00AC0C88" w:rsidRPr="00FA7DAD" w:rsidRDefault="00AC0C88" w:rsidP="006C59FC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AC0C88" w:rsidRPr="00FA7DAD" w:rsidRDefault="00AC0C88" w:rsidP="00BA13F4">
            <w:pPr>
              <w:spacing w:after="0" w:line="240" w:lineRule="auto"/>
              <w:ind w:left="259" w:hanging="259"/>
              <w:rPr>
                <w:rFonts w:cs="Calibri"/>
                <w:color w:val="000000"/>
                <w:sz w:val="20"/>
                <w:szCs w:val="20"/>
              </w:rPr>
            </w:pPr>
            <w:r w:rsidRPr="00FA7DAD">
              <w:rPr>
                <w:rFonts w:cs="Calibri"/>
                <w:color w:val="000000"/>
                <w:sz w:val="20"/>
                <w:szCs w:val="20"/>
              </w:rPr>
              <w:t xml:space="preserve">b. </w:t>
            </w:r>
            <w:r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 xml:space="preserve">Advanced approaches </w:t>
            </w:r>
            <w:r>
              <w:rPr>
                <w:rFonts w:cs="Calibri"/>
                <w:color w:val="000000"/>
                <w:sz w:val="20"/>
                <w:szCs w:val="20"/>
              </w:rPr>
              <w:t>institutions that exit parallel run only)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 xml:space="preserve">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T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 xml:space="preserve">otal risk-weighted assets using advanced approaches </w:t>
            </w:r>
            <w:r>
              <w:rPr>
                <w:rFonts w:cs="Calibri"/>
                <w:color w:val="000000"/>
                <w:sz w:val="20"/>
                <w:szCs w:val="20"/>
              </w:rPr>
              <w:t>rules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from 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>FFIEC 101 Schedule A</w:t>
            </w:r>
            <w:r>
              <w:rPr>
                <w:rFonts w:cs="Calibri"/>
                <w:color w:val="000000"/>
                <w:sz w:val="20"/>
                <w:szCs w:val="20"/>
              </w:rPr>
              <w:t>, item 60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>)</w:t>
            </w:r>
            <w:r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C0C88" w:rsidRPr="00E55F2B" w:rsidRDefault="00665EBB" w:rsidP="00665EB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0C88" w:rsidRPr="00E55F2B" w:rsidRDefault="00AC0C88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gridAfter w:val="3"/>
          <w:wAfter w:w="70" w:type="dxa"/>
          <w:cantSplit/>
        </w:trPr>
        <w:tc>
          <w:tcPr>
            <w:tcW w:w="7611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C0C88" w:rsidRPr="00E55F2B" w:rsidRDefault="00AC0C88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left w:val="single" w:sz="4" w:space="0" w:color="auto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C0C88" w:rsidRPr="00E55F2B" w:rsidTr="000F4908">
        <w:trPr>
          <w:cantSplit/>
        </w:trPr>
        <w:tc>
          <w:tcPr>
            <w:tcW w:w="7611" w:type="dxa"/>
            <w:gridSpan w:val="2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AC0C88" w:rsidRPr="00B7417D" w:rsidRDefault="00AC0C88" w:rsidP="006B6A3E">
            <w:pPr>
              <w:spacing w:after="0" w:line="240" w:lineRule="auto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C88" w:rsidRPr="00E55F2B" w:rsidRDefault="00AC0C88" w:rsidP="008D10EB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Column A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C88" w:rsidRPr="00E55F2B" w:rsidRDefault="00AC0C88" w:rsidP="00A823E9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Column B</w:t>
            </w:r>
          </w:p>
        </w:tc>
        <w:tc>
          <w:tcPr>
            <w:tcW w:w="827" w:type="dxa"/>
            <w:gridSpan w:val="7"/>
            <w:tcBorders>
              <w:left w:val="single" w:sz="4" w:space="0" w:color="auto"/>
              <w:bottom w:val="nil"/>
              <w:right w:val="nil"/>
            </w:tcBorders>
            <w:noWrap/>
          </w:tcPr>
          <w:p w:rsidR="00AC0C88" w:rsidRPr="00E55F2B" w:rsidRDefault="00AC0C8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E55F2B" w:rsidTr="000F4908">
        <w:trPr>
          <w:gridAfter w:val="5"/>
          <w:wAfter w:w="263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2B09" w:rsidRPr="00B7417D" w:rsidRDefault="00AA2B09" w:rsidP="003C1E0C">
            <w:pPr>
              <w:spacing w:after="0" w:line="240" w:lineRule="auto"/>
              <w:rPr>
                <w:rFonts w:cs="Calibri"/>
                <w:b/>
                <w:i/>
                <w:sz w:val="18"/>
                <w:szCs w:val="18"/>
              </w:rPr>
            </w:pPr>
            <w:r w:rsidRPr="00543963">
              <w:rPr>
                <w:rFonts w:cs="Calibri"/>
                <w:b/>
                <w:color w:val="000000"/>
                <w:sz w:val="20"/>
                <w:szCs w:val="20"/>
              </w:rPr>
              <w:t xml:space="preserve">Capital 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r</w:t>
            </w:r>
            <w:r w:rsidRPr="00543963">
              <w:rPr>
                <w:rFonts w:cs="Calibri"/>
                <w:b/>
                <w:color w:val="000000"/>
                <w:sz w:val="20"/>
                <w:szCs w:val="20"/>
              </w:rPr>
              <w:t xml:space="preserve">atios 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A2B09" w:rsidRPr="00F638E2" w:rsidRDefault="00AA2B09" w:rsidP="00C87284">
            <w:pPr>
              <w:spacing w:after="0" w:line="240" w:lineRule="auto"/>
              <w:ind w:hanging="47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RCxx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2B09" w:rsidRPr="00F638E2" w:rsidRDefault="00AA2B09" w:rsidP="001267F4">
            <w:pPr>
              <w:spacing w:after="0" w:line="240" w:lineRule="auto"/>
              <w:ind w:hanging="16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F638E2">
              <w:rPr>
                <w:rFonts w:cs="Calibri"/>
                <w:color w:val="000000"/>
                <w:sz w:val="14"/>
                <w:szCs w:val="14"/>
              </w:rPr>
              <w:t>Percentage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2B09" w:rsidRPr="00F638E2" w:rsidRDefault="00AA2B09" w:rsidP="00C87284">
            <w:pPr>
              <w:spacing w:after="0" w:line="240" w:lineRule="auto"/>
              <w:ind w:hanging="17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RCxx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2B09" w:rsidRPr="00F638E2" w:rsidRDefault="00AA2B09" w:rsidP="001267F4">
            <w:pPr>
              <w:spacing w:after="0" w:line="240" w:lineRule="auto"/>
              <w:ind w:hanging="17"/>
              <w:rPr>
                <w:rFonts w:cs="Calibri"/>
                <w:color w:val="000000"/>
                <w:sz w:val="14"/>
                <w:szCs w:val="14"/>
              </w:rPr>
            </w:pPr>
            <w:r w:rsidRPr="00F638E2">
              <w:rPr>
                <w:rFonts w:cs="Calibri"/>
                <w:color w:val="000000"/>
                <w:sz w:val="14"/>
                <w:szCs w:val="14"/>
              </w:rPr>
              <w:t>Percentage</w:t>
            </w:r>
          </w:p>
        </w:tc>
        <w:tc>
          <w:tcPr>
            <w:tcW w:w="5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</w:tr>
      <w:tr w:rsidR="00AA2B09" w:rsidRPr="00E55F2B" w:rsidTr="000F4908">
        <w:trPr>
          <w:gridAfter w:val="4"/>
          <w:wAfter w:w="106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A2B09" w:rsidRPr="00E55F2B" w:rsidRDefault="00AA2B09" w:rsidP="00D6736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41.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B09" w:rsidRPr="00262794" w:rsidRDefault="00AA2B09" w:rsidP="009E7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262794">
              <w:rPr>
                <w:rFonts w:cs="Calibri"/>
                <w:color w:val="000000"/>
                <w:sz w:val="20"/>
                <w:szCs w:val="20"/>
              </w:rPr>
              <w:t>Common equity tier 1 capital ratio 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Column A: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item </w:t>
            </w: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 divided by item </w:t>
            </w:r>
            <w:r>
              <w:rPr>
                <w:rFonts w:cs="Calibri"/>
                <w:color w:val="000000"/>
                <w:sz w:val="20"/>
                <w:szCs w:val="20"/>
              </w:rPr>
              <w:t>40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.a)</w:t>
            </w:r>
            <w:r w:rsidDel="008A14D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AA2B09" w:rsidRPr="00262794" w:rsidRDefault="00AA2B09" w:rsidP="00185A0D">
            <w:pPr>
              <w:spacing w:after="0" w:line="240" w:lineRule="auto"/>
              <w:ind w:hanging="18"/>
              <w:rPr>
                <w:rFonts w:cs="Calibri"/>
                <w:color w:val="000000"/>
                <w:sz w:val="20"/>
                <w:szCs w:val="20"/>
              </w:rPr>
            </w:pPr>
            <w:r w:rsidRPr="00262794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>A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dvanced approaches institutions that exit parallel run only: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Column B: item </w:t>
            </w:r>
            <w:r>
              <w:rPr>
                <w:rFonts w:cs="Calibri"/>
                <w:color w:val="000000"/>
                <w:sz w:val="20"/>
                <w:szCs w:val="20"/>
              </w:rPr>
              <w:t>19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 divided by item </w:t>
            </w:r>
            <w:r>
              <w:rPr>
                <w:rFonts w:cs="Calibri"/>
                <w:color w:val="000000"/>
                <w:sz w:val="20"/>
                <w:szCs w:val="20"/>
              </w:rPr>
              <w:t>40.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b)</w:t>
            </w:r>
            <w:r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…………………………………………………………………………………………..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B09" w:rsidRPr="00C87284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B09" w:rsidRPr="00F638E2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A2B09" w:rsidRPr="00F638E2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2B09" w:rsidRPr="00F638E2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E55F2B" w:rsidTr="000F4908">
        <w:trPr>
          <w:gridAfter w:val="4"/>
          <w:wAfter w:w="106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A2B09" w:rsidRPr="00E55F2B" w:rsidRDefault="00AA2B09" w:rsidP="00D6736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bookmarkStart w:id="22" w:name="_Ref331762186"/>
            <w:r>
              <w:rPr>
                <w:rFonts w:cs="Calibri"/>
                <w:color w:val="000000"/>
                <w:sz w:val="20"/>
                <w:szCs w:val="20"/>
              </w:rPr>
              <w:t xml:space="preserve"> 42.</w:t>
            </w:r>
          </w:p>
        </w:tc>
        <w:bookmarkEnd w:id="22"/>
        <w:tc>
          <w:tcPr>
            <w:tcW w:w="6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2B09" w:rsidRPr="00262794" w:rsidRDefault="00AA2B09" w:rsidP="009E7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262794">
              <w:rPr>
                <w:rFonts w:cs="Calibri"/>
                <w:color w:val="000000"/>
                <w:sz w:val="20"/>
                <w:szCs w:val="20"/>
              </w:rPr>
              <w:t>Tier 1 capital ratio (</w:t>
            </w:r>
            <w:r>
              <w:rPr>
                <w:rFonts w:cs="Calibri"/>
                <w:color w:val="000000"/>
                <w:sz w:val="20"/>
                <w:szCs w:val="20"/>
              </w:rPr>
              <w:t>Column A: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item 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 divided by item </w:t>
            </w:r>
            <w:r>
              <w:rPr>
                <w:rFonts w:cs="Calibri"/>
                <w:color w:val="000000"/>
                <w:sz w:val="20"/>
                <w:szCs w:val="20"/>
              </w:rPr>
              <w:t>40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.a)</w:t>
            </w:r>
            <w:r w:rsidDel="008A14D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AA2B09" w:rsidRPr="00262794" w:rsidRDefault="00AA2B09" w:rsidP="00185A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262794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>A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dvanced approaches institutions that exit parallel run only: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Column B: item 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 divided by item </w:t>
            </w:r>
            <w:r>
              <w:rPr>
                <w:rFonts w:cs="Calibri"/>
                <w:color w:val="000000"/>
                <w:sz w:val="20"/>
                <w:szCs w:val="20"/>
              </w:rPr>
              <w:t>40.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b)</w:t>
            </w:r>
            <w:r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…………………………………………………….……………………………………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E55F2B" w:rsidTr="000F4908">
        <w:trPr>
          <w:gridAfter w:val="4"/>
          <w:wAfter w:w="106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A2B09" w:rsidRPr="00E55F2B" w:rsidRDefault="00AA2B09" w:rsidP="00D6736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bookmarkStart w:id="23" w:name="_Ref331762192"/>
            <w:r>
              <w:rPr>
                <w:rFonts w:cs="Calibri"/>
                <w:color w:val="000000"/>
                <w:sz w:val="20"/>
                <w:szCs w:val="20"/>
              </w:rPr>
              <w:t xml:space="preserve"> 43.</w:t>
            </w:r>
          </w:p>
        </w:tc>
        <w:bookmarkEnd w:id="23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B09" w:rsidRPr="00262794" w:rsidRDefault="00AA2B09" w:rsidP="009E7CF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262794">
              <w:rPr>
                <w:rFonts w:cs="Calibri"/>
                <w:color w:val="000000"/>
                <w:sz w:val="20"/>
                <w:szCs w:val="20"/>
              </w:rPr>
              <w:t>Total capital ratio (</w:t>
            </w:r>
            <w:r>
              <w:rPr>
                <w:rFonts w:cs="Calibri"/>
                <w:color w:val="000000"/>
                <w:sz w:val="20"/>
                <w:szCs w:val="20"/>
              </w:rPr>
              <w:t>Column A: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item 3</w:t>
            </w: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.a divided by item </w:t>
            </w:r>
            <w:r>
              <w:rPr>
                <w:rFonts w:cs="Calibri"/>
                <w:color w:val="000000"/>
                <w:sz w:val="20"/>
                <w:szCs w:val="20"/>
              </w:rPr>
              <w:t>40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.a)</w:t>
            </w:r>
          </w:p>
          <w:p w:rsidR="00AA2B09" w:rsidRPr="00262794" w:rsidRDefault="00AA2B09" w:rsidP="00185A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262794">
              <w:rPr>
                <w:rFonts w:cs="Calibri"/>
                <w:color w:val="000000"/>
                <w:sz w:val="20"/>
                <w:szCs w:val="20"/>
              </w:rPr>
              <w:t>(</w:t>
            </w:r>
            <w:r w:rsidRPr="00FA7DAD">
              <w:rPr>
                <w:rFonts w:cs="Calibri"/>
                <w:color w:val="000000"/>
                <w:sz w:val="20"/>
                <w:szCs w:val="20"/>
              </w:rPr>
              <w:t>A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dvanced approaches institutions that exit parallel run only: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Column B: item 3</w:t>
            </w:r>
            <w:r>
              <w:rPr>
                <w:rFonts w:cs="Calibri"/>
                <w:color w:val="000000"/>
                <w:sz w:val="20"/>
                <w:szCs w:val="20"/>
              </w:rPr>
              <w:t>5.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b divided by item </w:t>
            </w:r>
            <w:r>
              <w:rPr>
                <w:rFonts w:cs="Calibri"/>
                <w:color w:val="000000"/>
                <w:sz w:val="20"/>
                <w:szCs w:val="20"/>
              </w:rPr>
              <w:t>40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.b)</w:t>
            </w:r>
            <w:r>
              <w:rPr>
                <w:rFonts w:cs="Calibri"/>
                <w:color w:val="000000"/>
                <w:sz w:val="20"/>
                <w:szCs w:val="20"/>
              </w:rPr>
              <w:t>………………………………………………………………………………………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E55F2B" w:rsidTr="000F4908">
        <w:trPr>
          <w:gridAfter w:val="4"/>
          <w:wAfter w:w="106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A2B09" w:rsidRPr="00E55F2B" w:rsidRDefault="00AA2B09" w:rsidP="00D6736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bookmarkStart w:id="24" w:name="_Ref331762197"/>
            <w:r>
              <w:rPr>
                <w:rFonts w:cs="Calibri"/>
                <w:color w:val="000000"/>
                <w:sz w:val="20"/>
                <w:szCs w:val="20"/>
              </w:rPr>
              <w:t xml:space="preserve"> 44.</w:t>
            </w:r>
          </w:p>
        </w:tc>
        <w:bookmarkEnd w:id="24"/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B09" w:rsidRDefault="00AA2B09" w:rsidP="006B6A3E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262794">
              <w:rPr>
                <w:rFonts w:cs="Calibri"/>
                <w:color w:val="000000"/>
                <w:sz w:val="20"/>
                <w:szCs w:val="20"/>
              </w:rPr>
              <w:t>Tier 1 leverage ratio 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Column A: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item 2</w:t>
            </w:r>
            <w:r>
              <w:rPr>
                <w:rFonts w:cs="Calibri"/>
                <w:color w:val="000000"/>
                <w:sz w:val="20"/>
                <w:szCs w:val="20"/>
              </w:rPr>
              <w:t>6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 divided by item </w:t>
            </w:r>
            <w:r>
              <w:rPr>
                <w:rFonts w:cs="Calibri"/>
                <w:color w:val="000000"/>
                <w:sz w:val="20"/>
                <w:szCs w:val="20"/>
              </w:rPr>
              <w:t>39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AA2B09" w:rsidRPr="00262794" w:rsidRDefault="00AA2B09" w:rsidP="00185A0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(Advanced approaches institutions that exit parallel run only: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Column B: item 26 divided by item 39)…………….………………………………………………………………………………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E55F2B" w:rsidTr="00105F96">
        <w:trPr>
          <w:gridAfter w:val="4"/>
          <w:wAfter w:w="106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A2B09" w:rsidRDefault="00AA2B09" w:rsidP="00D6736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45.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2B09" w:rsidRPr="00262794" w:rsidRDefault="00AA2B09" w:rsidP="00482E6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Advanced approaches </w:t>
            </w:r>
            <w:r w:rsidR="00105F96">
              <w:rPr>
                <w:rFonts w:cs="Calibri"/>
                <w:color w:val="000000"/>
                <w:sz w:val="20"/>
                <w:szCs w:val="20"/>
              </w:rPr>
              <w:t>institutions only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: </w:t>
            </w:r>
            <w:r w:rsidR="00BA13F4">
              <w:rPr>
                <w:rFonts w:cs="Calibri"/>
                <w:color w:val="000000"/>
                <w:sz w:val="20"/>
                <w:szCs w:val="20"/>
              </w:rPr>
              <w:t xml:space="preserve"> S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upplementary leverage ratio (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from 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FFIEC</w:t>
            </w:r>
            <w:r>
              <w:rPr>
                <w:rFonts w:cs="Calibri"/>
                <w:color w:val="000000"/>
                <w:sz w:val="20"/>
                <w:szCs w:val="20"/>
              </w:rPr>
              <w:t> 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 xml:space="preserve">101 Schedule A, item </w:t>
            </w:r>
            <w:r>
              <w:rPr>
                <w:rFonts w:cs="Calibri"/>
                <w:color w:val="000000"/>
                <w:sz w:val="20"/>
                <w:szCs w:val="20"/>
              </w:rPr>
              <w:t>98</w:t>
            </w:r>
            <w:r w:rsidRPr="00262794">
              <w:rPr>
                <w:rFonts w:cs="Calibri"/>
                <w:color w:val="000000"/>
                <w:sz w:val="20"/>
                <w:szCs w:val="20"/>
              </w:rPr>
              <w:t>)</w:t>
            </w:r>
            <w:r w:rsidR="00482E63">
              <w:rPr>
                <w:rFonts w:cs="Calibri"/>
                <w:color w:val="000000"/>
                <w:sz w:val="20"/>
                <w:szCs w:val="20"/>
              </w:rPr>
              <w:t xml:space="preserve"> (effective January 1, 2015)</w:t>
            </w:r>
            <w:r w:rsidR="00105F96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……………………………………</w:t>
            </w:r>
          </w:p>
        </w:tc>
        <w:tc>
          <w:tcPr>
            <w:tcW w:w="1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A2B09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xxxx</w:t>
            </w:r>
          </w:p>
        </w:tc>
        <w:tc>
          <w:tcPr>
            <w:tcW w:w="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A2B09" w:rsidRPr="00E55F2B" w:rsidRDefault="00AA2B09" w:rsidP="00C8728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72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372CB5" w:rsidTr="000F4908">
        <w:trPr>
          <w:gridAfter w:val="2"/>
          <w:wAfter w:w="39" w:type="dxa"/>
          <w:cantSplit/>
        </w:trPr>
        <w:tc>
          <w:tcPr>
            <w:tcW w:w="623" w:type="dxa"/>
            <w:tcBorders>
              <w:top w:val="nil"/>
              <w:left w:val="nil"/>
              <w:right w:val="nil"/>
            </w:tcBorders>
          </w:tcPr>
          <w:p w:rsidR="00AA2B09" w:rsidRPr="00372CB5" w:rsidRDefault="00AA2B09" w:rsidP="00F073AA">
            <w:pPr>
              <w:pStyle w:val="ListParagraph"/>
              <w:spacing w:after="0" w:line="240" w:lineRule="auto"/>
              <w:ind w:left="216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988" w:type="dxa"/>
            <w:tcBorders>
              <w:top w:val="nil"/>
              <w:left w:val="nil"/>
            </w:tcBorders>
            <w:vAlign w:val="center"/>
          </w:tcPr>
          <w:p w:rsidR="00AA2B09" w:rsidRPr="00372CB5" w:rsidRDefault="00AA2B09" w:rsidP="00411D44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AA2B09" w:rsidRPr="00372CB5" w:rsidRDefault="00AA2B09" w:rsidP="00674990">
            <w:pPr>
              <w:spacing w:after="0" w:line="240" w:lineRule="auto"/>
              <w:jc w:val="center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shd w:val="clear" w:color="auto" w:fill="auto"/>
            <w:noWrap/>
            <w:vAlign w:val="bottom"/>
          </w:tcPr>
          <w:p w:rsidR="00AA2B09" w:rsidRPr="00372CB5" w:rsidRDefault="00AA2B09" w:rsidP="0067499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gridSpan w:val="4"/>
            <w:shd w:val="clear" w:color="auto" w:fill="auto"/>
            <w:vAlign w:val="bottom"/>
          </w:tcPr>
          <w:p w:rsidR="00AA2B09" w:rsidRPr="00372CB5" w:rsidRDefault="00AA2B09" w:rsidP="0067499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18" w:type="dxa"/>
            <w:gridSpan w:val="2"/>
            <w:shd w:val="clear" w:color="auto" w:fill="auto"/>
            <w:noWrap/>
            <w:vAlign w:val="bottom"/>
          </w:tcPr>
          <w:p w:rsidR="00AA2B09" w:rsidRPr="00372CB5" w:rsidRDefault="00AA2B09" w:rsidP="0067499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AA2B09" w:rsidRPr="00372CB5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AA2B09" w:rsidRPr="00EC7726" w:rsidTr="000F4908">
        <w:trPr>
          <w:gridAfter w:val="2"/>
          <w:wAfter w:w="39" w:type="dxa"/>
          <w:cantSplit/>
        </w:trPr>
        <w:tc>
          <w:tcPr>
            <w:tcW w:w="7611" w:type="dxa"/>
            <w:gridSpan w:val="2"/>
            <w:tcBorders>
              <w:top w:val="nil"/>
              <w:left w:val="nil"/>
              <w:bottom w:val="nil"/>
            </w:tcBorders>
          </w:tcPr>
          <w:p w:rsidR="00AA2B09" w:rsidRPr="00EC7726" w:rsidRDefault="00AA2B09" w:rsidP="00504EE3">
            <w:pPr>
              <w:spacing w:after="0" w:line="240" w:lineRule="auto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EC7726">
              <w:rPr>
                <w:rFonts w:cs="Calibri"/>
                <w:b/>
                <w:color w:val="000000"/>
                <w:sz w:val="20"/>
                <w:szCs w:val="20"/>
              </w:rPr>
              <w:t xml:space="preserve">Capital </w:t>
            </w:r>
            <w:r>
              <w:rPr>
                <w:rFonts w:cs="Calibri"/>
                <w:b/>
                <w:color w:val="000000"/>
                <w:sz w:val="20"/>
                <w:szCs w:val="20"/>
              </w:rPr>
              <w:t>b</w:t>
            </w:r>
            <w:r w:rsidRPr="00EC7726">
              <w:rPr>
                <w:rFonts w:cs="Calibri"/>
                <w:b/>
                <w:color w:val="000000"/>
                <w:sz w:val="20"/>
                <w:szCs w:val="20"/>
              </w:rPr>
              <w:t xml:space="preserve">uffer </w:t>
            </w:r>
          </w:p>
        </w:tc>
        <w:tc>
          <w:tcPr>
            <w:tcW w:w="728" w:type="dxa"/>
            <w:gridSpan w:val="3"/>
            <w:shd w:val="clear" w:color="auto" w:fill="auto"/>
            <w:vAlign w:val="center"/>
          </w:tcPr>
          <w:p w:rsidR="00AA2B09" w:rsidRPr="001F6F07" w:rsidRDefault="00AA2B09" w:rsidP="008D11E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B09" w:rsidRPr="001F6F07" w:rsidRDefault="00AA2B09" w:rsidP="008D11E2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45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2B09" w:rsidRPr="001F6F07" w:rsidRDefault="00AA2B09" w:rsidP="00E83E91">
            <w:pPr>
              <w:spacing w:after="0" w:line="240" w:lineRule="auto"/>
              <w:ind w:left="-102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</w:tcPr>
          <w:p w:rsidR="00AA2B09" w:rsidRPr="00EC7726" w:rsidRDefault="00AA2B09" w:rsidP="003B54E4">
            <w:pPr>
              <w:spacing w:after="0" w:line="240" w:lineRule="auto"/>
              <w:jc w:val="right"/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</w:tr>
      <w:tr w:rsidR="00AA2B09" w:rsidRPr="00E55F2B" w:rsidTr="000F4908">
        <w:trPr>
          <w:gridAfter w:val="2"/>
          <w:wAfter w:w="39" w:type="dxa"/>
          <w:cantSplit/>
        </w:trPr>
        <w:tc>
          <w:tcPr>
            <w:tcW w:w="623" w:type="dxa"/>
            <w:tcBorders>
              <w:top w:val="nil"/>
              <w:left w:val="nil"/>
              <w:right w:val="nil"/>
            </w:tcBorders>
          </w:tcPr>
          <w:p w:rsidR="00AA2B09" w:rsidRPr="00E55F2B" w:rsidRDefault="00AA2B09" w:rsidP="00D6736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46.</w:t>
            </w:r>
          </w:p>
        </w:tc>
        <w:tc>
          <w:tcPr>
            <w:tcW w:w="6988" w:type="dxa"/>
            <w:tcBorders>
              <w:top w:val="nil"/>
              <w:left w:val="nil"/>
            </w:tcBorders>
            <w:vAlign w:val="center"/>
          </w:tcPr>
          <w:p w:rsidR="00AA2B09" w:rsidRPr="00E83E91" w:rsidRDefault="00AA2B09" w:rsidP="00482E6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Institution-specific capital buffer necessary to avoid limitations on  distributions and discretionary bonus payments </w:t>
            </w:r>
            <w:r w:rsidR="00105F96">
              <w:rPr>
                <w:sz w:val="20"/>
                <w:szCs w:val="20"/>
              </w:rPr>
              <w:t>(</w:t>
            </w:r>
            <w:r w:rsidR="00482E63">
              <w:rPr>
                <w:sz w:val="20"/>
                <w:szCs w:val="20"/>
              </w:rPr>
              <w:t>effective</w:t>
            </w:r>
            <w:r w:rsidR="00105F96">
              <w:rPr>
                <w:sz w:val="20"/>
                <w:szCs w:val="20"/>
              </w:rPr>
              <w:t xml:space="preserve"> January 1, 2016): 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gridSpan w:val="3"/>
            <w:tcBorders>
              <w:right w:val="single" w:sz="4" w:space="0" w:color="auto"/>
            </w:tcBorders>
            <w:vAlign w:val="center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2B09" w:rsidRPr="00E55F2B" w:rsidRDefault="00AA2B09" w:rsidP="00955095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RCxx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Percentage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E55F2B" w:rsidTr="00482E63">
        <w:trPr>
          <w:gridAfter w:val="2"/>
          <w:wAfter w:w="39" w:type="dxa"/>
          <w:cantSplit/>
        </w:trPr>
        <w:tc>
          <w:tcPr>
            <w:tcW w:w="623" w:type="dxa"/>
            <w:tcBorders>
              <w:top w:val="nil"/>
              <w:left w:val="nil"/>
              <w:right w:val="nil"/>
            </w:tcBorders>
          </w:tcPr>
          <w:p w:rsidR="00AA2B09" w:rsidRDefault="00AA2B09" w:rsidP="007E317C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tcBorders>
              <w:top w:val="nil"/>
              <w:left w:val="nil"/>
            </w:tcBorders>
            <w:vAlign w:val="center"/>
          </w:tcPr>
          <w:p w:rsidR="00AA2B09" w:rsidRPr="005B31DD" w:rsidRDefault="00AA2B09" w:rsidP="00185A0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5B31DD">
              <w:rPr>
                <w:sz w:val="20"/>
                <w:szCs w:val="20"/>
              </w:rPr>
              <w:t>apital conservation buffer</w:t>
            </w:r>
            <w:r>
              <w:rPr>
                <w:sz w:val="20"/>
                <w:szCs w:val="20"/>
              </w:rPr>
              <w:t>………………………………………………………………………</w:t>
            </w:r>
          </w:p>
        </w:tc>
        <w:tc>
          <w:tcPr>
            <w:tcW w:w="728" w:type="dxa"/>
            <w:gridSpan w:val="3"/>
            <w:tcBorders>
              <w:right w:val="single" w:sz="4" w:space="0" w:color="auto"/>
            </w:tcBorders>
            <w:vAlign w:val="center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B09" w:rsidRPr="00E55F2B" w:rsidRDefault="00AA2B09" w:rsidP="009726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A2B09" w:rsidRPr="00E55F2B" w:rsidRDefault="00AA2B09" w:rsidP="009726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E55F2B" w:rsidTr="00482E63">
        <w:trPr>
          <w:gridAfter w:val="2"/>
          <w:wAfter w:w="39" w:type="dxa"/>
          <w:cantSplit/>
        </w:trPr>
        <w:tc>
          <w:tcPr>
            <w:tcW w:w="623" w:type="dxa"/>
            <w:tcBorders>
              <w:left w:val="nil"/>
            </w:tcBorders>
          </w:tcPr>
          <w:p w:rsidR="00AA2B09" w:rsidRDefault="00AA2B09" w:rsidP="00EC772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988" w:type="dxa"/>
            <w:vAlign w:val="center"/>
          </w:tcPr>
          <w:p w:rsidR="00AA2B09" w:rsidRPr="005B31DD" w:rsidRDefault="00AA2B09" w:rsidP="00BA13F4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(Advanced approaches institutions that exit parallel run only): </w:t>
            </w:r>
            <w:r w:rsidR="00BA13F4">
              <w:rPr>
                <w:sz w:val="20"/>
                <w:szCs w:val="20"/>
              </w:rPr>
              <w:t xml:space="preserve"> T</w:t>
            </w:r>
            <w:r>
              <w:rPr>
                <w:sz w:val="20"/>
                <w:szCs w:val="20"/>
              </w:rPr>
              <w:t>otal applicable capital buffer…………………………………………………………………………….</w:t>
            </w:r>
          </w:p>
        </w:tc>
        <w:tc>
          <w:tcPr>
            <w:tcW w:w="728" w:type="dxa"/>
            <w:gridSpan w:val="3"/>
            <w:tcBorders>
              <w:right w:val="single" w:sz="4" w:space="0" w:color="auto"/>
            </w:tcBorders>
            <w:vAlign w:val="center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B09" w:rsidRPr="00E55F2B" w:rsidRDefault="00AA2B09" w:rsidP="009726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1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AA2B09" w:rsidRPr="00E55F2B" w:rsidRDefault="00AA2B09" w:rsidP="0097262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--.--</w:t>
            </w:r>
          </w:p>
        </w:tc>
        <w:tc>
          <w:tcPr>
            <w:tcW w:w="788" w:type="dxa"/>
            <w:gridSpan w:val="5"/>
            <w:tcBorders>
              <w:left w:val="single" w:sz="4" w:space="0" w:color="auto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372CB5" w:rsidTr="000F4908">
        <w:trPr>
          <w:gridAfter w:val="2"/>
          <w:wAfter w:w="39" w:type="dxa"/>
          <w:cantSplit/>
        </w:trPr>
        <w:tc>
          <w:tcPr>
            <w:tcW w:w="623" w:type="dxa"/>
            <w:tcBorders>
              <w:left w:val="nil"/>
            </w:tcBorders>
          </w:tcPr>
          <w:p w:rsidR="00AA2B09" w:rsidRPr="00372CB5" w:rsidRDefault="00AA2B09" w:rsidP="00EC772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6988" w:type="dxa"/>
            <w:vAlign w:val="center"/>
          </w:tcPr>
          <w:p w:rsidR="00AA2B09" w:rsidRPr="00372CB5" w:rsidRDefault="00AA2B09" w:rsidP="00FF15C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56" w:type="dxa"/>
            <w:gridSpan w:val="4"/>
            <w:vAlign w:val="center"/>
          </w:tcPr>
          <w:p w:rsidR="00AA2B09" w:rsidRPr="00372CB5" w:rsidRDefault="00AA2B09" w:rsidP="0067499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1451" w:type="dxa"/>
            <w:gridSpan w:val="7"/>
            <w:tcBorders>
              <w:top w:val="single" w:sz="4" w:space="0" w:color="auto"/>
            </w:tcBorders>
            <w:vAlign w:val="center"/>
          </w:tcPr>
          <w:p w:rsidR="00AA2B09" w:rsidRPr="00372CB5" w:rsidRDefault="00AA2B09" w:rsidP="00674990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788" w:type="dxa"/>
            <w:gridSpan w:val="5"/>
            <w:tcBorders>
              <w:right w:val="nil"/>
            </w:tcBorders>
            <w:noWrap/>
          </w:tcPr>
          <w:p w:rsidR="00AA2B09" w:rsidRPr="00372CB5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16"/>
                <w:szCs w:val="16"/>
              </w:rPr>
            </w:pPr>
          </w:p>
        </w:tc>
      </w:tr>
      <w:tr w:rsidR="000F4908" w:rsidRPr="00E55F2B" w:rsidTr="000F4908">
        <w:trPr>
          <w:gridAfter w:val="1"/>
          <w:wAfter w:w="29" w:type="dxa"/>
          <w:cantSplit/>
          <w:trHeight w:val="188"/>
        </w:trPr>
        <w:tc>
          <w:tcPr>
            <w:tcW w:w="7611" w:type="dxa"/>
            <w:gridSpan w:val="2"/>
            <w:vMerge w:val="restart"/>
            <w:tcBorders>
              <w:left w:val="nil"/>
              <w:right w:val="nil"/>
            </w:tcBorders>
          </w:tcPr>
          <w:p w:rsidR="000F4908" w:rsidRDefault="00482E63" w:rsidP="00B2416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Effective</w:t>
            </w:r>
            <w:r w:rsidR="00105F96">
              <w:rPr>
                <w:sz w:val="20"/>
                <w:szCs w:val="20"/>
              </w:rPr>
              <w:t xml:space="preserve"> January 1, 2016: </w:t>
            </w:r>
            <w:r w:rsidR="000F4908">
              <w:rPr>
                <w:sz w:val="20"/>
                <w:szCs w:val="20"/>
              </w:rPr>
              <w:t>Institutions must complete</w:t>
            </w:r>
            <w:r w:rsidR="000F4908" w:rsidRPr="00A90F8C">
              <w:rPr>
                <w:sz w:val="20"/>
                <w:szCs w:val="20"/>
              </w:rPr>
              <w:t xml:space="preserve"> items 47 and 48 if </w:t>
            </w:r>
            <w:r w:rsidR="000F4908">
              <w:rPr>
                <w:sz w:val="20"/>
                <w:szCs w:val="20"/>
              </w:rPr>
              <w:t xml:space="preserve">the amount in </w:t>
            </w:r>
            <w:r w:rsidR="000F4908" w:rsidRPr="00A90F8C">
              <w:rPr>
                <w:sz w:val="20"/>
                <w:szCs w:val="20"/>
              </w:rPr>
              <w:t>item 46</w:t>
            </w:r>
            <w:r w:rsidR="000F4908">
              <w:rPr>
                <w:sz w:val="20"/>
                <w:szCs w:val="20"/>
              </w:rPr>
              <w:t>.</w:t>
            </w:r>
            <w:r w:rsidR="000F4908" w:rsidRPr="00A90F8C">
              <w:rPr>
                <w:sz w:val="20"/>
                <w:szCs w:val="20"/>
              </w:rPr>
              <w:t>a</w:t>
            </w:r>
            <w:r w:rsidR="000F4908">
              <w:rPr>
                <w:sz w:val="20"/>
                <w:szCs w:val="20"/>
              </w:rPr>
              <w:t xml:space="preserve"> (or the lower of item 46.a or 46.b for an advanced approaches institution that has exited parallel run)</w:t>
            </w:r>
            <w:r w:rsidR="000F4908" w:rsidRPr="00A90F8C">
              <w:rPr>
                <w:sz w:val="20"/>
                <w:szCs w:val="20"/>
              </w:rPr>
              <w:t xml:space="preserve"> is less than or equal to the applicable minimum capital conservation buffer: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08" w:rsidRDefault="000F4908" w:rsidP="003C1E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RCxx</w:t>
            </w:r>
          </w:p>
        </w:tc>
        <w:tc>
          <w:tcPr>
            <w:tcW w:w="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08" w:rsidRPr="00E55F2B" w:rsidRDefault="000F4908" w:rsidP="003C1E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proofErr w:type="spellStart"/>
            <w:r w:rsidRPr="00E55F2B">
              <w:rPr>
                <w:rFonts w:cs="Calibri"/>
                <w:color w:val="000000"/>
                <w:sz w:val="20"/>
                <w:szCs w:val="20"/>
              </w:rPr>
              <w:t>Bil</w:t>
            </w:r>
            <w:proofErr w:type="spellEnd"/>
          </w:p>
        </w:tc>
        <w:tc>
          <w:tcPr>
            <w:tcW w:w="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08" w:rsidRPr="00E55F2B" w:rsidRDefault="000F4908" w:rsidP="003C1E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Mil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908" w:rsidRPr="00E55F2B" w:rsidRDefault="000F4908" w:rsidP="003C1E0C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E55F2B">
              <w:rPr>
                <w:rFonts w:cs="Calibri"/>
                <w:color w:val="000000"/>
                <w:sz w:val="20"/>
                <w:szCs w:val="20"/>
              </w:rPr>
              <w:t>Thou</w:t>
            </w:r>
          </w:p>
        </w:tc>
        <w:tc>
          <w:tcPr>
            <w:tcW w:w="788" w:type="dxa"/>
            <w:gridSpan w:val="5"/>
            <w:vMerge w:val="restart"/>
            <w:tcBorders>
              <w:top w:val="nil"/>
              <w:left w:val="single" w:sz="4" w:space="0" w:color="auto"/>
              <w:right w:val="nil"/>
            </w:tcBorders>
            <w:noWrap/>
          </w:tcPr>
          <w:p w:rsidR="000F4908" w:rsidRPr="00E55F2B" w:rsidRDefault="000F490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F4908" w:rsidRPr="00E55F2B" w:rsidTr="000F4908">
        <w:trPr>
          <w:gridAfter w:val="1"/>
          <w:wAfter w:w="29" w:type="dxa"/>
          <w:cantSplit/>
          <w:trHeight w:val="498"/>
        </w:trPr>
        <w:tc>
          <w:tcPr>
            <w:tcW w:w="7611" w:type="dxa"/>
            <w:gridSpan w:val="2"/>
            <w:vMerge/>
            <w:tcBorders>
              <w:left w:val="nil"/>
              <w:right w:val="nil"/>
            </w:tcBorders>
          </w:tcPr>
          <w:p w:rsidR="000F4908" w:rsidRDefault="000F4908" w:rsidP="00B2416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F4908" w:rsidRPr="00E55F2B" w:rsidRDefault="000F4908" w:rsidP="00A96987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vMerge/>
            <w:tcBorders>
              <w:left w:val="single" w:sz="4" w:space="0" w:color="auto"/>
              <w:right w:val="nil"/>
            </w:tcBorders>
            <w:noWrap/>
          </w:tcPr>
          <w:p w:rsidR="000F4908" w:rsidRPr="00E55F2B" w:rsidRDefault="000F4908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E55F2B" w:rsidTr="00482E63">
        <w:trPr>
          <w:gridAfter w:val="1"/>
          <w:wAfter w:w="29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A2B09" w:rsidRPr="00E55F2B" w:rsidRDefault="00AA2B09" w:rsidP="00D6736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47.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B09" w:rsidRPr="00E55F2B" w:rsidRDefault="00AA2B09" w:rsidP="002865B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Eligible retained income…………………………………………………………………………………………..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B09" w:rsidRPr="00E55F2B" w:rsidRDefault="00AA2B09" w:rsidP="00D052E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A2B09" w:rsidRPr="00E55F2B" w:rsidTr="00482E63">
        <w:trPr>
          <w:gridAfter w:val="1"/>
          <w:wAfter w:w="29" w:type="dxa"/>
          <w:cantSplit/>
        </w:trPr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</w:tcPr>
          <w:p w:rsidR="00AA2B09" w:rsidRPr="00E55F2B" w:rsidRDefault="00AA2B09" w:rsidP="00D67366">
            <w:pPr>
              <w:pStyle w:val="ListParagraph"/>
              <w:spacing w:after="0" w:line="240" w:lineRule="auto"/>
              <w:ind w:left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6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2B09" w:rsidRDefault="00AA2B09" w:rsidP="00FF15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Distributions and discretionary bonus payments during the quarter………………………. </w:t>
            </w: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A2B09" w:rsidRPr="00E55F2B" w:rsidRDefault="00AA2B09" w:rsidP="00D052E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xxxx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</w:tcPr>
          <w:p w:rsidR="00AA2B09" w:rsidRPr="00E55F2B" w:rsidRDefault="00AA2B09" w:rsidP="0067499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78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AA2B09" w:rsidRPr="00E55F2B" w:rsidRDefault="00AA2B09" w:rsidP="003B54E4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AD3FA7" w:rsidRPr="00AD3FA7" w:rsidRDefault="00AD3FA7" w:rsidP="00825661">
      <w:pPr>
        <w:rPr>
          <w:sz w:val="20"/>
          <w:szCs w:val="20"/>
        </w:rPr>
      </w:pPr>
    </w:p>
    <w:sectPr w:rsidR="00AD3FA7" w:rsidRPr="00AD3FA7" w:rsidSect="00CF6E5A">
      <w:headerReference w:type="default" r:id="rId9"/>
      <w:footerReference w:type="default" r:id="rId10"/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9C" w:rsidRDefault="0077189C">
      <w:r>
        <w:separator/>
      </w:r>
    </w:p>
  </w:endnote>
  <w:endnote w:type="continuationSeparator" w:id="0">
    <w:p w:rsidR="0077189C" w:rsidRDefault="0077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661" w:rsidRDefault="00825661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9C" w:rsidRDefault="0077189C">
      <w:r>
        <w:separator/>
      </w:r>
    </w:p>
  </w:footnote>
  <w:footnote w:type="continuationSeparator" w:id="0">
    <w:p w:rsidR="0077189C" w:rsidRDefault="00771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908" w:rsidRPr="00372CB5" w:rsidRDefault="00013F5E" w:rsidP="00372CB5">
    <w:pPr>
      <w:pStyle w:val="Header"/>
      <w:jc w:val="center"/>
      <w:rPr>
        <w:b/>
        <w:sz w:val="32"/>
        <w:szCs w:val="32"/>
      </w:rPr>
    </w:pPr>
    <w:sdt>
      <w:sdtPr>
        <w:id w:val="90687949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72CB5">
      <w:rPr>
        <w:b/>
        <w:sz w:val="32"/>
        <w:szCs w:val="32"/>
      </w:rPr>
      <w:t xml:space="preserve">DRAFT </w:t>
    </w:r>
    <w:r w:rsidR="00B64E51">
      <w:rPr>
        <w:b/>
        <w:sz w:val="32"/>
        <w:szCs w:val="32"/>
      </w:rPr>
      <w:t>11/4</w:t>
    </w:r>
    <w:r w:rsidR="00372CB5">
      <w:rPr>
        <w:b/>
        <w:sz w:val="32"/>
        <w:szCs w:val="32"/>
      </w:rPr>
      <w:t>/2013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18E0"/>
    <w:multiLevelType w:val="hybridMultilevel"/>
    <w:tmpl w:val="2AA6A9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4DFA"/>
    <w:multiLevelType w:val="hybridMultilevel"/>
    <w:tmpl w:val="185CC244"/>
    <w:lvl w:ilvl="0" w:tplc="52ACF442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263ADB"/>
    <w:multiLevelType w:val="hybridMultilevel"/>
    <w:tmpl w:val="B79EA366"/>
    <w:lvl w:ilvl="0" w:tplc="8BB65B4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5C4B16"/>
    <w:multiLevelType w:val="multilevel"/>
    <w:tmpl w:val="46FCBAC8"/>
    <w:lvl w:ilvl="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215A4E"/>
    <w:multiLevelType w:val="hybridMultilevel"/>
    <w:tmpl w:val="CA20B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948D2"/>
    <w:multiLevelType w:val="multilevel"/>
    <w:tmpl w:val="46FCBAC8"/>
    <w:lvl w:ilvl="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C196AF6"/>
    <w:multiLevelType w:val="hybridMultilevel"/>
    <w:tmpl w:val="0C64C2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61A12"/>
    <w:multiLevelType w:val="hybridMultilevel"/>
    <w:tmpl w:val="B79EA366"/>
    <w:lvl w:ilvl="0" w:tplc="8BB65B40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E611820"/>
    <w:multiLevelType w:val="hybridMultilevel"/>
    <w:tmpl w:val="4FDE63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EB0C3E"/>
    <w:multiLevelType w:val="hybridMultilevel"/>
    <w:tmpl w:val="F0602F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90"/>
    <w:rsid w:val="000008A0"/>
    <w:rsid w:val="00010E21"/>
    <w:rsid w:val="00013F5E"/>
    <w:rsid w:val="0002278C"/>
    <w:rsid w:val="00027058"/>
    <w:rsid w:val="00040CC2"/>
    <w:rsid w:val="00041A79"/>
    <w:rsid w:val="00057415"/>
    <w:rsid w:val="00060076"/>
    <w:rsid w:val="0006416A"/>
    <w:rsid w:val="0006724C"/>
    <w:rsid w:val="00080725"/>
    <w:rsid w:val="00084ABD"/>
    <w:rsid w:val="00085279"/>
    <w:rsid w:val="0008532A"/>
    <w:rsid w:val="000A2B65"/>
    <w:rsid w:val="000B0C20"/>
    <w:rsid w:val="000B31EC"/>
    <w:rsid w:val="000C59D8"/>
    <w:rsid w:val="000D6088"/>
    <w:rsid w:val="000F37B8"/>
    <w:rsid w:val="000F4908"/>
    <w:rsid w:val="000F5E90"/>
    <w:rsid w:val="00105F96"/>
    <w:rsid w:val="0010662B"/>
    <w:rsid w:val="00110B22"/>
    <w:rsid w:val="00114C4C"/>
    <w:rsid w:val="00120FF9"/>
    <w:rsid w:val="001238C3"/>
    <w:rsid w:val="0012421F"/>
    <w:rsid w:val="001267F4"/>
    <w:rsid w:val="00131B8C"/>
    <w:rsid w:val="001343D5"/>
    <w:rsid w:val="001359B5"/>
    <w:rsid w:val="001402F6"/>
    <w:rsid w:val="00141579"/>
    <w:rsid w:val="0015290F"/>
    <w:rsid w:val="001548D6"/>
    <w:rsid w:val="00154ACB"/>
    <w:rsid w:val="00154DBE"/>
    <w:rsid w:val="00155F51"/>
    <w:rsid w:val="00173971"/>
    <w:rsid w:val="001763C9"/>
    <w:rsid w:val="00176A35"/>
    <w:rsid w:val="0018199F"/>
    <w:rsid w:val="00183F7A"/>
    <w:rsid w:val="00185A0D"/>
    <w:rsid w:val="001862B3"/>
    <w:rsid w:val="00196A2B"/>
    <w:rsid w:val="001A0185"/>
    <w:rsid w:val="001A0258"/>
    <w:rsid w:val="001A22BE"/>
    <w:rsid w:val="001A2B2A"/>
    <w:rsid w:val="001A6D1B"/>
    <w:rsid w:val="001B0C72"/>
    <w:rsid w:val="001B129B"/>
    <w:rsid w:val="001B773C"/>
    <w:rsid w:val="001C4681"/>
    <w:rsid w:val="001D501E"/>
    <w:rsid w:val="001D75F3"/>
    <w:rsid w:val="001E0211"/>
    <w:rsid w:val="001E1A86"/>
    <w:rsid w:val="001E443E"/>
    <w:rsid w:val="001E73C0"/>
    <w:rsid w:val="001F6F07"/>
    <w:rsid w:val="002029A8"/>
    <w:rsid w:val="00202C01"/>
    <w:rsid w:val="00204091"/>
    <w:rsid w:val="002048E8"/>
    <w:rsid w:val="00222BBA"/>
    <w:rsid w:val="002234DC"/>
    <w:rsid w:val="002320AF"/>
    <w:rsid w:val="002411F1"/>
    <w:rsid w:val="00243831"/>
    <w:rsid w:val="00245A93"/>
    <w:rsid w:val="0025006B"/>
    <w:rsid w:val="002543CD"/>
    <w:rsid w:val="00256048"/>
    <w:rsid w:val="00257E8B"/>
    <w:rsid w:val="00262794"/>
    <w:rsid w:val="0026529C"/>
    <w:rsid w:val="0026658F"/>
    <w:rsid w:val="002865BA"/>
    <w:rsid w:val="00291138"/>
    <w:rsid w:val="002A5BB5"/>
    <w:rsid w:val="002B0C21"/>
    <w:rsid w:val="002B3077"/>
    <w:rsid w:val="002B74FB"/>
    <w:rsid w:val="002C5D33"/>
    <w:rsid w:val="002D1662"/>
    <w:rsid w:val="002D5696"/>
    <w:rsid w:val="002F3F10"/>
    <w:rsid w:val="003019C2"/>
    <w:rsid w:val="0030206A"/>
    <w:rsid w:val="00303706"/>
    <w:rsid w:val="003336FC"/>
    <w:rsid w:val="003421CE"/>
    <w:rsid w:val="00355A35"/>
    <w:rsid w:val="003620C9"/>
    <w:rsid w:val="0036426B"/>
    <w:rsid w:val="00367228"/>
    <w:rsid w:val="003673C7"/>
    <w:rsid w:val="00367CF3"/>
    <w:rsid w:val="003709A0"/>
    <w:rsid w:val="00371725"/>
    <w:rsid w:val="00372CB5"/>
    <w:rsid w:val="003776C6"/>
    <w:rsid w:val="00387A6E"/>
    <w:rsid w:val="00390A0C"/>
    <w:rsid w:val="00392768"/>
    <w:rsid w:val="003A10A3"/>
    <w:rsid w:val="003A3F7B"/>
    <w:rsid w:val="003B3842"/>
    <w:rsid w:val="003B54E4"/>
    <w:rsid w:val="003C7492"/>
    <w:rsid w:val="003C7798"/>
    <w:rsid w:val="003D0586"/>
    <w:rsid w:val="003D5389"/>
    <w:rsid w:val="003D63A8"/>
    <w:rsid w:val="003E41C4"/>
    <w:rsid w:val="003F2D6D"/>
    <w:rsid w:val="00402835"/>
    <w:rsid w:val="00407095"/>
    <w:rsid w:val="00407B52"/>
    <w:rsid w:val="00411D44"/>
    <w:rsid w:val="00414C1F"/>
    <w:rsid w:val="0043217E"/>
    <w:rsid w:val="004422C0"/>
    <w:rsid w:val="00442357"/>
    <w:rsid w:val="00445072"/>
    <w:rsid w:val="00450AEC"/>
    <w:rsid w:val="00455F18"/>
    <w:rsid w:val="00457DE2"/>
    <w:rsid w:val="00465A16"/>
    <w:rsid w:val="00474F8C"/>
    <w:rsid w:val="00475EE5"/>
    <w:rsid w:val="00477A22"/>
    <w:rsid w:val="00482E63"/>
    <w:rsid w:val="00491F6C"/>
    <w:rsid w:val="00492873"/>
    <w:rsid w:val="004A252B"/>
    <w:rsid w:val="004B1D03"/>
    <w:rsid w:val="004B2FDE"/>
    <w:rsid w:val="004B4FDE"/>
    <w:rsid w:val="004B5D33"/>
    <w:rsid w:val="004B68D1"/>
    <w:rsid w:val="004C7B58"/>
    <w:rsid w:val="004D0641"/>
    <w:rsid w:val="004D5FA7"/>
    <w:rsid w:val="004F0021"/>
    <w:rsid w:val="00504EE3"/>
    <w:rsid w:val="005116CC"/>
    <w:rsid w:val="0052203C"/>
    <w:rsid w:val="0053706E"/>
    <w:rsid w:val="00543963"/>
    <w:rsid w:val="00545D28"/>
    <w:rsid w:val="005526B4"/>
    <w:rsid w:val="00554D4C"/>
    <w:rsid w:val="00556318"/>
    <w:rsid w:val="005600A6"/>
    <w:rsid w:val="005643EB"/>
    <w:rsid w:val="00566331"/>
    <w:rsid w:val="005673F7"/>
    <w:rsid w:val="0057068C"/>
    <w:rsid w:val="00572AA7"/>
    <w:rsid w:val="0058669E"/>
    <w:rsid w:val="0059081F"/>
    <w:rsid w:val="00595543"/>
    <w:rsid w:val="005A1DFB"/>
    <w:rsid w:val="005A43B4"/>
    <w:rsid w:val="005B31DD"/>
    <w:rsid w:val="005B7FE3"/>
    <w:rsid w:val="005C5C94"/>
    <w:rsid w:val="005C6443"/>
    <w:rsid w:val="005D0E60"/>
    <w:rsid w:val="005D3A85"/>
    <w:rsid w:val="005D43D7"/>
    <w:rsid w:val="005D5682"/>
    <w:rsid w:val="005E2309"/>
    <w:rsid w:val="005F07C7"/>
    <w:rsid w:val="005F14AB"/>
    <w:rsid w:val="005F4515"/>
    <w:rsid w:val="005F7111"/>
    <w:rsid w:val="005F7C3A"/>
    <w:rsid w:val="00602F64"/>
    <w:rsid w:val="0060685C"/>
    <w:rsid w:val="006110A8"/>
    <w:rsid w:val="00611E27"/>
    <w:rsid w:val="00613AAA"/>
    <w:rsid w:val="0061734D"/>
    <w:rsid w:val="00617F2F"/>
    <w:rsid w:val="00621A0D"/>
    <w:rsid w:val="0062432C"/>
    <w:rsid w:val="0063387B"/>
    <w:rsid w:val="006343AD"/>
    <w:rsid w:val="00635DBC"/>
    <w:rsid w:val="00642AD7"/>
    <w:rsid w:val="00647EB7"/>
    <w:rsid w:val="00665EBB"/>
    <w:rsid w:val="006721F0"/>
    <w:rsid w:val="00672409"/>
    <w:rsid w:val="00674990"/>
    <w:rsid w:val="00677BB0"/>
    <w:rsid w:val="00682F53"/>
    <w:rsid w:val="00687A5F"/>
    <w:rsid w:val="00690673"/>
    <w:rsid w:val="00696BCD"/>
    <w:rsid w:val="0069713F"/>
    <w:rsid w:val="006A4C7A"/>
    <w:rsid w:val="006B34EB"/>
    <w:rsid w:val="006B6A3E"/>
    <w:rsid w:val="006B76FC"/>
    <w:rsid w:val="006C0C25"/>
    <w:rsid w:val="006C2CD7"/>
    <w:rsid w:val="006C59FC"/>
    <w:rsid w:val="006C5C1F"/>
    <w:rsid w:val="006C693D"/>
    <w:rsid w:val="006D0BFF"/>
    <w:rsid w:val="006D3CC2"/>
    <w:rsid w:val="006E25FB"/>
    <w:rsid w:val="006F4E88"/>
    <w:rsid w:val="00706452"/>
    <w:rsid w:val="00711C12"/>
    <w:rsid w:val="00720368"/>
    <w:rsid w:val="007248DA"/>
    <w:rsid w:val="00726D31"/>
    <w:rsid w:val="00737E9B"/>
    <w:rsid w:val="00740BFC"/>
    <w:rsid w:val="00745D1E"/>
    <w:rsid w:val="007466B2"/>
    <w:rsid w:val="007472EF"/>
    <w:rsid w:val="00752FC9"/>
    <w:rsid w:val="00753E20"/>
    <w:rsid w:val="00761B50"/>
    <w:rsid w:val="0077189C"/>
    <w:rsid w:val="00773A19"/>
    <w:rsid w:val="00774EC2"/>
    <w:rsid w:val="00777B2F"/>
    <w:rsid w:val="00790E81"/>
    <w:rsid w:val="0079464F"/>
    <w:rsid w:val="007962AD"/>
    <w:rsid w:val="007974C9"/>
    <w:rsid w:val="007B0B66"/>
    <w:rsid w:val="007B1DDB"/>
    <w:rsid w:val="007B2291"/>
    <w:rsid w:val="007C281E"/>
    <w:rsid w:val="007C2969"/>
    <w:rsid w:val="007D1BFA"/>
    <w:rsid w:val="007D56CF"/>
    <w:rsid w:val="007D5D6D"/>
    <w:rsid w:val="007E317C"/>
    <w:rsid w:val="007E4FB5"/>
    <w:rsid w:val="007E79A3"/>
    <w:rsid w:val="007F508C"/>
    <w:rsid w:val="007F6156"/>
    <w:rsid w:val="008012AE"/>
    <w:rsid w:val="00803732"/>
    <w:rsid w:val="00804FBF"/>
    <w:rsid w:val="00807A53"/>
    <w:rsid w:val="008145A3"/>
    <w:rsid w:val="008177CF"/>
    <w:rsid w:val="00821F88"/>
    <w:rsid w:val="00825661"/>
    <w:rsid w:val="008426F6"/>
    <w:rsid w:val="008508F2"/>
    <w:rsid w:val="00867DE1"/>
    <w:rsid w:val="00870DD5"/>
    <w:rsid w:val="00870F14"/>
    <w:rsid w:val="00871507"/>
    <w:rsid w:val="00875C0B"/>
    <w:rsid w:val="008761C7"/>
    <w:rsid w:val="00881959"/>
    <w:rsid w:val="00882031"/>
    <w:rsid w:val="00885A87"/>
    <w:rsid w:val="008961EA"/>
    <w:rsid w:val="008A14DD"/>
    <w:rsid w:val="008A3112"/>
    <w:rsid w:val="008B3C38"/>
    <w:rsid w:val="008B7978"/>
    <w:rsid w:val="008C45E1"/>
    <w:rsid w:val="008C4B56"/>
    <w:rsid w:val="008D10EB"/>
    <w:rsid w:val="008D11E2"/>
    <w:rsid w:val="008D371E"/>
    <w:rsid w:val="008D5EED"/>
    <w:rsid w:val="008F16BA"/>
    <w:rsid w:val="00907CBB"/>
    <w:rsid w:val="00917A4B"/>
    <w:rsid w:val="00920D4D"/>
    <w:rsid w:val="009300DE"/>
    <w:rsid w:val="009375DB"/>
    <w:rsid w:val="00955095"/>
    <w:rsid w:val="00955C9E"/>
    <w:rsid w:val="009639D2"/>
    <w:rsid w:val="00965192"/>
    <w:rsid w:val="0096624F"/>
    <w:rsid w:val="00971A1D"/>
    <w:rsid w:val="00972625"/>
    <w:rsid w:val="00997214"/>
    <w:rsid w:val="00997EB5"/>
    <w:rsid w:val="009A03CB"/>
    <w:rsid w:val="009A4502"/>
    <w:rsid w:val="009A63A9"/>
    <w:rsid w:val="009B37B5"/>
    <w:rsid w:val="009B3B7E"/>
    <w:rsid w:val="009B5FA1"/>
    <w:rsid w:val="009B6C2C"/>
    <w:rsid w:val="009B723D"/>
    <w:rsid w:val="009C0A88"/>
    <w:rsid w:val="009C3822"/>
    <w:rsid w:val="009C3D53"/>
    <w:rsid w:val="009C55F5"/>
    <w:rsid w:val="009D0D23"/>
    <w:rsid w:val="009D59FC"/>
    <w:rsid w:val="009D7D40"/>
    <w:rsid w:val="009E28C1"/>
    <w:rsid w:val="009E7CFE"/>
    <w:rsid w:val="009F0EE2"/>
    <w:rsid w:val="009F5243"/>
    <w:rsid w:val="00A034B5"/>
    <w:rsid w:val="00A1157F"/>
    <w:rsid w:val="00A1652F"/>
    <w:rsid w:val="00A205BD"/>
    <w:rsid w:val="00A22ECD"/>
    <w:rsid w:val="00A26CF8"/>
    <w:rsid w:val="00A36BC5"/>
    <w:rsid w:val="00A446CB"/>
    <w:rsid w:val="00A4643E"/>
    <w:rsid w:val="00A47135"/>
    <w:rsid w:val="00A47FD5"/>
    <w:rsid w:val="00A5638D"/>
    <w:rsid w:val="00A573C6"/>
    <w:rsid w:val="00A66D16"/>
    <w:rsid w:val="00A823E9"/>
    <w:rsid w:val="00A83386"/>
    <w:rsid w:val="00A858B3"/>
    <w:rsid w:val="00A90150"/>
    <w:rsid w:val="00A90F8C"/>
    <w:rsid w:val="00A967A4"/>
    <w:rsid w:val="00A96987"/>
    <w:rsid w:val="00AA06B2"/>
    <w:rsid w:val="00AA1B20"/>
    <w:rsid w:val="00AA20E0"/>
    <w:rsid w:val="00AA2B09"/>
    <w:rsid w:val="00AA58F7"/>
    <w:rsid w:val="00AB28E2"/>
    <w:rsid w:val="00AC0C88"/>
    <w:rsid w:val="00AC342E"/>
    <w:rsid w:val="00AD3FA7"/>
    <w:rsid w:val="00AD4C31"/>
    <w:rsid w:val="00AE72E9"/>
    <w:rsid w:val="00AF030D"/>
    <w:rsid w:val="00B110B4"/>
    <w:rsid w:val="00B1328B"/>
    <w:rsid w:val="00B2416A"/>
    <w:rsid w:val="00B3092B"/>
    <w:rsid w:val="00B42AB0"/>
    <w:rsid w:val="00B434F6"/>
    <w:rsid w:val="00B5530C"/>
    <w:rsid w:val="00B5788A"/>
    <w:rsid w:val="00B61DE3"/>
    <w:rsid w:val="00B64E51"/>
    <w:rsid w:val="00B6566E"/>
    <w:rsid w:val="00B707DF"/>
    <w:rsid w:val="00B70CB5"/>
    <w:rsid w:val="00B729EB"/>
    <w:rsid w:val="00B738E5"/>
    <w:rsid w:val="00B7417D"/>
    <w:rsid w:val="00B75CD0"/>
    <w:rsid w:val="00B765C6"/>
    <w:rsid w:val="00B81C9C"/>
    <w:rsid w:val="00B9721D"/>
    <w:rsid w:val="00BA13F4"/>
    <w:rsid w:val="00BB7892"/>
    <w:rsid w:val="00BC5552"/>
    <w:rsid w:val="00BD0D4E"/>
    <w:rsid w:val="00BD13A0"/>
    <w:rsid w:val="00BD2FB5"/>
    <w:rsid w:val="00BE5ECC"/>
    <w:rsid w:val="00BE75F5"/>
    <w:rsid w:val="00BE7EF7"/>
    <w:rsid w:val="00BF4A6E"/>
    <w:rsid w:val="00C115DB"/>
    <w:rsid w:val="00C13929"/>
    <w:rsid w:val="00C17E6B"/>
    <w:rsid w:val="00C25CA0"/>
    <w:rsid w:val="00C3294F"/>
    <w:rsid w:val="00C37C1B"/>
    <w:rsid w:val="00C37E2A"/>
    <w:rsid w:val="00C413A5"/>
    <w:rsid w:val="00C42DD5"/>
    <w:rsid w:val="00C524CC"/>
    <w:rsid w:val="00C566F3"/>
    <w:rsid w:val="00C57151"/>
    <w:rsid w:val="00C6183F"/>
    <w:rsid w:val="00C63321"/>
    <w:rsid w:val="00C76EAE"/>
    <w:rsid w:val="00C800C9"/>
    <w:rsid w:val="00C820EC"/>
    <w:rsid w:val="00C82618"/>
    <w:rsid w:val="00C83BD4"/>
    <w:rsid w:val="00C83F65"/>
    <w:rsid w:val="00C87284"/>
    <w:rsid w:val="00C95DCB"/>
    <w:rsid w:val="00CA21D2"/>
    <w:rsid w:val="00CA25A5"/>
    <w:rsid w:val="00CA4F05"/>
    <w:rsid w:val="00CB3987"/>
    <w:rsid w:val="00CC3113"/>
    <w:rsid w:val="00CC3B85"/>
    <w:rsid w:val="00CC4329"/>
    <w:rsid w:val="00CC5CF7"/>
    <w:rsid w:val="00CC76F2"/>
    <w:rsid w:val="00CD3AC3"/>
    <w:rsid w:val="00CD6862"/>
    <w:rsid w:val="00CE0761"/>
    <w:rsid w:val="00CE09C4"/>
    <w:rsid w:val="00CE0CEF"/>
    <w:rsid w:val="00CE7582"/>
    <w:rsid w:val="00CF00F7"/>
    <w:rsid w:val="00CF3E44"/>
    <w:rsid w:val="00CF6E5A"/>
    <w:rsid w:val="00D001C1"/>
    <w:rsid w:val="00D01CA6"/>
    <w:rsid w:val="00D01CE9"/>
    <w:rsid w:val="00D052E5"/>
    <w:rsid w:val="00D07086"/>
    <w:rsid w:val="00D07378"/>
    <w:rsid w:val="00D1373C"/>
    <w:rsid w:val="00D14304"/>
    <w:rsid w:val="00D27908"/>
    <w:rsid w:val="00D30A60"/>
    <w:rsid w:val="00D34896"/>
    <w:rsid w:val="00D45837"/>
    <w:rsid w:val="00D5153C"/>
    <w:rsid w:val="00D51FE9"/>
    <w:rsid w:val="00D55B5C"/>
    <w:rsid w:val="00D565E5"/>
    <w:rsid w:val="00D61704"/>
    <w:rsid w:val="00D62D6E"/>
    <w:rsid w:val="00D67366"/>
    <w:rsid w:val="00D71740"/>
    <w:rsid w:val="00D773E3"/>
    <w:rsid w:val="00D7776B"/>
    <w:rsid w:val="00D77C21"/>
    <w:rsid w:val="00D86519"/>
    <w:rsid w:val="00DA1E54"/>
    <w:rsid w:val="00DA5B19"/>
    <w:rsid w:val="00DA6597"/>
    <w:rsid w:val="00DA67ED"/>
    <w:rsid w:val="00DB2634"/>
    <w:rsid w:val="00DB6906"/>
    <w:rsid w:val="00DC449F"/>
    <w:rsid w:val="00DD21D8"/>
    <w:rsid w:val="00DD2500"/>
    <w:rsid w:val="00DF30AD"/>
    <w:rsid w:val="00DF71A9"/>
    <w:rsid w:val="00E033C9"/>
    <w:rsid w:val="00E04E6C"/>
    <w:rsid w:val="00E07502"/>
    <w:rsid w:val="00E12874"/>
    <w:rsid w:val="00E17109"/>
    <w:rsid w:val="00E179E1"/>
    <w:rsid w:val="00E2144D"/>
    <w:rsid w:val="00E2347B"/>
    <w:rsid w:val="00E26DB9"/>
    <w:rsid w:val="00E308EE"/>
    <w:rsid w:val="00E3115A"/>
    <w:rsid w:val="00E334D9"/>
    <w:rsid w:val="00E338CC"/>
    <w:rsid w:val="00E350CA"/>
    <w:rsid w:val="00E3567B"/>
    <w:rsid w:val="00E360D5"/>
    <w:rsid w:val="00E37E51"/>
    <w:rsid w:val="00E51806"/>
    <w:rsid w:val="00E5221A"/>
    <w:rsid w:val="00E55F2B"/>
    <w:rsid w:val="00E62085"/>
    <w:rsid w:val="00E6357D"/>
    <w:rsid w:val="00E76C23"/>
    <w:rsid w:val="00E82587"/>
    <w:rsid w:val="00E83E91"/>
    <w:rsid w:val="00E84984"/>
    <w:rsid w:val="00E91163"/>
    <w:rsid w:val="00EA24C1"/>
    <w:rsid w:val="00EA7EC3"/>
    <w:rsid w:val="00EB0720"/>
    <w:rsid w:val="00EB5179"/>
    <w:rsid w:val="00EB6C71"/>
    <w:rsid w:val="00EC0F71"/>
    <w:rsid w:val="00EC193F"/>
    <w:rsid w:val="00EC7726"/>
    <w:rsid w:val="00EE06E7"/>
    <w:rsid w:val="00EE2C42"/>
    <w:rsid w:val="00EE366A"/>
    <w:rsid w:val="00EF6958"/>
    <w:rsid w:val="00EF7F98"/>
    <w:rsid w:val="00F01E3B"/>
    <w:rsid w:val="00F03229"/>
    <w:rsid w:val="00F052D7"/>
    <w:rsid w:val="00F073AA"/>
    <w:rsid w:val="00F13454"/>
    <w:rsid w:val="00F22289"/>
    <w:rsid w:val="00F22BC3"/>
    <w:rsid w:val="00F26A65"/>
    <w:rsid w:val="00F33B45"/>
    <w:rsid w:val="00F47CD6"/>
    <w:rsid w:val="00F52974"/>
    <w:rsid w:val="00F57978"/>
    <w:rsid w:val="00F638E2"/>
    <w:rsid w:val="00F64DB0"/>
    <w:rsid w:val="00F64FC5"/>
    <w:rsid w:val="00F67010"/>
    <w:rsid w:val="00F831D8"/>
    <w:rsid w:val="00F842A4"/>
    <w:rsid w:val="00F84745"/>
    <w:rsid w:val="00F85AC0"/>
    <w:rsid w:val="00F92C3C"/>
    <w:rsid w:val="00FA09DB"/>
    <w:rsid w:val="00FA4AD7"/>
    <w:rsid w:val="00FA5605"/>
    <w:rsid w:val="00FA7DAD"/>
    <w:rsid w:val="00FB5EF1"/>
    <w:rsid w:val="00FD2DB1"/>
    <w:rsid w:val="00FD3D8D"/>
    <w:rsid w:val="00FE20CE"/>
    <w:rsid w:val="00FE37EE"/>
    <w:rsid w:val="00FE7751"/>
    <w:rsid w:val="00FF15CD"/>
    <w:rsid w:val="00FF3504"/>
    <w:rsid w:val="00FF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4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F37B8"/>
    <w:pPr>
      <w:ind w:left="720"/>
      <w:contextualSpacing/>
    </w:pPr>
  </w:style>
  <w:style w:type="table" w:styleId="TableGrid">
    <w:name w:val="Table Grid"/>
    <w:basedOn w:val="TableNormal"/>
    <w:uiPriority w:val="99"/>
    <w:rsid w:val="000D60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43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71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43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715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1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2C3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2C3C"/>
    <w:rPr>
      <w:rFonts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D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D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D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DE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74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749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F37B8"/>
    <w:pPr>
      <w:ind w:left="720"/>
      <w:contextualSpacing/>
    </w:pPr>
  </w:style>
  <w:style w:type="table" w:styleId="TableGrid">
    <w:name w:val="Table Grid"/>
    <w:basedOn w:val="TableNormal"/>
    <w:uiPriority w:val="99"/>
    <w:rsid w:val="000D60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343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571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43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5715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761C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76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92C3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92C3C"/>
    <w:rPr>
      <w:rFonts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7DE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7D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57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BD728-CC50-4272-92F2-91BA519FA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1504</Words>
  <Characters>9647</Characters>
  <Application>Microsoft Office Word</Application>
  <DocSecurity>4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HC-R—Regulatory Capital</vt:lpstr>
    </vt:vector>
  </TitlesOfParts>
  <Company>Federal Reserve Board</Company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HC-R—Regulatory Capital</dc:title>
  <dc:creator>Elizabeth MacDonald</dc:creator>
  <cp:lastModifiedBy>mary.gottlieb</cp:lastModifiedBy>
  <cp:revision>2</cp:revision>
  <cp:lastPrinted>2013-10-28T15:55:00Z</cp:lastPrinted>
  <dcterms:created xsi:type="dcterms:W3CDTF">2013-12-31T17:05:00Z</dcterms:created>
  <dcterms:modified xsi:type="dcterms:W3CDTF">2013-12-31T17:05:00Z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-1532554908</vt:i4>
  </property>
</Properties>
</file>