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1113" w:rsidRPr="007D0233" w:rsidRDefault="00E51113" w:rsidP="0009781B">
      <w:pPr>
        <w:jc w:val="center"/>
        <w:rPr>
          <w:b/>
        </w:rPr>
      </w:pPr>
      <w:bookmarkStart w:id="0" w:name="_GoBack"/>
      <w:bookmarkEnd w:id="0"/>
      <w:r w:rsidRPr="007D0233">
        <w:rPr>
          <w:b/>
        </w:rPr>
        <w:t xml:space="preserve">OMB 1205-0342: </w:t>
      </w:r>
      <w:r w:rsidR="00626435" w:rsidRPr="007D0233">
        <w:rPr>
          <w:b/>
        </w:rPr>
        <w:t xml:space="preserve">Justification </w:t>
      </w:r>
      <w:r w:rsidR="004F1D4D" w:rsidRPr="007D0233">
        <w:rPr>
          <w:b/>
        </w:rPr>
        <w:t>for Non-Substantive Change</w:t>
      </w:r>
      <w:r w:rsidR="00431DAE" w:rsidRPr="007D0233">
        <w:rPr>
          <w:b/>
        </w:rPr>
        <w:t xml:space="preserve"> Request:</w:t>
      </w:r>
      <w:r w:rsidRPr="007D0233">
        <w:rPr>
          <w:b/>
        </w:rPr>
        <w:t xml:space="preserve"> </w:t>
      </w:r>
    </w:p>
    <w:p w:rsidR="00626435" w:rsidRPr="007D0233" w:rsidRDefault="00D90D87" w:rsidP="0009781B">
      <w:pPr>
        <w:jc w:val="center"/>
        <w:rPr>
          <w:b/>
        </w:rPr>
      </w:pPr>
      <w:r w:rsidRPr="007D0233">
        <w:rPr>
          <w:b/>
        </w:rPr>
        <w:t>T</w:t>
      </w:r>
      <w:r w:rsidR="004F1D4D" w:rsidRPr="007D0233">
        <w:rPr>
          <w:b/>
        </w:rPr>
        <w:t xml:space="preserve">o </w:t>
      </w:r>
      <w:r w:rsidR="00431DAE" w:rsidRPr="007D0233">
        <w:rPr>
          <w:b/>
        </w:rPr>
        <w:t>align petition and i</w:t>
      </w:r>
      <w:r w:rsidR="004F1D4D" w:rsidRPr="007D0233">
        <w:rPr>
          <w:b/>
        </w:rPr>
        <w:t xml:space="preserve">nvestigative </w:t>
      </w:r>
      <w:r w:rsidR="00431DAE" w:rsidRPr="007D0233">
        <w:rPr>
          <w:b/>
        </w:rPr>
        <w:t xml:space="preserve">forms with </w:t>
      </w:r>
      <w:r w:rsidRPr="007D0233">
        <w:rPr>
          <w:b/>
        </w:rPr>
        <w:t xml:space="preserve">the </w:t>
      </w:r>
      <w:r w:rsidR="00563373" w:rsidRPr="007D0233">
        <w:rPr>
          <w:b/>
        </w:rPr>
        <w:t>Trade Adjustment Assistance (TAA)</w:t>
      </w:r>
      <w:r w:rsidR="00431DAE" w:rsidRPr="007D0233">
        <w:rPr>
          <w:b/>
        </w:rPr>
        <w:t xml:space="preserve"> </w:t>
      </w:r>
      <w:r w:rsidRPr="007D0233">
        <w:rPr>
          <w:b/>
        </w:rPr>
        <w:t>Program</w:t>
      </w:r>
      <w:r w:rsidR="00E51113" w:rsidRPr="007D0233">
        <w:rPr>
          <w:b/>
        </w:rPr>
        <w:t xml:space="preserve"> </w:t>
      </w:r>
      <w:r w:rsidR="00431DAE" w:rsidRPr="007D0233">
        <w:rPr>
          <w:b/>
        </w:rPr>
        <w:t xml:space="preserve">under </w:t>
      </w:r>
      <w:r w:rsidR="00316A15">
        <w:rPr>
          <w:b/>
        </w:rPr>
        <w:t>2014 Reversion</w:t>
      </w:r>
    </w:p>
    <w:p w:rsidR="001715B3" w:rsidRPr="001715B3" w:rsidRDefault="00E02A3D" w:rsidP="001B2B3B">
      <w:pPr>
        <w:rPr>
          <w:i/>
          <w:sz w:val="22"/>
          <w:szCs w:val="22"/>
        </w:rPr>
      </w:pPr>
      <w:r w:rsidRPr="00E02A3D">
        <w:rPr>
          <w:sz w:val="22"/>
          <w:szCs w:val="22"/>
        </w:rPr>
        <w:br/>
      </w:r>
      <w:r w:rsidRPr="00E02A3D">
        <w:rPr>
          <w:i/>
          <w:sz w:val="22"/>
          <w:szCs w:val="22"/>
        </w:rPr>
        <w:t>1) to align petition (ETA-9042</w:t>
      </w:r>
      <w:r w:rsidR="001715B3">
        <w:rPr>
          <w:i/>
          <w:sz w:val="22"/>
          <w:szCs w:val="22"/>
        </w:rPr>
        <w:t xml:space="preserve">, </w:t>
      </w:r>
      <w:r w:rsidRPr="00E02A3D">
        <w:rPr>
          <w:i/>
          <w:sz w:val="22"/>
          <w:szCs w:val="22"/>
        </w:rPr>
        <w:t>ETA-9042a</w:t>
      </w:r>
      <w:r w:rsidR="001715B3">
        <w:rPr>
          <w:i/>
          <w:sz w:val="22"/>
          <w:szCs w:val="22"/>
        </w:rPr>
        <w:t xml:space="preserve"> ,and  </w:t>
      </w:r>
      <w:r w:rsidRPr="00E02A3D">
        <w:rPr>
          <w:i/>
          <w:sz w:val="22"/>
          <w:szCs w:val="22"/>
        </w:rPr>
        <w:t xml:space="preserve">9042A-1) and investigative (ETA-9043a ETA-9043b, ETA-8562, ETA-8562(a), ETA-8562(a)1, ETA-8562(b), and ETA-9118) forms with TAA under the 2002 </w:t>
      </w:r>
      <w:r w:rsidR="001715B3">
        <w:rPr>
          <w:i/>
          <w:sz w:val="22"/>
          <w:szCs w:val="22"/>
        </w:rPr>
        <w:t>A</w:t>
      </w:r>
      <w:r w:rsidR="001B2B3B">
        <w:rPr>
          <w:i/>
          <w:sz w:val="22"/>
          <w:szCs w:val="22"/>
        </w:rPr>
        <w:t xml:space="preserve">mendments </w:t>
      </w:r>
      <w:r w:rsidRPr="00E02A3D">
        <w:rPr>
          <w:i/>
          <w:sz w:val="22"/>
          <w:szCs w:val="22"/>
        </w:rPr>
        <w:t>by deleting references t</w:t>
      </w:r>
      <w:r w:rsidR="001B2B3B">
        <w:rPr>
          <w:i/>
          <w:sz w:val="22"/>
          <w:szCs w:val="22"/>
        </w:rPr>
        <w:t>o services and adding references to ATAA</w:t>
      </w:r>
    </w:p>
    <w:p w:rsidR="001715B3" w:rsidRPr="001715B3" w:rsidRDefault="00E02A3D" w:rsidP="001B2B3B">
      <w:pPr>
        <w:rPr>
          <w:i/>
          <w:sz w:val="22"/>
          <w:szCs w:val="22"/>
        </w:rPr>
      </w:pPr>
      <w:r w:rsidRPr="00E02A3D">
        <w:rPr>
          <w:i/>
          <w:sz w:val="22"/>
          <w:szCs w:val="22"/>
        </w:rPr>
        <w:t xml:space="preserve">2) </w:t>
      </w:r>
      <w:proofErr w:type="gramStart"/>
      <w:r w:rsidRPr="00E02A3D">
        <w:rPr>
          <w:i/>
          <w:sz w:val="22"/>
          <w:szCs w:val="22"/>
        </w:rPr>
        <w:t>to</w:t>
      </w:r>
      <w:proofErr w:type="gramEnd"/>
      <w:r w:rsidRPr="00E02A3D">
        <w:rPr>
          <w:i/>
          <w:sz w:val="22"/>
          <w:szCs w:val="22"/>
        </w:rPr>
        <w:t xml:space="preserve"> include two fields </w:t>
      </w:r>
      <w:r w:rsidR="001B2B3B">
        <w:rPr>
          <w:i/>
          <w:sz w:val="22"/>
          <w:szCs w:val="22"/>
        </w:rPr>
        <w:t xml:space="preserve">in </w:t>
      </w:r>
      <w:r w:rsidRPr="00E02A3D">
        <w:rPr>
          <w:i/>
          <w:sz w:val="22"/>
          <w:szCs w:val="22"/>
        </w:rPr>
        <w:t xml:space="preserve">investigative form ETA 9043a to comply more fully with the 2002 </w:t>
      </w:r>
      <w:r w:rsidR="001715B3">
        <w:rPr>
          <w:i/>
          <w:sz w:val="22"/>
          <w:szCs w:val="22"/>
        </w:rPr>
        <w:t>A</w:t>
      </w:r>
      <w:r w:rsidRPr="00E02A3D">
        <w:rPr>
          <w:i/>
          <w:sz w:val="22"/>
          <w:szCs w:val="22"/>
        </w:rPr>
        <w:t xml:space="preserve">mendments </w:t>
      </w:r>
    </w:p>
    <w:p w:rsidR="001715B3" w:rsidRDefault="001715B3" w:rsidP="00A73483">
      <w:pPr>
        <w:rPr>
          <w:b/>
          <w:sz w:val="22"/>
          <w:szCs w:val="22"/>
        </w:rPr>
      </w:pPr>
    </w:p>
    <w:p w:rsidR="00666B5E" w:rsidRPr="00973BBC" w:rsidRDefault="00682F8F" w:rsidP="00A73483">
      <w:pPr>
        <w:rPr>
          <w:sz w:val="22"/>
          <w:szCs w:val="22"/>
        </w:rPr>
      </w:pPr>
      <w:r w:rsidRPr="007D0233">
        <w:rPr>
          <w:b/>
        </w:rPr>
        <w:t>Background</w:t>
      </w:r>
      <w:r w:rsidRPr="007D0233">
        <w:t>:</w:t>
      </w:r>
      <w:r w:rsidRPr="00973BBC">
        <w:rPr>
          <w:sz w:val="22"/>
          <w:szCs w:val="22"/>
        </w:rPr>
        <w:t xml:space="preserve">  </w:t>
      </w:r>
      <w:r w:rsidR="003A16C2" w:rsidRPr="00973BBC">
        <w:rPr>
          <w:sz w:val="22"/>
          <w:szCs w:val="22"/>
        </w:rPr>
        <w:t xml:space="preserve">The TAA </w:t>
      </w:r>
      <w:r w:rsidR="00E11A4B" w:rsidRPr="00973BBC">
        <w:rPr>
          <w:sz w:val="22"/>
          <w:szCs w:val="22"/>
        </w:rPr>
        <w:t>Program</w:t>
      </w:r>
      <w:r w:rsidR="003A16C2" w:rsidRPr="00973BBC">
        <w:rPr>
          <w:sz w:val="22"/>
          <w:szCs w:val="22"/>
        </w:rPr>
        <w:t xml:space="preserve">, under chapter 2 of title II of the Trade Act (19 USC 2271 et seq.), was first established in 1974 and has been amended numerous times over the past </w:t>
      </w:r>
      <w:r w:rsidR="004958A2" w:rsidRPr="00973BBC">
        <w:rPr>
          <w:sz w:val="22"/>
          <w:szCs w:val="22"/>
        </w:rPr>
        <w:t>forty</w:t>
      </w:r>
      <w:r w:rsidR="003A16C2" w:rsidRPr="00973BBC">
        <w:rPr>
          <w:sz w:val="22"/>
          <w:szCs w:val="22"/>
        </w:rPr>
        <w:t xml:space="preserve"> years.  The latest amendments, referred to as the </w:t>
      </w:r>
      <w:r w:rsidR="00E46F1D" w:rsidRPr="00973BBC">
        <w:rPr>
          <w:sz w:val="22"/>
          <w:szCs w:val="22"/>
        </w:rPr>
        <w:t xml:space="preserve">2011 </w:t>
      </w:r>
      <w:r w:rsidR="003A16C2" w:rsidRPr="00973BBC">
        <w:rPr>
          <w:sz w:val="22"/>
          <w:szCs w:val="22"/>
        </w:rPr>
        <w:t>Amendments, are contained in</w:t>
      </w:r>
      <w:r w:rsidR="00B61688" w:rsidRPr="00973BBC">
        <w:rPr>
          <w:sz w:val="22"/>
          <w:szCs w:val="22"/>
        </w:rPr>
        <w:t xml:space="preserve"> </w:t>
      </w:r>
      <w:r w:rsidR="00E46F1D" w:rsidRPr="00973BBC">
        <w:rPr>
          <w:sz w:val="22"/>
          <w:szCs w:val="22"/>
        </w:rPr>
        <w:t>the Trade Adjustment Assistance Extension Act of 2011 (TAAEA</w:t>
      </w:r>
      <w:r w:rsidR="00AF45B8" w:rsidRPr="00973BBC">
        <w:rPr>
          <w:sz w:val="22"/>
          <w:szCs w:val="22"/>
        </w:rPr>
        <w:t xml:space="preserve"> 2011</w:t>
      </w:r>
      <w:r w:rsidR="00316A15">
        <w:rPr>
          <w:sz w:val="22"/>
          <w:szCs w:val="22"/>
        </w:rPr>
        <w:t>,</w:t>
      </w:r>
      <w:r w:rsidR="0055073E" w:rsidRPr="00973BBC">
        <w:rPr>
          <w:sz w:val="22"/>
          <w:szCs w:val="22"/>
        </w:rPr>
        <w:t xml:space="preserve"> or 2011 Amendments</w:t>
      </w:r>
      <w:r w:rsidR="00E46F1D" w:rsidRPr="00973BBC">
        <w:rPr>
          <w:sz w:val="22"/>
          <w:szCs w:val="22"/>
        </w:rPr>
        <w:t>).</w:t>
      </w:r>
      <w:r w:rsidR="003A16C2" w:rsidRPr="00973BBC">
        <w:rPr>
          <w:sz w:val="22"/>
          <w:szCs w:val="22"/>
        </w:rPr>
        <w:t xml:space="preserve">  </w:t>
      </w:r>
      <w:r w:rsidR="00466A4A" w:rsidRPr="00973BBC">
        <w:rPr>
          <w:sz w:val="22"/>
          <w:szCs w:val="22"/>
        </w:rPr>
        <w:t xml:space="preserve">Prior to the </w:t>
      </w:r>
      <w:r w:rsidR="00E46F1D" w:rsidRPr="00973BBC">
        <w:rPr>
          <w:sz w:val="22"/>
          <w:szCs w:val="22"/>
        </w:rPr>
        <w:t>2011</w:t>
      </w:r>
      <w:r w:rsidR="00E11A4B" w:rsidRPr="00973BBC">
        <w:rPr>
          <w:sz w:val="22"/>
          <w:szCs w:val="22"/>
        </w:rPr>
        <w:t xml:space="preserve"> </w:t>
      </w:r>
      <w:r w:rsidR="00466A4A" w:rsidRPr="00973BBC">
        <w:rPr>
          <w:sz w:val="22"/>
          <w:szCs w:val="22"/>
        </w:rPr>
        <w:t>Amendments, the program operated under provisions of the Trade Act, as amended by the Trade</w:t>
      </w:r>
      <w:r w:rsidR="00B61688" w:rsidRPr="00973BBC">
        <w:rPr>
          <w:sz w:val="22"/>
          <w:szCs w:val="22"/>
        </w:rPr>
        <w:t xml:space="preserve"> and Globalization Adjustment Assistance Act of 2009 (TGAAA</w:t>
      </w:r>
      <w:r w:rsidR="0055073E" w:rsidRPr="00973BBC">
        <w:rPr>
          <w:sz w:val="22"/>
          <w:szCs w:val="22"/>
        </w:rPr>
        <w:t xml:space="preserve"> or</w:t>
      </w:r>
      <w:r w:rsidR="00466A4A" w:rsidRPr="00973BBC">
        <w:rPr>
          <w:sz w:val="22"/>
          <w:szCs w:val="22"/>
        </w:rPr>
        <w:t xml:space="preserve"> </w:t>
      </w:r>
      <w:r w:rsidR="00B61688" w:rsidRPr="00973BBC">
        <w:rPr>
          <w:sz w:val="22"/>
          <w:szCs w:val="22"/>
        </w:rPr>
        <w:t xml:space="preserve">2009 </w:t>
      </w:r>
      <w:r w:rsidR="00466A4A" w:rsidRPr="00973BBC">
        <w:rPr>
          <w:sz w:val="22"/>
          <w:szCs w:val="22"/>
        </w:rPr>
        <w:t>Amendments</w:t>
      </w:r>
      <w:r w:rsidR="0055073E" w:rsidRPr="00973BBC">
        <w:rPr>
          <w:sz w:val="22"/>
          <w:szCs w:val="22"/>
        </w:rPr>
        <w:t>), and the Trade Adjustment Assistance Reform Act of 2002 (TAARA or 2002 Amendments)</w:t>
      </w:r>
      <w:r w:rsidR="00466A4A" w:rsidRPr="00973BBC">
        <w:rPr>
          <w:sz w:val="22"/>
          <w:szCs w:val="22"/>
        </w:rPr>
        <w:t xml:space="preserve">.  </w:t>
      </w:r>
    </w:p>
    <w:p w:rsidR="000E5B7F" w:rsidRPr="00973BBC" w:rsidRDefault="000E5B7F" w:rsidP="00A73483">
      <w:pPr>
        <w:rPr>
          <w:sz w:val="22"/>
          <w:szCs w:val="22"/>
        </w:rPr>
      </w:pPr>
    </w:p>
    <w:p w:rsidR="00AF45B8" w:rsidRPr="00973BBC" w:rsidRDefault="007278E8" w:rsidP="00AF45B8">
      <w:pPr>
        <w:rPr>
          <w:sz w:val="22"/>
          <w:szCs w:val="22"/>
        </w:rPr>
      </w:pPr>
      <w:r>
        <w:rPr>
          <w:sz w:val="22"/>
          <w:szCs w:val="22"/>
        </w:rPr>
        <w:t xml:space="preserve">Should </w:t>
      </w:r>
      <w:r w:rsidR="00563373" w:rsidRPr="00973BBC">
        <w:rPr>
          <w:sz w:val="22"/>
          <w:szCs w:val="22"/>
        </w:rPr>
        <w:t xml:space="preserve">Congress not reauthorize the 2011 Amendments, </w:t>
      </w:r>
      <w:r w:rsidR="001F2565" w:rsidRPr="00973BBC">
        <w:rPr>
          <w:sz w:val="22"/>
          <w:szCs w:val="22"/>
        </w:rPr>
        <w:t xml:space="preserve">sunset provisions (Section 133) of </w:t>
      </w:r>
      <w:r w:rsidR="00AF45B8" w:rsidRPr="00973BBC">
        <w:rPr>
          <w:sz w:val="22"/>
          <w:szCs w:val="22"/>
        </w:rPr>
        <w:t>TAAEA 2011</w:t>
      </w:r>
      <w:r w:rsidR="00431DAE" w:rsidRPr="00973BBC">
        <w:rPr>
          <w:sz w:val="22"/>
          <w:szCs w:val="22"/>
        </w:rPr>
        <w:t xml:space="preserve"> </w:t>
      </w:r>
      <w:r w:rsidR="001F2565" w:rsidRPr="00973BBC">
        <w:rPr>
          <w:sz w:val="22"/>
          <w:szCs w:val="22"/>
        </w:rPr>
        <w:t>require</w:t>
      </w:r>
      <w:r w:rsidR="00AF45B8" w:rsidRPr="00973BBC">
        <w:rPr>
          <w:sz w:val="22"/>
          <w:szCs w:val="22"/>
        </w:rPr>
        <w:t xml:space="preserve"> </w:t>
      </w:r>
      <w:r w:rsidR="00563373" w:rsidRPr="00973BBC">
        <w:rPr>
          <w:sz w:val="22"/>
          <w:szCs w:val="22"/>
        </w:rPr>
        <w:t xml:space="preserve">on January 1, 2014, administration of the </w:t>
      </w:r>
      <w:r w:rsidR="00AF45B8" w:rsidRPr="00973BBC">
        <w:rPr>
          <w:sz w:val="22"/>
          <w:szCs w:val="22"/>
        </w:rPr>
        <w:t xml:space="preserve">TAA Program </w:t>
      </w:r>
      <w:r w:rsidR="00431DAE" w:rsidRPr="00973BBC">
        <w:rPr>
          <w:sz w:val="22"/>
          <w:szCs w:val="22"/>
        </w:rPr>
        <w:t>under 2002 Amendments with some changes</w:t>
      </w:r>
      <w:r w:rsidR="001F2565" w:rsidRPr="00973BBC">
        <w:rPr>
          <w:sz w:val="22"/>
          <w:szCs w:val="22"/>
        </w:rPr>
        <w:t xml:space="preserve"> </w:t>
      </w:r>
      <w:r w:rsidR="00563373" w:rsidRPr="00973BBC">
        <w:rPr>
          <w:sz w:val="22"/>
          <w:szCs w:val="22"/>
        </w:rPr>
        <w:t>(</w:t>
      </w:r>
      <w:r w:rsidR="001F2565" w:rsidRPr="00973BBC">
        <w:rPr>
          <w:sz w:val="22"/>
          <w:szCs w:val="22"/>
        </w:rPr>
        <w:t>Reversion 2014</w:t>
      </w:r>
      <w:r w:rsidR="005F5AFF">
        <w:rPr>
          <w:sz w:val="22"/>
          <w:szCs w:val="22"/>
        </w:rPr>
        <w:t>)</w:t>
      </w:r>
      <w:r w:rsidR="001F2565" w:rsidRPr="00973BBC">
        <w:rPr>
          <w:sz w:val="22"/>
          <w:szCs w:val="22"/>
        </w:rPr>
        <w:t>.</w:t>
      </w:r>
      <w:r w:rsidR="00AF45B8" w:rsidRPr="00973BBC">
        <w:rPr>
          <w:sz w:val="22"/>
          <w:szCs w:val="22"/>
        </w:rPr>
        <w:t xml:space="preserve">  Investigations of group eligibility for TAA will be limited to provisions of the 2002 Amendments and include an investigation regarding eligibility to apply for the ATAA Program. </w:t>
      </w:r>
    </w:p>
    <w:p w:rsidR="00CD6E1F" w:rsidRPr="00973BBC" w:rsidRDefault="00C87B55" w:rsidP="00A73483">
      <w:pPr>
        <w:rPr>
          <w:i/>
          <w:sz w:val="22"/>
          <w:szCs w:val="22"/>
        </w:rPr>
      </w:pPr>
      <w:r w:rsidRPr="00973BBC">
        <w:rPr>
          <w:sz w:val="22"/>
          <w:szCs w:val="22"/>
        </w:rPr>
        <w:t>TAAEA 2011 retained all provisions of TGAAA, including the group eligibility criteria for the Trade Adjustment Assistance (TAA) for Workers Program and the replacement of the Alternative Trade Adjustment Assistance for Older Workers (ATAA) program with the Reemployment Trade Adjustment Assistance (RTAA) benefits for older workers.</w:t>
      </w:r>
      <w:r w:rsidR="00666B5E" w:rsidRPr="00973BBC">
        <w:rPr>
          <w:i/>
          <w:sz w:val="22"/>
          <w:szCs w:val="22"/>
        </w:rPr>
        <w:t xml:space="preserve"> </w:t>
      </w:r>
    </w:p>
    <w:p w:rsidR="00CD6E1F" w:rsidRPr="00973BBC" w:rsidRDefault="00CD6E1F" w:rsidP="00A73483">
      <w:pPr>
        <w:rPr>
          <w:i/>
          <w:sz w:val="22"/>
          <w:szCs w:val="22"/>
        </w:rPr>
      </w:pPr>
    </w:p>
    <w:p w:rsidR="00CD6E1F" w:rsidRPr="00973BBC" w:rsidRDefault="00666B5E" w:rsidP="00A73483">
      <w:pPr>
        <w:rPr>
          <w:sz w:val="22"/>
          <w:szCs w:val="22"/>
        </w:rPr>
      </w:pPr>
      <w:r w:rsidRPr="00973BBC">
        <w:rPr>
          <w:sz w:val="22"/>
          <w:szCs w:val="22"/>
        </w:rPr>
        <w:t xml:space="preserve">To comply with </w:t>
      </w:r>
      <w:r w:rsidR="00431DAE" w:rsidRPr="00973BBC">
        <w:rPr>
          <w:sz w:val="22"/>
          <w:szCs w:val="22"/>
        </w:rPr>
        <w:t>Reversion 2014</w:t>
      </w:r>
      <w:r w:rsidR="00D1635F">
        <w:rPr>
          <w:sz w:val="22"/>
          <w:szCs w:val="22"/>
        </w:rPr>
        <w:t>, as required by law</w:t>
      </w:r>
      <w:r w:rsidR="00CD6E1F" w:rsidRPr="00973BBC">
        <w:rPr>
          <w:sz w:val="22"/>
          <w:szCs w:val="22"/>
        </w:rPr>
        <w:t>:</w:t>
      </w:r>
      <w:r w:rsidR="00466A4A" w:rsidRPr="00973BBC">
        <w:rPr>
          <w:sz w:val="22"/>
          <w:szCs w:val="22"/>
        </w:rPr>
        <w:t xml:space="preserve"> </w:t>
      </w:r>
    </w:p>
    <w:p w:rsidR="00D90D87" w:rsidRPr="001B2B3B" w:rsidRDefault="00CD6E1F" w:rsidP="001B2B3B">
      <w:pPr>
        <w:pStyle w:val="ListParagraph"/>
        <w:numPr>
          <w:ilvl w:val="0"/>
          <w:numId w:val="5"/>
        </w:numPr>
        <w:ind w:left="360"/>
        <w:rPr>
          <w:sz w:val="22"/>
          <w:szCs w:val="22"/>
        </w:rPr>
      </w:pPr>
      <w:r w:rsidRPr="001B2B3B">
        <w:rPr>
          <w:sz w:val="22"/>
          <w:szCs w:val="22"/>
        </w:rPr>
        <w:t>All</w:t>
      </w:r>
      <w:r w:rsidR="00AF45B8" w:rsidRPr="001B2B3B">
        <w:rPr>
          <w:sz w:val="22"/>
          <w:szCs w:val="22"/>
        </w:rPr>
        <w:t xml:space="preserve"> petition </w:t>
      </w:r>
      <w:r w:rsidR="005F5AFF" w:rsidRPr="001B2B3B">
        <w:rPr>
          <w:sz w:val="22"/>
          <w:szCs w:val="22"/>
        </w:rPr>
        <w:t>and investigative forms</w:t>
      </w:r>
      <w:r w:rsidRPr="001B2B3B">
        <w:rPr>
          <w:sz w:val="22"/>
          <w:szCs w:val="22"/>
        </w:rPr>
        <w:t xml:space="preserve"> used </w:t>
      </w:r>
      <w:r w:rsidR="00AF45B8" w:rsidRPr="001B2B3B">
        <w:rPr>
          <w:sz w:val="22"/>
          <w:szCs w:val="22"/>
        </w:rPr>
        <w:t>between February 1</w:t>
      </w:r>
      <w:r w:rsidR="00E11A4B" w:rsidRPr="001B2B3B">
        <w:rPr>
          <w:sz w:val="22"/>
          <w:szCs w:val="22"/>
        </w:rPr>
        <w:t>2</w:t>
      </w:r>
      <w:r w:rsidR="00AF45B8" w:rsidRPr="001B2B3B">
        <w:rPr>
          <w:sz w:val="22"/>
          <w:szCs w:val="22"/>
        </w:rPr>
        <w:t>, 2011</w:t>
      </w:r>
      <w:r w:rsidR="001B2B3B" w:rsidRPr="001B2B3B">
        <w:rPr>
          <w:sz w:val="22"/>
          <w:szCs w:val="22"/>
        </w:rPr>
        <w:t>,</w:t>
      </w:r>
      <w:r w:rsidR="00AF45B8" w:rsidRPr="001B2B3B">
        <w:rPr>
          <w:sz w:val="22"/>
          <w:szCs w:val="22"/>
        </w:rPr>
        <w:t xml:space="preserve"> and October </w:t>
      </w:r>
      <w:r w:rsidR="00E11A4B" w:rsidRPr="001B2B3B">
        <w:rPr>
          <w:sz w:val="22"/>
          <w:szCs w:val="22"/>
        </w:rPr>
        <w:t xml:space="preserve">21, </w:t>
      </w:r>
      <w:r w:rsidR="005F5AFF" w:rsidRPr="001B2B3B">
        <w:rPr>
          <w:sz w:val="22"/>
          <w:szCs w:val="22"/>
        </w:rPr>
        <w:t>2011</w:t>
      </w:r>
      <w:r w:rsidR="001B2B3B" w:rsidRPr="001B2B3B">
        <w:rPr>
          <w:sz w:val="22"/>
          <w:szCs w:val="22"/>
        </w:rPr>
        <w:t xml:space="preserve"> </w:t>
      </w:r>
      <w:r w:rsidR="00A94DD7" w:rsidRPr="001B2B3B">
        <w:rPr>
          <w:sz w:val="22"/>
          <w:szCs w:val="22"/>
        </w:rPr>
        <w:t>-</w:t>
      </w:r>
      <w:r w:rsidR="00D90D87" w:rsidRPr="001B2B3B">
        <w:rPr>
          <w:sz w:val="22"/>
          <w:szCs w:val="22"/>
        </w:rPr>
        <w:t xml:space="preserve">when the </w:t>
      </w:r>
      <w:r w:rsidR="001F2565" w:rsidRPr="001B2B3B">
        <w:rPr>
          <w:sz w:val="22"/>
          <w:szCs w:val="22"/>
        </w:rPr>
        <w:t xml:space="preserve">TAA Program implemented the sunset provisions of the 2009 Amendments and </w:t>
      </w:r>
      <w:r w:rsidR="00D90D87" w:rsidRPr="001B2B3B">
        <w:rPr>
          <w:sz w:val="22"/>
          <w:szCs w:val="22"/>
        </w:rPr>
        <w:t>reverted to the 2002 Amendments</w:t>
      </w:r>
      <w:r w:rsidR="00A94DD7" w:rsidRPr="001B2B3B">
        <w:rPr>
          <w:sz w:val="22"/>
          <w:szCs w:val="22"/>
        </w:rPr>
        <w:t>- w</w:t>
      </w:r>
      <w:r w:rsidR="001F2565" w:rsidRPr="001B2B3B">
        <w:rPr>
          <w:sz w:val="22"/>
          <w:szCs w:val="22"/>
        </w:rPr>
        <w:t>ill be in use under Reversion 2014</w:t>
      </w:r>
      <w:r w:rsidR="005F5AFF" w:rsidRPr="001B2B3B">
        <w:rPr>
          <w:sz w:val="22"/>
          <w:szCs w:val="22"/>
        </w:rPr>
        <w:t>, with the exception of ETA-9043a.</w:t>
      </w:r>
    </w:p>
    <w:p w:rsidR="00CD6E1F" w:rsidRPr="00973BBC" w:rsidRDefault="00A94DD7" w:rsidP="001B2B3B">
      <w:pPr>
        <w:pStyle w:val="ListParagraph"/>
        <w:numPr>
          <w:ilvl w:val="0"/>
          <w:numId w:val="5"/>
        </w:numPr>
        <w:ind w:left="360"/>
        <w:rPr>
          <w:sz w:val="22"/>
          <w:szCs w:val="22"/>
        </w:rPr>
      </w:pPr>
      <w:r>
        <w:rPr>
          <w:sz w:val="22"/>
          <w:szCs w:val="22"/>
        </w:rPr>
        <w:t>ETA-9043a</w:t>
      </w:r>
      <w:r w:rsidR="00CD6E1F" w:rsidRPr="00973BBC">
        <w:rPr>
          <w:sz w:val="22"/>
          <w:szCs w:val="22"/>
        </w:rPr>
        <w:t xml:space="preserve">, </w:t>
      </w:r>
      <w:r w:rsidR="00CD6E1F" w:rsidRPr="00973BBC">
        <w:rPr>
          <w:i/>
          <w:sz w:val="22"/>
          <w:szCs w:val="22"/>
        </w:rPr>
        <w:t>Business Confidential Data Request</w:t>
      </w:r>
      <w:r w:rsidR="005F5AFF">
        <w:rPr>
          <w:sz w:val="22"/>
          <w:szCs w:val="22"/>
        </w:rPr>
        <w:t>, will remain</w:t>
      </w:r>
      <w:r w:rsidR="00CD6E1F" w:rsidRPr="00973BBC">
        <w:rPr>
          <w:sz w:val="22"/>
          <w:szCs w:val="22"/>
        </w:rPr>
        <w:t xml:space="preserve"> in use and retains the following modification</w:t>
      </w:r>
      <w:r w:rsidR="005F5AFF">
        <w:rPr>
          <w:sz w:val="22"/>
          <w:szCs w:val="22"/>
        </w:rPr>
        <w:t>s</w:t>
      </w:r>
      <w:r w:rsidR="00CD6E1F" w:rsidRPr="00973BBC">
        <w:rPr>
          <w:sz w:val="22"/>
          <w:szCs w:val="22"/>
        </w:rPr>
        <w:t xml:space="preserve"> approved by OMB in</w:t>
      </w:r>
      <w:r w:rsidR="008413A8">
        <w:rPr>
          <w:sz w:val="22"/>
          <w:szCs w:val="22"/>
        </w:rPr>
        <w:t xml:space="preserve"> January</w:t>
      </w:r>
      <w:r w:rsidR="00CD6E1F" w:rsidRPr="00973BBC">
        <w:rPr>
          <w:sz w:val="22"/>
          <w:szCs w:val="22"/>
        </w:rPr>
        <w:t xml:space="preserve"> of 2011</w:t>
      </w:r>
      <w:r w:rsidR="005F5AFF">
        <w:rPr>
          <w:sz w:val="22"/>
          <w:szCs w:val="22"/>
        </w:rPr>
        <w:t xml:space="preserve"> (ICR Reference</w:t>
      </w:r>
      <w:r w:rsidR="005F5AFF" w:rsidRPr="00E02A3D">
        <w:rPr>
          <w:sz w:val="22"/>
          <w:szCs w:val="22"/>
        </w:rPr>
        <w:t>: 201012-1205-003)</w:t>
      </w:r>
      <w:r w:rsidR="00CD6E1F" w:rsidRPr="00973BBC">
        <w:rPr>
          <w:sz w:val="22"/>
          <w:szCs w:val="22"/>
        </w:rPr>
        <w:t>:</w:t>
      </w:r>
    </w:p>
    <w:p w:rsidR="00CD6E1F" w:rsidRPr="00973BBC" w:rsidRDefault="00CD6E1F" w:rsidP="001B2B3B">
      <w:pPr>
        <w:pStyle w:val="ListParagraph"/>
        <w:numPr>
          <w:ilvl w:val="1"/>
          <w:numId w:val="5"/>
        </w:numPr>
        <w:ind w:left="792"/>
        <w:rPr>
          <w:sz w:val="22"/>
          <w:szCs w:val="22"/>
        </w:rPr>
      </w:pPr>
      <w:r w:rsidRPr="00973BBC">
        <w:rPr>
          <w:sz w:val="22"/>
          <w:szCs w:val="22"/>
        </w:rPr>
        <w:t>Elimination of references to “services” or the “supply of services.”</w:t>
      </w:r>
    </w:p>
    <w:p w:rsidR="00CD6E1F" w:rsidRPr="00973BBC" w:rsidRDefault="00563373" w:rsidP="001B2B3B">
      <w:pPr>
        <w:pStyle w:val="ListParagraph"/>
        <w:numPr>
          <w:ilvl w:val="1"/>
          <w:numId w:val="5"/>
        </w:numPr>
        <w:ind w:left="792"/>
        <w:rPr>
          <w:sz w:val="22"/>
          <w:szCs w:val="22"/>
        </w:rPr>
      </w:pPr>
      <w:r w:rsidRPr="00973BBC">
        <w:rPr>
          <w:sz w:val="22"/>
          <w:szCs w:val="22"/>
        </w:rPr>
        <w:t xml:space="preserve">Replacement of “A petition for Trade Adjustment Assistance (TAA)” with “A petition for Trade Adjustment Assistance (TAA) and Alternative Trade Adjustment Assistance (ATAA)” </w:t>
      </w:r>
      <w:r w:rsidR="00CD6E1F" w:rsidRPr="00973BBC">
        <w:rPr>
          <w:sz w:val="22"/>
          <w:szCs w:val="22"/>
        </w:rPr>
        <w:t xml:space="preserve"> </w:t>
      </w:r>
    </w:p>
    <w:p w:rsidR="001B2B3B" w:rsidRDefault="00CD6E1F" w:rsidP="001B2B3B">
      <w:pPr>
        <w:pStyle w:val="ListParagraph"/>
        <w:numPr>
          <w:ilvl w:val="1"/>
          <w:numId w:val="5"/>
        </w:numPr>
        <w:ind w:left="792"/>
        <w:rPr>
          <w:sz w:val="22"/>
          <w:szCs w:val="22"/>
        </w:rPr>
      </w:pPr>
      <w:r w:rsidRPr="00973BBC">
        <w:rPr>
          <w:sz w:val="22"/>
          <w:szCs w:val="22"/>
        </w:rPr>
        <w:t>Two questions related to eligibility for the ATAA Program</w:t>
      </w:r>
      <w:r w:rsidR="001B2B3B">
        <w:rPr>
          <w:sz w:val="22"/>
          <w:szCs w:val="22"/>
        </w:rPr>
        <w:t>:</w:t>
      </w:r>
    </w:p>
    <w:p w:rsidR="001B2B3B" w:rsidRDefault="001B2B3B" w:rsidP="00233D35">
      <w:pPr>
        <w:pStyle w:val="ListParagraph"/>
        <w:numPr>
          <w:ilvl w:val="1"/>
          <w:numId w:val="7"/>
        </w:numPr>
        <w:rPr>
          <w:sz w:val="22"/>
          <w:szCs w:val="22"/>
        </w:rPr>
      </w:pPr>
      <w:r>
        <w:rPr>
          <w:sz w:val="22"/>
          <w:szCs w:val="22"/>
        </w:rPr>
        <w:t>“</w:t>
      </w:r>
      <w:r w:rsidRPr="001B2B3B">
        <w:rPr>
          <w:sz w:val="22"/>
          <w:szCs w:val="22"/>
        </w:rPr>
        <w:t>Do the workers in the workers’ firm possess skills that are not easily transferable:</w:t>
      </w:r>
      <w:r>
        <w:rPr>
          <w:sz w:val="22"/>
          <w:szCs w:val="22"/>
        </w:rPr>
        <w:t xml:space="preserve"> </w:t>
      </w:r>
      <w:r w:rsidRPr="001B2B3B">
        <w:rPr>
          <w:sz w:val="22"/>
          <w:szCs w:val="22"/>
        </w:rPr>
        <w:t>Yes</w:t>
      </w:r>
      <w:r w:rsidR="00233D35">
        <w:rPr>
          <w:sz w:val="22"/>
          <w:szCs w:val="22"/>
        </w:rPr>
        <w:t>/</w:t>
      </w:r>
      <w:r w:rsidRPr="001B2B3B">
        <w:rPr>
          <w:sz w:val="22"/>
          <w:szCs w:val="22"/>
        </w:rPr>
        <w:t>No?</w:t>
      </w:r>
      <w:r>
        <w:rPr>
          <w:sz w:val="22"/>
          <w:szCs w:val="22"/>
        </w:rPr>
        <w:t>”</w:t>
      </w:r>
    </w:p>
    <w:p w:rsidR="009E47C9" w:rsidRDefault="001B2B3B" w:rsidP="00A73483">
      <w:pPr>
        <w:pStyle w:val="ListParagraph"/>
        <w:numPr>
          <w:ilvl w:val="1"/>
          <w:numId w:val="7"/>
        </w:numPr>
        <w:rPr>
          <w:sz w:val="22"/>
          <w:szCs w:val="22"/>
        </w:rPr>
      </w:pPr>
      <w:r w:rsidRPr="00A052CC">
        <w:rPr>
          <w:sz w:val="22"/>
          <w:szCs w:val="22"/>
        </w:rPr>
        <w:t>“Number of workers reported age 50 or over (including leased or temporary workers) associated with this article”</w:t>
      </w:r>
      <w:r w:rsidR="003A16C2" w:rsidRPr="00A052CC">
        <w:rPr>
          <w:sz w:val="22"/>
          <w:szCs w:val="22"/>
        </w:rPr>
        <w:t xml:space="preserve">  </w:t>
      </w:r>
    </w:p>
    <w:p w:rsidR="00E30AA8" w:rsidRPr="00A052CC" w:rsidRDefault="00E30AA8" w:rsidP="00E30AA8">
      <w:pPr>
        <w:pStyle w:val="ListParagraph"/>
        <w:ind w:left="1152"/>
        <w:rPr>
          <w:sz w:val="22"/>
          <w:szCs w:val="22"/>
        </w:rPr>
      </w:pPr>
    </w:p>
    <w:p w:rsidR="00ED2689" w:rsidRDefault="007278E8" w:rsidP="00ED2689">
      <w:pPr>
        <w:rPr>
          <w:b/>
          <w:sz w:val="22"/>
          <w:szCs w:val="22"/>
        </w:rPr>
      </w:pPr>
      <w:r w:rsidRPr="00E30AA8">
        <w:rPr>
          <w:sz w:val="22"/>
          <w:szCs w:val="22"/>
        </w:rPr>
        <w:t xml:space="preserve">If </w:t>
      </w:r>
      <w:r w:rsidR="002F226A" w:rsidRPr="00E30AA8">
        <w:rPr>
          <w:sz w:val="22"/>
          <w:szCs w:val="22"/>
        </w:rPr>
        <w:t>Congress does not reauthorize TAAEA 2011 before January 1, 2014,</w:t>
      </w:r>
      <w:r w:rsidR="00D90D87" w:rsidRPr="00E30AA8">
        <w:rPr>
          <w:sz w:val="22"/>
          <w:szCs w:val="22"/>
        </w:rPr>
        <w:t xml:space="preserve"> </w:t>
      </w:r>
      <w:r w:rsidRPr="00E30AA8">
        <w:rPr>
          <w:sz w:val="22"/>
          <w:szCs w:val="22"/>
        </w:rPr>
        <w:t xml:space="preserve">ETA will implement </w:t>
      </w:r>
      <w:r w:rsidR="00D90D87" w:rsidRPr="00E30AA8">
        <w:rPr>
          <w:sz w:val="22"/>
          <w:szCs w:val="22"/>
        </w:rPr>
        <w:t>Rev</w:t>
      </w:r>
      <w:r w:rsidR="002F226A" w:rsidRPr="00E30AA8">
        <w:rPr>
          <w:sz w:val="22"/>
          <w:szCs w:val="22"/>
        </w:rPr>
        <w:t>ersion 2014</w:t>
      </w:r>
      <w:r w:rsidRPr="00E30AA8">
        <w:rPr>
          <w:sz w:val="22"/>
          <w:szCs w:val="22"/>
        </w:rPr>
        <w:t>.</w:t>
      </w:r>
      <w:r w:rsidR="002F226A" w:rsidRPr="00E30AA8">
        <w:rPr>
          <w:sz w:val="22"/>
          <w:szCs w:val="22"/>
        </w:rPr>
        <w:t xml:space="preserve"> Therefore</w:t>
      </w:r>
      <w:r w:rsidR="00D90D87" w:rsidRPr="00E30AA8">
        <w:rPr>
          <w:sz w:val="22"/>
          <w:szCs w:val="22"/>
        </w:rPr>
        <w:t xml:space="preserve"> </w:t>
      </w:r>
      <w:r w:rsidR="001D701F" w:rsidRPr="00E30AA8">
        <w:rPr>
          <w:sz w:val="22"/>
          <w:szCs w:val="22"/>
        </w:rPr>
        <w:t xml:space="preserve">ETA </w:t>
      </w:r>
      <w:r w:rsidR="00D90D87" w:rsidRPr="00E30AA8">
        <w:rPr>
          <w:sz w:val="22"/>
          <w:szCs w:val="22"/>
        </w:rPr>
        <w:t xml:space="preserve">requests OMB approval </w:t>
      </w:r>
      <w:r w:rsidR="002F226A" w:rsidRPr="00E30AA8">
        <w:rPr>
          <w:sz w:val="22"/>
          <w:szCs w:val="22"/>
        </w:rPr>
        <w:t>of the above non-substantive changes in order to operate the TAA Program under</w:t>
      </w:r>
      <w:r w:rsidR="00D8256E" w:rsidRPr="00E30AA8">
        <w:rPr>
          <w:sz w:val="22"/>
          <w:szCs w:val="22"/>
        </w:rPr>
        <w:t xml:space="preserve"> </w:t>
      </w:r>
      <w:r w:rsidR="001F2565" w:rsidRPr="00E30AA8">
        <w:rPr>
          <w:sz w:val="22"/>
          <w:szCs w:val="22"/>
        </w:rPr>
        <w:t>Reversion 2014</w:t>
      </w:r>
      <w:r w:rsidR="002F226A" w:rsidRPr="00E30AA8">
        <w:rPr>
          <w:sz w:val="22"/>
          <w:szCs w:val="22"/>
        </w:rPr>
        <w:t>.</w:t>
      </w:r>
      <w:r w:rsidR="0055073E" w:rsidRPr="00E30AA8">
        <w:rPr>
          <w:sz w:val="22"/>
          <w:szCs w:val="22"/>
        </w:rPr>
        <w:t xml:space="preserve"> </w:t>
      </w:r>
      <w:r w:rsidR="00A052CC" w:rsidRPr="00E30AA8">
        <w:rPr>
          <w:sz w:val="22"/>
          <w:szCs w:val="22"/>
        </w:rPr>
        <w:t>S</w:t>
      </w:r>
      <w:r w:rsidR="00A052CC" w:rsidRPr="00E30AA8">
        <w:rPr>
          <w:sz w:val="22"/>
          <w:szCs w:val="22"/>
        </w:rPr>
        <w:t>hould Congress pass and the President sign a reauthorization for the provisions</w:t>
      </w:r>
      <w:r w:rsidR="00A052CC" w:rsidRPr="00E30AA8">
        <w:rPr>
          <w:sz w:val="22"/>
          <w:szCs w:val="22"/>
        </w:rPr>
        <w:t>, ETA will submit a second non-material change request to revert approval for this current request</w:t>
      </w:r>
      <w:r w:rsidR="00A052CC" w:rsidRPr="00E30AA8">
        <w:rPr>
          <w:sz w:val="22"/>
          <w:szCs w:val="22"/>
        </w:rPr>
        <w:t xml:space="preserve">.  </w:t>
      </w:r>
      <w:r w:rsidR="00ED2689" w:rsidRPr="00E30AA8">
        <w:rPr>
          <w:b/>
          <w:sz w:val="22"/>
          <w:szCs w:val="22"/>
        </w:rPr>
        <w:t>No burden changes are entailed in this request.</w:t>
      </w:r>
    </w:p>
    <w:p w:rsidR="00E30AA8" w:rsidRPr="00E30AA8" w:rsidRDefault="00E30AA8" w:rsidP="00ED2689">
      <w:pPr>
        <w:rPr>
          <w:sz w:val="22"/>
          <w:szCs w:val="22"/>
        </w:rPr>
      </w:pPr>
    </w:p>
    <w:p w:rsidR="002E2E6F" w:rsidRPr="00E30AA8" w:rsidRDefault="00FF5DE2" w:rsidP="00A73483">
      <w:pPr>
        <w:rPr>
          <w:iCs/>
          <w:sz w:val="22"/>
          <w:szCs w:val="22"/>
        </w:rPr>
      </w:pPr>
      <w:r w:rsidRPr="00E30AA8">
        <w:rPr>
          <w:b/>
          <w:sz w:val="22"/>
          <w:szCs w:val="22"/>
        </w:rPr>
        <w:t>Actions Requested</w:t>
      </w:r>
      <w:r w:rsidRPr="00E30AA8">
        <w:rPr>
          <w:sz w:val="22"/>
          <w:szCs w:val="22"/>
        </w:rPr>
        <w:t xml:space="preserve">:  </w:t>
      </w:r>
      <w:r w:rsidR="00EF4529" w:rsidRPr="00E30AA8">
        <w:rPr>
          <w:sz w:val="22"/>
          <w:szCs w:val="22"/>
        </w:rPr>
        <w:t xml:space="preserve">ETA </w:t>
      </w:r>
      <w:r w:rsidRPr="00E30AA8">
        <w:rPr>
          <w:sz w:val="22"/>
          <w:szCs w:val="22"/>
        </w:rPr>
        <w:t xml:space="preserve">seeks </w:t>
      </w:r>
      <w:r w:rsidR="00EF4529" w:rsidRPr="00E30AA8">
        <w:rPr>
          <w:sz w:val="22"/>
          <w:szCs w:val="22"/>
        </w:rPr>
        <w:t>approval to</w:t>
      </w:r>
      <w:r w:rsidR="000E5B7F" w:rsidRPr="00E30AA8">
        <w:rPr>
          <w:sz w:val="22"/>
          <w:szCs w:val="22"/>
        </w:rPr>
        <w:t xml:space="preserve"> use the forms previously approved during the expiration </w:t>
      </w:r>
      <w:r w:rsidR="00973BBC" w:rsidRPr="00E30AA8">
        <w:rPr>
          <w:sz w:val="22"/>
          <w:szCs w:val="22"/>
        </w:rPr>
        <w:t>of TGAAA</w:t>
      </w:r>
      <w:r w:rsidR="001715B3" w:rsidRPr="00E30AA8">
        <w:rPr>
          <w:sz w:val="22"/>
          <w:szCs w:val="22"/>
        </w:rPr>
        <w:t xml:space="preserve"> (ICR Reference No: 201012-1205-003)</w:t>
      </w:r>
      <w:r w:rsidR="00AF305D" w:rsidRPr="00E30AA8">
        <w:rPr>
          <w:sz w:val="22"/>
          <w:szCs w:val="22"/>
        </w:rPr>
        <w:t>:</w:t>
      </w:r>
      <w:r w:rsidR="00822F09" w:rsidRPr="00E30AA8">
        <w:rPr>
          <w:sz w:val="22"/>
          <w:szCs w:val="22"/>
        </w:rPr>
        <w:t xml:space="preserve"> </w:t>
      </w:r>
      <w:r w:rsidR="006E7033" w:rsidRPr="00E30AA8">
        <w:rPr>
          <w:sz w:val="22"/>
          <w:szCs w:val="22"/>
        </w:rPr>
        <w:t xml:space="preserve">ETA-9042, </w:t>
      </w:r>
      <w:r w:rsidR="004C122C" w:rsidRPr="00E30AA8">
        <w:rPr>
          <w:sz w:val="22"/>
          <w:szCs w:val="22"/>
        </w:rPr>
        <w:t>ETA-9042</w:t>
      </w:r>
      <w:r w:rsidR="00C12657" w:rsidRPr="00E30AA8">
        <w:rPr>
          <w:sz w:val="22"/>
          <w:szCs w:val="22"/>
        </w:rPr>
        <w:t>a</w:t>
      </w:r>
      <w:r w:rsidR="004D1F1D" w:rsidRPr="00E30AA8">
        <w:rPr>
          <w:sz w:val="22"/>
          <w:szCs w:val="22"/>
        </w:rPr>
        <w:t>, ETA-9043b, ETA-8562, ETA-8562(a), ETA-8562(a</w:t>
      </w:r>
      <w:proofErr w:type="gramStart"/>
      <w:r w:rsidR="004D1F1D" w:rsidRPr="00E30AA8">
        <w:rPr>
          <w:sz w:val="22"/>
          <w:szCs w:val="22"/>
        </w:rPr>
        <w:t>)1</w:t>
      </w:r>
      <w:proofErr w:type="gramEnd"/>
      <w:r w:rsidR="004D1F1D" w:rsidRPr="00E30AA8">
        <w:rPr>
          <w:sz w:val="22"/>
          <w:szCs w:val="22"/>
        </w:rPr>
        <w:t>, ETA-8562(b), and ETA-9118</w:t>
      </w:r>
      <w:r w:rsidR="00973BBC" w:rsidRPr="00E30AA8">
        <w:rPr>
          <w:sz w:val="22"/>
          <w:szCs w:val="22"/>
        </w:rPr>
        <w:t xml:space="preserve">, and </w:t>
      </w:r>
      <w:r w:rsidR="00AF305D" w:rsidRPr="00E30AA8">
        <w:rPr>
          <w:sz w:val="22"/>
          <w:szCs w:val="22"/>
        </w:rPr>
        <w:t xml:space="preserve">to make </w:t>
      </w:r>
      <w:r w:rsidR="00973BBC" w:rsidRPr="00E30AA8">
        <w:rPr>
          <w:sz w:val="22"/>
          <w:szCs w:val="22"/>
        </w:rPr>
        <w:t xml:space="preserve">non-substantive modifications to </w:t>
      </w:r>
      <w:r w:rsidR="00973BBC" w:rsidRPr="00E30AA8">
        <w:rPr>
          <w:sz w:val="22"/>
          <w:szCs w:val="22"/>
        </w:rPr>
        <w:lastRenderedPageBreak/>
        <w:t>OMB approved form ETA-9043a</w:t>
      </w:r>
      <w:r w:rsidR="000E5B7F" w:rsidRPr="00E30AA8">
        <w:rPr>
          <w:sz w:val="22"/>
          <w:szCs w:val="22"/>
        </w:rPr>
        <w:t>.</w:t>
      </w:r>
      <w:r w:rsidR="004D1F1D" w:rsidRPr="00E30AA8">
        <w:rPr>
          <w:sz w:val="22"/>
          <w:szCs w:val="22"/>
        </w:rPr>
        <w:t xml:space="preserve">  </w:t>
      </w:r>
      <w:r w:rsidR="00D23599" w:rsidRPr="00E30AA8">
        <w:rPr>
          <w:sz w:val="22"/>
          <w:szCs w:val="22"/>
        </w:rPr>
        <w:t xml:space="preserve">The </w:t>
      </w:r>
      <w:r w:rsidR="00316A15" w:rsidRPr="00E30AA8">
        <w:rPr>
          <w:sz w:val="22"/>
          <w:szCs w:val="22"/>
        </w:rPr>
        <w:t>use of these forms gives</w:t>
      </w:r>
      <w:r w:rsidR="00D23599" w:rsidRPr="00E30AA8">
        <w:rPr>
          <w:sz w:val="22"/>
          <w:szCs w:val="22"/>
        </w:rPr>
        <w:t xml:space="preserve"> ETA </w:t>
      </w:r>
      <w:r w:rsidR="00316A15" w:rsidRPr="00E30AA8">
        <w:rPr>
          <w:sz w:val="22"/>
          <w:szCs w:val="22"/>
        </w:rPr>
        <w:t>flexibility to conduct</w:t>
      </w:r>
      <w:r w:rsidR="00D23599" w:rsidRPr="00E30AA8">
        <w:rPr>
          <w:sz w:val="22"/>
          <w:szCs w:val="22"/>
        </w:rPr>
        <w:t xml:space="preserve"> investigation</w:t>
      </w:r>
      <w:r w:rsidR="00316A15" w:rsidRPr="00E30AA8">
        <w:rPr>
          <w:sz w:val="22"/>
          <w:szCs w:val="22"/>
        </w:rPr>
        <w:t>s</w:t>
      </w:r>
      <w:r w:rsidR="00D23599" w:rsidRPr="00E30AA8">
        <w:rPr>
          <w:sz w:val="22"/>
          <w:szCs w:val="22"/>
        </w:rPr>
        <w:t xml:space="preserve"> of eligibility for the TAA program un</w:t>
      </w:r>
      <w:r w:rsidR="007F3C5C" w:rsidRPr="00E30AA8">
        <w:rPr>
          <w:sz w:val="22"/>
          <w:szCs w:val="22"/>
        </w:rPr>
        <w:t xml:space="preserve">der </w:t>
      </w:r>
      <w:r w:rsidR="00EA7439" w:rsidRPr="00E30AA8">
        <w:rPr>
          <w:sz w:val="22"/>
          <w:szCs w:val="22"/>
        </w:rPr>
        <w:t xml:space="preserve">either the </w:t>
      </w:r>
      <w:r w:rsidR="004D4F4E" w:rsidRPr="00E30AA8">
        <w:rPr>
          <w:sz w:val="22"/>
          <w:szCs w:val="22"/>
        </w:rPr>
        <w:t xml:space="preserve">2011 </w:t>
      </w:r>
      <w:r w:rsidR="00EA7439" w:rsidRPr="00E30AA8">
        <w:rPr>
          <w:sz w:val="22"/>
          <w:szCs w:val="22"/>
        </w:rPr>
        <w:t>Amendments</w:t>
      </w:r>
      <w:r w:rsidR="00316A15" w:rsidRPr="00E30AA8">
        <w:rPr>
          <w:sz w:val="22"/>
          <w:szCs w:val="22"/>
        </w:rPr>
        <w:t>,</w:t>
      </w:r>
      <w:r w:rsidR="00EA7439" w:rsidRPr="00E30AA8">
        <w:rPr>
          <w:sz w:val="22"/>
          <w:szCs w:val="22"/>
        </w:rPr>
        <w:t xml:space="preserve"> or the </w:t>
      </w:r>
      <w:r w:rsidR="00316A15" w:rsidRPr="00E30AA8">
        <w:rPr>
          <w:sz w:val="22"/>
          <w:szCs w:val="22"/>
        </w:rPr>
        <w:t>2014 Reversion.</w:t>
      </w:r>
      <w:r w:rsidR="00D23599" w:rsidRPr="00E30AA8">
        <w:rPr>
          <w:sz w:val="22"/>
          <w:szCs w:val="22"/>
        </w:rPr>
        <w:t xml:space="preserve">  </w:t>
      </w:r>
    </w:p>
    <w:sectPr w:rsidR="002E2E6F" w:rsidRPr="00E30AA8" w:rsidSect="00973BBC">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1B1B" w:rsidRDefault="00531B1B">
      <w:r>
        <w:separator/>
      </w:r>
    </w:p>
  </w:endnote>
  <w:endnote w:type="continuationSeparator" w:id="0">
    <w:p w:rsidR="00531B1B" w:rsidRDefault="00531B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5B7F" w:rsidRDefault="001B74ED" w:rsidP="00431171">
    <w:pPr>
      <w:pStyle w:val="Footer"/>
      <w:framePr w:wrap="around" w:vAnchor="text" w:hAnchor="margin" w:xAlign="right" w:y="1"/>
      <w:rPr>
        <w:rStyle w:val="PageNumber"/>
      </w:rPr>
    </w:pPr>
    <w:r>
      <w:rPr>
        <w:rStyle w:val="PageNumber"/>
      </w:rPr>
      <w:fldChar w:fldCharType="begin"/>
    </w:r>
    <w:r w:rsidR="000E5B7F">
      <w:rPr>
        <w:rStyle w:val="PageNumber"/>
      </w:rPr>
      <w:instrText xml:space="preserve">PAGE  </w:instrText>
    </w:r>
    <w:r>
      <w:rPr>
        <w:rStyle w:val="PageNumber"/>
      </w:rPr>
      <w:fldChar w:fldCharType="end"/>
    </w:r>
  </w:p>
  <w:p w:rsidR="000E5B7F" w:rsidRDefault="000E5B7F" w:rsidP="00682F8F">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5B7F" w:rsidRDefault="001B74ED" w:rsidP="00D23599">
    <w:pPr>
      <w:pStyle w:val="Footer"/>
      <w:framePr w:wrap="around" w:vAnchor="text" w:hAnchor="margin" w:xAlign="right" w:y="1"/>
    </w:pPr>
    <w:r>
      <w:rPr>
        <w:rStyle w:val="PageNumber"/>
      </w:rPr>
      <w:fldChar w:fldCharType="begin"/>
    </w:r>
    <w:r w:rsidR="000E5B7F">
      <w:rPr>
        <w:rStyle w:val="PageNumber"/>
      </w:rPr>
      <w:instrText xml:space="preserve">PAGE  </w:instrText>
    </w:r>
    <w:r>
      <w:rPr>
        <w:rStyle w:val="PageNumber"/>
      </w:rPr>
      <w:fldChar w:fldCharType="separate"/>
    </w:r>
    <w:r w:rsidR="00E30AA8">
      <w:rPr>
        <w:rStyle w:val="PageNumber"/>
        <w:noProof/>
      </w:rPr>
      <w:t>1</w:t>
    </w:r>
    <w:r>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3BBC" w:rsidRDefault="00973BB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1B1B" w:rsidRDefault="00531B1B">
      <w:r>
        <w:separator/>
      </w:r>
    </w:p>
  </w:footnote>
  <w:footnote w:type="continuationSeparator" w:id="0">
    <w:p w:rsidR="00531B1B" w:rsidRDefault="00531B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3BBC" w:rsidRDefault="00973BB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3BBC" w:rsidRDefault="00973BB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3BBC" w:rsidRDefault="00973BB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A7713B"/>
    <w:multiLevelType w:val="hybridMultilevel"/>
    <w:tmpl w:val="98D0D15E"/>
    <w:lvl w:ilvl="0" w:tplc="04090001">
      <w:start w:val="1"/>
      <w:numFmt w:val="bullet"/>
      <w:lvlText w:val=""/>
      <w:lvlJc w:val="left"/>
      <w:pPr>
        <w:ind w:left="720" w:hanging="360"/>
      </w:pPr>
      <w:rPr>
        <w:rFonts w:ascii="Symbol" w:hAnsi="Symbol" w:hint="default"/>
      </w:rPr>
    </w:lvl>
    <w:lvl w:ilvl="1" w:tplc="CC8A626E">
      <w:start w:val="1"/>
      <w:numFmt w:val="decimal"/>
      <w:lvlText w:val="%2."/>
      <w:lvlJc w:val="left"/>
      <w:pPr>
        <w:ind w:left="1152" w:hanging="360"/>
      </w:pPr>
      <w:rPr>
        <w:rFonts w:hint="default"/>
      </w:rPr>
    </w:lvl>
    <w:lvl w:ilvl="2" w:tplc="0409000F">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5E21FBA"/>
    <w:multiLevelType w:val="hybridMultilevel"/>
    <w:tmpl w:val="6218AC24"/>
    <w:lvl w:ilvl="0" w:tplc="0409000F">
      <w:start w:val="1"/>
      <w:numFmt w:val="decimal"/>
      <w:lvlText w:val="%1."/>
      <w:lvlJc w:val="left"/>
      <w:pPr>
        <w:tabs>
          <w:tab w:val="num" w:pos="720"/>
        </w:tabs>
        <w:ind w:left="720"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4F2A563C"/>
    <w:multiLevelType w:val="hybridMultilevel"/>
    <w:tmpl w:val="E5F8E3A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6C096AB7"/>
    <w:multiLevelType w:val="hybridMultilevel"/>
    <w:tmpl w:val="EE6C4D48"/>
    <w:lvl w:ilvl="0" w:tplc="04090001">
      <w:start w:val="1"/>
      <w:numFmt w:val="bullet"/>
      <w:lvlText w:val=""/>
      <w:lvlJc w:val="left"/>
      <w:pPr>
        <w:ind w:left="720" w:hanging="360"/>
      </w:pPr>
      <w:rPr>
        <w:rFonts w:ascii="Symbol" w:hAnsi="Symbol" w:hint="default"/>
      </w:rPr>
    </w:lvl>
    <w:lvl w:ilvl="1" w:tplc="AEF0D116">
      <w:start w:val="1"/>
      <w:numFmt w:val="bullet"/>
      <w:lvlText w:val="o"/>
      <w:lvlJc w:val="left"/>
      <w:pPr>
        <w:ind w:left="1152" w:hanging="360"/>
      </w:pPr>
      <w:rPr>
        <w:rFonts w:ascii="Courier New" w:hAnsi="Courier New" w:hint="default"/>
      </w:rPr>
    </w:lvl>
    <w:lvl w:ilvl="2" w:tplc="0409000F">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FD725C2"/>
    <w:multiLevelType w:val="hybridMultilevel"/>
    <w:tmpl w:val="63C28554"/>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num>
  <w:num w:numId="6">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6435"/>
    <w:rsid w:val="00020314"/>
    <w:rsid w:val="0003081F"/>
    <w:rsid w:val="00034513"/>
    <w:rsid w:val="000420BC"/>
    <w:rsid w:val="00042A4C"/>
    <w:rsid w:val="00075D60"/>
    <w:rsid w:val="0009781B"/>
    <w:rsid w:val="000B76D7"/>
    <w:rsid w:val="000D6A1E"/>
    <w:rsid w:val="000E5740"/>
    <w:rsid w:val="000E5B7F"/>
    <w:rsid w:val="000F6799"/>
    <w:rsid w:val="001074D6"/>
    <w:rsid w:val="001221D4"/>
    <w:rsid w:val="0013752F"/>
    <w:rsid w:val="001715B3"/>
    <w:rsid w:val="00187231"/>
    <w:rsid w:val="00191641"/>
    <w:rsid w:val="001B2B3B"/>
    <w:rsid w:val="001B74ED"/>
    <w:rsid w:val="001C3B5A"/>
    <w:rsid w:val="001D701F"/>
    <w:rsid w:val="001E3B00"/>
    <w:rsid w:val="001E5CA4"/>
    <w:rsid w:val="001F0045"/>
    <w:rsid w:val="001F2565"/>
    <w:rsid w:val="00203FE0"/>
    <w:rsid w:val="002240C5"/>
    <w:rsid w:val="00233D35"/>
    <w:rsid w:val="002474BD"/>
    <w:rsid w:val="002554EC"/>
    <w:rsid w:val="002726CA"/>
    <w:rsid w:val="00272D85"/>
    <w:rsid w:val="002B529C"/>
    <w:rsid w:val="002D0A02"/>
    <w:rsid w:val="002E2E6F"/>
    <w:rsid w:val="002F226A"/>
    <w:rsid w:val="00307324"/>
    <w:rsid w:val="00316A15"/>
    <w:rsid w:val="00343A41"/>
    <w:rsid w:val="00365011"/>
    <w:rsid w:val="00390C4E"/>
    <w:rsid w:val="003A16C2"/>
    <w:rsid w:val="003A3855"/>
    <w:rsid w:val="003F7DA2"/>
    <w:rsid w:val="00401654"/>
    <w:rsid w:val="0040270E"/>
    <w:rsid w:val="00415B44"/>
    <w:rsid w:val="00431171"/>
    <w:rsid w:val="00431DAE"/>
    <w:rsid w:val="00466A4A"/>
    <w:rsid w:val="004958A2"/>
    <w:rsid w:val="00497049"/>
    <w:rsid w:val="004971DB"/>
    <w:rsid w:val="004B0B78"/>
    <w:rsid w:val="004B1C2D"/>
    <w:rsid w:val="004C122C"/>
    <w:rsid w:val="004C20E9"/>
    <w:rsid w:val="004D1F1D"/>
    <w:rsid w:val="004D4F4E"/>
    <w:rsid w:val="004F1D4D"/>
    <w:rsid w:val="005126A5"/>
    <w:rsid w:val="00531B1B"/>
    <w:rsid w:val="00531C7F"/>
    <w:rsid w:val="0055073E"/>
    <w:rsid w:val="00551966"/>
    <w:rsid w:val="00552057"/>
    <w:rsid w:val="00554E1B"/>
    <w:rsid w:val="00555FB7"/>
    <w:rsid w:val="005566D8"/>
    <w:rsid w:val="005606B7"/>
    <w:rsid w:val="00563373"/>
    <w:rsid w:val="00576C48"/>
    <w:rsid w:val="00597C9F"/>
    <w:rsid w:val="005A7B54"/>
    <w:rsid w:val="005E2F29"/>
    <w:rsid w:val="005F5AFF"/>
    <w:rsid w:val="00626435"/>
    <w:rsid w:val="0063203A"/>
    <w:rsid w:val="00635763"/>
    <w:rsid w:val="00637257"/>
    <w:rsid w:val="0064030A"/>
    <w:rsid w:val="00666B5E"/>
    <w:rsid w:val="00667FB6"/>
    <w:rsid w:val="00673FFD"/>
    <w:rsid w:val="00676B41"/>
    <w:rsid w:val="00677CAA"/>
    <w:rsid w:val="00682F8F"/>
    <w:rsid w:val="006D65DF"/>
    <w:rsid w:val="006E7033"/>
    <w:rsid w:val="006F5DCB"/>
    <w:rsid w:val="007230A8"/>
    <w:rsid w:val="007278E8"/>
    <w:rsid w:val="00746164"/>
    <w:rsid w:val="00750FA5"/>
    <w:rsid w:val="007551C6"/>
    <w:rsid w:val="00757B19"/>
    <w:rsid w:val="007C7ADF"/>
    <w:rsid w:val="007D0233"/>
    <w:rsid w:val="007F1D10"/>
    <w:rsid w:val="007F329C"/>
    <w:rsid w:val="007F3C5C"/>
    <w:rsid w:val="008168CB"/>
    <w:rsid w:val="00822F09"/>
    <w:rsid w:val="008238F7"/>
    <w:rsid w:val="0083484C"/>
    <w:rsid w:val="00840572"/>
    <w:rsid w:val="008413A8"/>
    <w:rsid w:val="0085039D"/>
    <w:rsid w:val="008679C3"/>
    <w:rsid w:val="008736D8"/>
    <w:rsid w:val="008A34CB"/>
    <w:rsid w:val="00927F24"/>
    <w:rsid w:val="00973BBC"/>
    <w:rsid w:val="0097528C"/>
    <w:rsid w:val="009B1F21"/>
    <w:rsid w:val="009C5087"/>
    <w:rsid w:val="009E47C9"/>
    <w:rsid w:val="00A052CC"/>
    <w:rsid w:val="00A3184A"/>
    <w:rsid w:val="00A62168"/>
    <w:rsid w:val="00A669D8"/>
    <w:rsid w:val="00A73483"/>
    <w:rsid w:val="00A9080F"/>
    <w:rsid w:val="00A908C0"/>
    <w:rsid w:val="00A94DD7"/>
    <w:rsid w:val="00AA7FC1"/>
    <w:rsid w:val="00AD29BF"/>
    <w:rsid w:val="00AD2B3B"/>
    <w:rsid w:val="00AD3B2D"/>
    <w:rsid w:val="00AE00CE"/>
    <w:rsid w:val="00AF305D"/>
    <w:rsid w:val="00AF45B8"/>
    <w:rsid w:val="00B3316F"/>
    <w:rsid w:val="00B61688"/>
    <w:rsid w:val="00B70C6D"/>
    <w:rsid w:val="00B969E3"/>
    <w:rsid w:val="00BB1091"/>
    <w:rsid w:val="00BB6811"/>
    <w:rsid w:val="00BD6F82"/>
    <w:rsid w:val="00BE354D"/>
    <w:rsid w:val="00C12657"/>
    <w:rsid w:val="00C172C1"/>
    <w:rsid w:val="00C55E50"/>
    <w:rsid w:val="00C64A31"/>
    <w:rsid w:val="00C827C5"/>
    <w:rsid w:val="00C87B55"/>
    <w:rsid w:val="00CA04E7"/>
    <w:rsid w:val="00CA050B"/>
    <w:rsid w:val="00CB3B9B"/>
    <w:rsid w:val="00CD39C4"/>
    <w:rsid w:val="00CD6E1F"/>
    <w:rsid w:val="00CE5019"/>
    <w:rsid w:val="00D1635F"/>
    <w:rsid w:val="00D23599"/>
    <w:rsid w:val="00D24BAC"/>
    <w:rsid w:val="00D33B7E"/>
    <w:rsid w:val="00D44C56"/>
    <w:rsid w:val="00D61357"/>
    <w:rsid w:val="00D62A8A"/>
    <w:rsid w:val="00D70E39"/>
    <w:rsid w:val="00D72758"/>
    <w:rsid w:val="00D8256E"/>
    <w:rsid w:val="00D82A47"/>
    <w:rsid w:val="00D90D87"/>
    <w:rsid w:val="00DB354B"/>
    <w:rsid w:val="00DB625F"/>
    <w:rsid w:val="00DB7682"/>
    <w:rsid w:val="00DC7B03"/>
    <w:rsid w:val="00DD2E36"/>
    <w:rsid w:val="00DE2A0A"/>
    <w:rsid w:val="00E02A3D"/>
    <w:rsid w:val="00E02F0A"/>
    <w:rsid w:val="00E11A4B"/>
    <w:rsid w:val="00E232A2"/>
    <w:rsid w:val="00E25880"/>
    <w:rsid w:val="00E27DCC"/>
    <w:rsid w:val="00E30AA8"/>
    <w:rsid w:val="00E30BBE"/>
    <w:rsid w:val="00E46F1D"/>
    <w:rsid w:val="00E51113"/>
    <w:rsid w:val="00E60906"/>
    <w:rsid w:val="00E66392"/>
    <w:rsid w:val="00EA7439"/>
    <w:rsid w:val="00EC2A43"/>
    <w:rsid w:val="00ED02F9"/>
    <w:rsid w:val="00ED2689"/>
    <w:rsid w:val="00EE27CB"/>
    <w:rsid w:val="00EF2EAD"/>
    <w:rsid w:val="00EF4529"/>
    <w:rsid w:val="00F03A17"/>
    <w:rsid w:val="00F60DB8"/>
    <w:rsid w:val="00F757EA"/>
    <w:rsid w:val="00F87974"/>
    <w:rsid w:val="00FA59DF"/>
    <w:rsid w:val="00FB07C2"/>
    <w:rsid w:val="00FB7017"/>
    <w:rsid w:val="00FF04BA"/>
    <w:rsid w:val="00FF5D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2643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7528C"/>
    <w:rPr>
      <w:rFonts w:ascii="Tahoma" w:hAnsi="Tahoma" w:cs="Tahoma"/>
      <w:sz w:val="16"/>
      <w:szCs w:val="16"/>
    </w:rPr>
  </w:style>
  <w:style w:type="paragraph" w:styleId="Footer">
    <w:name w:val="footer"/>
    <w:basedOn w:val="Normal"/>
    <w:rsid w:val="00682F8F"/>
    <w:pPr>
      <w:tabs>
        <w:tab w:val="center" w:pos="4320"/>
        <w:tab w:val="right" w:pos="8640"/>
      </w:tabs>
    </w:pPr>
  </w:style>
  <w:style w:type="character" w:styleId="PageNumber">
    <w:name w:val="page number"/>
    <w:basedOn w:val="DefaultParagraphFont"/>
    <w:rsid w:val="00682F8F"/>
  </w:style>
  <w:style w:type="character" w:styleId="CommentReference">
    <w:name w:val="annotation reference"/>
    <w:basedOn w:val="DefaultParagraphFont"/>
    <w:semiHidden/>
    <w:rsid w:val="004D1F1D"/>
    <w:rPr>
      <w:sz w:val="16"/>
      <w:szCs w:val="16"/>
    </w:rPr>
  </w:style>
  <w:style w:type="paragraph" w:styleId="CommentText">
    <w:name w:val="annotation text"/>
    <w:basedOn w:val="Normal"/>
    <w:semiHidden/>
    <w:rsid w:val="004D1F1D"/>
    <w:rPr>
      <w:sz w:val="20"/>
      <w:szCs w:val="20"/>
    </w:rPr>
  </w:style>
  <w:style w:type="paragraph" w:styleId="CommentSubject">
    <w:name w:val="annotation subject"/>
    <w:basedOn w:val="CommentText"/>
    <w:next w:val="CommentText"/>
    <w:semiHidden/>
    <w:rsid w:val="004D1F1D"/>
    <w:rPr>
      <w:b/>
      <w:bCs/>
    </w:rPr>
  </w:style>
  <w:style w:type="paragraph" w:styleId="Header">
    <w:name w:val="header"/>
    <w:basedOn w:val="Normal"/>
    <w:rsid w:val="00D23599"/>
    <w:pPr>
      <w:tabs>
        <w:tab w:val="center" w:pos="4320"/>
        <w:tab w:val="right" w:pos="8640"/>
      </w:tabs>
    </w:pPr>
  </w:style>
  <w:style w:type="paragraph" w:styleId="DocumentMap">
    <w:name w:val="Document Map"/>
    <w:basedOn w:val="Normal"/>
    <w:semiHidden/>
    <w:rsid w:val="00ED02F9"/>
    <w:pPr>
      <w:shd w:val="clear" w:color="auto" w:fill="000080"/>
    </w:pPr>
    <w:rPr>
      <w:rFonts w:ascii="Tahoma" w:hAnsi="Tahoma" w:cs="Tahoma"/>
      <w:sz w:val="20"/>
      <w:szCs w:val="20"/>
    </w:rPr>
  </w:style>
  <w:style w:type="paragraph" w:styleId="Revision">
    <w:name w:val="Revision"/>
    <w:hidden/>
    <w:uiPriority w:val="99"/>
    <w:semiHidden/>
    <w:rsid w:val="001C3B5A"/>
    <w:rPr>
      <w:sz w:val="24"/>
      <w:szCs w:val="24"/>
    </w:rPr>
  </w:style>
  <w:style w:type="paragraph" w:styleId="ListParagraph">
    <w:name w:val="List Paragraph"/>
    <w:basedOn w:val="Normal"/>
    <w:uiPriority w:val="34"/>
    <w:qFormat/>
    <w:rsid w:val="00CD6E1F"/>
    <w:pPr>
      <w:ind w:left="720"/>
      <w:contextualSpacing/>
    </w:pPr>
  </w:style>
  <w:style w:type="character" w:customStyle="1" w:styleId="apple-converted-space">
    <w:name w:val="apple-converted-space"/>
    <w:basedOn w:val="DefaultParagraphFont"/>
    <w:rsid w:val="001715B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2643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7528C"/>
    <w:rPr>
      <w:rFonts w:ascii="Tahoma" w:hAnsi="Tahoma" w:cs="Tahoma"/>
      <w:sz w:val="16"/>
      <w:szCs w:val="16"/>
    </w:rPr>
  </w:style>
  <w:style w:type="paragraph" w:styleId="Footer">
    <w:name w:val="footer"/>
    <w:basedOn w:val="Normal"/>
    <w:rsid w:val="00682F8F"/>
    <w:pPr>
      <w:tabs>
        <w:tab w:val="center" w:pos="4320"/>
        <w:tab w:val="right" w:pos="8640"/>
      </w:tabs>
    </w:pPr>
  </w:style>
  <w:style w:type="character" w:styleId="PageNumber">
    <w:name w:val="page number"/>
    <w:basedOn w:val="DefaultParagraphFont"/>
    <w:rsid w:val="00682F8F"/>
  </w:style>
  <w:style w:type="character" w:styleId="CommentReference">
    <w:name w:val="annotation reference"/>
    <w:basedOn w:val="DefaultParagraphFont"/>
    <w:semiHidden/>
    <w:rsid w:val="004D1F1D"/>
    <w:rPr>
      <w:sz w:val="16"/>
      <w:szCs w:val="16"/>
    </w:rPr>
  </w:style>
  <w:style w:type="paragraph" w:styleId="CommentText">
    <w:name w:val="annotation text"/>
    <w:basedOn w:val="Normal"/>
    <w:semiHidden/>
    <w:rsid w:val="004D1F1D"/>
    <w:rPr>
      <w:sz w:val="20"/>
      <w:szCs w:val="20"/>
    </w:rPr>
  </w:style>
  <w:style w:type="paragraph" w:styleId="CommentSubject">
    <w:name w:val="annotation subject"/>
    <w:basedOn w:val="CommentText"/>
    <w:next w:val="CommentText"/>
    <w:semiHidden/>
    <w:rsid w:val="004D1F1D"/>
    <w:rPr>
      <w:b/>
      <w:bCs/>
    </w:rPr>
  </w:style>
  <w:style w:type="paragraph" w:styleId="Header">
    <w:name w:val="header"/>
    <w:basedOn w:val="Normal"/>
    <w:rsid w:val="00D23599"/>
    <w:pPr>
      <w:tabs>
        <w:tab w:val="center" w:pos="4320"/>
        <w:tab w:val="right" w:pos="8640"/>
      </w:tabs>
    </w:pPr>
  </w:style>
  <w:style w:type="paragraph" w:styleId="DocumentMap">
    <w:name w:val="Document Map"/>
    <w:basedOn w:val="Normal"/>
    <w:semiHidden/>
    <w:rsid w:val="00ED02F9"/>
    <w:pPr>
      <w:shd w:val="clear" w:color="auto" w:fill="000080"/>
    </w:pPr>
    <w:rPr>
      <w:rFonts w:ascii="Tahoma" w:hAnsi="Tahoma" w:cs="Tahoma"/>
      <w:sz w:val="20"/>
      <w:szCs w:val="20"/>
    </w:rPr>
  </w:style>
  <w:style w:type="paragraph" w:styleId="Revision">
    <w:name w:val="Revision"/>
    <w:hidden/>
    <w:uiPriority w:val="99"/>
    <w:semiHidden/>
    <w:rsid w:val="001C3B5A"/>
    <w:rPr>
      <w:sz w:val="24"/>
      <w:szCs w:val="24"/>
    </w:rPr>
  </w:style>
  <w:style w:type="paragraph" w:styleId="ListParagraph">
    <w:name w:val="List Paragraph"/>
    <w:basedOn w:val="Normal"/>
    <w:uiPriority w:val="34"/>
    <w:qFormat/>
    <w:rsid w:val="00CD6E1F"/>
    <w:pPr>
      <w:ind w:left="720"/>
      <w:contextualSpacing/>
    </w:pPr>
  </w:style>
  <w:style w:type="character" w:customStyle="1" w:styleId="apple-converted-space">
    <w:name w:val="apple-converted-space"/>
    <w:basedOn w:val="DefaultParagraphFont"/>
    <w:rsid w:val="001715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3070587">
      <w:bodyDiv w:val="1"/>
      <w:marLeft w:val="0"/>
      <w:marRight w:val="0"/>
      <w:marTop w:val="0"/>
      <w:marBottom w:val="0"/>
      <w:divBdr>
        <w:top w:val="none" w:sz="0" w:space="0" w:color="auto"/>
        <w:left w:val="none" w:sz="0" w:space="0" w:color="auto"/>
        <w:bottom w:val="none" w:sz="0" w:space="0" w:color="auto"/>
        <w:right w:val="none" w:sz="0" w:space="0" w:color="auto"/>
      </w:divBdr>
    </w:div>
    <w:div w:id="1640840779">
      <w:bodyDiv w:val="1"/>
      <w:marLeft w:val="0"/>
      <w:marRight w:val="0"/>
      <w:marTop w:val="0"/>
      <w:marBottom w:val="0"/>
      <w:divBdr>
        <w:top w:val="none" w:sz="0" w:space="0" w:color="auto"/>
        <w:left w:val="none" w:sz="0" w:space="0" w:color="auto"/>
        <w:bottom w:val="none" w:sz="0" w:space="0" w:color="auto"/>
        <w:right w:val="none" w:sz="0" w:space="0" w:color="auto"/>
      </w:divBdr>
    </w:div>
    <w:div w:id="1865048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2368BF-ECCF-4017-9AE4-798DA00C36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576</Words>
  <Characters>3306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Justification for Non-Substantive Change Request, OMB 1205-0342</vt:lpstr>
    </vt:vector>
  </TitlesOfParts>
  <Company>Employment &amp; Training Administration</Company>
  <LinksUpToDate>false</LinksUpToDate>
  <CharactersWithSpaces>3875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Justification for Non-Substantive Change Request, OMB 1205-0342</dc:title>
  <dc:subject/>
  <dc:creator>ohrnstein.jessica</dc:creator>
  <cp:keywords/>
  <dc:description/>
  <cp:lastModifiedBy>Naradzay.Bonnie</cp:lastModifiedBy>
  <cp:revision>4</cp:revision>
  <cp:lastPrinted>2010-12-01T17:34:00Z</cp:lastPrinted>
  <dcterms:created xsi:type="dcterms:W3CDTF">2013-12-16T15:20:00Z</dcterms:created>
  <dcterms:modified xsi:type="dcterms:W3CDTF">2013-12-18T23:29:00Z</dcterms:modified>
</cp:coreProperties>
</file>