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5C" w:rsidRDefault="00734D5C" w:rsidP="00734D5C">
      <w:bookmarkStart w:id="0" w:name="_GoBack"/>
      <w:bookmarkEnd w:id="0"/>
    </w:p>
    <w:p w:rsidR="004855F7" w:rsidRDefault="004855F7" w:rsidP="00734D5C"/>
    <w:p w:rsidR="004855F7" w:rsidRDefault="004855F7" w:rsidP="00734D5C"/>
    <w:p w:rsidR="004855F7" w:rsidRPr="00E177E5" w:rsidRDefault="004855F7" w:rsidP="00734D5C"/>
    <w:p w:rsidR="00734D5C" w:rsidRPr="00DE2508" w:rsidRDefault="00734D5C" w:rsidP="00734D5C">
      <w:pPr>
        <w:jc w:val="center"/>
      </w:pPr>
      <w:r w:rsidRPr="00DE2508">
        <w:t>HHS/</w:t>
      </w:r>
      <w:r>
        <w:t>OS/ASPE</w:t>
      </w:r>
    </w:p>
    <w:p w:rsidR="00734D5C" w:rsidRPr="00DE2508" w:rsidRDefault="00734D5C" w:rsidP="00734D5C">
      <w:pPr>
        <w:jc w:val="center"/>
      </w:pPr>
      <w:r w:rsidRPr="00DE2508">
        <w:t>SUPPORTING STATEMENT FOR</w:t>
      </w:r>
    </w:p>
    <w:p w:rsidR="00734D5C" w:rsidRPr="00DE2508" w:rsidRDefault="00734D5C" w:rsidP="00734D5C">
      <w:pPr>
        <w:jc w:val="center"/>
      </w:pPr>
      <w:r w:rsidRPr="00DE2508">
        <w:t>OMB INFORMATION COLLECTION REQUEST</w:t>
      </w:r>
    </w:p>
    <w:p w:rsidR="00734D5C" w:rsidRDefault="00734D5C" w:rsidP="00734D5C"/>
    <w:p w:rsidR="00734D5C" w:rsidRDefault="00734D5C" w:rsidP="00734D5C">
      <w:pPr>
        <w:jc w:val="center"/>
        <w:rPr>
          <w:sz w:val="28"/>
          <w:szCs w:val="28"/>
        </w:rPr>
      </w:pPr>
      <w:r>
        <w:rPr>
          <w:sz w:val="28"/>
          <w:szCs w:val="28"/>
        </w:rPr>
        <w:t>Part B</w:t>
      </w:r>
    </w:p>
    <w:p w:rsidR="00734D5C" w:rsidRDefault="00734D5C" w:rsidP="00734D5C">
      <w:pPr>
        <w:jc w:val="center"/>
      </w:pPr>
    </w:p>
    <w:p w:rsidR="00734D5C" w:rsidRDefault="00734D5C" w:rsidP="00734D5C">
      <w:pPr>
        <w:jc w:val="center"/>
      </w:pPr>
      <w:r>
        <w:t>Date: November 15, 2013</w:t>
      </w:r>
    </w:p>
    <w:p w:rsidR="00734D5C" w:rsidRPr="00DE2508" w:rsidRDefault="00734D5C" w:rsidP="00734D5C">
      <w:pPr>
        <w:jc w:val="center"/>
      </w:pPr>
    </w:p>
    <w:p w:rsidR="00734D5C" w:rsidRPr="00DE2508" w:rsidRDefault="00734D5C" w:rsidP="00734D5C">
      <w:pPr>
        <w:pStyle w:val="Title"/>
        <w:rPr>
          <w:sz w:val="28"/>
          <w:szCs w:val="28"/>
        </w:rPr>
      </w:pPr>
      <w:r>
        <w:rPr>
          <w:sz w:val="28"/>
          <w:szCs w:val="28"/>
        </w:rPr>
        <w:t>Survey on Long-Term Care Awareness and Planning</w:t>
      </w:r>
    </w:p>
    <w:p w:rsidR="00734D5C" w:rsidRDefault="00734D5C" w:rsidP="00734D5C"/>
    <w:p w:rsidR="00734D5C" w:rsidRDefault="00734D5C" w:rsidP="00734D5C"/>
    <w:p w:rsidR="00734D5C" w:rsidRPr="00436890" w:rsidRDefault="00734D5C" w:rsidP="00734D5C">
      <w:pPr>
        <w:jc w:val="center"/>
      </w:pPr>
      <w:r w:rsidRPr="00436890">
        <w:t>Supported by:</w:t>
      </w:r>
    </w:p>
    <w:p w:rsidR="00734D5C" w:rsidRPr="00436890" w:rsidRDefault="00734D5C" w:rsidP="00734D5C">
      <w:pPr>
        <w:jc w:val="center"/>
      </w:pPr>
    </w:p>
    <w:p w:rsidR="00734D5C" w:rsidRPr="00436890" w:rsidRDefault="00734D5C" w:rsidP="00734D5C">
      <w:pPr>
        <w:jc w:val="center"/>
      </w:pPr>
      <w:r w:rsidRPr="00436890">
        <w:t>Department of Health and Human Services</w:t>
      </w:r>
    </w:p>
    <w:p w:rsidR="00734D5C" w:rsidRPr="00436890" w:rsidRDefault="00734D5C" w:rsidP="00734D5C">
      <w:pPr>
        <w:jc w:val="center"/>
      </w:pPr>
      <w:r>
        <w:t>Office of the Secretary</w:t>
      </w:r>
    </w:p>
    <w:p w:rsidR="00734D5C" w:rsidRPr="00436890" w:rsidRDefault="00734D5C" w:rsidP="00734D5C">
      <w:pPr>
        <w:jc w:val="center"/>
      </w:pPr>
      <w:r>
        <w:t>Office of the Assistant Secretary for Planning and Evaluation</w:t>
      </w:r>
    </w:p>
    <w:p w:rsidR="00734D5C" w:rsidRPr="00436890" w:rsidRDefault="00734D5C" w:rsidP="00734D5C">
      <w:pPr>
        <w:jc w:val="center"/>
      </w:pPr>
      <w:r>
        <w:t>Office of Disability, Aging and Long-Term Care Policy</w:t>
      </w:r>
    </w:p>
    <w:p w:rsidR="00734D5C" w:rsidRPr="00B9651C" w:rsidRDefault="00734D5C" w:rsidP="00734D5C"/>
    <w:p w:rsidR="00734D5C" w:rsidRPr="00247866" w:rsidRDefault="00734D5C" w:rsidP="00734D5C"/>
    <w:p w:rsidR="00734D5C" w:rsidRDefault="00734D5C" w:rsidP="00734D5C"/>
    <w:p w:rsidR="00734D5C" w:rsidRDefault="00734D5C" w:rsidP="00734D5C"/>
    <w:p w:rsidR="00734D5C" w:rsidRDefault="00734D5C" w:rsidP="00734D5C"/>
    <w:p w:rsidR="00734D5C" w:rsidRDefault="00734D5C" w:rsidP="00734D5C"/>
    <w:p w:rsidR="00734D5C" w:rsidRDefault="00734D5C" w:rsidP="00734D5C"/>
    <w:p w:rsidR="00734D5C" w:rsidRDefault="00734D5C" w:rsidP="00734D5C">
      <w:r>
        <w:t>Sam Shipley</w:t>
      </w:r>
    </w:p>
    <w:p w:rsidR="00734D5C" w:rsidRDefault="00734D5C" w:rsidP="00734D5C">
      <w:r>
        <w:t>Social Science Analyst</w:t>
      </w:r>
    </w:p>
    <w:p w:rsidR="00734D5C" w:rsidRDefault="00734D5C" w:rsidP="00734D5C">
      <w:r>
        <w:t>HHS/OS/ASPE/DALTCP</w:t>
      </w:r>
    </w:p>
    <w:p w:rsidR="00734D5C" w:rsidRDefault="00734D5C" w:rsidP="00734D5C">
      <w:r>
        <w:t>200 Independence Avenue, SW</w:t>
      </w:r>
    </w:p>
    <w:p w:rsidR="00734D5C" w:rsidRDefault="00734D5C" w:rsidP="00734D5C">
      <w:r>
        <w:t>Room 424E.21</w:t>
      </w:r>
    </w:p>
    <w:p w:rsidR="00734D5C" w:rsidRDefault="00734D5C" w:rsidP="00734D5C">
      <w:r>
        <w:t>Washington, DC 20201</w:t>
      </w:r>
    </w:p>
    <w:p w:rsidR="00734D5C" w:rsidRDefault="00734D5C" w:rsidP="00734D5C">
      <w:r>
        <w:t>Phone:  202-690-6443</w:t>
      </w:r>
    </w:p>
    <w:p w:rsidR="00734D5C" w:rsidRDefault="00734D5C" w:rsidP="00734D5C">
      <w:r>
        <w:t>Fax: 202-401-7733</w:t>
      </w:r>
    </w:p>
    <w:p w:rsidR="00734D5C" w:rsidRDefault="00734D5C" w:rsidP="00734D5C">
      <w:r>
        <w:t>Email:</w:t>
      </w:r>
      <w:r w:rsidRPr="004D6B74">
        <w:t xml:space="preserve"> </w:t>
      </w:r>
      <w:r>
        <w:t xml:space="preserve"> </w:t>
      </w:r>
      <w:hyperlink r:id="rId9" w:history="1">
        <w:r w:rsidRPr="00806537">
          <w:rPr>
            <w:rStyle w:val="Hyperlink"/>
          </w:rPr>
          <w:t>samuel.shipley@hhs.gov</w:t>
        </w:r>
      </w:hyperlink>
    </w:p>
    <w:p w:rsidR="00734D5C" w:rsidRDefault="00734D5C" w:rsidP="00734D5C"/>
    <w:p w:rsidR="00734D5C" w:rsidRDefault="00734D5C" w:rsidP="00734D5C"/>
    <w:p w:rsidR="00734D5C" w:rsidRDefault="00734D5C" w:rsidP="00734D5C"/>
    <w:p w:rsidR="00734D5C" w:rsidRDefault="00734D5C" w:rsidP="00734D5C">
      <w:pPr>
        <w:rPr>
          <w:rStyle w:val="Strong"/>
          <w:b w:val="0"/>
        </w:rPr>
      </w:pPr>
    </w:p>
    <w:p w:rsidR="00734D5C" w:rsidRDefault="00734D5C" w:rsidP="00734D5C">
      <w:pPr>
        <w:rPr>
          <w:rStyle w:val="Strong"/>
          <w:b w:val="0"/>
        </w:rPr>
      </w:pPr>
      <w:r w:rsidRPr="00676521">
        <w:rPr>
          <w:rStyle w:val="Strong"/>
          <w:b w:val="0"/>
        </w:rPr>
        <w:t xml:space="preserve">Submitted: </w:t>
      </w:r>
      <w:r w:rsidRPr="00E21254">
        <w:rPr>
          <w:rStyle w:val="Strong"/>
          <w:b w:val="0"/>
          <w:i/>
          <w:color w:val="FF0000"/>
        </w:rPr>
        <w:t>TBD</w:t>
      </w:r>
    </w:p>
    <w:p w:rsidR="00483958" w:rsidRPr="00326DE3" w:rsidRDefault="00483958" w:rsidP="00483958">
      <w:pPr>
        <w:rPr>
          <w:b/>
          <w:bCs/>
          <w:caps/>
          <w:color w:val="000000"/>
          <w:sz w:val="22"/>
          <w:szCs w:val="22"/>
        </w:rPr>
        <w:sectPr w:rsidR="00483958" w:rsidRPr="00326DE3" w:rsidSect="00D32737">
          <w:footerReference w:type="even" r:id="rId10"/>
          <w:pgSz w:w="12240" w:h="15840"/>
          <w:pgMar w:top="1440" w:right="1440" w:bottom="1440" w:left="1440" w:header="720" w:footer="720" w:gutter="0"/>
          <w:cols w:space="720"/>
          <w:docGrid w:linePitch="360"/>
        </w:sectPr>
      </w:pPr>
    </w:p>
    <w:p w:rsidR="00483958" w:rsidRDefault="001771B6" w:rsidP="00483958">
      <w:pPr>
        <w:pStyle w:val="TOC0"/>
        <w:rPr>
          <w:bCs/>
        </w:rPr>
      </w:pPr>
      <w:r w:rsidRPr="0037320E">
        <w:rPr>
          <w:lang w:val="en-CA"/>
        </w:rPr>
        <w:lastRenderedPageBreak/>
        <w:fldChar w:fldCharType="begin"/>
      </w:r>
      <w:r w:rsidR="00483958" w:rsidRPr="0037320E">
        <w:rPr>
          <w:lang w:val="en-CA"/>
        </w:rPr>
        <w:instrText xml:space="preserve"> SEQ CHAPTER \h \r 1</w:instrText>
      </w:r>
      <w:r w:rsidRPr="0037320E">
        <w:rPr>
          <w:lang w:val="en-CA"/>
        </w:rPr>
        <w:fldChar w:fldCharType="end"/>
      </w:r>
      <w:r w:rsidR="00483958" w:rsidRPr="0037320E">
        <w:rPr>
          <w:bCs/>
        </w:rPr>
        <w:t>TABLE OF CONTENTS</w:t>
      </w:r>
    </w:p>
    <w:p w:rsidR="00734D5C" w:rsidRPr="0037320E" w:rsidRDefault="00734D5C" w:rsidP="00483958">
      <w:pPr>
        <w:pStyle w:val="TOC0"/>
      </w:pPr>
    </w:p>
    <w:p w:rsidR="009D2C71" w:rsidRPr="009D2C71" w:rsidRDefault="001771B6" w:rsidP="009D2C71">
      <w:pPr>
        <w:pStyle w:val="TOC1"/>
      </w:pPr>
      <w:r>
        <w:rPr>
          <w:bCs/>
          <w:caps/>
          <w:color w:val="000000"/>
        </w:rPr>
        <w:fldChar w:fldCharType="begin"/>
      </w:r>
      <w:r w:rsidR="000B493A">
        <w:rPr>
          <w:bCs/>
          <w:caps/>
          <w:color w:val="000000"/>
        </w:rPr>
        <w:instrText xml:space="preserve"> TOC \o "2-2" \h \z \t "Heading 1,1,Heading 3,3" </w:instrText>
      </w:r>
      <w:r>
        <w:rPr>
          <w:bCs/>
          <w:caps/>
          <w:color w:val="000000"/>
        </w:rPr>
        <w:fldChar w:fldCharType="separate"/>
      </w:r>
      <w:r w:rsidR="009D2C71" w:rsidRPr="009D2C71">
        <w:t>Section B: Supporting Statement B:</w:t>
      </w:r>
      <w:r w:rsidR="009D2C71">
        <w:t xml:space="preserve">                                                                   </w:t>
      </w:r>
      <w:r w:rsidR="009D2C71">
        <w:tab/>
        <w:t>P</w:t>
      </w:r>
      <w:r w:rsidR="009D2C71" w:rsidRPr="009D2C71">
        <w:t>age</w:t>
      </w:r>
    </w:p>
    <w:p w:rsidR="000B493A" w:rsidRPr="009D2C71" w:rsidRDefault="00F24243" w:rsidP="009D2C71">
      <w:pPr>
        <w:pStyle w:val="TOC1"/>
        <w:rPr>
          <w:rFonts w:asciiTheme="minorHAnsi" w:eastAsiaTheme="minorEastAsia" w:hAnsiTheme="minorHAnsi" w:cstheme="minorBidi"/>
          <w:sz w:val="22"/>
          <w:szCs w:val="22"/>
        </w:rPr>
      </w:pPr>
      <w:hyperlink w:anchor="_Toc365448282" w:history="1">
        <w:r w:rsidR="000B493A" w:rsidRPr="009D2C71">
          <w:rPr>
            <w:rStyle w:val="Hyperlink"/>
            <w:b w:val="0"/>
          </w:rPr>
          <w:t>B.</w:t>
        </w:r>
        <w:r w:rsidR="000B493A" w:rsidRPr="009D2C71">
          <w:rPr>
            <w:rFonts w:asciiTheme="minorHAnsi" w:eastAsiaTheme="minorEastAsia" w:hAnsiTheme="minorHAnsi" w:cstheme="minorBidi"/>
            <w:sz w:val="22"/>
            <w:szCs w:val="22"/>
          </w:rPr>
          <w:tab/>
        </w:r>
        <w:r w:rsidR="000B493A" w:rsidRPr="009D2C71">
          <w:rPr>
            <w:rStyle w:val="Hyperlink"/>
            <w:b w:val="0"/>
          </w:rPr>
          <w:t>Collection of Information Employing Statistical Methods</w:t>
        </w:r>
        <w:r w:rsidR="000B493A" w:rsidRPr="009D2C71">
          <w:rPr>
            <w:webHidden/>
          </w:rPr>
          <w:tab/>
        </w:r>
        <w:r w:rsidR="001771B6" w:rsidRPr="009D2C71">
          <w:rPr>
            <w:webHidden/>
          </w:rPr>
          <w:fldChar w:fldCharType="begin"/>
        </w:r>
        <w:r w:rsidR="000B493A" w:rsidRPr="009D2C71">
          <w:rPr>
            <w:webHidden/>
          </w:rPr>
          <w:instrText xml:space="preserve"> PAGEREF _Toc365448282 \h </w:instrText>
        </w:r>
        <w:r w:rsidR="001771B6" w:rsidRPr="009D2C71">
          <w:rPr>
            <w:webHidden/>
          </w:rPr>
        </w:r>
        <w:r w:rsidR="001771B6" w:rsidRPr="009D2C71">
          <w:rPr>
            <w:webHidden/>
          </w:rPr>
          <w:fldChar w:fldCharType="separate"/>
        </w:r>
        <w:r w:rsidR="00DB1EFC" w:rsidRPr="009D2C71">
          <w:rPr>
            <w:webHidden/>
          </w:rPr>
          <w:t>39</w:t>
        </w:r>
        <w:r w:rsidR="001771B6" w:rsidRPr="009D2C71">
          <w:rPr>
            <w:webHidden/>
          </w:rPr>
          <w:fldChar w:fldCharType="end"/>
        </w:r>
      </w:hyperlink>
    </w:p>
    <w:p w:rsidR="000B493A" w:rsidRDefault="00F24243" w:rsidP="000B493A">
      <w:pPr>
        <w:pStyle w:val="TOC2"/>
        <w:rPr>
          <w:rFonts w:asciiTheme="minorHAnsi" w:eastAsiaTheme="minorEastAsia" w:hAnsiTheme="minorHAnsi" w:cstheme="minorBidi"/>
          <w:sz w:val="22"/>
          <w:szCs w:val="22"/>
        </w:rPr>
      </w:pPr>
      <w:hyperlink w:anchor="_Toc365448283" w:history="1">
        <w:r w:rsidR="000B493A" w:rsidRPr="00872E95">
          <w:rPr>
            <w:rStyle w:val="Hyperlink"/>
          </w:rPr>
          <w:t>B.1</w:t>
        </w:r>
        <w:r w:rsidR="000B493A">
          <w:rPr>
            <w:rFonts w:asciiTheme="minorHAnsi" w:eastAsiaTheme="minorEastAsia" w:hAnsiTheme="minorHAnsi" w:cstheme="minorBidi"/>
            <w:sz w:val="22"/>
            <w:szCs w:val="22"/>
          </w:rPr>
          <w:tab/>
        </w:r>
        <w:r w:rsidR="000B493A" w:rsidRPr="00872E95">
          <w:rPr>
            <w:rStyle w:val="Hyperlink"/>
          </w:rPr>
          <w:t>Respondent Universe</w:t>
        </w:r>
        <w:r w:rsidR="000B493A">
          <w:rPr>
            <w:webHidden/>
          </w:rPr>
          <w:tab/>
        </w:r>
        <w:r w:rsidR="001771B6">
          <w:rPr>
            <w:webHidden/>
          </w:rPr>
          <w:fldChar w:fldCharType="begin"/>
        </w:r>
        <w:r w:rsidR="000B493A">
          <w:rPr>
            <w:webHidden/>
          </w:rPr>
          <w:instrText xml:space="preserve"> PAGEREF _Toc365448283 \h </w:instrText>
        </w:r>
        <w:r w:rsidR="001771B6">
          <w:rPr>
            <w:webHidden/>
          </w:rPr>
        </w:r>
        <w:r w:rsidR="001771B6">
          <w:rPr>
            <w:webHidden/>
          </w:rPr>
          <w:fldChar w:fldCharType="separate"/>
        </w:r>
        <w:r w:rsidR="00DB1EFC">
          <w:rPr>
            <w:webHidden/>
          </w:rPr>
          <w:t>39</w:t>
        </w:r>
        <w:r w:rsidR="001771B6">
          <w:rPr>
            <w:webHidden/>
          </w:rPr>
          <w:fldChar w:fldCharType="end"/>
        </w:r>
      </w:hyperlink>
    </w:p>
    <w:p w:rsidR="000B493A" w:rsidRDefault="00F24243" w:rsidP="000B493A">
      <w:pPr>
        <w:pStyle w:val="TOC2"/>
        <w:rPr>
          <w:rFonts w:asciiTheme="minorHAnsi" w:eastAsiaTheme="minorEastAsia" w:hAnsiTheme="minorHAnsi" w:cstheme="minorBidi"/>
          <w:sz w:val="22"/>
          <w:szCs w:val="22"/>
        </w:rPr>
      </w:pPr>
      <w:hyperlink w:anchor="_Toc365448284" w:history="1">
        <w:r w:rsidR="000B493A" w:rsidRPr="00872E95">
          <w:rPr>
            <w:rStyle w:val="Hyperlink"/>
          </w:rPr>
          <w:t>B.2</w:t>
        </w:r>
        <w:r w:rsidR="000B493A">
          <w:rPr>
            <w:rFonts w:asciiTheme="minorHAnsi" w:eastAsiaTheme="minorEastAsia" w:hAnsiTheme="minorHAnsi" w:cstheme="minorBidi"/>
            <w:sz w:val="22"/>
            <w:szCs w:val="22"/>
          </w:rPr>
          <w:tab/>
        </w:r>
        <w:r w:rsidR="000B493A" w:rsidRPr="00872E95">
          <w:rPr>
            <w:rStyle w:val="Hyperlink"/>
          </w:rPr>
          <w:t>Procedures for the Collection of Information</w:t>
        </w:r>
        <w:r w:rsidR="000B493A">
          <w:rPr>
            <w:webHidden/>
          </w:rPr>
          <w:tab/>
        </w:r>
        <w:r w:rsidR="001771B6">
          <w:rPr>
            <w:webHidden/>
          </w:rPr>
          <w:fldChar w:fldCharType="begin"/>
        </w:r>
        <w:r w:rsidR="000B493A">
          <w:rPr>
            <w:webHidden/>
          </w:rPr>
          <w:instrText xml:space="preserve"> PAGEREF _Toc365448284 \h </w:instrText>
        </w:r>
        <w:r w:rsidR="001771B6">
          <w:rPr>
            <w:webHidden/>
          </w:rPr>
        </w:r>
        <w:r w:rsidR="001771B6">
          <w:rPr>
            <w:webHidden/>
          </w:rPr>
          <w:fldChar w:fldCharType="separate"/>
        </w:r>
        <w:r w:rsidR="00DB1EFC">
          <w:rPr>
            <w:webHidden/>
          </w:rPr>
          <w:t>41</w:t>
        </w:r>
        <w:r w:rsidR="001771B6">
          <w:rPr>
            <w:webHidden/>
          </w:rPr>
          <w:fldChar w:fldCharType="end"/>
        </w:r>
      </w:hyperlink>
    </w:p>
    <w:p w:rsidR="000B493A" w:rsidRDefault="00F24243" w:rsidP="000B493A">
      <w:pPr>
        <w:pStyle w:val="TOC2"/>
        <w:rPr>
          <w:rFonts w:asciiTheme="minorHAnsi" w:eastAsiaTheme="minorEastAsia" w:hAnsiTheme="minorHAnsi" w:cstheme="minorBidi"/>
          <w:sz w:val="22"/>
          <w:szCs w:val="22"/>
        </w:rPr>
      </w:pPr>
      <w:hyperlink w:anchor="_Toc365448285" w:history="1">
        <w:r w:rsidR="000B493A" w:rsidRPr="00872E95">
          <w:rPr>
            <w:rStyle w:val="Hyperlink"/>
          </w:rPr>
          <w:t>B.3</w:t>
        </w:r>
        <w:r w:rsidR="000B493A">
          <w:rPr>
            <w:rFonts w:asciiTheme="minorHAnsi" w:eastAsiaTheme="minorEastAsia" w:hAnsiTheme="minorHAnsi" w:cstheme="minorBidi"/>
            <w:sz w:val="22"/>
            <w:szCs w:val="22"/>
          </w:rPr>
          <w:tab/>
        </w:r>
        <w:r w:rsidR="000B493A" w:rsidRPr="00872E95">
          <w:rPr>
            <w:rStyle w:val="Hyperlink"/>
          </w:rPr>
          <w:t>Methods for Maximizing Response Rates</w:t>
        </w:r>
        <w:r w:rsidR="000B493A">
          <w:rPr>
            <w:webHidden/>
          </w:rPr>
          <w:tab/>
        </w:r>
        <w:r w:rsidR="001771B6">
          <w:rPr>
            <w:webHidden/>
          </w:rPr>
          <w:fldChar w:fldCharType="begin"/>
        </w:r>
        <w:r w:rsidR="000B493A">
          <w:rPr>
            <w:webHidden/>
          </w:rPr>
          <w:instrText xml:space="preserve"> PAGEREF _Toc365448285 \h </w:instrText>
        </w:r>
        <w:r w:rsidR="001771B6">
          <w:rPr>
            <w:webHidden/>
          </w:rPr>
        </w:r>
        <w:r w:rsidR="001771B6">
          <w:rPr>
            <w:webHidden/>
          </w:rPr>
          <w:fldChar w:fldCharType="separate"/>
        </w:r>
        <w:r w:rsidR="00DB1EFC">
          <w:rPr>
            <w:webHidden/>
          </w:rPr>
          <w:t>43</w:t>
        </w:r>
        <w:r w:rsidR="001771B6">
          <w:rPr>
            <w:webHidden/>
          </w:rPr>
          <w:fldChar w:fldCharType="end"/>
        </w:r>
      </w:hyperlink>
    </w:p>
    <w:p w:rsidR="000B493A" w:rsidRDefault="00F24243" w:rsidP="000B493A">
      <w:pPr>
        <w:pStyle w:val="TOC2"/>
        <w:rPr>
          <w:rFonts w:asciiTheme="minorHAnsi" w:eastAsiaTheme="minorEastAsia" w:hAnsiTheme="minorHAnsi" w:cstheme="minorBidi"/>
          <w:sz w:val="22"/>
          <w:szCs w:val="22"/>
        </w:rPr>
      </w:pPr>
      <w:hyperlink w:anchor="_Toc365448286" w:history="1">
        <w:r w:rsidR="000B493A" w:rsidRPr="00872E95">
          <w:rPr>
            <w:rStyle w:val="Hyperlink"/>
          </w:rPr>
          <w:t>B.4</w:t>
        </w:r>
        <w:r w:rsidR="000B493A">
          <w:rPr>
            <w:rFonts w:asciiTheme="minorHAnsi" w:eastAsiaTheme="minorEastAsia" w:hAnsiTheme="minorHAnsi" w:cstheme="minorBidi"/>
            <w:sz w:val="22"/>
            <w:szCs w:val="22"/>
          </w:rPr>
          <w:tab/>
        </w:r>
        <w:r w:rsidR="000B493A" w:rsidRPr="00872E95">
          <w:rPr>
            <w:rStyle w:val="Hyperlink"/>
          </w:rPr>
          <w:t>Testing Procedures and Methods</w:t>
        </w:r>
        <w:r w:rsidR="000B493A">
          <w:rPr>
            <w:webHidden/>
          </w:rPr>
          <w:tab/>
        </w:r>
        <w:r w:rsidR="001771B6">
          <w:rPr>
            <w:webHidden/>
          </w:rPr>
          <w:fldChar w:fldCharType="begin"/>
        </w:r>
        <w:r w:rsidR="000B493A">
          <w:rPr>
            <w:webHidden/>
          </w:rPr>
          <w:instrText xml:space="preserve"> PAGEREF _Toc365448286 \h </w:instrText>
        </w:r>
        <w:r w:rsidR="001771B6">
          <w:rPr>
            <w:webHidden/>
          </w:rPr>
        </w:r>
        <w:r w:rsidR="001771B6">
          <w:rPr>
            <w:webHidden/>
          </w:rPr>
          <w:fldChar w:fldCharType="separate"/>
        </w:r>
        <w:r w:rsidR="00DB1EFC">
          <w:rPr>
            <w:webHidden/>
          </w:rPr>
          <w:t>44</w:t>
        </w:r>
        <w:r w:rsidR="001771B6">
          <w:rPr>
            <w:webHidden/>
          </w:rPr>
          <w:fldChar w:fldCharType="end"/>
        </w:r>
      </w:hyperlink>
    </w:p>
    <w:p w:rsidR="000B493A" w:rsidRDefault="00F24243" w:rsidP="000B493A">
      <w:pPr>
        <w:pStyle w:val="TOC2"/>
        <w:rPr>
          <w:rFonts w:asciiTheme="minorHAnsi" w:eastAsiaTheme="minorEastAsia" w:hAnsiTheme="minorHAnsi" w:cstheme="minorBidi"/>
          <w:sz w:val="22"/>
          <w:szCs w:val="22"/>
        </w:rPr>
      </w:pPr>
      <w:hyperlink w:anchor="_Toc365448287" w:history="1">
        <w:r w:rsidR="000B493A" w:rsidRPr="00872E95">
          <w:rPr>
            <w:rStyle w:val="Hyperlink"/>
          </w:rPr>
          <w:t>B.5</w:t>
        </w:r>
        <w:r w:rsidR="000B493A">
          <w:rPr>
            <w:rFonts w:asciiTheme="minorHAnsi" w:eastAsiaTheme="minorEastAsia" w:hAnsiTheme="minorHAnsi" w:cstheme="minorBidi"/>
            <w:sz w:val="22"/>
            <w:szCs w:val="22"/>
          </w:rPr>
          <w:tab/>
        </w:r>
        <w:r w:rsidR="000B493A" w:rsidRPr="00872E95">
          <w:rPr>
            <w:rStyle w:val="Hyperlink"/>
          </w:rPr>
          <w:t>Name of Contractor Responsible for Collection and Analysis and Other Individuals Consulted Regarding Method and Design</w:t>
        </w:r>
        <w:r w:rsidR="000B493A">
          <w:rPr>
            <w:webHidden/>
          </w:rPr>
          <w:tab/>
        </w:r>
        <w:r w:rsidR="001771B6">
          <w:rPr>
            <w:webHidden/>
          </w:rPr>
          <w:fldChar w:fldCharType="begin"/>
        </w:r>
        <w:r w:rsidR="000B493A">
          <w:rPr>
            <w:webHidden/>
          </w:rPr>
          <w:instrText xml:space="preserve"> PAGEREF _Toc365448287 \h </w:instrText>
        </w:r>
        <w:r w:rsidR="001771B6">
          <w:rPr>
            <w:webHidden/>
          </w:rPr>
        </w:r>
        <w:r w:rsidR="001771B6">
          <w:rPr>
            <w:webHidden/>
          </w:rPr>
          <w:fldChar w:fldCharType="separate"/>
        </w:r>
        <w:r w:rsidR="00DB1EFC">
          <w:rPr>
            <w:webHidden/>
          </w:rPr>
          <w:t>44</w:t>
        </w:r>
        <w:r w:rsidR="001771B6">
          <w:rPr>
            <w:webHidden/>
          </w:rPr>
          <w:fldChar w:fldCharType="end"/>
        </w:r>
      </w:hyperlink>
    </w:p>
    <w:p w:rsidR="000B493A" w:rsidRDefault="00F24243" w:rsidP="009D2C71">
      <w:pPr>
        <w:pStyle w:val="TOC1"/>
        <w:rPr>
          <w:rFonts w:asciiTheme="minorHAnsi" w:eastAsiaTheme="minorEastAsia" w:hAnsiTheme="minorHAnsi" w:cstheme="minorBidi"/>
          <w:sz w:val="22"/>
          <w:szCs w:val="22"/>
        </w:rPr>
      </w:pPr>
      <w:hyperlink w:anchor="_Toc365448288" w:history="1"/>
    </w:p>
    <w:p w:rsidR="00483958" w:rsidRDefault="001771B6" w:rsidP="000B493A">
      <w:pPr>
        <w:tabs>
          <w:tab w:val="right" w:leader="dot" w:pos="9360"/>
        </w:tabs>
        <w:ind w:right="720"/>
        <w:rPr>
          <w:noProof/>
        </w:rPr>
      </w:pPr>
      <w:r>
        <w:rPr>
          <w:b/>
          <w:bCs/>
          <w:caps/>
          <w:noProof/>
          <w:color w:val="000000"/>
        </w:rPr>
        <w:fldChar w:fldCharType="end"/>
      </w:r>
    </w:p>
    <w:p w:rsidR="00734D5C" w:rsidRDefault="00734D5C" w:rsidP="00734D5C">
      <w:pPr>
        <w:pStyle w:val="TOC0"/>
      </w:pPr>
      <w:r>
        <w:t>TAbles</w:t>
      </w:r>
    </w:p>
    <w:p w:rsidR="00483958" w:rsidRPr="00A935D1" w:rsidRDefault="00483958" w:rsidP="00483958"/>
    <w:p w:rsidR="00734D5C" w:rsidRPr="00734D5C" w:rsidRDefault="00483958" w:rsidP="00734D5C">
      <w:pPr>
        <w:tabs>
          <w:tab w:val="right" w:pos="9360"/>
        </w:tabs>
        <w:spacing w:before="120" w:after="240"/>
        <w:rPr>
          <w:color w:val="000000"/>
        </w:rPr>
      </w:pPr>
      <w:r>
        <w:rPr>
          <w:b/>
          <w:color w:val="000000"/>
        </w:rPr>
        <w:t>Number</w:t>
      </w:r>
      <w:r w:rsidRPr="0037320E">
        <w:rPr>
          <w:color w:val="000000"/>
        </w:rPr>
        <w:tab/>
      </w:r>
      <w:r w:rsidRPr="0037320E">
        <w:rPr>
          <w:b/>
          <w:color w:val="000000"/>
        </w:rPr>
        <w:t>Page</w:t>
      </w:r>
      <w:r w:rsidR="001771B6">
        <w:rPr>
          <w:rFonts w:eastAsia="Arial"/>
          <w:noProof/>
        </w:rPr>
        <w:fldChar w:fldCharType="begin"/>
      </w:r>
      <w:r w:rsidR="0076015C">
        <w:instrText xml:space="preserve"> TOC \h \z \t "Table Title" \c </w:instrText>
      </w:r>
      <w:r w:rsidR="001771B6">
        <w:rPr>
          <w:rFonts w:eastAsia="Arial"/>
          <w:noProof/>
        </w:rPr>
        <w:fldChar w:fldCharType="separate"/>
      </w:r>
    </w:p>
    <w:p w:rsidR="00194ABF" w:rsidRDefault="00194ABF">
      <w:pPr>
        <w:pStyle w:val="TableofFigures"/>
        <w:rPr>
          <w:rFonts w:asciiTheme="minorHAnsi" w:eastAsiaTheme="minorEastAsia" w:hAnsiTheme="minorHAnsi" w:cstheme="minorBidi"/>
          <w:sz w:val="22"/>
          <w:szCs w:val="22"/>
        </w:rPr>
      </w:pPr>
    </w:p>
    <w:p w:rsidR="00194ABF" w:rsidRDefault="00F24243">
      <w:pPr>
        <w:pStyle w:val="TableofFigures"/>
        <w:rPr>
          <w:rFonts w:asciiTheme="minorHAnsi" w:eastAsiaTheme="minorEastAsia" w:hAnsiTheme="minorHAnsi" w:cstheme="minorBidi"/>
          <w:sz w:val="22"/>
          <w:szCs w:val="22"/>
        </w:rPr>
      </w:pPr>
      <w:hyperlink w:anchor="_Toc367258501" w:history="1">
        <w:r w:rsidR="00194ABF" w:rsidRPr="005A4B74">
          <w:rPr>
            <w:rStyle w:val="Hyperlink"/>
          </w:rPr>
          <w:t xml:space="preserve">B.1-1. </w:t>
        </w:r>
        <w:r w:rsidR="00194ABF">
          <w:rPr>
            <w:rStyle w:val="Hyperlink"/>
          </w:rPr>
          <w:tab/>
        </w:r>
        <w:r w:rsidR="00194ABF" w:rsidRPr="005A4B74">
          <w:rPr>
            <w:rStyle w:val="Hyperlink"/>
          </w:rPr>
          <w:t>Completion Rates for Prior OMB-approved GfK Custom Research, LLC Studies</w:t>
        </w:r>
        <w:r w:rsidR="00194ABF">
          <w:rPr>
            <w:webHidden/>
          </w:rPr>
          <w:tab/>
        </w:r>
        <w:r w:rsidR="001771B6">
          <w:rPr>
            <w:webHidden/>
          </w:rPr>
          <w:fldChar w:fldCharType="begin"/>
        </w:r>
        <w:r w:rsidR="00194ABF">
          <w:rPr>
            <w:webHidden/>
          </w:rPr>
          <w:instrText xml:space="preserve"> PAGEREF _Toc367258501 \h </w:instrText>
        </w:r>
        <w:r w:rsidR="001771B6">
          <w:rPr>
            <w:webHidden/>
          </w:rPr>
        </w:r>
        <w:r w:rsidR="001771B6">
          <w:rPr>
            <w:webHidden/>
          </w:rPr>
          <w:fldChar w:fldCharType="separate"/>
        </w:r>
        <w:r w:rsidR="00DB1EFC">
          <w:rPr>
            <w:webHidden/>
          </w:rPr>
          <w:t>39</w:t>
        </w:r>
        <w:r w:rsidR="001771B6">
          <w:rPr>
            <w:webHidden/>
          </w:rPr>
          <w:fldChar w:fldCharType="end"/>
        </w:r>
      </w:hyperlink>
    </w:p>
    <w:p w:rsidR="00194ABF" w:rsidRDefault="00F24243">
      <w:pPr>
        <w:pStyle w:val="TableofFigures"/>
        <w:rPr>
          <w:rFonts w:asciiTheme="minorHAnsi" w:eastAsiaTheme="minorEastAsia" w:hAnsiTheme="minorHAnsi" w:cstheme="minorBidi"/>
          <w:sz w:val="22"/>
          <w:szCs w:val="22"/>
        </w:rPr>
      </w:pPr>
      <w:hyperlink w:anchor="_Toc367258502" w:history="1">
        <w:r w:rsidR="00194ABF" w:rsidRPr="005A4B74">
          <w:rPr>
            <w:rStyle w:val="Hyperlink"/>
          </w:rPr>
          <w:t xml:space="preserve">B.1-2. </w:t>
        </w:r>
        <w:r w:rsidR="00194ABF">
          <w:rPr>
            <w:rStyle w:val="Hyperlink"/>
          </w:rPr>
          <w:tab/>
        </w:r>
        <w:r w:rsidR="00194ABF" w:rsidRPr="005A4B74">
          <w:rPr>
            <w:rStyle w:val="Hyperlink"/>
          </w:rPr>
          <w:t>Power Table for Test of Equal Proportions (α = 0.05), Given Subgroup Sample Sizes of 7,500*</w:t>
        </w:r>
        <w:r w:rsidR="00194ABF">
          <w:rPr>
            <w:webHidden/>
          </w:rPr>
          <w:tab/>
        </w:r>
        <w:r w:rsidR="001771B6">
          <w:rPr>
            <w:webHidden/>
          </w:rPr>
          <w:fldChar w:fldCharType="begin"/>
        </w:r>
        <w:r w:rsidR="00194ABF">
          <w:rPr>
            <w:webHidden/>
          </w:rPr>
          <w:instrText xml:space="preserve"> PAGEREF _Toc367258502 \h </w:instrText>
        </w:r>
        <w:r w:rsidR="001771B6">
          <w:rPr>
            <w:webHidden/>
          </w:rPr>
        </w:r>
        <w:r w:rsidR="001771B6">
          <w:rPr>
            <w:webHidden/>
          </w:rPr>
          <w:fldChar w:fldCharType="separate"/>
        </w:r>
        <w:r w:rsidR="00DB1EFC">
          <w:rPr>
            <w:webHidden/>
          </w:rPr>
          <w:t>40</w:t>
        </w:r>
        <w:r w:rsidR="001771B6">
          <w:rPr>
            <w:webHidden/>
          </w:rPr>
          <w:fldChar w:fldCharType="end"/>
        </w:r>
      </w:hyperlink>
    </w:p>
    <w:p w:rsidR="0076015C" w:rsidRDefault="001771B6" w:rsidP="00353F8F">
      <w:pPr>
        <w:pStyle w:val="TOC0"/>
        <w:tabs>
          <w:tab w:val="left" w:pos="990"/>
          <w:tab w:val="right" w:leader="dot" w:pos="9360"/>
        </w:tabs>
        <w:ind w:left="990" w:right="720" w:hanging="990"/>
      </w:pPr>
      <w:r>
        <w:fldChar w:fldCharType="end"/>
      </w:r>
    </w:p>
    <w:p w:rsidR="0076015C" w:rsidRDefault="0076015C" w:rsidP="00483958">
      <w:pPr>
        <w:pStyle w:val="TOC0"/>
      </w:pPr>
      <w:r>
        <w:br w:type="page"/>
      </w:r>
    </w:p>
    <w:p w:rsidR="00D32737" w:rsidRDefault="00D32737" w:rsidP="00A36616">
      <w:pPr>
        <w:pStyle w:val="ListParagraph"/>
        <w:numPr>
          <w:ilvl w:val="0"/>
          <w:numId w:val="2"/>
        </w:numPr>
        <w:autoSpaceDE w:val="0"/>
        <w:autoSpaceDN w:val="0"/>
        <w:adjustRightInd w:val="0"/>
        <w:rPr>
          <w:rFonts w:ascii="Arial" w:hAnsi="Arial" w:cs="Arial"/>
          <w:b/>
          <w:bCs/>
        </w:rPr>
        <w:sectPr w:rsidR="00D32737" w:rsidSect="0076015C">
          <w:footerReference w:type="default" r:id="rId11"/>
          <w:pgSz w:w="12240" w:h="15840"/>
          <w:pgMar w:top="1440" w:right="1440" w:bottom="1440" w:left="1440" w:header="0" w:footer="537" w:gutter="0"/>
          <w:pgNumType w:fmt="lowerRoman" w:start="3"/>
          <w:cols w:space="720"/>
        </w:sectPr>
      </w:pPr>
    </w:p>
    <w:p w:rsidR="00465CAE" w:rsidRPr="007B5800" w:rsidRDefault="009D2C71" w:rsidP="00734D5C">
      <w:pPr>
        <w:pStyle w:val="Heading1"/>
        <w:numPr>
          <w:ilvl w:val="0"/>
          <w:numId w:val="0"/>
        </w:numPr>
      </w:pPr>
      <w:bookmarkStart w:id="1" w:name="_Toc365448282"/>
      <w:r>
        <w:lastRenderedPageBreak/>
        <w:t>Sec</w:t>
      </w:r>
      <w:r w:rsidR="00734D5C">
        <w:t>t</w:t>
      </w:r>
      <w:r>
        <w:t>ion B –</w:t>
      </w:r>
      <w:r w:rsidR="00734D5C">
        <w:t xml:space="preserve"> </w:t>
      </w:r>
      <w:r w:rsidR="00465CAE" w:rsidRPr="007B5800">
        <w:t>Collection of Information Employing Statistical</w:t>
      </w:r>
      <w:r w:rsidR="007B5800" w:rsidRPr="007B5800">
        <w:t xml:space="preserve"> </w:t>
      </w:r>
      <w:r w:rsidR="00465CAE" w:rsidRPr="007B5800">
        <w:t>Methods</w:t>
      </w:r>
      <w:bookmarkEnd w:id="1"/>
    </w:p>
    <w:p w:rsidR="00510BD9" w:rsidRDefault="00045FA6" w:rsidP="00045FA6">
      <w:pPr>
        <w:pStyle w:val="Heading2"/>
      </w:pPr>
      <w:bookmarkStart w:id="2" w:name="_Toc365448283"/>
      <w:r>
        <w:t>B.1</w:t>
      </w:r>
      <w:r>
        <w:tab/>
      </w:r>
      <w:r w:rsidR="00510BD9" w:rsidRPr="00C07C02">
        <w:t>Respondent Universe</w:t>
      </w:r>
      <w:bookmarkEnd w:id="2"/>
    </w:p>
    <w:p w:rsidR="00C84BD3" w:rsidRDefault="00510BD9" w:rsidP="00D32737">
      <w:pPr>
        <w:pStyle w:val="BodyText1"/>
        <w:rPr>
          <w:rFonts w:eastAsia="Arial"/>
        </w:rPr>
      </w:pPr>
      <w:r w:rsidRPr="00361283">
        <w:t>The respondent universe for this exploratory research study is men and women living in the United States age</w:t>
      </w:r>
      <w:r w:rsidR="00F73152">
        <w:t>d</w:t>
      </w:r>
      <w:r w:rsidRPr="00361283">
        <w:t xml:space="preserve"> </w:t>
      </w:r>
      <w:r w:rsidR="004831FB">
        <w:t>4</w:t>
      </w:r>
      <w:r w:rsidR="00F73152">
        <w:t>0</w:t>
      </w:r>
      <w:r w:rsidR="00537223">
        <w:t>–</w:t>
      </w:r>
      <w:r w:rsidR="00F73152">
        <w:t>70</w:t>
      </w:r>
      <w:r w:rsidRPr="00361283">
        <w:t>.</w:t>
      </w:r>
      <w:r w:rsidR="00F555D7">
        <w:t xml:space="preserve"> </w:t>
      </w:r>
      <w:r w:rsidR="00F73152">
        <w:t>In 201</w:t>
      </w:r>
      <w:r w:rsidR="008A2564">
        <w:t>1</w:t>
      </w:r>
      <w:r w:rsidR="00F73152">
        <w:t xml:space="preserve">, there were </w:t>
      </w:r>
      <w:r w:rsidR="008A2564" w:rsidRPr="008A2564">
        <w:t>114</w:t>
      </w:r>
      <w:r w:rsidRPr="008A2564">
        <w:t xml:space="preserve"> million</w:t>
      </w:r>
      <w:r w:rsidRPr="00361283">
        <w:t xml:space="preserve"> </w:t>
      </w:r>
      <w:r w:rsidR="008A2564">
        <w:t xml:space="preserve">noninstitutionalized </w:t>
      </w:r>
      <w:r w:rsidRPr="00361283">
        <w:t>U.S. adults</w:t>
      </w:r>
      <w:r w:rsidR="00F73152">
        <w:t xml:space="preserve"> in this age group</w:t>
      </w:r>
      <w:r w:rsidR="00820A4D">
        <w:t xml:space="preserve"> (</w:t>
      </w:r>
      <w:r w:rsidR="008A2564">
        <w:t>U.S. Census Bureau, 2012</w:t>
      </w:r>
      <w:r w:rsidR="00820A4D">
        <w:t>)</w:t>
      </w:r>
      <w:r w:rsidR="00F73152">
        <w:t>.</w:t>
      </w:r>
      <w:r w:rsidR="00C84BD3">
        <w:t xml:space="preserve"> </w:t>
      </w:r>
      <w:r w:rsidR="00F73152">
        <w:rPr>
          <w:rFonts w:eastAsia="Arial"/>
          <w:spacing w:val="-1"/>
        </w:rPr>
        <w:t>The sample for this survey will consist of 23,077 adults age</w:t>
      </w:r>
      <w:r w:rsidR="00537223">
        <w:rPr>
          <w:rFonts w:eastAsia="Arial"/>
          <w:spacing w:val="-1"/>
        </w:rPr>
        <w:t>d</w:t>
      </w:r>
      <w:r w:rsidR="00F73152">
        <w:rPr>
          <w:rFonts w:eastAsia="Arial"/>
          <w:spacing w:val="-1"/>
        </w:rPr>
        <w:t xml:space="preserve"> 40 to 70, randomly drawn from </w:t>
      </w:r>
      <w:r w:rsidR="00734D5C">
        <w:rPr>
          <w:rFonts w:eastAsia="Arial"/>
          <w:spacing w:val="-1"/>
        </w:rPr>
        <w:t>the KnowledgePanel (</w:t>
      </w:r>
      <w:r w:rsidR="004D3F56">
        <w:rPr>
          <w:rFonts w:eastAsia="Arial"/>
          <w:spacing w:val="-1"/>
        </w:rPr>
        <w:t>KP</w:t>
      </w:r>
      <w:r w:rsidR="00734D5C">
        <w:rPr>
          <w:rFonts w:eastAsia="Arial"/>
          <w:spacing w:val="-1"/>
        </w:rPr>
        <w:t>)</w:t>
      </w:r>
      <w:r w:rsidR="00F73152">
        <w:rPr>
          <w:rFonts w:eastAsia="Arial"/>
        </w:rPr>
        <w:t xml:space="preserve">, an </w:t>
      </w:r>
      <w:r w:rsidR="005E571F">
        <w:rPr>
          <w:rFonts w:eastAsia="Arial"/>
        </w:rPr>
        <w:t>Internet</w:t>
      </w:r>
      <w:r w:rsidR="00F73152">
        <w:rPr>
          <w:rFonts w:eastAsia="Arial"/>
        </w:rPr>
        <w:t xml:space="preserve"> panel maintained by GfK. Assuming </w:t>
      </w:r>
      <w:r w:rsidR="00F73152" w:rsidRPr="001104BF">
        <w:rPr>
          <w:rFonts w:eastAsia="Arial"/>
        </w:rPr>
        <w:t>a 65 p</w:t>
      </w:r>
      <w:r w:rsidR="00F73152">
        <w:rPr>
          <w:rFonts w:eastAsia="Arial"/>
        </w:rPr>
        <w:t>ercent response</w:t>
      </w:r>
      <w:r w:rsidR="00C07C02">
        <w:rPr>
          <w:rFonts w:eastAsia="Arial"/>
        </w:rPr>
        <w:t>/cooperation rate</w:t>
      </w:r>
      <w:r w:rsidR="00F73152">
        <w:rPr>
          <w:rFonts w:eastAsia="Arial"/>
        </w:rPr>
        <w:t>, 15,000 completed surveys are expected.</w:t>
      </w:r>
      <w:r w:rsidR="00F555D7">
        <w:rPr>
          <w:rFonts w:eastAsia="Arial"/>
        </w:rPr>
        <w:t xml:space="preserve"> </w:t>
      </w:r>
      <w:r w:rsidR="00854D4F">
        <w:rPr>
          <w:rFonts w:eastAsia="Arial"/>
        </w:rPr>
        <w:t xml:space="preserve">This sample will be larger than all but a small handful of federal surveys. </w:t>
      </w:r>
    </w:p>
    <w:p w:rsidR="00854D4F" w:rsidRDefault="00854D4F" w:rsidP="00D32737">
      <w:pPr>
        <w:pStyle w:val="BodyText1"/>
      </w:pPr>
      <w:r>
        <w:t xml:space="preserve">As of 2013, </w:t>
      </w:r>
      <w:r w:rsidR="004D3F56">
        <w:t>KP</w:t>
      </w:r>
      <w:r w:rsidRPr="00361283">
        <w:t xml:space="preserve"> consists of more than</w:t>
      </w:r>
      <w:r>
        <w:t xml:space="preserve"> </w:t>
      </w:r>
      <w:r w:rsidRPr="00820A4D">
        <w:rPr>
          <w:color w:val="000000"/>
        </w:rPr>
        <w:t>29,616</w:t>
      </w:r>
      <w:r w:rsidRPr="00361283">
        <w:t xml:space="preserve"> </w:t>
      </w:r>
      <w:r>
        <w:t>English-speaking participants aged 40</w:t>
      </w:r>
      <w:r w:rsidR="00537223">
        <w:t>–</w:t>
      </w:r>
      <w:r>
        <w:t xml:space="preserve">70 </w:t>
      </w:r>
      <w:r w:rsidRPr="00361283">
        <w:t xml:space="preserve">who complete a </w:t>
      </w:r>
      <w:r w:rsidRPr="00820A4D">
        <w:t xml:space="preserve">few surveys per month. </w:t>
      </w:r>
      <w:r w:rsidR="004D3F56">
        <w:t>KP</w:t>
      </w:r>
      <w:r w:rsidR="004D3F56" w:rsidRPr="00361283">
        <w:t xml:space="preserve"> </w:t>
      </w:r>
      <w:r w:rsidRPr="00361283">
        <w:t xml:space="preserve">is </w:t>
      </w:r>
      <w:r>
        <w:t xml:space="preserve">constructed </w:t>
      </w:r>
      <w:r w:rsidRPr="00361283">
        <w:t>by combin</w:t>
      </w:r>
      <w:r>
        <w:t>ing</w:t>
      </w:r>
      <w:r w:rsidRPr="00361283">
        <w:t xml:space="preserve"> probability-based random digit dialing and address-based sampling</w:t>
      </w:r>
      <w:r>
        <w:t>.</w:t>
      </w:r>
      <w:r w:rsidR="00F555D7">
        <w:t xml:space="preserve"> </w:t>
      </w:r>
      <w:r>
        <w:t xml:space="preserve">It </w:t>
      </w:r>
      <w:r w:rsidRPr="00361283">
        <w:t xml:space="preserve">does not require </w:t>
      </w:r>
      <w:r w:rsidR="005E571F" w:rsidRPr="00361283">
        <w:t>Internet</w:t>
      </w:r>
      <w:r w:rsidRPr="00361283">
        <w:t xml:space="preserve"> access or computing hardware at the time of sampling</w:t>
      </w:r>
      <w:r>
        <w:t xml:space="preserve"> to participate</w:t>
      </w:r>
      <w:r w:rsidRPr="00361283">
        <w:t xml:space="preserve">. Households without </w:t>
      </w:r>
      <w:r w:rsidR="005E571F" w:rsidRPr="00361283">
        <w:t>Internet</w:t>
      </w:r>
      <w:r w:rsidRPr="00361283">
        <w:t xml:space="preserve"> access or computers are provided </w:t>
      </w:r>
      <w:r w:rsidR="005E571F" w:rsidRPr="00361283">
        <w:t>Internet</w:t>
      </w:r>
      <w:r w:rsidRPr="00361283">
        <w:t xml:space="preserve"> connectivity and personal computers</w:t>
      </w:r>
      <w:r>
        <w:t xml:space="preserve"> at no charge.</w:t>
      </w:r>
      <w:r w:rsidR="00F555D7">
        <w:t xml:space="preserve"> </w:t>
      </w:r>
      <w:r>
        <w:t xml:space="preserve">GfK’s panel closely resembles </w:t>
      </w:r>
      <w:r w:rsidRPr="00361283">
        <w:t xml:space="preserve">the U.S. population in terms of age, race, Hispanic ethnicity, geographical region, employment status, </w:t>
      </w:r>
      <w:r>
        <w:t>income</w:t>
      </w:r>
      <w:r w:rsidR="00537223">
        <w:t>,</w:t>
      </w:r>
      <w:r>
        <w:t xml:space="preserve"> </w:t>
      </w:r>
      <w:r w:rsidRPr="00361283">
        <w:t>and other demographic elements.</w:t>
      </w:r>
      <w:r w:rsidRPr="005A0699">
        <w:t xml:space="preserve"> </w:t>
      </w:r>
      <w:r>
        <w:t>GfK</w:t>
      </w:r>
      <w:r w:rsidRPr="00361283" w:rsidDel="00CC1072">
        <w:t xml:space="preserve"> </w:t>
      </w:r>
      <w:r w:rsidRPr="00361283">
        <w:t>maintains basic demographic data on this population and,</w:t>
      </w:r>
      <w:r>
        <w:t xml:space="preserve"> for this study, will limit surv</w:t>
      </w:r>
      <w:r w:rsidRPr="00361283">
        <w:t xml:space="preserve">ey invitations to persons </w:t>
      </w:r>
      <w:r w:rsidR="00FB01BD" w:rsidRPr="00361283">
        <w:t>age</w:t>
      </w:r>
      <w:r w:rsidR="00FB01BD">
        <w:t>d</w:t>
      </w:r>
      <w:r w:rsidR="00FB01BD" w:rsidRPr="00361283">
        <w:t xml:space="preserve"> </w:t>
      </w:r>
      <w:r>
        <w:t>40</w:t>
      </w:r>
      <w:r w:rsidR="00537223">
        <w:t>–</w:t>
      </w:r>
      <w:r>
        <w:t>70</w:t>
      </w:r>
      <w:r w:rsidRPr="00361283">
        <w:t xml:space="preserve">. Panel demographic information will be used by </w:t>
      </w:r>
      <w:r>
        <w:t>GfK</w:t>
      </w:r>
      <w:r w:rsidRPr="00361283">
        <w:t xml:space="preserve"> to generate survey weights and adjustments for nonresponse. </w:t>
      </w:r>
    </w:p>
    <w:p w:rsidR="0079082E" w:rsidRPr="00361283" w:rsidRDefault="005D01C1" w:rsidP="00D32737">
      <w:pPr>
        <w:pStyle w:val="BodyText1"/>
      </w:pPr>
      <w:r>
        <w:t xml:space="preserve">While </w:t>
      </w:r>
      <w:r w:rsidR="0079082E" w:rsidRPr="002F79DD">
        <w:t>a 65</w:t>
      </w:r>
      <w:r w:rsidR="00537223">
        <w:t xml:space="preserve"> percent </w:t>
      </w:r>
      <w:r w:rsidR="0079082E">
        <w:t>response rate is high in the current survey environment,</w:t>
      </w:r>
      <w:r w:rsidR="0079082E" w:rsidRPr="005A0699">
        <w:t xml:space="preserve"> </w:t>
      </w:r>
      <w:r w:rsidR="0079082E">
        <w:t xml:space="preserve">GfK has regularly met or exceeded that standard in many of </w:t>
      </w:r>
      <w:r w:rsidR="00537223">
        <w:t xml:space="preserve">its </w:t>
      </w:r>
      <w:r w:rsidR="0079082E">
        <w:t>studies.</w:t>
      </w:r>
      <w:r w:rsidR="00F555D7">
        <w:t xml:space="preserve"> </w:t>
      </w:r>
      <w:r w:rsidR="0079082E" w:rsidRPr="0079082E">
        <w:rPr>
          <w:b/>
          <w:bCs/>
          <w:i/>
          <w:iCs/>
        </w:rPr>
        <w:t>Table B.</w:t>
      </w:r>
      <w:r w:rsidR="00537223">
        <w:rPr>
          <w:b/>
          <w:bCs/>
          <w:i/>
          <w:iCs/>
        </w:rPr>
        <w:t>1</w:t>
      </w:r>
      <w:r w:rsidR="0079082E" w:rsidRPr="0079082E">
        <w:rPr>
          <w:b/>
          <w:bCs/>
          <w:i/>
          <w:iCs/>
        </w:rPr>
        <w:t xml:space="preserve">-1 </w:t>
      </w:r>
      <w:r w:rsidR="0079082E" w:rsidRPr="00361283">
        <w:t>provides select</w:t>
      </w:r>
      <w:r w:rsidR="0079082E">
        <w:t>ed</w:t>
      </w:r>
      <w:r w:rsidR="0079082E" w:rsidRPr="00361283">
        <w:t xml:space="preserve"> study-specific </w:t>
      </w:r>
      <w:r w:rsidR="0079082E">
        <w:t xml:space="preserve">completion </w:t>
      </w:r>
      <w:r w:rsidR="0079082E" w:rsidRPr="00361283">
        <w:t>rate</w:t>
      </w:r>
      <w:r w:rsidR="0079082E">
        <w:t xml:space="preserve">s </w:t>
      </w:r>
      <w:r w:rsidR="0079082E" w:rsidRPr="00361283">
        <w:t xml:space="preserve">from studies fielded by </w:t>
      </w:r>
      <w:r w:rsidR="0079082E">
        <w:t>GfK.</w:t>
      </w:r>
      <w:r w:rsidR="00F555D7">
        <w:t xml:space="preserve"> </w:t>
      </w:r>
    </w:p>
    <w:p w:rsidR="0079082E" w:rsidRPr="001367F2" w:rsidRDefault="0079082E" w:rsidP="00AF659A">
      <w:pPr>
        <w:pStyle w:val="TableTitle"/>
      </w:pPr>
      <w:bookmarkStart w:id="3" w:name="_Toc367258501"/>
      <w:r w:rsidRPr="00361283">
        <w:t>Table B.</w:t>
      </w:r>
      <w:r w:rsidR="00537223">
        <w:t>1</w:t>
      </w:r>
      <w:r w:rsidR="00AF659A">
        <w:t>-1.</w:t>
      </w:r>
      <w:r w:rsidRPr="00361283">
        <w:t xml:space="preserve"> </w:t>
      </w:r>
      <w:r w:rsidRPr="001367F2">
        <w:t>Completion Rates for Prior OMB</w:t>
      </w:r>
      <w:r w:rsidR="00FB01BD">
        <w:t>-a</w:t>
      </w:r>
      <w:r w:rsidRPr="005A0699">
        <w:t>pproved GfK Custom Research, LLC</w:t>
      </w:r>
      <w:r w:rsidRPr="001367F2">
        <w:t xml:space="preserve"> Studies</w:t>
      </w:r>
      <w:bookmarkEnd w:id="3"/>
    </w:p>
    <w:tbl>
      <w:tblPr>
        <w:tblW w:w="5000" w:type="pct"/>
        <w:tblInd w:w="95" w:type="dxa"/>
        <w:tblBorders>
          <w:top w:val="single" w:sz="12" w:space="0" w:color="auto"/>
          <w:bottom w:val="single" w:sz="12" w:space="0" w:color="auto"/>
        </w:tblBorders>
        <w:tblLook w:val="04A0" w:firstRow="1" w:lastRow="0" w:firstColumn="1" w:lastColumn="0" w:noHBand="0" w:noVBand="1"/>
      </w:tblPr>
      <w:tblGrid>
        <w:gridCol w:w="3733"/>
        <w:gridCol w:w="1232"/>
        <w:gridCol w:w="1876"/>
        <w:gridCol w:w="1308"/>
        <w:gridCol w:w="1427"/>
      </w:tblGrid>
      <w:tr w:rsidR="0079082E" w:rsidRPr="00AF659A" w:rsidTr="00F555D7">
        <w:trPr>
          <w:trHeight w:val="20"/>
        </w:trPr>
        <w:tc>
          <w:tcPr>
            <w:tcW w:w="3442" w:type="dxa"/>
            <w:tcBorders>
              <w:top w:val="single" w:sz="12" w:space="0" w:color="auto"/>
              <w:bottom w:val="single" w:sz="4" w:space="0" w:color="auto"/>
            </w:tcBorders>
            <w:shd w:val="clear" w:color="auto" w:fill="auto"/>
            <w:vAlign w:val="bottom"/>
            <w:hideMark/>
          </w:tcPr>
          <w:p w:rsidR="0079082E" w:rsidRPr="00AF659A" w:rsidRDefault="0079082E" w:rsidP="00353F8F">
            <w:pPr>
              <w:spacing w:before="40" w:after="40"/>
              <w:jc w:val="center"/>
              <w:rPr>
                <w:rFonts w:asciiTheme="majorBidi" w:hAnsiTheme="majorBidi" w:cstheme="majorBidi"/>
                <w:b/>
                <w:bCs/>
              </w:rPr>
            </w:pPr>
            <w:r w:rsidRPr="00AF659A">
              <w:rPr>
                <w:rFonts w:asciiTheme="majorBidi" w:hAnsiTheme="majorBidi" w:cstheme="majorBidi"/>
                <w:b/>
                <w:bCs/>
                <w:sz w:val="22"/>
                <w:szCs w:val="22"/>
              </w:rPr>
              <w:t>GfK Custom Research, LLC</w:t>
            </w:r>
          </w:p>
        </w:tc>
        <w:tc>
          <w:tcPr>
            <w:tcW w:w="1136" w:type="dxa"/>
            <w:tcBorders>
              <w:top w:val="single" w:sz="12" w:space="0" w:color="auto"/>
              <w:bottom w:val="single" w:sz="4" w:space="0" w:color="auto"/>
            </w:tcBorders>
            <w:shd w:val="clear" w:color="auto" w:fill="auto"/>
            <w:vAlign w:val="bottom"/>
            <w:hideMark/>
          </w:tcPr>
          <w:p w:rsidR="0079082E" w:rsidRPr="00AF659A" w:rsidRDefault="0079082E" w:rsidP="00AF659A">
            <w:pPr>
              <w:spacing w:before="40" w:after="40"/>
              <w:jc w:val="center"/>
              <w:rPr>
                <w:rFonts w:asciiTheme="majorBidi" w:hAnsiTheme="majorBidi" w:cstheme="majorBidi"/>
                <w:b/>
                <w:bCs/>
              </w:rPr>
            </w:pPr>
            <w:r w:rsidRPr="00AF659A">
              <w:rPr>
                <w:rFonts w:asciiTheme="majorBidi" w:hAnsiTheme="majorBidi" w:cstheme="majorBidi"/>
                <w:b/>
                <w:bCs/>
                <w:sz w:val="22"/>
                <w:szCs w:val="22"/>
              </w:rPr>
              <w:t>Year</w:t>
            </w:r>
          </w:p>
        </w:tc>
        <w:tc>
          <w:tcPr>
            <w:tcW w:w="1730" w:type="dxa"/>
            <w:tcBorders>
              <w:top w:val="single" w:sz="12" w:space="0" w:color="auto"/>
              <w:bottom w:val="single" w:sz="4" w:space="0" w:color="auto"/>
            </w:tcBorders>
            <w:shd w:val="clear" w:color="auto" w:fill="auto"/>
            <w:vAlign w:val="bottom"/>
            <w:hideMark/>
          </w:tcPr>
          <w:p w:rsidR="0079082E" w:rsidRPr="00AF659A" w:rsidRDefault="0079082E" w:rsidP="00AF659A">
            <w:pPr>
              <w:spacing w:before="40" w:after="40"/>
              <w:jc w:val="center"/>
              <w:rPr>
                <w:rFonts w:asciiTheme="majorBidi" w:hAnsiTheme="majorBidi" w:cstheme="majorBidi"/>
                <w:b/>
                <w:bCs/>
              </w:rPr>
            </w:pPr>
            <w:r w:rsidRPr="00AF659A">
              <w:rPr>
                <w:rFonts w:asciiTheme="majorBidi" w:hAnsiTheme="majorBidi" w:cstheme="majorBidi"/>
                <w:b/>
                <w:bCs/>
                <w:sz w:val="22"/>
                <w:szCs w:val="22"/>
              </w:rPr>
              <w:t>Assigned</w:t>
            </w:r>
          </w:p>
        </w:tc>
        <w:tc>
          <w:tcPr>
            <w:tcW w:w="1206" w:type="dxa"/>
            <w:tcBorders>
              <w:top w:val="single" w:sz="12" w:space="0" w:color="auto"/>
              <w:bottom w:val="single" w:sz="4" w:space="0" w:color="auto"/>
            </w:tcBorders>
            <w:shd w:val="clear" w:color="auto" w:fill="auto"/>
            <w:vAlign w:val="bottom"/>
            <w:hideMark/>
          </w:tcPr>
          <w:p w:rsidR="0079082E" w:rsidRPr="00AF659A" w:rsidRDefault="0079082E" w:rsidP="00AF659A">
            <w:pPr>
              <w:spacing w:before="40" w:after="40"/>
              <w:jc w:val="center"/>
              <w:rPr>
                <w:rFonts w:asciiTheme="majorBidi" w:hAnsiTheme="majorBidi" w:cstheme="majorBidi"/>
                <w:b/>
                <w:bCs/>
              </w:rPr>
            </w:pPr>
            <w:r w:rsidRPr="00AF659A">
              <w:rPr>
                <w:rFonts w:asciiTheme="majorBidi" w:hAnsiTheme="majorBidi" w:cstheme="majorBidi"/>
                <w:b/>
                <w:bCs/>
                <w:sz w:val="22"/>
                <w:szCs w:val="22"/>
              </w:rPr>
              <w:t>Completes</w:t>
            </w:r>
          </w:p>
        </w:tc>
        <w:tc>
          <w:tcPr>
            <w:tcW w:w="1316" w:type="dxa"/>
            <w:tcBorders>
              <w:top w:val="single" w:sz="12" w:space="0" w:color="auto"/>
              <w:bottom w:val="single" w:sz="4" w:space="0" w:color="auto"/>
            </w:tcBorders>
            <w:shd w:val="clear" w:color="auto" w:fill="auto"/>
            <w:vAlign w:val="bottom"/>
            <w:hideMark/>
          </w:tcPr>
          <w:p w:rsidR="0079082E" w:rsidRPr="00AF659A" w:rsidRDefault="0079082E" w:rsidP="00AF659A">
            <w:pPr>
              <w:spacing w:before="40" w:after="40"/>
              <w:jc w:val="center"/>
              <w:rPr>
                <w:rFonts w:asciiTheme="majorBidi" w:hAnsiTheme="majorBidi" w:cstheme="majorBidi"/>
                <w:b/>
                <w:bCs/>
              </w:rPr>
            </w:pPr>
            <w:r w:rsidRPr="00AF659A">
              <w:rPr>
                <w:rFonts w:asciiTheme="majorBidi" w:hAnsiTheme="majorBidi" w:cstheme="majorBidi"/>
                <w:b/>
                <w:bCs/>
                <w:sz w:val="22"/>
                <w:szCs w:val="22"/>
              </w:rPr>
              <w:t>Completion Rate</w:t>
            </w:r>
          </w:p>
        </w:tc>
      </w:tr>
      <w:tr w:rsidR="0079082E" w:rsidRPr="00AF659A" w:rsidTr="00F555D7">
        <w:trPr>
          <w:trHeight w:val="20"/>
        </w:trPr>
        <w:tc>
          <w:tcPr>
            <w:tcW w:w="3442" w:type="dxa"/>
            <w:tcBorders>
              <w:top w:val="single" w:sz="4" w:space="0" w:color="auto"/>
            </w:tcBorders>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Prescription Meds 2002</w:t>
            </w:r>
          </w:p>
        </w:tc>
        <w:tc>
          <w:tcPr>
            <w:tcW w:w="1136" w:type="dxa"/>
            <w:tcBorders>
              <w:top w:val="single" w:sz="4" w:space="0" w:color="auto"/>
            </w:tcBorders>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2002</w:t>
            </w:r>
          </w:p>
        </w:tc>
        <w:tc>
          <w:tcPr>
            <w:tcW w:w="1730" w:type="dxa"/>
            <w:tcBorders>
              <w:top w:val="single" w:sz="4" w:space="0" w:color="auto"/>
            </w:tcBorders>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5</w:t>
            </w:r>
            <w:r w:rsidR="00537223" w:rsidRPr="00AF659A">
              <w:rPr>
                <w:rFonts w:asciiTheme="majorBidi" w:hAnsiTheme="majorBidi" w:cstheme="majorBidi"/>
                <w:sz w:val="22"/>
                <w:szCs w:val="22"/>
              </w:rPr>
              <w:t>,</w:t>
            </w:r>
            <w:r w:rsidRPr="00AF659A">
              <w:rPr>
                <w:rFonts w:asciiTheme="majorBidi" w:hAnsiTheme="majorBidi" w:cstheme="majorBidi"/>
                <w:sz w:val="22"/>
                <w:szCs w:val="22"/>
              </w:rPr>
              <w:t>820</w:t>
            </w:r>
          </w:p>
        </w:tc>
        <w:tc>
          <w:tcPr>
            <w:tcW w:w="1206" w:type="dxa"/>
            <w:tcBorders>
              <w:top w:val="single" w:sz="4" w:space="0" w:color="auto"/>
            </w:tcBorders>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5</w:t>
            </w:r>
            <w:r w:rsidR="00537223" w:rsidRPr="00AF659A">
              <w:rPr>
                <w:rFonts w:asciiTheme="majorBidi" w:hAnsiTheme="majorBidi" w:cstheme="majorBidi"/>
                <w:sz w:val="22"/>
                <w:szCs w:val="22"/>
              </w:rPr>
              <w:t>,</w:t>
            </w:r>
            <w:r w:rsidRPr="00AF659A">
              <w:rPr>
                <w:rFonts w:asciiTheme="majorBidi" w:hAnsiTheme="majorBidi" w:cstheme="majorBidi"/>
                <w:sz w:val="22"/>
                <w:szCs w:val="22"/>
              </w:rPr>
              <w:t>233</w:t>
            </w:r>
          </w:p>
        </w:tc>
        <w:tc>
          <w:tcPr>
            <w:tcW w:w="1316" w:type="dxa"/>
            <w:tcBorders>
              <w:top w:val="single" w:sz="4" w:space="0" w:color="auto"/>
            </w:tcBorders>
            <w:shd w:val="clear" w:color="auto" w:fill="auto"/>
            <w:noWrap/>
            <w:vAlign w:val="bottom"/>
            <w:hideMark/>
          </w:tcPr>
          <w:p w:rsidR="0079082E" w:rsidRPr="00AF659A" w:rsidRDefault="0079082E" w:rsidP="00F555D7">
            <w:pPr>
              <w:spacing w:before="40" w:after="40"/>
              <w:jc w:val="center"/>
              <w:rPr>
                <w:rFonts w:asciiTheme="majorBidi" w:hAnsiTheme="majorBidi" w:cstheme="majorBidi"/>
              </w:rPr>
            </w:pPr>
            <w:r w:rsidRPr="00AF659A">
              <w:rPr>
                <w:rFonts w:asciiTheme="majorBidi" w:hAnsiTheme="majorBidi" w:cstheme="majorBidi"/>
                <w:sz w:val="22"/>
                <w:szCs w:val="22"/>
              </w:rPr>
              <w:t>90%</w:t>
            </w:r>
          </w:p>
        </w:tc>
      </w:tr>
      <w:tr w:rsidR="0079082E" w:rsidRPr="00AF659A" w:rsidTr="00F555D7">
        <w:trPr>
          <w:trHeight w:val="20"/>
        </w:trPr>
        <w:tc>
          <w:tcPr>
            <w:tcW w:w="3442"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2005 Cancer Survey:</w:t>
            </w:r>
            <w:r w:rsidR="00F555D7">
              <w:rPr>
                <w:rFonts w:asciiTheme="majorBidi" w:hAnsiTheme="majorBidi" w:cstheme="majorBidi"/>
                <w:sz w:val="22"/>
                <w:szCs w:val="22"/>
              </w:rPr>
              <w:t xml:space="preserve"> </w:t>
            </w:r>
            <w:r w:rsidRPr="00AF659A">
              <w:rPr>
                <w:rFonts w:asciiTheme="majorBidi" w:hAnsiTheme="majorBidi" w:cstheme="majorBidi"/>
                <w:sz w:val="22"/>
                <w:szCs w:val="22"/>
              </w:rPr>
              <w:t>General Population and Survivors</w:t>
            </w:r>
          </w:p>
        </w:tc>
        <w:tc>
          <w:tcPr>
            <w:tcW w:w="1136"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2005</w:t>
            </w:r>
          </w:p>
        </w:tc>
        <w:tc>
          <w:tcPr>
            <w:tcW w:w="1730"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3</w:t>
            </w:r>
            <w:r w:rsidR="00537223" w:rsidRPr="00AF659A">
              <w:rPr>
                <w:rFonts w:asciiTheme="majorBidi" w:hAnsiTheme="majorBidi" w:cstheme="majorBidi"/>
                <w:sz w:val="22"/>
                <w:szCs w:val="22"/>
              </w:rPr>
              <w:t>,</w:t>
            </w:r>
            <w:r w:rsidRPr="00AF659A">
              <w:rPr>
                <w:rFonts w:asciiTheme="majorBidi" w:hAnsiTheme="majorBidi" w:cstheme="majorBidi"/>
                <w:sz w:val="22"/>
                <w:szCs w:val="22"/>
              </w:rPr>
              <w:t>473</w:t>
            </w:r>
          </w:p>
        </w:tc>
        <w:tc>
          <w:tcPr>
            <w:tcW w:w="1206"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2</w:t>
            </w:r>
            <w:r w:rsidR="00537223" w:rsidRPr="00AF659A">
              <w:rPr>
                <w:rFonts w:asciiTheme="majorBidi" w:hAnsiTheme="majorBidi" w:cstheme="majorBidi"/>
                <w:sz w:val="22"/>
                <w:szCs w:val="22"/>
              </w:rPr>
              <w:t>,</w:t>
            </w:r>
            <w:r w:rsidRPr="00AF659A">
              <w:rPr>
                <w:rFonts w:asciiTheme="majorBidi" w:hAnsiTheme="majorBidi" w:cstheme="majorBidi"/>
                <w:sz w:val="22"/>
                <w:szCs w:val="22"/>
              </w:rPr>
              <w:t>841</w:t>
            </w:r>
          </w:p>
        </w:tc>
        <w:tc>
          <w:tcPr>
            <w:tcW w:w="1316" w:type="dxa"/>
            <w:shd w:val="clear" w:color="auto" w:fill="auto"/>
            <w:noWrap/>
            <w:vAlign w:val="bottom"/>
            <w:hideMark/>
          </w:tcPr>
          <w:p w:rsidR="0079082E" w:rsidRPr="00AF659A" w:rsidRDefault="0079082E" w:rsidP="00F555D7">
            <w:pPr>
              <w:spacing w:before="40" w:after="40"/>
              <w:jc w:val="center"/>
              <w:rPr>
                <w:rFonts w:asciiTheme="majorBidi" w:hAnsiTheme="majorBidi" w:cstheme="majorBidi"/>
              </w:rPr>
            </w:pPr>
            <w:r w:rsidRPr="00AF659A">
              <w:rPr>
                <w:rFonts w:asciiTheme="majorBidi" w:hAnsiTheme="majorBidi" w:cstheme="majorBidi"/>
                <w:sz w:val="22"/>
                <w:szCs w:val="22"/>
              </w:rPr>
              <w:t>82%</w:t>
            </w:r>
          </w:p>
        </w:tc>
      </w:tr>
      <w:tr w:rsidR="0079082E" w:rsidRPr="00AF659A" w:rsidTr="00353F8F">
        <w:trPr>
          <w:trHeight w:val="20"/>
        </w:trPr>
        <w:tc>
          <w:tcPr>
            <w:tcW w:w="3442" w:type="dxa"/>
            <w:tcBorders>
              <w:bottom w:val="nil"/>
            </w:tcBorders>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Smoking Ad Survey 2006</w:t>
            </w:r>
          </w:p>
        </w:tc>
        <w:tc>
          <w:tcPr>
            <w:tcW w:w="1136" w:type="dxa"/>
            <w:tcBorders>
              <w:bottom w:val="nil"/>
            </w:tcBorders>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2006</w:t>
            </w:r>
          </w:p>
        </w:tc>
        <w:tc>
          <w:tcPr>
            <w:tcW w:w="1730" w:type="dxa"/>
            <w:tcBorders>
              <w:bottom w:val="nil"/>
            </w:tcBorders>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8</w:t>
            </w:r>
            <w:r w:rsidR="00537223" w:rsidRPr="00AF659A">
              <w:rPr>
                <w:rFonts w:asciiTheme="majorBidi" w:hAnsiTheme="majorBidi" w:cstheme="majorBidi"/>
                <w:sz w:val="22"/>
                <w:szCs w:val="22"/>
              </w:rPr>
              <w:t>,</w:t>
            </w:r>
            <w:r w:rsidRPr="00AF659A">
              <w:rPr>
                <w:rFonts w:asciiTheme="majorBidi" w:hAnsiTheme="majorBidi" w:cstheme="majorBidi"/>
                <w:sz w:val="22"/>
                <w:szCs w:val="22"/>
              </w:rPr>
              <w:t>541</w:t>
            </w:r>
          </w:p>
        </w:tc>
        <w:tc>
          <w:tcPr>
            <w:tcW w:w="1206" w:type="dxa"/>
            <w:tcBorders>
              <w:bottom w:val="nil"/>
            </w:tcBorders>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7</w:t>
            </w:r>
            <w:r w:rsidR="00537223" w:rsidRPr="00AF659A">
              <w:rPr>
                <w:rFonts w:asciiTheme="majorBidi" w:hAnsiTheme="majorBidi" w:cstheme="majorBidi"/>
                <w:sz w:val="22"/>
                <w:szCs w:val="22"/>
              </w:rPr>
              <w:t>,</w:t>
            </w:r>
            <w:r w:rsidRPr="00AF659A">
              <w:rPr>
                <w:rFonts w:asciiTheme="majorBidi" w:hAnsiTheme="majorBidi" w:cstheme="majorBidi"/>
                <w:sz w:val="22"/>
                <w:szCs w:val="22"/>
              </w:rPr>
              <w:t>610</w:t>
            </w:r>
          </w:p>
        </w:tc>
        <w:tc>
          <w:tcPr>
            <w:tcW w:w="1316" w:type="dxa"/>
            <w:tcBorders>
              <w:bottom w:val="nil"/>
            </w:tcBorders>
            <w:shd w:val="clear" w:color="auto" w:fill="auto"/>
            <w:noWrap/>
            <w:vAlign w:val="bottom"/>
            <w:hideMark/>
          </w:tcPr>
          <w:p w:rsidR="0079082E" w:rsidRPr="00AF659A" w:rsidRDefault="0079082E" w:rsidP="00F555D7">
            <w:pPr>
              <w:spacing w:before="40" w:after="40"/>
              <w:jc w:val="center"/>
              <w:rPr>
                <w:rFonts w:asciiTheme="majorBidi" w:hAnsiTheme="majorBidi" w:cstheme="majorBidi"/>
              </w:rPr>
            </w:pPr>
            <w:r w:rsidRPr="00AF659A">
              <w:rPr>
                <w:rFonts w:asciiTheme="majorBidi" w:hAnsiTheme="majorBidi" w:cstheme="majorBidi"/>
                <w:sz w:val="22"/>
                <w:szCs w:val="22"/>
              </w:rPr>
              <w:t>89%</w:t>
            </w:r>
          </w:p>
        </w:tc>
      </w:tr>
      <w:tr w:rsidR="0079082E" w:rsidRPr="00AF659A" w:rsidTr="00353F8F">
        <w:trPr>
          <w:trHeight w:val="20"/>
        </w:trPr>
        <w:tc>
          <w:tcPr>
            <w:tcW w:w="3442" w:type="dxa"/>
            <w:tcBorders>
              <w:top w:val="nil"/>
              <w:bottom w:val="single" w:sz="4" w:space="0" w:color="auto"/>
            </w:tcBorders>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MA Cancer Communication</w:t>
            </w:r>
          </w:p>
        </w:tc>
        <w:tc>
          <w:tcPr>
            <w:tcW w:w="1136" w:type="dxa"/>
            <w:tcBorders>
              <w:top w:val="nil"/>
              <w:bottom w:val="single" w:sz="4" w:space="0" w:color="auto"/>
            </w:tcBorders>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2006</w:t>
            </w:r>
          </w:p>
        </w:tc>
        <w:tc>
          <w:tcPr>
            <w:tcW w:w="1730" w:type="dxa"/>
            <w:tcBorders>
              <w:top w:val="nil"/>
              <w:bottom w:val="single" w:sz="4" w:space="0" w:color="auto"/>
            </w:tcBorders>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686</w:t>
            </w:r>
          </w:p>
        </w:tc>
        <w:tc>
          <w:tcPr>
            <w:tcW w:w="1206" w:type="dxa"/>
            <w:tcBorders>
              <w:top w:val="nil"/>
              <w:bottom w:val="single" w:sz="4" w:space="0" w:color="auto"/>
            </w:tcBorders>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558</w:t>
            </w:r>
          </w:p>
        </w:tc>
        <w:tc>
          <w:tcPr>
            <w:tcW w:w="1316" w:type="dxa"/>
            <w:tcBorders>
              <w:top w:val="nil"/>
              <w:bottom w:val="single" w:sz="4" w:space="0" w:color="auto"/>
            </w:tcBorders>
            <w:shd w:val="clear" w:color="auto" w:fill="auto"/>
            <w:noWrap/>
            <w:vAlign w:val="bottom"/>
            <w:hideMark/>
          </w:tcPr>
          <w:p w:rsidR="0079082E" w:rsidRPr="00AF659A" w:rsidRDefault="0079082E" w:rsidP="00F555D7">
            <w:pPr>
              <w:spacing w:before="40" w:after="40"/>
              <w:jc w:val="center"/>
              <w:rPr>
                <w:rFonts w:asciiTheme="majorBidi" w:hAnsiTheme="majorBidi" w:cstheme="majorBidi"/>
              </w:rPr>
            </w:pPr>
            <w:r w:rsidRPr="00AF659A">
              <w:rPr>
                <w:rFonts w:asciiTheme="majorBidi" w:hAnsiTheme="majorBidi" w:cstheme="majorBidi"/>
                <w:sz w:val="22"/>
                <w:szCs w:val="22"/>
              </w:rPr>
              <w:t>81%</w:t>
            </w:r>
          </w:p>
        </w:tc>
      </w:tr>
    </w:tbl>
    <w:p w:rsidR="00F555D7" w:rsidRDefault="00F555D7" w:rsidP="00F555D7">
      <w:pPr>
        <w:pStyle w:val="exhibitsource"/>
        <w:jc w:val="right"/>
      </w:pPr>
      <w:r>
        <w:lastRenderedPageBreak/>
        <w:t>(continued)</w:t>
      </w:r>
    </w:p>
    <w:p w:rsidR="00F555D7" w:rsidRPr="001367F2" w:rsidRDefault="00F555D7" w:rsidP="00CD6518">
      <w:pPr>
        <w:pStyle w:val="TableTitlecont"/>
        <w:spacing w:before="120" w:after="120"/>
      </w:pPr>
      <w:r w:rsidRPr="00361283">
        <w:t>Table B.</w:t>
      </w:r>
      <w:r>
        <w:t>1-1.</w:t>
      </w:r>
      <w:r w:rsidRPr="00361283">
        <w:t xml:space="preserve"> </w:t>
      </w:r>
      <w:r w:rsidRPr="001367F2">
        <w:t xml:space="preserve">Completion Rates for Prior OMB </w:t>
      </w:r>
      <w:r w:rsidRPr="005A0699">
        <w:t>Approved GfK Custom Research, LLC</w:t>
      </w:r>
      <w:r w:rsidRPr="001367F2">
        <w:t xml:space="preserve"> Studies</w:t>
      </w:r>
      <w:r>
        <w:t xml:space="preserve"> (continued)</w:t>
      </w:r>
    </w:p>
    <w:tbl>
      <w:tblPr>
        <w:tblW w:w="5000" w:type="pct"/>
        <w:tblInd w:w="95" w:type="dxa"/>
        <w:tblBorders>
          <w:top w:val="single" w:sz="12" w:space="0" w:color="auto"/>
          <w:bottom w:val="single" w:sz="12" w:space="0" w:color="auto"/>
        </w:tblBorders>
        <w:tblLook w:val="04A0" w:firstRow="1" w:lastRow="0" w:firstColumn="1" w:lastColumn="0" w:noHBand="0" w:noVBand="1"/>
      </w:tblPr>
      <w:tblGrid>
        <w:gridCol w:w="3733"/>
        <w:gridCol w:w="1232"/>
        <w:gridCol w:w="1876"/>
        <w:gridCol w:w="1308"/>
        <w:gridCol w:w="1427"/>
      </w:tblGrid>
      <w:tr w:rsidR="00F555D7" w:rsidRPr="00AF659A" w:rsidTr="00F555D7">
        <w:trPr>
          <w:trHeight w:val="20"/>
        </w:trPr>
        <w:tc>
          <w:tcPr>
            <w:tcW w:w="3733" w:type="dxa"/>
            <w:tcBorders>
              <w:top w:val="single" w:sz="12" w:space="0" w:color="auto"/>
              <w:bottom w:val="single" w:sz="4" w:space="0" w:color="auto"/>
            </w:tcBorders>
            <w:shd w:val="clear" w:color="auto" w:fill="auto"/>
            <w:vAlign w:val="bottom"/>
            <w:hideMark/>
          </w:tcPr>
          <w:p w:rsidR="00F555D7" w:rsidRPr="00AF659A" w:rsidRDefault="00F555D7" w:rsidP="00353F8F">
            <w:pPr>
              <w:spacing w:before="40" w:after="40"/>
              <w:jc w:val="center"/>
              <w:rPr>
                <w:rFonts w:asciiTheme="majorBidi" w:hAnsiTheme="majorBidi" w:cstheme="majorBidi"/>
                <w:b/>
                <w:bCs/>
              </w:rPr>
            </w:pPr>
            <w:r w:rsidRPr="00AF659A">
              <w:rPr>
                <w:rFonts w:asciiTheme="majorBidi" w:hAnsiTheme="majorBidi" w:cstheme="majorBidi"/>
                <w:b/>
                <w:bCs/>
                <w:sz w:val="22"/>
                <w:szCs w:val="22"/>
              </w:rPr>
              <w:t>GfK Custom Research, LLC</w:t>
            </w:r>
          </w:p>
        </w:tc>
        <w:tc>
          <w:tcPr>
            <w:tcW w:w="1232" w:type="dxa"/>
            <w:tcBorders>
              <w:top w:val="single" w:sz="12" w:space="0" w:color="auto"/>
              <w:bottom w:val="single" w:sz="4" w:space="0" w:color="auto"/>
            </w:tcBorders>
            <w:shd w:val="clear" w:color="auto" w:fill="auto"/>
            <w:vAlign w:val="bottom"/>
            <w:hideMark/>
          </w:tcPr>
          <w:p w:rsidR="00F555D7" w:rsidRPr="00AF659A" w:rsidRDefault="00F555D7" w:rsidP="00A92BD5">
            <w:pPr>
              <w:spacing w:before="40" w:after="40"/>
              <w:jc w:val="center"/>
              <w:rPr>
                <w:rFonts w:asciiTheme="majorBidi" w:hAnsiTheme="majorBidi" w:cstheme="majorBidi"/>
                <w:b/>
                <w:bCs/>
              </w:rPr>
            </w:pPr>
            <w:r w:rsidRPr="00AF659A">
              <w:rPr>
                <w:rFonts w:asciiTheme="majorBidi" w:hAnsiTheme="majorBidi" w:cstheme="majorBidi"/>
                <w:b/>
                <w:bCs/>
                <w:sz w:val="22"/>
                <w:szCs w:val="22"/>
              </w:rPr>
              <w:t>Year</w:t>
            </w:r>
          </w:p>
        </w:tc>
        <w:tc>
          <w:tcPr>
            <w:tcW w:w="1876" w:type="dxa"/>
            <w:tcBorders>
              <w:top w:val="single" w:sz="12" w:space="0" w:color="auto"/>
              <w:bottom w:val="single" w:sz="4" w:space="0" w:color="auto"/>
            </w:tcBorders>
            <w:shd w:val="clear" w:color="auto" w:fill="auto"/>
            <w:vAlign w:val="bottom"/>
            <w:hideMark/>
          </w:tcPr>
          <w:p w:rsidR="00F555D7" w:rsidRPr="00AF659A" w:rsidRDefault="00F555D7" w:rsidP="00A92BD5">
            <w:pPr>
              <w:spacing w:before="40" w:after="40"/>
              <w:jc w:val="center"/>
              <w:rPr>
                <w:rFonts w:asciiTheme="majorBidi" w:hAnsiTheme="majorBidi" w:cstheme="majorBidi"/>
                <w:b/>
                <w:bCs/>
              </w:rPr>
            </w:pPr>
            <w:r w:rsidRPr="00AF659A">
              <w:rPr>
                <w:rFonts w:asciiTheme="majorBidi" w:hAnsiTheme="majorBidi" w:cstheme="majorBidi"/>
                <w:b/>
                <w:bCs/>
                <w:sz w:val="22"/>
                <w:szCs w:val="22"/>
              </w:rPr>
              <w:t>Assigned</w:t>
            </w:r>
          </w:p>
        </w:tc>
        <w:tc>
          <w:tcPr>
            <w:tcW w:w="1308" w:type="dxa"/>
            <w:tcBorders>
              <w:top w:val="single" w:sz="12" w:space="0" w:color="auto"/>
              <w:bottom w:val="single" w:sz="4" w:space="0" w:color="auto"/>
            </w:tcBorders>
            <w:shd w:val="clear" w:color="auto" w:fill="auto"/>
            <w:vAlign w:val="bottom"/>
            <w:hideMark/>
          </w:tcPr>
          <w:p w:rsidR="00F555D7" w:rsidRPr="00AF659A" w:rsidRDefault="00F555D7" w:rsidP="00A92BD5">
            <w:pPr>
              <w:spacing w:before="40" w:after="40"/>
              <w:jc w:val="center"/>
              <w:rPr>
                <w:rFonts w:asciiTheme="majorBidi" w:hAnsiTheme="majorBidi" w:cstheme="majorBidi"/>
                <w:b/>
                <w:bCs/>
              </w:rPr>
            </w:pPr>
            <w:r w:rsidRPr="00AF659A">
              <w:rPr>
                <w:rFonts w:asciiTheme="majorBidi" w:hAnsiTheme="majorBidi" w:cstheme="majorBidi"/>
                <w:b/>
                <w:bCs/>
                <w:sz w:val="22"/>
                <w:szCs w:val="22"/>
              </w:rPr>
              <w:t>Completes</w:t>
            </w:r>
          </w:p>
        </w:tc>
        <w:tc>
          <w:tcPr>
            <w:tcW w:w="1427" w:type="dxa"/>
            <w:tcBorders>
              <w:top w:val="single" w:sz="12" w:space="0" w:color="auto"/>
              <w:bottom w:val="single" w:sz="4" w:space="0" w:color="auto"/>
            </w:tcBorders>
            <w:shd w:val="clear" w:color="auto" w:fill="auto"/>
            <w:vAlign w:val="bottom"/>
            <w:hideMark/>
          </w:tcPr>
          <w:p w:rsidR="00F555D7" w:rsidRPr="00AF659A" w:rsidRDefault="00F555D7" w:rsidP="00A92BD5">
            <w:pPr>
              <w:spacing w:before="40" w:after="40"/>
              <w:jc w:val="center"/>
              <w:rPr>
                <w:rFonts w:asciiTheme="majorBidi" w:hAnsiTheme="majorBidi" w:cstheme="majorBidi"/>
                <w:b/>
                <w:bCs/>
              </w:rPr>
            </w:pPr>
            <w:r w:rsidRPr="00AF659A">
              <w:rPr>
                <w:rFonts w:asciiTheme="majorBidi" w:hAnsiTheme="majorBidi" w:cstheme="majorBidi"/>
                <w:b/>
                <w:bCs/>
                <w:sz w:val="22"/>
                <w:szCs w:val="22"/>
              </w:rPr>
              <w:t>Completion Rate</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National Seafood Consumption Survey</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2006</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31</w:t>
            </w:r>
            <w:r w:rsidR="00537223" w:rsidRPr="00AF659A">
              <w:rPr>
                <w:rFonts w:asciiTheme="majorBidi" w:hAnsiTheme="majorBidi" w:cstheme="majorBidi"/>
                <w:sz w:val="22"/>
                <w:szCs w:val="22"/>
              </w:rPr>
              <w:t>,</w:t>
            </w:r>
            <w:r w:rsidRPr="00AF659A">
              <w:rPr>
                <w:rFonts w:asciiTheme="majorBidi" w:hAnsiTheme="majorBidi" w:cstheme="majorBidi"/>
                <w:sz w:val="22"/>
                <w:szCs w:val="22"/>
              </w:rPr>
              <w:t>971</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26</w:t>
            </w:r>
            <w:r w:rsidR="00537223" w:rsidRPr="00AF659A">
              <w:rPr>
                <w:rFonts w:asciiTheme="majorBidi" w:hAnsiTheme="majorBidi" w:cstheme="majorBidi"/>
                <w:sz w:val="22"/>
                <w:szCs w:val="22"/>
              </w:rPr>
              <w:t>,</w:t>
            </w:r>
            <w:r w:rsidRPr="00AF659A">
              <w:rPr>
                <w:rFonts w:asciiTheme="majorBidi" w:hAnsiTheme="majorBidi" w:cstheme="majorBidi"/>
                <w:sz w:val="22"/>
                <w:szCs w:val="22"/>
              </w:rPr>
              <w:t>967</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84%</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Chronic Opioid Survey Wave 2</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2007</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1</w:t>
            </w:r>
            <w:r w:rsidR="00537223" w:rsidRPr="00AF659A">
              <w:rPr>
                <w:rFonts w:asciiTheme="majorBidi" w:hAnsiTheme="majorBidi" w:cstheme="majorBidi"/>
                <w:sz w:val="22"/>
                <w:szCs w:val="22"/>
              </w:rPr>
              <w:t>,</w:t>
            </w:r>
            <w:r w:rsidRPr="00AF659A">
              <w:rPr>
                <w:rFonts w:asciiTheme="majorBidi" w:hAnsiTheme="majorBidi" w:cstheme="majorBidi"/>
                <w:sz w:val="22"/>
                <w:szCs w:val="22"/>
              </w:rPr>
              <w:t>430</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1</w:t>
            </w:r>
            <w:r w:rsidR="00537223" w:rsidRPr="00AF659A">
              <w:rPr>
                <w:rFonts w:asciiTheme="majorBidi" w:hAnsiTheme="majorBidi" w:cstheme="majorBidi"/>
                <w:sz w:val="22"/>
                <w:szCs w:val="22"/>
              </w:rPr>
              <w:t>,</w:t>
            </w:r>
            <w:r w:rsidRPr="00AF659A">
              <w:rPr>
                <w:rFonts w:asciiTheme="majorBidi" w:hAnsiTheme="majorBidi" w:cstheme="majorBidi"/>
                <w:sz w:val="22"/>
                <w:szCs w:val="22"/>
              </w:rPr>
              <w:t>144</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80%</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Retirement Perspective Survey 2007</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2007</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3</w:t>
            </w:r>
            <w:r w:rsidR="00537223" w:rsidRPr="00AF659A">
              <w:rPr>
                <w:rFonts w:asciiTheme="majorBidi" w:hAnsiTheme="majorBidi" w:cstheme="majorBidi"/>
                <w:sz w:val="22"/>
                <w:szCs w:val="22"/>
              </w:rPr>
              <w:t>,</w:t>
            </w:r>
            <w:r w:rsidRPr="00AF659A">
              <w:rPr>
                <w:rFonts w:asciiTheme="majorBidi" w:hAnsiTheme="majorBidi" w:cstheme="majorBidi"/>
                <w:sz w:val="22"/>
                <w:szCs w:val="22"/>
              </w:rPr>
              <w:t>118</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2</w:t>
            </w:r>
            <w:r w:rsidR="00537223" w:rsidRPr="00AF659A">
              <w:rPr>
                <w:rFonts w:asciiTheme="majorBidi" w:hAnsiTheme="majorBidi" w:cstheme="majorBidi"/>
                <w:sz w:val="22"/>
                <w:szCs w:val="22"/>
              </w:rPr>
              <w:t>,</w:t>
            </w:r>
            <w:r w:rsidRPr="00AF659A">
              <w:rPr>
                <w:rFonts w:asciiTheme="majorBidi" w:hAnsiTheme="majorBidi" w:cstheme="majorBidi"/>
                <w:sz w:val="22"/>
                <w:szCs w:val="22"/>
              </w:rPr>
              <w:t>666</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86%</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Societal Implications of Individual Differences in Response</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2009</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4</w:t>
            </w:r>
            <w:r w:rsidR="00537223" w:rsidRPr="00AF659A">
              <w:rPr>
                <w:rFonts w:asciiTheme="majorBidi" w:hAnsiTheme="majorBidi" w:cstheme="majorBidi"/>
                <w:sz w:val="22"/>
                <w:szCs w:val="22"/>
              </w:rPr>
              <w:t>,</w:t>
            </w:r>
            <w:r w:rsidRPr="00AF659A">
              <w:rPr>
                <w:rFonts w:asciiTheme="majorBidi" w:hAnsiTheme="majorBidi" w:cstheme="majorBidi"/>
                <w:sz w:val="22"/>
                <w:szCs w:val="22"/>
              </w:rPr>
              <w:t>413</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3</w:t>
            </w:r>
            <w:r w:rsidR="00537223" w:rsidRPr="00AF659A">
              <w:rPr>
                <w:rFonts w:asciiTheme="majorBidi" w:hAnsiTheme="majorBidi" w:cstheme="majorBidi"/>
                <w:sz w:val="22"/>
                <w:szCs w:val="22"/>
              </w:rPr>
              <w:t>,</w:t>
            </w:r>
            <w:r w:rsidRPr="00AF659A">
              <w:rPr>
                <w:rFonts w:asciiTheme="majorBidi" w:hAnsiTheme="majorBidi" w:cstheme="majorBidi"/>
                <w:sz w:val="22"/>
                <w:szCs w:val="22"/>
              </w:rPr>
              <w:t>559</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81%</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CA Long-Term Care Survey</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2010</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1</w:t>
            </w:r>
            <w:r w:rsidR="00537223" w:rsidRPr="00AF659A">
              <w:rPr>
                <w:rFonts w:asciiTheme="majorBidi" w:hAnsiTheme="majorBidi" w:cstheme="majorBidi"/>
                <w:sz w:val="22"/>
                <w:szCs w:val="22"/>
              </w:rPr>
              <w:t>,</w:t>
            </w:r>
            <w:r w:rsidRPr="00AF659A">
              <w:rPr>
                <w:rFonts w:asciiTheme="majorBidi" w:hAnsiTheme="majorBidi" w:cstheme="majorBidi"/>
                <w:sz w:val="22"/>
                <w:szCs w:val="22"/>
              </w:rPr>
              <w:t>454</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1</w:t>
            </w:r>
            <w:r w:rsidR="00537223" w:rsidRPr="00AF659A">
              <w:rPr>
                <w:rFonts w:asciiTheme="majorBidi" w:hAnsiTheme="majorBidi" w:cstheme="majorBidi"/>
                <w:sz w:val="22"/>
                <w:szCs w:val="22"/>
              </w:rPr>
              <w:t>,</w:t>
            </w:r>
            <w:r w:rsidRPr="00AF659A">
              <w:rPr>
                <w:rFonts w:asciiTheme="majorBidi" w:hAnsiTheme="majorBidi" w:cstheme="majorBidi"/>
                <w:sz w:val="22"/>
                <w:szCs w:val="22"/>
              </w:rPr>
              <w:t>218</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84%</w:t>
            </w:r>
          </w:p>
        </w:tc>
      </w:tr>
      <w:tr w:rsidR="0079082E" w:rsidRPr="00AF659A" w:rsidTr="00F555D7">
        <w:trPr>
          <w:trHeight w:val="20"/>
        </w:trPr>
        <w:tc>
          <w:tcPr>
            <w:tcW w:w="3733" w:type="dxa"/>
            <w:shd w:val="clear" w:color="auto" w:fill="auto"/>
            <w:vAlign w:val="bottom"/>
            <w:hideMark/>
          </w:tcPr>
          <w:p w:rsidR="0079082E" w:rsidRPr="00AF659A" w:rsidRDefault="0079082E" w:rsidP="00AF659A">
            <w:pPr>
              <w:spacing w:before="40" w:after="40"/>
              <w:rPr>
                <w:rFonts w:asciiTheme="majorBidi" w:hAnsiTheme="majorBidi" w:cstheme="majorBidi"/>
              </w:rPr>
            </w:pPr>
            <w:r w:rsidRPr="00AF659A">
              <w:rPr>
                <w:rFonts w:asciiTheme="majorBidi" w:hAnsiTheme="majorBidi" w:cstheme="majorBidi"/>
                <w:sz w:val="22"/>
                <w:szCs w:val="22"/>
              </w:rPr>
              <w:t>Follow-up Weight &amp; Diet 2010</w:t>
            </w:r>
          </w:p>
        </w:tc>
        <w:tc>
          <w:tcPr>
            <w:tcW w:w="1232"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2010</w:t>
            </w:r>
          </w:p>
        </w:tc>
        <w:tc>
          <w:tcPr>
            <w:tcW w:w="1876" w:type="dxa"/>
            <w:shd w:val="clear" w:color="auto" w:fill="auto"/>
            <w:noWrap/>
            <w:vAlign w:val="bottom"/>
            <w:hideMark/>
          </w:tcPr>
          <w:p w:rsidR="0079082E" w:rsidRPr="00AF659A" w:rsidRDefault="0079082E" w:rsidP="00F555D7">
            <w:pPr>
              <w:tabs>
                <w:tab w:val="decimal" w:pos="1056"/>
              </w:tabs>
              <w:spacing w:before="40" w:after="40"/>
              <w:rPr>
                <w:rFonts w:asciiTheme="majorBidi" w:hAnsiTheme="majorBidi" w:cstheme="majorBidi"/>
              </w:rPr>
            </w:pPr>
            <w:r w:rsidRPr="00AF659A">
              <w:rPr>
                <w:rFonts w:asciiTheme="majorBidi" w:hAnsiTheme="majorBidi" w:cstheme="majorBidi"/>
                <w:sz w:val="22"/>
                <w:szCs w:val="22"/>
              </w:rPr>
              <w:t>910</w:t>
            </w:r>
          </w:p>
        </w:tc>
        <w:tc>
          <w:tcPr>
            <w:tcW w:w="1308" w:type="dxa"/>
            <w:shd w:val="clear" w:color="auto" w:fill="auto"/>
            <w:noWrap/>
            <w:vAlign w:val="bottom"/>
            <w:hideMark/>
          </w:tcPr>
          <w:p w:rsidR="0079082E" w:rsidRPr="00AF659A" w:rsidRDefault="0079082E" w:rsidP="00F555D7">
            <w:pPr>
              <w:tabs>
                <w:tab w:val="decimal" w:pos="820"/>
              </w:tabs>
              <w:spacing w:before="40" w:after="40"/>
              <w:rPr>
                <w:rFonts w:asciiTheme="majorBidi" w:hAnsiTheme="majorBidi" w:cstheme="majorBidi"/>
              </w:rPr>
            </w:pPr>
            <w:r w:rsidRPr="00AF659A">
              <w:rPr>
                <w:rFonts w:asciiTheme="majorBidi" w:hAnsiTheme="majorBidi" w:cstheme="majorBidi"/>
                <w:sz w:val="22"/>
                <w:szCs w:val="22"/>
              </w:rPr>
              <w:t>752</w:t>
            </w:r>
          </w:p>
        </w:tc>
        <w:tc>
          <w:tcPr>
            <w:tcW w:w="1427" w:type="dxa"/>
            <w:shd w:val="clear" w:color="auto" w:fill="auto"/>
            <w:noWrap/>
            <w:vAlign w:val="bottom"/>
            <w:hideMark/>
          </w:tcPr>
          <w:p w:rsidR="0079082E" w:rsidRPr="00AF659A" w:rsidRDefault="0079082E" w:rsidP="00AF659A">
            <w:pPr>
              <w:spacing w:before="40" w:after="40"/>
              <w:jc w:val="center"/>
              <w:rPr>
                <w:rFonts w:asciiTheme="majorBidi" w:hAnsiTheme="majorBidi" w:cstheme="majorBidi"/>
              </w:rPr>
            </w:pPr>
            <w:r w:rsidRPr="00AF659A">
              <w:rPr>
                <w:rFonts w:asciiTheme="majorBidi" w:hAnsiTheme="majorBidi" w:cstheme="majorBidi"/>
                <w:sz w:val="22"/>
                <w:szCs w:val="22"/>
              </w:rPr>
              <w:t>83%</w:t>
            </w:r>
          </w:p>
        </w:tc>
      </w:tr>
    </w:tbl>
    <w:p w:rsidR="00AF659A" w:rsidRDefault="0079082E" w:rsidP="00CD6518">
      <w:pPr>
        <w:pStyle w:val="exhibitsource"/>
        <w:spacing w:after="240"/>
        <w:rPr>
          <w:rFonts w:asciiTheme="majorBidi" w:hAnsiTheme="majorBidi" w:cstheme="majorBidi"/>
        </w:rPr>
      </w:pPr>
      <w:r>
        <w:rPr>
          <w:rFonts w:asciiTheme="majorBidi" w:hAnsiTheme="majorBidi" w:cstheme="majorBidi"/>
        </w:rPr>
        <w:t>Source:</w:t>
      </w:r>
      <w:r w:rsidR="00F555D7">
        <w:rPr>
          <w:rFonts w:asciiTheme="majorBidi" w:hAnsiTheme="majorBidi" w:cstheme="majorBidi"/>
        </w:rPr>
        <w:t xml:space="preserve"> </w:t>
      </w:r>
      <w:r>
        <w:rPr>
          <w:rFonts w:asciiTheme="majorBidi" w:hAnsiTheme="majorBidi" w:cstheme="majorBidi"/>
        </w:rPr>
        <w:t>GfK Custom Research, LLC.</w:t>
      </w:r>
    </w:p>
    <w:p w:rsidR="00A44501" w:rsidRPr="00A44501" w:rsidRDefault="00A44501" w:rsidP="001F7E67">
      <w:pPr>
        <w:pStyle w:val="BodyText1"/>
      </w:pPr>
      <w:r w:rsidRPr="00CD6518">
        <w:t xml:space="preserve">A sample size of 15,000 is more than sufficient to detect meaningful differences between subgroup proportions. For example, this survey collects data on several variables with two possible outcomes, such as whether respondents consider themselves to be in excellent health given their age. An analyst may be interested in whether two groups differ in their responses. Assuming 7,500 members of group 1 and 7,500 members of group 2 in the sample, if the difference between the two proportions in the population is 5 percentage points or more, a statistically significant difference between the two proportions will be detected more than 99% of the time. Even if the difference is only 3 percentage points, a statistically significant difference will be detected over 95% of the time. </w:t>
      </w:r>
      <w:r w:rsidRPr="00CD6518">
        <w:rPr>
          <w:b/>
          <w:bCs/>
          <w:i/>
          <w:iCs/>
        </w:rPr>
        <w:t xml:space="preserve">Table </w:t>
      </w:r>
      <w:r w:rsidR="00E204C7" w:rsidRPr="00CD6518">
        <w:rPr>
          <w:b/>
          <w:bCs/>
          <w:i/>
          <w:iCs/>
        </w:rPr>
        <w:t>B.1-2</w:t>
      </w:r>
      <w:r w:rsidRPr="00CD6518">
        <w:t xml:space="preserve"> shows some possibilities for the two proportions and the </w:t>
      </w:r>
      <w:r w:rsidR="00E404C4">
        <w:t xml:space="preserve">power </w:t>
      </w:r>
      <w:r w:rsidRPr="00CD6518">
        <w:t xml:space="preserve">with which a statistically significant difference will be detected. Given a constant absolute difference </w:t>
      </w:r>
      <m:oMath>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2</m:t>
                </m:r>
              </m:sub>
            </m:sSub>
          </m:e>
        </m:d>
      </m:oMath>
      <w:r w:rsidRPr="00CD6518">
        <w:t xml:space="preserve">, the most difficult differences to detect are those where </w:t>
      </w:r>
      <m:oMath>
        <m:sSub>
          <m:sSubPr>
            <m:ctrlPr>
              <w:rPr>
                <w:rFonts w:ascii="Cambria Math" w:hAnsi="Cambria Math"/>
                <w:i/>
                <w:iCs/>
              </w:rPr>
            </m:ctrlPr>
          </m:sSubPr>
          <m:e>
            <m:r>
              <w:rPr>
                <w:rFonts w:ascii="Cambria Math" w:hAnsi="Cambria Math"/>
              </w:rPr>
              <m:t>p</m:t>
            </m:r>
          </m:e>
          <m:sub>
            <m:r>
              <w:rPr>
                <w:rFonts w:ascii="Cambria Math" w:hAnsi="Cambria Math"/>
              </w:rPr>
              <m:t>1</m:t>
            </m:r>
          </m:sub>
        </m:sSub>
      </m:oMath>
      <w:r w:rsidRPr="00CD6518">
        <w:t xml:space="preserve"> and </w:t>
      </w:r>
      <m:oMath>
        <m:sSub>
          <m:sSubPr>
            <m:ctrlPr>
              <w:rPr>
                <w:rFonts w:ascii="Cambria Math" w:hAnsi="Cambria Math"/>
                <w:i/>
                <w:iCs/>
              </w:rPr>
            </m:ctrlPr>
          </m:sSubPr>
          <m:e>
            <m:r>
              <w:rPr>
                <w:rFonts w:ascii="Cambria Math" w:hAnsi="Cambria Math"/>
              </w:rPr>
              <m:t>p</m:t>
            </m:r>
          </m:e>
          <m:sub>
            <m:r>
              <w:rPr>
                <w:rFonts w:ascii="Cambria Math" w:hAnsi="Cambria Math"/>
              </w:rPr>
              <m:t>2</m:t>
            </m:r>
          </m:sub>
        </m:sSub>
      </m:oMath>
      <w:r w:rsidRPr="00CD6518">
        <w:t xml:space="preserve"> are near 0.5.</w:t>
      </w:r>
    </w:p>
    <w:p w:rsidR="00A44501" w:rsidRPr="00CD6518" w:rsidRDefault="00A44501" w:rsidP="00194ABF">
      <w:pPr>
        <w:pStyle w:val="TableTitle"/>
        <w:spacing w:before="0" w:after="0"/>
      </w:pPr>
      <w:bookmarkStart w:id="4" w:name="_Toc367258502"/>
      <w:r w:rsidRPr="00194ABF">
        <w:t>Table B.1-2. Power Table for Test of Equal Proportions (α = 0.05), Given Subgroup Sample Sizes of 7,500*</w:t>
      </w:r>
      <w:bookmarkEnd w:id="4"/>
    </w:p>
    <w:tbl>
      <w:tblPr>
        <w:tblW w:w="0" w:type="auto"/>
        <w:tblCellMar>
          <w:left w:w="0" w:type="dxa"/>
          <w:right w:w="0" w:type="dxa"/>
        </w:tblCellMar>
        <w:tblLook w:val="04A0" w:firstRow="1" w:lastRow="0" w:firstColumn="1" w:lastColumn="0" w:noHBand="0" w:noVBand="1"/>
      </w:tblPr>
      <w:tblGrid>
        <w:gridCol w:w="3078"/>
        <w:gridCol w:w="3306"/>
        <w:gridCol w:w="3192"/>
      </w:tblGrid>
      <w:tr w:rsidR="00A44501" w:rsidRPr="00CD6518" w:rsidTr="00CD6518">
        <w:tc>
          <w:tcPr>
            <w:tcW w:w="3078" w:type="dxa"/>
            <w:tcBorders>
              <w:top w:val="single" w:sz="12" w:space="0" w:color="auto"/>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ind w:firstLine="0"/>
              <w:rPr>
                <w:b/>
                <w:bCs/>
                <w:szCs w:val="22"/>
              </w:rPr>
            </w:pPr>
            <w:r w:rsidRPr="00CD6518">
              <w:rPr>
                <w:b/>
                <w:bCs/>
                <w:sz w:val="22"/>
                <w:szCs w:val="22"/>
              </w:rPr>
              <w:t>If the population proportion for subgroup 1 is . . .</w:t>
            </w:r>
          </w:p>
        </w:tc>
        <w:tc>
          <w:tcPr>
            <w:tcW w:w="3306" w:type="dxa"/>
            <w:tcBorders>
              <w:top w:val="single" w:sz="12" w:space="0" w:color="auto"/>
              <w:left w:val="nil"/>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ind w:firstLine="0"/>
              <w:rPr>
                <w:b/>
                <w:bCs/>
                <w:szCs w:val="22"/>
              </w:rPr>
            </w:pPr>
            <w:r w:rsidRPr="00CD6518">
              <w:rPr>
                <w:b/>
                <w:bCs/>
                <w:sz w:val="22"/>
                <w:szCs w:val="22"/>
              </w:rPr>
              <w:t>. . . and the population proportion for subgroup 2 is . . .</w:t>
            </w:r>
          </w:p>
        </w:tc>
        <w:tc>
          <w:tcPr>
            <w:tcW w:w="3192" w:type="dxa"/>
            <w:tcBorders>
              <w:top w:val="single" w:sz="12" w:space="0" w:color="auto"/>
              <w:left w:val="nil"/>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ind w:firstLine="0"/>
              <w:rPr>
                <w:b/>
                <w:bCs/>
                <w:szCs w:val="22"/>
              </w:rPr>
            </w:pPr>
            <w:r w:rsidRPr="00CD6518">
              <w:rPr>
                <w:b/>
                <w:bCs/>
                <w:sz w:val="22"/>
                <w:szCs w:val="22"/>
              </w:rPr>
              <w:t>. . . then the power to detect a statistically significant difference is . . .</w:t>
            </w:r>
          </w:p>
        </w:tc>
      </w:tr>
      <w:tr w:rsidR="00A44501" w:rsidRPr="00CD6518" w:rsidTr="00CD6518">
        <w:tc>
          <w:tcPr>
            <w:tcW w:w="3078" w:type="dxa"/>
            <w:tcBorders>
              <w:top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 xml:space="preserve">any proportion </w:t>
            </w:r>
            <m:oMath>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1</m:t>
                  </m:r>
                </m:sub>
              </m:sSub>
            </m:oMath>
          </w:p>
        </w:tc>
        <w:tc>
          <w:tcPr>
            <w:tcW w:w="3306" w:type="dxa"/>
            <w:tcBorders>
              <w:top w:val="single" w:sz="8" w:space="0" w:color="auto"/>
              <w:left w:val="nil"/>
            </w:tcBorders>
            <w:tcMar>
              <w:top w:w="0" w:type="dxa"/>
              <w:left w:w="108" w:type="dxa"/>
              <w:bottom w:w="0" w:type="dxa"/>
              <w:right w:w="108" w:type="dxa"/>
            </w:tcMar>
            <w:hideMark/>
          </w:tcPr>
          <w:p w:rsidR="00A44501" w:rsidRPr="00CD6518" w:rsidRDefault="00F24243" w:rsidP="00CD6518">
            <w:pPr>
              <w:pStyle w:val="BodyText1"/>
              <w:spacing w:after="0" w:line="240" w:lineRule="auto"/>
              <w:jc w:val="right"/>
              <w:rPr>
                <w:szCs w:val="22"/>
              </w:rPr>
            </w:pPr>
            <m:oMathPara>
              <m:oMathParaPr>
                <m:jc m:val="right"/>
              </m:oMathParaPr>
              <m:oMath>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1</m:t>
                    </m:r>
                  </m:sub>
                </m:sSub>
                <m:r>
                  <w:rPr>
                    <w:rFonts w:ascii="Cambria Math" w:hAnsi="Cambria Math"/>
                    <w:sz w:val="22"/>
                    <w:szCs w:val="22"/>
                  </w:rPr>
                  <m:t>±0.05</m:t>
                </m:r>
              </m:oMath>
            </m:oMathPara>
          </w:p>
        </w:tc>
        <w:tc>
          <w:tcPr>
            <w:tcW w:w="3192" w:type="dxa"/>
            <w:tcBorders>
              <w:top w:val="single" w:sz="8" w:space="0" w:color="auto"/>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&gt; 99.9%</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0.485</w:t>
            </w:r>
          </w:p>
        </w:tc>
        <w:tc>
          <w:tcPr>
            <w:tcW w:w="3306"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0.515</w:t>
            </w:r>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95.5%</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 xml:space="preserve">any proportion </w:t>
            </w:r>
            <m:oMath>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1</m:t>
                  </m:r>
                </m:sub>
              </m:sSub>
            </m:oMath>
          </w:p>
        </w:tc>
        <w:tc>
          <w:tcPr>
            <w:tcW w:w="3306" w:type="dxa"/>
            <w:tcBorders>
              <w:left w:val="nil"/>
            </w:tcBorders>
            <w:tcMar>
              <w:top w:w="0" w:type="dxa"/>
              <w:left w:w="108" w:type="dxa"/>
              <w:bottom w:w="0" w:type="dxa"/>
              <w:right w:w="108" w:type="dxa"/>
            </w:tcMar>
            <w:hideMark/>
          </w:tcPr>
          <w:p w:rsidR="00A44501" w:rsidRPr="00CD6518" w:rsidRDefault="00F24243" w:rsidP="00CD6518">
            <w:pPr>
              <w:pStyle w:val="BodyText1"/>
              <w:spacing w:after="0" w:line="240" w:lineRule="auto"/>
              <w:jc w:val="right"/>
              <w:rPr>
                <w:szCs w:val="22"/>
              </w:rPr>
            </w:pPr>
            <m:oMathPara>
              <m:oMathParaPr>
                <m:jc m:val="right"/>
              </m:oMathParaPr>
              <m:oMath>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1</m:t>
                    </m:r>
                  </m:sub>
                </m:sSub>
                <m:r>
                  <w:rPr>
                    <w:rFonts w:ascii="Cambria Math" w:hAnsi="Cambria Math"/>
                    <w:sz w:val="22"/>
                    <w:szCs w:val="22"/>
                  </w:rPr>
                  <m:t>±0.03</m:t>
                </m:r>
              </m:oMath>
            </m:oMathPara>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 95.5%</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0.49</w:t>
            </w:r>
          </w:p>
        </w:tc>
        <w:tc>
          <w:tcPr>
            <w:tcW w:w="3306"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0.51</w:t>
            </w:r>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68.2%</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0.39</w:t>
            </w:r>
          </w:p>
        </w:tc>
        <w:tc>
          <w:tcPr>
            <w:tcW w:w="3306"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0.41</w:t>
            </w:r>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70.0%</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0.29</w:t>
            </w:r>
          </w:p>
        </w:tc>
        <w:tc>
          <w:tcPr>
            <w:tcW w:w="3306"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0.31</w:t>
            </w:r>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75.7%</w:t>
            </w:r>
          </w:p>
        </w:tc>
      </w:tr>
      <w:tr w:rsidR="00A44501" w:rsidRPr="00CD6518" w:rsidTr="00CD6518">
        <w:tc>
          <w:tcPr>
            <w:tcW w:w="3078" w:type="dxa"/>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0.19</w:t>
            </w:r>
          </w:p>
        </w:tc>
        <w:tc>
          <w:tcPr>
            <w:tcW w:w="3306"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0.21</w:t>
            </w:r>
          </w:p>
        </w:tc>
        <w:tc>
          <w:tcPr>
            <w:tcW w:w="3192" w:type="dxa"/>
            <w:tcBorders>
              <w:left w:val="nil"/>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86.0%</w:t>
            </w:r>
          </w:p>
        </w:tc>
      </w:tr>
      <w:tr w:rsidR="00A44501" w:rsidRPr="00CD6518" w:rsidTr="00CD6518">
        <w:tc>
          <w:tcPr>
            <w:tcW w:w="3078" w:type="dxa"/>
            <w:tcBorders>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rPr>
                <w:szCs w:val="22"/>
              </w:rPr>
            </w:pPr>
            <w:r w:rsidRPr="00CD6518">
              <w:rPr>
                <w:sz w:val="22"/>
                <w:szCs w:val="22"/>
              </w:rPr>
              <w:t>0.09</w:t>
            </w:r>
          </w:p>
        </w:tc>
        <w:tc>
          <w:tcPr>
            <w:tcW w:w="3306" w:type="dxa"/>
            <w:tcBorders>
              <w:left w:val="nil"/>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0.11</w:t>
            </w:r>
          </w:p>
        </w:tc>
        <w:tc>
          <w:tcPr>
            <w:tcW w:w="3192" w:type="dxa"/>
            <w:tcBorders>
              <w:left w:val="nil"/>
              <w:bottom w:val="single" w:sz="8" w:space="0" w:color="auto"/>
            </w:tcBorders>
            <w:tcMar>
              <w:top w:w="0" w:type="dxa"/>
              <w:left w:w="108" w:type="dxa"/>
              <w:bottom w:w="0" w:type="dxa"/>
              <w:right w:w="108" w:type="dxa"/>
            </w:tcMar>
            <w:hideMark/>
          </w:tcPr>
          <w:p w:rsidR="00A44501" w:rsidRPr="00CD6518" w:rsidRDefault="00A44501" w:rsidP="00CD6518">
            <w:pPr>
              <w:pStyle w:val="BodyText1"/>
              <w:spacing w:after="0" w:line="240" w:lineRule="auto"/>
              <w:jc w:val="right"/>
              <w:rPr>
                <w:szCs w:val="22"/>
              </w:rPr>
            </w:pPr>
            <w:r w:rsidRPr="00CD6518">
              <w:rPr>
                <w:sz w:val="22"/>
                <w:szCs w:val="22"/>
              </w:rPr>
              <w:t>98.2%</w:t>
            </w:r>
          </w:p>
        </w:tc>
      </w:tr>
    </w:tbl>
    <w:p w:rsidR="00A44501" w:rsidRPr="00CD6518" w:rsidRDefault="00A44501" w:rsidP="00CD6518">
      <w:pPr>
        <w:pStyle w:val="BodyText1"/>
        <w:ind w:firstLine="0"/>
        <w:rPr>
          <w:sz w:val="20"/>
        </w:rPr>
      </w:pPr>
      <w:r w:rsidRPr="00CD6518">
        <w:rPr>
          <w:sz w:val="20"/>
        </w:rPr>
        <w:lastRenderedPageBreak/>
        <w:t>*Assumes simple random sampling. Test is two-sided.</w:t>
      </w:r>
    </w:p>
    <w:p w:rsidR="00854D4F" w:rsidRDefault="00854D4F" w:rsidP="00D32737">
      <w:pPr>
        <w:pStyle w:val="BodyText1"/>
      </w:pPr>
      <w:r>
        <w:t>P</w:t>
      </w:r>
      <w:r w:rsidRPr="00361283">
        <w:t>ower calculations for DCE estimates vary by a number of factors (</w:t>
      </w:r>
      <w:r w:rsidR="00537223" w:rsidRPr="00361283">
        <w:t>Bridges et al.</w:t>
      </w:r>
      <w:r w:rsidR="00537223">
        <w:t>,</w:t>
      </w:r>
      <w:r w:rsidR="00537223" w:rsidRPr="00361283">
        <w:t xml:space="preserve"> 2011</w:t>
      </w:r>
      <w:r w:rsidR="00537223">
        <w:t xml:space="preserve">; </w:t>
      </w:r>
      <w:r w:rsidRPr="00361283">
        <w:t>Orme</w:t>
      </w:r>
      <w:r w:rsidR="00537223">
        <w:t>,</w:t>
      </w:r>
      <w:r w:rsidRPr="00361283">
        <w:t xml:space="preserve"> 200</w:t>
      </w:r>
      <w:r>
        <w:t>9</w:t>
      </w:r>
      <w:r w:rsidRPr="00361283">
        <w:t>), including the number of tasks shown to each respondent (</w:t>
      </w:r>
      <w:r w:rsidRPr="00361283">
        <w:rPr>
          <w:i/>
          <w:iCs/>
        </w:rPr>
        <w:t>t</w:t>
      </w:r>
      <w:r w:rsidRPr="00361283">
        <w:t>), the number of alternatives shown in the task (</w:t>
      </w:r>
      <w:r w:rsidRPr="00361283">
        <w:rPr>
          <w:i/>
          <w:iCs/>
        </w:rPr>
        <w:t>a</w:t>
      </w:r>
      <w:r w:rsidRPr="00361283">
        <w:t xml:space="preserve">), the maximum number of attribute levels among the </w:t>
      </w:r>
      <w:r>
        <w:t xml:space="preserve">insurance </w:t>
      </w:r>
      <w:r w:rsidRPr="00361283">
        <w:t>domains</w:t>
      </w:r>
      <w:r>
        <w:t xml:space="preserve"> (</w:t>
      </w:r>
      <w:r>
        <w:rPr>
          <w:i/>
        </w:rPr>
        <w:t>c</w:t>
      </w:r>
      <w:r>
        <w:t>)</w:t>
      </w:r>
      <w:r w:rsidRPr="00361283">
        <w:t>, and whether a linear main-effects design is estimated or a design with partial or complete interactions (</w:t>
      </w:r>
      <w:r w:rsidR="00537223">
        <w:t xml:space="preserve">ChoiceMetrics, 2012; </w:t>
      </w:r>
      <w:r w:rsidR="00537223" w:rsidRPr="00361283">
        <w:t>Flynn</w:t>
      </w:r>
      <w:r w:rsidR="00537223">
        <w:t>,</w:t>
      </w:r>
      <w:r w:rsidR="00537223" w:rsidRPr="00361283">
        <w:t xml:space="preserve"> 2010</w:t>
      </w:r>
      <w:r w:rsidR="00537223">
        <w:t xml:space="preserve">; </w:t>
      </w:r>
      <w:r w:rsidRPr="00361283">
        <w:t>Orme</w:t>
      </w:r>
      <w:r w:rsidR="00537223">
        <w:t>,</w:t>
      </w:r>
      <w:r w:rsidRPr="00361283">
        <w:t xml:space="preserve"> 200</w:t>
      </w:r>
      <w:r>
        <w:t>9</w:t>
      </w:r>
      <w:r w:rsidRPr="00361283">
        <w:t xml:space="preserve">). </w:t>
      </w:r>
      <w:r>
        <w:t xml:space="preserve">Of the two separate DCE components, the first is more data intensive and requires a larger sample than the second, so if the first set is sufficiently powered, the second will also be powered. </w:t>
      </w:r>
    </w:p>
    <w:p w:rsidR="00854D4F" w:rsidRDefault="00854D4F" w:rsidP="00D32737">
      <w:pPr>
        <w:pStyle w:val="BodyText1"/>
      </w:pPr>
      <w:r>
        <w:t xml:space="preserve">In the first DCE component with </w:t>
      </w:r>
      <w:r w:rsidR="00537223">
        <w:t xml:space="preserve">three </w:t>
      </w:r>
      <w:r>
        <w:t>alternatives (</w:t>
      </w:r>
      <w:r w:rsidR="00537223">
        <w:t xml:space="preserve">two </w:t>
      </w:r>
      <w:r>
        <w:t>insurance plans plus a “no insurance” choice), w</w:t>
      </w:r>
      <w:r w:rsidRPr="00361283">
        <w:t xml:space="preserve">e will set </w:t>
      </w:r>
      <w:r w:rsidRPr="00361283">
        <w:rPr>
          <w:i/>
          <w:iCs/>
        </w:rPr>
        <w:t>a=</w:t>
      </w:r>
      <w:r>
        <w:rPr>
          <w:i/>
          <w:iCs/>
        </w:rPr>
        <w:t>3</w:t>
      </w:r>
      <w:r w:rsidRPr="00361283">
        <w:t xml:space="preserve"> for paired comparisons and will collect </w:t>
      </w:r>
      <w:r w:rsidR="00537223">
        <w:t>eight</w:t>
      </w:r>
      <w:r w:rsidR="00537223" w:rsidRPr="0079082E">
        <w:t xml:space="preserve"> </w:t>
      </w:r>
      <w:r w:rsidRPr="0079082E">
        <w:t>tasks per respondent (</w:t>
      </w:r>
      <w:r w:rsidRPr="0079082E">
        <w:rPr>
          <w:i/>
          <w:iCs/>
        </w:rPr>
        <w:t>t</w:t>
      </w:r>
      <w:r w:rsidR="00FB01BD">
        <w:rPr>
          <w:i/>
          <w:iCs/>
        </w:rPr>
        <w:t xml:space="preserve"> </w:t>
      </w:r>
      <w:r w:rsidRPr="0079082E">
        <w:rPr>
          <w:i/>
          <w:iCs/>
        </w:rPr>
        <w:t>=</w:t>
      </w:r>
      <w:r w:rsidR="00FB01BD">
        <w:rPr>
          <w:i/>
          <w:iCs/>
        </w:rPr>
        <w:t xml:space="preserve"> </w:t>
      </w:r>
      <w:r w:rsidRPr="0079082E">
        <w:t>8).</w:t>
      </w:r>
      <w:r w:rsidRPr="00361283">
        <w:t xml:space="preserve"> </w:t>
      </w:r>
      <w:r>
        <w:t xml:space="preserve">Two of these </w:t>
      </w:r>
      <w:r w:rsidR="00537223">
        <w:t xml:space="preserve">eight </w:t>
      </w:r>
      <w:r>
        <w:t xml:space="preserve">tasks will serve as data quality, robustness, and validity checks and cannot be counted in the statistical power estimates, so we use </w:t>
      </w:r>
      <w:r>
        <w:rPr>
          <w:i/>
        </w:rPr>
        <w:t>t</w:t>
      </w:r>
      <w:r w:rsidR="00FB01BD">
        <w:rPr>
          <w:i/>
        </w:rPr>
        <w:t xml:space="preserve"> </w:t>
      </w:r>
      <w:r>
        <w:rPr>
          <w:i/>
        </w:rPr>
        <w:t>=</w:t>
      </w:r>
      <w:r w:rsidR="00FB01BD">
        <w:rPr>
          <w:i/>
        </w:rPr>
        <w:t xml:space="preserve"> </w:t>
      </w:r>
      <w:r>
        <w:rPr>
          <w:i/>
        </w:rPr>
        <w:t>6</w:t>
      </w:r>
      <w:r>
        <w:t xml:space="preserve"> in what follows (Louivere</w:t>
      </w:r>
      <w:r w:rsidR="00537223">
        <w:t xml:space="preserve"> et al.</w:t>
      </w:r>
      <w:r>
        <w:t xml:space="preserve">, 2000). </w:t>
      </w:r>
      <w:r w:rsidRPr="00361283">
        <w:t xml:space="preserve">The </w:t>
      </w:r>
      <w:r>
        <w:t>maximum number of attribute levels for any of the domains is</w:t>
      </w:r>
      <w:r w:rsidR="00F555D7">
        <w:t xml:space="preserve"> </w:t>
      </w:r>
      <w:r>
        <w:rPr>
          <w:i/>
        </w:rPr>
        <w:t>c</w:t>
      </w:r>
      <w:r w:rsidR="00FB01BD">
        <w:rPr>
          <w:i/>
        </w:rPr>
        <w:t xml:space="preserve"> </w:t>
      </w:r>
      <w:r w:rsidRPr="00836798">
        <w:t>=</w:t>
      </w:r>
      <w:r w:rsidR="00FB01BD">
        <w:t xml:space="preserve"> </w:t>
      </w:r>
      <w:r w:rsidRPr="00836798">
        <w:t>4</w:t>
      </w:r>
      <w:r>
        <w:rPr>
          <w:i/>
        </w:rPr>
        <w:t xml:space="preserve">. </w:t>
      </w:r>
      <w:r w:rsidRPr="00361283">
        <w:t>O</w:t>
      </w:r>
      <w:r>
        <w:t>rme (2009</w:t>
      </w:r>
      <w:r w:rsidRPr="00361283">
        <w:t xml:space="preserve">) shows that a robust, powered DCE study requires a sample size </w:t>
      </w:r>
      <w:r w:rsidRPr="00361283">
        <w:rPr>
          <w:i/>
          <w:iCs/>
        </w:rPr>
        <w:t>n</w:t>
      </w:r>
      <w:r w:rsidRPr="00361283">
        <w:t xml:space="preserve"> such that (</w:t>
      </w:r>
      <w:r>
        <w:rPr>
          <w:i/>
          <w:iCs/>
        </w:rPr>
        <w:t>nta/</w:t>
      </w:r>
      <w:r w:rsidRPr="00361283">
        <w:rPr>
          <w:i/>
          <w:iCs/>
        </w:rPr>
        <w:t>c) &gt;= 500</w:t>
      </w:r>
      <w:r w:rsidRPr="00361283">
        <w:t xml:space="preserve"> for a main-effects design or (</w:t>
      </w:r>
      <w:r w:rsidRPr="00361283">
        <w:rPr>
          <w:i/>
          <w:iCs/>
        </w:rPr>
        <w:t>nta/ c</w:t>
      </w:r>
      <w:r w:rsidRPr="00361283">
        <w:rPr>
          <w:i/>
          <w:iCs/>
          <w:vertAlign w:val="superscript"/>
        </w:rPr>
        <w:t>2</w:t>
      </w:r>
      <w:r w:rsidRPr="00361283">
        <w:rPr>
          <w:i/>
          <w:iCs/>
        </w:rPr>
        <w:t xml:space="preserve">) &gt;= 500 </w:t>
      </w:r>
      <w:r w:rsidRPr="00361283">
        <w:t>for a fully</w:t>
      </w:r>
      <w:r w:rsidR="00537223">
        <w:t xml:space="preserve"> </w:t>
      </w:r>
      <w:r w:rsidRPr="00361283">
        <w:t xml:space="preserve">interacted model. Thus, </w:t>
      </w:r>
      <w:r w:rsidRPr="00361283">
        <w:rPr>
          <w:i/>
          <w:iCs/>
        </w:rPr>
        <w:t>n</w:t>
      </w:r>
      <w:r w:rsidRPr="00361283">
        <w:t xml:space="preserve"> must be &gt;= </w:t>
      </w:r>
      <w:r>
        <w:t>111</w:t>
      </w:r>
      <w:r w:rsidRPr="00361283">
        <w:t xml:space="preserve"> for a main-effects design or &gt;= </w:t>
      </w:r>
      <w:r>
        <w:t>444</w:t>
      </w:r>
      <w:r w:rsidRPr="00361283">
        <w:t xml:space="preserve"> for a fully</w:t>
      </w:r>
      <w:r w:rsidR="00537223">
        <w:t xml:space="preserve"> </w:t>
      </w:r>
      <w:r w:rsidRPr="00361283">
        <w:t xml:space="preserve">interacted design. </w:t>
      </w:r>
      <w:r>
        <w:t xml:space="preserve">However, as discussed elsewhere in this application, we anticipate a sample size of </w:t>
      </w:r>
      <w:r w:rsidRPr="0079082E">
        <w:t>n</w:t>
      </w:r>
      <w:r w:rsidR="00FB01BD">
        <w:t xml:space="preserve"> </w:t>
      </w:r>
      <w:r w:rsidRPr="0079082E">
        <w:t>=</w:t>
      </w:r>
      <w:r w:rsidR="00FB01BD">
        <w:t xml:space="preserve"> </w:t>
      </w:r>
      <w:r w:rsidRPr="0079082E">
        <w:t>15,000 so</w:t>
      </w:r>
      <w:r>
        <w:t xml:space="preserve"> our DCE will have more than adequate power. Further,</w:t>
      </w:r>
      <w:r w:rsidRPr="00361283">
        <w:t xml:space="preserve"> Yang et al.</w:t>
      </w:r>
      <w:r>
        <w:t xml:space="preserve"> (</w:t>
      </w:r>
      <w:r w:rsidRPr="00361283">
        <w:t>2010</w:t>
      </w:r>
      <w:r>
        <w:t>)</w:t>
      </w:r>
      <w:r w:rsidRPr="00361283">
        <w:t xml:space="preserve"> showed that the Orme rule was conservative in 26 of 28 studies examined. </w:t>
      </w:r>
    </w:p>
    <w:p w:rsidR="00AA042F" w:rsidRDefault="00815380" w:rsidP="00815380">
      <w:pPr>
        <w:pStyle w:val="Heading2"/>
      </w:pPr>
      <w:bookmarkStart w:id="5" w:name="_Toc365448284"/>
      <w:r>
        <w:t>B.2</w:t>
      </w:r>
      <w:r>
        <w:tab/>
      </w:r>
      <w:r w:rsidR="00AA042F" w:rsidRPr="007B5800">
        <w:t>Procedures for the Collection of Information</w:t>
      </w:r>
      <w:bookmarkEnd w:id="5"/>
    </w:p>
    <w:p w:rsidR="00AE455E" w:rsidRDefault="00AA042F" w:rsidP="00D32737">
      <w:pPr>
        <w:pStyle w:val="BodyText1"/>
      </w:pPr>
      <w:r w:rsidRPr="00361283">
        <w:t xml:space="preserve">This is a one-time data </w:t>
      </w:r>
      <w:r w:rsidR="00E250A1">
        <w:t>collection;</w:t>
      </w:r>
      <w:r w:rsidRPr="00361283">
        <w:t xml:space="preserve"> respondents will not be recontacted</w:t>
      </w:r>
      <w:r w:rsidR="00E250A1">
        <w:t xml:space="preserve"> for this study</w:t>
      </w:r>
      <w:r w:rsidR="0061584B">
        <w:t>.</w:t>
      </w:r>
      <w:r w:rsidR="00F555D7">
        <w:t xml:space="preserve"> </w:t>
      </w:r>
      <w:r w:rsidR="00AE455E">
        <w:rPr>
          <w:rFonts w:eastAsia="Arial"/>
          <w:spacing w:val="4"/>
        </w:rPr>
        <w:t>Sample respondents will receive an e</w:t>
      </w:r>
      <w:r w:rsidR="00537223">
        <w:rPr>
          <w:rFonts w:eastAsia="Arial"/>
          <w:spacing w:val="4"/>
        </w:rPr>
        <w:t>-</w:t>
      </w:r>
      <w:r w:rsidR="00AE455E">
        <w:rPr>
          <w:rFonts w:eastAsia="Arial"/>
          <w:spacing w:val="4"/>
        </w:rPr>
        <w:t xml:space="preserve">mail </w:t>
      </w:r>
      <w:r w:rsidR="00AE455E" w:rsidRPr="00361283">
        <w:t>invitation</w:t>
      </w:r>
      <w:r w:rsidR="00AE455E">
        <w:t xml:space="preserve"> to complete a web-based survey. Interested participants will self-administer the web-based instrument at their convenience in their own homes or elsewhere, which will take approximately 45 minutes.</w:t>
      </w:r>
      <w:r w:rsidR="00F555D7">
        <w:t xml:space="preserve"> </w:t>
      </w:r>
      <w:r w:rsidR="00AE455E">
        <w:t xml:space="preserve">To encourage participation, a small incentive of 10,000 </w:t>
      </w:r>
      <w:r w:rsidR="004D3F56">
        <w:t xml:space="preserve">KP </w:t>
      </w:r>
      <w:r w:rsidR="00AE455E">
        <w:t>“points” (equivalent to about $10.00) will be provided to respondents.</w:t>
      </w:r>
      <w:r w:rsidR="00F555D7">
        <w:t xml:space="preserve"> </w:t>
      </w:r>
      <w:r w:rsidR="00AE455E">
        <w:t>T</w:t>
      </w:r>
      <w:r w:rsidR="00AE455E" w:rsidRPr="00361283">
        <w:rPr>
          <w:bCs/>
        </w:rPr>
        <w:t>wo e</w:t>
      </w:r>
      <w:r w:rsidR="00537223">
        <w:rPr>
          <w:bCs/>
        </w:rPr>
        <w:t>-</w:t>
      </w:r>
      <w:r w:rsidR="00AE455E" w:rsidRPr="00361283">
        <w:rPr>
          <w:bCs/>
        </w:rPr>
        <w:t>mail reminders will be sent to nonresponde</w:t>
      </w:r>
      <w:r w:rsidR="00AE455E">
        <w:rPr>
          <w:bCs/>
        </w:rPr>
        <w:t>nts</w:t>
      </w:r>
      <w:r w:rsidR="00AE455E" w:rsidRPr="00361283">
        <w:rPr>
          <w:bCs/>
        </w:rPr>
        <w:t xml:space="preserve"> </w:t>
      </w:r>
      <w:r w:rsidR="00AE455E">
        <w:rPr>
          <w:bCs/>
        </w:rPr>
        <w:t>to encourage them to complete the survey.</w:t>
      </w:r>
      <w:r w:rsidR="00F555D7">
        <w:rPr>
          <w:bCs/>
        </w:rPr>
        <w:t xml:space="preserve"> </w:t>
      </w:r>
      <w:r w:rsidR="00AE455E">
        <w:t xml:space="preserve"> </w:t>
      </w:r>
    </w:p>
    <w:p w:rsidR="00F16C1C" w:rsidRDefault="005A0699" w:rsidP="00D32737">
      <w:pPr>
        <w:pStyle w:val="BodyText1"/>
      </w:pPr>
      <w:r>
        <w:t>GfK</w:t>
      </w:r>
      <w:r w:rsidR="00AA042F">
        <w:t xml:space="preserve"> </w:t>
      </w:r>
      <w:r w:rsidR="00AA042F" w:rsidRPr="00361283">
        <w:t xml:space="preserve">performs </w:t>
      </w:r>
      <w:r w:rsidR="00AA042F">
        <w:t xml:space="preserve">several </w:t>
      </w:r>
      <w:r w:rsidR="00AA042F" w:rsidRPr="00361283">
        <w:t xml:space="preserve">internal quality assurance tasks to ensure proper coding of the survey and data reliability. </w:t>
      </w:r>
      <w:r w:rsidR="00AA042F">
        <w:t>T</w:t>
      </w:r>
      <w:r w:rsidR="00AA042F" w:rsidRPr="00361283">
        <w:t xml:space="preserve">he questionnaire programming code is </w:t>
      </w:r>
      <w:r w:rsidR="00AA042F">
        <w:t xml:space="preserve">first </w:t>
      </w:r>
      <w:r w:rsidR="00AA042F" w:rsidRPr="00361283">
        <w:t xml:space="preserve">tested and reviewed by a </w:t>
      </w:r>
      <w:r>
        <w:t>GfK p</w:t>
      </w:r>
      <w:r w:rsidR="00AA042F" w:rsidRPr="00361283">
        <w:t xml:space="preserve">roject </w:t>
      </w:r>
      <w:r>
        <w:t>m</w:t>
      </w:r>
      <w:r w:rsidR="00AA042F" w:rsidRPr="00361283">
        <w:t>anager</w:t>
      </w:r>
      <w:r w:rsidR="00AA042F">
        <w:t>.</w:t>
      </w:r>
      <w:r w:rsidR="00F555D7">
        <w:t xml:space="preserve"> </w:t>
      </w:r>
      <w:r w:rsidR="00AA042F">
        <w:t>Following that review, the programming code is r</w:t>
      </w:r>
      <w:r w:rsidR="00AA042F" w:rsidRPr="00361283">
        <w:t xml:space="preserve">igorously examined </w:t>
      </w:r>
      <w:r w:rsidR="00AA042F" w:rsidRPr="00361283">
        <w:lastRenderedPageBreak/>
        <w:t>through a data correspondence check to verify 100</w:t>
      </w:r>
      <w:r w:rsidR="00537223">
        <w:t xml:space="preserve"> percent</w:t>
      </w:r>
      <w:r w:rsidR="00537223" w:rsidRPr="00361283">
        <w:t xml:space="preserve"> </w:t>
      </w:r>
      <w:r w:rsidR="00AA042F" w:rsidRPr="00361283">
        <w:t xml:space="preserve">input/output correspondence. </w:t>
      </w:r>
      <w:r w:rsidR="00AA042F">
        <w:t xml:space="preserve">Next, </w:t>
      </w:r>
      <w:r w:rsidR="00AA042F" w:rsidRPr="00361283">
        <w:t xml:space="preserve">RTI and </w:t>
      </w:r>
      <w:r w:rsidR="00AA042F">
        <w:t>ASPE</w:t>
      </w:r>
      <w:r w:rsidR="00AA042F" w:rsidRPr="00361283">
        <w:t xml:space="preserve"> will review the survey instrument in an online format to ensure proper presentation and programming.</w:t>
      </w:r>
    </w:p>
    <w:p w:rsidR="00F16C1C" w:rsidRDefault="00AA042F" w:rsidP="00D32737">
      <w:pPr>
        <w:pStyle w:val="BodyText1"/>
      </w:pPr>
      <w:r>
        <w:t xml:space="preserve">Following that review, </w:t>
      </w:r>
      <w:r w:rsidR="005A0699">
        <w:t xml:space="preserve">GfK </w:t>
      </w:r>
      <w:r w:rsidR="00F16C1C">
        <w:t>will conduct a pre-test with 25 respondents to make sure that the survey is working properly “in the real world.”</w:t>
      </w:r>
      <w:r w:rsidR="00F555D7">
        <w:t xml:space="preserve"> </w:t>
      </w:r>
      <w:r w:rsidR="00F16C1C">
        <w:t xml:space="preserve">Once all identified problems have been resolved, </w:t>
      </w:r>
      <w:r w:rsidR="005A0699">
        <w:t>GfK</w:t>
      </w:r>
      <w:r w:rsidRPr="00361283">
        <w:t xml:space="preserve"> will begin fielding </w:t>
      </w:r>
      <w:r w:rsidR="00F16C1C">
        <w:t xml:space="preserve">the questionnaire </w:t>
      </w:r>
      <w:r w:rsidRPr="00361283">
        <w:t xml:space="preserve">with a “soft start” in which </w:t>
      </w:r>
      <w:r w:rsidR="00F16C1C">
        <w:t>approximately 80</w:t>
      </w:r>
      <w:r w:rsidRPr="00361283">
        <w:t xml:space="preserve"> survey invitations </w:t>
      </w:r>
      <w:r w:rsidR="00F16C1C">
        <w:t xml:space="preserve">will be </w:t>
      </w:r>
      <w:r w:rsidRPr="00361283">
        <w:t>sent to obtain roughly 50 completed observations</w:t>
      </w:r>
      <w:r>
        <w:t>. (</w:t>
      </w:r>
      <w:r w:rsidRPr="00361283">
        <w:t xml:space="preserve">Note: </w:t>
      </w:r>
      <w:r w:rsidR="00FB01BD" w:rsidRPr="00361283">
        <w:t xml:space="preserve">These </w:t>
      </w:r>
      <w:r w:rsidRPr="00361283">
        <w:t xml:space="preserve">soft start </w:t>
      </w:r>
      <w:r w:rsidR="00F16C1C">
        <w:t xml:space="preserve">surveys </w:t>
      </w:r>
      <w:r w:rsidRPr="00361283">
        <w:t>are included as completes.)</w:t>
      </w:r>
      <w:r w:rsidRPr="00361283">
        <w:rPr>
          <w:b/>
          <w:bCs/>
        </w:rPr>
        <w:t xml:space="preserve"> </w:t>
      </w:r>
      <w:r>
        <w:t>I</w:t>
      </w:r>
      <w:r w:rsidRPr="00361283">
        <w:t xml:space="preserve">mmediately after the soft start is completed, </w:t>
      </w:r>
      <w:r w:rsidR="005A0699">
        <w:t>GfK</w:t>
      </w:r>
      <w:r w:rsidRPr="00361283">
        <w:t xml:space="preserve"> will send an encrypted, de-identified data file to RTI for preliminary analysis as a further quality control check. Any issues identified by </w:t>
      </w:r>
      <w:r>
        <w:t>ASPE</w:t>
      </w:r>
      <w:r w:rsidRPr="00361283">
        <w:t xml:space="preserve"> or RTI will be </w:t>
      </w:r>
      <w:r>
        <w:t xml:space="preserve">addressed </w:t>
      </w:r>
      <w:r w:rsidRPr="00361283">
        <w:t xml:space="preserve">before </w:t>
      </w:r>
      <w:r w:rsidR="005A0699">
        <w:t>GfK</w:t>
      </w:r>
      <w:r w:rsidRPr="00361283">
        <w:t xml:space="preserve"> begins the full fielding. </w:t>
      </w:r>
    </w:p>
    <w:p w:rsidR="00AA042F" w:rsidRDefault="00AA042F" w:rsidP="005A0699">
      <w:pPr>
        <w:spacing w:line="360" w:lineRule="auto"/>
        <w:ind w:firstLine="720"/>
        <w:rPr>
          <w:rFonts w:asciiTheme="majorBidi" w:hAnsiTheme="majorBidi" w:cstheme="majorBidi"/>
        </w:rPr>
      </w:pPr>
      <w:r w:rsidRPr="00361283">
        <w:rPr>
          <w:rFonts w:asciiTheme="majorBidi" w:hAnsiTheme="majorBidi" w:cstheme="majorBidi"/>
        </w:rPr>
        <w:t xml:space="preserve">Participants are permitted to complete the survey only once, </w:t>
      </w:r>
      <w:r>
        <w:rPr>
          <w:rFonts w:asciiTheme="majorBidi" w:hAnsiTheme="majorBidi" w:cstheme="majorBidi"/>
        </w:rPr>
        <w:t xml:space="preserve">with </w:t>
      </w:r>
      <w:r w:rsidRPr="00361283">
        <w:rPr>
          <w:rFonts w:asciiTheme="majorBidi" w:hAnsiTheme="majorBidi" w:cstheme="majorBidi"/>
        </w:rPr>
        <w:t>each respondent ha</w:t>
      </w:r>
      <w:r>
        <w:rPr>
          <w:rFonts w:asciiTheme="majorBidi" w:hAnsiTheme="majorBidi" w:cstheme="majorBidi"/>
        </w:rPr>
        <w:t>ving</w:t>
      </w:r>
      <w:r w:rsidRPr="00361283">
        <w:rPr>
          <w:rFonts w:asciiTheme="majorBidi" w:hAnsiTheme="majorBidi" w:cstheme="majorBidi"/>
        </w:rPr>
        <w:t xml:space="preserve"> a unique code. Survey invitations will be sent by </w:t>
      </w:r>
      <w:r w:rsidR="005A0699">
        <w:rPr>
          <w:rFonts w:asciiTheme="majorBidi" w:hAnsiTheme="majorBidi" w:cstheme="majorBidi"/>
        </w:rPr>
        <w:t>GfK</w:t>
      </w:r>
      <w:r w:rsidRPr="00361283">
        <w:rPr>
          <w:rFonts w:asciiTheme="majorBidi" w:hAnsiTheme="majorBidi" w:cstheme="majorBidi"/>
        </w:rPr>
        <w:t xml:space="preserve"> to a sample of U.S. adults </w:t>
      </w:r>
      <w:r w:rsidR="00FB01BD">
        <w:rPr>
          <w:rFonts w:asciiTheme="majorBidi" w:hAnsiTheme="majorBidi" w:cstheme="majorBidi"/>
        </w:rPr>
        <w:t xml:space="preserve">aged </w:t>
      </w:r>
      <w:r w:rsidR="00F16C1C">
        <w:rPr>
          <w:rFonts w:asciiTheme="majorBidi" w:hAnsiTheme="majorBidi" w:cstheme="majorBidi"/>
        </w:rPr>
        <w:t>40</w:t>
      </w:r>
      <w:r w:rsidR="00537223">
        <w:rPr>
          <w:rFonts w:asciiTheme="majorBidi" w:hAnsiTheme="majorBidi" w:cstheme="majorBidi"/>
        </w:rPr>
        <w:t>–</w:t>
      </w:r>
      <w:r w:rsidR="00F16C1C">
        <w:rPr>
          <w:rFonts w:asciiTheme="majorBidi" w:hAnsiTheme="majorBidi" w:cstheme="majorBidi"/>
        </w:rPr>
        <w:t xml:space="preserve">70 </w:t>
      </w:r>
      <w:r w:rsidRPr="00361283">
        <w:rPr>
          <w:rFonts w:asciiTheme="majorBidi" w:hAnsiTheme="majorBidi" w:cstheme="majorBidi"/>
        </w:rPr>
        <w:t>from its standing panel</w:t>
      </w:r>
      <w:r w:rsidR="00F16C1C">
        <w:rPr>
          <w:rFonts w:asciiTheme="majorBidi" w:hAnsiTheme="majorBidi" w:cstheme="majorBidi"/>
        </w:rPr>
        <w:t>.</w:t>
      </w:r>
      <w:r w:rsidR="00F555D7">
        <w:rPr>
          <w:rFonts w:asciiTheme="majorBidi" w:hAnsiTheme="majorBidi" w:cstheme="majorBidi"/>
        </w:rPr>
        <w:t xml:space="preserve"> </w:t>
      </w:r>
      <w:r w:rsidRPr="00361283">
        <w:rPr>
          <w:rFonts w:asciiTheme="majorBidi" w:hAnsiTheme="majorBidi" w:cstheme="majorBidi"/>
        </w:rPr>
        <w:t xml:space="preserve">A respondent’s initial log-in directs </w:t>
      </w:r>
      <w:r>
        <w:rPr>
          <w:rFonts w:asciiTheme="majorBidi" w:hAnsiTheme="majorBidi" w:cstheme="majorBidi"/>
        </w:rPr>
        <w:t xml:space="preserve">the user </w:t>
      </w:r>
      <w:r w:rsidRPr="00361283">
        <w:rPr>
          <w:rFonts w:asciiTheme="majorBidi" w:hAnsiTheme="majorBidi" w:cstheme="majorBidi"/>
        </w:rPr>
        <w:t>to an IRB-approved online consent form</w:t>
      </w:r>
      <w:r w:rsidR="00F16C1C">
        <w:rPr>
          <w:rFonts w:asciiTheme="majorBidi" w:hAnsiTheme="majorBidi" w:cstheme="majorBidi"/>
        </w:rPr>
        <w:t>,</w:t>
      </w:r>
      <w:r w:rsidRPr="00361283">
        <w:rPr>
          <w:rFonts w:asciiTheme="majorBidi" w:hAnsiTheme="majorBidi" w:cstheme="majorBidi"/>
        </w:rPr>
        <w:t xml:space="preserve"> which provides general information about the study and any possible risks. To participate in the study, respondents must click a box to indicate that they have read the </w:t>
      </w:r>
      <w:r w:rsidR="00F16C1C">
        <w:rPr>
          <w:rFonts w:asciiTheme="majorBidi" w:hAnsiTheme="majorBidi" w:cstheme="majorBidi"/>
        </w:rPr>
        <w:t xml:space="preserve">informed consent </w:t>
      </w:r>
      <w:r w:rsidRPr="00361283">
        <w:rPr>
          <w:rFonts w:asciiTheme="majorBidi" w:hAnsiTheme="majorBidi" w:cstheme="majorBidi"/>
        </w:rPr>
        <w:t>and that they voluntarily consent to participate in the study</w:t>
      </w:r>
      <w:r>
        <w:rPr>
          <w:rFonts w:asciiTheme="majorBidi" w:hAnsiTheme="majorBidi" w:cstheme="majorBidi"/>
        </w:rPr>
        <w:t xml:space="preserve">. </w:t>
      </w:r>
    </w:p>
    <w:p w:rsidR="00AA042F" w:rsidRDefault="00AA042F" w:rsidP="00D32737">
      <w:pPr>
        <w:pStyle w:val="BodyText1"/>
      </w:pPr>
      <w:r w:rsidRPr="00361283">
        <w:t xml:space="preserve">Consenting participants will begin the survey on a short introduction page, and then proceed through several </w:t>
      </w:r>
      <w:r>
        <w:t xml:space="preserve">distinct sections of the survey about long-term care, health status, demographics, personal characteristics, assets and income, and insurance. </w:t>
      </w:r>
      <w:r w:rsidRPr="00361283">
        <w:t xml:space="preserve">Next, </w:t>
      </w:r>
      <w:r>
        <w:t xml:space="preserve">to measure preference for long-term care insurance policies, </w:t>
      </w:r>
      <w:r w:rsidRPr="00361283">
        <w:t xml:space="preserve">the survey will present a series </w:t>
      </w:r>
      <w:r w:rsidR="005E571F">
        <w:t xml:space="preserve">of </w:t>
      </w:r>
      <w:r w:rsidRPr="00361283">
        <w:t>DCEs</w:t>
      </w:r>
      <w:r w:rsidRPr="00B304CB">
        <w:t xml:space="preserve"> </w:t>
      </w:r>
      <w:r w:rsidRPr="00361283">
        <w:t>o</w:t>
      </w:r>
      <w:r>
        <w:t>r</w:t>
      </w:r>
      <w:r w:rsidRPr="00361283">
        <w:t xml:space="preserve"> stated preference comparisons. The </w:t>
      </w:r>
      <w:r>
        <w:t xml:space="preserve">first main set of </w:t>
      </w:r>
      <w:r w:rsidRPr="00361283">
        <w:t>DCE questions ask</w:t>
      </w:r>
      <w:r w:rsidR="00537223">
        <w:t>s</w:t>
      </w:r>
      <w:r w:rsidRPr="00361283">
        <w:t xml:space="preserve"> the respondent to select the </w:t>
      </w:r>
      <w:r w:rsidR="00F0796E" w:rsidRPr="00361283">
        <w:t>more</w:t>
      </w:r>
      <w:r w:rsidRPr="00361283">
        <w:t xml:space="preserve"> preferred of two hypothetical </w:t>
      </w:r>
      <w:r>
        <w:t>insurance plans or no insurance plan; the second set asks respondents to select which of two plans without an opt-out alternative and use fewer attributes. The DCE</w:t>
      </w:r>
      <w:r w:rsidRPr="00361283">
        <w:t xml:space="preserve"> </w:t>
      </w:r>
      <w:r>
        <w:t xml:space="preserve">questions </w:t>
      </w:r>
      <w:r w:rsidRPr="00361283">
        <w:t xml:space="preserve">have been designed following methods </w:t>
      </w:r>
      <w:r>
        <w:t xml:space="preserve">recommended </w:t>
      </w:r>
      <w:r w:rsidRPr="00361283">
        <w:t>in Flynn et al. (2010), Hauber et al. (2010), Bijlenga et al. (2009), and Ratcliffe et al. (2009</w:t>
      </w:r>
      <w:r>
        <w:t>). The actual plan comparisons that a respondent sees</w:t>
      </w:r>
      <w:r w:rsidRPr="00361283">
        <w:t xml:space="preserve"> will be randomly drawn for each respondent from a </w:t>
      </w:r>
      <w:r w:rsidRPr="00361283">
        <w:rPr>
          <w:i/>
          <w:iCs/>
        </w:rPr>
        <w:t>D</w:t>
      </w:r>
      <w:r w:rsidRPr="00361283">
        <w:t>-efficient, fractional factorial, orthogonal design based on Johnson et al. (2007).</w:t>
      </w:r>
      <w:r w:rsidR="003525F6">
        <w:t xml:space="preserve"> </w:t>
      </w:r>
    </w:p>
    <w:p w:rsidR="00F16C1C" w:rsidRPr="00361283" w:rsidRDefault="00F16C1C" w:rsidP="00D32737">
      <w:pPr>
        <w:pStyle w:val="BodyText1"/>
      </w:pPr>
      <w:r w:rsidRPr="00361283">
        <w:t xml:space="preserve">After </w:t>
      </w:r>
      <w:r>
        <w:t>data collection is complete</w:t>
      </w:r>
      <w:r w:rsidRPr="00361283">
        <w:t>, the final data file is generated following strict quality control procedures at</w:t>
      </w:r>
      <w:r w:rsidR="005A0699" w:rsidRPr="005A0699">
        <w:t xml:space="preserve"> </w:t>
      </w:r>
      <w:r w:rsidR="005A0699">
        <w:t>GfK</w:t>
      </w:r>
      <w:r w:rsidR="00FB01BD">
        <w:t>,</w:t>
      </w:r>
      <w:r w:rsidR="005A0699">
        <w:t xml:space="preserve"> </w:t>
      </w:r>
      <w:r w:rsidRPr="00361283">
        <w:t>review by multiple supervisors, and random checking on a case</w:t>
      </w:r>
      <w:r w:rsidR="00537223">
        <w:t xml:space="preserve"> </w:t>
      </w:r>
      <w:r w:rsidRPr="00361283">
        <w:t xml:space="preserve">level </w:t>
      </w:r>
      <w:r w:rsidRPr="00361283">
        <w:lastRenderedPageBreak/>
        <w:t xml:space="preserve">to ensure proper merging and formatting. Again, </w:t>
      </w:r>
      <w:r w:rsidR="005A0699">
        <w:t xml:space="preserve">GfK </w:t>
      </w:r>
      <w:r w:rsidRPr="00361283">
        <w:t xml:space="preserve">will de-identify and encrypt the data before final delivery to RTI. </w:t>
      </w:r>
    </w:p>
    <w:p w:rsidR="00510BD9" w:rsidRDefault="00815380" w:rsidP="00815380">
      <w:pPr>
        <w:pStyle w:val="Heading2"/>
      </w:pPr>
      <w:bookmarkStart w:id="6" w:name="_Toc365448285"/>
      <w:r>
        <w:t>B.3</w:t>
      </w:r>
      <w:r>
        <w:tab/>
      </w:r>
      <w:r w:rsidR="00510BD9" w:rsidRPr="0079082E">
        <w:t>Methods for Maximizing Response Rates</w:t>
      </w:r>
      <w:bookmarkEnd w:id="6"/>
    </w:p>
    <w:p w:rsidR="00C67A25" w:rsidRDefault="00510BD9" w:rsidP="00D32737">
      <w:pPr>
        <w:pStyle w:val="BodyText1"/>
      </w:pPr>
      <w:r w:rsidRPr="00361283">
        <w:t xml:space="preserve">The survey and the data collection methods have been designed by </w:t>
      </w:r>
      <w:r>
        <w:t xml:space="preserve">ASPE, </w:t>
      </w:r>
      <w:r w:rsidRPr="00361283">
        <w:t xml:space="preserve">RTI, and </w:t>
      </w:r>
      <w:r w:rsidR="005A0699">
        <w:t xml:space="preserve">GfK </w:t>
      </w:r>
      <w:r w:rsidRPr="00361283">
        <w:t xml:space="preserve">to </w:t>
      </w:r>
      <w:r w:rsidR="001367F2">
        <w:t xml:space="preserve">maximize response </w:t>
      </w:r>
      <w:r w:rsidR="00741CB0">
        <w:t xml:space="preserve">to this web-based survey </w:t>
      </w:r>
      <w:r w:rsidR="001367F2">
        <w:t xml:space="preserve">and to </w:t>
      </w:r>
      <w:r w:rsidRPr="00361283">
        <w:t xml:space="preserve">minimize nonresponse bias. </w:t>
      </w:r>
      <w:r w:rsidR="00537223">
        <w:t>We</w:t>
      </w:r>
      <w:r w:rsidR="001367F2">
        <w:t xml:space="preserve"> anticipate that </w:t>
      </w:r>
      <w:r w:rsidR="00741CB0">
        <w:t>we</w:t>
      </w:r>
      <w:r w:rsidR="001367F2">
        <w:t xml:space="preserve"> will </w:t>
      </w:r>
      <w:r w:rsidR="00741CB0">
        <w:t xml:space="preserve">obtain </w:t>
      </w:r>
      <w:r w:rsidR="001367F2" w:rsidRPr="00D20943">
        <w:t>a 65</w:t>
      </w:r>
      <w:r w:rsidR="00537223">
        <w:t xml:space="preserve"> percent</w:t>
      </w:r>
      <w:r w:rsidR="00537223" w:rsidRPr="00D20943">
        <w:t xml:space="preserve"> </w:t>
      </w:r>
      <w:r w:rsidR="001367F2" w:rsidRPr="00D20943">
        <w:t>response</w:t>
      </w:r>
      <w:r w:rsidR="001367F2">
        <w:t xml:space="preserve"> rate for this study.</w:t>
      </w:r>
      <w:r w:rsidR="00F555D7">
        <w:t xml:space="preserve"> </w:t>
      </w:r>
      <w:r w:rsidR="00C67A25" w:rsidRPr="001367F2">
        <w:t xml:space="preserve">In most studies, </w:t>
      </w:r>
      <w:r w:rsidR="005A0699">
        <w:t>GfK</w:t>
      </w:r>
      <w:r w:rsidR="00FB01BD">
        <w:t>’s</w:t>
      </w:r>
      <w:r w:rsidR="005A0699">
        <w:t xml:space="preserve"> </w:t>
      </w:r>
      <w:r w:rsidR="005E571F" w:rsidRPr="001367F2">
        <w:t>Internet</w:t>
      </w:r>
      <w:r w:rsidR="00C67A25" w:rsidRPr="001367F2">
        <w:t xml:space="preserve"> panel has </w:t>
      </w:r>
      <w:r w:rsidR="003C35CB">
        <w:t xml:space="preserve">achieved this or </w:t>
      </w:r>
      <w:r w:rsidR="00C67A25" w:rsidRPr="001367F2">
        <w:t>high</w:t>
      </w:r>
      <w:r w:rsidR="003C35CB">
        <w:t>er</w:t>
      </w:r>
      <w:r w:rsidR="00C67A25" w:rsidRPr="001367F2">
        <w:t xml:space="preserve"> response rates. </w:t>
      </w:r>
    </w:p>
    <w:p w:rsidR="00C67A25" w:rsidRDefault="00510BD9" w:rsidP="003C35CB">
      <w:pPr>
        <w:spacing w:line="360" w:lineRule="auto"/>
        <w:rPr>
          <w:rFonts w:asciiTheme="majorBidi" w:hAnsiTheme="majorBidi" w:cstheme="majorBidi"/>
          <w:bCs/>
          <w:i/>
          <w:iCs/>
        </w:rPr>
      </w:pPr>
      <w:r w:rsidRPr="00361283">
        <w:rPr>
          <w:rFonts w:asciiTheme="majorBidi" w:hAnsiTheme="majorBidi" w:cstheme="majorBidi"/>
          <w:bCs/>
          <w:i/>
          <w:iCs/>
        </w:rPr>
        <w:t xml:space="preserve">Methods to </w:t>
      </w:r>
      <w:r w:rsidR="00FB01BD" w:rsidRPr="00361283">
        <w:rPr>
          <w:rFonts w:asciiTheme="majorBidi" w:hAnsiTheme="majorBidi" w:cstheme="majorBidi"/>
          <w:bCs/>
          <w:i/>
          <w:iCs/>
        </w:rPr>
        <w:t>Reduce Nonresponse Bi</w:t>
      </w:r>
      <w:r w:rsidRPr="00361283">
        <w:rPr>
          <w:rFonts w:asciiTheme="majorBidi" w:hAnsiTheme="majorBidi" w:cstheme="majorBidi"/>
          <w:bCs/>
          <w:i/>
          <w:iCs/>
        </w:rPr>
        <w:t>as</w:t>
      </w:r>
      <w:r>
        <w:rPr>
          <w:rFonts w:asciiTheme="majorBidi" w:hAnsiTheme="majorBidi" w:cstheme="majorBidi"/>
          <w:bCs/>
          <w:i/>
          <w:iCs/>
        </w:rPr>
        <w:t xml:space="preserve"> </w:t>
      </w:r>
    </w:p>
    <w:p w:rsidR="00510BD9" w:rsidRPr="00361283" w:rsidRDefault="00510BD9" w:rsidP="00D32737">
      <w:pPr>
        <w:pStyle w:val="BodyText1"/>
      </w:pPr>
      <w:r w:rsidRPr="00361283">
        <w:t xml:space="preserve">The following steps have been undertaken in the </w:t>
      </w:r>
      <w:r w:rsidR="00D10264">
        <w:t xml:space="preserve">questionnaire </w:t>
      </w:r>
      <w:r w:rsidRPr="00361283">
        <w:t xml:space="preserve">design to minimize nonresponse bias and to ensure </w:t>
      </w:r>
      <w:r w:rsidR="003C35CB">
        <w:t xml:space="preserve">adequate </w:t>
      </w:r>
      <w:r w:rsidRPr="00361283">
        <w:t>response rates:</w:t>
      </w:r>
    </w:p>
    <w:p w:rsidR="000218E8" w:rsidRPr="002D7C90" w:rsidRDefault="00D10264" w:rsidP="000B493A">
      <w:pPr>
        <w:pStyle w:val="bullets"/>
      </w:pPr>
      <w:r>
        <w:rPr>
          <w:i/>
          <w:iCs/>
        </w:rPr>
        <w:t xml:space="preserve">Review and </w:t>
      </w:r>
      <w:r w:rsidR="00537223">
        <w:rPr>
          <w:i/>
          <w:iCs/>
        </w:rPr>
        <w:t>cognitive testi</w:t>
      </w:r>
      <w:r>
        <w:rPr>
          <w:i/>
          <w:iCs/>
        </w:rPr>
        <w:t>ng</w:t>
      </w:r>
      <w:r w:rsidR="00510BD9" w:rsidRPr="00361283">
        <w:t xml:space="preserve">. The survey has been carefully designed and tested to ensure the best possible respondent experience. </w:t>
      </w:r>
      <w:r>
        <w:t xml:space="preserve">ASPE, a </w:t>
      </w:r>
      <w:r w:rsidR="005E571F">
        <w:t>TEP</w:t>
      </w:r>
      <w:r>
        <w:t xml:space="preserve">, and the research team </w:t>
      </w:r>
      <w:r w:rsidR="00537223" w:rsidRPr="00361283">
        <w:t>ha</w:t>
      </w:r>
      <w:r w:rsidR="00537223">
        <w:t>ve</w:t>
      </w:r>
      <w:r w:rsidR="00537223" w:rsidRPr="00361283">
        <w:t xml:space="preserve"> </w:t>
      </w:r>
      <w:r w:rsidR="00510BD9" w:rsidRPr="000B493A">
        <w:t>extensively</w:t>
      </w:r>
      <w:r w:rsidR="00510BD9" w:rsidRPr="00361283">
        <w:t xml:space="preserve"> </w:t>
      </w:r>
      <w:r>
        <w:t xml:space="preserve">reviewed </w:t>
      </w:r>
      <w:r w:rsidR="00510BD9" w:rsidRPr="00361283">
        <w:t xml:space="preserve">the </w:t>
      </w:r>
      <w:r>
        <w:t xml:space="preserve">questionnaire </w:t>
      </w:r>
      <w:r w:rsidR="00510BD9" w:rsidRPr="00361283">
        <w:t xml:space="preserve">to </w:t>
      </w:r>
      <w:r>
        <w:t>ensure that it is understandable and obtains the desired information.</w:t>
      </w:r>
      <w:r w:rsidR="00F555D7">
        <w:t xml:space="preserve"> </w:t>
      </w:r>
    </w:p>
    <w:p w:rsidR="009F5F80" w:rsidRPr="009F5F80" w:rsidRDefault="00510BD9" w:rsidP="000B493A">
      <w:pPr>
        <w:pStyle w:val="bullets"/>
      </w:pPr>
      <w:r w:rsidRPr="00486271">
        <w:rPr>
          <w:i/>
          <w:iCs/>
        </w:rPr>
        <w:t>Sensitivity to human subjects and topic</w:t>
      </w:r>
      <w:r w:rsidRPr="00486271">
        <w:t xml:space="preserve">. </w:t>
      </w:r>
      <w:r w:rsidR="009F5F80" w:rsidRPr="009F5F80">
        <w:t>There may be certain questions that may be viewed as sensitive by respondents, particularly those related to disability, health conditions, and income and assets.</w:t>
      </w:r>
      <w:r w:rsidR="00F555D7">
        <w:t xml:space="preserve"> </w:t>
      </w:r>
      <w:r w:rsidR="009F5F80" w:rsidRPr="009F5F80">
        <w:t>These variables are all critical to the study.</w:t>
      </w:r>
      <w:r w:rsidR="00F555D7">
        <w:t xml:space="preserve"> </w:t>
      </w:r>
      <w:r w:rsidR="009F5F80" w:rsidRPr="009F5F80">
        <w:t>Disability and health conditions are important predictors of the use of long-term care services and private insurance medical underwriting typically exclude people with cognitive and physical impairments and with certain medical conditions.</w:t>
      </w:r>
      <w:r w:rsidR="00F555D7">
        <w:t xml:space="preserve"> </w:t>
      </w:r>
      <w:r w:rsidR="009F5F80" w:rsidRPr="009F5F80">
        <w:t>Likewise, income and assets are important predictors of the purchase of long-term care insurance and of the use of home care, nursing home care, and assisted living.</w:t>
      </w:r>
      <w:r w:rsidR="00F555D7">
        <w:t xml:space="preserve"> </w:t>
      </w:r>
      <w:r w:rsidR="009F5F80" w:rsidRPr="009F5F80">
        <w:t xml:space="preserve">These questions were extensively vetted by all parties participating in the questionnaire development process to </w:t>
      </w:r>
      <w:r w:rsidR="00537223">
        <w:t>en</w:t>
      </w:r>
      <w:r w:rsidR="00537223" w:rsidRPr="009F5F80">
        <w:t xml:space="preserve">sure </w:t>
      </w:r>
      <w:r w:rsidR="009F5F80" w:rsidRPr="009F5F80">
        <w:t xml:space="preserve">the analytic value of each item. Information from these sensitive questions will be used to characterize study participants and </w:t>
      </w:r>
      <w:r w:rsidR="00177494">
        <w:t xml:space="preserve">to </w:t>
      </w:r>
      <w:r w:rsidR="009F5F80" w:rsidRPr="009F5F80">
        <w:t xml:space="preserve">help us better understand </w:t>
      </w:r>
      <w:r w:rsidR="00177494">
        <w:t>respondents’</w:t>
      </w:r>
      <w:r w:rsidR="009F5F80" w:rsidRPr="009F5F80">
        <w:t xml:space="preserve"> level of long-term care awareness and planning and their preferences for long-term care insurance.</w:t>
      </w:r>
    </w:p>
    <w:p w:rsidR="00510BD9" w:rsidRPr="00486271" w:rsidRDefault="00510BD9" w:rsidP="000B493A">
      <w:pPr>
        <w:pStyle w:val="bullets"/>
      </w:pPr>
      <w:r w:rsidRPr="00486271">
        <w:rPr>
          <w:i/>
          <w:iCs/>
        </w:rPr>
        <w:t>Limited length.</w:t>
      </w:r>
      <w:r w:rsidRPr="00486271">
        <w:t xml:space="preserve"> The research team has scrutinized all items and </w:t>
      </w:r>
      <w:r w:rsidR="00C67A25">
        <w:t>shortened</w:t>
      </w:r>
      <w:r w:rsidRPr="00486271">
        <w:t xml:space="preserve"> the survey to the minimum length possible to reduce respondent burden and maximize response and completion rates.</w:t>
      </w:r>
      <w:r w:rsidR="00F555D7">
        <w:t xml:space="preserve"> </w:t>
      </w:r>
      <w:r w:rsidR="00537223">
        <w:t>We</w:t>
      </w:r>
      <w:r w:rsidR="00177494">
        <w:t xml:space="preserve"> anticipate that the questionnaire will take approximately 45 minutes to complete.</w:t>
      </w:r>
      <w:r w:rsidR="00F555D7">
        <w:t xml:space="preserve"> </w:t>
      </w:r>
    </w:p>
    <w:p w:rsidR="00510BD9" w:rsidRPr="00361283" w:rsidRDefault="0090123D" w:rsidP="000B493A">
      <w:pPr>
        <w:pStyle w:val="bullets"/>
      </w:pPr>
      <w:r>
        <w:rPr>
          <w:i/>
          <w:iCs/>
        </w:rPr>
        <w:t>M</w:t>
      </w:r>
      <w:r w:rsidR="00510BD9" w:rsidRPr="00361283">
        <w:rPr>
          <w:i/>
          <w:iCs/>
        </w:rPr>
        <w:t>odest incentives.</w:t>
      </w:r>
      <w:r w:rsidR="00510BD9" w:rsidRPr="00361283">
        <w:t xml:space="preserve"> </w:t>
      </w:r>
      <w:r w:rsidR="004D3F56">
        <w:t>KP</w:t>
      </w:r>
      <w:r>
        <w:t xml:space="preserve"> participants routinely receive points for participating in surveys that can be exchanged for </w:t>
      </w:r>
      <w:r w:rsidR="005B16BB">
        <w:t>merchandise.</w:t>
      </w:r>
      <w:r w:rsidR="00F555D7">
        <w:t xml:space="preserve"> </w:t>
      </w:r>
      <w:r w:rsidR="007E4B22">
        <w:t xml:space="preserve">GfK </w:t>
      </w:r>
      <w:r>
        <w:t>intends to provide participants 10,000 points (roughly equivalent to $10.00) for participation in this survey.</w:t>
      </w:r>
      <w:r w:rsidR="00F555D7">
        <w:t xml:space="preserve"> </w:t>
      </w:r>
    </w:p>
    <w:p w:rsidR="00510BD9" w:rsidRPr="00361283" w:rsidRDefault="00510BD9" w:rsidP="000B493A">
      <w:pPr>
        <w:pStyle w:val="bullets"/>
      </w:pPr>
      <w:r w:rsidRPr="00361283">
        <w:rPr>
          <w:i/>
          <w:iCs/>
        </w:rPr>
        <w:t>Reminders.</w:t>
      </w:r>
      <w:r w:rsidRPr="00361283">
        <w:t xml:space="preserve"> Two e</w:t>
      </w:r>
      <w:r w:rsidR="00537223">
        <w:t>-</w:t>
      </w:r>
      <w:r w:rsidRPr="00361283">
        <w:t>mail reminders will be sent to nonresponde</w:t>
      </w:r>
      <w:r w:rsidR="00177494">
        <w:t>nts</w:t>
      </w:r>
      <w:r w:rsidRPr="00361283">
        <w:t xml:space="preserve"> </w:t>
      </w:r>
      <w:r w:rsidR="005B16BB">
        <w:t>to encourage them to complete the survey.</w:t>
      </w:r>
      <w:r w:rsidR="00F555D7">
        <w:t xml:space="preserve"> </w:t>
      </w:r>
    </w:p>
    <w:p w:rsidR="00510BD9" w:rsidRDefault="00510BD9" w:rsidP="000B493A">
      <w:pPr>
        <w:pStyle w:val="bullets"/>
      </w:pPr>
      <w:r w:rsidRPr="00361283">
        <w:rPr>
          <w:i/>
          <w:iCs/>
        </w:rPr>
        <w:lastRenderedPageBreak/>
        <w:t xml:space="preserve">Toll-free numbers. </w:t>
      </w:r>
      <w:r w:rsidR="007E4B22">
        <w:t xml:space="preserve">GfK </w:t>
      </w:r>
      <w:r w:rsidRPr="00361283">
        <w:t>will provide toll-free telephone numbers in the survey invitation and welcome screen for potential or enrolled respondents to call with any questions or concerns about any aspect of the study. RTI will also provide a toll-free telephone number for participants who have any questions about the study or their rights as a study participant.</w:t>
      </w:r>
    </w:p>
    <w:p w:rsidR="00AE79D3" w:rsidRDefault="00510BD9" w:rsidP="008A2564">
      <w:pPr>
        <w:spacing w:line="360" w:lineRule="auto"/>
        <w:rPr>
          <w:rFonts w:asciiTheme="majorBidi" w:hAnsiTheme="majorBidi" w:cstheme="majorBidi"/>
          <w:bCs/>
          <w:i/>
          <w:iCs/>
        </w:rPr>
      </w:pPr>
      <w:r w:rsidRPr="00361283">
        <w:rPr>
          <w:rFonts w:asciiTheme="majorBidi" w:hAnsiTheme="majorBidi" w:cstheme="majorBidi"/>
          <w:bCs/>
          <w:i/>
          <w:iCs/>
        </w:rPr>
        <w:t xml:space="preserve">Methods to </w:t>
      </w:r>
      <w:r w:rsidR="00FB01BD" w:rsidRPr="00361283">
        <w:rPr>
          <w:rFonts w:asciiTheme="majorBidi" w:hAnsiTheme="majorBidi" w:cstheme="majorBidi"/>
          <w:bCs/>
          <w:i/>
          <w:iCs/>
        </w:rPr>
        <w:t xml:space="preserve">Detect </w:t>
      </w:r>
      <w:r w:rsidRPr="00361283">
        <w:rPr>
          <w:rFonts w:asciiTheme="majorBidi" w:hAnsiTheme="majorBidi" w:cstheme="majorBidi"/>
          <w:bCs/>
          <w:i/>
          <w:iCs/>
        </w:rPr>
        <w:t xml:space="preserve">and </w:t>
      </w:r>
      <w:r w:rsidR="00FB01BD" w:rsidRPr="00361283">
        <w:rPr>
          <w:rFonts w:asciiTheme="majorBidi" w:hAnsiTheme="majorBidi" w:cstheme="majorBidi"/>
          <w:bCs/>
          <w:i/>
          <w:iCs/>
        </w:rPr>
        <w:t xml:space="preserve">Report </w:t>
      </w:r>
      <w:r w:rsidRPr="00361283">
        <w:rPr>
          <w:rFonts w:asciiTheme="majorBidi" w:hAnsiTheme="majorBidi" w:cstheme="majorBidi"/>
          <w:bCs/>
          <w:i/>
          <w:iCs/>
        </w:rPr>
        <w:t xml:space="preserve">on </w:t>
      </w:r>
      <w:r w:rsidR="00FB01BD" w:rsidRPr="00361283">
        <w:rPr>
          <w:rFonts w:asciiTheme="majorBidi" w:hAnsiTheme="majorBidi" w:cstheme="majorBidi"/>
          <w:bCs/>
          <w:i/>
          <w:iCs/>
        </w:rPr>
        <w:t>Nonresponse Bi</w:t>
      </w:r>
      <w:r w:rsidRPr="00361283">
        <w:rPr>
          <w:rFonts w:asciiTheme="majorBidi" w:hAnsiTheme="majorBidi" w:cstheme="majorBidi"/>
          <w:bCs/>
          <w:i/>
          <w:iCs/>
        </w:rPr>
        <w:t>as</w:t>
      </w:r>
    </w:p>
    <w:p w:rsidR="00510BD9" w:rsidRPr="001C74D9" w:rsidRDefault="001D5BBA" w:rsidP="00B734B0">
      <w:pPr>
        <w:pStyle w:val="BodyText1"/>
      </w:pPr>
      <w:r>
        <w:rPr>
          <w:bCs/>
        </w:rPr>
        <w:t>T</w:t>
      </w:r>
      <w:r w:rsidR="00510BD9" w:rsidRPr="001C74D9">
        <w:t xml:space="preserve">o </w:t>
      </w:r>
      <w:r>
        <w:t>assess nonresponse bias, GfK</w:t>
      </w:r>
      <w:r w:rsidR="00C842DC">
        <w:t xml:space="preserve"> </w:t>
      </w:r>
      <w:r>
        <w:t xml:space="preserve">will </w:t>
      </w:r>
      <w:r w:rsidR="00510BD9" w:rsidRPr="001C74D9">
        <w:t xml:space="preserve">compare respondents </w:t>
      </w:r>
      <w:r w:rsidR="00510BD9">
        <w:t xml:space="preserve">from this study </w:t>
      </w:r>
      <w:r w:rsidR="00510BD9" w:rsidRPr="001C74D9">
        <w:t xml:space="preserve">to </w:t>
      </w:r>
      <w:r w:rsidR="004F6F24">
        <w:t>nonrespondents using key variables from the frame, such as age, race, region, and marital status.</w:t>
      </w:r>
      <w:r w:rsidR="00F555D7">
        <w:t xml:space="preserve"> </w:t>
      </w:r>
      <w:r w:rsidR="004F6F24">
        <w:t xml:space="preserve">In addition, respondents will be benchmarked against sociodemographic characteristics of the population </w:t>
      </w:r>
      <w:r>
        <w:t xml:space="preserve">from </w:t>
      </w:r>
      <w:r w:rsidR="00510BD9" w:rsidRPr="001C74D9">
        <w:t>standard surveys</w:t>
      </w:r>
      <w:r w:rsidR="001E3E44">
        <w:t>, such as the Health and Retirement Study and the Current Population Survey.</w:t>
      </w:r>
      <w:r w:rsidR="00F555D7">
        <w:t xml:space="preserve"> </w:t>
      </w:r>
      <w:r w:rsidR="00510BD9" w:rsidRPr="001C74D9">
        <w:t xml:space="preserve">A limitation of this approach is that </w:t>
      </w:r>
      <w:r>
        <w:t xml:space="preserve">the </w:t>
      </w:r>
      <w:r w:rsidR="00510BD9" w:rsidRPr="001C74D9">
        <w:t xml:space="preserve">other surveys </w:t>
      </w:r>
      <w:r>
        <w:t>will be from different time periods</w:t>
      </w:r>
      <w:r w:rsidR="00510BD9" w:rsidRPr="001C74D9">
        <w:t xml:space="preserve"> and </w:t>
      </w:r>
      <w:r w:rsidR="001E3E44">
        <w:t xml:space="preserve">will </w:t>
      </w:r>
      <w:r w:rsidR="00510BD9" w:rsidRPr="001C74D9">
        <w:t xml:space="preserve">have used other modes of data collection. As a result, data differences observed from our study and those could be the result of </w:t>
      </w:r>
      <w:r>
        <w:t xml:space="preserve">changes over time </w:t>
      </w:r>
      <w:r w:rsidR="00510BD9" w:rsidRPr="001C74D9">
        <w:t>or mode differences (Denni</w:t>
      </w:r>
      <w:r>
        <w:t>s, 2010).</w:t>
      </w:r>
      <w:r w:rsidR="00F555D7">
        <w:t xml:space="preserve"> </w:t>
      </w:r>
      <w:r w:rsidR="004F6F24">
        <w:t xml:space="preserve">GfK will use these results in </w:t>
      </w:r>
      <w:r>
        <w:t>post-dat</w:t>
      </w:r>
      <w:r w:rsidR="00B4137A">
        <w:t>a</w:t>
      </w:r>
      <w:r>
        <w:t xml:space="preserve"> collection weighting.</w:t>
      </w:r>
      <w:r w:rsidR="00F555D7">
        <w:t xml:space="preserve"> </w:t>
      </w:r>
    </w:p>
    <w:p w:rsidR="00465CAE" w:rsidRDefault="00815380" w:rsidP="00815380">
      <w:pPr>
        <w:pStyle w:val="Heading2"/>
      </w:pPr>
      <w:bookmarkStart w:id="7" w:name="_Toc365448286"/>
      <w:r>
        <w:t>B.4</w:t>
      </w:r>
      <w:r>
        <w:tab/>
      </w:r>
      <w:r w:rsidR="00465CAE" w:rsidRPr="007B5800">
        <w:t>Testing Procedures and Methods</w:t>
      </w:r>
      <w:bookmarkEnd w:id="7"/>
    </w:p>
    <w:p w:rsidR="00474438" w:rsidRDefault="000F0681" w:rsidP="00815380">
      <w:pPr>
        <w:pStyle w:val="BodyText1"/>
        <w:rPr>
          <w:rFonts w:ascii="TimesNewRomanPSMT" w:hAnsi="TimesNewRomanPSMT" w:cs="TimesNewRomanPSMT"/>
        </w:rPr>
      </w:pPr>
      <w:r>
        <w:t xml:space="preserve">As </w:t>
      </w:r>
      <w:r w:rsidR="003A0279">
        <w:t xml:space="preserve">discussed </w:t>
      </w:r>
      <w:r>
        <w:t>previously, we obtained feedback on the questionnaire by memb</w:t>
      </w:r>
      <w:r w:rsidR="003F6F0C">
        <w:t xml:space="preserve">ers of a </w:t>
      </w:r>
      <w:r w:rsidR="005E571F">
        <w:t>TEP</w:t>
      </w:r>
      <w:r w:rsidR="007B2347">
        <w:t xml:space="preserve"> and the members of a parallel ASPE contract on long-term care insurance.</w:t>
      </w:r>
      <w:r w:rsidR="00F555D7">
        <w:t xml:space="preserve"> </w:t>
      </w:r>
      <w:r w:rsidR="007B2347">
        <w:t>In addition, we</w:t>
      </w:r>
      <w:r w:rsidR="003F6F0C">
        <w:t xml:space="preserve"> then conducted </w:t>
      </w:r>
      <w:r w:rsidR="007B2347">
        <w:t xml:space="preserve">two rounds of </w:t>
      </w:r>
      <w:r w:rsidR="003F6F0C">
        <w:t xml:space="preserve">cognitive interviews </w:t>
      </w:r>
      <w:r w:rsidR="007B2347">
        <w:t>(</w:t>
      </w:r>
      <w:r w:rsidR="00537223">
        <w:t xml:space="preserve">nine </w:t>
      </w:r>
      <w:r w:rsidR="007B2347">
        <w:t xml:space="preserve">persons each in Washington, DC, and the Durham/Raleigh, North Carolina, area) </w:t>
      </w:r>
      <w:r>
        <w:t xml:space="preserve">and have made changes based on the </w:t>
      </w:r>
      <w:r w:rsidR="007B2347">
        <w:t>testing</w:t>
      </w:r>
      <w:r>
        <w:t>.</w:t>
      </w:r>
      <w:r w:rsidR="003F6F0C">
        <w:t xml:space="preserve"> </w:t>
      </w:r>
      <w:r>
        <w:t xml:space="preserve">As mentioned, many of the questions being asked have been </w:t>
      </w:r>
      <w:r w:rsidR="007B2347">
        <w:t>used in other surveys of long-term care awareness and planning.</w:t>
      </w:r>
      <w:r w:rsidR="00F555D7">
        <w:t xml:space="preserve"> </w:t>
      </w:r>
    </w:p>
    <w:p w:rsidR="00474438" w:rsidRPr="000A1F60" w:rsidRDefault="00474438" w:rsidP="00D32737">
      <w:pPr>
        <w:pStyle w:val="BodyText1"/>
        <w:rPr>
          <w:rFonts w:eastAsia="Arial"/>
        </w:rPr>
      </w:pPr>
      <w:r>
        <w:rPr>
          <w:rFonts w:ascii="TimesNewRomanPSMT" w:hAnsi="TimesNewRomanPSMT" w:cs="TimesNewRomanPSMT"/>
        </w:rPr>
        <w:t xml:space="preserve">In addition, </w:t>
      </w:r>
      <w:r w:rsidRPr="000A1F60">
        <w:rPr>
          <w:rFonts w:eastAsia="Arial"/>
          <w:spacing w:val="-1"/>
        </w:rPr>
        <w:t>G</w:t>
      </w:r>
      <w:r w:rsidRPr="000A1F60">
        <w:rPr>
          <w:rFonts w:eastAsia="Arial"/>
          <w:spacing w:val="3"/>
        </w:rPr>
        <w:t>f</w:t>
      </w:r>
      <w:r w:rsidRPr="000A1F60">
        <w:rPr>
          <w:rFonts w:eastAsia="Arial"/>
        </w:rPr>
        <w:t xml:space="preserve">K </w:t>
      </w:r>
      <w:r>
        <w:rPr>
          <w:rFonts w:eastAsia="Arial"/>
        </w:rPr>
        <w:t xml:space="preserve">will </w:t>
      </w:r>
      <w:r w:rsidRPr="000A1F60">
        <w:rPr>
          <w:rFonts w:eastAsia="Arial"/>
        </w:rPr>
        <w:t>p</w:t>
      </w:r>
      <w:r w:rsidRPr="000A1F60">
        <w:rPr>
          <w:rFonts w:eastAsia="Arial"/>
          <w:spacing w:val="1"/>
        </w:rPr>
        <w:t>r</w:t>
      </w:r>
      <w:r w:rsidRPr="000A1F60">
        <w:rPr>
          <w:rFonts w:eastAsia="Arial"/>
          <w:spacing w:val="-3"/>
        </w:rPr>
        <w:t>e</w:t>
      </w:r>
      <w:r w:rsidRPr="000A1F60">
        <w:rPr>
          <w:rFonts w:eastAsia="Arial"/>
          <w:spacing w:val="1"/>
        </w:rPr>
        <w:t>t</w:t>
      </w:r>
      <w:r w:rsidRPr="000A1F60">
        <w:rPr>
          <w:rFonts w:eastAsia="Arial"/>
        </w:rPr>
        <w:t>e</w:t>
      </w:r>
      <w:r w:rsidRPr="000A1F60">
        <w:rPr>
          <w:rFonts w:eastAsia="Arial"/>
          <w:spacing w:val="-2"/>
        </w:rPr>
        <w:t>s</w:t>
      </w:r>
      <w:r w:rsidRPr="000A1F60">
        <w:rPr>
          <w:rFonts w:eastAsia="Arial"/>
          <w:spacing w:val="1"/>
        </w:rPr>
        <w:t xml:space="preserve">t </w:t>
      </w:r>
      <w:r>
        <w:rPr>
          <w:rFonts w:eastAsia="Arial"/>
          <w:spacing w:val="1"/>
        </w:rPr>
        <w:t xml:space="preserve">the questionnaire by administering the instrument to </w:t>
      </w:r>
      <w:r w:rsidRPr="000A1F60">
        <w:rPr>
          <w:rFonts w:eastAsia="Arial"/>
        </w:rPr>
        <w:t>25</w:t>
      </w:r>
      <w:r w:rsidRPr="000A1F60">
        <w:rPr>
          <w:rFonts w:eastAsia="Arial"/>
          <w:spacing w:val="2"/>
        </w:rPr>
        <w:t xml:space="preserve"> </w:t>
      </w:r>
      <w:r w:rsidRPr="000A1F60">
        <w:rPr>
          <w:rFonts w:eastAsia="Arial"/>
        </w:rPr>
        <w:t>pan</w:t>
      </w:r>
      <w:r w:rsidRPr="000A1F60">
        <w:rPr>
          <w:rFonts w:eastAsia="Arial"/>
          <w:spacing w:val="2"/>
        </w:rPr>
        <w:t>e</w:t>
      </w:r>
      <w:r w:rsidRPr="000A1F60">
        <w:rPr>
          <w:rFonts w:eastAsia="Arial"/>
          <w:spacing w:val="1"/>
        </w:rPr>
        <w:t>l</w:t>
      </w:r>
      <w:r w:rsidR="00532ECF">
        <w:rPr>
          <w:rFonts w:eastAsia="Arial"/>
          <w:spacing w:val="1"/>
        </w:rPr>
        <w:t xml:space="preserve"> members </w:t>
      </w:r>
      <w:r w:rsidRPr="000A1F60">
        <w:rPr>
          <w:rFonts w:eastAsia="Arial"/>
          <w:spacing w:val="3"/>
        </w:rPr>
        <w:t>f</w:t>
      </w:r>
      <w:r w:rsidRPr="000A1F60">
        <w:rPr>
          <w:rFonts w:eastAsia="Arial"/>
          <w:spacing w:val="1"/>
        </w:rPr>
        <w:t>r</w:t>
      </w:r>
      <w:r w:rsidRPr="000A1F60">
        <w:rPr>
          <w:rFonts w:eastAsia="Arial"/>
          <w:spacing w:val="-3"/>
        </w:rPr>
        <w:t>o</w:t>
      </w:r>
      <w:r w:rsidRPr="000A1F60">
        <w:rPr>
          <w:rFonts w:eastAsia="Arial"/>
        </w:rPr>
        <w:t>m</w:t>
      </w:r>
      <w:r w:rsidRPr="000A1F60">
        <w:rPr>
          <w:rFonts w:eastAsia="Arial"/>
          <w:spacing w:val="4"/>
        </w:rPr>
        <w:t xml:space="preserve"> </w:t>
      </w:r>
      <w:r w:rsidRPr="000A1F60">
        <w:rPr>
          <w:rFonts w:eastAsia="Arial"/>
          <w:spacing w:val="1"/>
        </w:rPr>
        <w:t>t</w:t>
      </w:r>
      <w:r w:rsidRPr="000A1F60">
        <w:rPr>
          <w:rFonts w:eastAsia="Arial"/>
        </w:rPr>
        <w:t>he</w:t>
      </w:r>
      <w:r w:rsidRPr="000A1F60">
        <w:rPr>
          <w:rFonts w:eastAsia="Arial"/>
          <w:spacing w:val="2"/>
        </w:rPr>
        <w:t xml:space="preserve"> </w:t>
      </w:r>
      <w:r w:rsidRPr="000A1F60">
        <w:rPr>
          <w:rFonts w:eastAsia="Arial"/>
        </w:rPr>
        <w:t>s</w:t>
      </w:r>
      <w:r w:rsidRPr="000A1F60">
        <w:rPr>
          <w:rFonts w:eastAsia="Arial"/>
          <w:spacing w:val="1"/>
        </w:rPr>
        <w:t>t</w:t>
      </w:r>
      <w:r w:rsidRPr="000A1F60">
        <w:rPr>
          <w:rFonts w:eastAsia="Arial"/>
        </w:rPr>
        <w:t>udy popu</w:t>
      </w:r>
      <w:r w:rsidRPr="000A1F60">
        <w:rPr>
          <w:rFonts w:eastAsia="Arial"/>
          <w:spacing w:val="-1"/>
        </w:rPr>
        <w:t>l</w:t>
      </w:r>
      <w:r w:rsidRPr="000A1F60">
        <w:rPr>
          <w:rFonts w:eastAsia="Arial"/>
        </w:rPr>
        <w:t>a</w:t>
      </w:r>
      <w:r w:rsidRPr="000A1F60">
        <w:rPr>
          <w:rFonts w:eastAsia="Arial"/>
          <w:spacing w:val="1"/>
        </w:rPr>
        <w:t>t</w:t>
      </w:r>
      <w:r w:rsidRPr="000A1F60">
        <w:rPr>
          <w:rFonts w:eastAsia="Arial"/>
          <w:spacing w:val="-1"/>
        </w:rPr>
        <w:t>i</w:t>
      </w:r>
      <w:r w:rsidRPr="000A1F60">
        <w:rPr>
          <w:rFonts w:eastAsia="Arial"/>
        </w:rPr>
        <w:t>on</w:t>
      </w:r>
      <w:r>
        <w:rPr>
          <w:rFonts w:eastAsia="Arial"/>
        </w:rPr>
        <w:t>.</w:t>
      </w:r>
      <w:r w:rsidR="00F555D7">
        <w:rPr>
          <w:rFonts w:eastAsia="Arial"/>
        </w:rPr>
        <w:t xml:space="preserve"> </w:t>
      </w:r>
      <w:r w:rsidR="00537223">
        <w:rPr>
          <w:rFonts w:eastAsia="Arial"/>
        </w:rPr>
        <w:t xml:space="preserve">Because </w:t>
      </w:r>
      <w:r>
        <w:rPr>
          <w:rFonts w:eastAsia="Arial"/>
        </w:rPr>
        <w:t xml:space="preserve">the instrument has already undergone cognitive testing, the primary purpose of the pretest is to ensure that the </w:t>
      </w:r>
      <w:r w:rsidR="00532ECF">
        <w:rPr>
          <w:rFonts w:eastAsia="Arial"/>
        </w:rPr>
        <w:t xml:space="preserve">skip logic is correct and that </w:t>
      </w:r>
      <w:r w:rsidR="00FB01BD">
        <w:rPr>
          <w:rFonts w:eastAsia="Arial"/>
        </w:rPr>
        <w:t xml:space="preserve">the </w:t>
      </w:r>
      <w:r>
        <w:rPr>
          <w:rFonts w:eastAsia="Arial"/>
        </w:rPr>
        <w:t>questionnaire has been properly programmed.</w:t>
      </w:r>
      <w:r w:rsidR="00F555D7">
        <w:rPr>
          <w:rFonts w:eastAsia="Arial"/>
        </w:rPr>
        <w:t xml:space="preserve"> </w:t>
      </w:r>
    </w:p>
    <w:p w:rsidR="00465CAE" w:rsidRPr="007B5800" w:rsidRDefault="00815380" w:rsidP="00815380">
      <w:pPr>
        <w:pStyle w:val="Heading2"/>
      </w:pPr>
      <w:bookmarkStart w:id="8" w:name="_Toc365448287"/>
      <w:r>
        <w:t>B.5</w:t>
      </w:r>
      <w:r>
        <w:tab/>
      </w:r>
      <w:r w:rsidR="00465CAE" w:rsidRPr="007B5800">
        <w:t>Name of Contractor Responsible for Collection and Analysis and</w:t>
      </w:r>
      <w:r>
        <w:t xml:space="preserve"> </w:t>
      </w:r>
      <w:r w:rsidR="00465CAE" w:rsidRPr="007B5800">
        <w:t>Other Individuals Consulted Regarding Method and Design</w:t>
      </w:r>
      <w:bookmarkEnd w:id="8"/>
    </w:p>
    <w:p w:rsidR="00465CAE" w:rsidRPr="000431A6" w:rsidRDefault="00465CAE" w:rsidP="00D32737">
      <w:pPr>
        <w:pStyle w:val="BodyText1"/>
      </w:pPr>
      <w:r w:rsidRPr="000431A6">
        <w:t xml:space="preserve">The contractor principally responsible for study design, </w:t>
      </w:r>
      <w:r w:rsidR="007B2347">
        <w:t xml:space="preserve">questionnaire development, data </w:t>
      </w:r>
      <w:r w:rsidRPr="000431A6">
        <w:t>analysis</w:t>
      </w:r>
      <w:r w:rsidR="007B2347">
        <w:t xml:space="preserve"> and report writing</w:t>
      </w:r>
      <w:r w:rsidRPr="000431A6">
        <w:t xml:space="preserve"> is:</w:t>
      </w:r>
    </w:p>
    <w:p w:rsidR="00465CAE" w:rsidRPr="000431A6" w:rsidRDefault="00465CAE" w:rsidP="00465CAE">
      <w:pPr>
        <w:autoSpaceDE w:val="0"/>
        <w:autoSpaceDN w:val="0"/>
        <w:adjustRightInd w:val="0"/>
        <w:rPr>
          <w:rFonts w:asciiTheme="majorBidi" w:hAnsiTheme="majorBidi" w:cstheme="majorBidi"/>
          <w:color w:val="000000"/>
        </w:rPr>
      </w:pPr>
    </w:p>
    <w:p w:rsidR="00E404C4" w:rsidRDefault="00E404C4">
      <w:pPr>
        <w:spacing w:after="200" w:line="276" w:lineRule="auto"/>
        <w:rPr>
          <w:rFonts w:asciiTheme="majorBidi" w:hAnsiTheme="majorBidi" w:cstheme="majorBidi"/>
        </w:rPr>
      </w:pPr>
      <w:r>
        <w:rPr>
          <w:rFonts w:asciiTheme="majorBidi" w:hAnsiTheme="majorBidi" w:cstheme="majorBidi"/>
        </w:rPr>
        <w:br w:type="page"/>
      </w:r>
    </w:p>
    <w:p w:rsidR="007B2347" w:rsidRDefault="00465CAE" w:rsidP="00530283">
      <w:pPr>
        <w:autoSpaceDE w:val="0"/>
        <w:autoSpaceDN w:val="0"/>
        <w:adjustRightInd w:val="0"/>
        <w:ind w:left="720"/>
        <w:rPr>
          <w:rFonts w:asciiTheme="majorBidi" w:hAnsiTheme="majorBidi" w:cstheme="majorBidi"/>
        </w:rPr>
      </w:pPr>
      <w:r w:rsidRPr="000431A6">
        <w:rPr>
          <w:rFonts w:asciiTheme="majorBidi" w:hAnsiTheme="majorBidi" w:cstheme="majorBidi"/>
        </w:rPr>
        <w:lastRenderedPageBreak/>
        <w:t xml:space="preserve">Joshua </w:t>
      </w:r>
      <w:r w:rsidR="00C46FF2">
        <w:rPr>
          <w:rFonts w:asciiTheme="majorBidi" w:hAnsiTheme="majorBidi" w:cstheme="majorBidi"/>
        </w:rPr>
        <w:t xml:space="preserve">M. </w:t>
      </w:r>
      <w:r w:rsidRPr="000431A6">
        <w:rPr>
          <w:rFonts w:asciiTheme="majorBidi" w:hAnsiTheme="majorBidi" w:cstheme="majorBidi"/>
        </w:rPr>
        <w:t>W</w:t>
      </w:r>
      <w:r w:rsidR="00C46FF2">
        <w:rPr>
          <w:rFonts w:asciiTheme="majorBidi" w:hAnsiTheme="majorBidi" w:cstheme="majorBidi"/>
        </w:rPr>
        <w:t>i</w:t>
      </w:r>
      <w:r w:rsidR="00AF659A">
        <w:rPr>
          <w:rFonts w:asciiTheme="majorBidi" w:hAnsiTheme="majorBidi" w:cstheme="majorBidi"/>
        </w:rPr>
        <w:t>ener, PhD</w:t>
      </w:r>
    </w:p>
    <w:p w:rsidR="00465CAE" w:rsidRPr="000431A6" w:rsidRDefault="00465CAE" w:rsidP="00E22D02">
      <w:pPr>
        <w:autoSpaceDE w:val="0"/>
        <w:autoSpaceDN w:val="0"/>
        <w:adjustRightInd w:val="0"/>
        <w:ind w:left="720"/>
        <w:rPr>
          <w:rFonts w:asciiTheme="majorBidi" w:hAnsiTheme="majorBidi" w:cstheme="majorBidi"/>
        </w:rPr>
      </w:pPr>
      <w:r w:rsidRPr="000431A6">
        <w:rPr>
          <w:rFonts w:asciiTheme="majorBidi" w:hAnsiTheme="majorBidi" w:cstheme="majorBidi"/>
        </w:rPr>
        <w:t>Distinguishe</w:t>
      </w:r>
      <w:r w:rsidR="00AF659A">
        <w:rPr>
          <w:rFonts w:asciiTheme="majorBidi" w:hAnsiTheme="majorBidi" w:cstheme="majorBidi"/>
        </w:rPr>
        <w:t>d Fellow and Program Director</w:t>
      </w:r>
      <w:r w:rsidR="00AF659A">
        <w:rPr>
          <w:rFonts w:asciiTheme="majorBidi" w:hAnsiTheme="majorBidi" w:cstheme="majorBidi"/>
        </w:rPr>
        <w:tab/>
      </w:r>
    </w:p>
    <w:p w:rsidR="007B2347" w:rsidRDefault="00465CAE" w:rsidP="00E22D02">
      <w:pPr>
        <w:ind w:left="720"/>
        <w:contextualSpacing/>
        <w:rPr>
          <w:rFonts w:asciiTheme="majorBidi" w:hAnsiTheme="majorBidi" w:cstheme="majorBidi"/>
        </w:rPr>
      </w:pPr>
      <w:r w:rsidRPr="000431A6">
        <w:rPr>
          <w:rFonts w:asciiTheme="majorBidi" w:hAnsiTheme="majorBidi" w:cstheme="majorBidi"/>
        </w:rPr>
        <w:t xml:space="preserve">Aging, Disability and Long-Term Care </w:t>
      </w:r>
    </w:p>
    <w:p w:rsidR="007B2347" w:rsidRDefault="007B2347" w:rsidP="00E22D02">
      <w:pPr>
        <w:ind w:left="720"/>
        <w:contextualSpacing/>
        <w:rPr>
          <w:rFonts w:asciiTheme="majorBidi" w:hAnsiTheme="majorBidi" w:cstheme="majorBidi"/>
        </w:rPr>
      </w:pPr>
      <w:r>
        <w:rPr>
          <w:rFonts w:asciiTheme="majorBidi" w:hAnsiTheme="majorBidi" w:cstheme="majorBidi"/>
        </w:rPr>
        <w:t>RTI International</w:t>
      </w:r>
    </w:p>
    <w:p w:rsidR="007B2347" w:rsidRDefault="007B2347" w:rsidP="00E22D02">
      <w:pPr>
        <w:ind w:left="720"/>
        <w:contextualSpacing/>
        <w:rPr>
          <w:rFonts w:asciiTheme="majorBidi" w:hAnsiTheme="majorBidi" w:cstheme="majorBidi"/>
        </w:rPr>
      </w:pPr>
      <w:r>
        <w:rPr>
          <w:rFonts w:asciiTheme="majorBidi" w:hAnsiTheme="majorBidi" w:cstheme="majorBidi"/>
        </w:rPr>
        <w:t>701 13</w:t>
      </w:r>
      <w:r w:rsidRPr="00AD4E7D">
        <w:rPr>
          <w:rFonts w:asciiTheme="majorBidi" w:hAnsiTheme="majorBidi" w:cstheme="majorBidi"/>
        </w:rPr>
        <w:t>th</w:t>
      </w:r>
      <w:r>
        <w:rPr>
          <w:rFonts w:asciiTheme="majorBidi" w:hAnsiTheme="majorBidi" w:cstheme="majorBidi"/>
        </w:rPr>
        <w:t xml:space="preserve"> Street, NW, Suite 750</w:t>
      </w:r>
    </w:p>
    <w:p w:rsidR="007B2347" w:rsidRDefault="007B2347" w:rsidP="00E22D02">
      <w:pPr>
        <w:ind w:left="720"/>
        <w:contextualSpacing/>
        <w:rPr>
          <w:rFonts w:asciiTheme="majorBidi" w:hAnsiTheme="majorBidi" w:cstheme="majorBidi"/>
        </w:rPr>
      </w:pPr>
      <w:r>
        <w:rPr>
          <w:rFonts w:asciiTheme="majorBidi" w:hAnsiTheme="majorBidi" w:cstheme="majorBidi"/>
        </w:rPr>
        <w:t>Washington, DC 20005</w:t>
      </w:r>
    </w:p>
    <w:p w:rsidR="00465CAE" w:rsidRDefault="00465CAE" w:rsidP="00E22D02">
      <w:pPr>
        <w:ind w:left="720"/>
        <w:contextualSpacing/>
        <w:rPr>
          <w:rFonts w:asciiTheme="majorBidi" w:hAnsiTheme="majorBidi" w:cstheme="majorBidi"/>
        </w:rPr>
      </w:pPr>
      <w:r w:rsidRPr="000431A6">
        <w:rPr>
          <w:rFonts w:asciiTheme="majorBidi" w:hAnsiTheme="majorBidi" w:cstheme="majorBidi"/>
        </w:rPr>
        <w:t>202-728-2094</w:t>
      </w:r>
    </w:p>
    <w:p w:rsidR="007B2347" w:rsidRDefault="00F24243" w:rsidP="00E22D02">
      <w:pPr>
        <w:ind w:left="720"/>
        <w:contextualSpacing/>
        <w:rPr>
          <w:rFonts w:asciiTheme="majorBidi" w:hAnsiTheme="majorBidi" w:cstheme="majorBidi"/>
        </w:rPr>
      </w:pPr>
      <w:hyperlink r:id="rId12" w:history="1">
        <w:r w:rsidR="007B2347" w:rsidRPr="00613451">
          <w:rPr>
            <w:rStyle w:val="Hyperlink"/>
            <w:rFonts w:asciiTheme="majorBidi" w:hAnsiTheme="majorBidi" w:cstheme="majorBidi"/>
          </w:rPr>
          <w:t>jwiener@rti.org</w:t>
        </w:r>
      </w:hyperlink>
    </w:p>
    <w:p w:rsidR="007B2347" w:rsidRDefault="007B2347" w:rsidP="00465CAE">
      <w:pPr>
        <w:contextualSpacing/>
        <w:rPr>
          <w:rFonts w:asciiTheme="majorBidi" w:hAnsiTheme="majorBidi" w:cstheme="majorBidi"/>
        </w:rPr>
      </w:pPr>
    </w:p>
    <w:p w:rsidR="007B2347" w:rsidRDefault="007B2347" w:rsidP="00E22D02">
      <w:pPr>
        <w:ind w:firstLine="720"/>
        <w:contextualSpacing/>
        <w:rPr>
          <w:rFonts w:asciiTheme="majorBidi" w:hAnsiTheme="majorBidi" w:cstheme="majorBidi"/>
        </w:rPr>
      </w:pPr>
      <w:r>
        <w:rPr>
          <w:rFonts w:asciiTheme="majorBidi" w:hAnsiTheme="majorBidi" w:cstheme="majorBidi"/>
        </w:rPr>
        <w:t>The contractor principally responsible for the data collection and data preparation is:</w:t>
      </w:r>
    </w:p>
    <w:p w:rsidR="007B2347" w:rsidRDefault="007B2347" w:rsidP="00465CAE">
      <w:pPr>
        <w:contextualSpacing/>
        <w:rPr>
          <w:rFonts w:asciiTheme="majorBidi" w:hAnsiTheme="majorBidi" w:cstheme="majorBidi"/>
        </w:rPr>
      </w:pPr>
    </w:p>
    <w:p w:rsidR="007B2347" w:rsidRDefault="007B2347" w:rsidP="00E22D02">
      <w:pPr>
        <w:ind w:left="720"/>
        <w:contextualSpacing/>
        <w:rPr>
          <w:rFonts w:asciiTheme="majorBidi" w:hAnsiTheme="majorBidi" w:cstheme="majorBidi"/>
        </w:rPr>
      </w:pPr>
      <w:r>
        <w:rPr>
          <w:rFonts w:asciiTheme="majorBidi" w:hAnsiTheme="majorBidi" w:cstheme="majorBidi"/>
        </w:rPr>
        <w:t>Jo</w:t>
      </w:r>
      <w:r w:rsidR="00E22D02">
        <w:rPr>
          <w:rFonts w:asciiTheme="majorBidi" w:hAnsiTheme="majorBidi" w:cstheme="majorBidi"/>
        </w:rPr>
        <w:t>seph</w:t>
      </w:r>
      <w:r>
        <w:rPr>
          <w:rFonts w:asciiTheme="majorBidi" w:hAnsiTheme="majorBidi" w:cstheme="majorBidi"/>
        </w:rPr>
        <w:t xml:space="preserve"> Garrett, MS</w:t>
      </w:r>
    </w:p>
    <w:p w:rsidR="007B2347" w:rsidRDefault="007B2347" w:rsidP="00E22D02">
      <w:pPr>
        <w:ind w:left="720"/>
        <w:contextualSpacing/>
        <w:rPr>
          <w:rFonts w:asciiTheme="majorBidi" w:hAnsiTheme="majorBidi" w:cstheme="majorBidi"/>
        </w:rPr>
      </w:pPr>
      <w:r>
        <w:rPr>
          <w:rFonts w:asciiTheme="majorBidi" w:hAnsiTheme="majorBidi" w:cstheme="majorBidi"/>
        </w:rPr>
        <w:t>Vice President</w:t>
      </w:r>
    </w:p>
    <w:p w:rsidR="007B2347" w:rsidRDefault="007E4B22" w:rsidP="007E4B22">
      <w:pPr>
        <w:ind w:left="720"/>
        <w:contextualSpacing/>
        <w:rPr>
          <w:rFonts w:asciiTheme="majorBidi" w:hAnsiTheme="majorBidi" w:cstheme="majorBidi"/>
        </w:rPr>
      </w:pPr>
      <w:r>
        <w:rPr>
          <w:rFonts w:asciiTheme="majorBidi" w:hAnsiTheme="majorBidi" w:cstheme="majorBidi"/>
        </w:rPr>
        <w:t>GfK Custom Research, LLC</w:t>
      </w:r>
    </w:p>
    <w:p w:rsidR="00E22D02" w:rsidRPr="00E22D02" w:rsidRDefault="00E22D02" w:rsidP="00E22D02">
      <w:pPr>
        <w:ind w:left="720"/>
        <w:contextualSpacing/>
        <w:rPr>
          <w:rFonts w:asciiTheme="majorBidi" w:hAnsiTheme="majorBidi" w:cstheme="majorBidi"/>
        </w:rPr>
      </w:pPr>
      <w:r w:rsidRPr="00E22D02">
        <w:rPr>
          <w:rFonts w:asciiTheme="majorBidi" w:hAnsiTheme="majorBidi" w:cstheme="majorBidi"/>
        </w:rPr>
        <w:t xml:space="preserve">1940 Duke Street, Suite 200 </w:t>
      </w:r>
    </w:p>
    <w:p w:rsidR="007B2347" w:rsidRDefault="00E22D02" w:rsidP="00E22D02">
      <w:pPr>
        <w:ind w:left="720"/>
        <w:contextualSpacing/>
        <w:rPr>
          <w:rFonts w:asciiTheme="majorBidi" w:hAnsiTheme="majorBidi" w:cstheme="majorBidi"/>
        </w:rPr>
      </w:pPr>
      <w:r w:rsidRPr="00E22D02">
        <w:rPr>
          <w:rFonts w:asciiTheme="majorBidi" w:hAnsiTheme="majorBidi" w:cstheme="majorBidi"/>
        </w:rPr>
        <w:t>Alexandria, VA 22314</w:t>
      </w:r>
    </w:p>
    <w:p w:rsidR="00E22D02" w:rsidRDefault="00E22D02" w:rsidP="006E4075">
      <w:pPr>
        <w:ind w:left="720"/>
        <w:contextualSpacing/>
        <w:rPr>
          <w:rFonts w:asciiTheme="majorBidi" w:hAnsiTheme="majorBidi" w:cstheme="majorBidi"/>
          <w:color w:val="1F1F1F"/>
        </w:rPr>
      </w:pPr>
      <w:r w:rsidRPr="00E22D02">
        <w:rPr>
          <w:rFonts w:asciiTheme="majorBidi" w:hAnsiTheme="majorBidi" w:cstheme="majorBidi"/>
          <w:color w:val="1F1F1F"/>
        </w:rPr>
        <w:t>703</w:t>
      </w:r>
      <w:r w:rsidR="006E4075">
        <w:rPr>
          <w:rFonts w:asciiTheme="majorBidi" w:hAnsiTheme="majorBidi" w:cstheme="majorBidi"/>
          <w:color w:val="1F1F1F"/>
        </w:rPr>
        <w:t>-</w:t>
      </w:r>
      <w:r w:rsidRPr="00E22D02">
        <w:rPr>
          <w:rFonts w:asciiTheme="majorBidi" w:hAnsiTheme="majorBidi" w:cstheme="majorBidi"/>
          <w:color w:val="1F1F1F"/>
        </w:rPr>
        <w:t>830-0613</w:t>
      </w:r>
    </w:p>
    <w:p w:rsidR="00E22D02" w:rsidRPr="00E22D02" w:rsidRDefault="00F24243" w:rsidP="00E22D02">
      <w:pPr>
        <w:ind w:left="720"/>
        <w:contextualSpacing/>
        <w:rPr>
          <w:rFonts w:asciiTheme="majorBidi" w:hAnsiTheme="majorBidi" w:cstheme="majorBidi"/>
        </w:rPr>
      </w:pPr>
      <w:hyperlink r:id="rId13" w:history="1">
        <w:r w:rsidR="00E02F36" w:rsidRPr="007C5F3F">
          <w:rPr>
            <w:rStyle w:val="Hyperlink"/>
            <w:rFonts w:asciiTheme="majorBidi" w:hAnsiTheme="majorBidi" w:cstheme="majorBidi"/>
          </w:rPr>
          <w:t>joseph.garrett@gfk.com</w:t>
        </w:r>
      </w:hyperlink>
      <w:r w:rsidR="00E02F36">
        <w:rPr>
          <w:rFonts w:asciiTheme="majorBidi" w:hAnsiTheme="majorBidi" w:cstheme="majorBidi"/>
        </w:rPr>
        <w:t xml:space="preserve"> </w:t>
      </w:r>
    </w:p>
    <w:p w:rsidR="00E22D02" w:rsidRPr="000431A6" w:rsidRDefault="00E22D02" w:rsidP="00E22D02">
      <w:pPr>
        <w:ind w:left="720"/>
        <w:contextualSpacing/>
        <w:rPr>
          <w:rFonts w:asciiTheme="majorBidi" w:hAnsiTheme="majorBidi" w:cstheme="majorBidi"/>
        </w:rPr>
      </w:pPr>
    </w:p>
    <w:p w:rsidR="000B4EF1" w:rsidRPr="00734D5C" w:rsidRDefault="000B4EF1" w:rsidP="00734D5C">
      <w:pPr>
        <w:rPr>
          <w:rFonts w:asciiTheme="majorBidi" w:hAnsiTheme="majorBidi" w:cstheme="majorBidi"/>
        </w:rPr>
      </w:pPr>
    </w:p>
    <w:sectPr w:rsidR="000B4EF1" w:rsidRPr="00734D5C" w:rsidSect="00D3273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43" w:rsidRDefault="00F24243" w:rsidP="005E0D5A">
      <w:r>
        <w:separator/>
      </w:r>
    </w:p>
  </w:endnote>
  <w:endnote w:type="continuationSeparator" w:id="0">
    <w:p w:rsidR="00F24243" w:rsidRDefault="00F24243" w:rsidP="005E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5C" w:rsidRDefault="00734D5C" w:rsidP="00D32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4D5C" w:rsidRDefault="00734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43093"/>
      <w:docPartObj>
        <w:docPartGallery w:val="Page Numbers (Bottom of Page)"/>
        <w:docPartUnique/>
      </w:docPartObj>
    </w:sdtPr>
    <w:sdtEndPr>
      <w:rPr>
        <w:noProof/>
      </w:rPr>
    </w:sdtEndPr>
    <w:sdtContent>
      <w:p w:rsidR="00734D5C" w:rsidRDefault="00F24243">
        <w:pPr>
          <w:pStyle w:val="Footer"/>
          <w:jc w:val="center"/>
        </w:pPr>
        <w:r>
          <w:fldChar w:fldCharType="begin"/>
        </w:r>
        <w:r>
          <w:instrText xml:space="preserve"> PAGE   \* MERGEFORMAT </w:instrText>
        </w:r>
        <w:r>
          <w:fldChar w:fldCharType="separate"/>
        </w:r>
        <w:r w:rsidR="00C5564F">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46832"/>
      <w:docPartObj>
        <w:docPartGallery w:val="Page Numbers (Bottom of Page)"/>
        <w:docPartUnique/>
      </w:docPartObj>
    </w:sdtPr>
    <w:sdtEndPr>
      <w:rPr>
        <w:noProof/>
      </w:rPr>
    </w:sdtEndPr>
    <w:sdtContent>
      <w:p w:rsidR="00734D5C" w:rsidRPr="0096757A" w:rsidRDefault="00F24243" w:rsidP="0096757A">
        <w:pPr>
          <w:pStyle w:val="Footer"/>
          <w:jc w:val="center"/>
          <w:rPr>
            <w:noProof/>
            <w:sz w:val="24"/>
            <w:szCs w:val="24"/>
          </w:rPr>
        </w:pPr>
        <w:r>
          <w:fldChar w:fldCharType="begin"/>
        </w:r>
        <w:r>
          <w:instrText xml:space="preserve"> PAGE   \* MERGEFORMAT </w:instrText>
        </w:r>
        <w:r>
          <w:fldChar w:fldCharType="separate"/>
        </w:r>
        <w:r w:rsidR="00C5564F">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43" w:rsidRDefault="00F24243" w:rsidP="005E0D5A">
      <w:r>
        <w:separator/>
      </w:r>
    </w:p>
  </w:footnote>
  <w:footnote w:type="continuationSeparator" w:id="0">
    <w:p w:rsidR="00F24243" w:rsidRDefault="00F24243" w:rsidP="005E0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5C" w:rsidRDefault="00734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B10"/>
    <w:multiLevelType w:val="hybridMultilevel"/>
    <w:tmpl w:val="95C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207D6"/>
    <w:multiLevelType w:val="hybridMultilevel"/>
    <w:tmpl w:val="1420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F0EAE"/>
    <w:multiLevelType w:val="hybridMultilevel"/>
    <w:tmpl w:val="90AA7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E4617E5"/>
    <w:multiLevelType w:val="hybridMultilevel"/>
    <w:tmpl w:val="25C4186E"/>
    <w:lvl w:ilvl="0" w:tplc="7A662C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976CD"/>
    <w:multiLevelType w:val="hybridMultilevel"/>
    <w:tmpl w:val="C8A6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81C97"/>
    <w:multiLevelType w:val="hybridMultilevel"/>
    <w:tmpl w:val="725CD538"/>
    <w:lvl w:ilvl="0" w:tplc="848ED608">
      <w:start w:val="1"/>
      <w:numFmt w:val="upperLetter"/>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2498E"/>
    <w:multiLevelType w:val="hybridMultilevel"/>
    <w:tmpl w:val="FFC8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B4800"/>
    <w:multiLevelType w:val="hybridMultilevel"/>
    <w:tmpl w:val="C0C013CE"/>
    <w:lvl w:ilvl="0" w:tplc="04090005">
      <w:start w:val="1"/>
      <w:numFmt w:val="bullet"/>
      <w:lvlText w:val=""/>
      <w:lvlJc w:val="left"/>
      <w:pPr>
        <w:ind w:left="1907" w:hanging="360"/>
      </w:pPr>
      <w:rPr>
        <w:rFonts w:ascii="Wingdings" w:hAnsi="Wingdings"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9">
    <w:nsid w:val="3D7024AF"/>
    <w:multiLevelType w:val="hybridMultilevel"/>
    <w:tmpl w:val="137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06783"/>
    <w:multiLevelType w:val="hybridMultilevel"/>
    <w:tmpl w:val="8C28819C"/>
    <w:lvl w:ilvl="0" w:tplc="04090015">
      <w:start w:val="1"/>
      <w:numFmt w:val="upperLetter"/>
      <w:pStyle w:val="Number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620AD"/>
    <w:multiLevelType w:val="hybridMultilevel"/>
    <w:tmpl w:val="77CC47D4"/>
    <w:lvl w:ilvl="0" w:tplc="F696802C">
      <w:start w:val="1"/>
      <w:numFmt w:val="bullet"/>
      <w:pStyle w:val="bullets"/>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2B39C6"/>
    <w:multiLevelType w:val="hybridMultilevel"/>
    <w:tmpl w:val="FC7A56BC"/>
    <w:lvl w:ilvl="0" w:tplc="C0561C46">
      <w:start w:val="1"/>
      <w:numFmt w:val="bullet"/>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EE32F4"/>
    <w:multiLevelType w:val="hybridMultilevel"/>
    <w:tmpl w:val="CA8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ED6301"/>
    <w:multiLevelType w:val="hybridMultilevel"/>
    <w:tmpl w:val="DCB215A0"/>
    <w:lvl w:ilvl="0" w:tplc="C974F1AA">
      <w:start w:val="1"/>
      <w:numFmt w:val="bullet"/>
      <w:lvlText w:val="•"/>
      <w:lvlJc w:val="left"/>
      <w:pPr>
        <w:ind w:left="1440" w:hanging="360"/>
      </w:pPr>
      <w:rPr>
        <w:rFonts w:ascii="Calibri" w:hAnsi="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6E4778C"/>
    <w:multiLevelType w:val="hybridMultilevel"/>
    <w:tmpl w:val="AF76D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66400"/>
    <w:multiLevelType w:val="hybridMultilevel"/>
    <w:tmpl w:val="20D0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74B62"/>
    <w:multiLevelType w:val="hybridMultilevel"/>
    <w:tmpl w:val="C600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AC76C3"/>
    <w:multiLevelType w:val="hybridMultilevel"/>
    <w:tmpl w:val="F766CA42"/>
    <w:lvl w:ilvl="0" w:tplc="EC90DCD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091D0C"/>
    <w:multiLevelType w:val="hybridMultilevel"/>
    <w:tmpl w:val="1F3A57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52076"/>
    <w:multiLevelType w:val="hybridMultilevel"/>
    <w:tmpl w:val="2BD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7"/>
  </w:num>
  <w:num w:numId="5">
    <w:abstractNumId w:val="17"/>
  </w:num>
  <w:num w:numId="6">
    <w:abstractNumId w:val="16"/>
  </w:num>
  <w:num w:numId="7">
    <w:abstractNumId w:val="13"/>
  </w:num>
  <w:num w:numId="8">
    <w:abstractNumId w:val="9"/>
  </w:num>
  <w:num w:numId="9">
    <w:abstractNumId w:val="21"/>
  </w:num>
  <w:num w:numId="10">
    <w:abstractNumId w:val="18"/>
  </w:num>
  <w:num w:numId="11">
    <w:abstractNumId w:val="20"/>
  </w:num>
  <w:num w:numId="12">
    <w:abstractNumId w:val="1"/>
  </w:num>
  <w:num w:numId="13">
    <w:abstractNumId w:val="5"/>
  </w:num>
  <w:num w:numId="14">
    <w:abstractNumId w:val="8"/>
  </w:num>
  <w:num w:numId="15">
    <w:abstractNumId w:val="19"/>
  </w:num>
  <w:num w:numId="16">
    <w:abstractNumId w:val="0"/>
  </w:num>
  <w:num w:numId="17">
    <w:abstractNumId w:val="3"/>
  </w:num>
  <w:num w:numId="18">
    <w:abstractNumId w:val="15"/>
  </w:num>
  <w:num w:numId="19">
    <w:abstractNumId w:val="12"/>
  </w:num>
  <w:num w:numId="20">
    <w:abstractNumId w:val="6"/>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A7"/>
    <w:rsid w:val="000158BC"/>
    <w:rsid w:val="00020026"/>
    <w:rsid w:val="000218E8"/>
    <w:rsid w:val="0002395A"/>
    <w:rsid w:val="0002427E"/>
    <w:rsid w:val="00035671"/>
    <w:rsid w:val="000431A6"/>
    <w:rsid w:val="00044A6B"/>
    <w:rsid w:val="00045FA6"/>
    <w:rsid w:val="000476AB"/>
    <w:rsid w:val="00050544"/>
    <w:rsid w:val="00082FC9"/>
    <w:rsid w:val="000856BB"/>
    <w:rsid w:val="0009533F"/>
    <w:rsid w:val="000A0008"/>
    <w:rsid w:val="000A3EF4"/>
    <w:rsid w:val="000B493A"/>
    <w:rsid w:val="000B4EF1"/>
    <w:rsid w:val="000D4316"/>
    <w:rsid w:val="000D6D2A"/>
    <w:rsid w:val="000E2E6C"/>
    <w:rsid w:val="000F0681"/>
    <w:rsid w:val="000F2E7D"/>
    <w:rsid w:val="000F59AA"/>
    <w:rsid w:val="00102FEB"/>
    <w:rsid w:val="0010303D"/>
    <w:rsid w:val="00107D1F"/>
    <w:rsid w:val="001104BF"/>
    <w:rsid w:val="00110A60"/>
    <w:rsid w:val="00115770"/>
    <w:rsid w:val="00120A21"/>
    <w:rsid w:val="00120CD5"/>
    <w:rsid w:val="001272F1"/>
    <w:rsid w:val="001305D7"/>
    <w:rsid w:val="001344E3"/>
    <w:rsid w:val="001357FC"/>
    <w:rsid w:val="001367F2"/>
    <w:rsid w:val="001444A0"/>
    <w:rsid w:val="00145722"/>
    <w:rsid w:val="00146C13"/>
    <w:rsid w:val="00153B56"/>
    <w:rsid w:val="0015537F"/>
    <w:rsid w:val="00155A08"/>
    <w:rsid w:val="00163288"/>
    <w:rsid w:val="00163C09"/>
    <w:rsid w:val="00164325"/>
    <w:rsid w:val="001656C5"/>
    <w:rsid w:val="00165DE7"/>
    <w:rsid w:val="00170E90"/>
    <w:rsid w:val="00172714"/>
    <w:rsid w:val="00172F09"/>
    <w:rsid w:val="00174B1A"/>
    <w:rsid w:val="00175C57"/>
    <w:rsid w:val="001771B6"/>
    <w:rsid w:val="00177494"/>
    <w:rsid w:val="00180C9B"/>
    <w:rsid w:val="00182A27"/>
    <w:rsid w:val="00183AC9"/>
    <w:rsid w:val="001871FE"/>
    <w:rsid w:val="0019329C"/>
    <w:rsid w:val="001936D0"/>
    <w:rsid w:val="00194ABF"/>
    <w:rsid w:val="001951D2"/>
    <w:rsid w:val="00195257"/>
    <w:rsid w:val="00195CAD"/>
    <w:rsid w:val="00196AB4"/>
    <w:rsid w:val="001A237E"/>
    <w:rsid w:val="001A6306"/>
    <w:rsid w:val="001B0792"/>
    <w:rsid w:val="001B4C4F"/>
    <w:rsid w:val="001B6108"/>
    <w:rsid w:val="001B71FA"/>
    <w:rsid w:val="001C49FD"/>
    <w:rsid w:val="001C69E1"/>
    <w:rsid w:val="001D1197"/>
    <w:rsid w:val="001D1831"/>
    <w:rsid w:val="001D2312"/>
    <w:rsid w:val="001D38A4"/>
    <w:rsid w:val="001D5BBA"/>
    <w:rsid w:val="001D66B9"/>
    <w:rsid w:val="001D6FB5"/>
    <w:rsid w:val="001D7544"/>
    <w:rsid w:val="001E37C2"/>
    <w:rsid w:val="001E3E44"/>
    <w:rsid w:val="001E7A6A"/>
    <w:rsid w:val="001F6CFC"/>
    <w:rsid w:val="001F7E67"/>
    <w:rsid w:val="00201B39"/>
    <w:rsid w:val="0020215A"/>
    <w:rsid w:val="002038D2"/>
    <w:rsid w:val="002073E5"/>
    <w:rsid w:val="00210BF2"/>
    <w:rsid w:val="00211F8A"/>
    <w:rsid w:val="00213808"/>
    <w:rsid w:val="002174F3"/>
    <w:rsid w:val="00225CAF"/>
    <w:rsid w:val="00226B09"/>
    <w:rsid w:val="0022711C"/>
    <w:rsid w:val="00233560"/>
    <w:rsid w:val="002357E8"/>
    <w:rsid w:val="002415B0"/>
    <w:rsid w:val="002417F9"/>
    <w:rsid w:val="0024712C"/>
    <w:rsid w:val="00247419"/>
    <w:rsid w:val="00255BB8"/>
    <w:rsid w:val="0026265D"/>
    <w:rsid w:val="00272623"/>
    <w:rsid w:val="002847AE"/>
    <w:rsid w:val="00287B7B"/>
    <w:rsid w:val="0029292F"/>
    <w:rsid w:val="002A6C02"/>
    <w:rsid w:val="002B1C73"/>
    <w:rsid w:val="002C2C76"/>
    <w:rsid w:val="002C4ACE"/>
    <w:rsid w:val="002C6DD2"/>
    <w:rsid w:val="002C706F"/>
    <w:rsid w:val="002D0B69"/>
    <w:rsid w:val="002D5466"/>
    <w:rsid w:val="002D7C90"/>
    <w:rsid w:val="002E0026"/>
    <w:rsid w:val="002E4B79"/>
    <w:rsid w:val="002E6E78"/>
    <w:rsid w:val="002F1D4C"/>
    <w:rsid w:val="002F79DD"/>
    <w:rsid w:val="00306F0B"/>
    <w:rsid w:val="003107D4"/>
    <w:rsid w:val="00310822"/>
    <w:rsid w:val="00310CB0"/>
    <w:rsid w:val="0031612C"/>
    <w:rsid w:val="00317196"/>
    <w:rsid w:val="00317509"/>
    <w:rsid w:val="00326DE3"/>
    <w:rsid w:val="003344A2"/>
    <w:rsid w:val="0033655F"/>
    <w:rsid w:val="00337005"/>
    <w:rsid w:val="003525F6"/>
    <w:rsid w:val="00353F8F"/>
    <w:rsid w:val="00357030"/>
    <w:rsid w:val="00363E4A"/>
    <w:rsid w:val="003739B8"/>
    <w:rsid w:val="00382431"/>
    <w:rsid w:val="00382468"/>
    <w:rsid w:val="0038272A"/>
    <w:rsid w:val="003833B9"/>
    <w:rsid w:val="003957FD"/>
    <w:rsid w:val="003A0279"/>
    <w:rsid w:val="003A337A"/>
    <w:rsid w:val="003A39A6"/>
    <w:rsid w:val="003A485E"/>
    <w:rsid w:val="003A52E8"/>
    <w:rsid w:val="003A6C7E"/>
    <w:rsid w:val="003A76D1"/>
    <w:rsid w:val="003B4197"/>
    <w:rsid w:val="003B4531"/>
    <w:rsid w:val="003B48BD"/>
    <w:rsid w:val="003C236A"/>
    <w:rsid w:val="003C2731"/>
    <w:rsid w:val="003C35CB"/>
    <w:rsid w:val="003C4992"/>
    <w:rsid w:val="003C7654"/>
    <w:rsid w:val="003D7BD1"/>
    <w:rsid w:val="003E19CF"/>
    <w:rsid w:val="003F0193"/>
    <w:rsid w:val="003F5D5E"/>
    <w:rsid w:val="003F6F0C"/>
    <w:rsid w:val="003F7AB5"/>
    <w:rsid w:val="00400122"/>
    <w:rsid w:val="00400E60"/>
    <w:rsid w:val="004132A3"/>
    <w:rsid w:val="00416782"/>
    <w:rsid w:val="0042618D"/>
    <w:rsid w:val="004277A5"/>
    <w:rsid w:val="004334B9"/>
    <w:rsid w:val="004411C8"/>
    <w:rsid w:val="004500C1"/>
    <w:rsid w:val="00450982"/>
    <w:rsid w:val="0045393C"/>
    <w:rsid w:val="00453C60"/>
    <w:rsid w:val="00457AF1"/>
    <w:rsid w:val="00462DE8"/>
    <w:rsid w:val="00465CAE"/>
    <w:rsid w:val="00474438"/>
    <w:rsid w:val="00476042"/>
    <w:rsid w:val="00481B83"/>
    <w:rsid w:val="004831FB"/>
    <w:rsid w:val="00483958"/>
    <w:rsid w:val="00483A38"/>
    <w:rsid w:val="004855F7"/>
    <w:rsid w:val="00486271"/>
    <w:rsid w:val="004938C1"/>
    <w:rsid w:val="004A238F"/>
    <w:rsid w:val="004B513A"/>
    <w:rsid w:val="004B767E"/>
    <w:rsid w:val="004C0C8F"/>
    <w:rsid w:val="004C30CF"/>
    <w:rsid w:val="004C4CA4"/>
    <w:rsid w:val="004C63EF"/>
    <w:rsid w:val="004D0050"/>
    <w:rsid w:val="004D0EBC"/>
    <w:rsid w:val="004D3F56"/>
    <w:rsid w:val="004E6EB4"/>
    <w:rsid w:val="004F68AA"/>
    <w:rsid w:val="004F6F24"/>
    <w:rsid w:val="005061AA"/>
    <w:rsid w:val="00510BD9"/>
    <w:rsid w:val="00511F05"/>
    <w:rsid w:val="00512CCE"/>
    <w:rsid w:val="00514403"/>
    <w:rsid w:val="005161D2"/>
    <w:rsid w:val="00523A95"/>
    <w:rsid w:val="00530283"/>
    <w:rsid w:val="00531EAE"/>
    <w:rsid w:val="00532703"/>
    <w:rsid w:val="00532ECF"/>
    <w:rsid w:val="00532FB7"/>
    <w:rsid w:val="00535A06"/>
    <w:rsid w:val="0053624C"/>
    <w:rsid w:val="00537223"/>
    <w:rsid w:val="00537D1D"/>
    <w:rsid w:val="0054099B"/>
    <w:rsid w:val="005468EF"/>
    <w:rsid w:val="00552DD2"/>
    <w:rsid w:val="00555894"/>
    <w:rsid w:val="0056306F"/>
    <w:rsid w:val="0057096C"/>
    <w:rsid w:val="00574943"/>
    <w:rsid w:val="00581970"/>
    <w:rsid w:val="005851AC"/>
    <w:rsid w:val="005866AC"/>
    <w:rsid w:val="0058717F"/>
    <w:rsid w:val="00592B3D"/>
    <w:rsid w:val="0059356B"/>
    <w:rsid w:val="00595D3D"/>
    <w:rsid w:val="005A043C"/>
    <w:rsid w:val="005A0699"/>
    <w:rsid w:val="005A4471"/>
    <w:rsid w:val="005A6707"/>
    <w:rsid w:val="005A77AD"/>
    <w:rsid w:val="005B16BB"/>
    <w:rsid w:val="005B2CCB"/>
    <w:rsid w:val="005B6589"/>
    <w:rsid w:val="005C008C"/>
    <w:rsid w:val="005C47FE"/>
    <w:rsid w:val="005C7797"/>
    <w:rsid w:val="005D01C1"/>
    <w:rsid w:val="005D0818"/>
    <w:rsid w:val="005D1535"/>
    <w:rsid w:val="005D6CCA"/>
    <w:rsid w:val="005D7CED"/>
    <w:rsid w:val="005E0463"/>
    <w:rsid w:val="005E05E0"/>
    <w:rsid w:val="005E0D5A"/>
    <w:rsid w:val="005E571F"/>
    <w:rsid w:val="005E5FC3"/>
    <w:rsid w:val="005F1BB2"/>
    <w:rsid w:val="005F4C44"/>
    <w:rsid w:val="005F5545"/>
    <w:rsid w:val="00612BB5"/>
    <w:rsid w:val="0061584B"/>
    <w:rsid w:val="00627ECC"/>
    <w:rsid w:val="00631E77"/>
    <w:rsid w:val="0063307A"/>
    <w:rsid w:val="00634B69"/>
    <w:rsid w:val="006366E7"/>
    <w:rsid w:val="00640007"/>
    <w:rsid w:val="00640C8A"/>
    <w:rsid w:val="0064547B"/>
    <w:rsid w:val="006519C0"/>
    <w:rsid w:val="00654DE1"/>
    <w:rsid w:val="0065507A"/>
    <w:rsid w:val="0066048B"/>
    <w:rsid w:val="0066377C"/>
    <w:rsid w:val="006762AD"/>
    <w:rsid w:val="00683CD8"/>
    <w:rsid w:val="006845AE"/>
    <w:rsid w:val="00690413"/>
    <w:rsid w:val="00696C59"/>
    <w:rsid w:val="006A0571"/>
    <w:rsid w:val="006A1490"/>
    <w:rsid w:val="006A3D51"/>
    <w:rsid w:val="006B1166"/>
    <w:rsid w:val="006B12BE"/>
    <w:rsid w:val="006B4262"/>
    <w:rsid w:val="006B5162"/>
    <w:rsid w:val="006B5566"/>
    <w:rsid w:val="006C1DE3"/>
    <w:rsid w:val="006E4075"/>
    <w:rsid w:val="006E6111"/>
    <w:rsid w:val="006E66B2"/>
    <w:rsid w:val="006F33E4"/>
    <w:rsid w:val="006F48CF"/>
    <w:rsid w:val="006F7BA4"/>
    <w:rsid w:val="007078AB"/>
    <w:rsid w:val="007131FF"/>
    <w:rsid w:val="007207D0"/>
    <w:rsid w:val="00722E94"/>
    <w:rsid w:val="0073131D"/>
    <w:rsid w:val="007319AC"/>
    <w:rsid w:val="00734D5C"/>
    <w:rsid w:val="007375AC"/>
    <w:rsid w:val="00741CB0"/>
    <w:rsid w:val="00743CEE"/>
    <w:rsid w:val="00746A4C"/>
    <w:rsid w:val="0076015C"/>
    <w:rsid w:val="00761D6F"/>
    <w:rsid w:val="00772628"/>
    <w:rsid w:val="00773DB2"/>
    <w:rsid w:val="007748C8"/>
    <w:rsid w:val="00776285"/>
    <w:rsid w:val="007774E5"/>
    <w:rsid w:val="00783087"/>
    <w:rsid w:val="007835AD"/>
    <w:rsid w:val="00786958"/>
    <w:rsid w:val="0079082E"/>
    <w:rsid w:val="0079691A"/>
    <w:rsid w:val="007978CA"/>
    <w:rsid w:val="007A707B"/>
    <w:rsid w:val="007B2347"/>
    <w:rsid w:val="007B3406"/>
    <w:rsid w:val="007B5800"/>
    <w:rsid w:val="007B78B5"/>
    <w:rsid w:val="007C5EDF"/>
    <w:rsid w:val="007C764B"/>
    <w:rsid w:val="007D6C5F"/>
    <w:rsid w:val="007D7BA7"/>
    <w:rsid w:val="007D7DC0"/>
    <w:rsid w:val="007E10E1"/>
    <w:rsid w:val="007E4B22"/>
    <w:rsid w:val="007E4C4B"/>
    <w:rsid w:val="008045EF"/>
    <w:rsid w:val="00805CF9"/>
    <w:rsid w:val="008072F7"/>
    <w:rsid w:val="0081032C"/>
    <w:rsid w:val="00811645"/>
    <w:rsid w:val="00812C53"/>
    <w:rsid w:val="00815380"/>
    <w:rsid w:val="008156A6"/>
    <w:rsid w:val="00820A4D"/>
    <w:rsid w:val="008212CB"/>
    <w:rsid w:val="00822E5D"/>
    <w:rsid w:val="008230E6"/>
    <w:rsid w:val="008275FA"/>
    <w:rsid w:val="00833501"/>
    <w:rsid w:val="008468A1"/>
    <w:rsid w:val="00854D4F"/>
    <w:rsid w:val="00855AB4"/>
    <w:rsid w:val="00863907"/>
    <w:rsid w:val="00865809"/>
    <w:rsid w:val="008706F6"/>
    <w:rsid w:val="00872B5E"/>
    <w:rsid w:val="00881D31"/>
    <w:rsid w:val="00883D2E"/>
    <w:rsid w:val="008866A8"/>
    <w:rsid w:val="00892C91"/>
    <w:rsid w:val="008931A6"/>
    <w:rsid w:val="0089500A"/>
    <w:rsid w:val="00895FCF"/>
    <w:rsid w:val="008A2308"/>
    <w:rsid w:val="008A2564"/>
    <w:rsid w:val="008B48EE"/>
    <w:rsid w:val="008B4CC5"/>
    <w:rsid w:val="008B59D6"/>
    <w:rsid w:val="008C0375"/>
    <w:rsid w:val="008C5120"/>
    <w:rsid w:val="008D6534"/>
    <w:rsid w:val="008D6D16"/>
    <w:rsid w:val="008E184C"/>
    <w:rsid w:val="008E3B84"/>
    <w:rsid w:val="008E446A"/>
    <w:rsid w:val="008E4792"/>
    <w:rsid w:val="008E6E1E"/>
    <w:rsid w:val="008F0008"/>
    <w:rsid w:val="008F2829"/>
    <w:rsid w:val="008F2F06"/>
    <w:rsid w:val="0090123D"/>
    <w:rsid w:val="009028EF"/>
    <w:rsid w:val="0090321B"/>
    <w:rsid w:val="00905A21"/>
    <w:rsid w:val="00913AB7"/>
    <w:rsid w:val="00914EF1"/>
    <w:rsid w:val="00917414"/>
    <w:rsid w:val="00920047"/>
    <w:rsid w:val="00922967"/>
    <w:rsid w:val="00923A98"/>
    <w:rsid w:val="00925D18"/>
    <w:rsid w:val="009311AB"/>
    <w:rsid w:val="00933306"/>
    <w:rsid w:val="00942306"/>
    <w:rsid w:val="0094449B"/>
    <w:rsid w:val="00962322"/>
    <w:rsid w:val="00963F8B"/>
    <w:rsid w:val="009672D6"/>
    <w:rsid w:val="0096757A"/>
    <w:rsid w:val="009747B3"/>
    <w:rsid w:val="00984580"/>
    <w:rsid w:val="00984F32"/>
    <w:rsid w:val="00985CDE"/>
    <w:rsid w:val="0098777A"/>
    <w:rsid w:val="009901F4"/>
    <w:rsid w:val="009A1268"/>
    <w:rsid w:val="009A502F"/>
    <w:rsid w:val="009C369F"/>
    <w:rsid w:val="009C6A35"/>
    <w:rsid w:val="009D2C71"/>
    <w:rsid w:val="009D3055"/>
    <w:rsid w:val="009D7C05"/>
    <w:rsid w:val="009E1BD0"/>
    <w:rsid w:val="009E2607"/>
    <w:rsid w:val="009E65F2"/>
    <w:rsid w:val="009F5F80"/>
    <w:rsid w:val="00A05400"/>
    <w:rsid w:val="00A07AD6"/>
    <w:rsid w:val="00A216D4"/>
    <w:rsid w:val="00A30303"/>
    <w:rsid w:val="00A306E1"/>
    <w:rsid w:val="00A3184D"/>
    <w:rsid w:val="00A31F18"/>
    <w:rsid w:val="00A36616"/>
    <w:rsid w:val="00A402E2"/>
    <w:rsid w:val="00A42F19"/>
    <w:rsid w:val="00A44501"/>
    <w:rsid w:val="00A50C5A"/>
    <w:rsid w:val="00A558FD"/>
    <w:rsid w:val="00A70AF6"/>
    <w:rsid w:val="00A7191D"/>
    <w:rsid w:val="00A73465"/>
    <w:rsid w:val="00A76CD4"/>
    <w:rsid w:val="00A814F9"/>
    <w:rsid w:val="00A8158F"/>
    <w:rsid w:val="00A842F8"/>
    <w:rsid w:val="00A905BC"/>
    <w:rsid w:val="00A929EE"/>
    <w:rsid w:val="00A92BD5"/>
    <w:rsid w:val="00AA042F"/>
    <w:rsid w:val="00AA4100"/>
    <w:rsid w:val="00AA51AE"/>
    <w:rsid w:val="00AA6614"/>
    <w:rsid w:val="00AA6A57"/>
    <w:rsid w:val="00AB03EE"/>
    <w:rsid w:val="00AB0E33"/>
    <w:rsid w:val="00AB4567"/>
    <w:rsid w:val="00AD01C3"/>
    <w:rsid w:val="00AD4E7D"/>
    <w:rsid w:val="00AD604E"/>
    <w:rsid w:val="00AD713D"/>
    <w:rsid w:val="00AE455E"/>
    <w:rsid w:val="00AE79D3"/>
    <w:rsid w:val="00AF659A"/>
    <w:rsid w:val="00B00BFF"/>
    <w:rsid w:val="00B4137A"/>
    <w:rsid w:val="00B41851"/>
    <w:rsid w:val="00B453C7"/>
    <w:rsid w:val="00B62EA0"/>
    <w:rsid w:val="00B647B4"/>
    <w:rsid w:val="00B734B0"/>
    <w:rsid w:val="00B75C69"/>
    <w:rsid w:val="00B80BF3"/>
    <w:rsid w:val="00B80C38"/>
    <w:rsid w:val="00B82287"/>
    <w:rsid w:val="00B85BD2"/>
    <w:rsid w:val="00B92C98"/>
    <w:rsid w:val="00B9451A"/>
    <w:rsid w:val="00B96540"/>
    <w:rsid w:val="00BA3C5B"/>
    <w:rsid w:val="00BB3EAA"/>
    <w:rsid w:val="00BB47BC"/>
    <w:rsid w:val="00BC2034"/>
    <w:rsid w:val="00BC266A"/>
    <w:rsid w:val="00BC3A37"/>
    <w:rsid w:val="00BC4369"/>
    <w:rsid w:val="00BC5CB6"/>
    <w:rsid w:val="00BD21C6"/>
    <w:rsid w:val="00BD37DA"/>
    <w:rsid w:val="00BD446C"/>
    <w:rsid w:val="00BE2FAC"/>
    <w:rsid w:val="00BE5FD7"/>
    <w:rsid w:val="00C07935"/>
    <w:rsid w:val="00C07C02"/>
    <w:rsid w:val="00C124F6"/>
    <w:rsid w:val="00C17780"/>
    <w:rsid w:val="00C40E92"/>
    <w:rsid w:val="00C46FF2"/>
    <w:rsid w:val="00C47147"/>
    <w:rsid w:val="00C50A65"/>
    <w:rsid w:val="00C51A81"/>
    <w:rsid w:val="00C529E3"/>
    <w:rsid w:val="00C5564F"/>
    <w:rsid w:val="00C65660"/>
    <w:rsid w:val="00C67A25"/>
    <w:rsid w:val="00C7387A"/>
    <w:rsid w:val="00C804D2"/>
    <w:rsid w:val="00C83618"/>
    <w:rsid w:val="00C842DC"/>
    <w:rsid w:val="00C84BD3"/>
    <w:rsid w:val="00C87E67"/>
    <w:rsid w:val="00C92A4F"/>
    <w:rsid w:val="00C9780D"/>
    <w:rsid w:val="00CA2482"/>
    <w:rsid w:val="00CB168C"/>
    <w:rsid w:val="00CC036F"/>
    <w:rsid w:val="00CC0B70"/>
    <w:rsid w:val="00CC1072"/>
    <w:rsid w:val="00CC60EC"/>
    <w:rsid w:val="00CC6E00"/>
    <w:rsid w:val="00CD1B22"/>
    <w:rsid w:val="00CD28ED"/>
    <w:rsid w:val="00CD6518"/>
    <w:rsid w:val="00CE086D"/>
    <w:rsid w:val="00CE54FF"/>
    <w:rsid w:val="00CE7025"/>
    <w:rsid w:val="00CF3178"/>
    <w:rsid w:val="00CF399B"/>
    <w:rsid w:val="00CF40C6"/>
    <w:rsid w:val="00CF4323"/>
    <w:rsid w:val="00D06B48"/>
    <w:rsid w:val="00D10264"/>
    <w:rsid w:val="00D16BA8"/>
    <w:rsid w:val="00D20832"/>
    <w:rsid w:val="00D20943"/>
    <w:rsid w:val="00D24000"/>
    <w:rsid w:val="00D26321"/>
    <w:rsid w:val="00D27654"/>
    <w:rsid w:val="00D30EBA"/>
    <w:rsid w:val="00D31A58"/>
    <w:rsid w:val="00D32737"/>
    <w:rsid w:val="00D33FB6"/>
    <w:rsid w:val="00D3771E"/>
    <w:rsid w:val="00D42307"/>
    <w:rsid w:val="00D44C01"/>
    <w:rsid w:val="00D52E7A"/>
    <w:rsid w:val="00D56933"/>
    <w:rsid w:val="00D573F5"/>
    <w:rsid w:val="00D57E37"/>
    <w:rsid w:val="00D6529C"/>
    <w:rsid w:val="00D73E57"/>
    <w:rsid w:val="00D74ADF"/>
    <w:rsid w:val="00D77022"/>
    <w:rsid w:val="00D777D9"/>
    <w:rsid w:val="00D84A88"/>
    <w:rsid w:val="00D85575"/>
    <w:rsid w:val="00D94400"/>
    <w:rsid w:val="00D96C58"/>
    <w:rsid w:val="00DB0ED4"/>
    <w:rsid w:val="00DB1DD3"/>
    <w:rsid w:val="00DB1EFC"/>
    <w:rsid w:val="00DC237A"/>
    <w:rsid w:val="00DD03FE"/>
    <w:rsid w:val="00DD23A7"/>
    <w:rsid w:val="00DD4362"/>
    <w:rsid w:val="00DD640B"/>
    <w:rsid w:val="00DF314D"/>
    <w:rsid w:val="00DF4343"/>
    <w:rsid w:val="00DF4C1A"/>
    <w:rsid w:val="00DF671F"/>
    <w:rsid w:val="00E02F36"/>
    <w:rsid w:val="00E10A6F"/>
    <w:rsid w:val="00E176EC"/>
    <w:rsid w:val="00E204C7"/>
    <w:rsid w:val="00E2135A"/>
    <w:rsid w:val="00E22D02"/>
    <w:rsid w:val="00E23BCE"/>
    <w:rsid w:val="00E250A1"/>
    <w:rsid w:val="00E26385"/>
    <w:rsid w:val="00E30A1D"/>
    <w:rsid w:val="00E404C4"/>
    <w:rsid w:val="00E44C10"/>
    <w:rsid w:val="00E51496"/>
    <w:rsid w:val="00E51F6A"/>
    <w:rsid w:val="00E55145"/>
    <w:rsid w:val="00E56817"/>
    <w:rsid w:val="00E61B75"/>
    <w:rsid w:val="00E6269D"/>
    <w:rsid w:val="00E67035"/>
    <w:rsid w:val="00E7286A"/>
    <w:rsid w:val="00E735A7"/>
    <w:rsid w:val="00E800FE"/>
    <w:rsid w:val="00E819AE"/>
    <w:rsid w:val="00E82045"/>
    <w:rsid w:val="00E84F16"/>
    <w:rsid w:val="00E91433"/>
    <w:rsid w:val="00E92D1E"/>
    <w:rsid w:val="00E95A63"/>
    <w:rsid w:val="00EA19F0"/>
    <w:rsid w:val="00EA3811"/>
    <w:rsid w:val="00EA7F05"/>
    <w:rsid w:val="00EB399B"/>
    <w:rsid w:val="00EC7DC3"/>
    <w:rsid w:val="00ED4D4B"/>
    <w:rsid w:val="00ED7C9D"/>
    <w:rsid w:val="00EE46B4"/>
    <w:rsid w:val="00EF2305"/>
    <w:rsid w:val="00EF2DE8"/>
    <w:rsid w:val="00EF4302"/>
    <w:rsid w:val="00EF6C70"/>
    <w:rsid w:val="00EF72C5"/>
    <w:rsid w:val="00EF7EA6"/>
    <w:rsid w:val="00F004C0"/>
    <w:rsid w:val="00F00F1D"/>
    <w:rsid w:val="00F066D4"/>
    <w:rsid w:val="00F06B51"/>
    <w:rsid w:val="00F0796E"/>
    <w:rsid w:val="00F10099"/>
    <w:rsid w:val="00F16C1C"/>
    <w:rsid w:val="00F2313F"/>
    <w:rsid w:val="00F23564"/>
    <w:rsid w:val="00F24243"/>
    <w:rsid w:val="00F316D2"/>
    <w:rsid w:val="00F324BC"/>
    <w:rsid w:val="00F37957"/>
    <w:rsid w:val="00F4271F"/>
    <w:rsid w:val="00F44562"/>
    <w:rsid w:val="00F453F5"/>
    <w:rsid w:val="00F51D06"/>
    <w:rsid w:val="00F5217E"/>
    <w:rsid w:val="00F555D7"/>
    <w:rsid w:val="00F5669A"/>
    <w:rsid w:val="00F65091"/>
    <w:rsid w:val="00F6588E"/>
    <w:rsid w:val="00F71069"/>
    <w:rsid w:val="00F73152"/>
    <w:rsid w:val="00F74027"/>
    <w:rsid w:val="00F74F16"/>
    <w:rsid w:val="00F82E4C"/>
    <w:rsid w:val="00F84BD6"/>
    <w:rsid w:val="00F91CDB"/>
    <w:rsid w:val="00F962F6"/>
    <w:rsid w:val="00FA005B"/>
    <w:rsid w:val="00FA1A96"/>
    <w:rsid w:val="00FA4FD1"/>
    <w:rsid w:val="00FB01BD"/>
    <w:rsid w:val="00FB331D"/>
    <w:rsid w:val="00FB49DB"/>
    <w:rsid w:val="00FC35AA"/>
    <w:rsid w:val="00FC4494"/>
    <w:rsid w:val="00FC5A64"/>
    <w:rsid w:val="00FD1E7C"/>
    <w:rsid w:val="00FF4909"/>
    <w:rsid w:val="00FF6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493A"/>
    <w:pPr>
      <w:keepNext/>
      <w:numPr>
        <w:numId w:val="20"/>
      </w:numPr>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E7025"/>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E7025"/>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E7025"/>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E7025"/>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E7025"/>
    <w:pPr>
      <w:keepNext/>
      <w:jc w:val="center"/>
      <w:outlineLvl w:val="5"/>
    </w:pPr>
    <w:rPr>
      <w:rFonts w:ascii="Arial" w:hAnsi="Arial" w:cs="Arial"/>
      <w:b/>
      <w:bCs/>
    </w:rPr>
  </w:style>
  <w:style w:type="paragraph" w:styleId="Heading7">
    <w:name w:val="heading 7"/>
    <w:basedOn w:val="Normal"/>
    <w:next w:val="Normal"/>
    <w:link w:val="Heading7Char"/>
    <w:qFormat/>
    <w:rsid w:val="00CE7025"/>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E7025"/>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E7025"/>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F1"/>
    <w:pPr>
      <w:ind w:left="720"/>
      <w:contextualSpacing/>
    </w:pPr>
  </w:style>
  <w:style w:type="table" w:styleId="TableGrid">
    <w:name w:val="Table Grid"/>
    <w:basedOn w:val="TableNormal"/>
    <w:rsid w:val="00CE70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E7025"/>
    <w:rPr>
      <w:color w:val="0000FF"/>
      <w:u w:val="single"/>
    </w:rPr>
  </w:style>
  <w:style w:type="character" w:styleId="FootnoteReference">
    <w:name w:val="footnote reference"/>
    <w:aliases w:val="fr"/>
    <w:rsid w:val="000B493A"/>
    <w:rPr>
      <w:rFonts w:ascii="Times New Roman" w:hAnsi="Times New Roman" w:cs="Courier New"/>
      <w:sz w:val="22"/>
      <w:szCs w:val="24"/>
      <w:vertAlign w:val="superscript"/>
    </w:rPr>
  </w:style>
  <w:style w:type="paragraph" w:customStyle="1" w:styleId="TableTitle">
    <w:name w:val="Table Title"/>
    <w:basedOn w:val="FigureTitle"/>
    <w:qFormat/>
    <w:rsid w:val="00045FA6"/>
  </w:style>
  <w:style w:type="paragraph" w:customStyle="1" w:styleId="TableTitlecont">
    <w:name w:val="Table Title cont"/>
    <w:basedOn w:val="TableTitle"/>
    <w:qFormat/>
    <w:rsid w:val="00815380"/>
  </w:style>
  <w:style w:type="paragraph" w:customStyle="1" w:styleId="F1F4FooterEven">
    <w:name w:val="_F1F4_Footer_Even"/>
    <w:next w:val="Normal"/>
    <w:rsid w:val="0096757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styleId="TableofFigures">
    <w:name w:val="table of figures"/>
    <w:basedOn w:val="Normal"/>
    <w:next w:val="Normal"/>
    <w:uiPriority w:val="99"/>
    <w:unhideWhenUsed/>
    <w:rsid w:val="00353F8F"/>
    <w:pPr>
      <w:tabs>
        <w:tab w:val="left" w:pos="1080"/>
        <w:tab w:val="right" w:leader="dot" w:pos="9360"/>
      </w:tabs>
      <w:ind w:left="1080" w:right="720" w:hanging="1080"/>
    </w:pPr>
    <w:rPr>
      <w:rFonts w:eastAsia="Arial"/>
      <w:noProof/>
    </w:rPr>
  </w:style>
  <w:style w:type="character" w:styleId="Strong">
    <w:name w:val="Strong"/>
    <w:uiPriority w:val="22"/>
    <w:qFormat/>
    <w:rsid w:val="00CE7025"/>
    <w:rPr>
      <w:b/>
      <w:bCs/>
    </w:rPr>
  </w:style>
  <w:style w:type="paragraph" w:styleId="NormalWeb">
    <w:name w:val="Normal (Web)"/>
    <w:basedOn w:val="Normal"/>
    <w:rsid w:val="00CE7025"/>
    <w:pPr>
      <w:spacing w:before="100" w:beforeAutospacing="1" w:after="100" w:afterAutospacing="1"/>
    </w:pPr>
    <w:rPr>
      <w:rFonts w:ascii="Arial" w:hAnsi="Arial" w:cs="Arial"/>
      <w:color w:val="000000"/>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unhideWhenUsed/>
    <w:rsid w:val="00E735A7"/>
    <w:rPr>
      <w:sz w:val="20"/>
      <w:szCs w:val="20"/>
    </w:rPr>
  </w:style>
  <w:style w:type="character" w:customStyle="1" w:styleId="CommentTextChar">
    <w:name w:val="Comment Text Char"/>
    <w:basedOn w:val="DefaultParagraphFont"/>
    <w:link w:val="CommentText"/>
    <w:uiPriority w:val="99"/>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 w:type="paragraph" w:styleId="BalloonText">
    <w:name w:val="Balloon Text"/>
    <w:basedOn w:val="Normal"/>
    <w:link w:val="BalloonTextChar"/>
    <w:semiHidden/>
    <w:rsid w:val="00CE7025"/>
    <w:pPr>
      <w:numPr>
        <w:numId w:val="18"/>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E735A7"/>
    <w:rPr>
      <w:rFonts w:ascii="Tahoma" w:eastAsia="Times New Roman" w:hAnsi="Tahoma" w:cs="Tahoma"/>
      <w:sz w:val="16"/>
      <w:szCs w:val="16"/>
    </w:rPr>
  </w:style>
  <w:style w:type="paragraph" w:styleId="EndnoteText">
    <w:name w:val="endnote text"/>
    <w:basedOn w:val="Normal"/>
    <w:link w:val="EndnoteTextChar"/>
    <w:semiHidden/>
    <w:rsid w:val="00CE7025"/>
    <w:rPr>
      <w:sz w:val="20"/>
      <w:szCs w:val="20"/>
    </w:rPr>
  </w:style>
  <w:style w:type="character" w:customStyle="1" w:styleId="EndnoteTextChar">
    <w:name w:val="Endnote Text Char"/>
    <w:basedOn w:val="DefaultParagraphFont"/>
    <w:link w:val="EndnoteText"/>
    <w:semiHidden/>
    <w:rsid w:val="00D56933"/>
    <w:rPr>
      <w:rFonts w:ascii="Times New Roman" w:eastAsia="Times New Roman" w:hAnsi="Times New Roman" w:cs="Times New Roman"/>
      <w:sz w:val="20"/>
      <w:szCs w:val="20"/>
    </w:rPr>
  </w:style>
  <w:style w:type="character" w:styleId="EndnoteReference">
    <w:name w:val="endnote reference"/>
    <w:semiHidden/>
    <w:rsid w:val="00CE7025"/>
    <w:rPr>
      <w:vertAlign w:val="superscript"/>
    </w:rPr>
  </w:style>
  <w:style w:type="paragraph" w:styleId="Header">
    <w:name w:val="header"/>
    <w:basedOn w:val="Normal"/>
    <w:link w:val="HeaderChar"/>
    <w:rsid w:val="00CE7025"/>
    <w:pPr>
      <w:tabs>
        <w:tab w:val="center" w:pos="4320"/>
        <w:tab w:val="right" w:pos="8640"/>
      </w:tabs>
    </w:pPr>
    <w:rPr>
      <w:sz w:val="20"/>
      <w:szCs w:val="20"/>
    </w:rPr>
  </w:style>
  <w:style w:type="character" w:customStyle="1" w:styleId="HeaderChar">
    <w:name w:val="Header Char"/>
    <w:basedOn w:val="DefaultParagraphFont"/>
    <w:link w:val="Header"/>
    <w:rsid w:val="006B5162"/>
    <w:rPr>
      <w:rFonts w:ascii="Times New Roman" w:eastAsia="Times New Roman" w:hAnsi="Times New Roman" w:cs="Times New Roman"/>
      <w:sz w:val="20"/>
      <w:szCs w:val="20"/>
    </w:rPr>
  </w:style>
  <w:style w:type="paragraph" w:styleId="Footer">
    <w:name w:val="footer"/>
    <w:basedOn w:val="Normal"/>
    <w:link w:val="FooterChar"/>
    <w:rsid w:val="00CE7025"/>
    <w:pPr>
      <w:tabs>
        <w:tab w:val="center" w:pos="4320"/>
        <w:tab w:val="right" w:pos="8640"/>
      </w:tabs>
    </w:pPr>
    <w:rPr>
      <w:sz w:val="20"/>
      <w:szCs w:val="20"/>
    </w:rPr>
  </w:style>
  <w:style w:type="character" w:customStyle="1" w:styleId="FooterChar">
    <w:name w:val="Footer Char"/>
    <w:basedOn w:val="DefaultParagraphFont"/>
    <w:link w:val="Footer"/>
    <w:rsid w:val="006B516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3A"/>
    <w:rPr>
      <w:rFonts w:ascii="Times New Roman Bold" w:eastAsia="Times New Roman" w:hAnsi="Times New Roman Bold" w:cs="Times New Roman"/>
      <w:b/>
      <w:bCs/>
      <w:caps/>
      <w:sz w:val="24"/>
      <w:szCs w:val="24"/>
    </w:rPr>
  </w:style>
  <w:style w:type="paragraph" w:customStyle="1" w:styleId="aa">
    <w:name w:val="a_a"/>
    <w:basedOn w:val="Normal"/>
    <w:qFormat/>
    <w:rsid w:val="00462DE8"/>
    <w:pPr>
      <w:keepLines/>
      <w:tabs>
        <w:tab w:val="left" w:pos="900"/>
      </w:tabs>
      <w:spacing w:before="60" w:after="60"/>
      <w:ind w:left="907" w:hanging="360"/>
    </w:pPr>
    <w:rPr>
      <w:rFonts w:ascii="Verdana" w:hAnsi="Verdana"/>
      <w:sz w:val="20"/>
    </w:rPr>
  </w:style>
  <w:style w:type="paragraph" w:styleId="Revision">
    <w:name w:val="Revision"/>
    <w:hidden/>
    <w:uiPriority w:val="99"/>
    <w:semiHidden/>
    <w:rsid w:val="00F066D4"/>
    <w:pPr>
      <w:spacing w:after="0" w:line="240" w:lineRule="auto"/>
    </w:pPr>
  </w:style>
  <w:style w:type="character" w:customStyle="1" w:styleId="Heading2Char">
    <w:name w:val="Heading 2 Char"/>
    <w:basedOn w:val="DefaultParagraphFont"/>
    <w:link w:val="Heading2"/>
    <w:rsid w:val="0048395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83958"/>
    <w:rPr>
      <w:rFonts w:ascii="Times New Roman" w:eastAsia="Times New Roman" w:hAnsi="Times New Roman" w:cs="Arial"/>
      <w:b/>
      <w:bCs/>
      <w:i/>
      <w:iCs/>
      <w:sz w:val="24"/>
      <w:lang w:val="en-CA"/>
    </w:rPr>
  </w:style>
  <w:style w:type="character" w:customStyle="1" w:styleId="Heading4Char">
    <w:name w:val="Heading 4 Char"/>
    <w:link w:val="Heading4"/>
    <w:rsid w:val="00CE7025"/>
    <w:rPr>
      <w:rFonts w:ascii="Arial" w:eastAsia="Times New Roman" w:hAnsi="Arial" w:cs="Arial"/>
      <w:b/>
      <w:bCs/>
    </w:rPr>
  </w:style>
  <w:style w:type="character" w:customStyle="1" w:styleId="Heading5Char">
    <w:name w:val="Heading 5 Char"/>
    <w:basedOn w:val="DefaultParagraphFont"/>
    <w:link w:val="Heading5"/>
    <w:rsid w:val="0096757A"/>
    <w:rPr>
      <w:rFonts w:ascii="Arial" w:eastAsia="Times New Roman" w:hAnsi="Arial" w:cs="Arial"/>
      <w:b/>
      <w:bCs/>
      <w:sz w:val="20"/>
      <w:szCs w:val="20"/>
      <w:u w:val="single"/>
    </w:rPr>
  </w:style>
  <w:style w:type="character" w:customStyle="1" w:styleId="Heading6Char">
    <w:name w:val="Heading 6 Char"/>
    <w:basedOn w:val="DefaultParagraphFont"/>
    <w:link w:val="Heading6"/>
    <w:rsid w:val="00483958"/>
    <w:rPr>
      <w:rFonts w:ascii="Arial" w:eastAsia="Times New Roman" w:hAnsi="Arial" w:cs="Arial"/>
      <w:b/>
      <w:bCs/>
      <w:sz w:val="24"/>
      <w:szCs w:val="24"/>
    </w:rPr>
  </w:style>
  <w:style w:type="character" w:customStyle="1" w:styleId="Heading7Char">
    <w:name w:val="Heading 7 Char"/>
    <w:link w:val="Heading7"/>
    <w:rsid w:val="00CE7025"/>
    <w:rPr>
      <w:rFonts w:ascii="Arial" w:eastAsia="Times New Roman" w:hAnsi="Arial" w:cs="Arial"/>
      <w:b/>
      <w:bCs/>
      <w:sz w:val="16"/>
      <w:szCs w:val="16"/>
    </w:rPr>
  </w:style>
  <w:style w:type="character" w:customStyle="1" w:styleId="Heading8Char">
    <w:name w:val="Heading 8 Char"/>
    <w:basedOn w:val="DefaultParagraphFont"/>
    <w:link w:val="Heading8"/>
    <w:rsid w:val="00483958"/>
    <w:rPr>
      <w:rFonts w:ascii="Arial" w:eastAsia="Times New Roman" w:hAnsi="Arial" w:cs="Arial"/>
      <w:b/>
      <w:bCs/>
      <w:sz w:val="20"/>
      <w:szCs w:val="20"/>
      <w:u w:val="single"/>
    </w:rPr>
  </w:style>
  <w:style w:type="character" w:customStyle="1" w:styleId="Heading9Char">
    <w:name w:val="Heading 9 Char"/>
    <w:basedOn w:val="DefaultParagraphFont"/>
    <w:link w:val="Heading9"/>
    <w:rsid w:val="00483958"/>
    <w:rPr>
      <w:rFonts w:ascii="Arial" w:eastAsia="Times New Roman" w:hAnsi="Arial" w:cs="Arial"/>
      <w:b/>
      <w:bCs/>
      <w:sz w:val="20"/>
      <w:szCs w:val="20"/>
      <w:u w:val="single"/>
    </w:rPr>
  </w:style>
  <w:style w:type="paragraph" w:customStyle="1" w:styleId="bullets">
    <w:name w:val="bullets"/>
    <w:basedOn w:val="Normal"/>
    <w:rsid w:val="00353F8F"/>
    <w:pPr>
      <w:numPr>
        <w:numId w:val="22"/>
      </w:numPr>
      <w:spacing w:after="120"/>
      <w:ind w:left="1080"/>
    </w:pPr>
    <w:rPr>
      <w:color w:val="000000"/>
    </w:rPr>
  </w:style>
  <w:style w:type="paragraph" w:customStyle="1" w:styleId="exhibitsource">
    <w:name w:val="exhibit source"/>
    <w:basedOn w:val="Normal"/>
    <w:rsid w:val="00CE7025"/>
    <w:pPr>
      <w:spacing w:after="120"/>
    </w:pPr>
    <w:rPr>
      <w:sz w:val="20"/>
      <w:szCs w:val="22"/>
    </w:rPr>
  </w:style>
  <w:style w:type="numbering" w:customStyle="1" w:styleId="NoList1">
    <w:name w:val="No List1"/>
    <w:next w:val="NoList"/>
    <w:semiHidden/>
    <w:rsid w:val="00CE7025"/>
  </w:style>
  <w:style w:type="paragraph" w:customStyle="1" w:styleId="FigureTitleContinued">
    <w:name w:val="Figure Title Continued"/>
    <w:basedOn w:val="FigureTitle"/>
    <w:qFormat/>
    <w:rsid w:val="00CE7025"/>
  </w:style>
  <w:style w:type="paragraph" w:customStyle="1" w:styleId="paragraph">
    <w:name w:val="paragraph"/>
    <w:basedOn w:val="Normal"/>
    <w:rsid w:val="00CE7025"/>
    <w:pPr>
      <w:spacing w:before="200" w:line="320" w:lineRule="exact"/>
      <w:ind w:left="1440"/>
    </w:pPr>
  </w:style>
  <w:style w:type="paragraph" w:customStyle="1" w:styleId="heading10">
    <w:name w:val="heading1"/>
    <w:basedOn w:val="Normal"/>
    <w:next w:val="Normal"/>
    <w:semiHidden/>
    <w:rsid w:val="00CE7025"/>
    <w:pPr>
      <w:spacing w:before="120" w:after="120"/>
    </w:pPr>
    <w:rPr>
      <w:b/>
      <w:bCs/>
      <w:sz w:val="22"/>
      <w:szCs w:val="22"/>
    </w:rPr>
  </w:style>
  <w:style w:type="paragraph" w:customStyle="1" w:styleId="heading20">
    <w:name w:val="heading2"/>
    <w:basedOn w:val="Heading3"/>
    <w:next w:val="Normal"/>
    <w:semiHidden/>
    <w:rsid w:val="00CE7025"/>
    <w:pPr>
      <w:spacing w:before="120"/>
    </w:pPr>
    <w:rPr>
      <w:rFonts w:cs="Times New Roman"/>
    </w:rPr>
  </w:style>
  <w:style w:type="character" w:styleId="PageNumber">
    <w:name w:val="page number"/>
    <w:rsid w:val="00CE7025"/>
    <w:rPr>
      <w:rFonts w:ascii="Times New Roman" w:hAnsi="Times New Roman"/>
      <w:sz w:val="24"/>
    </w:rPr>
  </w:style>
  <w:style w:type="paragraph" w:styleId="Title">
    <w:name w:val="Title"/>
    <w:basedOn w:val="Normal"/>
    <w:link w:val="TitleChar"/>
    <w:uiPriority w:val="10"/>
    <w:qFormat/>
    <w:rsid w:val="00CE7025"/>
    <w:pPr>
      <w:ind w:left="-270"/>
      <w:jc w:val="center"/>
    </w:pPr>
    <w:rPr>
      <w:b/>
      <w:bCs/>
    </w:rPr>
  </w:style>
  <w:style w:type="character" w:customStyle="1" w:styleId="TitleChar">
    <w:name w:val="Title Char"/>
    <w:basedOn w:val="DefaultParagraphFont"/>
    <w:link w:val="Title"/>
    <w:uiPriority w:val="10"/>
    <w:rsid w:val="00483958"/>
    <w:rPr>
      <w:rFonts w:ascii="Times New Roman" w:eastAsia="Times New Roman" w:hAnsi="Times New Roman" w:cs="Times New Roman"/>
      <w:b/>
      <w:bCs/>
      <w:sz w:val="24"/>
      <w:szCs w:val="24"/>
    </w:rPr>
  </w:style>
  <w:style w:type="paragraph" w:customStyle="1" w:styleId="Level1">
    <w:name w:val="Level 1"/>
    <w:basedOn w:val="Normal"/>
    <w:rsid w:val="00CE7025"/>
    <w:pPr>
      <w:widowControl w:val="0"/>
      <w:autoSpaceDE w:val="0"/>
      <w:autoSpaceDN w:val="0"/>
      <w:adjustRightInd w:val="0"/>
      <w:ind w:left="720" w:hanging="720"/>
    </w:pPr>
  </w:style>
  <w:style w:type="paragraph" w:customStyle="1" w:styleId="bibliogrpahy">
    <w:name w:val="bibliogrpahy"/>
    <w:rsid w:val="00CE7025"/>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E7025"/>
  </w:style>
  <w:style w:type="character" w:customStyle="1" w:styleId="E-mailSignatureChar">
    <w:name w:val="E-mail Signature Char"/>
    <w:basedOn w:val="DefaultParagraphFont"/>
    <w:link w:val="E-mailSignature"/>
    <w:rsid w:val="00483958"/>
    <w:rPr>
      <w:rFonts w:ascii="Times New Roman" w:eastAsia="Times New Roman" w:hAnsi="Times New Roman" w:cs="Times New Roman"/>
      <w:sz w:val="24"/>
      <w:szCs w:val="24"/>
    </w:rPr>
  </w:style>
  <w:style w:type="paragraph" w:customStyle="1" w:styleId="FootnoteText1">
    <w:name w:val="Footnote Text1"/>
    <w:rsid w:val="000B493A"/>
    <w:pPr>
      <w:autoSpaceDE w:val="0"/>
      <w:autoSpaceDN w:val="0"/>
      <w:adjustRightInd w:val="0"/>
      <w:spacing w:after="0" w:line="240" w:lineRule="auto"/>
      <w:ind w:left="90" w:hanging="90"/>
    </w:pPr>
    <w:rPr>
      <w:rFonts w:ascii="Times New Roman" w:eastAsia="Times New Roman" w:hAnsi="Times New Roman" w:cs="Times New Roman"/>
      <w:szCs w:val="20"/>
    </w:rPr>
  </w:style>
  <w:style w:type="character" w:styleId="Emphasis">
    <w:name w:val="Emphasis"/>
    <w:qFormat/>
    <w:rsid w:val="00CE7025"/>
    <w:rPr>
      <w:i/>
      <w:iCs/>
    </w:rPr>
  </w:style>
  <w:style w:type="paragraph" w:styleId="HTMLPreformatted">
    <w:name w:val="HTML Preformatted"/>
    <w:basedOn w:val="Normal"/>
    <w:link w:val="HTMLPreformattedChar"/>
    <w:semiHidden/>
    <w:rsid w:val="00CE7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83958"/>
    <w:rPr>
      <w:rFonts w:ascii="Courier New" w:eastAsia="Times New Roman" w:hAnsi="Courier New" w:cs="Courier New"/>
      <w:sz w:val="20"/>
      <w:szCs w:val="20"/>
    </w:rPr>
  </w:style>
  <w:style w:type="paragraph" w:styleId="TOC1">
    <w:name w:val="toc 1"/>
    <w:basedOn w:val="Normal"/>
    <w:next w:val="Normal"/>
    <w:autoRedefine/>
    <w:uiPriority w:val="39"/>
    <w:rsid w:val="009D2C71"/>
    <w:pPr>
      <w:keepNext/>
      <w:tabs>
        <w:tab w:val="left" w:pos="1350"/>
        <w:tab w:val="right" w:leader="dot" w:pos="9360"/>
      </w:tabs>
      <w:spacing w:before="240" w:after="120"/>
      <w:ind w:left="720" w:right="720" w:hanging="360"/>
    </w:pPr>
    <w:rPr>
      <w:b/>
      <w:noProof/>
    </w:rPr>
  </w:style>
  <w:style w:type="paragraph" w:customStyle="1" w:styleId="BodyText1">
    <w:name w:val="Body Text1"/>
    <w:basedOn w:val="Normal"/>
    <w:rsid w:val="00483958"/>
    <w:pPr>
      <w:spacing w:after="120" w:line="360" w:lineRule="auto"/>
      <w:ind w:firstLine="720"/>
    </w:pPr>
    <w:rPr>
      <w:szCs w:val="20"/>
    </w:rPr>
  </w:style>
  <w:style w:type="paragraph" w:styleId="TOC2">
    <w:name w:val="toc 2"/>
    <w:basedOn w:val="Normal"/>
    <w:next w:val="Normal"/>
    <w:autoRedefine/>
    <w:uiPriority w:val="39"/>
    <w:rsid w:val="000B493A"/>
    <w:pPr>
      <w:tabs>
        <w:tab w:val="right" w:leader="dot" w:pos="9360"/>
      </w:tabs>
      <w:spacing w:before="120" w:after="120"/>
      <w:ind w:left="1350" w:right="720" w:hanging="630"/>
    </w:pPr>
    <w:rPr>
      <w:noProof/>
    </w:rPr>
  </w:style>
  <w:style w:type="character" w:customStyle="1" w:styleId="TomMitchell">
    <w:name w:val="Tom Mitchell"/>
    <w:semiHidden/>
    <w:rsid w:val="00CE7025"/>
    <w:rPr>
      <w:rFonts w:ascii="Arial" w:hAnsi="Arial" w:cs="Arial"/>
      <w:color w:val="000080"/>
      <w:sz w:val="20"/>
      <w:szCs w:val="20"/>
    </w:rPr>
  </w:style>
  <w:style w:type="paragraph" w:customStyle="1" w:styleId="Cov-Date">
    <w:name w:val="Cov-Date"/>
    <w:basedOn w:val="Normal"/>
    <w:rsid w:val="00CE7025"/>
    <w:pPr>
      <w:jc w:val="right"/>
    </w:pPr>
    <w:rPr>
      <w:rFonts w:ascii="Arial" w:hAnsi="Arial"/>
      <w:b/>
      <w:sz w:val="28"/>
      <w:szCs w:val="20"/>
    </w:rPr>
  </w:style>
  <w:style w:type="paragraph" w:customStyle="1" w:styleId="Cov-Title">
    <w:name w:val="Cov-Title"/>
    <w:basedOn w:val="Normal"/>
    <w:rsid w:val="00CE7025"/>
    <w:pPr>
      <w:jc w:val="right"/>
    </w:pPr>
    <w:rPr>
      <w:rFonts w:ascii="Arial Black" w:hAnsi="Arial Black"/>
      <w:sz w:val="48"/>
      <w:szCs w:val="20"/>
    </w:rPr>
  </w:style>
  <w:style w:type="paragraph" w:customStyle="1" w:styleId="Cov-Author">
    <w:name w:val="Cov-Author"/>
    <w:basedOn w:val="Normal"/>
    <w:rsid w:val="00CE7025"/>
    <w:pPr>
      <w:jc w:val="right"/>
    </w:pPr>
    <w:rPr>
      <w:rFonts w:ascii="Arial Black" w:hAnsi="Arial Black"/>
      <w:szCs w:val="20"/>
    </w:rPr>
  </w:style>
  <w:style w:type="paragraph" w:customStyle="1" w:styleId="Cov-Address">
    <w:name w:val="Cov-Address"/>
    <w:basedOn w:val="Normal"/>
    <w:rsid w:val="00CE7025"/>
    <w:pPr>
      <w:jc w:val="right"/>
    </w:pPr>
    <w:rPr>
      <w:rFonts w:ascii="Arial" w:hAnsi="Arial"/>
      <w:szCs w:val="20"/>
    </w:rPr>
  </w:style>
  <w:style w:type="paragraph" w:styleId="DocumentMap">
    <w:name w:val="Document Map"/>
    <w:basedOn w:val="Normal"/>
    <w:link w:val="DocumentMapChar"/>
    <w:semiHidden/>
    <w:rsid w:val="00CE702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3958"/>
    <w:rPr>
      <w:rFonts w:ascii="Tahoma" w:eastAsia="Times New Roman" w:hAnsi="Tahoma" w:cs="Tahoma"/>
      <w:sz w:val="24"/>
      <w:szCs w:val="24"/>
      <w:shd w:val="clear" w:color="auto" w:fill="000080"/>
    </w:rPr>
  </w:style>
  <w:style w:type="paragraph" w:styleId="TOC4">
    <w:name w:val="toc 4"/>
    <w:basedOn w:val="Normal"/>
    <w:next w:val="Normal"/>
    <w:rsid w:val="00CE7025"/>
    <w:pPr>
      <w:tabs>
        <w:tab w:val="right" w:leader="dot" w:pos="9360"/>
      </w:tabs>
      <w:spacing w:before="60"/>
      <w:ind w:left="3240" w:hanging="720"/>
    </w:pPr>
    <w:rPr>
      <w:szCs w:val="20"/>
    </w:rPr>
  </w:style>
  <w:style w:type="paragraph" w:styleId="TOC3">
    <w:name w:val="toc 3"/>
    <w:basedOn w:val="Normal"/>
    <w:next w:val="Normal"/>
    <w:uiPriority w:val="39"/>
    <w:rsid w:val="00CE7025"/>
    <w:pPr>
      <w:tabs>
        <w:tab w:val="right" w:leader="dot" w:pos="9360"/>
      </w:tabs>
      <w:spacing w:before="80" w:after="40"/>
      <w:ind w:left="2340" w:right="720" w:hanging="900"/>
    </w:pPr>
    <w:rPr>
      <w:noProof/>
      <w:szCs w:val="20"/>
    </w:rPr>
  </w:style>
  <w:style w:type="paragraph" w:customStyle="1" w:styleId="Question">
    <w:name w:val="Question"/>
    <w:basedOn w:val="Normal"/>
    <w:semiHidden/>
    <w:rsid w:val="00CE7025"/>
    <w:pPr>
      <w:keepNext/>
      <w:keepLines/>
      <w:spacing w:before="160" w:after="60"/>
      <w:ind w:left="900" w:hanging="547"/>
    </w:pPr>
    <w:rPr>
      <w:rFonts w:ascii="Optima" w:hAnsi="Optima"/>
      <w:sz w:val="22"/>
      <w:szCs w:val="20"/>
    </w:rPr>
  </w:style>
  <w:style w:type="paragraph" w:styleId="TOC5">
    <w:name w:val="toc 5"/>
    <w:basedOn w:val="Normal"/>
    <w:next w:val="Normal"/>
    <w:rsid w:val="00CE7025"/>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E7025"/>
    <w:pPr>
      <w:ind w:left="360"/>
    </w:pPr>
    <w:rPr>
      <w:szCs w:val="20"/>
    </w:rPr>
  </w:style>
  <w:style w:type="paragraph" w:styleId="Index1">
    <w:name w:val="index 1"/>
    <w:basedOn w:val="Normal"/>
    <w:next w:val="Normal"/>
    <w:semiHidden/>
    <w:rsid w:val="00CE7025"/>
    <w:rPr>
      <w:szCs w:val="20"/>
    </w:rPr>
  </w:style>
  <w:style w:type="character" w:styleId="LineNumber">
    <w:name w:val="line number"/>
    <w:basedOn w:val="DefaultParagraphFont"/>
    <w:semiHidden/>
    <w:rsid w:val="00CE7025"/>
  </w:style>
  <w:style w:type="paragraph" w:customStyle="1" w:styleId="equation">
    <w:name w:val="equation"/>
    <w:rsid w:val="00CE7025"/>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E7025"/>
    <w:pPr>
      <w:keepNext/>
      <w:spacing w:before="240"/>
      <w:jc w:val="center"/>
    </w:pPr>
    <w:rPr>
      <w:szCs w:val="20"/>
    </w:rPr>
  </w:style>
  <w:style w:type="paragraph" w:customStyle="1" w:styleId="TOC0">
    <w:name w:val="TOC 0"/>
    <w:basedOn w:val="Normal"/>
    <w:rsid w:val="00CE7025"/>
    <w:pPr>
      <w:spacing w:after="240"/>
      <w:jc w:val="center"/>
    </w:pPr>
    <w:rPr>
      <w:b/>
      <w:caps/>
      <w:sz w:val="28"/>
      <w:szCs w:val="20"/>
    </w:rPr>
  </w:style>
  <w:style w:type="paragraph" w:customStyle="1" w:styleId="toc-tabfig">
    <w:name w:val="toc-tab/fig"/>
    <w:basedOn w:val="Normal"/>
    <w:semiHidden/>
    <w:rsid w:val="00CE7025"/>
    <w:pPr>
      <w:tabs>
        <w:tab w:val="right" w:leader="dot" w:pos="9360"/>
      </w:tabs>
      <w:spacing w:before="240" w:after="80"/>
      <w:ind w:left="900" w:hanging="540"/>
    </w:pPr>
    <w:rPr>
      <w:szCs w:val="20"/>
    </w:rPr>
  </w:style>
  <w:style w:type="paragraph" w:customStyle="1" w:styleId="TOCHeader">
    <w:name w:val="TOC Header"/>
    <w:basedOn w:val="Normal"/>
    <w:rsid w:val="00CE7025"/>
    <w:pPr>
      <w:tabs>
        <w:tab w:val="right" w:pos="9360"/>
      </w:tabs>
      <w:spacing w:after="240"/>
    </w:pPr>
    <w:rPr>
      <w:szCs w:val="20"/>
      <w:u w:val="words"/>
    </w:rPr>
  </w:style>
  <w:style w:type="paragraph" w:customStyle="1" w:styleId="bullets-2ndlevel">
    <w:name w:val="bullets-2nd level"/>
    <w:basedOn w:val="Normal"/>
    <w:rsid w:val="00CE7025"/>
    <w:pPr>
      <w:spacing w:after="120" w:line="240" w:lineRule="exact"/>
      <w:ind w:left="1440" w:hanging="360"/>
    </w:pPr>
    <w:rPr>
      <w:szCs w:val="20"/>
    </w:rPr>
  </w:style>
  <w:style w:type="paragraph" w:customStyle="1" w:styleId="biblio">
    <w:name w:val="biblio"/>
    <w:basedOn w:val="Normal"/>
    <w:rsid w:val="00CE7025"/>
    <w:pPr>
      <w:keepLines/>
      <w:spacing w:after="240"/>
      <w:ind w:left="720" w:hanging="720"/>
    </w:pPr>
    <w:rPr>
      <w:szCs w:val="20"/>
    </w:rPr>
  </w:style>
  <w:style w:type="paragraph" w:customStyle="1" w:styleId="NumberBullets">
    <w:name w:val="Number Bullets"/>
    <w:basedOn w:val="Normal"/>
    <w:semiHidden/>
    <w:rsid w:val="00CE7025"/>
    <w:pPr>
      <w:numPr>
        <w:numId w:val="1"/>
      </w:numPr>
      <w:tabs>
        <w:tab w:val="left" w:pos="720"/>
      </w:tabs>
    </w:pPr>
    <w:rPr>
      <w:szCs w:val="20"/>
    </w:rPr>
  </w:style>
  <w:style w:type="paragraph" w:styleId="List3">
    <w:name w:val="List 3"/>
    <w:basedOn w:val="Normal"/>
    <w:semiHidden/>
    <w:rsid w:val="00CE7025"/>
    <w:pPr>
      <w:ind w:left="1915" w:hanging="360"/>
    </w:pPr>
    <w:rPr>
      <w:rFonts w:ascii="Arial" w:hAnsi="Arial"/>
      <w:spacing w:val="-5"/>
      <w:sz w:val="20"/>
      <w:szCs w:val="20"/>
    </w:rPr>
  </w:style>
  <w:style w:type="paragraph" w:customStyle="1" w:styleId="FigureTitle">
    <w:name w:val="Figure Title"/>
    <w:basedOn w:val="Normal"/>
    <w:rsid w:val="00CE7025"/>
    <w:pPr>
      <w:keepNext/>
      <w:keepLines/>
      <w:spacing w:before="240" w:after="240"/>
    </w:pPr>
    <w:rPr>
      <w:b/>
      <w:szCs w:val="20"/>
    </w:rPr>
  </w:style>
  <w:style w:type="paragraph" w:styleId="FootnoteText">
    <w:name w:val="footnote text"/>
    <w:aliases w:val="ft,fo"/>
    <w:basedOn w:val="Normal"/>
    <w:link w:val="FootnoteTextChar"/>
    <w:semiHidden/>
    <w:rsid w:val="00CE7025"/>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CE7025"/>
    <w:rPr>
      <w:rFonts w:ascii="Courier New" w:eastAsia="Times New Roman" w:hAnsi="Courier New" w:cs="Courier New"/>
      <w:sz w:val="24"/>
      <w:szCs w:val="24"/>
    </w:rPr>
  </w:style>
  <w:style w:type="paragraph" w:customStyle="1" w:styleId="AppHead">
    <w:name w:val="AppHead"/>
    <w:basedOn w:val="Heading1"/>
    <w:qFormat/>
    <w:rsid w:val="000B493A"/>
    <w:pPr>
      <w:numPr>
        <w:numId w:val="0"/>
      </w:numPr>
      <w:jc w:val="center"/>
    </w:pPr>
  </w:style>
  <w:style w:type="paragraph" w:customStyle="1" w:styleId="BodyText2">
    <w:name w:val="Body Text2"/>
    <w:basedOn w:val="Normal"/>
    <w:rsid w:val="00CE7025"/>
    <w:pPr>
      <w:spacing w:after="120" w:line="360" w:lineRule="auto"/>
      <w:ind w:firstLine="720"/>
    </w:pPr>
    <w:rPr>
      <w:szCs w:val="20"/>
    </w:rPr>
  </w:style>
  <w:style w:type="paragraph" w:customStyle="1" w:styleId="Default">
    <w:name w:val="Default"/>
    <w:rsid w:val="005B2C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Pubs-Pres">
    <w:name w:val="R-Pubs-Pres"/>
    <w:basedOn w:val="Normal"/>
    <w:link w:val="R-Pubs-PresChar"/>
    <w:rsid w:val="00F5217E"/>
    <w:pPr>
      <w:keepLines/>
      <w:spacing w:after="220"/>
      <w:ind w:left="446" w:hanging="446"/>
    </w:pPr>
    <w:rPr>
      <w:sz w:val="22"/>
      <w:szCs w:val="20"/>
    </w:rPr>
  </w:style>
  <w:style w:type="character" w:customStyle="1" w:styleId="R-Pubs-PresChar">
    <w:name w:val="R-Pubs-Pres Char"/>
    <w:link w:val="R-Pubs-Pres"/>
    <w:rsid w:val="00F5217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493A"/>
    <w:pPr>
      <w:keepNext/>
      <w:numPr>
        <w:numId w:val="20"/>
      </w:numPr>
      <w:spacing w:before="120" w:after="120"/>
      <w:ind w:left="720" w:hanging="720"/>
      <w:outlineLvl w:val="0"/>
    </w:pPr>
    <w:rPr>
      <w:rFonts w:ascii="Times New Roman Bold" w:hAnsi="Times New Roman Bold"/>
      <w:b/>
      <w:bCs/>
      <w:caps/>
    </w:rPr>
  </w:style>
  <w:style w:type="paragraph" w:styleId="Heading2">
    <w:name w:val="heading 2"/>
    <w:basedOn w:val="Normal"/>
    <w:next w:val="Normal"/>
    <w:link w:val="Heading2Char"/>
    <w:qFormat/>
    <w:rsid w:val="00CE7025"/>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E7025"/>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E7025"/>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E7025"/>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E7025"/>
    <w:pPr>
      <w:keepNext/>
      <w:jc w:val="center"/>
      <w:outlineLvl w:val="5"/>
    </w:pPr>
    <w:rPr>
      <w:rFonts w:ascii="Arial" w:hAnsi="Arial" w:cs="Arial"/>
      <w:b/>
      <w:bCs/>
    </w:rPr>
  </w:style>
  <w:style w:type="paragraph" w:styleId="Heading7">
    <w:name w:val="heading 7"/>
    <w:basedOn w:val="Normal"/>
    <w:next w:val="Normal"/>
    <w:link w:val="Heading7Char"/>
    <w:qFormat/>
    <w:rsid w:val="00CE7025"/>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E7025"/>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E7025"/>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EF1"/>
    <w:pPr>
      <w:ind w:left="720"/>
      <w:contextualSpacing/>
    </w:pPr>
  </w:style>
  <w:style w:type="table" w:styleId="TableGrid">
    <w:name w:val="Table Grid"/>
    <w:basedOn w:val="TableNormal"/>
    <w:rsid w:val="00CE70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E7025"/>
    <w:rPr>
      <w:color w:val="0000FF"/>
      <w:u w:val="single"/>
    </w:rPr>
  </w:style>
  <w:style w:type="character" w:styleId="FootnoteReference">
    <w:name w:val="footnote reference"/>
    <w:aliases w:val="fr"/>
    <w:rsid w:val="000B493A"/>
    <w:rPr>
      <w:rFonts w:ascii="Times New Roman" w:hAnsi="Times New Roman" w:cs="Courier New"/>
      <w:sz w:val="22"/>
      <w:szCs w:val="24"/>
      <w:vertAlign w:val="superscript"/>
    </w:rPr>
  </w:style>
  <w:style w:type="paragraph" w:customStyle="1" w:styleId="TableTitle">
    <w:name w:val="Table Title"/>
    <w:basedOn w:val="FigureTitle"/>
    <w:qFormat/>
    <w:rsid w:val="00045FA6"/>
  </w:style>
  <w:style w:type="paragraph" w:customStyle="1" w:styleId="TableTitlecont">
    <w:name w:val="Table Title cont"/>
    <w:basedOn w:val="TableTitle"/>
    <w:qFormat/>
    <w:rsid w:val="00815380"/>
  </w:style>
  <w:style w:type="paragraph" w:customStyle="1" w:styleId="F1F4FooterEven">
    <w:name w:val="_F1F4_Footer_Even"/>
    <w:next w:val="Normal"/>
    <w:rsid w:val="0096757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styleId="TableofFigures">
    <w:name w:val="table of figures"/>
    <w:basedOn w:val="Normal"/>
    <w:next w:val="Normal"/>
    <w:uiPriority w:val="99"/>
    <w:unhideWhenUsed/>
    <w:rsid w:val="00353F8F"/>
    <w:pPr>
      <w:tabs>
        <w:tab w:val="left" w:pos="1080"/>
        <w:tab w:val="right" w:leader="dot" w:pos="9360"/>
      </w:tabs>
      <w:ind w:left="1080" w:right="720" w:hanging="1080"/>
    </w:pPr>
    <w:rPr>
      <w:rFonts w:eastAsia="Arial"/>
      <w:noProof/>
    </w:rPr>
  </w:style>
  <w:style w:type="character" w:styleId="Strong">
    <w:name w:val="Strong"/>
    <w:uiPriority w:val="22"/>
    <w:qFormat/>
    <w:rsid w:val="00CE7025"/>
    <w:rPr>
      <w:b/>
      <w:bCs/>
    </w:rPr>
  </w:style>
  <w:style w:type="paragraph" w:styleId="NormalWeb">
    <w:name w:val="Normal (Web)"/>
    <w:basedOn w:val="Normal"/>
    <w:rsid w:val="00CE7025"/>
    <w:pPr>
      <w:spacing w:before="100" w:beforeAutospacing="1" w:after="100" w:afterAutospacing="1"/>
    </w:pPr>
    <w:rPr>
      <w:rFonts w:ascii="Arial" w:hAnsi="Arial" w:cs="Arial"/>
      <w:color w:val="000000"/>
    </w:rPr>
  </w:style>
  <w:style w:type="character" w:styleId="CommentReference">
    <w:name w:val="annotation reference"/>
    <w:basedOn w:val="DefaultParagraphFont"/>
    <w:uiPriority w:val="99"/>
    <w:semiHidden/>
    <w:unhideWhenUsed/>
    <w:rsid w:val="00E735A7"/>
    <w:rPr>
      <w:sz w:val="16"/>
      <w:szCs w:val="16"/>
    </w:rPr>
  </w:style>
  <w:style w:type="paragraph" w:styleId="CommentText">
    <w:name w:val="annotation text"/>
    <w:basedOn w:val="Normal"/>
    <w:link w:val="CommentTextChar"/>
    <w:uiPriority w:val="99"/>
    <w:unhideWhenUsed/>
    <w:rsid w:val="00E735A7"/>
    <w:rPr>
      <w:sz w:val="20"/>
      <w:szCs w:val="20"/>
    </w:rPr>
  </w:style>
  <w:style w:type="character" w:customStyle="1" w:styleId="CommentTextChar">
    <w:name w:val="Comment Text Char"/>
    <w:basedOn w:val="DefaultParagraphFont"/>
    <w:link w:val="CommentText"/>
    <w:uiPriority w:val="99"/>
    <w:rsid w:val="00E735A7"/>
    <w:rPr>
      <w:sz w:val="20"/>
      <w:szCs w:val="20"/>
    </w:rPr>
  </w:style>
  <w:style w:type="paragraph" w:styleId="CommentSubject">
    <w:name w:val="annotation subject"/>
    <w:basedOn w:val="CommentText"/>
    <w:next w:val="CommentText"/>
    <w:link w:val="CommentSubjectChar"/>
    <w:uiPriority w:val="99"/>
    <w:semiHidden/>
    <w:unhideWhenUsed/>
    <w:rsid w:val="00E735A7"/>
    <w:rPr>
      <w:b/>
      <w:bCs/>
    </w:rPr>
  </w:style>
  <w:style w:type="character" w:customStyle="1" w:styleId="CommentSubjectChar">
    <w:name w:val="Comment Subject Char"/>
    <w:basedOn w:val="CommentTextChar"/>
    <w:link w:val="CommentSubject"/>
    <w:uiPriority w:val="99"/>
    <w:semiHidden/>
    <w:rsid w:val="00E735A7"/>
    <w:rPr>
      <w:b/>
      <w:bCs/>
      <w:sz w:val="20"/>
      <w:szCs w:val="20"/>
    </w:rPr>
  </w:style>
  <w:style w:type="paragraph" w:styleId="BalloonText">
    <w:name w:val="Balloon Text"/>
    <w:basedOn w:val="Normal"/>
    <w:link w:val="BalloonTextChar"/>
    <w:semiHidden/>
    <w:rsid w:val="00CE7025"/>
    <w:pPr>
      <w:numPr>
        <w:numId w:val="18"/>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E735A7"/>
    <w:rPr>
      <w:rFonts w:ascii="Tahoma" w:eastAsia="Times New Roman" w:hAnsi="Tahoma" w:cs="Tahoma"/>
      <w:sz w:val="16"/>
      <w:szCs w:val="16"/>
    </w:rPr>
  </w:style>
  <w:style w:type="paragraph" w:styleId="EndnoteText">
    <w:name w:val="endnote text"/>
    <w:basedOn w:val="Normal"/>
    <w:link w:val="EndnoteTextChar"/>
    <w:semiHidden/>
    <w:rsid w:val="00CE7025"/>
    <w:rPr>
      <w:sz w:val="20"/>
      <w:szCs w:val="20"/>
    </w:rPr>
  </w:style>
  <w:style w:type="character" w:customStyle="1" w:styleId="EndnoteTextChar">
    <w:name w:val="Endnote Text Char"/>
    <w:basedOn w:val="DefaultParagraphFont"/>
    <w:link w:val="EndnoteText"/>
    <w:semiHidden/>
    <w:rsid w:val="00D56933"/>
    <w:rPr>
      <w:rFonts w:ascii="Times New Roman" w:eastAsia="Times New Roman" w:hAnsi="Times New Roman" w:cs="Times New Roman"/>
      <w:sz w:val="20"/>
      <w:szCs w:val="20"/>
    </w:rPr>
  </w:style>
  <w:style w:type="character" w:styleId="EndnoteReference">
    <w:name w:val="endnote reference"/>
    <w:semiHidden/>
    <w:rsid w:val="00CE7025"/>
    <w:rPr>
      <w:vertAlign w:val="superscript"/>
    </w:rPr>
  </w:style>
  <w:style w:type="paragraph" w:styleId="Header">
    <w:name w:val="header"/>
    <w:basedOn w:val="Normal"/>
    <w:link w:val="HeaderChar"/>
    <w:rsid w:val="00CE7025"/>
    <w:pPr>
      <w:tabs>
        <w:tab w:val="center" w:pos="4320"/>
        <w:tab w:val="right" w:pos="8640"/>
      </w:tabs>
    </w:pPr>
    <w:rPr>
      <w:sz w:val="20"/>
      <w:szCs w:val="20"/>
    </w:rPr>
  </w:style>
  <w:style w:type="character" w:customStyle="1" w:styleId="HeaderChar">
    <w:name w:val="Header Char"/>
    <w:basedOn w:val="DefaultParagraphFont"/>
    <w:link w:val="Header"/>
    <w:rsid w:val="006B5162"/>
    <w:rPr>
      <w:rFonts w:ascii="Times New Roman" w:eastAsia="Times New Roman" w:hAnsi="Times New Roman" w:cs="Times New Roman"/>
      <w:sz w:val="20"/>
      <w:szCs w:val="20"/>
    </w:rPr>
  </w:style>
  <w:style w:type="paragraph" w:styleId="Footer">
    <w:name w:val="footer"/>
    <w:basedOn w:val="Normal"/>
    <w:link w:val="FooterChar"/>
    <w:rsid w:val="00CE7025"/>
    <w:pPr>
      <w:tabs>
        <w:tab w:val="center" w:pos="4320"/>
        <w:tab w:val="right" w:pos="8640"/>
      </w:tabs>
    </w:pPr>
    <w:rPr>
      <w:sz w:val="20"/>
      <w:szCs w:val="20"/>
    </w:rPr>
  </w:style>
  <w:style w:type="character" w:customStyle="1" w:styleId="FooterChar">
    <w:name w:val="Footer Char"/>
    <w:basedOn w:val="DefaultParagraphFont"/>
    <w:link w:val="Footer"/>
    <w:rsid w:val="006B516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3A"/>
    <w:rPr>
      <w:rFonts w:ascii="Times New Roman Bold" w:eastAsia="Times New Roman" w:hAnsi="Times New Roman Bold" w:cs="Times New Roman"/>
      <w:b/>
      <w:bCs/>
      <w:caps/>
      <w:sz w:val="24"/>
      <w:szCs w:val="24"/>
    </w:rPr>
  </w:style>
  <w:style w:type="paragraph" w:customStyle="1" w:styleId="aa">
    <w:name w:val="a_a"/>
    <w:basedOn w:val="Normal"/>
    <w:qFormat/>
    <w:rsid w:val="00462DE8"/>
    <w:pPr>
      <w:keepLines/>
      <w:tabs>
        <w:tab w:val="left" w:pos="900"/>
      </w:tabs>
      <w:spacing w:before="60" w:after="60"/>
      <w:ind w:left="907" w:hanging="360"/>
    </w:pPr>
    <w:rPr>
      <w:rFonts w:ascii="Verdana" w:hAnsi="Verdana"/>
      <w:sz w:val="20"/>
    </w:rPr>
  </w:style>
  <w:style w:type="paragraph" w:styleId="Revision">
    <w:name w:val="Revision"/>
    <w:hidden/>
    <w:uiPriority w:val="99"/>
    <w:semiHidden/>
    <w:rsid w:val="00F066D4"/>
    <w:pPr>
      <w:spacing w:after="0" w:line="240" w:lineRule="auto"/>
    </w:pPr>
  </w:style>
  <w:style w:type="character" w:customStyle="1" w:styleId="Heading2Char">
    <w:name w:val="Heading 2 Char"/>
    <w:basedOn w:val="DefaultParagraphFont"/>
    <w:link w:val="Heading2"/>
    <w:rsid w:val="0048395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83958"/>
    <w:rPr>
      <w:rFonts w:ascii="Times New Roman" w:eastAsia="Times New Roman" w:hAnsi="Times New Roman" w:cs="Arial"/>
      <w:b/>
      <w:bCs/>
      <w:i/>
      <w:iCs/>
      <w:sz w:val="24"/>
      <w:lang w:val="en-CA"/>
    </w:rPr>
  </w:style>
  <w:style w:type="character" w:customStyle="1" w:styleId="Heading4Char">
    <w:name w:val="Heading 4 Char"/>
    <w:link w:val="Heading4"/>
    <w:rsid w:val="00CE7025"/>
    <w:rPr>
      <w:rFonts w:ascii="Arial" w:eastAsia="Times New Roman" w:hAnsi="Arial" w:cs="Arial"/>
      <w:b/>
      <w:bCs/>
    </w:rPr>
  </w:style>
  <w:style w:type="character" w:customStyle="1" w:styleId="Heading5Char">
    <w:name w:val="Heading 5 Char"/>
    <w:basedOn w:val="DefaultParagraphFont"/>
    <w:link w:val="Heading5"/>
    <w:rsid w:val="0096757A"/>
    <w:rPr>
      <w:rFonts w:ascii="Arial" w:eastAsia="Times New Roman" w:hAnsi="Arial" w:cs="Arial"/>
      <w:b/>
      <w:bCs/>
      <w:sz w:val="20"/>
      <w:szCs w:val="20"/>
      <w:u w:val="single"/>
    </w:rPr>
  </w:style>
  <w:style w:type="character" w:customStyle="1" w:styleId="Heading6Char">
    <w:name w:val="Heading 6 Char"/>
    <w:basedOn w:val="DefaultParagraphFont"/>
    <w:link w:val="Heading6"/>
    <w:rsid w:val="00483958"/>
    <w:rPr>
      <w:rFonts w:ascii="Arial" w:eastAsia="Times New Roman" w:hAnsi="Arial" w:cs="Arial"/>
      <w:b/>
      <w:bCs/>
      <w:sz w:val="24"/>
      <w:szCs w:val="24"/>
    </w:rPr>
  </w:style>
  <w:style w:type="character" w:customStyle="1" w:styleId="Heading7Char">
    <w:name w:val="Heading 7 Char"/>
    <w:link w:val="Heading7"/>
    <w:rsid w:val="00CE7025"/>
    <w:rPr>
      <w:rFonts w:ascii="Arial" w:eastAsia="Times New Roman" w:hAnsi="Arial" w:cs="Arial"/>
      <w:b/>
      <w:bCs/>
      <w:sz w:val="16"/>
      <w:szCs w:val="16"/>
    </w:rPr>
  </w:style>
  <w:style w:type="character" w:customStyle="1" w:styleId="Heading8Char">
    <w:name w:val="Heading 8 Char"/>
    <w:basedOn w:val="DefaultParagraphFont"/>
    <w:link w:val="Heading8"/>
    <w:rsid w:val="00483958"/>
    <w:rPr>
      <w:rFonts w:ascii="Arial" w:eastAsia="Times New Roman" w:hAnsi="Arial" w:cs="Arial"/>
      <w:b/>
      <w:bCs/>
      <w:sz w:val="20"/>
      <w:szCs w:val="20"/>
      <w:u w:val="single"/>
    </w:rPr>
  </w:style>
  <w:style w:type="character" w:customStyle="1" w:styleId="Heading9Char">
    <w:name w:val="Heading 9 Char"/>
    <w:basedOn w:val="DefaultParagraphFont"/>
    <w:link w:val="Heading9"/>
    <w:rsid w:val="00483958"/>
    <w:rPr>
      <w:rFonts w:ascii="Arial" w:eastAsia="Times New Roman" w:hAnsi="Arial" w:cs="Arial"/>
      <w:b/>
      <w:bCs/>
      <w:sz w:val="20"/>
      <w:szCs w:val="20"/>
      <w:u w:val="single"/>
    </w:rPr>
  </w:style>
  <w:style w:type="paragraph" w:customStyle="1" w:styleId="bullets">
    <w:name w:val="bullets"/>
    <w:basedOn w:val="Normal"/>
    <w:rsid w:val="00353F8F"/>
    <w:pPr>
      <w:numPr>
        <w:numId w:val="22"/>
      </w:numPr>
      <w:spacing w:after="120"/>
      <w:ind w:left="1080"/>
    </w:pPr>
    <w:rPr>
      <w:color w:val="000000"/>
    </w:rPr>
  </w:style>
  <w:style w:type="paragraph" w:customStyle="1" w:styleId="exhibitsource">
    <w:name w:val="exhibit source"/>
    <w:basedOn w:val="Normal"/>
    <w:rsid w:val="00CE7025"/>
    <w:pPr>
      <w:spacing w:after="120"/>
    </w:pPr>
    <w:rPr>
      <w:sz w:val="20"/>
      <w:szCs w:val="22"/>
    </w:rPr>
  </w:style>
  <w:style w:type="numbering" w:customStyle="1" w:styleId="NoList1">
    <w:name w:val="No List1"/>
    <w:next w:val="NoList"/>
    <w:semiHidden/>
    <w:rsid w:val="00CE7025"/>
  </w:style>
  <w:style w:type="paragraph" w:customStyle="1" w:styleId="FigureTitleContinued">
    <w:name w:val="Figure Title Continued"/>
    <w:basedOn w:val="FigureTitle"/>
    <w:qFormat/>
    <w:rsid w:val="00CE7025"/>
  </w:style>
  <w:style w:type="paragraph" w:customStyle="1" w:styleId="paragraph">
    <w:name w:val="paragraph"/>
    <w:basedOn w:val="Normal"/>
    <w:rsid w:val="00CE7025"/>
    <w:pPr>
      <w:spacing w:before="200" w:line="320" w:lineRule="exact"/>
      <w:ind w:left="1440"/>
    </w:pPr>
  </w:style>
  <w:style w:type="paragraph" w:customStyle="1" w:styleId="heading10">
    <w:name w:val="heading1"/>
    <w:basedOn w:val="Normal"/>
    <w:next w:val="Normal"/>
    <w:semiHidden/>
    <w:rsid w:val="00CE7025"/>
    <w:pPr>
      <w:spacing w:before="120" w:after="120"/>
    </w:pPr>
    <w:rPr>
      <w:b/>
      <w:bCs/>
      <w:sz w:val="22"/>
      <w:szCs w:val="22"/>
    </w:rPr>
  </w:style>
  <w:style w:type="paragraph" w:customStyle="1" w:styleId="heading20">
    <w:name w:val="heading2"/>
    <w:basedOn w:val="Heading3"/>
    <w:next w:val="Normal"/>
    <w:semiHidden/>
    <w:rsid w:val="00CE7025"/>
    <w:pPr>
      <w:spacing w:before="120"/>
    </w:pPr>
    <w:rPr>
      <w:rFonts w:cs="Times New Roman"/>
    </w:rPr>
  </w:style>
  <w:style w:type="character" w:styleId="PageNumber">
    <w:name w:val="page number"/>
    <w:rsid w:val="00CE7025"/>
    <w:rPr>
      <w:rFonts w:ascii="Times New Roman" w:hAnsi="Times New Roman"/>
      <w:sz w:val="24"/>
    </w:rPr>
  </w:style>
  <w:style w:type="paragraph" w:styleId="Title">
    <w:name w:val="Title"/>
    <w:basedOn w:val="Normal"/>
    <w:link w:val="TitleChar"/>
    <w:uiPriority w:val="10"/>
    <w:qFormat/>
    <w:rsid w:val="00CE7025"/>
    <w:pPr>
      <w:ind w:left="-270"/>
      <w:jc w:val="center"/>
    </w:pPr>
    <w:rPr>
      <w:b/>
      <w:bCs/>
    </w:rPr>
  </w:style>
  <w:style w:type="character" w:customStyle="1" w:styleId="TitleChar">
    <w:name w:val="Title Char"/>
    <w:basedOn w:val="DefaultParagraphFont"/>
    <w:link w:val="Title"/>
    <w:uiPriority w:val="10"/>
    <w:rsid w:val="00483958"/>
    <w:rPr>
      <w:rFonts w:ascii="Times New Roman" w:eastAsia="Times New Roman" w:hAnsi="Times New Roman" w:cs="Times New Roman"/>
      <w:b/>
      <w:bCs/>
      <w:sz w:val="24"/>
      <w:szCs w:val="24"/>
    </w:rPr>
  </w:style>
  <w:style w:type="paragraph" w:customStyle="1" w:styleId="Level1">
    <w:name w:val="Level 1"/>
    <w:basedOn w:val="Normal"/>
    <w:rsid w:val="00CE7025"/>
    <w:pPr>
      <w:widowControl w:val="0"/>
      <w:autoSpaceDE w:val="0"/>
      <w:autoSpaceDN w:val="0"/>
      <w:adjustRightInd w:val="0"/>
      <w:ind w:left="720" w:hanging="720"/>
    </w:pPr>
  </w:style>
  <w:style w:type="paragraph" w:customStyle="1" w:styleId="bibliogrpahy">
    <w:name w:val="bibliogrpahy"/>
    <w:rsid w:val="00CE7025"/>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E7025"/>
  </w:style>
  <w:style w:type="character" w:customStyle="1" w:styleId="E-mailSignatureChar">
    <w:name w:val="E-mail Signature Char"/>
    <w:basedOn w:val="DefaultParagraphFont"/>
    <w:link w:val="E-mailSignature"/>
    <w:rsid w:val="00483958"/>
    <w:rPr>
      <w:rFonts w:ascii="Times New Roman" w:eastAsia="Times New Roman" w:hAnsi="Times New Roman" w:cs="Times New Roman"/>
      <w:sz w:val="24"/>
      <w:szCs w:val="24"/>
    </w:rPr>
  </w:style>
  <w:style w:type="paragraph" w:customStyle="1" w:styleId="FootnoteText1">
    <w:name w:val="Footnote Text1"/>
    <w:rsid w:val="000B493A"/>
    <w:pPr>
      <w:autoSpaceDE w:val="0"/>
      <w:autoSpaceDN w:val="0"/>
      <w:adjustRightInd w:val="0"/>
      <w:spacing w:after="0" w:line="240" w:lineRule="auto"/>
      <w:ind w:left="90" w:hanging="90"/>
    </w:pPr>
    <w:rPr>
      <w:rFonts w:ascii="Times New Roman" w:eastAsia="Times New Roman" w:hAnsi="Times New Roman" w:cs="Times New Roman"/>
      <w:szCs w:val="20"/>
    </w:rPr>
  </w:style>
  <w:style w:type="character" w:styleId="Emphasis">
    <w:name w:val="Emphasis"/>
    <w:qFormat/>
    <w:rsid w:val="00CE7025"/>
    <w:rPr>
      <w:i/>
      <w:iCs/>
    </w:rPr>
  </w:style>
  <w:style w:type="paragraph" w:styleId="HTMLPreformatted">
    <w:name w:val="HTML Preformatted"/>
    <w:basedOn w:val="Normal"/>
    <w:link w:val="HTMLPreformattedChar"/>
    <w:semiHidden/>
    <w:rsid w:val="00CE7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83958"/>
    <w:rPr>
      <w:rFonts w:ascii="Courier New" w:eastAsia="Times New Roman" w:hAnsi="Courier New" w:cs="Courier New"/>
      <w:sz w:val="20"/>
      <w:szCs w:val="20"/>
    </w:rPr>
  </w:style>
  <w:style w:type="paragraph" w:styleId="TOC1">
    <w:name w:val="toc 1"/>
    <w:basedOn w:val="Normal"/>
    <w:next w:val="Normal"/>
    <w:autoRedefine/>
    <w:uiPriority w:val="39"/>
    <w:rsid w:val="009D2C71"/>
    <w:pPr>
      <w:keepNext/>
      <w:tabs>
        <w:tab w:val="left" w:pos="1350"/>
        <w:tab w:val="right" w:leader="dot" w:pos="9360"/>
      </w:tabs>
      <w:spacing w:before="240" w:after="120"/>
      <w:ind w:left="720" w:right="720" w:hanging="360"/>
    </w:pPr>
    <w:rPr>
      <w:b/>
      <w:noProof/>
    </w:rPr>
  </w:style>
  <w:style w:type="paragraph" w:customStyle="1" w:styleId="BodyText1">
    <w:name w:val="Body Text1"/>
    <w:basedOn w:val="Normal"/>
    <w:rsid w:val="00483958"/>
    <w:pPr>
      <w:spacing w:after="120" w:line="360" w:lineRule="auto"/>
      <w:ind w:firstLine="720"/>
    </w:pPr>
    <w:rPr>
      <w:szCs w:val="20"/>
    </w:rPr>
  </w:style>
  <w:style w:type="paragraph" w:styleId="TOC2">
    <w:name w:val="toc 2"/>
    <w:basedOn w:val="Normal"/>
    <w:next w:val="Normal"/>
    <w:autoRedefine/>
    <w:uiPriority w:val="39"/>
    <w:rsid w:val="000B493A"/>
    <w:pPr>
      <w:tabs>
        <w:tab w:val="right" w:leader="dot" w:pos="9360"/>
      </w:tabs>
      <w:spacing w:before="120" w:after="120"/>
      <w:ind w:left="1350" w:right="720" w:hanging="630"/>
    </w:pPr>
    <w:rPr>
      <w:noProof/>
    </w:rPr>
  </w:style>
  <w:style w:type="character" w:customStyle="1" w:styleId="TomMitchell">
    <w:name w:val="Tom Mitchell"/>
    <w:semiHidden/>
    <w:rsid w:val="00CE7025"/>
    <w:rPr>
      <w:rFonts w:ascii="Arial" w:hAnsi="Arial" w:cs="Arial"/>
      <w:color w:val="000080"/>
      <w:sz w:val="20"/>
      <w:szCs w:val="20"/>
    </w:rPr>
  </w:style>
  <w:style w:type="paragraph" w:customStyle="1" w:styleId="Cov-Date">
    <w:name w:val="Cov-Date"/>
    <w:basedOn w:val="Normal"/>
    <w:rsid w:val="00CE7025"/>
    <w:pPr>
      <w:jc w:val="right"/>
    </w:pPr>
    <w:rPr>
      <w:rFonts w:ascii="Arial" w:hAnsi="Arial"/>
      <w:b/>
      <w:sz w:val="28"/>
      <w:szCs w:val="20"/>
    </w:rPr>
  </w:style>
  <w:style w:type="paragraph" w:customStyle="1" w:styleId="Cov-Title">
    <w:name w:val="Cov-Title"/>
    <w:basedOn w:val="Normal"/>
    <w:rsid w:val="00CE7025"/>
    <w:pPr>
      <w:jc w:val="right"/>
    </w:pPr>
    <w:rPr>
      <w:rFonts w:ascii="Arial Black" w:hAnsi="Arial Black"/>
      <w:sz w:val="48"/>
      <w:szCs w:val="20"/>
    </w:rPr>
  </w:style>
  <w:style w:type="paragraph" w:customStyle="1" w:styleId="Cov-Author">
    <w:name w:val="Cov-Author"/>
    <w:basedOn w:val="Normal"/>
    <w:rsid w:val="00CE7025"/>
    <w:pPr>
      <w:jc w:val="right"/>
    </w:pPr>
    <w:rPr>
      <w:rFonts w:ascii="Arial Black" w:hAnsi="Arial Black"/>
      <w:szCs w:val="20"/>
    </w:rPr>
  </w:style>
  <w:style w:type="paragraph" w:customStyle="1" w:styleId="Cov-Address">
    <w:name w:val="Cov-Address"/>
    <w:basedOn w:val="Normal"/>
    <w:rsid w:val="00CE7025"/>
    <w:pPr>
      <w:jc w:val="right"/>
    </w:pPr>
    <w:rPr>
      <w:rFonts w:ascii="Arial" w:hAnsi="Arial"/>
      <w:szCs w:val="20"/>
    </w:rPr>
  </w:style>
  <w:style w:type="paragraph" w:styleId="DocumentMap">
    <w:name w:val="Document Map"/>
    <w:basedOn w:val="Normal"/>
    <w:link w:val="DocumentMapChar"/>
    <w:semiHidden/>
    <w:rsid w:val="00CE7025"/>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3958"/>
    <w:rPr>
      <w:rFonts w:ascii="Tahoma" w:eastAsia="Times New Roman" w:hAnsi="Tahoma" w:cs="Tahoma"/>
      <w:sz w:val="24"/>
      <w:szCs w:val="24"/>
      <w:shd w:val="clear" w:color="auto" w:fill="000080"/>
    </w:rPr>
  </w:style>
  <w:style w:type="paragraph" w:styleId="TOC4">
    <w:name w:val="toc 4"/>
    <w:basedOn w:val="Normal"/>
    <w:next w:val="Normal"/>
    <w:rsid w:val="00CE7025"/>
    <w:pPr>
      <w:tabs>
        <w:tab w:val="right" w:leader="dot" w:pos="9360"/>
      </w:tabs>
      <w:spacing w:before="60"/>
      <w:ind w:left="3240" w:hanging="720"/>
    </w:pPr>
    <w:rPr>
      <w:szCs w:val="20"/>
    </w:rPr>
  </w:style>
  <w:style w:type="paragraph" w:styleId="TOC3">
    <w:name w:val="toc 3"/>
    <w:basedOn w:val="Normal"/>
    <w:next w:val="Normal"/>
    <w:uiPriority w:val="39"/>
    <w:rsid w:val="00CE7025"/>
    <w:pPr>
      <w:tabs>
        <w:tab w:val="right" w:leader="dot" w:pos="9360"/>
      </w:tabs>
      <w:spacing w:before="80" w:after="40"/>
      <w:ind w:left="2340" w:right="720" w:hanging="900"/>
    </w:pPr>
    <w:rPr>
      <w:noProof/>
      <w:szCs w:val="20"/>
    </w:rPr>
  </w:style>
  <w:style w:type="paragraph" w:customStyle="1" w:styleId="Question">
    <w:name w:val="Question"/>
    <w:basedOn w:val="Normal"/>
    <w:semiHidden/>
    <w:rsid w:val="00CE7025"/>
    <w:pPr>
      <w:keepNext/>
      <w:keepLines/>
      <w:spacing w:before="160" w:after="60"/>
      <w:ind w:left="900" w:hanging="547"/>
    </w:pPr>
    <w:rPr>
      <w:rFonts w:ascii="Optima" w:hAnsi="Optima"/>
      <w:sz w:val="22"/>
      <w:szCs w:val="20"/>
    </w:rPr>
  </w:style>
  <w:style w:type="paragraph" w:styleId="TOC5">
    <w:name w:val="toc 5"/>
    <w:basedOn w:val="Normal"/>
    <w:next w:val="Normal"/>
    <w:rsid w:val="00CE7025"/>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E7025"/>
    <w:pPr>
      <w:ind w:left="360"/>
    </w:pPr>
    <w:rPr>
      <w:szCs w:val="20"/>
    </w:rPr>
  </w:style>
  <w:style w:type="paragraph" w:styleId="Index1">
    <w:name w:val="index 1"/>
    <w:basedOn w:val="Normal"/>
    <w:next w:val="Normal"/>
    <w:semiHidden/>
    <w:rsid w:val="00CE7025"/>
    <w:rPr>
      <w:szCs w:val="20"/>
    </w:rPr>
  </w:style>
  <w:style w:type="character" w:styleId="LineNumber">
    <w:name w:val="line number"/>
    <w:basedOn w:val="DefaultParagraphFont"/>
    <w:semiHidden/>
    <w:rsid w:val="00CE7025"/>
  </w:style>
  <w:style w:type="paragraph" w:customStyle="1" w:styleId="equation">
    <w:name w:val="equation"/>
    <w:rsid w:val="00CE7025"/>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E7025"/>
    <w:pPr>
      <w:keepNext/>
      <w:spacing w:before="240"/>
      <w:jc w:val="center"/>
    </w:pPr>
    <w:rPr>
      <w:szCs w:val="20"/>
    </w:rPr>
  </w:style>
  <w:style w:type="paragraph" w:customStyle="1" w:styleId="TOC0">
    <w:name w:val="TOC 0"/>
    <w:basedOn w:val="Normal"/>
    <w:rsid w:val="00CE7025"/>
    <w:pPr>
      <w:spacing w:after="240"/>
      <w:jc w:val="center"/>
    </w:pPr>
    <w:rPr>
      <w:b/>
      <w:caps/>
      <w:sz w:val="28"/>
      <w:szCs w:val="20"/>
    </w:rPr>
  </w:style>
  <w:style w:type="paragraph" w:customStyle="1" w:styleId="toc-tabfig">
    <w:name w:val="toc-tab/fig"/>
    <w:basedOn w:val="Normal"/>
    <w:semiHidden/>
    <w:rsid w:val="00CE7025"/>
    <w:pPr>
      <w:tabs>
        <w:tab w:val="right" w:leader="dot" w:pos="9360"/>
      </w:tabs>
      <w:spacing w:before="240" w:after="80"/>
      <w:ind w:left="900" w:hanging="540"/>
    </w:pPr>
    <w:rPr>
      <w:szCs w:val="20"/>
    </w:rPr>
  </w:style>
  <w:style w:type="paragraph" w:customStyle="1" w:styleId="TOCHeader">
    <w:name w:val="TOC Header"/>
    <w:basedOn w:val="Normal"/>
    <w:rsid w:val="00CE7025"/>
    <w:pPr>
      <w:tabs>
        <w:tab w:val="right" w:pos="9360"/>
      </w:tabs>
      <w:spacing w:after="240"/>
    </w:pPr>
    <w:rPr>
      <w:szCs w:val="20"/>
      <w:u w:val="words"/>
    </w:rPr>
  </w:style>
  <w:style w:type="paragraph" w:customStyle="1" w:styleId="bullets-2ndlevel">
    <w:name w:val="bullets-2nd level"/>
    <w:basedOn w:val="Normal"/>
    <w:rsid w:val="00CE7025"/>
    <w:pPr>
      <w:spacing w:after="120" w:line="240" w:lineRule="exact"/>
      <w:ind w:left="1440" w:hanging="360"/>
    </w:pPr>
    <w:rPr>
      <w:szCs w:val="20"/>
    </w:rPr>
  </w:style>
  <w:style w:type="paragraph" w:customStyle="1" w:styleId="biblio">
    <w:name w:val="biblio"/>
    <w:basedOn w:val="Normal"/>
    <w:rsid w:val="00CE7025"/>
    <w:pPr>
      <w:keepLines/>
      <w:spacing w:after="240"/>
      <w:ind w:left="720" w:hanging="720"/>
    </w:pPr>
    <w:rPr>
      <w:szCs w:val="20"/>
    </w:rPr>
  </w:style>
  <w:style w:type="paragraph" w:customStyle="1" w:styleId="NumberBullets">
    <w:name w:val="Number Bullets"/>
    <w:basedOn w:val="Normal"/>
    <w:semiHidden/>
    <w:rsid w:val="00CE7025"/>
    <w:pPr>
      <w:numPr>
        <w:numId w:val="1"/>
      </w:numPr>
      <w:tabs>
        <w:tab w:val="left" w:pos="720"/>
      </w:tabs>
    </w:pPr>
    <w:rPr>
      <w:szCs w:val="20"/>
    </w:rPr>
  </w:style>
  <w:style w:type="paragraph" w:styleId="List3">
    <w:name w:val="List 3"/>
    <w:basedOn w:val="Normal"/>
    <w:semiHidden/>
    <w:rsid w:val="00CE7025"/>
    <w:pPr>
      <w:ind w:left="1915" w:hanging="360"/>
    </w:pPr>
    <w:rPr>
      <w:rFonts w:ascii="Arial" w:hAnsi="Arial"/>
      <w:spacing w:val="-5"/>
      <w:sz w:val="20"/>
      <w:szCs w:val="20"/>
    </w:rPr>
  </w:style>
  <w:style w:type="paragraph" w:customStyle="1" w:styleId="FigureTitle">
    <w:name w:val="Figure Title"/>
    <w:basedOn w:val="Normal"/>
    <w:rsid w:val="00CE7025"/>
    <w:pPr>
      <w:keepNext/>
      <w:keepLines/>
      <w:spacing w:before="240" w:after="240"/>
    </w:pPr>
    <w:rPr>
      <w:b/>
      <w:szCs w:val="20"/>
    </w:rPr>
  </w:style>
  <w:style w:type="paragraph" w:styleId="FootnoteText">
    <w:name w:val="footnote text"/>
    <w:aliases w:val="ft,fo"/>
    <w:basedOn w:val="Normal"/>
    <w:link w:val="FootnoteTextChar"/>
    <w:semiHidden/>
    <w:rsid w:val="00CE7025"/>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CE7025"/>
    <w:rPr>
      <w:rFonts w:ascii="Courier New" w:eastAsia="Times New Roman" w:hAnsi="Courier New" w:cs="Courier New"/>
      <w:sz w:val="24"/>
      <w:szCs w:val="24"/>
    </w:rPr>
  </w:style>
  <w:style w:type="paragraph" w:customStyle="1" w:styleId="AppHead">
    <w:name w:val="AppHead"/>
    <w:basedOn w:val="Heading1"/>
    <w:qFormat/>
    <w:rsid w:val="000B493A"/>
    <w:pPr>
      <w:numPr>
        <w:numId w:val="0"/>
      </w:numPr>
      <w:jc w:val="center"/>
    </w:pPr>
  </w:style>
  <w:style w:type="paragraph" w:customStyle="1" w:styleId="BodyText2">
    <w:name w:val="Body Text2"/>
    <w:basedOn w:val="Normal"/>
    <w:rsid w:val="00CE7025"/>
    <w:pPr>
      <w:spacing w:after="120" w:line="360" w:lineRule="auto"/>
      <w:ind w:firstLine="720"/>
    </w:pPr>
    <w:rPr>
      <w:szCs w:val="20"/>
    </w:rPr>
  </w:style>
  <w:style w:type="paragraph" w:customStyle="1" w:styleId="Default">
    <w:name w:val="Default"/>
    <w:rsid w:val="005B2C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Pubs-Pres">
    <w:name w:val="R-Pubs-Pres"/>
    <w:basedOn w:val="Normal"/>
    <w:link w:val="R-Pubs-PresChar"/>
    <w:rsid w:val="00F5217E"/>
    <w:pPr>
      <w:keepLines/>
      <w:spacing w:after="220"/>
      <w:ind w:left="446" w:hanging="446"/>
    </w:pPr>
    <w:rPr>
      <w:sz w:val="22"/>
      <w:szCs w:val="20"/>
    </w:rPr>
  </w:style>
  <w:style w:type="character" w:customStyle="1" w:styleId="R-Pubs-PresChar">
    <w:name w:val="R-Pubs-Pres Char"/>
    <w:link w:val="R-Pubs-Pres"/>
    <w:rsid w:val="00F5217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45">
      <w:bodyDiv w:val="1"/>
      <w:marLeft w:val="0"/>
      <w:marRight w:val="0"/>
      <w:marTop w:val="0"/>
      <w:marBottom w:val="0"/>
      <w:divBdr>
        <w:top w:val="none" w:sz="0" w:space="0" w:color="auto"/>
        <w:left w:val="none" w:sz="0" w:space="0" w:color="auto"/>
        <w:bottom w:val="none" w:sz="0" w:space="0" w:color="auto"/>
        <w:right w:val="none" w:sz="0" w:space="0" w:color="auto"/>
      </w:divBdr>
      <w:divsChild>
        <w:div w:id="1983120764">
          <w:marLeft w:val="0"/>
          <w:marRight w:val="0"/>
          <w:marTop w:val="0"/>
          <w:marBottom w:val="0"/>
          <w:divBdr>
            <w:top w:val="none" w:sz="0" w:space="0" w:color="auto"/>
            <w:left w:val="none" w:sz="0" w:space="0" w:color="auto"/>
            <w:bottom w:val="none" w:sz="0" w:space="0" w:color="auto"/>
            <w:right w:val="none" w:sz="0" w:space="0" w:color="auto"/>
          </w:divBdr>
          <w:divsChild>
            <w:div w:id="1187057027">
              <w:marLeft w:val="0"/>
              <w:marRight w:val="0"/>
              <w:marTop w:val="0"/>
              <w:marBottom w:val="0"/>
              <w:divBdr>
                <w:top w:val="none" w:sz="0" w:space="0" w:color="auto"/>
                <w:left w:val="single" w:sz="6" w:space="0" w:color="E2E2E2"/>
                <w:bottom w:val="none" w:sz="0" w:space="0" w:color="auto"/>
                <w:right w:val="single" w:sz="6" w:space="0" w:color="E2E2E2"/>
              </w:divBdr>
              <w:divsChild>
                <w:div w:id="1401753870">
                  <w:marLeft w:val="0"/>
                  <w:marRight w:val="0"/>
                  <w:marTop w:val="0"/>
                  <w:marBottom w:val="0"/>
                  <w:divBdr>
                    <w:top w:val="none" w:sz="0" w:space="0" w:color="auto"/>
                    <w:left w:val="none" w:sz="0" w:space="0" w:color="auto"/>
                    <w:bottom w:val="none" w:sz="0" w:space="0" w:color="auto"/>
                    <w:right w:val="none" w:sz="0" w:space="0" w:color="auto"/>
                  </w:divBdr>
                  <w:divsChild>
                    <w:div w:id="4269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5545">
      <w:bodyDiv w:val="1"/>
      <w:marLeft w:val="0"/>
      <w:marRight w:val="0"/>
      <w:marTop w:val="0"/>
      <w:marBottom w:val="0"/>
      <w:divBdr>
        <w:top w:val="none" w:sz="0" w:space="0" w:color="auto"/>
        <w:left w:val="none" w:sz="0" w:space="0" w:color="auto"/>
        <w:bottom w:val="none" w:sz="0" w:space="0" w:color="auto"/>
        <w:right w:val="none" w:sz="0" w:space="0" w:color="auto"/>
      </w:divBdr>
    </w:div>
    <w:div w:id="295599184">
      <w:bodyDiv w:val="1"/>
      <w:marLeft w:val="0"/>
      <w:marRight w:val="0"/>
      <w:marTop w:val="0"/>
      <w:marBottom w:val="0"/>
      <w:divBdr>
        <w:top w:val="none" w:sz="0" w:space="0" w:color="auto"/>
        <w:left w:val="none" w:sz="0" w:space="0" w:color="auto"/>
        <w:bottom w:val="none" w:sz="0" w:space="0" w:color="auto"/>
        <w:right w:val="none" w:sz="0" w:space="0" w:color="auto"/>
      </w:divBdr>
    </w:div>
    <w:div w:id="521864461">
      <w:bodyDiv w:val="1"/>
      <w:marLeft w:val="0"/>
      <w:marRight w:val="0"/>
      <w:marTop w:val="0"/>
      <w:marBottom w:val="0"/>
      <w:divBdr>
        <w:top w:val="none" w:sz="0" w:space="0" w:color="auto"/>
        <w:left w:val="none" w:sz="0" w:space="0" w:color="auto"/>
        <w:bottom w:val="none" w:sz="0" w:space="0" w:color="auto"/>
        <w:right w:val="none" w:sz="0" w:space="0" w:color="auto"/>
      </w:divBdr>
    </w:div>
    <w:div w:id="669985686">
      <w:bodyDiv w:val="1"/>
      <w:marLeft w:val="0"/>
      <w:marRight w:val="0"/>
      <w:marTop w:val="0"/>
      <w:marBottom w:val="0"/>
      <w:divBdr>
        <w:top w:val="none" w:sz="0" w:space="0" w:color="auto"/>
        <w:left w:val="none" w:sz="0" w:space="0" w:color="auto"/>
        <w:bottom w:val="none" w:sz="0" w:space="0" w:color="auto"/>
        <w:right w:val="none" w:sz="0" w:space="0" w:color="auto"/>
      </w:divBdr>
    </w:div>
    <w:div w:id="838153358">
      <w:bodyDiv w:val="1"/>
      <w:marLeft w:val="0"/>
      <w:marRight w:val="0"/>
      <w:marTop w:val="0"/>
      <w:marBottom w:val="0"/>
      <w:divBdr>
        <w:top w:val="none" w:sz="0" w:space="0" w:color="auto"/>
        <w:left w:val="none" w:sz="0" w:space="0" w:color="auto"/>
        <w:bottom w:val="none" w:sz="0" w:space="0" w:color="auto"/>
        <w:right w:val="none" w:sz="0" w:space="0" w:color="auto"/>
      </w:divBdr>
    </w:div>
    <w:div w:id="1837647296">
      <w:bodyDiv w:val="1"/>
      <w:marLeft w:val="0"/>
      <w:marRight w:val="0"/>
      <w:marTop w:val="0"/>
      <w:marBottom w:val="0"/>
      <w:divBdr>
        <w:top w:val="none" w:sz="0" w:space="0" w:color="auto"/>
        <w:left w:val="none" w:sz="0" w:space="0" w:color="auto"/>
        <w:bottom w:val="none" w:sz="0" w:space="0" w:color="auto"/>
        <w:right w:val="none" w:sz="0" w:space="0" w:color="auto"/>
      </w:divBdr>
    </w:div>
    <w:div w:id="1961254289">
      <w:bodyDiv w:val="1"/>
      <w:marLeft w:val="0"/>
      <w:marRight w:val="0"/>
      <w:marTop w:val="0"/>
      <w:marBottom w:val="0"/>
      <w:divBdr>
        <w:top w:val="none" w:sz="0" w:space="0" w:color="auto"/>
        <w:left w:val="none" w:sz="0" w:space="0" w:color="auto"/>
        <w:bottom w:val="none" w:sz="0" w:space="0" w:color="auto"/>
        <w:right w:val="none" w:sz="0" w:space="0" w:color="auto"/>
      </w:divBdr>
    </w:div>
    <w:div w:id="1987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ph.garrett@gf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wiener@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muel.shipley@hhs.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SG\Templates\Reports\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ED0E-AAFA-4F58-8799-03604764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Template.dot</Template>
  <TotalTime>0</TotalTime>
  <Pages>9</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Moneke D. Stevens</cp:lastModifiedBy>
  <cp:revision>2</cp:revision>
  <cp:lastPrinted>2013-09-18T19:12:00Z</cp:lastPrinted>
  <dcterms:created xsi:type="dcterms:W3CDTF">2013-11-19T15:27:00Z</dcterms:created>
  <dcterms:modified xsi:type="dcterms:W3CDTF">2013-11-19T15:27:00Z</dcterms:modified>
</cp:coreProperties>
</file>