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B948AB" w14:textId="77777777" w:rsidR="00870BA3" w:rsidRDefault="00870BA3" w:rsidP="00870BA3">
      <w:pPr>
        <w:pStyle w:val="Heading1"/>
        <w:spacing w:before="0" w:after="0"/>
        <w:jc w:val="center"/>
      </w:pPr>
      <w:bookmarkStart w:id="0" w:name="_Toc375035806"/>
      <w:bookmarkStart w:id="1" w:name="_Toc8007688"/>
      <w:bookmarkStart w:id="2" w:name="_Toc88033485"/>
      <w:r>
        <w:rPr>
          <w:caps w:val="0"/>
        </w:rPr>
        <w:t>Supporting Statement Part B</w:t>
      </w:r>
    </w:p>
    <w:p w14:paraId="3C257228" w14:textId="77777777" w:rsidR="00870BA3" w:rsidRDefault="00870BA3" w:rsidP="00870BA3">
      <w:pPr>
        <w:pStyle w:val="Heading1"/>
        <w:spacing w:before="0" w:after="0"/>
        <w:jc w:val="center"/>
        <w:rPr>
          <w:color w:val="000000"/>
        </w:rPr>
      </w:pPr>
      <w:r>
        <w:rPr>
          <w:caps w:val="0"/>
        </w:rPr>
        <w:t>Outpatient and Ambulatory Surgery Experience of Care Survey</w:t>
      </w:r>
    </w:p>
    <w:p w14:paraId="03993E8E" w14:textId="77777777" w:rsidR="00870BA3" w:rsidRDefault="00870BA3" w:rsidP="00870BA3">
      <w:pPr>
        <w:pStyle w:val="Heading1"/>
        <w:spacing w:before="0" w:after="0"/>
        <w:jc w:val="center"/>
        <w:rPr>
          <w:color w:val="000000"/>
        </w:rPr>
      </w:pPr>
      <w:r>
        <w:rPr>
          <w:caps w:val="0"/>
          <w:color w:val="000000"/>
        </w:rPr>
        <w:t>CMS-10500, OCN 0938-New</w:t>
      </w:r>
    </w:p>
    <w:p w14:paraId="290185C9" w14:textId="77777777" w:rsidR="00870BA3" w:rsidRDefault="00870BA3" w:rsidP="00A65661">
      <w:pPr>
        <w:pStyle w:val="Heading1"/>
      </w:pPr>
    </w:p>
    <w:p w14:paraId="3A762C56" w14:textId="77777777" w:rsidR="00A65661" w:rsidRPr="00996B9F" w:rsidRDefault="00A65661" w:rsidP="00A65661">
      <w:pPr>
        <w:pStyle w:val="Heading1"/>
      </w:pPr>
      <w:r w:rsidRPr="00996B9F">
        <w:t>B.</w:t>
      </w:r>
      <w:r w:rsidRPr="00996B9F">
        <w:tab/>
        <w:t>Collection of Information Employing Statistical Methods</w:t>
      </w:r>
      <w:bookmarkEnd w:id="0"/>
    </w:p>
    <w:p w14:paraId="628FC18C" w14:textId="77777777" w:rsidR="00A65661" w:rsidRPr="00996B9F" w:rsidRDefault="00A65661" w:rsidP="00A65661">
      <w:pPr>
        <w:pStyle w:val="BodyText"/>
      </w:pPr>
      <w:bookmarkStart w:id="3" w:name="_Toc200945419"/>
      <w:r w:rsidRPr="00996B9F">
        <w:t xml:space="preserve">The Centers for Medicare &amp; Medicaid Services (CMS) is requesting clearance from the Office of Management and Budget (OMB) to implement a national field test of the draft </w:t>
      </w:r>
      <w:r w:rsidR="00861DFF">
        <w:t>Outpatient and Ambulatory Surgery Experience of Care Survey</w:t>
      </w:r>
      <w:r w:rsidRPr="00996B9F">
        <w:t xml:space="preserve"> to assist CMS in finalizing the survey instrument and implementation procedures and in making a decision about possible implementation of the survey on a national scale. This work will be implemented under Contract Number HHSM-500-2012-00087G.</w:t>
      </w:r>
    </w:p>
    <w:p w14:paraId="4000FDB0" w14:textId="77777777" w:rsidR="00A65661" w:rsidRPr="00996B9F" w:rsidRDefault="00A65661" w:rsidP="00A65661">
      <w:pPr>
        <w:pStyle w:val="Heading2"/>
      </w:pPr>
      <w:bookmarkStart w:id="4" w:name="_Toc375035807"/>
      <w:r w:rsidRPr="00996B9F">
        <w:t>B</w:t>
      </w:r>
      <w:r w:rsidR="009E2AC1" w:rsidRPr="00996B9F">
        <w:t>.</w:t>
      </w:r>
      <w:r w:rsidRPr="00996B9F">
        <w:t>1</w:t>
      </w:r>
      <w:r w:rsidRPr="00996B9F">
        <w:tab/>
      </w:r>
      <w:bookmarkEnd w:id="3"/>
      <w:r w:rsidRPr="00996B9F">
        <w:t>Potential Respondent Universe and Sample Selection Method</w:t>
      </w:r>
      <w:bookmarkEnd w:id="4"/>
    </w:p>
    <w:p w14:paraId="01111D03" w14:textId="77777777" w:rsidR="00A65661" w:rsidRPr="00996B9F" w:rsidRDefault="00A65661" w:rsidP="00464FAD">
      <w:pPr>
        <w:pStyle w:val="BodyText"/>
      </w:pPr>
      <w:r w:rsidRPr="00996B9F">
        <w:t xml:space="preserve">The </w:t>
      </w:r>
      <w:r w:rsidR="00FE05A3">
        <w:t>Outpatient and Ambulatory Surgery Experience of Care Survey</w:t>
      </w:r>
      <w:r w:rsidRPr="00996B9F">
        <w:t xml:space="preserve"> field test will be a one-time (cross-sectional) survey of a sample of patients 18 years old and older who received outpatient surgery or a procedure from a HOSD or ASC facility. The field test sample will consist of 4,190 outpatient surgery patients. </w:t>
      </w:r>
      <w:r w:rsidRPr="0017541C">
        <w:t xml:space="preserve">Eligible patients will include those who received outpatient surgery from hospital outpatient surgery department (HOSDs) or ambulatory surgical centers (ASCs) within </w:t>
      </w:r>
      <w:r w:rsidRPr="00CF0539">
        <w:t xml:space="preserve">the </w:t>
      </w:r>
      <w:r w:rsidR="00464FAD" w:rsidRPr="00CF0539">
        <w:t xml:space="preserve">prior </w:t>
      </w:r>
      <w:r w:rsidRPr="00CF0539">
        <w:t>month</w:t>
      </w:r>
      <w:r w:rsidRPr="0017541C">
        <w:t>. The sample</w:t>
      </w:r>
      <w:r w:rsidRPr="00996B9F">
        <w:t xml:space="preserve"> will be designed to cluster respondents within HOSDs and ASCs.</w:t>
      </w:r>
    </w:p>
    <w:p w14:paraId="0892A7ED" w14:textId="77777777" w:rsidR="00A65661" w:rsidRPr="00996B9F" w:rsidRDefault="009E2AC1" w:rsidP="00A65661">
      <w:pPr>
        <w:pStyle w:val="Heading3"/>
        <w:rPr>
          <w:lang w:val="en-US"/>
        </w:rPr>
      </w:pPr>
      <w:bookmarkStart w:id="5" w:name="_Toc375035808"/>
      <w:bookmarkStart w:id="6" w:name="_Toc200945421"/>
      <w:r w:rsidRPr="00996B9F">
        <w:rPr>
          <w:lang w:val="en-US"/>
        </w:rPr>
        <w:t>B.1.1</w:t>
      </w:r>
      <w:r w:rsidR="00A65661" w:rsidRPr="00996B9F">
        <w:rPr>
          <w:lang w:val="en-US"/>
        </w:rPr>
        <w:tab/>
      </w:r>
      <w:bookmarkStart w:id="7" w:name="_Toc200945425"/>
      <w:r w:rsidR="00A65661" w:rsidRPr="00996B9F">
        <w:rPr>
          <w:lang w:val="en-US"/>
        </w:rPr>
        <w:t xml:space="preserve">Sample </w:t>
      </w:r>
      <w:bookmarkEnd w:id="7"/>
      <w:r w:rsidR="00A65661" w:rsidRPr="00996B9F">
        <w:rPr>
          <w:lang w:val="en-US"/>
        </w:rPr>
        <w:t>Selection Method</w:t>
      </w:r>
      <w:bookmarkEnd w:id="5"/>
    </w:p>
    <w:p w14:paraId="7D40EC89" w14:textId="77777777" w:rsidR="00A65661" w:rsidRPr="00996B9F" w:rsidRDefault="00A65661" w:rsidP="00A65661">
      <w:pPr>
        <w:pStyle w:val="BodyText"/>
      </w:pPr>
      <w:r w:rsidRPr="00996B9F">
        <w:t>We will use a two-stage sample design in which the outpatient surgery facilities are selected first, and patients are then selected within the selected outpatient surgery facilities. Our target is to recruit 36 outpatient surgery facilities, comprising 18 HOSDs and 18 ASCs, to obtain 2,304 patient interviews (64 patient interviews per HOSD or ASC).</w:t>
      </w:r>
    </w:p>
    <w:p w14:paraId="3EBF4D60" w14:textId="77777777" w:rsidR="00A65661" w:rsidRPr="00996B9F" w:rsidRDefault="009E2AC1" w:rsidP="00A65661">
      <w:pPr>
        <w:pStyle w:val="Heading3"/>
        <w:rPr>
          <w:lang w:val="en-US"/>
        </w:rPr>
      </w:pPr>
      <w:bookmarkStart w:id="8" w:name="_Toc375035809"/>
      <w:r w:rsidRPr="00996B9F">
        <w:rPr>
          <w:lang w:val="en-US"/>
        </w:rPr>
        <w:t>B.1.2</w:t>
      </w:r>
      <w:r w:rsidRPr="00996B9F">
        <w:rPr>
          <w:lang w:val="en-US"/>
        </w:rPr>
        <w:tab/>
      </w:r>
      <w:r w:rsidR="00A65661" w:rsidRPr="00996B9F">
        <w:rPr>
          <w:lang w:val="en-US"/>
        </w:rPr>
        <w:t xml:space="preserve">Facility </w:t>
      </w:r>
      <w:bookmarkEnd w:id="6"/>
      <w:r w:rsidR="00A65661" w:rsidRPr="00996B9F">
        <w:rPr>
          <w:lang w:val="en-US"/>
        </w:rPr>
        <w:t>Sample Selection</w:t>
      </w:r>
      <w:bookmarkEnd w:id="8"/>
    </w:p>
    <w:p w14:paraId="4C083903" w14:textId="77777777" w:rsidR="00F05970" w:rsidRDefault="00A65661" w:rsidP="00951190">
      <w:pPr>
        <w:pStyle w:val="BodyText"/>
      </w:pPr>
      <w:r w:rsidRPr="00996B9F">
        <w:t xml:space="preserve">The </w:t>
      </w:r>
      <w:r w:rsidRPr="009C7462">
        <w:t xml:space="preserve">facility sampling frame will be constructed from all eligible outpatient surgery facilities </w:t>
      </w:r>
      <w:r w:rsidRPr="00CF0539">
        <w:t>recruited through the POS file or through facilities that have volunteered to participate.</w:t>
      </w:r>
      <w:r w:rsidR="007F3932">
        <w:t xml:space="preserve"> </w:t>
      </w:r>
      <w:r w:rsidR="00F05970">
        <w:t>We will recruit 36 outpatient surgery facilities for the field test, among them 18 HOSD facilities and 18 ASC facilities</w:t>
      </w:r>
      <w:r w:rsidR="00313E37">
        <w:t xml:space="preserve"> from multiple states within the U.S</w:t>
      </w:r>
      <w:r w:rsidR="00F05970">
        <w:t>. We will carefully balance the outpatient surgery facility sample to represent key facility characteristics and ensure that the outpatient surgery facility sample is also distributed over different regions.</w:t>
      </w:r>
      <w:r w:rsidR="007F3932">
        <w:t xml:space="preserve"> </w:t>
      </w:r>
      <w:r w:rsidR="00F05970">
        <w:t>The three key facility characteristics are:</w:t>
      </w:r>
    </w:p>
    <w:p w14:paraId="727FF976" w14:textId="77777777" w:rsidR="007F3932" w:rsidRDefault="00A65661" w:rsidP="007F3932">
      <w:pPr>
        <w:pStyle w:val="ListBullet"/>
      </w:pPr>
      <w:r w:rsidRPr="00996B9F">
        <w:t>Facility Size</w:t>
      </w:r>
      <w:r w:rsidR="007F3932">
        <w:rPr>
          <w:rStyle w:val="FootnoteReference"/>
        </w:rPr>
        <w:footnoteReference w:id="1"/>
      </w:r>
      <w:r w:rsidRPr="00996B9F">
        <w:t>: Large, Medium, Small</w:t>
      </w:r>
    </w:p>
    <w:p w14:paraId="329207BF" w14:textId="77777777" w:rsidR="00A65661" w:rsidRPr="00996B9F" w:rsidRDefault="00A65661" w:rsidP="007F3932">
      <w:pPr>
        <w:pStyle w:val="ListBullet"/>
      </w:pPr>
      <w:r w:rsidRPr="00996B9F">
        <w:t>Facility Location: Urban, Rural</w:t>
      </w:r>
    </w:p>
    <w:p w14:paraId="2740092C" w14:textId="77777777" w:rsidR="007F3932" w:rsidRDefault="00A65661" w:rsidP="007F3932">
      <w:pPr>
        <w:pStyle w:val="ListBullet"/>
      </w:pPr>
      <w:r w:rsidRPr="00996B9F">
        <w:lastRenderedPageBreak/>
        <w:t>Facility Ownership:</w:t>
      </w:r>
      <w:r w:rsidR="007F3932">
        <w:t xml:space="preserve"> </w:t>
      </w:r>
      <w:r w:rsidR="00066993">
        <w:t>Hospita</w:t>
      </w:r>
      <w:r w:rsidR="00121092">
        <w:t>l</w:t>
      </w:r>
      <w:r w:rsidR="00F23826">
        <w:t>, Management Company</w:t>
      </w:r>
      <w:r w:rsidR="00066993">
        <w:t xml:space="preserve">, Health System/Managed Care, </w:t>
      </w:r>
      <w:r w:rsidR="00AE234E">
        <w:t>Physician</w:t>
      </w:r>
      <w:r w:rsidR="00066993">
        <w:t>, Government.</w:t>
      </w:r>
    </w:p>
    <w:p w14:paraId="5EACAE35" w14:textId="77777777" w:rsidR="00A65661" w:rsidRPr="00996B9F" w:rsidRDefault="009E2AC1" w:rsidP="00A65661">
      <w:pPr>
        <w:pStyle w:val="Heading3"/>
        <w:rPr>
          <w:lang w:val="en-US"/>
        </w:rPr>
      </w:pPr>
      <w:bookmarkStart w:id="9" w:name="_Toc200945422"/>
      <w:bookmarkStart w:id="10" w:name="_Toc375035810"/>
      <w:r w:rsidRPr="00996B9F">
        <w:rPr>
          <w:lang w:val="en-US"/>
        </w:rPr>
        <w:t>B.1.3</w:t>
      </w:r>
      <w:r w:rsidR="00A65661" w:rsidRPr="00996B9F">
        <w:rPr>
          <w:lang w:val="en-US"/>
        </w:rPr>
        <w:tab/>
      </w:r>
      <w:bookmarkStart w:id="11" w:name="_Toc200945427"/>
      <w:bookmarkEnd w:id="9"/>
      <w:r w:rsidR="00A65661" w:rsidRPr="00996B9F">
        <w:rPr>
          <w:lang w:val="en-US"/>
        </w:rPr>
        <w:t>Patient Sample</w:t>
      </w:r>
      <w:bookmarkEnd w:id="11"/>
      <w:r w:rsidR="00A65661" w:rsidRPr="00996B9F">
        <w:rPr>
          <w:lang w:val="en-US"/>
        </w:rPr>
        <w:t xml:space="preserve"> Selection</w:t>
      </w:r>
      <w:bookmarkEnd w:id="10"/>
    </w:p>
    <w:p w14:paraId="21A3FD33" w14:textId="77777777" w:rsidR="00A65661" w:rsidRPr="0017541C" w:rsidRDefault="00A65661" w:rsidP="00A65661">
      <w:pPr>
        <w:pStyle w:val="BodyText"/>
      </w:pPr>
      <w:r w:rsidRPr="00996B9F">
        <w:t xml:space="preserve">To be eligible to be selected for the </w:t>
      </w:r>
      <w:r w:rsidR="00FE05A3">
        <w:t>Outpatient and Ambulatory Surgery Experience of Care Survey</w:t>
      </w:r>
      <w:r w:rsidRPr="00996B9F">
        <w:t xml:space="preserve"> field test sample, </w:t>
      </w:r>
      <w:r w:rsidRPr="0017541C">
        <w:t>patients must meet the following eligibility requirements:</w:t>
      </w:r>
    </w:p>
    <w:p w14:paraId="2B354E1E" w14:textId="77777777" w:rsidR="00A65661" w:rsidRPr="00CF0539" w:rsidRDefault="00A65661" w:rsidP="007F3932">
      <w:pPr>
        <w:pStyle w:val="ListBullet"/>
      </w:pPr>
      <w:r w:rsidRPr="00CF0539">
        <w:t xml:space="preserve">have had an outpatient surgery or procedure from the facility </w:t>
      </w:r>
      <w:r w:rsidR="004320C7" w:rsidRPr="00CF0539">
        <w:t>in the prior calendar month</w:t>
      </w:r>
      <w:r w:rsidRPr="00CF0539">
        <w:t>;</w:t>
      </w:r>
    </w:p>
    <w:p w14:paraId="37029E67" w14:textId="77777777" w:rsidR="00A65661" w:rsidRPr="00CF0539" w:rsidRDefault="00A65661" w:rsidP="007F3932">
      <w:pPr>
        <w:pStyle w:val="ListBullet"/>
      </w:pPr>
      <w:r w:rsidRPr="00CF0539">
        <w:t>were at least 18 years old when they received their outpatient surgery or procedure;</w:t>
      </w:r>
      <w:r w:rsidR="004320C7" w:rsidRPr="00CF0539">
        <w:t xml:space="preserve"> and</w:t>
      </w:r>
    </w:p>
    <w:p w14:paraId="7A83B686" w14:textId="77777777" w:rsidR="00A65661" w:rsidRPr="00CF0539" w:rsidRDefault="004320C7" w:rsidP="007F3932">
      <w:pPr>
        <w:pStyle w:val="ListBullet"/>
      </w:pPr>
      <w:proofErr w:type="spellStart"/>
      <w:proofErr w:type="gramStart"/>
      <w:r w:rsidRPr="00CF0539">
        <w:t>were</w:t>
      </w:r>
      <w:proofErr w:type="spellEnd"/>
      <w:proofErr w:type="gramEnd"/>
      <w:r w:rsidRPr="00CF0539">
        <w:t xml:space="preserve"> not discharged to hospice or to a hospital for an in-patient stay.</w:t>
      </w:r>
    </w:p>
    <w:p w14:paraId="29FE1C1B" w14:textId="77777777" w:rsidR="00A65661" w:rsidRPr="00996B9F" w:rsidRDefault="00A65661" w:rsidP="001B1A9C">
      <w:pPr>
        <w:pStyle w:val="BodyText"/>
      </w:pPr>
      <w:r w:rsidRPr="0017541C">
        <w:t>We will construct a patient list comprised of eligible patients from each selected outpatient surgery facility. To ensure that the patients selected into the sample are representative of the broad range of outpatient surgery procedures, we will stratify the patient sampling frame into four surgery groups (strata)</w:t>
      </w:r>
      <w:r w:rsidR="00840C40" w:rsidRPr="0017541C">
        <w:t xml:space="preserve">, representing the largest categories of surgery types performed </w:t>
      </w:r>
      <w:r w:rsidR="0016082A">
        <w:t xml:space="preserve">based on </w:t>
      </w:r>
      <w:r w:rsidR="00BB51DF">
        <w:t>CMS</w:t>
      </w:r>
      <w:r w:rsidR="0016082A">
        <w:t xml:space="preserve"> data from</w:t>
      </w:r>
      <w:r w:rsidR="00BB51DF">
        <w:t xml:space="preserve"> 2011</w:t>
      </w:r>
      <w:r w:rsidR="0016082A">
        <w:t>. The four strata include:</w:t>
      </w:r>
      <w:r w:rsidR="00BB51DF">
        <w:t xml:space="preserve"> </w:t>
      </w:r>
      <w:r w:rsidRPr="00996B9F">
        <w:t>Ophthalmology</w:t>
      </w:r>
      <w:r w:rsidR="00BB51DF">
        <w:t xml:space="preserve">, Orthopedics, </w:t>
      </w:r>
      <w:r w:rsidR="00BB51DF" w:rsidRPr="00996B9F">
        <w:t>Gastrointestinal</w:t>
      </w:r>
      <w:r w:rsidR="00BB51DF">
        <w:t xml:space="preserve">, and all </w:t>
      </w:r>
      <w:r w:rsidRPr="00996B9F">
        <w:t>others</w:t>
      </w:r>
      <w:r w:rsidR="0016082A">
        <w:t>.</w:t>
      </w:r>
    </w:p>
    <w:p w14:paraId="1489012B" w14:textId="77777777" w:rsidR="007E0DE9" w:rsidRPr="00996B9F" w:rsidRDefault="007E0DE9" w:rsidP="007F3932">
      <w:pPr>
        <w:pStyle w:val="ListBullet"/>
        <w:numPr>
          <w:ilvl w:val="0"/>
          <w:numId w:val="0"/>
        </w:numPr>
        <w:ind w:left="720"/>
      </w:pPr>
      <w:r w:rsidRPr="00996B9F">
        <w:t>The patient sample will be allocated to the four patient surgery strata proportionally to the number of patients in each stratum. To balance the patient sample by age, gender, and race/ethnicity</w:t>
      </w:r>
      <w:bookmarkStart w:id="12" w:name="_GoBack"/>
      <w:bookmarkEnd w:id="12"/>
      <w:r w:rsidRPr="00996B9F">
        <w:t>, the patient sampling frame will be sorted by age group, gender, and race/ethnicity with each patient stratum before selecting a systematic random sample using PROC SURVEYSELECT in SAS.</w:t>
      </w:r>
    </w:p>
    <w:p w14:paraId="66FE7B6D" w14:textId="77777777" w:rsidR="00A65661" w:rsidRPr="00996B9F" w:rsidRDefault="00A65661" w:rsidP="00A65661">
      <w:pPr>
        <w:pStyle w:val="BodyText"/>
      </w:pPr>
      <w:r w:rsidRPr="00996B9F">
        <w:t>Our goal is to complete 64 patient interviews from each HOSD and ASC, which is sufficient to have at least 80% power to detect a medium Cohen effect size (D=0.5) difference between two outpatient surgery facilities using a two-tailed test at alpha=0.05. Assuming a 55% response rate, we will select 116 patients from each HOSD and ASC.</w:t>
      </w:r>
    </w:p>
    <w:p w14:paraId="4BD1F643" w14:textId="24CEE783" w:rsidR="00A65661" w:rsidRPr="00996B9F" w:rsidRDefault="00A65661" w:rsidP="00A65661">
      <w:pPr>
        <w:pStyle w:val="BodyText"/>
      </w:pPr>
      <w:r w:rsidRPr="00996B9F">
        <w:t xml:space="preserve">The proposed sample size, expected number of completed interviews, and expected response rates for each phase of the mail with telephone follow-up of </w:t>
      </w:r>
      <w:proofErr w:type="spellStart"/>
      <w:proofErr w:type="gramStart"/>
      <w:r w:rsidRPr="00996B9F">
        <w:t>nonrespondents</w:t>
      </w:r>
      <w:proofErr w:type="spellEnd"/>
      <w:proofErr w:type="gramEnd"/>
      <w:r w:rsidRPr="00996B9F">
        <w:t xml:space="preserve"> data collection strategy are presented in </w:t>
      </w:r>
      <w:r w:rsidR="00996B9F" w:rsidRPr="00996B9F">
        <w:rPr>
          <w:b/>
        </w:rPr>
        <w:t>Exhibit 4</w:t>
      </w:r>
      <w:r w:rsidRPr="00996B9F">
        <w:t>.</w:t>
      </w:r>
    </w:p>
    <w:p w14:paraId="50E1573C" w14:textId="77777777" w:rsidR="00996B9F" w:rsidRPr="00996B9F" w:rsidRDefault="00996B9F" w:rsidP="007F3932">
      <w:pPr>
        <w:pStyle w:val="Caption"/>
      </w:pPr>
      <w:bookmarkStart w:id="13" w:name="_Toc375035848"/>
      <w:bookmarkStart w:id="14" w:name="_Toc200945429"/>
      <w:proofErr w:type="gramStart"/>
      <w:r w:rsidRPr="00996B9F">
        <w:t xml:space="preserve">Exhibit </w:t>
      </w:r>
      <w:r w:rsidR="00582D6A">
        <w:t>3</w:t>
      </w:r>
      <w:r w:rsidRPr="00996B9F">
        <w:t>.</w:t>
      </w:r>
      <w:proofErr w:type="gramEnd"/>
      <w:r w:rsidRPr="00996B9F">
        <w:tab/>
        <w:t>Proposed Sample Size, Expected Number of Completed Interviews, and Expected Response Rate: Field Test</w:t>
      </w:r>
      <w:bookmarkEnd w:id="13"/>
    </w:p>
    <w:tbl>
      <w:tblPr>
        <w:tblW w:w="9360" w:type="dxa"/>
        <w:tblInd w:w="86" w:type="dxa"/>
        <w:tblBorders>
          <w:top w:val="single" w:sz="12" w:space="0" w:color="auto"/>
          <w:bottom w:val="single" w:sz="12" w:space="0" w:color="auto"/>
        </w:tblBorders>
        <w:tblLayout w:type="fixed"/>
        <w:tblCellMar>
          <w:left w:w="115" w:type="dxa"/>
          <w:right w:w="115" w:type="dxa"/>
        </w:tblCellMar>
        <w:tblLook w:val="04A0" w:firstRow="1" w:lastRow="0" w:firstColumn="1" w:lastColumn="0" w:noHBand="0" w:noVBand="1"/>
      </w:tblPr>
      <w:tblGrid>
        <w:gridCol w:w="2452"/>
        <w:gridCol w:w="1800"/>
        <w:gridCol w:w="2880"/>
        <w:gridCol w:w="2228"/>
      </w:tblGrid>
      <w:tr w:rsidR="00A65661" w:rsidRPr="00996B9F" w14:paraId="289325F4" w14:textId="77777777" w:rsidTr="00996B9F">
        <w:trPr>
          <w:cantSplit/>
          <w:trHeight w:val="20"/>
        </w:trPr>
        <w:tc>
          <w:tcPr>
            <w:tcW w:w="2452"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6FDC6C0A" w14:textId="30944A55" w:rsidR="00A65661" w:rsidRPr="00996B9F" w:rsidRDefault="00A65661" w:rsidP="007F3932">
            <w:pPr>
              <w:pStyle w:val="TableHeaders"/>
            </w:pPr>
            <w:r w:rsidRPr="00996B9F">
              <w:t>Field Test</w:t>
            </w:r>
          </w:p>
        </w:tc>
        <w:tc>
          <w:tcPr>
            <w:tcW w:w="1800"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7629B444" w14:textId="77777777" w:rsidR="00A65661" w:rsidRPr="00996B9F" w:rsidRDefault="00A65661" w:rsidP="007F3932">
            <w:pPr>
              <w:pStyle w:val="TableHeaders"/>
            </w:pPr>
            <w:r w:rsidRPr="00996B9F">
              <w:t>Sample Size</w:t>
            </w:r>
          </w:p>
        </w:tc>
        <w:tc>
          <w:tcPr>
            <w:tcW w:w="2880"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38F57FA0" w14:textId="77777777" w:rsidR="00A65661" w:rsidRPr="00996B9F" w:rsidRDefault="00A65661" w:rsidP="007F3932">
            <w:pPr>
              <w:pStyle w:val="TableHeaders"/>
            </w:pPr>
            <w:r w:rsidRPr="00996B9F">
              <w:t>Number of Respondents</w:t>
            </w:r>
          </w:p>
        </w:tc>
        <w:tc>
          <w:tcPr>
            <w:tcW w:w="2228" w:type="dxa"/>
            <w:tcBorders>
              <w:top w:val="single" w:sz="12" w:space="0" w:color="auto"/>
              <w:bottom w:val="single" w:sz="6" w:space="0" w:color="auto"/>
            </w:tcBorders>
            <w:shd w:val="clear" w:color="auto" w:fill="auto"/>
            <w:tcMar>
              <w:top w:w="0" w:type="dxa"/>
              <w:left w:w="108" w:type="dxa"/>
              <w:bottom w:w="0" w:type="dxa"/>
              <w:right w:w="108" w:type="dxa"/>
            </w:tcMar>
            <w:vAlign w:val="bottom"/>
            <w:hideMark/>
          </w:tcPr>
          <w:p w14:paraId="3D2DFEC2" w14:textId="77777777" w:rsidR="00A65661" w:rsidRPr="00996B9F" w:rsidRDefault="00A65661" w:rsidP="007F3932">
            <w:pPr>
              <w:pStyle w:val="TableHeaders"/>
            </w:pPr>
            <w:r w:rsidRPr="00996B9F">
              <w:t>Response Rate (%)</w:t>
            </w:r>
          </w:p>
        </w:tc>
      </w:tr>
      <w:tr w:rsidR="00A65661" w:rsidRPr="00996B9F" w14:paraId="20B9E66F" w14:textId="77777777" w:rsidTr="00996B9F">
        <w:trPr>
          <w:cantSplit/>
          <w:trHeight w:val="20"/>
        </w:trPr>
        <w:tc>
          <w:tcPr>
            <w:tcW w:w="2452" w:type="dxa"/>
            <w:tcBorders>
              <w:top w:val="single" w:sz="6" w:space="0" w:color="auto"/>
            </w:tcBorders>
            <w:shd w:val="clear" w:color="auto" w:fill="auto"/>
            <w:tcMar>
              <w:top w:w="0" w:type="dxa"/>
              <w:left w:w="108" w:type="dxa"/>
              <w:bottom w:w="0" w:type="dxa"/>
              <w:right w:w="108" w:type="dxa"/>
            </w:tcMar>
            <w:hideMark/>
          </w:tcPr>
          <w:p w14:paraId="3023D470" w14:textId="77777777" w:rsidR="00A65661" w:rsidRPr="00996B9F" w:rsidRDefault="00A65661" w:rsidP="00996B9F">
            <w:pPr>
              <w:pStyle w:val="TableText"/>
              <w:keepNext/>
            </w:pPr>
            <w:r w:rsidRPr="00996B9F">
              <w:t>Initial Mail</w:t>
            </w:r>
          </w:p>
        </w:tc>
        <w:tc>
          <w:tcPr>
            <w:tcW w:w="1800" w:type="dxa"/>
            <w:tcBorders>
              <w:top w:val="single" w:sz="6" w:space="0" w:color="auto"/>
            </w:tcBorders>
            <w:shd w:val="clear" w:color="auto" w:fill="auto"/>
            <w:tcMar>
              <w:top w:w="0" w:type="dxa"/>
              <w:left w:w="108" w:type="dxa"/>
              <w:bottom w:w="0" w:type="dxa"/>
              <w:right w:w="108" w:type="dxa"/>
            </w:tcMar>
            <w:hideMark/>
          </w:tcPr>
          <w:p w14:paraId="69999B83" w14:textId="77777777" w:rsidR="00A65661" w:rsidRPr="00996B9F" w:rsidRDefault="00A65661" w:rsidP="00996B9F">
            <w:pPr>
              <w:pStyle w:val="TableText"/>
              <w:keepNext/>
              <w:jc w:val="center"/>
            </w:pPr>
            <w:r w:rsidRPr="00996B9F">
              <w:t>4,190</w:t>
            </w:r>
          </w:p>
        </w:tc>
        <w:tc>
          <w:tcPr>
            <w:tcW w:w="2880" w:type="dxa"/>
            <w:tcBorders>
              <w:top w:val="single" w:sz="6" w:space="0" w:color="auto"/>
            </w:tcBorders>
            <w:shd w:val="clear" w:color="auto" w:fill="auto"/>
            <w:tcMar>
              <w:top w:w="0" w:type="dxa"/>
              <w:left w:w="108" w:type="dxa"/>
              <w:bottom w:w="0" w:type="dxa"/>
              <w:right w:w="108" w:type="dxa"/>
            </w:tcMar>
            <w:hideMark/>
          </w:tcPr>
          <w:p w14:paraId="44EFCDBA" w14:textId="77777777" w:rsidR="00A65661" w:rsidRPr="00996B9F" w:rsidRDefault="00A65661" w:rsidP="00996B9F">
            <w:pPr>
              <w:pStyle w:val="TableText"/>
              <w:keepNext/>
              <w:tabs>
                <w:tab w:val="decimal" w:pos="1566"/>
              </w:tabs>
            </w:pPr>
            <w:r w:rsidRPr="00996B9F">
              <w:t>1,341</w:t>
            </w:r>
          </w:p>
        </w:tc>
        <w:tc>
          <w:tcPr>
            <w:tcW w:w="2228" w:type="dxa"/>
            <w:tcBorders>
              <w:top w:val="single" w:sz="6" w:space="0" w:color="auto"/>
            </w:tcBorders>
            <w:shd w:val="clear" w:color="auto" w:fill="auto"/>
            <w:tcMar>
              <w:top w:w="0" w:type="dxa"/>
              <w:left w:w="108" w:type="dxa"/>
              <w:bottom w:w="0" w:type="dxa"/>
              <w:right w:w="108" w:type="dxa"/>
            </w:tcMar>
            <w:hideMark/>
          </w:tcPr>
          <w:p w14:paraId="3EB429F1" w14:textId="77777777" w:rsidR="00A65661" w:rsidRPr="00996B9F" w:rsidRDefault="00A65661" w:rsidP="00996B9F">
            <w:pPr>
              <w:pStyle w:val="TableText"/>
              <w:keepNext/>
              <w:jc w:val="center"/>
            </w:pPr>
            <w:r w:rsidRPr="00996B9F">
              <w:t>32.0</w:t>
            </w:r>
          </w:p>
        </w:tc>
      </w:tr>
      <w:tr w:rsidR="00A65661" w:rsidRPr="00996B9F" w14:paraId="3CC5730C" w14:textId="77777777" w:rsidTr="00996B9F">
        <w:trPr>
          <w:cantSplit/>
          <w:trHeight w:val="20"/>
        </w:trPr>
        <w:tc>
          <w:tcPr>
            <w:tcW w:w="2452" w:type="dxa"/>
            <w:shd w:val="clear" w:color="auto" w:fill="auto"/>
            <w:tcMar>
              <w:top w:w="0" w:type="dxa"/>
              <w:left w:w="108" w:type="dxa"/>
              <w:bottom w:w="0" w:type="dxa"/>
              <w:right w:w="108" w:type="dxa"/>
            </w:tcMar>
            <w:hideMark/>
          </w:tcPr>
          <w:p w14:paraId="16C9E8AC" w14:textId="77777777" w:rsidR="00A65661" w:rsidRPr="00996B9F" w:rsidRDefault="00A65661" w:rsidP="00996B9F">
            <w:pPr>
              <w:pStyle w:val="TableText"/>
              <w:keepNext/>
            </w:pPr>
            <w:r w:rsidRPr="00996B9F">
              <w:t>Phone Follow-up</w:t>
            </w:r>
          </w:p>
        </w:tc>
        <w:tc>
          <w:tcPr>
            <w:tcW w:w="1800" w:type="dxa"/>
            <w:shd w:val="clear" w:color="auto" w:fill="auto"/>
            <w:tcMar>
              <w:top w:w="0" w:type="dxa"/>
              <w:left w:w="108" w:type="dxa"/>
              <w:bottom w:w="0" w:type="dxa"/>
              <w:right w:w="108" w:type="dxa"/>
            </w:tcMar>
            <w:hideMark/>
          </w:tcPr>
          <w:p w14:paraId="5AEFD8BD" w14:textId="77777777" w:rsidR="00A65661" w:rsidRPr="00996B9F" w:rsidRDefault="00A65661" w:rsidP="00996B9F">
            <w:pPr>
              <w:pStyle w:val="TableText"/>
              <w:keepNext/>
              <w:jc w:val="center"/>
            </w:pPr>
            <w:r w:rsidRPr="00996B9F">
              <w:t>2,849</w:t>
            </w:r>
          </w:p>
        </w:tc>
        <w:tc>
          <w:tcPr>
            <w:tcW w:w="2880" w:type="dxa"/>
            <w:shd w:val="clear" w:color="auto" w:fill="auto"/>
            <w:tcMar>
              <w:top w:w="0" w:type="dxa"/>
              <w:left w:w="108" w:type="dxa"/>
              <w:bottom w:w="0" w:type="dxa"/>
              <w:right w:w="108" w:type="dxa"/>
            </w:tcMar>
            <w:hideMark/>
          </w:tcPr>
          <w:p w14:paraId="3E5AA4B9" w14:textId="77777777" w:rsidR="00A65661" w:rsidRPr="00996B9F" w:rsidRDefault="00A65661" w:rsidP="00996B9F">
            <w:pPr>
              <w:pStyle w:val="TableText"/>
              <w:keepNext/>
              <w:tabs>
                <w:tab w:val="decimal" w:pos="1566"/>
              </w:tabs>
            </w:pPr>
            <w:r w:rsidRPr="00996B9F">
              <w:t>963</w:t>
            </w:r>
          </w:p>
        </w:tc>
        <w:tc>
          <w:tcPr>
            <w:tcW w:w="2228" w:type="dxa"/>
            <w:shd w:val="clear" w:color="auto" w:fill="auto"/>
            <w:tcMar>
              <w:top w:w="0" w:type="dxa"/>
              <w:left w:w="108" w:type="dxa"/>
              <w:bottom w:w="0" w:type="dxa"/>
              <w:right w:w="108" w:type="dxa"/>
            </w:tcMar>
            <w:hideMark/>
          </w:tcPr>
          <w:p w14:paraId="366E33C9" w14:textId="77777777" w:rsidR="00A65661" w:rsidRPr="00996B9F" w:rsidRDefault="00A65661" w:rsidP="00996B9F">
            <w:pPr>
              <w:pStyle w:val="TableText"/>
              <w:keepNext/>
              <w:jc w:val="center"/>
            </w:pPr>
            <w:r w:rsidRPr="00996B9F">
              <w:t>33.8</w:t>
            </w:r>
          </w:p>
        </w:tc>
      </w:tr>
      <w:tr w:rsidR="00A65661" w:rsidRPr="00996B9F" w14:paraId="6DDF0674" w14:textId="77777777" w:rsidTr="00996B9F">
        <w:trPr>
          <w:cantSplit/>
          <w:trHeight w:val="20"/>
        </w:trPr>
        <w:tc>
          <w:tcPr>
            <w:tcW w:w="2452" w:type="dxa"/>
            <w:shd w:val="clear" w:color="auto" w:fill="auto"/>
            <w:tcMar>
              <w:top w:w="0" w:type="dxa"/>
              <w:left w:w="108" w:type="dxa"/>
              <w:bottom w:w="0" w:type="dxa"/>
              <w:right w:w="108" w:type="dxa"/>
            </w:tcMar>
            <w:hideMark/>
          </w:tcPr>
          <w:p w14:paraId="7DDB62B4" w14:textId="77777777" w:rsidR="00A65661" w:rsidRPr="00996B9F" w:rsidRDefault="00A65661" w:rsidP="00996B9F">
            <w:pPr>
              <w:pStyle w:val="TableText"/>
              <w:keepNext/>
            </w:pPr>
            <w:r w:rsidRPr="00996B9F">
              <w:t>Overall</w:t>
            </w:r>
          </w:p>
        </w:tc>
        <w:tc>
          <w:tcPr>
            <w:tcW w:w="1800" w:type="dxa"/>
            <w:shd w:val="clear" w:color="auto" w:fill="auto"/>
            <w:tcMar>
              <w:top w:w="0" w:type="dxa"/>
              <w:left w:w="108" w:type="dxa"/>
              <w:bottom w:w="0" w:type="dxa"/>
              <w:right w:w="108" w:type="dxa"/>
            </w:tcMar>
            <w:hideMark/>
          </w:tcPr>
          <w:p w14:paraId="6466A14E" w14:textId="77777777" w:rsidR="00A65661" w:rsidRPr="00996B9F" w:rsidRDefault="00A65661" w:rsidP="00996B9F">
            <w:pPr>
              <w:pStyle w:val="TableText"/>
              <w:keepNext/>
              <w:jc w:val="center"/>
            </w:pPr>
            <w:r w:rsidRPr="00996B9F">
              <w:t>4,190</w:t>
            </w:r>
          </w:p>
        </w:tc>
        <w:tc>
          <w:tcPr>
            <w:tcW w:w="2880" w:type="dxa"/>
            <w:shd w:val="clear" w:color="auto" w:fill="auto"/>
            <w:tcMar>
              <w:top w:w="0" w:type="dxa"/>
              <w:left w:w="108" w:type="dxa"/>
              <w:bottom w:w="0" w:type="dxa"/>
              <w:right w:w="108" w:type="dxa"/>
            </w:tcMar>
            <w:hideMark/>
          </w:tcPr>
          <w:p w14:paraId="50470860" w14:textId="77777777" w:rsidR="00A65661" w:rsidRPr="00996B9F" w:rsidRDefault="00A65661" w:rsidP="00996B9F">
            <w:pPr>
              <w:pStyle w:val="TableText"/>
              <w:keepNext/>
              <w:tabs>
                <w:tab w:val="decimal" w:pos="1566"/>
              </w:tabs>
            </w:pPr>
            <w:r w:rsidRPr="00996B9F">
              <w:t>2,304</w:t>
            </w:r>
          </w:p>
        </w:tc>
        <w:tc>
          <w:tcPr>
            <w:tcW w:w="2228" w:type="dxa"/>
            <w:shd w:val="clear" w:color="auto" w:fill="auto"/>
            <w:tcMar>
              <w:top w:w="0" w:type="dxa"/>
              <w:left w:w="108" w:type="dxa"/>
              <w:bottom w:w="0" w:type="dxa"/>
              <w:right w:w="108" w:type="dxa"/>
            </w:tcMar>
            <w:hideMark/>
          </w:tcPr>
          <w:p w14:paraId="501918F3" w14:textId="77777777" w:rsidR="00A65661" w:rsidRPr="00996B9F" w:rsidRDefault="00A65661" w:rsidP="00996B9F">
            <w:pPr>
              <w:pStyle w:val="TableText"/>
              <w:keepNext/>
              <w:jc w:val="center"/>
            </w:pPr>
            <w:r w:rsidRPr="00996B9F">
              <w:t>55.0</w:t>
            </w:r>
          </w:p>
        </w:tc>
      </w:tr>
    </w:tbl>
    <w:p w14:paraId="20078ABA" w14:textId="77777777" w:rsidR="00A65661" w:rsidRPr="00996B9F" w:rsidRDefault="00A65661" w:rsidP="00085361">
      <w:pPr>
        <w:pStyle w:val="Source"/>
      </w:pPr>
    </w:p>
    <w:p w14:paraId="5C61BB57" w14:textId="77777777" w:rsidR="00A65661" w:rsidRPr="00996B9F" w:rsidRDefault="00A65661" w:rsidP="00A65661">
      <w:pPr>
        <w:pStyle w:val="Heading2"/>
      </w:pPr>
      <w:bookmarkStart w:id="15" w:name="_Toc375035811"/>
      <w:r w:rsidRPr="00996B9F">
        <w:lastRenderedPageBreak/>
        <w:t>B</w:t>
      </w:r>
      <w:r w:rsidR="009E2AC1" w:rsidRPr="00996B9F">
        <w:t>.</w:t>
      </w:r>
      <w:r w:rsidRPr="00996B9F">
        <w:t>2</w:t>
      </w:r>
      <w:r w:rsidRPr="00996B9F">
        <w:tab/>
        <w:t>Information Collection Procedures</w:t>
      </w:r>
      <w:bookmarkEnd w:id="15"/>
    </w:p>
    <w:p w14:paraId="2C5CD42B" w14:textId="43F46C21" w:rsidR="00A65661" w:rsidRPr="00996B9F" w:rsidRDefault="00A65661" w:rsidP="007F6FEE">
      <w:pPr>
        <w:pStyle w:val="BodyText"/>
      </w:pPr>
      <w:r w:rsidRPr="00996B9F">
        <w:t xml:space="preserve">We will use a </w:t>
      </w:r>
      <w:proofErr w:type="spellStart"/>
      <w:r w:rsidR="003C0944">
        <w:t xml:space="preserve">quasi </w:t>
      </w:r>
      <w:r w:rsidRPr="00996B9F">
        <w:t>mixed</w:t>
      </w:r>
      <w:proofErr w:type="spellEnd"/>
      <w:r w:rsidRPr="00996B9F">
        <w:t xml:space="preserve">-mode survey administration approach to implement the field test. All sampled patients will receive an initial mailing of a questionnaire, cover letter, and postage-paid return envelope. Sample patients who do not respond to the mail survey within three weeks after the questionnaire is mailed will be assigned to the telephone follow-up. Telephone interviewers will make up to </w:t>
      </w:r>
      <w:r w:rsidR="007F6FEE">
        <w:t>5</w:t>
      </w:r>
      <w:r w:rsidRPr="00996B9F">
        <w:t xml:space="preserve"> attempts to complete the interview by phone with all mail survey</w:t>
      </w:r>
      <w:r w:rsidR="007F6FEE">
        <w:t xml:space="preserve"> non-respondents</w:t>
      </w:r>
      <w:r w:rsidRPr="00996B9F">
        <w:t>. Data collection will end six weeks after the first questionnaire package is mailed.</w:t>
      </w:r>
    </w:p>
    <w:p w14:paraId="00444E1E" w14:textId="77777777" w:rsidR="00A65661" w:rsidRPr="00996B9F" w:rsidRDefault="00A65661" w:rsidP="00A65661">
      <w:pPr>
        <w:pStyle w:val="Heading2"/>
      </w:pPr>
      <w:bookmarkStart w:id="16" w:name="_Toc375035812"/>
      <w:r w:rsidRPr="00996B9F">
        <w:t>B</w:t>
      </w:r>
      <w:r w:rsidR="009E2AC1" w:rsidRPr="00996B9F">
        <w:t>.</w:t>
      </w:r>
      <w:r w:rsidRPr="00996B9F">
        <w:t>3</w:t>
      </w:r>
      <w:r w:rsidRPr="00996B9F">
        <w:tab/>
        <w:t>Methods to Maximize Response Rate</w:t>
      </w:r>
      <w:bookmarkEnd w:id="14"/>
      <w:bookmarkEnd w:id="16"/>
    </w:p>
    <w:p w14:paraId="577575DE" w14:textId="12E5123F" w:rsidR="00A65661" w:rsidRPr="00996B9F" w:rsidRDefault="00A65661" w:rsidP="00A65661">
      <w:pPr>
        <w:pStyle w:val="BodyText"/>
      </w:pPr>
      <w:r w:rsidRPr="00996B9F">
        <w:t xml:space="preserve">To reduce nonresponse bias, every effort will be made to maximize the patient response rate while retaining the voluntary nature of the survey. We expect to achieve a response rate of approximately 55%. Conducting the field test as a mail with telephone follow-up of </w:t>
      </w:r>
      <w:proofErr w:type="spellStart"/>
      <w:r w:rsidRPr="00996B9F">
        <w:t>nonrespondents</w:t>
      </w:r>
      <w:proofErr w:type="spellEnd"/>
      <w:r w:rsidRPr="00996B9F">
        <w:t xml:space="preserve"> will improve the response rate by offering sampled patients two different ways to respond to the survey.</w:t>
      </w:r>
    </w:p>
    <w:p w14:paraId="50379C7E" w14:textId="77777777" w:rsidR="00A65661" w:rsidRPr="00996B9F" w:rsidRDefault="00A65661" w:rsidP="00A65661">
      <w:pPr>
        <w:pStyle w:val="BodyText"/>
      </w:pPr>
      <w:r w:rsidRPr="00996B9F">
        <w:t>The questionnaire mailing will include a cover letter containing information about the survey, including sponsorship and objectives, a description of how survey results will be used, and the name and toll-free telephone number of a survey staff member that sampled patients can contact if they have questions or need additional information about the survey. We will also include a statement that assures patients that their survey responses will not be linked to their names or any other information that can identify them.</w:t>
      </w:r>
    </w:p>
    <w:p w14:paraId="007B63A5" w14:textId="78F9AFB5" w:rsidR="00A65661" w:rsidRPr="00996B9F" w:rsidRDefault="00A65661" w:rsidP="00F71325">
      <w:pPr>
        <w:pStyle w:val="BodyText"/>
      </w:pPr>
      <w:r w:rsidRPr="00996B9F">
        <w:t xml:space="preserve">Following best mail survey practices, we will use an easy-to-read font no smaller than 12 </w:t>
      </w:r>
      <w:proofErr w:type="spellStart"/>
      <w:r w:rsidRPr="00996B9F">
        <w:t>point</w:t>
      </w:r>
      <w:proofErr w:type="spellEnd"/>
      <w:r w:rsidRPr="00996B9F">
        <w:t xml:space="preserve"> size in the survey cover letter and questionnaire, allowing ample white space between questions in the questionnaire, avoiding a format that displays the questions as a matrix, using a unique subject identification number on the questionnaire rather than printing the sample member’s name, and displaying the OMB number and expiration date on the questionnaire (</w:t>
      </w:r>
      <w:proofErr w:type="spellStart"/>
      <w:r w:rsidRPr="00996B9F">
        <w:t>Dillman</w:t>
      </w:r>
      <w:proofErr w:type="spellEnd"/>
      <w:r w:rsidRPr="00996B9F">
        <w:t xml:space="preserve">, </w:t>
      </w:r>
      <w:r w:rsidR="00F71325">
        <w:t>1999</w:t>
      </w:r>
      <w:r w:rsidRPr="00996B9F">
        <w:t>).</w:t>
      </w:r>
    </w:p>
    <w:p w14:paraId="18AA6A90" w14:textId="77777777" w:rsidR="00A65661" w:rsidRPr="00996B9F" w:rsidRDefault="00A65661" w:rsidP="004320C7">
      <w:pPr>
        <w:pStyle w:val="BodyText"/>
      </w:pPr>
      <w:r w:rsidRPr="00996B9F">
        <w:t xml:space="preserve">For the telephone follow-up of mail survey </w:t>
      </w:r>
      <w:proofErr w:type="spellStart"/>
      <w:r w:rsidRPr="00996B9F">
        <w:t>nonrespondents</w:t>
      </w:r>
      <w:proofErr w:type="spellEnd"/>
      <w:r w:rsidRPr="00996B9F">
        <w:t xml:space="preserve">, we will make up to </w:t>
      </w:r>
      <w:r w:rsidR="00DB2448">
        <w:t>5</w:t>
      </w:r>
      <w:r w:rsidRPr="00996B9F">
        <w:t xml:space="preserve"> attempts to reach each sample patient, with those attempts varying by day of the week and time of day. Telephone interviewers will be trained on how to answer questions that are most frequently asked by sample patients and to address any concerns that they may have about participating in the survey.</w:t>
      </w:r>
    </w:p>
    <w:p w14:paraId="5CC6E3F0" w14:textId="77777777" w:rsidR="00A65661" w:rsidRPr="00996B9F" w:rsidRDefault="00A65661" w:rsidP="00A65661">
      <w:pPr>
        <w:pStyle w:val="Heading2"/>
      </w:pPr>
      <w:bookmarkStart w:id="17" w:name="_Toc200945433"/>
      <w:bookmarkStart w:id="18" w:name="_Toc375035813"/>
      <w:r w:rsidRPr="00996B9F">
        <w:t>B</w:t>
      </w:r>
      <w:r w:rsidR="009E2AC1" w:rsidRPr="00996B9F">
        <w:t>.</w:t>
      </w:r>
      <w:r w:rsidRPr="00996B9F">
        <w:t>4</w:t>
      </w:r>
      <w:r w:rsidRPr="00996B9F">
        <w:tab/>
        <w:t>Tests of Procedures</w:t>
      </w:r>
      <w:bookmarkEnd w:id="17"/>
      <w:bookmarkEnd w:id="18"/>
    </w:p>
    <w:p w14:paraId="55235A6C" w14:textId="77777777" w:rsidR="007F3932" w:rsidRDefault="003B7741" w:rsidP="00692221">
      <w:pPr>
        <w:pStyle w:val="BodyText"/>
      </w:pPr>
      <w:r w:rsidRPr="005E6AC0">
        <w:t>The field test will test</w:t>
      </w:r>
      <w:r w:rsidR="00DC2AA6" w:rsidRPr="005E6AC0">
        <w:t xml:space="preserve"> survey administration procedures that have been used on other CAHPS </w:t>
      </w:r>
      <w:r w:rsidR="00BA001B" w:rsidRPr="005E6AC0">
        <w:t xml:space="preserve">patient experience </w:t>
      </w:r>
      <w:r w:rsidR="00DC2AA6" w:rsidRPr="005E6AC0">
        <w:t xml:space="preserve">surveys, including </w:t>
      </w:r>
      <w:r w:rsidRPr="005E6AC0">
        <w:t xml:space="preserve">a </w:t>
      </w:r>
      <w:proofErr w:type="spellStart"/>
      <w:r w:rsidR="00DC2AA6" w:rsidRPr="005E6AC0">
        <w:t>mailout</w:t>
      </w:r>
      <w:proofErr w:type="spellEnd"/>
      <w:r w:rsidR="00DC2AA6" w:rsidRPr="005E6AC0">
        <w:t xml:space="preserve"> of </w:t>
      </w:r>
      <w:r w:rsidRPr="005E6AC0">
        <w:t xml:space="preserve">a </w:t>
      </w:r>
      <w:r w:rsidR="00DC2AA6" w:rsidRPr="005E6AC0">
        <w:t xml:space="preserve">questionnaire followed by telephone follow-up contacts to mail survey </w:t>
      </w:r>
      <w:proofErr w:type="spellStart"/>
      <w:r w:rsidR="00DC2AA6" w:rsidRPr="005E6AC0">
        <w:t>nonrespondents</w:t>
      </w:r>
      <w:proofErr w:type="spellEnd"/>
      <w:r w:rsidR="00DC2AA6" w:rsidRPr="005E6AC0">
        <w:t>.</w:t>
      </w:r>
    </w:p>
    <w:p w14:paraId="4850B681" w14:textId="77777777" w:rsidR="00A65661" w:rsidRPr="00996B9F" w:rsidRDefault="00A65661" w:rsidP="00A65661">
      <w:pPr>
        <w:pStyle w:val="Heading2"/>
      </w:pPr>
      <w:bookmarkStart w:id="19" w:name="_Toc200945434"/>
      <w:bookmarkStart w:id="20" w:name="_Toc375035814"/>
      <w:r w:rsidRPr="00996B9F">
        <w:t>B</w:t>
      </w:r>
      <w:r w:rsidR="009E2AC1" w:rsidRPr="00996B9F">
        <w:t>.</w:t>
      </w:r>
      <w:r w:rsidRPr="00996B9F">
        <w:t>5</w:t>
      </w:r>
      <w:r w:rsidRPr="00996B9F">
        <w:tab/>
        <w:t>Statistical Consultation and Independent Review</w:t>
      </w:r>
      <w:bookmarkEnd w:id="19"/>
      <w:bookmarkEnd w:id="20"/>
    </w:p>
    <w:p w14:paraId="5B764176" w14:textId="77777777" w:rsidR="00A65661" w:rsidRPr="00996B9F" w:rsidRDefault="00A65661" w:rsidP="00A65661">
      <w:pPr>
        <w:pStyle w:val="BodyText"/>
      </w:pPr>
      <w:r w:rsidRPr="00996B9F">
        <w:t xml:space="preserve">This sampling and statistical plan was prepared by RTI International. The primary statistical design was provided by Patrick Chen of RTI International. Mr. Chen can be reached by telephone at (919) 541-6309 or by e-mail at </w:t>
      </w:r>
      <w:hyperlink r:id="rId9" w:history="1">
        <w:r w:rsidRPr="00996B9F">
          <w:rPr>
            <w:rStyle w:val="Hyperlink"/>
          </w:rPr>
          <w:t>pchen@rti.org</w:t>
        </w:r>
      </w:hyperlink>
      <w:r w:rsidRPr="00996B9F">
        <w:t>.</w:t>
      </w:r>
    </w:p>
    <w:bookmarkEnd w:id="1"/>
    <w:bookmarkEnd w:id="2"/>
    <w:p w14:paraId="62BA3A76" w14:textId="77777777" w:rsidR="004920B6" w:rsidRPr="00996B9F" w:rsidRDefault="00635CB0" w:rsidP="00A65661">
      <w:pPr>
        <w:pStyle w:val="Heading1"/>
      </w:pPr>
      <w:r w:rsidRPr="00996B9F">
        <w:rPr>
          <w:color w:val="000000"/>
        </w:rPr>
        <w:br w:type="page"/>
      </w:r>
      <w:bookmarkStart w:id="21" w:name="_Toc88033509"/>
      <w:bookmarkStart w:id="22" w:name="_Toc375035815"/>
      <w:r w:rsidR="004920B6" w:rsidRPr="00996B9F">
        <w:t>References</w:t>
      </w:r>
      <w:bookmarkEnd w:id="21"/>
      <w:bookmarkEnd w:id="22"/>
    </w:p>
    <w:p w14:paraId="1D619E9B" w14:textId="77777777" w:rsidR="00A65661" w:rsidRPr="00996B9F" w:rsidRDefault="00A65661" w:rsidP="00951190">
      <w:pPr>
        <w:pStyle w:val="Bibliography"/>
      </w:pPr>
      <w:proofErr w:type="spellStart"/>
      <w:r w:rsidRPr="00996B9F">
        <w:t>Dillman</w:t>
      </w:r>
      <w:proofErr w:type="spellEnd"/>
      <w:r w:rsidRPr="00996B9F">
        <w:t xml:space="preserve">, Don A. (1999). Mail and Other Self-Administered Surveys in the 21st Century: The Beginning of a New Era. </w:t>
      </w:r>
      <w:r w:rsidRPr="00996B9F">
        <w:rPr>
          <w:i/>
        </w:rPr>
        <w:t>The</w:t>
      </w:r>
      <w:r w:rsidRPr="00996B9F">
        <w:t xml:space="preserve"> </w:t>
      </w:r>
      <w:r w:rsidRPr="00996B9F">
        <w:rPr>
          <w:i/>
        </w:rPr>
        <w:t>Gallup Research Journal,</w:t>
      </w:r>
      <w:r w:rsidRPr="00996B9F">
        <w:t xml:space="preserve"> </w:t>
      </w:r>
      <w:r w:rsidRPr="00996B9F">
        <w:rPr>
          <w:i/>
          <w:iCs/>
        </w:rPr>
        <w:t>2</w:t>
      </w:r>
      <w:r w:rsidRPr="00996B9F">
        <w:t>(1), 121–140.</w:t>
      </w:r>
    </w:p>
    <w:p w14:paraId="450E5CB3" w14:textId="77777777" w:rsidR="00A65661" w:rsidRPr="005C779B" w:rsidRDefault="00A65661" w:rsidP="00951190">
      <w:pPr>
        <w:pStyle w:val="Bibliography"/>
      </w:pPr>
      <w:proofErr w:type="gramStart"/>
      <w:r w:rsidRPr="00996B9F">
        <w:t>U.S. Bureau of Labor Statistics (2010).</w:t>
      </w:r>
      <w:proofErr w:type="gramEnd"/>
      <w:r w:rsidRPr="00996B9F">
        <w:t xml:space="preserve"> </w:t>
      </w:r>
      <w:r w:rsidRPr="00996B9F">
        <w:rPr>
          <w:i/>
        </w:rPr>
        <w:t>National Compensation Survey: Occupational wages in the United States, July 2010</w:t>
      </w:r>
      <w:r w:rsidRPr="00996B9F">
        <w:t xml:space="preserve">. </w:t>
      </w:r>
      <w:proofErr w:type="gramStart"/>
      <w:r w:rsidRPr="00996B9F">
        <w:t>U.S. Department of Labor, Bureau of Labor Statistics.</w:t>
      </w:r>
      <w:proofErr w:type="gramEnd"/>
      <w:r w:rsidRPr="00996B9F">
        <w:t xml:space="preserve"> </w:t>
      </w:r>
      <w:proofErr w:type="gramStart"/>
      <w:r w:rsidRPr="005C779B">
        <w:t xml:space="preserve">Available at </w:t>
      </w:r>
      <w:hyperlink r:id="rId10" w:history="1">
        <w:r w:rsidR="007F3932" w:rsidRPr="00055EB2">
          <w:rPr>
            <w:rStyle w:val="Hyperlink"/>
          </w:rPr>
          <w:t>http://www.bls.gov/ncs/ncswage2010.pdf</w:t>
        </w:r>
      </w:hyperlink>
      <w:r w:rsidRPr="005C779B">
        <w:t>.</w:t>
      </w:r>
      <w:proofErr w:type="gramEnd"/>
      <w:r w:rsidRPr="005C779B">
        <w:t xml:space="preserve"> </w:t>
      </w:r>
      <w:proofErr w:type="gramStart"/>
      <w:r w:rsidRPr="005C779B">
        <w:t>Based on average wages.</w:t>
      </w:r>
      <w:proofErr w:type="gramEnd"/>
    </w:p>
    <w:p w14:paraId="5307284D" w14:textId="77777777" w:rsidR="00D43F13" w:rsidRPr="00840C40" w:rsidRDefault="00D43F13" w:rsidP="00E67EB8">
      <w:pPr>
        <w:rPr>
          <w:color w:val="000000"/>
        </w:rPr>
      </w:pPr>
    </w:p>
    <w:sectPr w:rsidR="00D43F13" w:rsidRPr="00840C40" w:rsidSect="00E67EB8">
      <w:footerReference w:type="default" r:id="rId11"/>
      <w:footerReference w:type="first" r:id="rId12"/>
      <w:pgSz w:w="12240" w:h="15840" w:code="1"/>
      <w:pgMar w:top="1440" w:right="1440" w:bottom="1440" w:left="1440" w:header="720" w:footer="720" w:gutter="0"/>
      <w:pgNumType w:start="1"/>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F72E832" w15:done="0"/>
  <w15:commentEx w15:paraId="2B95275C" w15:done="0"/>
  <w15:commentEx w15:paraId="3361E400"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6975A2" w14:textId="77777777" w:rsidR="002257D6" w:rsidRDefault="002257D6">
      <w:r>
        <w:separator/>
      </w:r>
    </w:p>
  </w:endnote>
  <w:endnote w:type="continuationSeparator" w:id="0">
    <w:p w14:paraId="6D0BC01C" w14:textId="77777777" w:rsidR="002257D6" w:rsidRDefault="00225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978A36" w14:textId="77777777" w:rsidR="007F3932" w:rsidRPr="00906F6F" w:rsidRDefault="007F3932" w:rsidP="00924407">
    <w:pPr>
      <w:pStyle w:val="Footer"/>
      <w:jc w:val="center"/>
    </w:pPr>
    <w:r>
      <w:rPr>
        <w:rStyle w:val="PageNumber"/>
      </w:rPr>
      <w:fldChar w:fldCharType="begin"/>
    </w:r>
    <w:r>
      <w:rPr>
        <w:rStyle w:val="PageNumber"/>
      </w:rPr>
      <w:instrText xml:space="preserve"> PAGE </w:instrText>
    </w:r>
    <w:r>
      <w:rPr>
        <w:rStyle w:val="PageNumber"/>
      </w:rPr>
      <w:fldChar w:fldCharType="separate"/>
    </w:r>
    <w:r w:rsidR="00A2003F">
      <w:rPr>
        <w:rStyle w:val="PageNumber"/>
        <w:noProof/>
      </w:rPr>
      <w:t>2</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6B7505" w14:textId="77777777" w:rsidR="007F3932" w:rsidRDefault="007F3932" w:rsidP="00906F6F">
    <w:pPr>
      <w:pStyle w:val="Footer"/>
      <w:jc w:val="center"/>
    </w:pPr>
    <w:r>
      <w:rPr>
        <w:rStyle w:val="PageNumber"/>
      </w:rPr>
      <w:fldChar w:fldCharType="begin"/>
    </w:r>
    <w:r>
      <w:rPr>
        <w:rStyle w:val="PageNumber"/>
      </w:rPr>
      <w:instrText xml:space="preserve"> PAGE </w:instrText>
    </w:r>
    <w:r>
      <w:rPr>
        <w:rStyle w:val="PageNumber"/>
      </w:rPr>
      <w:fldChar w:fldCharType="separate"/>
    </w:r>
    <w:r w:rsidR="00A2003F">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389103" w14:textId="77777777" w:rsidR="002257D6" w:rsidRDefault="002257D6">
      <w:r>
        <w:separator/>
      </w:r>
    </w:p>
  </w:footnote>
  <w:footnote w:type="continuationSeparator" w:id="0">
    <w:p w14:paraId="42FF74F1" w14:textId="77777777" w:rsidR="002257D6" w:rsidRDefault="002257D6">
      <w:r>
        <w:continuationSeparator/>
      </w:r>
    </w:p>
  </w:footnote>
  <w:footnote w:id="1">
    <w:p w14:paraId="006558E8" w14:textId="77777777" w:rsidR="007F3932" w:rsidRDefault="007F3932">
      <w:pPr>
        <w:pStyle w:val="FootnoteText"/>
      </w:pPr>
      <w:r>
        <w:rPr>
          <w:rStyle w:val="FootnoteReference"/>
        </w:rPr>
        <w:footnoteRef/>
      </w:r>
      <w:r>
        <w:t xml:space="preserve"> Ideally f</w:t>
      </w:r>
      <w:r w:rsidRPr="00CF0539">
        <w:t>acility size can be defined according to the number of patients a facility served from the POS file.</w:t>
      </w:r>
      <w:r>
        <w:t xml:space="preserve"> </w:t>
      </w:r>
      <w:r w:rsidRPr="00CF0539">
        <w:t>Facilities will be sorted by patient volume</w:t>
      </w:r>
      <w:r>
        <w:t>;</w:t>
      </w:r>
      <w:r w:rsidRPr="00CF0539">
        <w:t xml:space="preserve"> the top 1/3 of facilities will be classified as ‘Large’, the middle 1/3 of facilities as ‘Medium’, and the bottom 1/3 of facilities as ‘Small’</w:t>
      </w:r>
      <w:r>
        <w:t>. However, if the information of the number of patients a facility served is unavailable, we could use other measures as a surrogate, such as the number of Medicare claims, number of operating rooms, etc.</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7221026"/>
    <w:lvl w:ilvl="0">
      <w:start w:val="1"/>
      <w:numFmt w:val="decimal"/>
      <w:lvlText w:val="%1."/>
      <w:lvlJc w:val="left"/>
      <w:pPr>
        <w:tabs>
          <w:tab w:val="num" w:pos="720"/>
        </w:tabs>
        <w:ind w:left="720" w:hanging="360"/>
      </w:pPr>
    </w:lvl>
  </w:abstractNum>
  <w:abstractNum w:abstractNumId="1">
    <w:nsid w:val="FFFFFF83"/>
    <w:multiLevelType w:val="singleLevel"/>
    <w:tmpl w:val="E09EC488"/>
    <w:lvl w:ilvl="0">
      <w:start w:val="1"/>
      <w:numFmt w:val="bullet"/>
      <w:lvlText w:val=""/>
      <w:lvlJc w:val="left"/>
      <w:pPr>
        <w:tabs>
          <w:tab w:val="num" w:pos="720"/>
        </w:tabs>
        <w:ind w:left="720" w:hanging="360"/>
      </w:pPr>
      <w:rPr>
        <w:rFonts w:ascii="Symbol" w:hAnsi="Symbol" w:hint="default"/>
      </w:rPr>
    </w:lvl>
  </w:abstractNum>
  <w:abstractNum w:abstractNumId="2">
    <w:nsid w:val="FFFFFF89"/>
    <w:multiLevelType w:val="singleLevel"/>
    <w:tmpl w:val="52D8A452"/>
    <w:lvl w:ilvl="0">
      <w:start w:val="1"/>
      <w:numFmt w:val="bullet"/>
      <w:lvlText w:val="•"/>
      <w:lvlJc w:val="left"/>
      <w:pPr>
        <w:ind w:left="1080" w:hanging="360"/>
      </w:pPr>
      <w:rPr>
        <w:rFonts w:ascii="Arial" w:hAnsi="Arial" w:hint="default"/>
        <w:sz w:val="28"/>
        <w:szCs w:val="28"/>
      </w:rPr>
    </w:lvl>
  </w:abstractNum>
  <w:abstractNum w:abstractNumId="3">
    <w:nsid w:val="04FB3968"/>
    <w:multiLevelType w:val="hybridMultilevel"/>
    <w:tmpl w:val="27FC66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05D90A80"/>
    <w:multiLevelType w:val="hybridMultilevel"/>
    <w:tmpl w:val="8F42423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740288B"/>
    <w:multiLevelType w:val="hybridMultilevel"/>
    <w:tmpl w:val="B4967C6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189C44D4"/>
    <w:multiLevelType w:val="hybridMultilevel"/>
    <w:tmpl w:val="6706BC2E"/>
    <w:lvl w:ilvl="0" w:tplc="FFFFFFFF">
      <w:start w:val="1"/>
      <w:numFmt w:val="bullet"/>
      <w:lvlText w:val="o"/>
      <w:lvlJc w:val="left"/>
      <w:pPr>
        <w:tabs>
          <w:tab w:val="num" w:pos="720"/>
        </w:tabs>
        <w:ind w:left="720" w:hanging="360"/>
      </w:pPr>
      <w:rPr>
        <w:rFonts w:ascii="Courier New" w:hAnsi="Courier New"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7">
    <w:nsid w:val="249114A1"/>
    <w:multiLevelType w:val="hybridMultilevel"/>
    <w:tmpl w:val="40AC654C"/>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8">
    <w:nsid w:val="25B24F7B"/>
    <w:multiLevelType w:val="hybridMultilevel"/>
    <w:tmpl w:val="ADFC1BF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2A5D6AC0"/>
    <w:multiLevelType w:val="hybridMultilevel"/>
    <w:tmpl w:val="4706FC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355F47E2"/>
    <w:multiLevelType w:val="hybridMultilevel"/>
    <w:tmpl w:val="D278FE42"/>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5B6215B0"/>
    <w:multiLevelType w:val="hybridMultilevel"/>
    <w:tmpl w:val="DCA65C38"/>
    <w:lvl w:ilvl="0" w:tplc="37541222">
      <w:numFmt w:val="bullet"/>
      <w:pStyle w:val="ListBullet2"/>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0F43E68"/>
    <w:multiLevelType w:val="hybridMultilevel"/>
    <w:tmpl w:val="E2AA3702"/>
    <w:lvl w:ilvl="0" w:tplc="FFFFFFFF">
      <w:start w:val="1"/>
      <w:numFmt w:val="bullet"/>
      <w:pStyle w:val="BalloonText"/>
      <w:lvlText w:val=""/>
      <w:lvlJc w:val="left"/>
      <w:pPr>
        <w:tabs>
          <w:tab w:val="num" w:pos="720"/>
        </w:tabs>
        <w:ind w:left="720" w:hanging="360"/>
      </w:pPr>
      <w:rPr>
        <w:rFonts w:ascii="Wingdings" w:hAnsi="Wingdings" w:hint="default"/>
        <w:sz w:val="16"/>
        <w:szCs w:val="16"/>
      </w:rPr>
    </w:lvl>
    <w:lvl w:ilvl="1" w:tplc="FFFFFFFF">
      <w:start w:val="1"/>
      <w:numFmt w:val="bullet"/>
      <w:lvlText w:val="o"/>
      <w:lvlJc w:val="left"/>
      <w:pPr>
        <w:tabs>
          <w:tab w:val="num" w:pos="1440"/>
        </w:tabs>
        <w:ind w:left="1440" w:hanging="360"/>
      </w:pPr>
      <w:rPr>
        <w:rFonts w:ascii="Courier New" w:hAnsi="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start w:val="1"/>
      <w:numFmt w:val="bullet"/>
      <w:lvlText w:val="o"/>
      <w:lvlJc w:val="left"/>
      <w:pPr>
        <w:tabs>
          <w:tab w:val="num" w:pos="3600"/>
        </w:tabs>
        <w:ind w:left="3600" w:hanging="360"/>
      </w:pPr>
      <w:rPr>
        <w:rFonts w:ascii="Courier New" w:hAnsi="Courier New" w:hint="default"/>
      </w:rPr>
    </w:lvl>
    <w:lvl w:ilvl="5" w:tplc="FFFFFFFF">
      <w:start w:val="1"/>
      <w:numFmt w:val="bullet"/>
      <w:lvlText w:val=""/>
      <w:lvlJc w:val="left"/>
      <w:pPr>
        <w:tabs>
          <w:tab w:val="num" w:pos="4320"/>
        </w:tabs>
        <w:ind w:left="4320" w:hanging="360"/>
      </w:pPr>
      <w:rPr>
        <w:rFonts w:ascii="Wingdings" w:hAnsi="Wingdings" w:hint="default"/>
      </w:rPr>
    </w:lvl>
    <w:lvl w:ilvl="6" w:tplc="FFFFFFFF">
      <w:start w:val="1"/>
      <w:numFmt w:val="bullet"/>
      <w:lvlText w:val=""/>
      <w:lvlJc w:val="left"/>
      <w:pPr>
        <w:tabs>
          <w:tab w:val="num" w:pos="5040"/>
        </w:tabs>
        <w:ind w:left="5040" w:hanging="360"/>
      </w:pPr>
      <w:rPr>
        <w:rFonts w:ascii="Symbol" w:hAnsi="Symbol" w:hint="default"/>
      </w:rPr>
    </w:lvl>
    <w:lvl w:ilvl="7" w:tplc="FFFFFFFF">
      <w:start w:val="1"/>
      <w:numFmt w:val="bullet"/>
      <w:lvlText w:val="o"/>
      <w:lvlJc w:val="left"/>
      <w:pPr>
        <w:tabs>
          <w:tab w:val="num" w:pos="5760"/>
        </w:tabs>
        <w:ind w:left="5760" w:hanging="360"/>
      </w:pPr>
      <w:rPr>
        <w:rFonts w:ascii="Courier New" w:hAnsi="Courier New" w:hint="default"/>
      </w:rPr>
    </w:lvl>
    <w:lvl w:ilvl="8" w:tplc="FFFFFFFF">
      <w:start w:val="1"/>
      <w:numFmt w:val="bullet"/>
      <w:lvlText w:val=""/>
      <w:lvlJc w:val="left"/>
      <w:pPr>
        <w:tabs>
          <w:tab w:val="num" w:pos="6480"/>
        </w:tabs>
        <w:ind w:left="6480" w:hanging="360"/>
      </w:pPr>
      <w:rPr>
        <w:rFonts w:ascii="Wingdings" w:hAnsi="Wingdings" w:hint="default"/>
      </w:rPr>
    </w:lvl>
  </w:abstractNum>
  <w:abstractNum w:abstractNumId="13">
    <w:nsid w:val="632D7F93"/>
    <w:multiLevelType w:val="hybridMultilevel"/>
    <w:tmpl w:val="C6E83756"/>
    <w:lvl w:ilvl="0" w:tplc="8620E996">
      <w:start w:val="1"/>
      <w:numFmt w:val="bullet"/>
      <w:lvlText w:val="•"/>
      <w:lvlJc w:val="left"/>
      <w:pPr>
        <w:ind w:left="1440" w:hanging="360"/>
      </w:pPr>
      <w:rPr>
        <w:rFonts w:ascii="Arial" w:hAnsi="Arial" w:hint="default"/>
      </w:rPr>
    </w:lvl>
    <w:lvl w:ilvl="1" w:tplc="43268DA2">
      <w:start w:val="1"/>
      <w:numFmt w:val="bullet"/>
      <w:pStyle w:val="ListBullet"/>
      <w:lvlText w:val="•"/>
      <w:lvlJc w:val="left"/>
      <w:pPr>
        <w:ind w:left="1440" w:hanging="360"/>
      </w:pPr>
      <w:rPr>
        <w:rFonts w:ascii="Arial" w:hAnsi="Arial" w:hint="default"/>
        <w:sz w:val="24"/>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2"/>
  </w:num>
  <w:num w:numId="3">
    <w:abstractNumId w:val="2"/>
  </w:num>
  <w:num w:numId="4">
    <w:abstractNumId w:val="4"/>
  </w:num>
  <w:num w:numId="5">
    <w:abstractNumId w:val="8"/>
  </w:num>
  <w:num w:numId="6">
    <w:abstractNumId w:val="7"/>
  </w:num>
  <w:num w:numId="7">
    <w:abstractNumId w:val="10"/>
  </w:num>
  <w:num w:numId="8">
    <w:abstractNumId w:val="5"/>
  </w:num>
  <w:num w:numId="9">
    <w:abstractNumId w:val="9"/>
  </w:num>
  <w:num w:numId="10">
    <w:abstractNumId w:val="0"/>
  </w:num>
  <w:num w:numId="11">
    <w:abstractNumId w:val="3"/>
  </w:num>
  <w:num w:numId="12">
    <w:abstractNumId w:val="1"/>
  </w:num>
  <w:num w:numId="13">
    <w:abstractNumId w:val="11"/>
  </w:num>
  <w:num w:numId="14">
    <w:abstractNumId w:val="13"/>
  </w:num>
  <w:num w:numId="15">
    <w:abstractNumId w:val="13"/>
    <w:lvlOverride w:ilvl="0">
      <w:startOverride w:val="1"/>
    </w:lvlOverride>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ykan, Hakan">
    <w15:presenceInfo w15:providerId="AD" w15:userId="S-1-5-21-1454471165-117609710-725345543-4117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US" w:vendorID="64" w:dllVersion="131078" w:nlCheck="1" w:checkStyle="1"/>
  <w:activeWritingStyle w:appName="MSWord" w:lang="en-CA" w:vendorID="64" w:dllVersion="131078" w:nlCheck="1" w:checkStyle="1"/>
  <w:proofState w:spelling="clean" w:grammar="clean"/>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stylePaneSortMethod w:val="0000"/>
  <w:trackRevisions/>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6F63"/>
    <w:rsid w:val="000075DA"/>
    <w:rsid w:val="00010285"/>
    <w:rsid w:val="00016E5D"/>
    <w:rsid w:val="0001715E"/>
    <w:rsid w:val="00021B81"/>
    <w:rsid w:val="00036AF6"/>
    <w:rsid w:val="00050387"/>
    <w:rsid w:val="00053D33"/>
    <w:rsid w:val="00055BD4"/>
    <w:rsid w:val="00056850"/>
    <w:rsid w:val="0006128E"/>
    <w:rsid w:val="00066993"/>
    <w:rsid w:val="00067394"/>
    <w:rsid w:val="00072C63"/>
    <w:rsid w:val="00076442"/>
    <w:rsid w:val="00081C83"/>
    <w:rsid w:val="000850DC"/>
    <w:rsid w:val="00085361"/>
    <w:rsid w:val="00092E66"/>
    <w:rsid w:val="00095B10"/>
    <w:rsid w:val="000965F4"/>
    <w:rsid w:val="000A1BC4"/>
    <w:rsid w:val="000A3D71"/>
    <w:rsid w:val="000A609C"/>
    <w:rsid w:val="000B5B19"/>
    <w:rsid w:val="000C0BF4"/>
    <w:rsid w:val="000E395A"/>
    <w:rsid w:val="000E6546"/>
    <w:rsid w:val="000E72E9"/>
    <w:rsid w:val="000F3D28"/>
    <w:rsid w:val="00111392"/>
    <w:rsid w:val="00112C2B"/>
    <w:rsid w:val="0011387B"/>
    <w:rsid w:val="00113B2B"/>
    <w:rsid w:val="0011486A"/>
    <w:rsid w:val="00116AD5"/>
    <w:rsid w:val="00121092"/>
    <w:rsid w:val="001302E1"/>
    <w:rsid w:val="0013071E"/>
    <w:rsid w:val="00130D36"/>
    <w:rsid w:val="00151395"/>
    <w:rsid w:val="0015226D"/>
    <w:rsid w:val="00152DFC"/>
    <w:rsid w:val="00155573"/>
    <w:rsid w:val="0015638F"/>
    <w:rsid w:val="0016082A"/>
    <w:rsid w:val="00162E9D"/>
    <w:rsid w:val="00170600"/>
    <w:rsid w:val="0017124A"/>
    <w:rsid w:val="00171303"/>
    <w:rsid w:val="0017541C"/>
    <w:rsid w:val="00175EE3"/>
    <w:rsid w:val="00177F8A"/>
    <w:rsid w:val="00180162"/>
    <w:rsid w:val="00182ED7"/>
    <w:rsid w:val="001832DE"/>
    <w:rsid w:val="0018563E"/>
    <w:rsid w:val="00187757"/>
    <w:rsid w:val="00194A21"/>
    <w:rsid w:val="00196926"/>
    <w:rsid w:val="001973CE"/>
    <w:rsid w:val="001A1A89"/>
    <w:rsid w:val="001B1A9C"/>
    <w:rsid w:val="001B2F93"/>
    <w:rsid w:val="001B4E83"/>
    <w:rsid w:val="001B6122"/>
    <w:rsid w:val="001B78C1"/>
    <w:rsid w:val="001C4E6E"/>
    <w:rsid w:val="001D33C9"/>
    <w:rsid w:val="001D3F98"/>
    <w:rsid w:val="001D5EC8"/>
    <w:rsid w:val="001D6B3C"/>
    <w:rsid w:val="001E2C0E"/>
    <w:rsid w:val="001E39C7"/>
    <w:rsid w:val="001E63EF"/>
    <w:rsid w:val="001E736B"/>
    <w:rsid w:val="002037BC"/>
    <w:rsid w:val="00207E8F"/>
    <w:rsid w:val="00213567"/>
    <w:rsid w:val="002179E0"/>
    <w:rsid w:val="00221D72"/>
    <w:rsid w:val="00223327"/>
    <w:rsid w:val="00223CDD"/>
    <w:rsid w:val="002257D6"/>
    <w:rsid w:val="00236BC0"/>
    <w:rsid w:val="00237321"/>
    <w:rsid w:val="00242D2C"/>
    <w:rsid w:val="002433F6"/>
    <w:rsid w:val="00246CCD"/>
    <w:rsid w:val="0025209F"/>
    <w:rsid w:val="00265528"/>
    <w:rsid w:val="002677ED"/>
    <w:rsid w:val="00274C42"/>
    <w:rsid w:val="002772A2"/>
    <w:rsid w:val="00287E53"/>
    <w:rsid w:val="0029307A"/>
    <w:rsid w:val="00293983"/>
    <w:rsid w:val="00295DF5"/>
    <w:rsid w:val="002A1235"/>
    <w:rsid w:val="002A38E7"/>
    <w:rsid w:val="002B129C"/>
    <w:rsid w:val="002C3412"/>
    <w:rsid w:val="002C60A4"/>
    <w:rsid w:val="002C78C3"/>
    <w:rsid w:val="002E2621"/>
    <w:rsid w:val="002E2B1C"/>
    <w:rsid w:val="002E39B8"/>
    <w:rsid w:val="002E7D9E"/>
    <w:rsid w:val="002F13DB"/>
    <w:rsid w:val="002F3B3B"/>
    <w:rsid w:val="002F48EC"/>
    <w:rsid w:val="002F6523"/>
    <w:rsid w:val="0030145B"/>
    <w:rsid w:val="00302FC2"/>
    <w:rsid w:val="00305805"/>
    <w:rsid w:val="00306F29"/>
    <w:rsid w:val="00311644"/>
    <w:rsid w:val="00313E37"/>
    <w:rsid w:val="003224E4"/>
    <w:rsid w:val="003270D3"/>
    <w:rsid w:val="00327FF0"/>
    <w:rsid w:val="00331E3B"/>
    <w:rsid w:val="00334B7A"/>
    <w:rsid w:val="00336B86"/>
    <w:rsid w:val="003378A5"/>
    <w:rsid w:val="003430D9"/>
    <w:rsid w:val="00343192"/>
    <w:rsid w:val="00344AB4"/>
    <w:rsid w:val="00347889"/>
    <w:rsid w:val="00347EBC"/>
    <w:rsid w:val="003506F4"/>
    <w:rsid w:val="00353D07"/>
    <w:rsid w:val="003540A9"/>
    <w:rsid w:val="00354255"/>
    <w:rsid w:val="00354793"/>
    <w:rsid w:val="00357746"/>
    <w:rsid w:val="00357AF0"/>
    <w:rsid w:val="0036448C"/>
    <w:rsid w:val="0037320E"/>
    <w:rsid w:val="00384893"/>
    <w:rsid w:val="0039292C"/>
    <w:rsid w:val="003B1818"/>
    <w:rsid w:val="003B4C9B"/>
    <w:rsid w:val="003B65D7"/>
    <w:rsid w:val="003B7741"/>
    <w:rsid w:val="003C0944"/>
    <w:rsid w:val="003C6443"/>
    <w:rsid w:val="003D5F0F"/>
    <w:rsid w:val="003D6EC3"/>
    <w:rsid w:val="003E0A59"/>
    <w:rsid w:val="003E1795"/>
    <w:rsid w:val="003E5576"/>
    <w:rsid w:val="003E75D8"/>
    <w:rsid w:val="003F02AD"/>
    <w:rsid w:val="00400488"/>
    <w:rsid w:val="00402BAD"/>
    <w:rsid w:val="004059D1"/>
    <w:rsid w:val="004125CD"/>
    <w:rsid w:val="0041691A"/>
    <w:rsid w:val="00420FC2"/>
    <w:rsid w:val="00423334"/>
    <w:rsid w:val="00427554"/>
    <w:rsid w:val="00430B82"/>
    <w:rsid w:val="004316FE"/>
    <w:rsid w:val="004320C7"/>
    <w:rsid w:val="00434BC5"/>
    <w:rsid w:val="00434DFE"/>
    <w:rsid w:val="00450484"/>
    <w:rsid w:val="00451757"/>
    <w:rsid w:val="00453377"/>
    <w:rsid w:val="0045406A"/>
    <w:rsid w:val="00463AEE"/>
    <w:rsid w:val="00463DD1"/>
    <w:rsid w:val="00464FAD"/>
    <w:rsid w:val="00466CA9"/>
    <w:rsid w:val="0047271D"/>
    <w:rsid w:val="0047358D"/>
    <w:rsid w:val="00475CDB"/>
    <w:rsid w:val="00475E78"/>
    <w:rsid w:val="0047674A"/>
    <w:rsid w:val="004920B6"/>
    <w:rsid w:val="00492F67"/>
    <w:rsid w:val="00494EE2"/>
    <w:rsid w:val="00495ADF"/>
    <w:rsid w:val="004A2778"/>
    <w:rsid w:val="004A6E26"/>
    <w:rsid w:val="004B3E35"/>
    <w:rsid w:val="004C0743"/>
    <w:rsid w:val="004C0E0E"/>
    <w:rsid w:val="004C1B97"/>
    <w:rsid w:val="004C439D"/>
    <w:rsid w:val="004C5351"/>
    <w:rsid w:val="004C56A3"/>
    <w:rsid w:val="004D0161"/>
    <w:rsid w:val="004D3C37"/>
    <w:rsid w:val="004E0A8F"/>
    <w:rsid w:val="004E0E8D"/>
    <w:rsid w:val="004E330F"/>
    <w:rsid w:val="004E666A"/>
    <w:rsid w:val="004F167F"/>
    <w:rsid w:val="0050115D"/>
    <w:rsid w:val="005023C9"/>
    <w:rsid w:val="00504DCF"/>
    <w:rsid w:val="0051083D"/>
    <w:rsid w:val="00511375"/>
    <w:rsid w:val="00512F04"/>
    <w:rsid w:val="00513E02"/>
    <w:rsid w:val="0051577F"/>
    <w:rsid w:val="00516D68"/>
    <w:rsid w:val="00517264"/>
    <w:rsid w:val="005217EF"/>
    <w:rsid w:val="00531587"/>
    <w:rsid w:val="00533600"/>
    <w:rsid w:val="00534DAB"/>
    <w:rsid w:val="00535CC0"/>
    <w:rsid w:val="005375D0"/>
    <w:rsid w:val="00541CA2"/>
    <w:rsid w:val="00544A82"/>
    <w:rsid w:val="005453DD"/>
    <w:rsid w:val="00546209"/>
    <w:rsid w:val="00551F4D"/>
    <w:rsid w:val="00557329"/>
    <w:rsid w:val="0055752E"/>
    <w:rsid w:val="0056473B"/>
    <w:rsid w:val="005749DD"/>
    <w:rsid w:val="0057707D"/>
    <w:rsid w:val="00582D6A"/>
    <w:rsid w:val="0058360B"/>
    <w:rsid w:val="005909A3"/>
    <w:rsid w:val="00590C43"/>
    <w:rsid w:val="00596837"/>
    <w:rsid w:val="005A7F97"/>
    <w:rsid w:val="005B21C5"/>
    <w:rsid w:val="005B4154"/>
    <w:rsid w:val="005C255F"/>
    <w:rsid w:val="005C779B"/>
    <w:rsid w:val="005D6658"/>
    <w:rsid w:val="005E1462"/>
    <w:rsid w:val="005E217C"/>
    <w:rsid w:val="005E62F2"/>
    <w:rsid w:val="005E6AC0"/>
    <w:rsid w:val="005F3E92"/>
    <w:rsid w:val="0060253A"/>
    <w:rsid w:val="006040A6"/>
    <w:rsid w:val="006048A8"/>
    <w:rsid w:val="00605B8B"/>
    <w:rsid w:val="00613A18"/>
    <w:rsid w:val="00615218"/>
    <w:rsid w:val="00622A6F"/>
    <w:rsid w:val="00623870"/>
    <w:rsid w:val="006269EB"/>
    <w:rsid w:val="00626DBA"/>
    <w:rsid w:val="00632AAE"/>
    <w:rsid w:val="00635CB0"/>
    <w:rsid w:val="00642DDD"/>
    <w:rsid w:val="00657935"/>
    <w:rsid w:val="0065799B"/>
    <w:rsid w:val="00662BD9"/>
    <w:rsid w:val="00663D09"/>
    <w:rsid w:val="006657E2"/>
    <w:rsid w:val="006713F3"/>
    <w:rsid w:val="006763FF"/>
    <w:rsid w:val="00682B5E"/>
    <w:rsid w:val="00692221"/>
    <w:rsid w:val="006A10BF"/>
    <w:rsid w:val="006A2387"/>
    <w:rsid w:val="006A604F"/>
    <w:rsid w:val="006B0932"/>
    <w:rsid w:val="006B14CF"/>
    <w:rsid w:val="006B3CB0"/>
    <w:rsid w:val="006B4955"/>
    <w:rsid w:val="006D3678"/>
    <w:rsid w:val="006D4600"/>
    <w:rsid w:val="006E2440"/>
    <w:rsid w:val="006E5049"/>
    <w:rsid w:val="006E5348"/>
    <w:rsid w:val="006F3764"/>
    <w:rsid w:val="006F4033"/>
    <w:rsid w:val="006F773B"/>
    <w:rsid w:val="00706653"/>
    <w:rsid w:val="00707527"/>
    <w:rsid w:val="00707F96"/>
    <w:rsid w:val="00712259"/>
    <w:rsid w:val="0071443E"/>
    <w:rsid w:val="00717571"/>
    <w:rsid w:val="0072081D"/>
    <w:rsid w:val="00720E5F"/>
    <w:rsid w:val="00721230"/>
    <w:rsid w:val="00722078"/>
    <w:rsid w:val="00726255"/>
    <w:rsid w:val="00736695"/>
    <w:rsid w:val="00737857"/>
    <w:rsid w:val="00747F72"/>
    <w:rsid w:val="0075331E"/>
    <w:rsid w:val="00755297"/>
    <w:rsid w:val="0076448A"/>
    <w:rsid w:val="00764529"/>
    <w:rsid w:val="00773689"/>
    <w:rsid w:val="00775802"/>
    <w:rsid w:val="00782650"/>
    <w:rsid w:val="007838EC"/>
    <w:rsid w:val="00786C85"/>
    <w:rsid w:val="00787D03"/>
    <w:rsid w:val="00794276"/>
    <w:rsid w:val="007B18BA"/>
    <w:rsid w:val="007B5258"/>
    <w:rsid w:val="007C3C05"/>
    <w:rsid w:val="007C47F1"/>
    <w:rsid w:val="007C4A4E"/>
    <w:rsid w:val="007C5DCF"/>
    <w:rsid w:val="007C7074"/>
    <w:rsid w:val="007D3125"/>
    <w:rsid w:val="007D4F3F"/>
    <w:rsid w:val="007E0DE9"/>
    <w:rsid w:val="007E15BB"/>
    <w:rsid w:val="007E16F1"/>
    <w:rsid w:val="007E4A5C"/>
    <w:rsid w:val="007E6753"/>
    <w:rsid w:val="007F293F"/>
    <w:rsid w:val="007F3932"/>
    <w:rsid w:val="007F50C9"/>
    <w:rsid w:val="007F576C"/>
    <w:rsid w:val="007F6FEE"/>
    <w:rsid w:val="007F7D99"/>
    <w:rsid w:val="0080315A"/>
    <w:rsid w:val="00804E98"/>
    <w:rsid w:val="00807E0E"/>
    <w:rsid w:val="00810192"/>
    <w:rsid w:val="0081656F"/>
    <w:rsid w:val="008241F7"/>
    <w:rsid w:val="00825629"/>
    <w:rsid w:val="00832BA3"/>
    <w:rsid w:val="008357CC"/>
    <w:rsid w:val="00836DDA"/>
    <w:rsid w:val="00840C40"/>
    <w:rsid w:val="008423C2"/>
    <w:rsid w:val="00847929"/>
    <w:rsid w:val="00856CF5"/>
    <w:rsid w:val="0085797F"/>
    <w:rsid w:val="0086043F"/>
    <w:rsid w:val="0086115F"/>
    <w:rsid w:val="00861DFF"/>
    <w:rsid w:val="008663B0"/>
    <w:rsid w:val="00870307"/>
    <w:rsid w:val="00870BA3"/>
    <w:rsid w:val="0087417D"/>
    <w:rsid w:val="008807B7"/>
    <w:rsid w:val="008808FA"/>
    <w:rsid w:val="008815DF"/>
    <w:rsid w:val="00883152"/>
    <w:rsid w:val="008840B0"/>
    <w:rsid w:val="008A0231"/>
    <w:rsid w:val="008A0A0F"/>
    <w:rsid w:val="008A3CF6"/>
    <w:rsid w:val="008A4C91"/>
    <w:rsid w:val="008B3BC8"/>
    <w:rsid w:val="008B61A1"/>
    <w:rsid w:val="008B79CD"/>
    <w:rsid w:val="008C3FC1"/>
    <w:rsid w:val="008D0635"/>
    <w:rsid w:val="008D1165"/>
    <w:rsid w:val="008D43BE"/>
    <w:rsid w:val="008D491B"/>
    <w:rsid w:val="008E0EF2"/>
    <w:rsid w:val="008E7D6E"/>
    <w:rsid w:val="008F5037"/>
    <w:rsid w:val="008F55FE"/>
    <w:rsid w:val="00900586"/>
    <w:rsid w:val="00906623"/>
    <w:rsid w:val="00906F6F"/>
    <w:rsid w:val="009164CC"/>
    <w:rsid w:val="0091719D"/>
    <w:rsid w:val="0092164B"/>
    <w:rsid w:val="00921D0B"/>
    <w:rsid w:val="00924407"/>
    <w:rsid w:val="00926D45"/>
    <w:rsid w:val="00932612"/>
    <w:rsid w:val="00932B36"/>
    <w:rsid w:val="0093672E"/>
    <w:rsid w:val="00937302"/>
    <w:rsid w:val="00944BB4"/>
    <w:rsid w:val="00946D72"/>
    <w:rsid w:val="00947647"/>
    <w:rsid w:val="00947A84"/>
    <w:rsid w:val="00951190"/>
    <w:rsid w:val="009752B7"/>
    <w:rsid w:val="00975B68"/>
    <w:rsid w:val="00981374"/>
    <w:rsid w:val="009875AE"/>
    <w:rsid w:val="00994EF7"/>
    <w:rsid w:val="00996B9F"/>
    <w:rsid w:val="00997B58"/>
    <w:rsid w:val="009A230F"/>
    <w:rsid w:val="009A41A4"/>
    <w:rsid w:val="009A5D09"/>
    <w:rsid w:val="009A703B"/>
    <w:rsid w:val="009A7DB5"/>
    <w:rsid w:val="009B01A6"/>
    <w:rsid w:val="009B66BB"/>
    <w:rsid w:val="009C0B93"/>
    <w:rsid w:val="009C6EA2"/>
    <w:rsid w:val="009C7462"/>
    <w:rsid w:val="009D0B42"/>
    <w:rsid w:val="009D0E6A"/>
    <w:rsid w:val="009D1D43"/>
    <w:rsid w:val="009E0FB3"/>
    <w:rsid w:val="009E2AC1"/>
    <w:rsid w:val="009E2D28"/>
    <w:rsid w:val="009E4DC5"/>
    <w:rsid w:val="009E5143"/>
    <w:rsid w:val="009E68FD"/>
    <w:rsid w:val="009F1792"/>
    <w:rsid w:val="009F278D"/>
    <w:rsid w:val="009F448A"/>
    <w:rsid w:val="009F56B4"/>
    <w:rsid w:val="009F6C56"/>
    <w:rsid w:val="00A00226"/>
    <w:rsid w:val="00A00CAE"/>
    <w:rsid w:val="00A01B53"/>
    <w:rsid w:val="00A05925"/>
    <w:rsid w:val="00A063F5"/>
    <w:rsid w:val="00A14087"/>
    <w:rsid w:val="00A15F7A"/>
    <w:rsid w:val="00A2003F"/>
    <w:rsid w:val="00A234D4"/>
    <w:rsid w:val="00A24170"/>
    <w:rsid w:val="00A32B08"/>
    <w:rsid w:val="00A40208"/>
    <w:rsid w:val="00A45B43"/>
    <w:rsid w:val="00A531F7"/>
    <w:rsid w:val="00A53954"/>
    <w:rsid w:val="00A61241"/>
    <w:rsid w:val="00A635FB"/>
    <w:rsid w:val="00A65419"/>
    <w:rsid w:val="00A65661"/>
    <w:rsid w:val="00A67B7E"/>
    <w:rsid w:val="00A70DDB"/>
    <w:rsid w:val="00A82BC7"/>
    <w:rsid w:val="00A861AA"/>
    <w:rsid w:val="00A86AB6"/>
    <w:rsid w:val="00A86F63"/>
    <w:rsid w:val="00A935D1"/>
    <w:rsid w:val="00A95E62"/>
    <w:rsid w:val="00AA295A"/>
    <w:rsid w:val="00AA4F53"/>
    <w:rsid w:val="00AA573E"/>
    <w:rsid w:val="00AB26EE"/>
    <w:rsid w:val="00AB4B57"/>
    <w:rsid w:val="00AB6D73"/>
    <w:rsid w:val="00AC6ACE"/>
    <w:rsid w:val="00AD242E"/>
    <w:rsid w:val="00AD7D6A"/>
    <w:rsid w:val="00AE234E"/>
    <w:rsid w:val="00AE5483"/>
    <w:rsid w:val="00AE6202"/>
    <w:rsid w:val="00AF1324"/>
    <w:rsid w:val="00AF376C"/>
    <w:rsid w:val="00B053B3"/>
    <w:rsid w:val="00B14DA8"/>
    <w:rsid w:val="00B1587B"/>
    <w:rsid w:val="00B16BDC"/>
    <w:rsid w:val="00B20569"/>
    <w:rsid w:val="00B231F5"/>
    <w:rsid w:val="00B234E3"/>
    <w:rsid w:val="00B26EC9"/>
    <w:rsid w:val="00B27BAD"/>
    <w:rsid w:val="00B27C3E"/>
    <w:rsid w:val="00B37A70"/>
    <w:rsid w:val="00B432D0"/>
    <w:rsid w:val="00B4410E"/>
    <w:rsid w:val="00B449E8"/>
    <w:rsid w:val="00B53E72"/>
    <w:rsid w:val="00B55929"/>
    <w:rsid w:val="00B67623"/>
    <w:rsid w:val="00B67F01"/>
    <w:rsid w:val="00B76002"/>
    <w:rsid w:val="00B766FC"/>
    <w:rsid w:val="00B77A91"/>
    <w:rsid w:val="00B80442"/>
    <w:rsid w:val="00B82351"/>
    <w:rsid w:val="00B854D4"/>
    <w:rsid w:val="00BA001B"/>
    <w:rsid w:val="00BA093F"/>
    <w:rsid w:val="00BA52EC"/>
    <w:rsid w:val="00BB0735"/>
    <w:rsid w:val="00BB51DF"/>
    <w:rsid w:val="00BB7CFA"/>
    <w:rsid w:val="00BC27F0"/>
    <w:rsid w:val="00BC378F"/>
    <w:rsid w:val="00BD60B3"/>
    <w:rsid w:val="00BE2D02"/>
    <w:rsid w:val="00BE4187"/>
    <w:rsid w:val="00BE4639"/>
    <w:rsid w:val="00BE4E1A"/>
    <w:rsid w:val="00BF5F2A"/>
    <w:rsid w:val="00C056FE"/>
    <w:rsid w:val="00C149ED"/>
    <w:rsid w:val="00C156AA"/>
    <w:rsid w:val="00C162E9"/>
    <w:rsid w:val="00C207AD"/>
    <w:rsid w:val="00C2237C"/>
    <w:rsid w:val="00C32C39"/>
    <w:rsid w:val="00C40D2F"/>
    <w:rsid w:val="00C54030"/>
    <w:rsid w:val="00C56316"/>
    <w:rsid w:val="00C57DB3"/>
    <w:rsid w:val="00C57DF3"/>
    <w:rsid w:val="00C606F0"/>
    <w:rsid w:val="00C62587"/>
    <w:rsid w:val="00C62900"/>
    <w:rsid w:val="00C65FD6"/>
    <w:rsid w:val="00C74528"/>
    <w:rsid w:val="00C74CC1"/>
    <w:rsid w:val="00C764DD"/>
    <w:rsid w:val="00C76A89"/>
    <w:rsid w:val="00C77C1D"/>
    <w:rsid w:val="00C81A36"/>
    <w:rsid w:val="00C844D6"/>
    <w:rsid w:val="00C93F07"/>
    <w:rsid w:val="00C9684B"/>
    <w:rsid w:val="00CA1153"/>
    <w:rsid w:val="00CA4F62"/>
    <w:rsid w:val="00CA6A7F"/>
    <w:rsid w:val="00CB0350"/>
    <w:rsid w:val="00CB1368"/>
    <w:rsid w:val="00CB6FA9"/>
    <w:rsid w:val="00CC2139"/>
    <w:rsid w:val="00CC41A6"/>
    <w:rsid w:val="00CD0CA0"/>
    <w:rsid w:val="00CD2771"/>
    <w:rsid w:val="00CD3575"/>
    <w:rsid w:val="00CD5B39"/>
    <w:rsid w:val="00CD6A6D"/>
    <w:rsid w:val="00CE363E"/>
    <w:rsid w:val="00CF0539"/>
    <w:rsid w:val="00CF22F5"/>
    <w:rsid w:val="00D03C09"/>
    <w:rsid w:val="00D343D6"/>
    <w:rsid w:val="00D34D18"/>
    <w:rsid w:val="00D358C3"/>
    <w:rsid w:val="00D41176"/>
    <w:rsid w:val="00D428B5"/>
    <w:rsid w:val="00D4379D"/>
    <w:rsid w:val="00D43926"/>
    <w:rsid w:val="00D43F13"/>
    <w:rsid w:val="00D4534A"/>
    <w:rsid w:val="00D46A91"/>
    <w:rsid w:val="00D46D1A"/>
    <w:rsid w:val="00D47208"/>
    <w:rsid w:val="00D557BC"/>
    <w:rsid w:val="00D62E1F"/>
    <w:rsid w:val="00D6798C"/>
    <w:rsid w:val="00D70C31"/>
    <w:rsid w:val="00D70D55"/>
    <w:rsid w:val="00D7688C"/>
    <w:rsid w:val="00D77179"/>
    <w:rsid w:val="00D80B7E"/>
    <w:rsid w:val="00D820DC"/>
    <w:rsid w:val="00D901E3"/>
    <w:rsid w:val="00D9233E"/>
    <w:rsid w:val="00D924E3"/>
    <w:rsid w:val="00D946CC"/>
    <w:rsid w:val="00D96218"/>
    <w:rsid w:val="00D966C1"/>
    <w:rsid w:val="00DA0C0D"/>
    <w:rsid w:val="00DA1601"/>
    <w:rsid w:val="00DA6D8A"/>
    <w:rsid w:val="00DB2448"/>
    <w:rsid w:val="00DB5E1A"/>
    <w:rsid w:val="00DB60A6"/>
    <w:rsid w:val="00DC0FDC"/>
    <w:rsid w:val="00DC2AA6"/>
    <w:rsid w:val="00DC304E"/>
    <w:rsid w:val="00DC69D5"/>
    <w:rsid w:val="00DD248A"/>
    <w:rsid w:val="00DD549C"/>
    <w:rsid w:val="00DE2328"/>
    <w:rsid w:val="00DE445B"/>
    <w:rsid w:val="00DE5245"/>
    <w:rsid w:val="00DF394C"/>
    <w:rsid w:val="00DF4417"/>
    <w:rsid w:val="00DF693C"/>
    <w:rsid w:val="00E07659"/>
    <w:rsid w:val="00E1239E"/>
    <w:rsid w:val="00E1300D"/>
    <w:rsid w:val="00E5341B"/>
    <w:rsid w:val="00E53F4A"/>
    <w:rsid w:val="00E62A23"/>
    <w:rsid w:val="00E64EBF"/>
    <w:rsid w:val="00E65D46"/>
    <w:rsid w:val="00E666E3"/>
    <w:rsid w:val="00E66F29"/>
    <w:rsid w:val="00E67EB8"/>
    <w:rsid w:val="00E717B2"/>
    <w:rsid w:val="00E719CF"/>
    <w:rsid w:val="00E75289"/>
    <w:rsid w:val="00E752FE"/>
    <w:rsid w:val="00E81C80"/>
    <w:rsid w:val="00E8217C"/>
    <w:rsid w:val="00E82257"/>
    <w:rsid w:val="00E87A1C"/>
    <w:rsid w:val="00E90293"/>
    <w:rsid w:val="00E93544"/>
    <w:rsid w:val="00E94514"/>
    <w:rsid w:val="00E96025"/>
    <w:rsid w:val="00E9687B"/>
    <w:rsid w:val="00E97BAB"/>
    <w:rsid w:val="00EA6BB6"/>
    <w:rsid w:val="00EB4CBA"/>
    <w:rsid w:val="00EB60DB"/>
    <w:rsid w:val="00EC13CD"/>
    <w:rsid w:val="00EC2E8F"/>
    <w:rsid w:val="00EC4C91"/>
    <w:rsid w:val="00ED0072"/>
    <w:rsid w:val="00ED16CD"/>
    <w:rsid w:val="00ED69DB"/>
    <w:rsid w:val="00EE3E63"/>
    <w:rsid w:val="00EE4056"/>
    <w:rsid w:val="00EE42E3"/>
    <w:rsid w:val="00EE6313"/>
    <w:rsid w:val="00EE688D"/>
    <w:rsid w:val="00EE75DC"/>
    <w:rsid w:val="00EE7763"/>
    <w:rsid w:val="00EF2984"/>
    <w:rsid w:val="00EF3C09"/>
    <w:rsid w:val="00EF3F85"/>
    <w:rsid w:val="00F05970"/>
    <w:rsid w:val="00F177AE"/>
    <w:rsid w:val="00F17889"/>
    <w:rsid w:val="00F17979"/>
    <w:rsid w:val="00F20A34"/>
    <w:rsid w:val="00F223D5"/>
    <w:rsid w:val="00F22932"/>
    <w:rsid w:val="00F23826"/>
    <w:rsid w:val="00F26C05"/>
    <w:rsid w:val="00F30967"/>
    <w:rsid w:val="00F34137"/>
    <w:rsid w:val="00F35E39"/>
    <w:rsid w:val="00F41479"/>
    <w:rsid w:val="00F430D3"/>
    <w:rsid w:val="00F47939"/>
    <w:rsid w:val="00F47ABC"/>
    <w:rsid w:val="00F512D4"/>
    <w:rsid w:val="00F553C3"/>
    <w:rsid w:val="00F563BE"/>
    <w:rsid w:val="00F66166"/>
    <w:rsid w:val="00F6655A"/>
    <w:rsid w:val="00F71325"/>
    <w:rsid w:val="00F72F56"/>
    <w:rsid w:val="00F82D5A"/>
    <w:rsid w:val="00F84D13"/>
    <w:rsid w:val="00F86544"/>
    <w:rsid w:val="00F87497"/>
    <w:rsid w:val="00F97687"/>
    <w:rsid w:val="00FA0A76"/>
    <w:rsid w:val="00FA525B"/>
    <w:rsid w:val="00FA7085"/>
    <w:rsid w:val="00FB2E0C"/>
    <w:rsid w:val="00FC28BA"/>
    <w:rsid w:val="00FD4747"/>
    <w:rsid w:val="00FD7883"/>
    <w:rsid w:val="00FE05A3"/>
    <w:rsid w:val="00FE0F29"/>
    <w:rsid w:val="00FE3C52"/>
    <w:rsid w:val="00FE75FE"/>
    <w:rsid w:val="00FF423C"/>
    <w:rsid w:val="00FF44C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6C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90"/>
    <w:rPr>
      <w:sz w:val="24"/>
      <w:szCs w:val="24"/>
      <w:lang w:eastAsia="en-US"/>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semiHidden/>
    <w:qFormat/>
    <w:rsid w:val="00BC378F"/>
    <w:pPr>
      <w:keepNext/>
      <w:ind w:left="-90"/>
      <w:outlineLvl w:val="3"/>
    </w:pPr>
    <w:rPr>
      <w:rFonts w:ascii="Arial" w:hAnsi="Arial" w:cs="Arial"/>
      <w:b/>
      <w:bCs/>
      <w:sz w:val="22"/>
      <w:szCs w:val="22"/>
    </w:rPr>
  </w:style>
  <w:style w:type="paragraph" w:styleId="Heading5">
    <w:name w:val="heading 5"/>
    <w:basedOn w:val="Normal"/>
    <w:next w:val="Normal"/>
    <w:semiHidden/>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qFormat/>
    <w:rsid w:val="00BC378F"/>
    <w:pPr>
      <w:keepNext/>
      <w:jc w:val="center"/>
      <w:outlineLvl w:val="5"/>
    </w:pPr>
    <w:rPr>
      <w:rFonts w:ascii="Arial" w:hAnsi="Arial" w:cs="Arial"/>
      <w:b/>
      <w:bCs/>
    </w:rPr>
  </w:style>
  <w:style w:type="paragraph" w:styleId="Heading7">
    <w:name w:val="heading 7"/>
    <w:basedOn w:val="Normal"/>
    <w:next w:val="Normal"/>
    <w:semiHidden/>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63B0"/>
    <w:rPr>
      <w:rFonts w:cs="Arial"/>
      <w:b/>
      <w:bCs/>
      <w:iCs/>
      <w:sz w:val="24"/>
      <w:szCs w:val="28"/>
      <w:lang w:eastAsia="en-US"/>
    </w:rPr>
  </w:style>
  <w:style w:type="character" w:customStyle="1" w:styleId="Heading3Char">
    <w:name w:val="Heading 3 Char"/>
    <w:link w:val="Heading3"/>
    <w:rsid w:val="00A65661"/>
    <w:rPr>
      <w:rFonts w:cs="Arial"/>
      <w:b/>
      <w:bCs/>
      <w:i/>
      <w:iCs/>
      <w:sz w:val="24"/>
      <w:szCs w:val="22"/>
      <w:lang w:val="en-CA" w:eastAsia="en-US"/>
    </w:rPr>
  </w:style>
  <w:style w:type="paragraph" w:styleId="TableofFigures">
    <w:name w:val="table of figures"/>
    <w:basedOn w:val="Normal"/>
    <w:next w:val="Normal"/>
    <w:uiPriority w:val="99"/>
    <w:rsid w:val="007F3932"/>
    <w:pPr>
      <w:tabs>
        <w:tab w:val="left" w:pos="1080"/>
        <w:tab w:val="right" w:leader="dot" w:pos="9350"/>
      </w:tabs>
      <w:ind w:left="1080" w:right="720" w:hanging="1080"/>
    </w:pPr>
    <w:rPr>
      <w:noProof/>
    </w:rPr>
  </w:style>
  <w:style w:type="paragraph" w:customStyle="1" w:styleId="Source">
    <w:name w:val="Source"/>
    <w:basedOn w:val="Normal"/>
    <w:rsid w:val="00085361"/>
    <w:pPr>
      <w:spacing w:before="120" w:after="360"/>
      <w:ind w:left="180" w:hanging="180"/>
    </w:pPr>
    <w:rPr>
      <w:sz w:val="20"/>
      <w:szCs w:val="22"/>
    </w:rPr>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F3932"/>
    <w:pPr>
      <w:spacing w:after="240"/>
      <w:ind w:firstLine="720"/>
    </w:pPr>
    <w:rPr>
      <w:szCs w:val="20"/>
    </w:rPr>
  </w:style>
  <w:style w:type="character" w:customStyle="1" w:styleId="BodyTextChar">
    <w:name w:val="Body Text Char"/>
    <w:basedOn w:val="DefaultParagraphFont"/>
    <w:link w:val="BodyText"/>
    <w:rsid w:val="007F3932"/>
    <w:rPr>
      <w:sz w:val="24"/>
      <w:lang w:eastAsia="en-US"/>
    </w:rPr>
  </w:style>
  <w:style w:type="paragraph" w:styleId="ListBullet">
    <w:name w:val="List Bullet"/>
    <w:basedOn w:val="Normal"/>
    <w:rsid w:val="007F3932"/>
    <w:pPr>
      <w:numPr>
        <w:ilvl w:val="1"/>
        <w:numId w:val="14"/>
      </w:numPr>
      <w:spacing w:after="120"/>
      <w:ind w:left="1080"/>
    </w:pPr>
    <w:rPr>
      <w:szCs w:val="20"/>
    </w:rPr>
  </w:style>
  <w:style w:type="paragraph" w:styleId="FootnoteText">
    <w:name w:val="footnote text"/>
    <w:basedOn w:val="Normal"/>
    <w:link w:val="FootnoteTextChar"/>
    <w:uiPriority w:val="99"/>
    <w:rsid w:val="007F3932"/>
    <w:pPr>
      <w:widowControl w:val="0"/>
      <w:ind w:left="245" w:hanging="245"/>
    </w:pPr>
    <w:rPr>
      <w:sz w:val="18"/>
      <w:szCs w:val="18"/>
    </w:rPr>
  </w:style>
  <w:style w:type="character" w:customStyle="1" w:styleId="FootnoteTextChar">
    <w:name w:val="Footnote Text Char"/>
    <w:basedOn w:val="DefaultParagraphFont"/>
    <w:link w:val="FootnoteText"/>
    <w:uiPriority w:val="99"/>
    <w:rsid w:val="007F3932"/>
    <w:rPr>
      <w:sz w:val="18"/>
      <w:szCs w:val="18"/>
      <w:lang w:eastAsia="en-US"/>
    </w:rPr>
  </w:style>
  <w:style w:type="character" w:styleId="FootnoteReference">
    <w:name w:val="footnote reference"/>
    <w:uiPriority w:val="99"/>
    <w:rsid w:val="007F3932"/>
  </w:style>
  <w:style w:type="paragraph" w:styleId="Caption">
    <w:name w:val="caption"/>
    <w:basedOn w:val="Normal"/>
    <w:next w:val="Normal"/>
    <w:qFormat/>
    <w:rsid w:val="007F3932"/>
    <w:pPr>
      <w:keepNext/>
      <w:keepLines/>
      <w:spacing w:before="240" w:after="120"/>
      <w:ind w:left="1260" w:hanging="1260"/>
    </w:pPr>
    <w:rPr>
      <w:rFonts w:cs="Arial"/>
      <w:b/>
      <w:bCs/>
      <w:szCs w:val="22"/>
    </w:rPr>
  </w:style>
  <w:style w:type="paragraph" w:customStyle="1" w:styleId="TableHeaders">
    <w:name w:val="Table Headers"/>
    <w:basedOn w:val="Normal"/>
    <w:qFormat/>
    <w:rsid w:val="007F3932"/>
    <w:pPr>
      <w:keepNext/>
      <w:spacing w:before="80" w:after="80" w:line="240" w:lineRule="exact"/>
      <w:jc w:val="center"/>
    </w:pPr>
    <w:rPr>
      <w:snapToGrid w:val="0"/>
      <w:sz w:val="22"/>
      <w:szCs w:val="22"/>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customStyle="1" w:styleId="TableText">
    <w:name w:val="Table Text"/>
    <w:qFormat/>
    <w:rsid w:val="00996B9F"/>
    <w:pPr>
      <w:spacing w:before="40" w:after="40"/>
    </w:pPr>
    <w:rPr>
      <w:sz w:val="22"/>
      <w:lang w:eastAsia="en-US"/>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styleId="Hyperlink">
    <w:name w:val="Hyperlink"/>
    <w:uiPriority w:val="99"/>
    <w:rsid w:val="00BC378F"/>
    <w:rPr>
      <w:color w:val="0000FF"/>
      <w:u w:val="single"/>
    </w:rPr>
  </w:style>
  <w:style w:type="table" w:styleId="TableList3">
    <w:name w:val="Table List 3"/>
    <w:basedOn w:val="TableNormal"/>
    <w:rsid w:val="00A65661"/>
    <w:rPr>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Bibliography">
    <w:name w:val="Bibliography"/>
    <w:basedOn w:val="Normal"/>
    <w:next w:val="Normal"/>
    <w:uiPriority w:val="37"/>
    <w:rsid w:val="00951190"/>
    <w:pPr>
      <w:spacing w:after="240"/>
      <w:ind w:left="720" w:hanging="720"/>
    </w:p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951190"/>
    <w:pPr>
      <w:tabs>
        <w:tab w:val="right" w:leader="dot" w:pos="9360"/>
      </w:tabs>
      <w:spacing w:before="60"/>
      <w:ind w:left="1620" w:hanging="16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TOC0">
    <w:name w:val="TOC 0"/>
    <w:basedOn w:val="Normal"/>
    <w:rsid w:val="00F72F56"/>
    <w:pPr>
      <w:spacing w:after="240"/>
      <w:jc w:val="center"/>
    </w:pPr>
    <w:rPr>
      <w:b/>
      <w:caps/>
      <w:sz w:val="28"/>
      <w:szCs w:val="20"/>
    </w:rPr>
  </w:style>
  <w:style w:type="paragraph" w:customStyle="1" w:styleId="TOCHeader">
    <w:name w:val="TOC Header"/>
    <w:basedOn w:val="Normal"/>
    <w:rsid w:val="00951190"/>
    <w:pPr>
      <w:tabs>
        <w:tab w:val="right" w:pos="9360"/>
      </w:tabs>
      <w:spacing w:after="240"/>
    </w:pPr>
    <w:rPr>
      <w:b/>
      <w:szCs w:val="20"/>
    </w:rPr>
  </w:style>
  <w:style w:type="paragraph" w:styleId="ListBullet2">
    <w:name w:val="List Bullet 2"/>
    <w:basedOn w:val="Normal"/>
    <w:rsid w:val="00951190"/>
    <w:pPr>
      <w:numPr>
        <w:numId w:val="13"/>
      </w:numPr>
      <w:spacing w:after="120"/>
      <w:ind w:hanging="360"/>
    </w:pPr>
  </w:style>
  <w:style w:type="character" w:customStyle="1" w:styleId="Heading1Char">
    <w:name w:val="Heading 1 Char"/>
    <w:basedOn w:val="DefaultParagraphFont"/>
    <w:link w:val="Heading1"/>
    <w:rsid w:val="00870BA3"/>
    <w:rPr>
      <w:rFonts w:ascii="Times New Roman Bold" w:hAnsi="Times New Roman Bold"/>
      <w:b/>
      <w:bCs/>
      <w:caps/>
      <w:sz w:val="24"/>
      <w:szCs w:val="24"/>
      <w:lang w:eastAsia="en-US"/>
    </w:rPr>
  </w:style>
  <w:style w:type="character" w:styleId="CommentReference">
    <w:name w:val="annotation reference"/>
    <w:basedOn w:val="DefaultParagraphFont"/>
    <w:semiHidden/>
    <w:unhideWhenUsed/>
    <w:rsid w:val="00DF394C"/>
    <w:rPr>
      <w:sz w:val="16"/>
      <w:szCs w:val="16"/>
    </w:rPr>
  </w:style>
  <w:style w:type="paragraph" w:styleId="CommentText">
    <w:name w:val="annotation text"/>
    <w:basedOn w:val="Normal"/>
    <w:link w:val="CommentTextChar"/>
    <w:semiHidden/>
    <w:unhideWhenUsed/>
    <w:rsid w:val="00DF394C"/>
    <w:rPr>
      <w:sz w:val="20"/>
      <w:szCs w:val="20"/>
    </w:rPr>
  </w:style>
  <w:style w:type="character" w:customStyle="1" w:styleId="CommentTextChar">
    <w:name w:val="Comment Text Char"/>
    <w:basedOn w:val="DefaultParagraphFont"/>
    <w:link w:val="CommentText"/>
    <w:semiHidden/>
    <w:rsid w:val="00DF394C"/>
    <w:rPr>
      <w:lang w:eastAsia="en-US"/>
    </w:rPr>
  </w:style>
  <w:style w:type="paragraph" w:styleId="CommentSubject">
    <w:name w:val="annotation subject"/>
    <w:basedOn w:val="CommentText"/>
    <w:next w:val="CommentText"/>
    <w:link w:val="CommentSubjectChar"/>
    <w:semiHidden/>
    <w:unhideWhenUsed/>
    <w:rsid w:val="00DF394C"/>
    <w:rPr>
      <w:b/>
      <w:bCs/>
    </w:rPr>
  </w:style>
  <w:style w:type="character" w:customStyle="1" w:styleId="CommentSubjectChar">
    <w:name w:val="Comment Subject Char"/>
    <w:basedOn w:val="CommentTextChar"/>
    <w:link w:val="CommentSubject"/>
    <w:semiHidden/>
    <w:rsid w:val="00DF394C"/>
    <w:rPr>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footnote text" w:uiPriority="99"/>
    <w:lsdException w:name="caption" w:qFormat="1"/>
    <w:lsdException w:name="table of figures" w:uiPriority="99"/>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51190"/>
    <w:rPr>
      <w:sz w:val="24"/>
      <w:szCs w:val="24"/>
      <w:lang w:eastAsia="en-US"/>
    </w:rPr>
  </w:style>
  <w:style w:type="paragraph" w:styleId="Heading1">
    <w:name w:val="heading 1"/>
    <w:basedOn w:val="Normal"/>
    <w:next w:val="Normal"/>
    <w:link w:val="Heading1Char"/>
    <w:qFormat/>
    <w:rsid w:val="00BC378F"/>
    <w:pPr>
      <w:keepNext/>
      <w:spacing w:before="120" w:after="120"/>
      <w:outlineLvl w:val="0"/>
    </w:pPr>
    <w:rPr>
      <w:rFonts w:ascii="Times New Roman Bold" w:hAnsi="Times New Roman Bold"/>
      <w:b/>
      <w:bCs/>
      <w:caps/>
    </w:rPr>
  </w:style>
  <w:style w:type="paragraph" w:styleId="Heading2">
    <w:name w:val="heading 2"/>
    <w:basedOn w:val="Normal"/>
    <w:next w:val="Normal"/>
    <w:link w:val="Heading2Char"/>
    <w:qFormat/>
    <w:rsid w:val="00BC378F"/>
    <w:pPr>
      <w:keepNext/>
      <w:spacing w:before="240" w:after="240"/>
      <w:ind w:left="720" w:hanging="720"/>
      <w:outlineLvl w:val="1"/>
    </w:pPr>
    <w:rPr>
      <w:rFonts w:cs="Arial"/>
      <w:b/>
      <w:bCs/>
      <w:iCs/>
      <w:szCs w:val="28"/>
    </w:rPr>
  </w:style>
  <w:style w:type="paragraph" w:styleId="Heading3">
    <w:name w:val="heading 3"/>
    <w:basedOn w:val="Normal"/>
    <w:next w:val="Normal"/>
    <w:link w:val="Heading3Char"/>
    <w:qFormat/>
    <w:rsid w:val="00F72F56"/>
    <w:pPr>
      <w:keepNext/>
      <w:spacing w:before="240" w:after="120"/>
      <w:ind w:left="720" w:hanging="720"/>
      <w:outlineLvl w:val="2"/>
    </w:pPr>
    <w:rPr>
      <w:rFonts w:cs="Arial"/>
      <w:b/>
      <w:bCs/>
      <w:i/>
      <w:iCs/>
      <w:szCs w:val="22"/>
      <w:lang w:val="en-CA"/>
    </w:rPr>
  </w:style>
  <w:style w:type="paragraph" w:styleId="Heading4">
    <w:name w:val="heading 4"/>
    <w:basedOn w:val="Normal"/>
    <w:next w:val="Normal"/>
    <w:semiHidden/>
    <w:qFormat/>
    <w:rsid w:val="00BC378F"/>
    <w:pPr>
      <w:keepNext/>
      <w:ind w:left="-90"/>
      <w:outlineLvl w:val="3"/>
    </w:pPr>
    <w:rPr>
      <w:rFonts w:ascii="Arial" w:hAnsi="Arial" w:cs="Arial"/>
      <w:b/>
      <w:bCs/>
      <w:sz w:val="22"/>
      <w:szCs w:val="22"/>
    </w:rPr>
  </w:style>
  <w:style w:type="paragraph" w:styleId="Heading5">
    <w:name w:val="heading 5"/>
    <w:basedOn w:val="Normal"/>
    <w:next w:val="Normal"/>
    <w:semiHidden/>
    <w:qFormat/>
    <w:rsid w:val="00BC378F"/>
    <w:pPr>
      <w:keepNext/>
      <w:widowControl w:val="0"/>
      <w:outlineLvl w:val="4"/>
    </w:pPr>
    <w:rPr>
      <w:rFonts w:ascii="Arial" w:hAnsi="Arial" w:cs="Arial"/>
      <w:b/>
      <w:bCs/>
      <w:sz w:val="20"/>
      <w:szCs w:val="20"/>
      <w:u w:val="single"/>
    </w:rPr>
  </w:style>
  <w:style w:type="paragraph" w:styleId="Heading6">
    <w:name w:val="heading 6"/>
    <w:basedOn w:val="Normal"/>
    <w:next w:val="Normal"/>
    <w:semiHidden/>
    <w:qFormat/>
    <w:rsid w:val="00BC378F"/>
    <w:pPr>
      <w:keepNext/>
      <w:jc w:val="center"/>
      <w:outlineLvl w:val="5"/>
    </w:pPr>
    <w:rPr>
      <w:rFonts w:ascii="Arial" w:hAnsi="Arial" w:cs="Arial"/>
      <w:b/>
      <w:bCs/>
    </w:rPr>
  </w:style>
  <w:style w:type="paragraph" w:styleId="Heading7">
    <w:name w:val="heading 7"/>
    <w:basedOn w:val="Normal"/>
    <w:next w:val="Normal"/>
    <w:semiHidden/>
    <w:qFormat/>
    <w:rsid w:val="00BC378F"/>
    <w:pPr>
      <w:keepNext/>
      <w:jc w:val="center"/>
      <w:outlineLvl w:val="6"/>
    </w:pPr>
    <w:rPr>
      <w:rFonts w:ascii="Arial" w:hAnsi="Arial" w:cs="Arial"/>
      <w:b/>
      <w:bCs/>
      <w:sz w:val="16"/>
      <w:szCs w:val="16"/>
    </w:rPr>
  </w:style>
  <w:style w:type="paragraph" w:styleId="Heading8">
    <w:name w:val="heading 8"/>
    <w:basedOn w:val="Normal"/>
    <w:next w:val="Normal"/>
    <w:semiHidden/>
    <w:qFormat/>
    <w:rsid w:val="00BC378F"/>
    <w:pPr>
      <w:keepNext/>
      <w:widowControl w:val="0"/>
      <w:ind w:left="1440" w:hanging="720"/>
      <w:outlineLvl w:val="7"/>
    </w:pPr>
    <w:rPr>
      <w:rFonts w:ascii="Arial" w:hAnsi="Arial" w:cs="Arial"/>
      <w:b/>
      <w:bCs/>
      <w:sz w:val="20"/>
      <w:szCs w:val="20"/>
      <w:u w:val="single"/>
    </w:rPr>
  </w:style>
  <w:style w:type="paragraph" w:styleId="Heading9">
    <w:name w:val="heading 9"/>
    <w:basedOn w:val="Normal"/>
    <w:next w:val="Normal"/>
    <w:semiHidden/>
    <w:qFormat/>
    <w:rsid w:val="00BC378F"/>
    <w:pPr>
      <w:keepNext/>
      <w:widowControl w:val="0"/>
      <w:ind w:right="-360" w:firstLine="720"/>
      <w:outlineLvl w:val="8"/>
    </w:pPr>
    <w:rPr>
      <w:rFonts w:ascii="Arial" w:hAnsi="Arial" w:cs="Arial"/>
      <w:b/>
      <w:bCs/>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8663B0"/>
    <w:rPr>
      <w:rFonts w:cs="Arial"/>
      <w:b/>
      <w:bCs/>
      <w:iCs/>
      <w:sz w:val="24"/>
      <w:szCs w:val="28"/>
      <w:lang w:eastAsia="en-US"/>
    </w:rPr>
  </w:style>
  <w:style w:type="character" w:customStyle="1" w:styleId="Heading3Char">
    <w:name w:val="Heading 3 Char"/>
    <w:link w:val="Heading3"/>
    <w:rsid w:val="00A65661"/>
    <w:rPr>
      <w:rFonts w:cs="Arial"/>
      <w:b/>
      <w:bCs/>
      <w:i/>
      <w:iCs/>
      <w:sz w:val="24"/>
      <w:szCs w:val="22"/>
      <w:lang w:val="en-CA" w:eastAsia="en-US"/>
    </w:rPr>
  </w:style>
  <w:style w:type="paragraph" w:styleId="TableofFigures">
    <w:name w:val="table of figures"/>
    <w:basedOn w:val="Normal"/>
    <w:next w:val="Normal"/>
    <w:uiPriority w:val="99"/>
    <w:rsid w:val="007F3932"/>
    <w:pPr>
      <w:tabs>
        <w:tab w:val="left" w:pos="1080"/>
        <w:tab w:val="right" w:leader="dot" w:pos="9350"/>
      </w:tabs>
      <w:ind w:left="1080" w:right="720" w:hanging="1080"/>
    </w:pPr>
    <w:rPr>
      <w:noProof/>
    </w:rPr>
  </w:style>
  <w:style w:type="paragraph" w:customStyle="1" w:styleId="Source">
    <w:name w:val="Source"/>
    <w:basedOn w:val="Normal"/>
    <w:rsid w:val="00085361"/>
    <w:pPr>
      <w:spacing w:before="120" w:after="360"/>
      <w:ind w:left="180" w:hanging="180"/>
    </w:pPr>
    <w:rPr>
      <w:sz w:val="20"/>
      <w:szCs w:val="22"/>
    </w:rPr>
  </w:style>
  <w:style w:type="table" w:styleId="TableGrid">
    <w:name w:val="Table Grid"/>
    <w:basedOn w:val="TableNormal"/>
    <w:rsid w:val="006E244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7F3932"/>
    <w:pPr>
      <w:spacing w:after="240"/>
      <w:ind w:firstLine="720"/>
    </w:pPr>
    <w:rPr>
      <w:szCs w:val="20"/>
    </w:rPr>
  </w:style>
  <w:style w:type="character" w:customStyle="1" w:styleId="BodyTextChar">
    <w:name w:val="Body Text Char"/>
    <w:basedOn w:val="DefaultParagraphFont"/>
    <w:link w:val="BodyText"/>
    <w:rsid w:val="007F3932"/>
    <w:rPr>
      <w:sz w:val="24"/>
      <w:lang w:eastAsia="en-US"/>
    </w:rPr>
  </w:style>
  <w:style w:type="paragraph" w:styleId="ListBullet">
    <w:name w:val="List Bullet"/>
    <w:basedOn w:val="Normal"/>
    <w:rsid w:val="007F3932"/>
    <w:pPr>
      <w:numPr>
        <w:ilvl w:val="1"/>
        <w:numId w:val="14"/>
      </w:numPr>
      <w:spacing w:after="120"/>
      <w:ind w:left="1080"/>
    </w:pPr>
    <w:rPr>
      <w:szCs w:val="20"/>
    </w:rPr>
  </w:style>
  <w:style w:type="paragraph" w:styleId="FootnoteText">
    <w:name w:val="footnote text"/>
    <w:basedOn w:val="Normal"/>
    <w:link w:val="FootnoteTextChar"/>
    <w:uiPriority w:val="99"/>
    <w:rsid w:val="007F3932"/>
    <w:pPr>
      <w:widowControl w:val="0"/>
      <w:ind w:left="245" w:hanging="245"/>
    </w:pPr>
    <w:rPr>
      <w:sz w:val="18"/>
      <w:szCs w:val="18"/>
    </w:rPr>
  </w:style>
  <w:style w:type="character" w:customStyle="1" w:styleId="FootnoteTextChar">
    <w:name w:val="Footnote Text Char"/>
    <w:basedOn w:val="DefaultParagraphFont"/>
    <w:link w:val="FootnoteText"/>
    <w:uiPriority w:val="99"/>
    <w:rsid w:val="007F3932"/>
    <w:rPr>
      <w:sz w:val="18"/>
      <w:szCs w:val="18"/>
      <w:lang w:eastAsia="en-US"/>
    </w:rPr>
  </w:style>
  <w:style w:type="character" w:styleId="FootnoteReference">
    <w:name w:val="footnote reference"/>
    <w:uiPriority w:val="99"/>
    <w:rsid w:val="007F3932"/>
  </w:style>
  <w:style w:type="paragraph" w:styleId="Caption">
    <w:name w:val="caption"/>
    <w:basedOn w:val="Normal"/>
    <w:next w:val="Normal"/>
    <w:qFormat/>
    <w:rsid w:val="007F3932"/>
    <w:pPr>
      <w:keepNext/>
      <w:keepLines/>
      <w:spacing w:before="240" w:after="120"/>
      <w:ind w:left="1260" w:hanging="1260"/>
    </w:pPr>
    <w:rPr>
      <w:rFonts w:cs="Arial"/>
      <w:b/>
      <w:bCs/>
      <w:szCs w:val="22"/>
    </w:rPr>
  </w:style>
  <w:style w:type="paragraph" w:customStyle="1" w:styleId="TableHeaders">
    <w:name w:val="Table Headers"/>
    <w:basedOn w:val="Normal"/>
    <w:qFormat/>
    <w:rsid w:val="007F3932"/>
    <w:pPr>
      <w:keepNext/>
      <w:spacing w:before="80" w:after="80" w:line="240" w:lineRule="exact"/>
      <w:jc w:val="center"/>
    </w:pPr>
    <w:rPr>
      <w:snapToGrid w:val="0"/>
      <w:sz w:val="22"/>
      <w:szCs w:val="22"/>
    </w:rPr>
  </w:style>
  <w:style w:type="paragraph" w:styleId="BalloonText">
    <w:name w:val="Balloon Text"/>
    <w:basedOn w:val="Normal"/>
    <w:semiHidden/>
    <w:rsid w:val="00BC378F"/>
    <w:pPr>
      <w:numPr>
        <w:numId w:val="2"/>
      </w:numPr>
      <w:tabs>
        <w:tab w:val="clear" w:pos="720"/>
        <w:tab w:val="num" w:pos="360"/>
      </w:tabs>
      <w:ind w:left="0" w:firstLine="0"/>
    </w:pPr>
    <w:rPr>
      <w:rFonts w:ascii="Tahoma" w:hAnsi="Tahoma" w:cs="Tahoma"/>
      <w:sz w:val="16"/>
      <w:szCs w:val="16"/>
    </w:rPr>
  </w:style>
  <w:style w:type="paragraph" w:customStyle="1" w:styleId="TableText">
    <w:name w:val="Table Text"/>
    <w:qFormat/>
    <w:rsid w:val="00996B9F"/>
    <w:pPr>
      <w:spacing w:before="40" w:after="40"/>
    </w:pPr>
    <w:rPr>
      <w:sz w:val="22"/>
      <w:lang w:eastAsia="en-US"/>
    </w:rPr>
  </w:style>
  <w:style w:type="paragraph" w:styleId="Header">
    <w:name w:val="header"/>
    <w:basedOn w:val="Normal"/>
    <w:rsid w:val="00BC378F"/>
    <w:pPr>
      <w:tabs>
        <w:tab w:val="center" w:pos="4320"/>
        <w:tab w:val="right" w:pos="8640"/>
      </w:tabs>
    </w:pPr>
    <w:rPr>
      <w:sz w:val="20"/>
      <w:szCs w:val="20"/>
    </w:rPr>
  </w:style>
  <w:style w:type="paragraph" w:styleId="Footer">
    <w:name w:val="footer"/>
    <w:basedOn w:val="Normal"/>
    <w:rsid w:val="00BC378F"/>
    <w:pPr>
      <w:tabs>
        <w:tab w:val="center" w:pos="4320"/>
        <w:tab w:val="right" w:pos="8640"/>
      </w:tabs>
    </w:pPr>
    <w:rPr>
      <w:sz w:val="20"/>
      <w:szCs w:val="20"/>
    </w:rPr>
  </w:style>
  <w:style w:type="character" w:styleId="PageNumber">
    <w:name w:val="page number"/>
    <w:rsid w:val="00BC378F"/>
    <w:rPr>
      <w:rFonts w:ascii="Times New Roman" w:hAnsi="Times New Roman"/>
      <w:sz w:val="24"/>
    </w:rPr>
  </w:style>
  <w:style w:type="character" w:styleId="Hyperlink">
    <w:name w:val="Hyperlink"/>
    <w:uiPriority w:val="99"/>
    <w:rsid w:val="00BC378F"/>
    <w:rPr>
      <w:color w:val="0000FF"/>
      <w:u w:val="single"/>
    </w:rPr>
  </w:style>
  <w:style w:type="table" w:styleId="TableList3">
    <w:name w:val="Table List 3"/>
    <w:basedOn w:val="TableNormal"/>
    <w:rsid w:val="00A65661"/>
    <w:rPr>
      <w:lang w:eastAsia="en-US"/>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paragraph" w:styleId="Bibliography">
    <w:name w:val="Bibliography"/>
    <w:basedOn w:val="Normal"/>
    <w:next w:val="Normal"/>
    <w:uiPriority w:val="37"/>
    <w:rsid w:val="00951190"/>
    <w:pPr>
      <w:spacing w:after="240"/>
      <w:ind w:left="720" w:hanging="720"/>
    </w:pPr>
  </w:style>
  <w:style w:type="paragraph" w:styleId="HTMLPreformatted">
    <w:name w:val="HTML Preformatted"/>
    <w:basedOn w:val="Normal"/>
    <w:semiHidden/>
    <w:rsid w:val="00BC3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TOC1">
    <w:name w:val="toc 1"/>
    <w:basedOn w:val="Normal"/>
    <w:next w:val="Normal"/>
    <w:autoRedefine/>
    <w:uiPriority w:val="39"/>
    <w:rsid w:val="00BC378F"/>
    <w:pPr>
      <w:tabs>
        <w:tab w:val="right" w:leader="dot" w:pos="9350"/>
      </w:tabs>
      <w:spacing w:before="240" w:after="120"/>
      <w:ind w:left="720" w:hanging="360"/>
    </w:pPr>
    <w:rPr>
      <w:noProof/>
    </w:rPr>
  </w:style>
  <w:style w:type="paragraph" w:styleId="TOC2">
    <w:name w:val="toc 2"/>
    <w:basedOn w:val="Normal"/>
    <w:next w:val="Normal"/>
    <w:autoRedefine/>
    <w:uiPriority w:val="39"/>
    <w:rsid w:val="00BC378F"/>
    <w:pPr>
      <w:tabs>
        <w:tab w:val="right" w:leader="dot" w:pos="9350"/>
      </w:tabs>
      <w:spacing w:before="120" w:after="120"/>
      <w:ind w:left="1350" w:hanging="630"/>
    </w:pPr>
    <w:rPr>
      <w:noProof/>
    </w:rPr>
  </w:style>
  <w:style w:type="paragraph" w:styleId="DocumentMap">
    <w:name w:val="Document Map"/>
    <w:basedOn w:val="Normal"/>
    <w:semiHidden/>
    <w:rsid w:val="00495ADF"/>
    <w:pPr>
      <w:shd w:val="clear" w:color="auto" w:fill="000080"/>
    </w:pPr>
    <w:rPr>
      <w:rFonts w:ascii="Tahoma" w:hAnsi="Tahoma" w:cs="Tahoma"/>
    </w:rPr>
  </w:style>
  <w:style w:type="paragraph" w:styleId="TOC4">
    <w:name w:val="toc 4"/>
    <w:basedOn w:val="Normal"/>
    <w:next w:val="Normal"/>
    <w:rsid w:val="00951190"/>
    <w:pPr>
      <w:tabs>
        <w:tab w:val="right" w:leader="dot" w:pos="9360"/>
      </w:tabs>
      <w:spacing w:before="60"/>
      <w:ind w:left="1620" w:hanging="1620"/>
    </w:pPr>
    <w:rPr>
      <w:szCs w:val="20"/>
    </w:rPr>
  </w:style>
  <w:style w:type="paragraph" w:styleId="TOC3">
    <w:name w:val="toc 3"/>
    <w:basedOn w:val="Normal"/>
    <w:next w:val="Normal"/>
    <w:uiPriority w:val="39"/>
    <w:rsid w:val="006E2440"/>
    <w:pPr>
      <w:tabs>
        <w:tab w:val="right" w:leader="dot" w:pos="9360"/>
      </w:tabs>
      <w:spacing w:before="80" w:after="40"/>
      <w:ind w:left="2340" w:right="720" w:hanging="900"/>
    </w:pPr>
    <w:rPr>
      <w:noProof/>
      <w:szCs w:val="20"/>
    </w:rPr>
  </w:style>
  <w:style w:type="paragraph" w:customStyle="1" w:styleId="TOC0">
    <w:name w:val="TOC 0"/>
    <w:basedOn w:val="Normal"/>
    <w:rsid w:val="00F72F56"/>
    <w:pPr>
      <w:spacing w:after="240"/>
      <w:jc w:val="center"/>
    </w:pPr>
    <w:rPr>
      <w:b/>
      <w:caps/>
      <w:sz w:val="28"/>
      <w:szCs w:val="20"/>
    </w:rPr>
  </w:style>
  <w:style w:type="paragraph" w:customStyle="1" w:styleId="TOCHeader">
    <w:name w:val="TOC Header"/>
    <w:basedOn w:val="Normal"/>
    <w:rsid w:val="00951190"/>
    <w:pPr>
      <w:tabs>
        <w:tab w:val="right" w:pos="9360"/>
      </w:tabs>
      <w:spacing w:after="240"/>
    </w:pPr>
    <w:rPr>
      <w:b/>
      <w:szCs w:val="20"/>
    </w:rPr>
  </w:style>
  <w:style w:type="paragraph" w:styleId="ListBullet2">
    <w:name w:val="List Bullet 2"/>
    <w:basedOn w:val="Normal"/>
    <w:rsid w:val="00951190"/>
    <w:pPr>
      <w:numPr>
        <w:numId w:val="13"/>
      </w:numPr>
      <w:spacing w:after="120"/>
      <w:ind w:hanging="360"/>
    </w:pPr>
  </w:style>
  <w:style w:type="character" w:customStyle="1" w:styleId="Heading1Char">
    <w:name w:val="Heading 1 Char"/>
    <w:basedOn w:val="DefaultParagraphFont"/>
    <w:link w:val="Heading1"/>
    <w:rsid w:val="00870BA3"/>
    <w:rPr>
      <w:rFonts w:ascii="Times New Roman Bold" w:hAnsi="Times New Roman Bold"/>
      <w:b/>
      <w:bCs/>
      <w:caps/>
      <w:sz w:val="24"/>
      <w:szCs w:val="24"/>
      <w:lang w:eastAsia="en-US"/>
    </w:rPr>
  </w:style>
  <w:style w:type="character" w:styleId="CommentReference">
    <w:name w:val="annotation reference"/>
    <w:basedOn w:val="DefaultParagraphFont"/>
    <w:semiHidden/>
    <w:unhideWhenUsed/>
    <w:rsid w:val="00DF394C"/>
    <w:rPr>
      <w:sz w:val="16"/>
      <w:szCs w:val="16"/>
    </w:rPr>
  </w:style>
  <w:style w:type="paragraph" w:styleId="CommentText">
    <w:name w:val="annotation text"/>
    <w:basedOn w:val="Normal"/>
    <w:link w:val="CommentTextChar"/>
    <w:semiHidden/>
    <w:unhideWhenUsed/>
    <w:rsid w:val="00DF394C"/>
    <w:rPr>
      <w:sz w:val="20"/>
      <w:szCs w:val="20"/>
    </w:rPr>
  </w:style>
  <w:style w:type="character" w:customStyle="1" w:styleId="CommentTextChar">
    <w:name w:val="Comment Text Char"/>
    <w:basedOn w:val="DefaultParagraphFont"/>
    <w:link w:val="CommentText"/>
    <w:semiHidden/>
    <w:rsid w:val="00DF394C"/>
    <w:rPr>
      <w:lang w:eastAsia="en-US"/>
    </w:rPr>
  </w:style>
  <w:style w:type="paragraph" w:styleId="CommentSubject">
    <w:name w:val="annotation subject"/>
    <w:basedOn w:val="CommentText"/>
    <w:next w:val="CommentText"/>
    <w:link w:val="CommentSubjectChar"/>
    <w:semiHidden/>
    <w:unhideWhenUsed/>
    <w:rsid w:val="00DF394C"/>
    <w:rPr>
      <w:b/>
      <w:bCs/>
    </w:rPr>
  </w:style>
  <w:style w:type="character" w:customStyle="1" w:styleId="CommentSubjectChar">
    <w:name w:val="Comment Subject Char"/>
    <w:basedOn w:val="CommentTextChar"/>
    <w:link w:val="CommentSubject"/>
    <w:semiHidden/>
    <w:rsid w:val="00DF394C"/>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4473117">
      <w:bodyDiv w:val="1"/>
      <w:marLeft w:val="0"/>
      <w:marRight w:val="0"/>
      <w:marTop w:val="0"/>
      <w:marBottom w:val="0"/>
      <w:divBdr>
        <w:top w:val="none" w:sz="0" w:space="0" w:color="auto"/>
        <w:left w:val="none" w:sz="0" w:space="0" w:color="auto"/>
        <w:bottom w:val="none" w:sz="0" w:space="0" w:color="auto"/>
        <w:right w:val="none" w:sz="0" w:space="0" w:color="auto"/>
      </w:divBdr>
    </w:div>
    <w:div w:id="501747395">
      <w:bodyDiv w:val="1"/>
      <w:marLeft w:val="0"/>
      <w:marRight w:val="0"/>
      <w:marTop w:val="0"/>
      <w:marBottom w:val="0"/>
      <w:divBdr>
        <w:top w:val="none" w:sz="0" w:space="0" w:color="auto"/>
        <w:left w:val="none" w:sz="0" w:space="0" w:color="auto"/>
        <w:bottom w:val="none" w:sz="0" w:space="0" w:color="auto"/>
        <w:right w:val="none" w:sz="0" w:space="0" w:color="auto"/>
      </w:divBdr>
    </w:div>
    <w:div w:id="813721442">
      <w:bodyDiv w:val="1"/>
      <w:marLeft w:val="0"/>
      <w:marRight w:val="0"/>
      <w:marTop w:val="0"/>
      <w:marBottom w:val="0"/>
      <w:divBdr>
        <w:top w:val="none" w:sz="0" w:space="0" w:color="auto"/>
        <w:left w:val="none" w:sz="0" w:space="0" w:color="auto"/>
        <w:bottom w:val="none" w:sz="0" w:space="0" w:color="auto"/>
        <w:right w:val="none" w:sz="0" w:space="0" w:color="auto"/>
      </w:divBdr>
    </w:div>
    <w:div w:id="937642440">
      <w:bodyDiv w:val="1"/>
      <w:marLeft w:val="0"/>
      <w:marRight w:val="0"/>
      <w:marTop w:val="0"/>
      <w:marBottom w:val="0"/>
      <w:divBdr>
        <w:top w:val="none" w:sz="0" w:space="0" w:color="auto"/>
        <w:left w:val="none" w:sz="0" w:space="0" w:color="auto"/>
        <w:bottom w:val="none" w:sz="0" w:space="0" w:color="auto"/>
        <w:right w:val="none" w:sz="0" w:space="0" w:color="auto"/>
      </w:divBdr>
    </w:div>
    <w:div w:id="1096711281">
      <w:bodyDiv w:val="1"/>
      <w:marLeft w:val="0"/>
      <w:marRight w:val="0"/>
      <w:marTop w:val="0"/>
      <w:marBottom w:val="0"/>
      <w:divBdr>
        <w:top w:val="none" w:sz="0" w:space="0" w:color="auto"/>
        <w:left w:val="none" w:sz="0" w:space="0" w:color="auto"/>
        <w:bottom w:val="none" w:sz="0" w:space="0" w:color="auto"/>
        <w:right w:val="none" w:sz="0" w:space="0" w:color="auto"/>
      </w:divBdr>
    </w:div>
    <w:div w:id="1409768386">
      <w:bodyDiv w:val="1"/>
      <w:marLeft w:val="0"/>
      <w:marRight w:val="0"/>
      <w:marTop w:val="0"/>
      <w:marBottom w:val="0"/>
      <w:divBdr>
        <w:top w:val="none" w:sz="0" w:space="0" w:color="auto"/>
        <w:left w:val="none" w:sz="0" w:space="0" w:color="auto"/>
        <w:bottom w:val="none" w:sz="0" w:space="0" w:color="auto"/>
        <w:right w:val="none" w:sz="0" w:space="0" w:color="auto"/>
      </w:divBdr>
      <w:divsChild>
        <w:div w:id="323512159">
          <w:marLeft w:val="0"/>
          <w:marRight w:val="0"/>
          <w:marTop w:val="0"/>
          <w:marBottom w:val="0"/>
          <w:divBdr>
            <w:top w:val="none" w:sz="0" w:space="0" w:color="auto"/>
            <w:left w:val="none" w:sz="0" w:space="0" w:color="auto"/>
            <w:bottom w:val="none" w:sz="0" w:space="0" w:color="auto"/>
            <w:right w:val="none" w:sz="0" w:space="0" w:color="auto"/>
          </w:divBdr>
          <w:divsChild>
            <w:div w:id="685787642">
              <w:marLeft w:val="0"/>
              <w:marRight w:val="0"/>
              <w:marTop w:val="0"/>
              <w:marBottom w:val="0"/>
              <w:divBdr>
                <w:top w:val="none" w:sz="0" w:space="0" w:color="auto"/>
                <w:left w:val="none" w:sz="0" w:space="0" w:color="auto"/>
                <w:bottom w:val="none" w:sz="0" w:space="0" w:color="auto"/>
                <w:right w:val="none" w:sz="0" w:space="0" w:color="auto"/>
              </w:divBdr>
            </w:div>
            <w:div w:id="792867251">
              <w:marLeft w:val="0"/>
              <w:marRight w:val="0"/>
              <w:marTop w:val="0"/>
              <w:marBottom w:val="0"/>
              <w:divBdr>
                <w:top w:val="none" w:sz="0" w:space="0" w:color="auto"/>
                <w:left w:val="none" w:sz="0" w:space="0" w:color="auto"/>
                <w:bottom w:val="none" w:sz="0" w:space="0" w:color="auto"/>
                <w:right w:val="none" w:sz="0" w:space="0" w:color="auto"/>
              </w:divBdr>
            </w:div>
            <w:div w:id="1109544775">
              <w:marLeft w:val="0"/>
              <w:marRight w:val="0"/>
              <w:marTop w:val="0"/>
              <w:marBottom w:val="0"/>
              <w:divBdr>
                <w:top w:val="none" w:sz="0" w:space="0" w:color="auto"/>
                <w:left w:val="none" w:sz="0" w:space="0" w:color="auto"/>
                <w:bottom w:val="none" w:sz="0" w:space="0" w:color="auto"/>
                <w:right w:val="none" w:sz="0" w:space="0" w:color="auto"/>
              </w:divBdr>
            </w:div>
            <w:div w:id="1285499805">
              <w:marLeft w:val="0"/>
              <w:marRight w:val="0"/>
              <w:marTop w:val="0"/>
              <w:marBottom w:val="0"/>
              <w:divBdr>
                <w:top w:val="none" w:sz="0" w:space="0" w:color="auto"/>
                <w:left w:val="none" w:sz="0" w:space="0" w:color="auto"/>
                <w:bottom w:val="none" w:sz="0" w:space="0" w:color="auto"/>
                <w:right w:val="none" w:sz="0" w:space="0" w:color="auto"/>
              </w:divBdr>
            </w:div>
            <w:div w:id="1682782198">
              <w:marLeft w:val="0"/>
              <w:marRight w:val="0"/>
              <w:marTop w:val="0"/>
              <w:marBottom w:val="0"/>
              <w:divBdr>
                <w:top w:val="none" w:sz="0" w:space="0" w:color="auto"/>
                <w:left w:val="none" w:sz="0" w:space="0" w:color="auto"/>
                <w:bottom w:val="none" w:sz="0" w:space="0" w:color="auto"/>
                <w:right w:val="none" w:sz="0" w:space="0" w:color="auto"/>
              </w:divBdr>
            </w:div>
            <w:div w:id="1731726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636013">
      <w:bodyDiv w:val="1"/>
      <w:marLeft w:val="0"/>
      <w:marRight w:val="0"/>
      <w:marTop w:val="0"/>
      <w:marBottom w:val="0"/>
      <w:divBdr>
        <w:top w:val="none" w:sz="0" w:space="0" w:color="auto"/>
        <w:left w:val="none" w:sz="0" w:space="0" w:color="auto"/>
        <w:bottom w:val="none" w:sz="0" w:space="0" w:color="auto"/>
        <w:right w:val="none" w:sz="0" w:space="0" w:color="auto"/>
      </w:divBdr>
    </w:div>
    <w:div w:id="1717898243">
      <w:bodyDiv w:val="1"/>
      <w:marLeft w:val="0"/>
      <w:marRight w:val="0"/>
      <w:marTop w:val="0"/>
      <w:marBottom w:val="0"/>
      <w:divBdr>
        <w:top w:val="none" w:sz="0" w:space="0" w:color="auto"/>
        <w:left w:val="none" w:sz="0" w:space="0" w:color="auto"/>
        <w:bottom w:val="none" w:sz="0" w:space="0" w:color="auto"/>
        <w:right w:val="none" w:sz="0" w:space="0" w:color="auto"/>
      </w:divBdr>
    </w:div>
    <w:div w:id="1858080320">
      <w:bodyDiv w:val="1"/>
      <w:marLeft w:val="0"/>
      <w:marRight w:val="0"/>
      <w:marTop w:val="0"/>
      <w:marBottom w:val="0"/>
      <w:divBdr>
        <w:top w:val="none" w:sz="0" w:space="0" w:color="auto"/>
        <w:left w:val="none" w:sz="0" w:space="0" w:color="auto"/>
        <w:bottom w:val="none" w:sz="0" w:space="0" w:color="auto"/>
        <w:right w:val="none" w:sz="0" w:space="0" w:color="auto"/>
      </w:divBdr>
    </w:div>
    <w:div w:id="1907644811">
      <w:bodyDiv w:val="1"/>
      <w:marLeft w:val="0"/>
      <w:marRight w:val="0"/>
      <w:marTop w:val="0"/>
      <w:marBottom w:val="0"/>
      <w:divBdr>
        <w:top w:val="none" w:sz="0" w:space="0" w:color="auto"/>
        <w:left w:val="none" w:sz="0" w:space="0" w:color="auto"/>
        <w:bottom w:val="none" w:sz="0" w:space="0" w:color="auto"/>
        <w:right w:val="none" w:sz="0" w:space="0" w:color="auto"/>
      </w:divBdr>
    </w:div>
    <w:div w:id="206748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www.bls.gov/ncs/ncswage2010.pdf" TargetMode="External"/><Relationship Id="rId4" Type="http://schemas.microsoft.com/office/2007/relationships/stylesWithEffects" Target="stylesWithEffects.xml"/><Relationship Id="rId9" Type="http://schemas.openxmlformats.org/officeDocument/2006/relationships/hyperlink" Target="mailto:pchen@rti.org."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9FE8F8-1D0C-4C36-BF00-591CE55F5E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1206</Words>
  <Characters>6884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8074</CharactersWithSpaces>
  <SharedDoc>false</SharedDoc>
  <HLinks>
    <vt:vector size="240" baseType="variant">
      <vt:variant>
        <vt:i4>1638453</vt:i4>
      </vt:variant>
      <vt:variant>
        <vt:i4>238</vt:i4>
      </vt:variant>
      <vt:variant>
        <vt:i4>0</vt:i4>
      </vt:variant>
      <vt:variant>
        <vt:i4>5</vt:i4>
      </vt:variant>
      <vt:variant>
        <vt:lpwstr/>
      </vt:variant>
      <vt:variant>
        <vt:lpwstr>_Toc88277988</vt:lpwstr>
      </vt:variant>
      <vt:variant>
        <vt:i4>1441845</vt:i4>
      </vt:variant>
      <vt:variant>
        <vt:i4>232</vt:i4>
      </vt:variant>
      <vt:variant>
        <vt:i4>0</vt:i4>
      </vt:variant>
      <vt:variant>
        <vt:i4>5</vt:i4>
      </vt:variant>
      <vt:variant>
        <vt:lpwstr/>
      </vt:variant>
      <vt:variant>
        <vt:lpwstr>_Toc88277987</vt:lpwstr>
      </vt:variant>
      <vt:variant>
        <vt:i4>1507381</vt:i4>
      </vt:variant>
      <vt:variant>
        <vt:i4>226</vt:i4>
      </vt:variant>
      <vt:variant>
        <vt:i4>0</vt:i4>
      </vt:variant>
      <vt:variant>
        <vt:i4>5</vt:i4>
      </vt:variant>
      <vt:variant>
        <vt:lpwstr/>
      </vt:variant>
      <vt:variant>
        <vt:lpwstr>_Toc88277986</vt:lpwstr>
      </vt:variant>
      <vt:variant>
        <vt:i4>1310773</vt:i4>
      </vt:variant>
      <vt:variant>
        <vt:i4>220</vt:i4>
      </vt:variant>
      <vt:variant>
        <vt:i4>0</vt:i4>
      </vt:variant>
      <vt:variant>
        <vt:i4>5</vt:i4>
      </vt:variant>
      <vt:variant>
        <vt:lpwstr/>
      </vt:variant>
      <vt:variant>
        <vt:lpwstr>_Toc88277985</vt:lpwstr>
      </vt:variant>
      <vt:variant>
        <vt:i4>1376309</vt:i4>
      </vt:variant>
      <vt:variant>
        <vt:i4>214</vt:i4>
      </vt:variant>
      <vt:variant>
        <vt:i4>0</vt:i4>
      </vt:variant>
      <vt:variant>
        <vt:i4>5</vt:i4>
      </vt:variant>
      <vt:variant>
        <vt:lpwstr/>
      </vt:variant>
      <vt:variant>
        <vt:lpwstr>_Toc88277984</vt:lpwstr>
      </vt:variant>
      <vt:variant>
        <vt:i4>1179701</vt:i4>
      </vt:variant>
      <vt:variant>
        <vt:i4>208</vt:i4>
      </vt:variant>
      <vt:variant>
        <vt:i4>0</vt:i4>
      </vt:variant>
      <vt:variant>
        <vt:i4>5</vt:i4>
      </vt:variant>
      <vt:variant>
        <vt:lpwstr/>
      </vt:variant>
      <vt:variant>
        <vt:lpwstr>_Toc88277983</vt:lpwstr>
      </vt:variant>
      <vt:variant>
        <vt:i4>1245237</vt:i4>
      </vt:variant>
      <vt:variant>
        <vt:i4>202</vt:i4>
      </vt:variant>
      <vt:variant>
        <vt:i4>0</vt:i4>
      </vt:variant>
      <vt:variant>
        <vt:i4>5</vt:i4>
      </vt:variant>
      <vt:variant>
        <vt:lpwstr/>
      </vt:variant>
      <vt:variant>
        <vt:lpwstr>_Toc88277982</vt:lpwstr>
      </vt:variant>
      <vt:variant>
        <vt:i4>1048629</vt:i4>
      </vt:variant>
      <vt:variant>
        <vt:i4>196</vt:i4>
      </vt:variant>
      <vt:variant>
        <vt:i4>0</vt:i4>
      </vt:variant>
      <vt:variant>
        <vt:i4>5</vt:i4>
      </vt:variant>
      <vt:variant>
        <vt:lpwstr/>
      </vt:variant>
      <vt:variant>
        <vt:lpwstr>_Toc88277981</vt:lpwstr>
      </vt:variant>
      <vt:variant>
        <vt:i4>1114165</vt:i4>
      </vt:variant>
      <vt:variant>
        <vt:i4>190</vt:i4>
      </vt:variant>
      <vt:variant>
        <vt:i4>0</vt:i4>
      </vt:variant>
      <vt:variant>
        <vt:i4>5</vt:i4>
      </vt:variant>
      <vt:variant>
        <vt:lpwstr/>
      </vt:variant>
      <vt:variant>
        <vt:lpwstr>_Toc88277980</vt:lpwstr>
      </vt:variant>
      <vt:variant>
        <vt:i4>1572922</vt:i4>
      </vt:variant>
      <vt:variant>
        <vt:i4>184</vt:i4>
      </vt:variant>
      <vt:variant>
        <vt:i4>0</vt:i4>
      </vt:variant>
      <vt:variant>
        <vt:i4>5</vt:i4>
      </vt:variant>
      <vt:variant>
        <vt:lpwstr/>
      </vt:variant>
      <vt:variant>
        <vt:lpwstr>_Toc88277979</vt:lpwstr>
      </vt:variant>
      <vt:variant>
        <vt:i4>1638458</vt:i4>
      </vt:variant>
      <vt:variant>
        <vt:i4>178</vt:i4>
      </vt:variant>
      <vt:variant>
        <vt:i4>0</vt:i4>
      </vt:variant>
      <vt:variant>
        <vt:i4>5</vt:i4>
      </vt:variant>
      <vt:variant>
        <vt:lpwstr/>
      </vt:variant>
      <vt:variant>
        <vt:lpwstr>_Toc88277978</vt:lpwstr>
      </vt:variant>
      <vt:variant>
        <vt:i4>1441850</vt:i4>
      </vt:variant>
      <vt:variant>
        <vt:i4>172</vt:i4>
      </vt:variant>
      <vt:variant>
        <vt:i4>0</vt:i4>
      </vt:variant>
      <vt:variant>
        <vt:i4>5</vt:i4>
      </vt:variant>
      <vt:variant>
        <vt:lpwstr/>
      </vt:variant>
      <vt:variant>
        <vt:lpwstr>_Toc88277977</vt:lpwstr>
      </vt:variant>
      <vt:variant>
        <vt:i4>1507386</vt:i4>
      </vt:variant>
      <vt:variant>
        <vt:i4>166</vt:i4>
      </vt:variant>
      <vt:variant>
        <vt:i4>0</vt:i4>
      </vt:variant>
      <vt:variant>
        <vt:i4>5</vt:i4>
      </vt:variant>
      <vt:variant>
        <vt:lpwstr/>
      </vt:variant>
      <vt:variant>
        <vt:lpwstr>_Toc88277976</vt:lpwstr>
      </vt:variant>
      <vt:variant>
        <vt:i4>1310778</vt:i4>
      </vt:variant>
      <vt:variant>
        <vt:i4>160</vt:i4>
      </vt:variant>
      <vt:variant>
        <vt:i4>0</vt:i4>
      </vt:variant>
      <vt:variant>
        <vt:i4>5</vt:i4>
      </vt:variant>
      <vt:variant>
        <vt:lpwstr/>
      </vt:variant>
      <vt:variant>
        <vt:lpwstr>_Toc88277975</vt:lpwstr>
      </vt:variant>
      <vt:variant>
        <vt:i4>1376314</vt:i4>
      </vt:variant>
      <vt:variant>
        <vt:i4>154</vt:i4>
      </vt:variant>
      <vt:variant>
        <vt:i4>0</vt:i4>
      </vt:variant>
      <vt:variant>
        <vt:i4>5</vt:i4>
      </vt:variant>
      <vt:variant>
        <vt:lpwstr/>
      </vt:variant>
      <vt:variant>
        <vt:lpwstr>_Toc88277974</vt:lpwstr>
      </vt:variant>
      <vt:variant>
        <vt:i4>1179706</vt:i4>
      </vt:variant>
      <vt:variant>
        <vt:i4>148</vt:i4>
      </vt:variant>
      <vt:variant>
        <vt:i4>0</vt:i4>
      </vt:variant>
      <vt:variant>
        <vt:i4>5</vt:i4>
      </vt:variant>
      <vt:variant>
        <vt:lpwstr/>
      </vt:variant>
      <vt:variant>
        <vt:lpwstr>_Toc88277973</vt:lpwstr>
      </vt:variant>
      <vt:variant>
        <vt:i4>1245242</vt:i4>
      </vt:variant>
      <vt:variant>
        <vt:i4>142</vt:i4>
      </vt:variant>
      <vt:variant>
        <vt:i4>0</vt:i4>
      </vt:variant>
      <vt:variant>
        <vt:i4>5</vt:i4>
      </vt:variant>
      <vt:variant>
        <vt:lpwstr/>
      </vt:variant>
      <vt:variant>
        <vt:lpwstr>_Toc88277972</vt:lpwstr>
      </vt:variant>
      <vt:variant>
        <vt:i4>1048634</vt:i4>
      </vt:variant>
      <vt:variant>
        <vt:i4>136</vt:i4>
      </vt:variant>
      <vt:variant>
        <vt:i4>0</vt:i4>
      </vt:variant>
      <vt:variant>
        <vt:i4>5</vt:i4>
      </vt:variant>
      <vt:variant>
        <vt:lpwstr/>
      </vt:variant>
      <vt:variant>
        <vt:lpwstr>_Toc88277971</vt:lpwstr>
      </vt:variant>
      <vt:variant>
        <vt:i4>1114170</vt:i4>
      </vt:variant>
      <vt:variant>
        <vt:i4>130</vt:i4>
      </vt:variant>
      <vt:variant>
        <vt:i4>0</vt:i4>
      </vt:variant>
      <vt:variant>
        <vt:i4>5</vt:i4>
      </vt:variant>
      <vt:variant>
        <vt:lpwstr/>
      </vt:variant>
      <vt:variant>
        <vt:lpwstr>_Toc88277970</vt:lpwstr>
      </vt:variant>
      <vt:variant>
        <vt:i4>1572923</vt:i4>
      </vt:variant>
      <vt:variant>
        <vt:i4>124</vt:i4>
      </vt:variant>
      <vt:variant>
        <vt:i4>0</vt:i4>
      </vt:variant>
      <vt:variant>
        <vt:i4>5</vt:i4>
      </vt:variant>
      <vt:variant>
        <vt:lpwstr/>
      </vt:variant>
      <vt:variant>
        <vt:lpwstr>_Toc88277969</vt:lpwstr>
      </vt:variant>
      <vt:variant>
        <vt:i4>1638459</vt:i4>
      </vt:variant>
      <vt:variant>
        <vt:i4>118</vt:i4>
      </vt:variant>
      <vt:variant>
        <vt:i4>0</vt:i4>
      </vt:variant>
      <vt:variant>
        <vt:i4>5</vt:i4>
      </vt:variant>
      <vt:variant>
        <vt:lpwstr/>
      </vt:variant>
      <vt:variant>
        <vt:lpwstr>_Toc88277968</vt:lpwstr>
      </vt:variant>
      <vt:variant>
        <vt:i4>1441851</vt:i4>
      </vt:variant>
      <vt:variant>
        <vt:i4>112</vt:i4>
      </vt:variant>
      <vt:variant>
        <vt:i4>0</vt:i4>
      </vt:variant>
      <vt:variant>
        <vt:i4>5</vt:i4>
      </vt:variant>
      <vt:variant>
        <vt:lpwstr/>
      </vt:variant>
      <vt:variant>
        <vt:lpwstr>_Toc88277967</vt:lpwstr>
      </vt:variant>
      <vt:variant>
        <vt:i4>1507387</vt:i4>
      </vt:variant>
      <vt:variant>
        <vt:i4>106</vt:i4>
      </vt:variant>
      <vt:variant>
        <vt:i4>0</vt:i4>
      </vt:variant>
      <vt:variant>
        <vt:i4>5</vt:i4>
      </vt:variant>
      <vt:variant>
        <vt:lpwstr/>
      </vt:variant>
      <vt:variant>
        <vt:lpwstr>_Toc88277966</vt:lpwstr>
      </vt:variant>
      <vt:variant>
        <vt:i4>1310779</vt:i4>
      </vt:variant>
      <vt:variant>
        <vt:i4>100</vt:i4>
      </vt:variant>
      <vt:variant>
        <vt:i4>0</vt:i4>
      </vt:variant>
      <vt:variant>
        <vt:i4>5</vt:i4>
      </vt:variant>
      <vt:variant>
        <vt:lpwstr/>
      </vt:variant>
      <vt:variant>
        <vt:lpwstr>_Toc88277965</vt:lpwstr>
      </vt:variant>
      <vt:variant>
        <vt:i4>1376315</vt:i4>
      </vt:variant>
      <vt:variant>
        <vt:i4>94</vt:i4>
      </vt:variant>
      <vt:variant>
        <vt:i4>0</vt:i4>
      </vt:variant>
      <vt:variant>
        <vt:i4>5</vt:i4>
      </vt:variant>
      <vt:variant>
        <vt:lpwstr/>
      </vt:variant>
      <vt:variant>
        <vt:lpwstr>_Toc88277964</vt:lpwstr>
      </vt:variant>
      <vt:variant>
        <vt:i4>1179707</vt:i4>
      </vt:variant>
      <vt:variant>
        <vt:i4>88</vt:i4>
      </vt:variant>
      <vt:variant>
        <vt:i4>0</vt:i4>
      </vt:variant>
      <vt:variant>
        <vt:i4>5</vt:i4>
      </vt:variant>
      <vt:variant>
        <vt:lpwstr/>
      </vt:variant>
      <vt:variant>
        <vt:lpwstr>_Toc88277963</vt:lpwstr>
      </vt:variant>
      <vt:variant>
        <vt:i4>1245243</vt:i4>
      </vt:variant>
      <vt:variant>
        <vt:i4>82</vt:i4>
      </vt:variant>
      <vt:variant>
        <vt:i4>0</vt:i4>
      </vt:variant>
      <vt:variant>
        <vt:i4>5</vt:i4>
      </vt:variant>
      <vt:variant>
        <vt:lpwstr/>
      </vt:variant>
      <vt:variant>
        <vt:lpwstr>_Toc88277962</vt:lpwstr>
      </vt:variant>
      <vt:variant>
        <vt:i4>1048635</vt:i4>
      </vt:variant>
      <vt:variant>
        <vt:i4>76</vt:i4>
      </vt:variant>
      <vt:variant>
        <vt:i4>0</vt:i4>
      </vt:variant>
      <vt:variant>
        <vt:i4>5</vt:i4>
      </vt:variant>
      <vt:variant>
        <vt:lpwstr/>
      </vt:variant>
      <vt:variant>
        <vt:lpwstr>_Toc88277961</vt:lpwstr>
      </vt:variant>
      <vt:variant>
        <vt:i4>1114171</vt:i4>
      </vt:variant>
      <vt:variant>
        <vt:i4>70</vt:i4>
      </vt:variant>
      <vt:variant>
        <vt:i4>0</vt:i4>
      </vt:variant>
      <vt:variant>
        <vt:i4>5</vt:i4>
      </vt:variant>
      <vt:variant>
        <vt:lpwstr/>
      </vt:variant>
      <vt:variant>
        <vt:lpwstr>_Toc88277960</vt:lpwstr>
      </vt:variant>
      <vt:variant>
        <vt:i4>1572920</vt:i4>
      </vt:variant>
      <vt:variant>
        <vt:i4>64</vt:i4>
      </vt:variant>
      <vt:variant>
        <vt:i4>0</vt:i4>
      </vt:variant>
      <vt:variant>
        <vt:i4>5</vt:i4>
      </vt:variant>
      <vt:variant>
        <vt:lpwstr/>
      </vt:variant>
      <vt:variant>
        <vt:lpwstr>_Toc88277959</vt:lpwstr>
      </vt:variant>
      <vt:variant>
        <vt:i4>1638456</vt:i4>
      </vt:variant>
      <vt:variant>
        <vt:i4>58</vt:i4>
      </vt:variant>
      <vt:variant>
        <vt:i4>0</vt:i4>
      </vt:variant>
      <vt:variant>
        <vt:i4>5</vt:i4>
      </vt:variant>
      <vt:variant>
        <vt:lpwstr/>
      </vt:variant>
      <vt:variant>
        <vt:lpwstr>_Toc88277958</vt:lpwstr>
      </vt:variant>
      <vt:variant>
        <vt:i4>1441848</vt:i4>
      </vt:variant>
      <vt:variant>
        <vt:i4>52</vt:i4>
      </vt:variant>
      <vt:variant>
        <vt:i4>0</vt:i4>
      </vt:variant>
      <vt:variant>
        <vt:i4>5</vt:i4>
      </vt:variant>
      <vt:variant>
        <vt:lpwstr/>
      </vt:variant>
      <vt:variant>
        <vt:lpwstr>_Toc88277957</vt:lpwstr>
      </vt:variant>
      <vt:variant>
        <vt:i4>1507384</vt:i4>
      </vt:variant>
      <vt:variant>
        <vt:i4>46</vt:i4>
      </vt:variant>
      <vt:variant>
        <vt:i4>0</vt:i4>
      </vt:variant>
      <vt:variant>
        <vt:i4>5</vt:i4>
      </vt:variant>
      <vt:variant>
        <vt:lpwstr/>
      </vt:variant>
      <vt:variant>
        <vt:lpwstr>_Toc88277956</vt:lpwstr>
      </vt:variant>
      <vt:variant>
        <vt:i4>1310776</vt:i4>
      </vt:variant>
      <vt:variant>
        <vt:i4>40</vt:i4>
      </vt:variant>
      <vt:variant>
        <vt:i4>0</vt:i4>
      </vt:variant>
      <vt:variant>
        <vt:i4>5</vt:i4>
      </vt:variant>
      <vt:variant>
        <vt:lpwstr/>
      </vt:variant>
      <vt:variant>
        <vt:lpwstr>_Toc88277955</vt:lpwstr>
      </vt:variant>
      <vt:variant>
        <vt:i4>1376312</vt:i4>
      </vt:variant>
      <vt:variant>
        <vt:i4>34</vt:i4>
      </vt:variant>
      <vt:variant>
        <vt:i4>0</vt:i4>
      </vt:variant>
      <vt:variant>
        <vt:i4>5</vt:i4>
      </vt:variant>
      <vt:variant>
        <vt:lpwstr/>
      </vt:variant>
      <vt:variant>
        <vt:lpwstr>_Toc88277954</vt:lpwstr>
      </vt:variant>
      <vt:variant>
        <vt:i4>1179704</vt:i4>
      </vt:variant>
      <vt:variant>
        <vt:i4>28</vt:i4>
      </vt:variant>
      <vt:variant>
        <vt:i4>0</vt:i4>
      </vt:variant>
      <vt:variant>
        <vt:i4>5</vt:i4>
      </vt:variant>
      <vt:variant>
        <vt:lpwstr/>
      </vt:variant>
      <vt:variant>
        <vt:lpwstr>_Toc88277953</vt:lpwstr>
      </vt:variant>
      <vt:variant>
        <vt:i4>1245240</vt:i4>
      </vt:variant>
      <vt:variant>
        <vt:i4>22</vt:i4>
      </vt:variant>
      <vt:variant>
        <vt:i4>0</vt:i4>
      </vt:variant>
      <vt:variant>
        <vt:i4>5</vt:i4>
      </vt:variant>
      <vt:variant>
        <vt:lpwstr/>
      </vt:variant>
      <vt:variant>
        <vt:lpwstr>_Toc88277952</vt:lpwstr>
      </vt:variant>
      <vt:variant>
        <vt:i4>1048632</vt:i4>
      </vt:variant>
      <vt:variant>
        <vt:i4>16</vt:i4>
      </vt:variant>
      <vt:variant>
        <vt:i4>0</vt:i4>
      </vt:variant>
      <vt:variant>
        <vt:i4>5</vt:i4>
      </vt:variant>
      <vt:variant>
        <vt:lpwstr/>
      </vt:variant>
      <vt:variant>
        <vt:lpwstr>_Toc88277951</vt:lpwstr>
      </vt:variant>
      <vt:variant>
        <vt:i4>1114168</vt:i4>
      </vt:variant>
      <vt:variant>
        <vt:i4>10</vt:i4>
      </vt:variant>
      <vt:variant>
        <vt:i4>0</vt:i4>
      </vt:variant>
      <vt:variant>
        <vt:i4>5</vt:i4>
      </vt:variant>
      <vt:variant>
        <vt:lpwstr/>
      </vt:variant>
      <vt:variant>
        <vt:lpwstr>_Toc88277950</vt:lpwstr>
      </vt:variant>
      <vt:variant>
        <vt:i4>1572921</vt:i4>
      </vt:variant>
      <vt:variant>
        <vt:i4>4</vt:i4>
      </vt:variant>
      <vt:variant>
        <vt:i4>0</vt:i4>
      </vt:variant>
      <vt:variant>
        <vt:i4>5</vt:i4>
      </vt:variant>
      <vt:variant>
        <vt:lpwstr/>
      </vt:variant>
      <vt:variant>
        <vt:lpwstr>_Toc88277949</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cannada</dc:creator>
  <cp:lastModifiedBy>Mitch Bryman</cp:lastModifiedBy>
  <cp:revision>3</cp:revision>
  <cp:lastPrinted>2013-05-06T20:18:00Z</cp:lastPrinted>
  <dcterms:created xsi:type="dcterms:W3CDTF">2014-05-27T18:34:00Z</dcterms:created>
  <dcterms:modified xsi:type="dcterms:W3CDTF">2014-05-28T10:45:00Z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-1397339154</vt:i4>
  </property>
  <property fmtid="{D5CDD505-2E9C-101B-9397-08002B2CF9AE}" pid="4" name="_EmailSubject">
    <vt:lpwstr>OMB Follow Up (attached) &gt; RE: No News</vt:lpwstr>
  </property>
  <property fmtid="{D5CDD505-2E9C-101B-9397-08002B2CF9AE}" pid="5" name="_AuthorEmail">
    <vt:lpwstr>Caren.Ginsberg@cms.hhs.gov</vt:lpwstr>
  </property>
  <property fmtid="{D5CDD505-2E9C-101B-9397-08002B2CF9AE}" pid="6" name="_AuthorEmailDisplayName">
    <vt:lpwstr>Ginsberg, Caren A. (CMS/CM)</vt:lpwstr>
  </property>
  <property fmtid="{D5CDD505-2E9C-101B-9397-08002B2CF9AE}" pid="7" name="_PreviousAdHocReviewCycleID">
    <vt:i4>-19182787</vt:i4>
  </property>
</Properties>
</file>