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EE9" w:rsidRPr="00D725C0" w:rsidRDefault="00760F33" w:rsidP="00880EE9">
      <w:pPr>
        <w:tabs>
          <w:tab w:val="center" w:pos="4680"/>
        </w:tabs>
        <w:jc w:val="center"/>
        <w:rPr>
          <w:b/>
          <w:bCs/>
          <w:sz w:val="24"/>
        </w:rPr>
      </w:pPr>
      <w:r w:rsidRPr="00760F33">
        <w:rPr>
          <w:b/>
          <w:bCs/>
          <w:sz w:val="24"/>
        </w:rPr>
        <w:t>Supporting Statement</w:t>
      </w:r>
    </w:p>
    <w:p w:rsidR="00880EE9" w:rsidRPr="00D725C0" w:rsidRDefault="00880EE9" w:rsidP="00880EE9">
      <w:pPr>
        <w:tabs>
          <w:tab w:val="center" w:pos="4680"/>
        </w:tabs>
        <w:jc w:val="center"/>
        <w:rPr>
          <w:b/>
          <w:bCs/>
          <w:sz w:val="24"/>
        </w:rPr>
      </w:pPr>
    </w:p>
    <w:p w:rsidR="00880EE9" w:rsidRPr="00D725C0" w:rsidRDefault="00760F33" w:rsidP="00880EE9">
      <w:pPr>
        <w:pStyle w:val="Title"/>
        <w:rPr>
          <w:sz w:val="24"/>
          <w:szCs w:val="24"/>
        </w:rPr>
      </w:pPr>
      <w:r w:rsidRPr="00760F33">
        <w:rPr>
          <w:sz w:val="24"/>
          <w:szCs w:val="24"/>
        </w:rPr>
        <w:t xml:space="preserve">Understanding and Monitoring Funding Streams in </w:t>
      </w:r>
    </w:p>
    <w:p w:rsidR="00880EE9" w:rsidRPr="00D725C0" w:rsidRDefault="00760F33" w:rsidP="00880EE9">
      <w:pPr>
        <w:pStyle w:val="Title"/>
        <w:rPr>
          <w:b w:val="0"/>
          <w:smallCaps/>
          <w:sz w:val="24"/>
          <w:szCs w:val="24"/>
        </w:rPr>
      </w:pPr>
      <w:r w:rsidRPr="00760F33">
        <w:rPr>
          <w:sz w:val="24"/>
          <w:szCs w:val="24"/>
        </w:rPr>
        <w:t xml:space="preserve">Ryan White Clinics </w:t>
      </w:r>
    </w:p>
    <w:p w:rsidR="00880EE9" w:rsidRPr="00D725C0" w:rsidRDefault="00880EE9" w:rsidP="00880EE9">
      <w:pPr>
        <w:tabs>
          <w:tab w:val="center" w:pos="4680"/>
        </w:tabs>
        <w:jc w:val="center"/>
        <w:rPr>
          <w:b/>
          <w:bCs/>
          <w:sz w:val="24"/>
        </w:rPr>
      </w:pPr>
    </w:p>
    <w:p w:rsidR="00880EE9" w:rsidRPr="00D725C0" w:rsidRDefault="00760F33" w:rsidP="00880EE9">
      <w:pPr>
        <w:tabs>
          <w:tab w:val="center" w:pos="4680"/>
        </w:tabs>
        <w:jc w:val="center"/>
        <w:rPr>
          <w:b/>
          <w:bCs/>
          <w:sz w:val="24"/>
        </w:rPr>
      </w:pPr>
      <w:r w:rsidRPr="00760F33">
        <w:rPr>
          <w:b/>
          <w:bCs/>
          <w:sz w:val="24"/>
        </w:rPr>
        <w:t>OMB Control No. 0915</w:t>
      </w:r>
      <w:r w:rsidRPr="00760F33">
        <w:rPr>
          <w:b/>
          <w:bCs/>
          <w:sz w:val="24"/>
          <w:highlight w:val="yellow"/>
        </w:rPr>
        <w:t>-XXXX</w:t>
      </w:r>
    </w:p>
    <w:p w:rsidR="00424E25" w:rsidRPr="00D725C0" w:rsidRDefault="00424E25">
      <w:pPr>
        <w:rPr>
          <w:sz w:val="24"/>
        </w:rPr>
      </w:pPr>
    </w:p>
    <w:p w:rsidR="00F5257F" w:rsidRPr="00D725C0" w:rsidRDefault="00F5257F" w:rsidP="00560B05">
      <w:pPr>
        <w:pStyle w:val="Heading1"/>
        <w:numPr>
          <w:ilvl w:val="0"/>
          <w:numId w:val="1"/>
        </w:numPr>
        <w:tabs>
          <w:tab w:val="left" w:pos="360"/>
        </w:tabs>
        <w:spacing w:before="120"/>
        <w:ind w:left="360"/>
      </w:pPr>
      <w:r w:rsidRPr="00D725C0">
        <w:t xml:space="preserve">Collection of Information Employing Statistical Methods </w:t>
      </w:r>
    </w:p>
    <w:p w:rsidR="00F5257F" w:rsidRPr="00D725C0" w:rsidRDefault="00F5257F">
      <w:pPr>
        <w:rPr>
          <w:sz w:val="24"/>
        </w:rPr>
      </w:pPr>
    </w:p>
    <w:p w:rsidR="00F5257F" w:rsidRPr="00D725C0" w:rsidRDefault="00F5257F" w:rsidP="00EF7074">
      <w:pPr>
        <w:pStyle w:val="ListParagraph"/>
        <w:numPr>
          <w:ilvl w:val="0"/>
          <w:numId w:val="2"/>
        </w:numPr>
        <w:ind w:left="360"/>
        <w:rPr>
          <w:sz w:val="24"/>
        </w:rPr>
      </w:pPr>
      <w:r w:rsidRPr="00D725C0">
        <w:rPr>
          <w:b/>
          <w:bCs/>
          <w:sz w:val="24"/>
        </w:rPr>
        <w:t>Respondent Universe and Sampling Methods</w:t>
      </w:r>
    </w:p>
    <w:p w:rsidR="00B12F28" w:rsidRDefault="00B12F28" w:rsidP="00B12F28">
      <w:pPr>
        <w:contextualSpacing/>
        <w:rPr>
          <w:i/>
          <w:sz w:val="24"/>
        </w:rPr>
      </w:pPr>
    </w:p>
    <w:p w:rsidR="00A203E6" w:rsidRPr="00EF7074" w:rsidRDefault="00A203E6" w:rsidP="00B12F28">
      <w:pPr>
        <w:contextualSpacing/>
        <w:rPr>
          <w:b/>
          <w:i/>
          <w:sz w:val="24"/>
        </w:rPr>
      </w:pPr>
      <w:r w:rsidRPr="00EF7074">
        <w:rPr>
          <w:b/>
          <w:i/>
          <w:sz w:val="24"/>
        </w:rPr>
        <w:t>Study Population</w:t>
      </w:r>
    </w:p>
    <w:p w:rsidR="00C8181C" w:rsidRPr="001E6353" w:rsidRDefault="00C8181C" w:rsidP="00C8181C">
      <w:pPr>
        <w:contextualSpacing/>
        <w:rPr>
          <w:sz w:val="24"/>
        </w:rPr>
      </w:pPr>
      <w:r w:rsidRPr="001E6353">
        <w:rPr>
          <w:sz w:val="24"/>
        </w:rPr>
        <w:t>The study population will include grantee</w:t>
      </w:r>
      <w:r>
        <w:rPr>
          <w:sz w:val="24"/>
        </w:rPr>
        <w:t>s</w:t>
      </w:r>
      <w:r w:rsidRPr="001E6353">
        <w:rPr>
          <w:sz w:val="24"/>
        </w:rPr>
        <w:t xml:space="preserve"> who meet the following criteria: </w:t>
      </w:r>
    </w:p>
    <w:p w:rsidR="00C8181C" w:rsidRPr="001E6353" w:rsidRDefault="00C8181C" w:rsidP="00C8181C">
      <w:pPr>
        <w:pStyle w:val="ListParagraph"/>
        <w:widowControl/>
        <w:numPr>
          <w:ilvl w:val="0"/>
          <w:numId w:val="3"/>
        </w:numPr>
        <w:autoSpaceDE/>
        <w:autoSpaceDN/>
        <w:adjustRightInd/>
        <w:spacing w:after="200" w:line="276" w:lineRule="auto"/>
        <w:rPr>
          <w:sz w:val="24"/>
        </w:rPr>
      </w:pPr>
      <w:r w:rsidRPr="001E6353">
        <w:rPr>
          <w:sz w:val="24"/>
        </w:rPr>
        <w:t>lead agency for a Ryan White Part C and/or Part D grant</w:t>
      </w:r>
    </w:p>
    <w:p w:rsidR="00C8181C" w:rsidRPr="001E6353" w:rsidRDefault="00C8181C" w:rsidP="00C8181C">
      <w:pPr>
        <w:pStyle w:val="ListParagraph"/>
        <w:widowControl/>
        <w:numPr>
          <w:ilvl w:val="0"/>
          <w:numId w:val="3"/>
        </w:numPr>
        <w:autoSpaceDE/>
        <w:autoSpaceDN/>
        <w:adjustRightInd/>
        <w:spacing w:after="200" w:line="276" w:lineRule="auto"/>
        <w:rPr>
          <w:sz w:val="24"/>
        </w:rPr>
      </w:pPr>
      <w:r w:rsidRPr="001E6353">
        <w:rPr>
          <w:sz w:val="24"/>
        </w:rPr>
        <w:t>provide Ryan White services directly</w:t>
      </w:r>
    </w:p>
    <w:p w:rsidR="00C8181C" w:rsidRPr="001E6353" w:rsidRDefault="00C8181C" w:rsidP="00C8181C">
      <w:pPr>
        <w:pStyle w:val="ListParagraph"/>
        <w:widowControl/>
        <w:numPr>
          <w:ilvl w:val="0"/>
          <w:numId w:val="3"/>
        </w:numPr>
        <w:autoSpaceDE/>
        <w:autoSpaceDN/>
        <w:adjustRightInd/>
        <w:spacing w:after="200" w:line="276" w:lineRule="auto"/>
        <w:rPr>
          <w:sz w:val="24"/>
        </w:rPr>
      </w:pPr>
      <w:r w:rsidRPr="001E6353">
        <w:rPr>
          <w:sz w:val="24"/>
        </w:rPr>
        <w:t>provide outpatient/ambulatory care</w:t>
      </w:r>
    </w:p>
    <w:p w:rsidR="00C8181C" w:rsidRPr="001E6353" w:rsidRDefault="00C8181C" w:rsidP="00B12F28">
      <w:pPr>
        <w:pStyle w:val="ListParagraph"/>
        <w:widowControl/>
        <w:numPr>
          <w:ilvl w:val="0"/>
          <w:numId w:val="3"/>
        </w:numPr>
        <w:autoSpaceDE/>
        <w:autoSpaceDN/>
        <w:adjustRightInd/>
        <w:spacing w:line="276" w:lineRule="auto"/>
        <w:rPr>
          <w:sz w:val="24"/>
        </w:rPr>
      </w:pPr>
      <w:r w:rsidRPr="001E6353">
        <w:rPr>
          <w:sz w:val="24"/>
        </w:rPr>
        <w:t>served at least 10 clients with at least one outpatient/ambulatory care visit in 2012</w:t>
      </w:r>
    </w:p>
    <w:p w:rsidR="00B12F28" w:rsidRDefault="00B12F28" w:rsidP="00A203E6">
      <w:pPr>
        <w:contextualSpacing/>
        <w:rPr>
          <w:sz w:val="24"/>
        </w:rPr>
      </w:pPr>
    </w:p>
    <w:p w:rsidR="00515F2D" w:rsidRDefault="00515F2D" w:rsidP="00515F2D">
      <w:pPr>
        <w:rPr>
          <w:sz w:val="24"/>
        </w:rPr>
      </w:pPr>
      <w:r>
        <w:rPr>
          <w:sz w:val="24"/>
        </w:rPr>
        <w:t xml:space="preserve">Providers will be selected based on the most recent data available from the Ryan White HIV/AIDS Program Services Report (RSR).  </w:t>
      </w:r>
      <w:r w:rsidR="00417F1B">
        <w:rPr>
          <w:sz w:val="24"/>
        </w:rPr>
        <w:t xml:space="preserve"> Using the 2012 </w:t>
      </w:r>
      <w:r>
        <w:rPr>
          <w:sz w:val="24"/>
        </w:rPr>
        <w:t>RSR</w:t>
      </w:r>
      <w:r w:rsidR="00417F1B">
        <w:rPr>
          <w:sz w:val="24"/>
        </w:rPr>
        <w:t xml:space="preserve"> data</w:t>
      </w:r>
      <w:r>
        <w:rPr>
          <w:sz w:val="24"/>
        </w:rPr>
        <w:t xml:space="preserve">, there were 399 grantees with Part C, Part D, or both Part C and D grants. Grantees who are not providers are excluded from the study population because they do not have direct experience in serving clients and, therefore, do not coordinate different funding streams for payment of client services. Finally, among those that provide medical care, we will restrict the population further to those that serve a threshold number of 10 outpatient/ambulatory care clients. The 2012 data on provider types and number of clients served are not yet available, but will be used for the final sample selection. Based on RSR data from 2010 and 2011 reports, 309 Part C and D grantee-providers meet all of these criteria. </w:t>
      </w:r>
    </w:p>
    <w:p w:rsidR="00515F2D" w:rsidRDefault="00515F2D" w:rsidP="00A203E6">
      <w:pPr>
        <w:contextualSpacing/>
        <w:rPr>
          <w:sz w:val="24"/>
        </w:rPr>
      </w:pPr>
    </w:p>
    <w:p w:rsidR="00A203E6" w:rsidRPr="001E6353" w:rsidRDefault="00C8181C" w:rsidP="00A203E6">
      <w:pPr>
        <w:contextualSpacing/>
        <w:rPr>
          <w:sz w:val="24"/>
        </w:rPr>
      </w:pPr>
      <w:r>
        <w:rPr>
          <w:sz w:val="24"/>
        </w:rPr>
        <w:t>Additionally, t</w:t>
      </w:r>
      <w:r w:rsidR="00A203E6" w:rsidRPr="001E6353">
        <w:rPr>
          <w:sz w:val="24"/>
        </w:rPr>
        <w:t>here are two grantee</w:t>
      </w:r>
      <w:r w:rsidR="00F51470">
        <w:rPr>
          <w:sz w:val="24"/>
        </w:rPr>
        <w:t>-providers</w:t>
      </w:r>
      <w:r w:rsidR="00A203E6" w:rsidRPr="001E6353">
        <w:rPr>
          <w:sz w:val="24"/>
        </w:rPr>
        <w:t xml:space="preserve"> characteristics that are important to have represented in the completed survey responses. These include:</w:t>
      </w:r>
    </w:p>
    <w:p w:rsidR="00A203E6" w:rsidRPr="001E6353" w:rsidRDefault="00A203E6" w:rsidP="00A203E6">
      <w:pPr>
        <w:pStyle w:val="ListParagraph"/>
        <w:widowControl/>
        <w:numPr>
          <w:ilvl w:val="0"/>
          <w:numId w:val="4"/>
        </w:numPr>
        <w:autoSpaceDE/>
        <w:autoSpaceDN/>
        <w:adjustRightInd/>
        <w:spacing w:after="200" w:line="276" w:lineRule="auto"/>
        <w:rPr>
          <w:sz w:val="24"/>
        </w:rPr>
      </w:pPr>
      <w:r>
        <w:rPr>
          <w:sz w:val="24"/>
        </w:rPr>
        <w:t xml:space="preserve">Ryan White </w:t>
      </w:r>
      <w:r w:rsidR="00417B1B">
        <w:rPr>
          <w:sz w:val="24"/>
        </w:rPr>
        <w:t xml:space="preserve">HIV/AIDS Program </w:t>
      </w:r>
      <w:r w:rsidR="00B0791A">
        <w:rPr>
          <w:sz w:val="24"/>
        </w:rPr>
        <w:t>grant part</w:t>
      </w:r>
    </w:p>
    <w:p w:rsidR="00A203E6" w:rsidRPr="001E6353" w:rsidRDefault="00A203E6" w:rsidP="00B12F28">
      <w:pPr>
        <w:pStyle w:val="ListParagraph"/>
        <w:widowControl/>
        <w:numPr>
          <w:ilvl w:val="0"/>
          <w:numId w:val="4"/>
        </w:numPr>
        <w:autoSpaceDE/>
        <w:autoSpaceDN/>
        <w:adjustRightInd/>
        <w:spacing w:line="276" w:lineRule="auto"/>
        <w:rPr>
          <w:sz w:val="24"/>
        </w:rPr>
      </w:pPr>
      <w:r w:rsidRPr="001E6353">
        <w:rPr>
          <w:sz w:val="24"/>
        </w:rPr>
        <w:t>Grantee-</w:t>
      </w:r>
      <w:r w:rsidR="00B0791A">
        <w:rPr>
          <w:sz w:val="24"/>
        </w:rPr>
        <w:t>p</w:t>
      </w:r>
      <w:r w:rsidR="00B0791A" w:rsidRPr="001E6353">
        <w:rPr>
          <w:sz w:val="24"/>
        </w:rPr>
        <w:t xml:space="preserve">rovider </w:t>
      </w:r>
      <w:r w:rsidR="00B0791A">
        <w:rPr>
          <w:sz w:val="24"/>
        </w:rPr>
        <w:t>t</w:t>
      </w:r>
      <w:r w:rsidR="00B0791A" w:rsidRPr="001E6353">
        <w:rPr>
          <w:sz w:val="24"/>
        </w:rPr>
        <w:t>ype</w:t>
      </w:r>
      <w:r w:rsidR="00B0791A">
        <w:rPr>
          <w:sz w:val="24"/>
        </w:rPr>
        <w:t xml:space="preserve"> </w:t>
      </w:r>
    </w:p>
    <w:p w:rsidR="00B12F28" w:rsidRDefault="00B12F28" w:rsidP="00B12F28">
      <w:pPr>
        <w:pStyle w:val="Heading3"/>
        <w:spacing w:before="0"/>
        <w:rPr>
          <w:rFonts w:ascii="Times New Roman" w:hAnsi="Times New Roman" w:cs="Times New Roman"/>
          <w:b w:val="0"/>
          <w:i/>
          <w:color w:val="000000" w:themeColor="text1"/>
          <w:sz w:val="24"/>
          <w:szCs w:val="24"/>
        </w:rPr>
      </w:pPr>
    </w:p>
    <w:p w:rsidR="00A203E6" w:rsidRPr="0050373E" w:rsidRDefault="00A203E6" w:rsidP="00B12F28">
      <w:pPr>
        <w:pStyle w:val="Heading3"/>
        <w:spacing w:before="0"/>
        <w:rPr>
          <w:rFonts w:ascii="Times New Roman" w:hAnsi="Times New Roman" w:cs="Times New Roman"/>
          <w:i/>
          <w:color w:val="000000" w:themeColor="text1"/>
          <w:sz w:val="24"/>
          <w:szCs w:val="24"/>
        </w:rPr>
      </w:pPr>
      <w:r w:rsidRPr="0050373E">
        <w:rPr>
          <w:rFonts w:ascii="Times New Roman" w:hAnsi="Times New Roman" w:cs="Times New Roman"/>
          <w:i/>
          <w:color w:val="000000" w:themeColor="text1"/>
          <w:sz w:val="24"/>
          <w:szCs w:val="24"/>
        </w:rPr>
        <w:t>Ryan White Grant Part</w:t>
      </w:r>
    </w:p>
    <w:p w:rsidR="00A203E6" w:rsidRDefault="00A203E6" w:rsidP="00A203E6">
      <w:pPr>
        <w:rPr>
          <w:sz w:val="24"/>
        </w:rPr>
      </w:pPr>
      <w:r w:rsidRPr="001E6353">
        <w:rPr>
          <w:sz w:val="24"/>
        </w:rPr>
        <w:t xml:space="preserve">Part C and Part D funds are targeted to different populations. As a result, we expect that Part C and Part D grantees may use a different mix of funding streams to serve the needs of their clients. </w:t>
      </w:r>
    </w:p>
    <w:p w:rsidR="00B12F28" w:rsidRPr="001E6353" w:rsidRDefault="00B12F28" w:rsidP="00A203E6">
      <w:pPr>
        <w:rPr>
          <w:sz w:val="24"/>
        </w:rPr>
      </w:pPr>
    </w:p>
    <w:p w:rsidR="00A203E6" w:rsidRPr="00EF7074" w:rsidRDefault="00A203E6" w:rsidP="00B12F28">
      <w:pPr>
        <w:pStyle w:val="Heading3"/>
        <w:spacing w:before="0"/>
        <w:rPr>
          <w:rFonts w:ascii="Times New Roman" w:hAnsi="Times New Roman" w:cs="Times New Roman"/>
          <w:i/>
          <w:color w:val="000000" w:themeColor="text1"/>
          <w:sz w:val="24"/>
          <w:szCs w:val="24"/>
        </w:rPr>
      </w:pPr>
      <w:r w:rsidRPr="00EF7074">
        <w:rPr>
          <w:rFonts w:ascii="Times New Roman" w:hAnsi="Times New Roman" w:cs="Times New Roman"/>
          <w:i/>
          <w:color w:val="000000" w:themeColor="text1"/>
          <w:sz w:val="24"/>
          <w:szCs w:val="24"/>
        </w:rPr>
        <w:t>Grantee-Provider Type</w:t>
      </w:r>
    </w:p>
    <w:p w:rsidR="00C8181C" w:rsidRDefault="00A203E6" w:rsidP="00C8181C">
      <w:pPr>
        <w:rPr>
          <w:sz w:val="24"/>
        </w:rPr>
      </w:pPr>
      <w:bookmarkStart w:id="0" w:name="_Toc343983247"/>
      <w:r w:rsidRPr="001E6353">
        <w:rPr>
          <w:sz w:val="24"/>
        </w:rPr>
        <w:t xml:space="preserve">We expect that </w:t>
      </w:r>
      <w:r w:rsidR="00F51470">
        <w:rPr>
          <w:sz w:val="24"/>
        </w:rPr>
        <w:t>g</w:t>
      </w:r>
      <w:r w:rsidRPr="001E6353">
        <w:rPr>
          <w:sz w:val="24"/>
        </w:rPr>
        <w:t>rantee-</w:t>
      </w:r>
      <w:r w:rsidR="00F51470">
        <w:rPr>
          <w:sz w:val="24"/>
        </w:rPr>
        <w:t>p</w:t>
      </w:r>
      <w:r w:rsidRPr="001E6353">
        <w:rPr>
          <w:sz w:val="24"/>
        </w:rPr>
        <w:t xml:space="preserve">rovider </w:t>
      </w:r>
      <w:r w:rsidR="00F51470">
        <w:rPr>
          <w:sz w:val="24"/>
        </w:rPr>
        <w:t>t</w:t>
      </w:r>
      <w:r w:rsidRPr="001E6353">
        <w:rPr>
          <w:sz w:val="24"/>
        </w:rPr>
        <w:t>ype (</w:t>
      </w:r>
      <w:r w:rsidR="00F51470">
        <w:rPr>
          <w:sz w:val="24"/>
        </w:rPr>
        <w:t xml:space="preserve">as </w:t>
      </w:r>
      <w:r w:rsidRPr="001E6353">
        <w:rPr>
          <w:sz w:val="24"/>
        </w:rPr>
        <w:t>defined in the RSR) will capture fundamental organizational differences among grantee-providers. Grantee-</w:t>
      </w:r>
      <w:r w:rsidR="00F51470">
        <w:rPr>
          <w:sz w:val="24"/>
        </w:rPr>
        <w:t>p</w:t>
      </w:r>
      <w:r w:rsidRPr="001E6353">
        <w:rPr>
          <w:sz w:val="24"/>
        </w:rPr>
        <w:t xml:space="preserve">rovider type is likely closely correlated with whether or not the grantee-provider is reimbursed by insurance, receives other </w:t>
      </w:r>
      <w:r w:rsidRPr="001E6353">
        <w:rPr>
          <w:sz w:val="24"/>
        </w:rPr>
        <w:lastRenderedPageBreak/>
        <w:t>grants, or shares resources with a larger organization. It is also likely to reflect differences in</w:t>
      </w:r>
      <w:r w:rsidR="00F51470">
        <w:rPr>
          <w:sz w:val="24"/>
        </w:rPr>
        <w:t xml:space="preserve"> their</w:t>
      </w:r>
      <w:r w:rsidRPr="001E6353">
        <w:rPr>
          <w:sz w:val="24"/>
        </w:rPr>
        <w:t xml:space="preserve"> ability to track the different funding streams used to support the provision of services.</w:t>
      </w:r>
      <w:r w:rsidR="00C8181C" w:rsidRPr="001E6353" w:rsidDel="00C8181C">
        <w:rPr>
          <w:sz w:val="24"/>
        </w:rPr>
        <w:t xml:space="preserve"> </w:t>
      </w:r>
      <w:bookmarkEnd w:id="0"/>
    </w:p>
    <w:p w:rsidR="00B12F28" w:rsidRPr="001E6353" w:rsidRDefault="00B12F28" w:rsidP="00C8181C">
      <w:pPr>
        <w:rPr>
          <w:sz w:val="24"/>
        </w:rPr>
      </w:pPr>
    </w:p>
    <w:p w:rsidR="004D4022" w:rsidRPr="0050373E" w:rsidRDefault="00A203E6">
      <w:pPr>
        <w:rPr>
          <w:b/>
          <w:i/>
          <w:sz w:val="24"/>
        </w:rPr>
      </w:pPr>
      <w:r w:rsidRPr="0050373E">
        <w:rPr>
          <w:b/>
          <w:i/>
          <w:sz w:val="24"/>
        </w:rPr>
        <w:t>Stratified Random Sample by Study Population by Key Characteristics</w:t>
      </w:r>
      <w:bookmarkStart w:id="1" w:name="_Toc343983249"/>
    </w:p>
    <w:p w:rsidR="00A203E6" w:rsidRDefault="00A203E6" w:rsidP="00A203E6">
      <w:pPr>
        <w:rPr>
          <w:sz w:val="24"/>
        </w:rPr>
      </w:pPr>
      <w:r w:rsidRPr="00E34332">
        <w:rPr>
          <w:sz w:val="24"/>
        </w:rPr>
        <w:t xml:space="preserve">Table 1 below organizes the study population into the Ryan White Grant Part and Grantee-Provider Type characteristics discussed above. Each cell represents the number of grantee-providers with two combined characteristics (category). In </w:t>
      </w:r>
      <w:r w:rsidR="00424E25" w:rsidRPr="00E34332">
        <w:rPr>
          <w:sz w:val="24"/>
        </w:rPr>
        <w:t xml:space="preserve">the </w:t>
      </w:r>
      <w:r w:rsidRPr="00E34332">
        <w:rPr>
          <w:sz w:val="24"/>
        </w:rPr>
        <w:t>last column</w:t>
      </w:r>
      <w:r w:rsidR="00FF5BC5" w:rsidRPr="00E34332">
        <w:rPr>
          <w:sz w:val="24"/>
        </w:rPr>
        <w:t>,</w:t>
      </w:r>
      <w:r w:rsidRPr="00E34332">
        <w:rPr>
          <w:sz w:val="24"/>
        </w:rPr>
        <w:t xml:space="preserve"> Solo/Group Private Practice grantees were combined with </w:t>
      </w:r>
      <w:r w:rsidR="00764598" w:rsidRPr="00E34332">
        <w:rPr>
          <w:sz w:val="24"/>
        </w:rPr>
        <w:t xml:space="preserve">other types of </w:t>
      </w:r>
      <w:r w:rsidRPr="00E34332">
        <w:rPr>
          <w:sz w:val="24"/>
        </w:rPr>
        <w:t>grantees</w:t>
      </w:r>
      <w:r w:rsidR="00764598" w:rsidRPr="00E34332">
        <w:rPr>
          <w:sz w:val="24"/>
        </w:rPr>
        <w:t xml:space="preserve"> (e.g., substance abuse treatment center)</w:t>
      </w:r>
      <w:r w:rsidRPr="00E34332">
        <w:rPr>
          <w:sz w:val="24"/>
        </w:rPr>
        <w:t xml:space="preserve">. Due to the small numbers and the ambiguity of this combined category, it will not be sampled. </w:t>
      </w:r>
      <w:bookmarkEnd w:id="1"/>
      <w:r w:rsidR="00484CFE" w:rsidRPr="00E34332">
        <w:rPr>
          <w:sz w:val="24"/>
        </w:rPr>
        <w:t xml:space="preserve">There were </w:t>
      </w:r>
      <w:r w:rsidR="002D63B0" w:rsidRPr="00E34332">
        <w:rPr>
          <w:sz w:val="24"/>
        </w:rPr>
        <w:t xml:space="preserve">also </w:t>
      </w:r>
      <w:r w:rsidR="00484CFE" w:rsidRPr="00E34332">
        <w:rPr>
          <w:sz w:val="24"/>
        </w:rPr>
        <w:t>only 12 grantee-providers who received Part D funding</w:t>
      </w:r>
      <w:r w:rsidR="002D63B0" w:rsidRPr="00E34332">
        <w:rPr>
          <w:sz w:val="24"/>
        </w:rPr>
        <w:t xml:space="preserve"> only</w:t>
      </w:r>
      <w:r w:rsidR="00484CFE" w:rsidRPr="00E34332">
        <w:rPr>
          <w:sz w:val="24"/>
        </w:rPr>
        <w:t>, so these providers were combined with those who received both Parts C and D funding.</w:t>
      </w:r>
      <w:r w:rsidR="00917ABA" w:rsidRPr="00E34332">
        <w:rPr>
          <w:sz w:val="24"/>
        </w:rPr>
        <w:t xml:space="preserve"> The numbers in parentheses in each cell represent the number to be sampled from </w:t>
      </w:r>
      <w:r w:rsidR="002D63B0" w:rsidRPr="00E34332">
        <w:rPr>
          <w:sz w:val="24"/>
        </w:rPr>
        <w:t>each category</w:t>
      </w:r>
      <w:r w:rsidR="00917ABA" w:rsidRPr="00E34332">
        <w:rPr>
          <w:sz w:val="24"/>
        </w:rPr>
        <w:t>.</w:t>
      </w:r>
    </w:p>
    <w:p w:rsidR="00A203E6" w:rsidRPr="001D7F33" w:rsidRDefault="00A203E6" w:rsidP="00A203E6">
      <w:pPr>
        <w:rPr>
          <w:i/>
          <w:sz w:val="24"/>
        </w:rPr>
      </w:pPr>
    </w:p>
    <w:p w:rsidR="00A203E6" w:rsidRDefault="00A203E6" w:rsidP="00A203E6">
      <w:pPr>
        <w:jc w:val="center"/>
        <w:rPr>
          <w:b/>
          <w:sz w:val="24"/>
        </w:rPr>
      </w:pPr>
      <w:proofErr w:type="gramStart"/>
      <w:r w:rsidRPr="008B44F5">
        <w:rPr>
          <w:b/>
          <w:sz w:val="24"/>
        </w:rPr>
        <w:t>Table 1.</w:t>
      </w:r>
      <w:proofErr w:type="gramEnd"/>
      <w:r w:rsidRPr="008B44F5">
        <w:rPr>
          <w:b/>
          <w:sz w:val="24"/>
        </w:rPr>
        <w:t xml:space="preserve"> Sampling </w:t>
      </w:r>
      <w:r w:rsidR="00A507B0">
        <w:rPr>
          <w:b/>
          <w:sz w:val="24"/>
        </w:rPr>
        <w:t>Frame</w:t>
      </w:r>
      <w:r w:rsidR="00A507B0" w:rsidRPr="008B44F5">
        <w:rPr>
          <w:b/>
          <w:sz w:val="24"/>
        </w:rPr>
        <w:t xml:space="preserve"> </w:t>
      </w:r>
      <w:r w:rsidR="00A507B0">
        <w:rPr>
          <w:b/>
          <w:sz w:val="24"/>
        </w:rPr>
        <w:t>/</w:t>
      </w:r>
      <w:r w:rsidRPr="008B44F5">
        <w:rPr>
          <w:b/>
          <w:sz w:val="24"/>
        </w:rPr>
        <w:t xml:space="preserve"> Study Population by Key Characteristics</w:t>
      </w:r>
    </w:p>
    <w:p w:rsidR="00560B05" w:rsidRPr="008B44F5" w:rsidRDefault="00560B05" w:rsidP="00A203E6">
      <w:pPr>
        <w:jc w:val="center"/>
        <w:rPr>
          <w:b/>
          <w:sz w:val="24"/>
        </w:rPr>
      </w:pPr>
    </w:p>
    <w:tbl>
      <w:tblPr>
        <w:tblW w:w="9630" w:type="dxa"/>
        <w:tblInd w:w="58" w:type="dxa"/>
        <w:tblLayout w:type="fixed"/>
        <w:tblCellMar>
          <w:top w:w="58" w:type="dxa"/>
          <w:left w:w="58" w:type="dxa"/>
          <w:bottom w:w="58" w:type="dxa"/>
          <w:right w:w="58" w:type="dxa"/>
        </w:tblCellMar>
        <w:tblLook w:val="04A0" w:firstRow="1" w:lastRow="0" w:firstColumn="1" w:lastColumn="0" w:noHBand="0" w:noVBand="1"/>
      </w:tblPr>
      <w:tblGrid>
        <w:gridCol w:w="1375"/>
        <w:gridCol w:w="1375"/>
        <w:gridCol w:w="1376"/>
        <w:gridCol w:w="1544"/>
        <w:gridCol w:w="1440"/>
        <w:gridCol w:w="1350"/>
        <w:gridCol w:w="1170"/>
      </w:tblGrid>
      <w:tr w:rsidR="00A203E6" w:rsidRPr="008B44F5" w:rsidTr="00764598">
        <w:trPr>
          <w:trHeight w:val="33"/>
        </w:trPr>
        <w:tc>
          <w:tcPr>
            <w:tcW w:w="1375" w:type="dxa"/>
            <w:tcBorders>
              <w:top w:val="single" w:sz="4" w:space="0" w:color="auto"/>
              <w:left w:val="single" w:sz="4" w:space="0" w:color="auto"/>
              <w:bottom w:val="single" w:sz="18" w:space="0" w:color="auto"/>
              <w:right w:val="single" w:sz="18" w:space="0" w:color="auto"/>
            </w:tcBorders>
            <w:shd w:val="clear" w:color="auto" w:fill="DBE5F1" w:themeFill="accent1" w:themeFillTint="33"/>
            <w:vAlign w:val="bottom"/>
            <w:hideMark/>
          </w:tcPr>
          <w:p w:rsidR="00A203E6" w:rsidRPr="008B44F5" w:rsidRDefault="00A203E6" w:rsidP="001E0D72">
            <w:pPr>
              <w:jc w:val="center"/>
              <w:rPr>
                <w:b/>
                <w:sz w:val="24"/>
              </w:rPr>
            </w:pPr>
            <w:bookmarkStart w:id="2" w:name="OLE_LINK1"/>
            <w:r w:rsidRPr="008B44F5">
              <w:rPr>
                <w:b/>
                <w:sz w:val="24"/>
              </w:rPr>
              <w:t>Ryan White Grantee-Providers</w:t>
            </w:r>
          </w:p>
        </w:tc>
        <w:tc>
          <w:tcPr>
            <w:tcW w:w="1375" w:type="dxa"/>
            <w:tcBorders>
              <w:top w:val="single" w:sz="4" w:space="0" w:color="auto"/>
              <w:left w:val="single" w:sz="18" w:space="0" w:color="auto"/>
              <w:bottom w:val="single" w:sz="18" w:space="0" w:color="auto"/>
              <w:right w:val="single" w:sz="4" w:space="0" w:color="auto"/>
            </w:tcBorders>
            <w:shd w:val="clear" w:color="auto" w:fill="DBE5F1" w:themeFill="accent1" w:themeFillTint="33"/>
            <w:vAlign w:val="bottom"/>
            <w:hideMark/>
          </w:tcPr>
          <w:p w:rsidR="00A203E6" w:rsidRPr="008B44F5" w:rsidRDefault="00A203E6" w:rsidP="001E0D72">
            <w:pPr>
              <w:jc w:val="center"/>
              <w:rPr>
                <w:b/>
                <w:sz w:val="24"/>
              </w:rPr>
            </w:pPr>
            <w:r w:rsidRPr="008B44F5">
              <w:rPr>
                <w:b/>
                <w:sz w:val="24"/>
              </w:rPr>
              <w:t>Publicly Funded Community Health Centers</w:t>
            </w:r>
          </w:p>
        </w:tc>
        <w:tc>
          <w:tcPr>
            <w:tcW w:w="1376" w:type="dxa"/>
            <w:tcBorders>
              <w:top w:val="single" w:sz="4" w:space="0" w:color="auto"/>
              <w:left w:val="nil"/>
              <w:bottom w:val="single" w:sz="18" w:space="0" w:color="auto"/>
              <w:right w:val="single" w:sz="4" w:space="0" w:color="auto"/>
            </w:tcBorders>
            <w:shd w:val="clear" w:color="auto" w:fill="DBE5F1" w:themeFill="accent1" w:themeFillTint="33"/>
            <w:vAlign w:val="bottom"/>
            <w:hideMark/>
          </w:tcPr>
          <w:p w:rsidR="00A203E6" w:rsidRPr="008B44F5" w:rsidRDefault="00A203E6" w:rsidP="001E0D72">
            <w:pPr>
              <w:jc w:val="center"/>
              <w:rPr>
                <w:b/>
                <w:sz w:val="24"/>
              </w:rPr>
            </w:pPr>
            <w:r w:rsidRPr="008B44F5">
              <w:rPr>
                <w:b/>
                <w:sz w:val="24"/>
              </w:rPr>
              <w:t>Hospital or University Based Clinic</w:t>
            </w:r>
          </w:p>
        </w:tc>
        <w:tc>
          <w:tcPr>
            <w:tcW w:w="1544" w:type="dxa"/>
            <w:tcBorders>
              <w:top w:val="single" w:sz="4" w:space="0" w:color="auto"/>
              <w:left w:val="nil"/>
              <w:bottom w:val="single" w:sz="18" w:space="0" w:color="auto"/>
              <w:right w:val="single" w:sz="4" w:space="0" w:color="auto"/>
            </w:tcBorders>
            <w:shd w:val="clear" w:color="auto" w:fill="DBE5F1" w:themeFill="accent1" w:themeFillTint="33"/>
            <w:vAlign w:val="bottom"/>
            <w:hideMark/>
          </w:tcPr>
          <w:p w:rsidR="00A203E6" w:rsidRPr="008B44F5" w:rsidRDefault="00A203E6" w:rsidP="001E0D72">
            <w:pPr>
              <w:jc w:val="center"/>
              <w:rPr>
                <w:b/>
                <w:sz w:val="24"/>
              </w:rPr>
            </w:pPr>
            <w:r w:rsidRPr="008B44F5">
              <w:rPr>
                <w:b/>
                <w:sz w:val="24"/>
              </w:rPr>
              <w:t>Other Community-Based Service Org</w:t>
            </w:r>
            <w:r w:rsidR="00417B1B">
              <w:rPr>
                <w:b/>
                <w:sz w:val="24"/>
              </w:rPr>
              <w:t>anization</w:t>
            </w:r>
          </w:p>
        </w:tc>
        <w:tc>
          <w:tcPr>
            <w:tcW w:w="1440" w:type="dxa"/>
            <w:tcBorders>
              <w:top w:val="single" w:sz="4" w:space="0" w:color="auto"/>
              <w:left w:val="nil"/>
              <w:bottom w:val="single" w:sz="18" w:space="0" w:color="auto"/>
              <w:right w:val="single" w:sz="4" w:space="0" w:color="auto"/>
            </w:tcBorders>
            <w:shd w:val="clear" w:color="auto" w:fill="DBE5F1" w:themeFill="accent1" w:themeFillTint="33"/>
            <w:vAlign w:val="bottom"/>
            <w:hideMark/>
          </w:tcPr>
          <w:p w:rsidR="00A203E6" w:rsidRPr="008B44F5" w:rsidRDefault="00A203E6" w:rsidP="001E0D72">
            <w:pPr>
              <w:jc w:val="center"/>
              <w:rPr>
                <w:b/>
                <w:sz w:val="24"/>
              </w:rPr>
            </w:pPr>
            <w:r w:rsidRPr="008B44F5">
              <w:rPr>
                <w:b/>
                <w:sz w:val="24"/>
              </w:rPr>
              <w:t>Health Dep</w:t>
            </w:r>
            <w:r w:rsidR="00417B1B">
              <w:rPr>
                <w:b/>
                <w:sz w:val="24"/>
              </w:rPr>
              <w:t>artment</w:t>
            </w:r>
          </w:p>
        </w:tc>
        <w:tc>
          <w:tcPr>
            <w:tcW w:w="1350" w:type="dxa"/>
            <w:tcBorders>
              <w:top w:val="single" w:sz="4" w:space="0" w:color="auto"/>
              <w:left w:val="nil"/>
              <w:bottom w:val="single" w:sz="18" w:space="0" w:color="auto"/>
              <w:right w:val="single" w:sz="4" w:space="0" w:color="auto"/>
            </w:tcBorders>
            <w:shd w:val="clear" w:color="auto" w:fill="DBE5F1" w:themeFill="accent1" w:themeFillTint="33"/>
            <w:vAlign w:val="bottom"/>
            <w:hideMark/>
          </w:tcPr>
          <w:p w:rsidR="00A203E6" w:rsidRPr="008B44F5" w:rsidRDefault="00A203E6" w:rsidP="001E0D72">
            <w:pPr>
              <w:jc w:val="center"/>
              <w:rPr>
                <w:b/>
                <w:sz w:val="24"/>
              </w:rPr>
            </w:pPr>
            <w:r w:rsidRPr="008B44F5">
              <w:rPr>
                <w:b/>
                <w:sz w:val="24"/>
              </w:rPr>
              <w:t>Solo/Group Private Practice/ Other</w:t>
            </w:r>
          </w:p>
        </w:tc>
        <w:tc>
          <w:tcPr>
            <w:tcW w:w="1170" w:type="dxa"/>
            <w:tcBorders>
              <w:top w:val="single" w:sz="4" w:space="0" w:color="auto"/>
              <w:left w:val="nil"/>
              <w:bottom w:val="single" w:sz="18" w:space="0" w:color="auto"/>
              <w:right w:val="single" w:sz="4" w:space="0" w:color="auto"/>
            </w:tcBorders>
            <w:shd w:val="clear" w:color="auto" w:fill="DBE5F1" w:themeFill="accent1" w:themeFillTint="33"/>
            <w:vAlign w:val="bottom"/>
          </w:tcPr>
          <w:p w:rsidR="00A203E6" w:rsidRPr="008B44F5" w:rsidRDefault="00A203E6" w:rsidP="001E0D72">
            <w:pPr>
              <w:jc w:val="center"/>
              <w:rPr>
                <w:b/>
                <w:sz w:val="24"/>
              </w:rPr>
            </w:pPr>
            <w:r w:rsidRPr="008B44F5">
              <w:rPr>
                <w:b/>
                <w:sz w:val="24"/>
              </w:rPr>
              <w:t>Total</w:t>
            </w:r>
          </w:p>
        </w:tc>
      </w:tr>
      <w:tr w:rsidR="00A203E6" w:rsidRPr="008B44F5" w:rsidTr="00764598">
        <w:trPr>
          <w:trHeight w:val="608"/>
        </w:trPr>
        <w:tc>
          <w:tcPr>
            <w:tcW w:w="1375" w:type="dxa"/>
            <w:tcBorders>
              <w:top w:val="single" w:sz="18" w:space="0" w:color="auto"/>
              <w:left w:val="single" w:sz="4" w:space="0" w:color="auto"/>
              <w:bottom w:val="single" w:sz="4" w:space="0" w:color="auto"/>
              <w:right w:val="single" w:sz="18" w:space="0" w:color="auto"/>
            </w:tcBorders>
            <w:shd w:val="clear" w:color="auto" w:fill="DBE5F1" w:themeFill="accent1" w:themeFillTint="33"/>
            <w:vAlign w:val="center"/>
            <w:hideMark/>
          </w:tcPr>
          <w:p w:rsidR="007F091C" w:rsidRDefault="00A203E6" w:rsidP="007F091C">
            <w:pPr>
              <w:jc w:val="center"/>
              <w:rPr>
                <w:b/>
                <w:sz w:val="24"/>
              </w:rPr>
            </w:pPr>
            <w:r w:rsidRPr="008B44F5">
              <w:rPr>
                <w:b/>
                <w:sz w:val="24"/>
              </w:rPr>
              <w:t>Part C only</w:t>
            </w:r>
          </w:p>
        </w:tc>
        <w:tc>
          <w:tcPr>
            <w:tcW w:w="1375" w:type="dxa"/>
            <w:tcBorders>
              <w:top w:val="single" w:sz="18" w:space="0" w:color="auto"/>
              <w:left w:val="single" w:sz="18" w:space="0" w:color="auto"/>
              <w:bottom w:val="single" w:sz="4" w:space="0" w:color="auto"/>
              <w:right w:val="single" w:sz="4" w:space="0" w:color="auto"/>
            </w:tcBorders>
            <w:shd w:val="clear" w:color="auto" w:fill="auto"/>
            <w:vAlign w:val="center"/>
            <w:hideMark/>
          </w:tcPr>
          <w:p w:rsidR="00A203E6" w:rsidRPr="008B44F5" w:rsidRDefault="00671A44" w:rsidP="00E574E6">
            <w:pPr>
              <w:jc w:val="center"/>
              <w:rPr>
                <w:sz w:val="24"/>
              </w:rPr>
            </w:pPr>
            <w:r>
              <w:rPr>
                <w:sz w:val="24"/>
              </w:rPr>
              <w:t>88</w:t>
            </w:r>
            <w:r w:rsidR="001F2736">
              <w:rPr>
                <w:sz w:val="24"/>
              </w:rPr>
              <w:t xml:space="preserve"> (31)</w:t>
            </w:r>
          </w:p>
        </w:tc>
        <w:tc>
          <w:tcPr>
            <w:tcW w:w="1376" w:type="dxa"/>
            <w:tcBorders>
              <w:top w:val="single" w:sz="18" w:space="0" w:color="auto"/>
              <w:left w:val="nil"/>
              <w:bottom w:val="single" w:sz="4" w:space="0" w:color="auto"/>
              <w:right w:val="single" w:sz="4" w:space="0" w:color="auto"/>
            </w:tcBorders>
            <w:shd w:val="clear" w:color="auto" w:fill="auto"/>
            <w:vAlign w:val="center"/>
            <w:hideMark/>
          </w:tcPr>
          <w:p w:rsidR="00A203E6" w:rsidRPr="008B44F5" w:rsidRDefault="00671A44" w:rsidP="00671A44">
            <w:pPr>
              <w:jc w:val="center"/>
              <w:rPr>
                <w:sz w:val="24"/>
              </w:rPr>
            </w:pPr>
            <w:r>
              <w:rPr>
                <w:sz w:val="24"/>
              </w:rPr>
              <w:t>52</w:t>
            </w:r>
            <w:r w:rsidR="001F2736">
              <w:rPr>
                <w:sz w:val="24"/>
              </w:rPr>
              <w:t xml:space="preserve"> (19)</w:t>
            </w:r>
          </w:p>
        </w:tc>
        <w:tc>
          <w:tcPr>
            <w:tcW w:w="1544" w:type="dxa"/>
            <w:tcBorders>
              <w:top w:val="single" w:sz="18" w:space="0" w:color="auto"/>
              <w:left w:val="nil"/>
              <w:bottom w:val="single" w:sz="4" w:space="0" w:color="auto"/>
              <w:right w:val="single" w:sz="4" w:space="0" w:color="auto"/>
            </w:tcBorders>
            <w:shd w:val="clear" w:color="auto" w:fill="auto"/>
            <w:vAlign w:val="center"/>
            <w:hideMark/>
          </w:tcPr>
          <w:p w:rsidR="00A203E6" w:rsidRPr="008B44F5" w:rsidRDefault="00671A44" w:rsidP="001E0D72">
            <w:pPr>
              <w:jc w:val="center"/>
              <w:rPr>
                <w:sz w:val="24"/>
              </w:rPr>
            </w:pPr>
            <w:r>
              <w:rPr>
                <w:sz w:val="24"/>
              </w:rPr>
              <w:t>24</w:t>
            </w:r>
            <w:r w:rsidR="001F2736">
              <w:rPr>
                <w:sz w:val="24"/>
              </w:rPr>
              <w:t xml:space="preserve"> (12)</w:t>
            </w:r>
          </w:p>
        </w:tc>
        <w:tc>
          <w:tcPr>
            <w:tcW w:w="1440" w:type="dxa"/>
            <w:tcBorders>
              <w:top w:val="single" w:sz="18" w:space="0" w:color="auto"/>
              <w:left w:val="nil"/>
              <w:bottom w:val="single" w:sz="4" w:space="0" w:color="auto"/>
              <w:right w:val="single" w:sz="4" w:space="0" w:color="auto"/>
            </w:tcBorders>
            <w:shd w:val="clear" w:color="auto" w:fill="auto"/>
            <w:vAlign w:val="center"/>
            <w:hideMark/>
          </w:tcPr>
          <w:p w:rsidR="00A203E6" w:rsidRPr="008B44F5" w:rsidRDefault="00671A44" w:rsidP="00E574E6">
            <w:pPr>
              <w:jc w:val="center"/>
              <w:rPr>
                <w:sz w:val="24"/>
              </w:rPr>
            </w:pPr>
            <w:r>
              <w:rPr>
                <w:sz w:val="24"/>
              </w:rPr>
              <w:t>31</w:t>
            </w:r>
            <w:r w:rsidR="001F2736">
              <w:rPr>
                <w:sz w:val="24"/>
              </w:rPr>
              <w:t xml:space="preserve"> (13)</w:t>
            </w:r>
          </w:p>
        </w:tc>
        <w:tc>
          <w:tcPr>
            <w:tcW w:w="1350" w:type="dxa"/>
            <w:tcBorders>
              <w:top w:val="single" w:sz="18" w:space="0" w:color="auto"/>
              <w:left w:val="nil"/>
              <w:bottom w:val="single" w:sz="4" w:space="0" w:color="auto"/>
              <w:right w:val="single" w:sz="4" w:space="0" w:color="auto"/>
            </w:tcBorders>
            <w:shd w:val="clear" w:color="auto" w:fill="auto"/>
            <w:vAlign w:val="center"/>
            <w:hideMark/>
          </w:tcPr>
          <w:p w:rsidR="00A203E6" w:rsidRPr="008B44F5" w:rsidRDefault="00764598" w:rsidP="001E0D72">
            <w:pPr>
              <w:jc w:val="center"/>
              <w:rPr>
                <w:sz w:val="24"/>
              </w:rPr>
            </w:pPr>
            <w:r>
              <w:rPr>
                <w:sz w:val="24"/>
              </w:rPr>
              <w:t>9</w:t>
            </w:r>
            <w:r w:rsidR="00A203E6" w:rsidRPr="008B44F5">
              <w:rPr>
                <w:sz w:val="24"/>
              </w:rPr>
              <w:t>*</w:t>
            </w:r>
          </w:p>
        </w:tc>
        <w:tc>
          <w:tcPr>
            <w:tcW w:w="1170" w:type="dxa"/>
            <w:tcBorders>
              <w:top w:val="single" w:sz="18" w:space="0" w:color="auto"/>
              <w:left w:val="nil"/>
              <w:bottom w:val="single" w:sz="4" w:space="0" w:color="auto"/>
              <w:right w:val="single" w:sz="4" w:space="0" w:color="auto"/>
            </w:tcBorders>
            <w:vAlign w:val="center"/>
          </w:tcPr>
          <w:p w:rsidR="00A203E6" w:rsidRPr="008B44F5" w:rsidRDefault="001F2736" w:rsidP="00E574E6">
            <w:pPr>
              <w:jc w:val="center"/>
              <w:rPr>
                <w:sz w:val="24"/>
              </w:rPr>
            </w:pPr>
            <w:r w:rsidRPr="008B44F5">
              <w:rPr>
                <w:sz w:val="24"/>
              </w:rPr>
              <w:t>2</w:t>
            </w:r>
            <w:r>
              <w:rPr>
                <w:sz w:val="24"/>
              </w:rPr>
              <w:t>04 (75)</w:t>
            </w:r>
          </w:p>
        </w:tc>
      </w:tr>
      <w:tr w:rsidR="00A203E6" w:rsidRPr="008B44F5" w:rsidTr="00764598">
        <w:trPr>
          <w:trHeight w:val="608"/>
        </w:trPr>
        <w:tc>
          <w:tcPr>
            <w:tcW w:w="1375" w:type="dxa"/>
            <w:tcBorders>
              <w:top w:val="single" w:sz="4" w:space="0" w:color="auto"/>
              <w:left w:val="single" w:sz="4" w:space="0" w:color="auto"/>
              <w:bottom w:val="single" w:sz="4" w:space="0" w:color="auto"/>
              <w:right w:val="single" w:sz="18" w:space="0" w:color="auto"/>
            </w:tcBorders>
            <w:shd w:val="clear" w:color="auto" w:fill="DBE5F1" w:themeFill="accent1" w:themeFillTint="33"/>
            <w:vAlign w:val="center"/>
            <w:hideMark/>
          </w:tcPr>
          <w:p w:rsidR="007F091C" w:rsidRDefault="00484CFE" w:rsidP="00E574E6">
            <w:pPr>
              <w:jc w:val="center"/>
              <w:rPr>
                <w:b/>
                <w:sz w:val="24"/>
              </w:rPr>
            </w:pPr>
            <w:r>
              <w:rPr>
                <w:b/>
                <w:sz w:val="24"/>
              </w:rPr>
              <w:t xml:space="preserve">Part D only </w:t>
            </w:r>
            <w:r w:rsidR="00B0791A">
              <w:rPr>
                <w:b/>
                <w:sz w:val="24"/>
              </w:rPr>
              <w:t>/</w:t>
            </w:r>
            <w:r>
              <w:rPr>
                <w:b/>
                <w:sz w:val="24"/>
              </w:rPr>
              <w:t xml:space="preserve"> </w:t>
            </w:r>
            <w:r w:rsidR="00A203E6" w:rsidRPr="008B44F5">
              <w:rPr>
                <w:b/>
                <w:sz w:val="24"/>
              </w:rPr>
              <w:t>Part</w:t>
            </w:r>
            <w:r>
              <w:rPr>
                <w:b/>
                <w:sz w:val="24"/>
              </w:rPr>
              <w:t>s</w:t>
            </w:r>
            <w:r w:rsidR="00A203E6" w:rsidRPr="008B44F5">
              <w:rPr>
                <w:b/>
                <w:sz w:val="24"/>
              </w:rPr>
              <w:t xml:space="preserve"> C &amp; D</w:t>
            </w:r>
          </w:p>
        </w:tc>
        <w:tc>
          <w:tcPr>
            <w:tcW w:w="137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A203E6" w:rsidRPr="008B44F5" w:rsidRDefault="00764598" w:rsidP="00484CFE">
            <w:pPr>
              <w:jc w:val="center"/>
              <w:rPr>
                <w:sz w:val="24"/>
              </w:rPr>
            </w:pPr>
            <w:r>
              <w:rPr>
                <w:sz w:val="24"/>
              </w:rPr>
              <w:t>3</w:t>
            </w:r>
            <w:r w:rsidR="00484CFE">
              <w:rPr>
                <w:sz w:val="24"/>
              </w:rPr>
              <w:t>5</w:t>
            </w:r>
            <w:r w:rsidR="001F2736">
              <w:rPr>
                <w:sz w:val="24"/>
              </w:rPr>
              <w:t xml:space="preserve"> (18)</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A203E6" w:rsidRPr="008B44F5" w:rsidRDefault="00764598" w:rsidP="00484CFE">
            <w:pPr>
              <w:jc w:val="center"/>
              <w:rPr>
                <w:sz w:val="24"/>
              </w:rPr>
            </w:pPr>
            <w:r>
              <w:rPr>
                <w:sz w:val="24"/>
              </w:rPr>
              <w:t>5</w:t>
            </w:r>
            <w:r w:rsidR="00484CFE">
              <w:rPr>
                <w:sz w:val="24"/>
              </w:rPr>
              <w:t>9</w:t>
            </w:r>
            <w:r w:rsidR="001F2736">
              <w:rPr>
                <w:sz w:val="24"/>
              </w:rPr>
              <w:t xml:space="preserve"> (21)</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A203E6" w:rsidRPr="008B44F5" w:rsidRDefault="00484CFE" w:rsidP="00484CFE">
            <w:pPr>
              <w:jc w:val="center"/>
              <w:rPr>
                <w:sz w:val="24"/>
              </w:rPr>
            </w:pPr>
            <w:r>
              <w:rPr>
                <w:sz w:val="24"/>
              </w:rPr>
              <w:t>20</w:t>
            </w:r>
            <w:r w:rsidR="001F2736">
              <w:rPr>
                <w:sz w:val="24"/>
              </w:rPr>
              <w:t xml:space="preserve"> (10)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A203E6" w:rsidRPr="008B44F5" w:rsidRDefault="00B0791A" w:rsidP="00E574E6">
            <w:pPr>
              <w:jc w:val="center"/>
              <w:rPr>
                <w:sz w:val="24"/>
              </w:rPr>
            </w:pPr>
            <w:r>
              <w:rPr>
                <w:sz w:val="24"/>
              </w:rPr>
              <w:t>6</w:t>
            </w:r>
            <w:r w:rsidR="001F2736">
              <w:rPr>
                <w:sz w:val="24"/>
              </w:rPr>
              <w:t xml:space="preserve"> (6)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A203E6" w:rsidRPr="008B44F5" w:rsidRDefault="00B0791A" w:rsidP="00764598">
            <w:pPr>
              <w:jc w:val="center"/>
              <w:rPr>
                <w:sz w:val="24"/>
              </w:rPr>
            </w:pPr>
            <w:r>
              <w:rPr>
                <w:sz w:val="24"/>
              </w:rPr>
              <w:t>4</w:t>
            </w:r>
            <w:r w:rsidR="00A203E6" w:rsidRPr="008B44F5">
              <w:rPr>
                <w:sz w:val="24"/>
              </w:rPr>
              <w:t>*</w:t>
            </w:r>
          </w:p>
        </w:tc>
        <w:tc>
          <w:tcPr>
            <w:tcW w:w="1170" w:type="dxa"/>
            <w:tcBorders>
              <w:top w:val="single" w:sz="4" w:space="0" w:color="auto"/>
              <w:left w:val="nil"/>
              <w:bottom w:val="single" w:sz="4" w:space="0" w:color="auto"/>
              <w:right w:val="single" w:sz="4" w:space="0" w:color="auto"/>
            </w:tcBorders>
            <w:vAlign w:val="center"/>
          </w:tcPr>
          <w:p w:rsidR="00A203E6" w:rsidRPr="008B44F5" w:rsidRDefault="00484CFE" w:rsidP="00484CFE">
            <w:pPr>
              <w:jc w:val="center"/>
              <w:rPr>
                <w:sz w:val="24"/>
              </w:rPr>
            </w:pPr>
            <w:r>
              <w:rPr>
                <w:sz w:val="24"/>
              </w:rPr>
              <w:t>124</w:t>
            </w:r>
            <w:r w:rsidR="001F2736">
              <w:rPr>
                <w:sz w:val="24"/>
              </w:rPr>
              <w:t xml:space="preserve"> (55)</w:t>
            </w:r>
          </w:p>
        </w:tc>
      </w:tr>
      <w:tr w:rsidR="00A203E6" w:rsidRPr="008B44F5" w:rsidTr="00764598">
        <w:trPr>
          <w:trHeight w:val="505"/>
        </w:trPr>
        <w:tc>
          <w:tcPr>
            <w:tcW w:w="1375" w:type="dxa"/>
            <w:tcBorders>
              <w:top w:val="single" w:sz="4" w:space="0" w:color="auto"/>
              <w:left w:val="single" w:sz="4" w:space="0" w:color="auto"/>
              <w:bottom w:val="single" w:sz="4" w:space="0" w:color="auto"/>
              <w:right w:val="single" w:sz="18" w:space="0" w:color="auto"/>
            </w:tcBorders>
            <w:shd w:val="clear" w:color="auto" w:fill="DBE5F1" w:themeFill="accent1" w:themeFillTint="33"/>
            <w:vAlign w:val="center"/>
          </w:tcPr>
          <w:p w:rsidR="007F091C" w:rsidRDefault="00A203E6" w:rsidP="007F091C">
            <w:pPr>
              <w:jc w:val="center"/>
              <w:rPr>
                <w:b/>
                <w:sz w:val="24"/>
              </w:rPr>
            </w:pPr>
            <w:r w:rsidRPr="008B44F5">
              <w:rPr>
                <w:b/>
                <w:sz w:val="24"/>
              </w:rPr>
              <w:t>Sample</w:t>
            </w:r>
          </w:p>
        </w:tc>
        <w:tc>
          <w:tcPr>
            <w:tcW w:w="1375" w:type="dxa"/>
            <w:tcBorders>
              <w:top w:val="single" w:sz="4" w:space="0" w:color="auto"/>
              <w:left w:val="single" w:sz="18" w:space="0" w:color="auto"/>
              <w:bottom w:val="single" w:sz="4" w:space="0" w:color="auto"/>
              <w:right w:val="single" w:sz="4" w:space="0" w:color="auto"/>
            </w:tcBorders>
            <w:shd w:val="clear" w:color="auto" w:fill="auto"/>
            <w:vAlign w:val="bottom"/>
          </w:tcPr>
          <w:p w:rsidR="007F091C" w:rsidRDefault="00412A59" w:rsidP="00E574E6">
            <w:pPr>
              <w:jc w:val="center"/>
              <w:rPr>
                <w:sz w:val="24"/>
              </w:rPr>
            </w:pPr>
            <w:r>
              <w:rPr>
                <w:sz w:val="24"/>
              </w:rPr>
              <w:t>4</w:t>
            </w:r>
            <w:r w:rsidR="00764598">
              <w:rPr>
                <w:sz w:val="24"/>
              </w:rPr>
              <w:t>9</w:t>
            </w:r>
            <w:r w:rsidR="001E0D72">
              <w:rPr>
                <w:sz w:val="24"/>
              </w:rPr>
              <w:t xml:space="preserve"> out of </w:t>
            </w:r>
            <w:r w:rsidR="00764598" w:rsidRPr="008B44F5">
              <w:rPr>
                <w:sz w:val="24"/>
              </w:rPr>
              <w:t>1</w:t>
            </w:r>
            <w:r w:rsidR="00764598">
              <w:rPr>
                <w:sz w:val="24"/>
              </w:rPr>
              <w:t xml:space="preserve">23 </w:t>
            </w:r>
            <w:r>
              <w:rPr>
                <w:sz w:val="24"/>
              </w:rPr>
              <w:t>(</w:t>
            </w:r>
            <w:r w:rsidR="00E574E6">
              <w:rPr>
                <w:sz w:val="24"/>
              </w:rPr>
              <w:t>41</w:t>
            </w:r>
            <w:r w:rsidR="00A203E6" w:rsidRPr="008B44F5">
              <w:rPr>
                <w:sz w:val="24"/>
              </w:rPr>
              <w:t>%)</w:t>
            </w:r>
          </w:p>
        </w:tc>
        <w:tc>
          <w:tcPr>
            <w:tcW w:w="1376" w:type="dxa"/>
            <w:tcBorders>
              <w:top w:val="single" w:sz="4" w:space="0" w:color="auto"/>
              <w:left w:val="nil"/>
              <w:bottom w:val="single" w:sz="4" w:space="0" w:color="auto"/>
              <w:right w:val="single" w:sz="4" w:space="0" w:color="auto"/>
            </w:tcBorders>
            <w:shd w:val="clear" w:color="auto" w:fill="auto"/>
            <w:vAlign w:val="bottom"/>
          </w:tcPr>
          <w:p w:rsidR="00A203E6" w:rsidRPr="008B44F5" w:rsidRDefault="00764598" w:rsidP="00CB0A60">
            <w:pPr>
              <w:jc w:val="center"/>
              <w:rPr>
                <w:sz w:val="24"/>
              </w:rPr>
            </w:pPr>
            <w:r>
              <w:rPr>
                <w:sz w:val="24"/>
              </w:rPr>
              <w:t xml:space="preserve">40 </w:t>
            </w:r>
            <w:r w:rsidR="001E0D72">
              <w:rPr>
                <w:sz w:val="24"/>
              </w:rPr>
              <w:t xml:space="preserve">of </w:t>
            </w:r>
            <w:r>
              <w:rPr>
                <w:sz w:val="24"/>
              </w:rPr>
              <w:t xml:space="preserve">111 </w:t>
            </w:r>
            <w:r w:rsidR="00BF3343">
              <w:rPr>
                <w:sz w:val="24"/>
              </w:rPr>
              <w:t>(</w:t>
            </w:r>
            <w:r w:rsidR="00E574E6">
              <w:rPr>
                <w:sz w:val="24"/>
              </w:rPr>
              <w:t>35</w:t>
            </w:r>
            <w:r w:rsidR="001E0D72">
              <w:rPr>
                <w:sz w:val="24"/>
              </w:rPr>
              <w:t>%</w:t>
            </w:r>
            <w:r w:rsidR="00A203E6" w:rsidRPr="008B44F5">
              <w:rPr>
                <w:sz w:val="24"/>
              </w:rPr>
              <w:t>)</w:t>
            </w:r>
          </w:p>
        </w:tc>
        <w:tc>
          <w:tcPr>
            <w:tcW w:w="1544" w:type="dxa"/>
            <w:tcBorders>
              <w:top w:val="single" w:sz="4" w:space="0" w:color="auto"/>
              <w:left w:val="nil"/>
              <w:bottom w:val="single" w:sz="4" w:space="0" w:color="auto"/>
              <w:right w:val="single" w:sz="4" w:space="0" w:color="auto"/>
            </w:tcBorders>
            <w:shd w:val="clear" w:color="auto" w:fill="auto"/>
            <w:vAlign w:val="bottom"/>
          </w:tcPr>
          <w:p w:rsidR="00A203E6" w:rsidRPr="008B44F5" w:rsidRDefault="00A203E6" w:rsidP="00764598">
            <w:pPr>
              <w:jc w:val="center"/>
              <w:rPr>
                <w:sz w:val="24"/>
              </w:rPr>
            </w:pPr>
            <w:r w:rsidRPr="008B44F5">
              <w:rPr>
                <w:sz w:val="24"/>
              </w:rPr>
              <w:t>2</w:t>
            </w:r>
            <w:r w:rsidR="00764598">
              <w:rPr>
                <w:sz w:val="24"/>
              </w:rPr>
              <w:t>2</w:t>
            </w:r>
            <w:r w:rsidR="001E0D72">
              <w:rPr>
                <w:sz w:val="24"/>
              </w:rPr>
              <w:t xml:space="preserve"> of </w:t>
            </w:r>
            <w:r w:rsidR="00764598">
              <w:rPr>
                <w:sz w:val="24"/>
              </w:rPr>
              <w:t>44</w:t>
            </w:r>
            <w:r w:rsidR="00764598" w:rsidRPr="008B44F5">
              <w:rPr>
                <w:sz w:val="24"/>
              </w:rPr>
              <w:t xml:space="preserve"> </w:t>
            </w:r>
            <w:r w:rsidRPr="008B44F5">
              <w:rPr>
                <w:sz w:val="24"/>
              </w:rPr>
              <w:t>(50%)</w:t>
            </w:r>
          </w:p>
        </w:tc>
        <w:tc>
          <w:tcPr>
            <w:tcW w:w="1440" w:type="dxa"/>
            <w:tcBorders>
              <w:top w:val="single" w:sz="4" w:space="0" w:color="auto"/>
              <w:left w:val="nil"/>
              <w:bottom w:val="single" w:sz="4" w:space="0" w:color="auto"/>
              <w:right w:val="single" w:sz="4" w:space="0" w:color="auto"/>
            </w:tcBorders>
            <w:shd w:val="clear" w:color="auto" w:fill="auto"/>
            <w:vAlign w:val="bottom"/>
          </w:tcPr>
          <w:p w:rsidR="00A203E6" w:rsidRPr="008B44F5" w:rsidRDefault="00A203E6" w:rsidP="00764598">
            <w:pPr>
              <w:jc w:val="center"/>
              <w:rPr>
                <w:sz w:val="24"/>
              </w:rPr>
            </w:pPr>
            <w:r w:rsidRPr="008B44F5">
              <w:rPr>
                <w:sz w:val="24"/>
              </w:rPr>
              <w:t>1</w:t>
            </w:r>
            <w:r w:rsidR="00764598">
              <w:rPr>
                <w:sz w:val="24"/>
              </w:rPr>
              <w:t>9</w:t>
            </w:r>
            <w:r w:rsidR="001E0D72">
              <w:rPr>
                <w:sz w:val="24"/>
              </w:rPr>
              <w:t xml:space="preserve"> of </w:t>
            </w:r>
            <w:r w:rsidR="00764598">
              <w:rPr>
                <w:sz w:val="24"/>
              </w:rPr>
              <w:t>37</w:t>
            </w:r>
            <w:r w:rsidR="00764598" w:rsidRPr="008B44F5">
              <w:rPr>
                <w:sz w:val="24"/>
              </w:rPr>
              <w:t xml:space="preserve"> </w:t>
            </w:r>
            <w:r w:rsidRPr="008B44F5">
              <w:rPr>
                <w:sz w:val="24"/>
              </w:rPr>
              <w:t>(50%)</w:t>
            </w:r>
          </w:p>
        </w:tc>
        <w:tc>
          <w:tcPr>
            <w:tcW w:w="1350" w:type="dxa"/>
            <w:tcBorders>
              <w:top w:val="single" w:sz="4" w:space="0" w:color="auto"/>
              <w:left w:val="nil"/>
              <w:bottom w:val="single" w:sz="4" w:space="0" w:color="auto"/>
              <w:right w:val="single" w:sz="4" w:space="0" w:color="auto"/>
            </w:tcBorders>
            <w:shd w:val="clear" w:color="auto" w:fill="auto"/>
            <w:vAlign w:val="bottom"/>
          </w:tcPr>
          <w:p w:rsidR="00A203E6" w:rsidRPr="008B44F5" w:rsidRDefault="00A203E6" w:rsidP="001E0D72">
            <w:pPr>
              <w:jc w:val="center"/>
              <w:rPr>
                <w:sz w:val="24"/>
              </w:rPr>
            </w:pPr>
            <w:r w:rsidRPr="008B44F5">
              <w:rPr>
                <w:sz w:val="24"/>
              </w:rPr>
              <w:t>No</w:t>
            </w:r>
            <w:r w:rsidR="001E0D72">
              <w:rPr>
                <w:sz w:val="24"/>
              </w:rPr>
              <w:t>t included in sample</w:t>
            </w:r>
          </w:p>
        </w:tc>
        <w:tc>
          <w:tcPr>
            <w:tcW w:w="1170" w:type="dxa"/>
            <w:tcBorders>
              <w:top w:val="single" w:sz="4" w:space="0" w:color="auto"/>
              <w:left w:val="nil"/>
              <w:bottom w:val="single" w:sz="4" w:space="0" w:color="auto"/>
              <w:right w:val="single" w:sz="4" w:space="0" w:color="auto"/>
            </w:tcBorders>
            <w:vAlign w:val="bottom"/>
          </w:tcPr>
          <w:p w:rsidR="007F091C" w:rsidRDefault="007F091C" w:rsidP="007F091C">
            <w:pPr>
              <w:jc w:val="center"/>
              <w:rPr>
                <w:sz w:val="24"/>
              </w:rPr>
            </w:pPr>
          </w:p>
          <w:p w:rsidR="007F091C" w:rsidRDefault="00764598" w:rsidP="00E574E6">
            <w:pPr>
              <w:jc w:val="center"/>
              <w:rPr>
                <w:sz w:val="24"/>
              </w:rPr>
            </w:pPr>
            <w:r w:rsidRPr="008B44F5">
              <w:rPr>
                <w:sz w:val="24"/>
              </w:rPr>
              <w:t>1</w:t>
            </w:r>
            <w:r>
              <w:rPr>
                <w:sz w:val="24"/>
              </w:rPr>
              <w:t xml:space="preserve">30 </w:t>
            </w:r>
            <w:r w:rsidR="001E0D72">
              <w:rPr>
                <w:sz w:val="24"/>
              </w:rPr>
              <w:t xml:space="preserve">of </w:t>
            </w:r>
            <w:r>
              <w:rPr>
                <w:sz w:val="24"/>
              </w:rPr>
              <w:t>3</w:t>
            </w:r>
            <w:r w:rsidR="00E574E6">
              <w:rPr>
                <w:sz w:val="24"/>
              </w:rPr>
              <w:t>15</w:t>
            </w:r>
            <w:r>
              <w:rPr>
                <w:sz w:val="24"/>
              </w:rPr>
              <w:t xml:space="preserve"> </w:t>
            </w:r>
            <w:r w:rsidR="00412A59">
              <w:rPr>
                <w:sz w:val="24"/>
              </w:rPr>
              <w:t>(</w:t>
            </w:r>
            <w:r>
              <w:rPr>
                <w:sz w:val="24"/>
              </w:rPr>
              <w:t>4</w:t>
            </w:r>
            <w:r w:rsidR="00E574E6">
              <w:rPr>
                <w:sz w:val="24"/>
              </w:rPr>
              <w:t>1</w:t>
            </w:r>
            <w:r w:rsidR="00A203E6" w:rsidRPr="008B44F5">
              <w:rPr>
                <w:sz w:val="24"/>
              </w:rPr>
              <w:t>%)</w:t>
            </w:r>
          </w:p>
        </w:tc>
      </w:tr>
    </w:tbl>
    <w:bookmarkEnd w:id="2"/>
    <w:p w:rsidR="00A203E6" w:rsidRPr="008B44F5" w:rsidRDefault="00A203E6" w:rsidP="00A203E6">
      <w:pPr>
        <w:rPr>
          <w:sz w:val="24"/>
        </w:rPr>
      </w:pPr>
      <w:r w:rsidRPr="008B44F5">
        <w:rPr>
          <w:sz w:val="24"/>
        </w:rPr>
        <w:t xml:space="preserve">*Not sampled and not included in </w:t>
      </w:r>
      <w:r w:rsidR="00E574E6">
        <w:rPr>
          <w:sz w:val="24"/>
        </w:rPr>
        <w:t xml:space="preserve">population </w:t>
      </w:r>
      <w:r w:rsidRPr="008B44F5">
        <w:rPr>
          <w:sz w:val="24"/>
        </w:rPr>
        <w:t>totals</w:t>
      </w:r>
    </w:p>
    <w:p w:rsidR="00A507B0" w:rsidRDefault="00A507B0" w:rsidP="00A203E6">
      <w:pPr>
        <w:rPr>
          <w:sz w:val="24"/>
        </w:rPr>
      </w:pPr>
      <w:bookmarkStart w:id="3" w:name="_Toc343983251"/>
    </w:p>
    <w:p w:rsidR="00CE6CED" w:rsidRPr="00E34332" w:rsidRDefault="00A203E6" w:rsidP="00A203E6">
      <w:pPr>
        <w:rPr>
          <w:sz w:val="24"/>
        </w:rPr>
      </w:pPr>
      <w:r w:rsidRPr="00E34332">
        <w:rPr>
          <w:sz w:val="24"/>
        </w:rPr>
        <w:t xml:space="preserve">We </w:t>
      </w:r>
      <w:r w:rsidR="00CE3C51" w:rsidRPr="00E34332">
        <w:rPr>
          <w:sz w:val="24"/>
        </w:rPr>
        <w:t xml:space="preserve">will </w:t>
      </w:r>
      <w:r w:rsidR="001E0D72" w:rsidRPr="00E34332">
        <w:rPr>
          <w:sz w:val="24"/>
        </w:rPr>
        <w:t>use</w:t>
      </w:r>
      <w:r w:rsidRPr="00E34332">
        <w:rPr>
          <w:sz w:val="24"/>
        </w:rPr>
        <w:t xml:space="preserve"> a stratified random sample using a higher sampling ratio for grantee-provider </w:t>
      </w:r>
      <w:r w:rsidR="00E574E6" w:rsidRPr="00E34332">
        <w:rPr>
          <w:sz w:val="24"/>
        </w:rPr>
        <w:t xml:space="preserve">and funding </w:t>
      </w:r>
      <w:r w:rsidRPr="00E34332">
        <w:rPr>
          <w:sz w:val="24"/>
        </w:rPr>
        <w:t>categories that are relatively small</w:t>
      </w:r>
      <w:r w:rsidR="004C3895" w:rsidRPr="00E34332">
        <w:rPr>
          <w:sz w:val="24"/>
        </w:rPr>
        <w:t xml:space="preserve"> (disproportionate stratified sample)</w:t>
      </w:r>
      <w:r w:rsidRPr="00E34332">
        <w:rPr>
          <w:sz w:val="24"/>
        </w:rPr>
        <w:t xml:space="preserve">. Although the survey is designed to answer research questions regarding the entire C and D grantee-provider population, it is also intended to guide the development of </w:t>
      </w:r>
      <w:r w:rsidR="00CB0A60" w:rsidRPr="00E34332">
        <w:rPr>
          <w:sz w:val="24"/>
        </w:rPr>
        <w:t xml:space="preserve">an MS Excel tracking tool (Tracker) </w:t>
      </w:r>
      <w:r w:rsidRPr="00E34332">
        <w:rPr>
          <w:sz w:val="24"/>
        </w:rPr>
        <w:t xml:space="preserve"> (Phase 2 of this project). The tool will be a resource that grantees can select to use, but the tool must be designed to meet the needs of the respondents to the survey. Therefore, </w:t>
      </w:r>
      <w:r w:rsidR="00154704" w:rsidRPr="00E34332">
        <w:rPr>
          <w:sz w:val="24"/>
        </w:rPr>
        <w:t xml:space="preserve">it is important that </w:t>
      </w:r>
      <w:r w:rsidR="00B0791A" w:rsidRPr="00E34332">
        <w:rPr>
          <w:sz w:val="24"/>
        </w:rPr>
        <w:t>both</w:t>
      </w:r>
      <w:r w:rsidR="00154704" w:rsidRPr="00E34332">
        <w:rPr>
          <w:sz w:val="24"/>
        </w:rPr>
        <w:t xml:space="preserve"> Part C and/or Part D grantee-providers be represented </w:t>
      </w:r>
      <w:r w:rsidR="005B1137" w:rsidRPr="00E34332">
        <w:rPr>
          <w:sz w:val="24"/>
        </w:rPr>
        <w:t>sufficiently;</w:t>
      </w:r>
      <w:r w:rsidR="00154704" w:rsidRPr="00E34332">
        <w:rPr>
          <w:sz w:val="24"/>
        </w:rPr>
        <w:t xml:space="preserve"> </w:t>
      </w:r>
      <w:r w:rsidR="00B0791A" w:rsidRPr="00E34332">
        <w:rPr>
          <w:sz w:val="24"/>
        </w:rPr>
        <w:t>thus,</w:t>
      </w:r>
      <w:r w:rsidR="00154704" w:rsidRPr="00E34332">
        <w:rPr>
          <w:sz w:val="24"/>
        </w:rPr>
        <w:t xml:space="preserve"> the full range of potential users of the tool </w:t>
      </w:r>
      <w:r w:rsidR="00B0791A" w:rsidRPr="00E34332">
        <w:rPr>
          <w:sz w:val="24"/>
        </w:rPr>
        <w:t xml:space="preserve">will be </w:t>
      </w:r>
      <w:r w:rsidR="00154704" w:rsidRPr="00E34332">
        <w:rPr>
          <w:sz w:val="24"/>
        </w:rPr>
        <w:t>well represented. We plan to follow-up</w:t>
      </w:r>
      <w:r w:rsidR="00EA3F5C" w:rsidRPr="00E34332">
        <w:rPr>
          <w:sz w:val="24"/>
        </w:rPr>
        <w:t xml:space="preserve"> with sampled grantee-providers</w:t>
      </w:r>
      <w:r w:rsidR="00154704" w:rsidRPr="00E34332">
        <w:rPr>
          <w:sz w:val="24"/>
        </w:rPr>
        <w:t xml:space="preserve"> to achieve an overall response rate of </w:t>
      </w:r>
      <w:r w:rsidR="00EA3F5C" w:rsidRPr="00E34332">
        <w:rPr>
          <w:sz w:val="24"/>
        </w:rPr>
        <w:t xml:space="preserve">at least </w:t>
      </w:r>
      <w:r w:rsidR="00167752" w:rsidRPr="00E34332">
        <w:rPr>
          <w:sz w:val="24"/>
        </w:rPr>
        <w:t xml:space="preserve">70 </w:t>
      </w:r>
      <w:r w:rsidR="00154704" w:rsidRPr="00E34332">
        <w:rPr>
          <w:sz w:val="24"/>
        </w:rPr>
        <w:t>percent</w:t>
      </w:r>
      <w:r w:rsidR="003E35E3" w:rsidRPr="00E34332">
        <w:rPr>
          <w:sz w:val="24"/>
        </w:rPr>
        <w:t>, and a rate of at least 60-65 percent</w:t>
      </w:r>
      <w:r w:rsidR="00EA3F5C" w:rsidRPr="00E34332">
        <w:rPr>
          <w:sz w:val="24"/>
        </w:rPr>
        <w:t xml:space="preserve"> within each </w:t>
      </w:r>
      <w:r w:rsidR="003E35E3" w:rsidRPr="00E34332">
        <w:rPr>
          <w:sz w:val="24"/>
        </w:rPr>
        <w:t>cell</w:t>
      </w:r>
      <w:r w:rsidR="00167752" w:rsidRPr="00E34332">
        <w:rPr>
          <w:sz w:val="24"/>
        </w:rPr>
        <w:t xml:space="preserve">. </w:t>
      </w:r>
      <w:bookmarkEnd w:id="3"/>
    </w:p>
    <w:p w:rsidR="00EA3F5C" w:rsidRPr="00E34332" w:rsidRDefault="00EA3F5C" w:rsidP="00A203E6">
      <w:pPr>
        <w:rPr>
          <w:sz w:val="24"/>
        </w:rPr>
      </w:pPr>
    </w:p>
    <w:p w:rsidR="00F5257F" w:rsidRPr="00E34332" w:rsidRDefault="00F5257F" w:rsidP="00EF7074">
      <w:pPr>
        <w:pStyle w:val="ListParagraph"/>
        <w:numPr>
          <w:ilvl w:val="0"/>
          <w:numId w:val="2"/>
        </w:numPr>
        <w:ind w:left="360"/>
        <w:rPr>
          <w:sz w:val="24"/>
        </w:rPr>
      </w:pPr>
      <w:r w:rsidRPr="00E34332">
        <w:rPr>
          <w:b/>
          <w:bCs/>
          <w:sz w:val="24"/>
        </w:rPr>
        <w:t>Procedures for the Collection of Information</w:t>
      </w:r>
    </w:p>
    <w:p w:rsidR="005F24B4" w:rsidRPr="00E34332" w:rsidRDefault="005F24B4" w:rsidP="005F24B4">
      <w:pPr>
        <w:rPr>
          <w:sz w:val="24"/>
        </w:rPr>
      </w:pPr>
    </w:p>
    <w:p w:rsidR="000663DE" w:rsidRPr="00E34332" w:rsidRDefault="000663DE" w:rsidP="00B12F28">
      <w:pPr>
        <w:rPr>
          <w:sz w:val="24"/>
        </w:rPr>
      </w:pPr>
      <w:r w:rsidRPr="00E34332">
        <w:rPr>
          <w:sz w:val="24"/>
        </w:rPr>
        <w:t xml:space="preserve">As described above, </w:t>
      </w:r>
      <w:r w:rsidR="004C3895" w:rsidRPr="00E34332">
        <w:rPr>
          <w:sz w:val="24"/>
        </w:rPr>
        <w:t xml:space="preserve">it </w:t>
      </w:r>
      <w:r w:rsidR="005068AD" w:rsidRPr="00E34332">
        <w:rPr>
          <w:sz w:val="24"/>
        </w:rPr>
        <w:t>is</w:t>
      </w:r>
      <w:r w:rsidR="004C3895" w:rsidRPr="00E34332">
        <w:rPr>
          <w:sz w:val="24"/>
        </w:rPr>
        <w:t xml:space="preserve"> desirable to draw a disproportionate stratified sample that delib</w:t>
      </w:r>
      <w:r w:rsidR="00946789" w:rsidRPr="00E34332">
        <w:rPr>
          <w:sz w:val="24"/>
        </w:rPr>
        <w:t>era</w:t>
      </w:r>
      <w:r w:rsidR="004C3895" w:rsidRPr="00E34332">
        <w:rPr>
          <w:sz w:val="24"/>
        </w:rPr>
        <w:t xml:space="preserve">tely </w:t>
      </w:r>
      <w:r w:rsidR="00E34332" w:rsidRPr="00E34332">
        <w:rPr>
          <w:sz w:val="24"/>
        </w:rPr>
        <w:lastRenderedPageBreak/>
        <w:t>over represents</w:t>
      </w:r>
      <w:r w:rsidR="004C3895" w:rsidRPr="00E34332">
        <w:rPr>
          <w:sz w:val="24"/>
        </w:rPr>
        <w:t xml:space="preserve"> the small</w:t>
      </w:r>
      <w:r w:rsidR="005068AD" w:rsidRPr="00E34332">
        <w:rPr>
          <w:sz w:val="24"/>
        </w:rPr>
        <w:t>er grantee-provider-type</w:t>
      </w:r>
      <w:r w:rsidR="004C3895" w:rsidRPr="00E34332">
        <w:rPr>
          <w:sz w:val="24"/>
        </w:rPr>
        <w:t xml:space="preserve"> </w:t>
      </w:r>
      <w:r w:rsidR="00E574E6" w:rsidRPr="00E34332">
        <w:rPr>
          <w:sz w:val="24"/>
        </w:rPr>
        <w:t xml:space="preserve">and funding-type </w:t>
      </w:r>
      <w:r w:rsidR="004C3895" w:rsidRPr="00E34332">
        <w:rPr>
          <w:sz w:val="24"/>
        </w:rPr>
        <w:t>categories in order to</w:t>
      </w:r>
      <w:r w:rsidR="00946789" w:rsidRPr="00E34332">
        <w:rPr>
          <w:sz w:val="24"/>
        </w:rPr>
        <w:t xml:space="preserve"> provide an adequate basis for </w:t>
      </w:r>
      <w:r w:rsidR="00397B09" w:rsidRPr="00E34332">
        <w:rPr>
          <w:sz w:val="24"/>
        </w:rPr>
        <w:t xml:space="preserve">representation and </w:t>
      </w:r>
      <w:r w:rsidR="00946789" w:rsidRPr="00E34332">
        <w:rPr>
          <w:sz w:val="24"/>
        </w:rPr>
        <w:t>comparison.</w:t>
      </w:r>
      <w:r w:rsidR="00397B09" w:rsidRPr="00E34332">
        <w:rPr>
          <w:sz w:val="24"/>
        </w:rPr>
        <w:t xml:space="preserve"> </w:t>
      </w:r>
      <w:r w:rsidR="00154704" w:rsidRPr="00E34332">
        <w:rPr>
          <w:sz w:val="24"/>
        </w:rPr>
        <w:t>This sampling approach will yield a maximum 95 percent confidence interval of +/- 9 percent</w:t>
      </w:r>
      <w:r w:rsidR="00CE6CED" w:rsidRPr="00E34332">
        <w:rPr>
          <w:sz w:val="24"/>
        </w:rPr>
        <w:t>, which corresponds to</w:t>
      </w:r>
      <w:r w:rsidR="00154704" w:rsidRPr="00E34332">
        <w:rPr>
          <w:sz w:val="24"/>
        </w:rPr>
        <w:t xml:space="preserve"> </w:t>
      </w:r>
      <w:r w:rsidR="00CE6CED" w:rsidRPr="00E34332">
        <w:rPr>
          <w:sz w:val="24"/>
        </w:rPr>
        <w:t xml:space="preserve">an </w:t>
      </w:r>
      <w:r w:rsidR="00154704" w:rsidRPr="00E34332">
        <w:rPr>
          <w:sz w:val="24"/>
        </w:rPr>
        <w:t xml:space="preserve">item response percentage estimate </w:t>
      </w:r>
      <w:r w:rsidR="00CE6CED" w:rsidRPr="00E34332">
        <w:rPr>
          <w:sz w:val="24"/>
        </w:rPr>
        <w:t>of</w:t>
      </w:r>
      <w:r w:rsidR="00154704" w:rsidRPr="00E34332">
        <w:rPr>
          <w:sz w:val="24"/>
        </w:rPr>
        <w:t xml:space="preserve"> 5</w:t>
      </w:r>
      <w:r w:rsidR="00CE6CED" w:rsidRPr="00E34332">
        <w:rPr>
          <w:sz w:val="24"/>
        </w:rPr>
        <w:t>0</w:t>
      </w:r>
      <w:r w:rsidR="00154704" w:rsidRPr="00E34332">
        <w:rPr>
          <w:sz w:val="24"/>
        </w:rPr>
        <w:t xml:space="preserve"> percent for a population of 3</w:t>
      </w:r>
      <w:r w:rsidR="00CB0A60" w:rsidRPr="00E34332">
        <w:rPr>
          <w:sz w:val="24"/>
        </w:rPr>
        <w:t>15</w:t>
      </w:r>
      <w:r w:rsidR="00154704" w:rsidRPr="00E34332">
        <w:rPr>
          <w:sz w:val="24"/>
        </w:rPr>
        <w:t xml:space="preserve"> and a </w:t>
      </w:r>
      <w:r w:rsidR="00CE6CED" w:rsidRPr="00E34332">
        <w:rPr>
          <w:sz w:val="24"/>
        </w:rPr>
        <w:t xml:space="preserve">response rate of 70% (final </w:t>
      </w:r>
      <w:r w:rsidR="00154704" w:rsidRPr="00E34332">
        <w:rPr>
          <w:sz w:val="24"/>
        </w:rPr>
        <w:t xml:space="preserve">sample of </w:t>
      </w:r>
      <w:r w:rsidR="00CE6CED" w:rsidRPr="00E34332">
        <w:rPr>
          <w:sz w:val="24"/>
        </w:rPr>
        <w:t>91 out of the initial sample of 130)</w:t>
      </w:r>
      <w:r w:rsidR="00154704" w:rsidRPr="00E34332">
        <w:rPr>
          <w:sz w:val="24"/>
        </w:rPr>
        <w:t>.</w:t>
      </w:r>
      <w:r w:rsidR="00382114" w:rsidRPr="00E34332">
        <w:rPr>
          <w:sz w:val="24"/>
        </w:rPr>
        <w:t xml:space="preserve"> </w:t>
      </w:r>
      <w:r w:rsidR="00CE6CED" w:rsidRPr="00E34332">
        <w:rPr>
          <w:sz w:val="24"/>
        </w:rPr>
        <w:t xml:space="preserve">If an item’s response percentage is smaller (or larger) than 50 percent, the confidence interval may decrease to </w:t>
      </w:r>
      <w:r w:rsidR="00394671" w:rsidRPr="00E34332">
        <w:rPr>
          <w:sz w:val="24"/>
        </w:rPr>
        <w:t xml:space="preserve">as small as </w:t>
      </w:r>
      <w:r w:rsidR="00CE6CED" w:rsidRPr="00E34332">
        <w:rPr>
          <w:sz w:val="24"/>
        </w:rPr>
        <w:t xml:space="preserve">+/- 7 </w:t>
      </w:r>
      <w:r w:rsidR="00CB0A60" w:rsidRPr="00E34332">
        <w:rPr>
          <w:sz w:val="24"/>
        </w:rPr>
        <w:t>percent.</w:t>
      </w:r>
    </w:p>
    <w:p w:rsidR="00B12F28" w:rsidRPr="00E34332" w:rsidRDefault="00B12F28" w:rsidP="00B12F28">
      <w:pPr>
        <w:rPr>
          <w:i/>
          <w:sz w:val="24"/>
        </w:rPr>
      </w:pPr>
    </w:p>
    <w:p w:rsidR="007F091C" w:rsidRDefault="008F3937" w:rsidP="007F091C">
      <w:pPr>
        <w:rPr>
          <w:sz w:val="24"/>
        </w:rPr>
      </w:pPr>
      <w:r w:rsidRPr="00E34332">
        <w:rPr>
          <w:sz w:val="24"/>
        </w:rPr>
        <w:t>During a period of</w:t>
      </w:r>
      <w:r w:rsidR="00EC6B3E" w:rsidRPr="00E34332">
        <w:rPr>
          <w:sz w:val="24"/>
        </w:rPr>
        <w:t xml:space="preserve"> 3-4</w:t>
      </w:r>
      <w:r w:rsidR="00FF5BC5" w:rsidRPr="00E34332">
        <w:rPr>
          <w:sz w:val="24"/>
        </w:rPr>
        <w:t xml:space="preserve"> </w:t>
      </w:r>
      <w:r w:rsidRPr="00E34332">
        <w:rPr>
          <w:sz w:val="24"/>
        </w:rPr>
        <w:t>weeks, t</w:t>
      </w:r>
      <w:r w:rsidR="00026D50" w:rsidRPr="00E34332">
        <w:rPr>
          <w:sz w:val="24"/>
        </w:rPr>
        <w:t xml:space="preserve">he survey instrument </w:t>
      </w:r>
      <w:r w:rsidR="00266CCD" w:rsidRPr="00E34332">
        <w:rPr>
          <w:sz w:val="24"/>
        </w:rPr>
        <w:t xml:space="preserve">will be </w:t>
      </w:r>
      <w:r w:rsidR="00FF5BC5" w:rsidRPr="00E34332">
        <w:rPr>
          <w:sz w:val="24"/>
        </w:rPr>
        <w:t>distributed once</w:t>
      </w:r>
      <w:r w:rsidR="00EF7074" w:rsidRPr="00E34332">
        <w:rPr>
          <w:sz w:val="24"/>
        </w:rPr>
        <w:t>,</w:t>
      </w:r>
      <w:r w:rsidRPr="00E34332">
        <w:rPr>
          <w:sz w:val="24"/>
        </w:rPr>
        <w:t xml:space="preserve"> </w:t>
      </w:r>
      <w:r w:rsidR="00A45D5A" w:rsidRPr="00E34332">
        <w:rPr>
          <w:sz w:val="24"/>
        </w:rPr>
        <w:t xml:space="preserve">via </w:t>
      </w:r>
      <w:r w:rsidR="00EC6B3E" w:rsidRPr="00E34332">
        <w:rPr>
          <w:sz w:val="24"/>
        </w:rPr>
        <w:t>SNAP Survey</w:t>
      </w:r>
      <w:r w:rsidR="00EF7074" w:rsidRPr="00E34332">
        <w:rPr>
          <w:sz w:val="24"/>
        </w:rPr>
        <w:t>,</w:t>
      </w:r>
      <w:r w:rsidRPr="001662FF">
        <w:rPr>
          <w:sz w:val="24"/>
        </w:rPr>
        <w:t xml:space="preserve"> to</w:t>
      </w:r>
      <w:r w:rsidR="00EF7074">
        <w:rPr>
          <w:sz w:val="24"/>
        </w:rPr>
        <w:t xml:space="preserve"> P</w:t>
      </w:r>
      <w:r w:rsidRPr="001662FF">
        <w:rPr>
          <w:sz w:val="24"/>
        </w:rPr>
        <w:t>rogram Directors of Part C and/or Part D</w:t>
      </w:r>
      <w:r w:rsidR="00EF7074">
        <w:rPr>
          <w:sz w:val="24"/>
        </w:rPr>
        <w:t xml:space="preserve"> grantees</w:t>
      </w:r>
      <w:r w:rsidRPr="001662FF">
        <w:rPr>
          <w:sz w:val="24"/>
        </w:rPr>
        <w:t>.</w:t>
      </w:r>
      <w:r w:rsidR="00E66E3A" w:rsidRPr="001662FF">
        <w:rPr>
          <w:sz w:val="24"/>
        </w:rPr>
        <w:t xml:space="preserve"> </w:t>
      </w:r>
      <w:r w:rsidR="002B40E8">
        <w:rPr>
          <w:sz w:val="24"/>
        </w:rPr>
        <w:t>To</w:t>
      </w:r>
      <w:r w:rsidR="002B40E8" w:rsidRPr="001662FF">
        <w:rPr>
          <w:sz w:val="24"/>
        </w:rPr>
        <w:t xml:space="preserve"> launch </w:t>
      </w:r>
      <w:r w:rsidR="00EF7074">
        <w:rPr>
          <w:sz w:val="24"/>
        </w:rPr>
        <w:t>the</w:t>
      </w:r>
      <w:r w:rsidR="00EF7074" w:rsidRPr="001662FF">
        <w:rPr>
          <w:sz w:val="24"/>
        </w:rPr>
        <w:t xml:space="preserve"> </w:t>
      </w:r>
      <w:r w:rsidR="002B40E8" w:rsidRPr="001662FF">
        <w:rPr>
          <w:sz w:val="24"/>
        </w:rPr>
        <w:t>recruitment efforts</w:t>
      </w:r>
      <w:r w:rsidR="002B40E8">
        <w:rPr>
          <w:sz w:val="24"/>
        </w:rPr>
        <w:t>,</w:t>
      </w:r>
      <w:r w:rsidR="002B40E8" w:rsidRPr="001662FF">
        <w:rPr>
          <w:sz w:val="24"/>
        </w:rPr>
        <w:t xml:space="preserve"> </w:t>
      </w:r>
      <w:r w:rsidR="00DF4EC6" w:rsidRPr="001662FF">
        <w:rPr>
          <w:sz w:val="24"/>
        </w:rPr>
        <w:t>HAB will send a letter by</w:t>
      </w:r>
      <w:r w:rsidR="00266CCD" w:rsidRPr="001662FF">
        <w:rPr>
          <w:sz w:val="24"/>
        </w:rPr>
        <w:t xml:space="preserve"> e-mail</w:t>
      </w:r>
      <w:r w:rsidR="00DF4EC6" w:rsidRPr="001662FF">
        <w:rPr>
          <w:sz w:val="24"/>
        </w:rPr>
        <w:t>,</w:t>
      </w:r>
      <w:r w:rsidR="00266CCD" w:rsidRPr="001662FF">
        <w:rPr>
          <w:sz w:val="24"/>
        </w:rPr>
        <w:t xml:space="preserve"> to all </w:t>
      </w:r>
      <w:r w:rsidR="00BD15B3" w:rsidRPr="001662FF">
        <w:rPr>
          <w:sz w:val="24"/>
        </w:rPr>
        <w:t xml:space="preserve">the </w:t>
      </w:r>
      <w:r w:rsidR="00F22463" w:rsidRPr="001662FF">
        <w:rPr>
          <w:sz w:val="24"/>
        </w:rPr>
        <w:t>Part C and/or Part D</w:t>
      </w:r>
      <w:r w:rsidR="00F22463" w:rsidRPr="001662FF" w:rsidDel="00F22463">
        <w:rPr>
          <w:sz w:val="24"/>
        </w:rPr>
        <w:t xml:space="preserve"> </w:t>
      </w:r>
      <w:r w:rsidR="00BD15B3" w:rsidRPr="001662FF">
        <w:rPr>
          <w:sz w:val="24"/>
        </w:rPr>
        <w:t>grantees</w:t>
      </w:r>
      <w:r w:rsidR="00266CCD" w:rsidRPr="001662FF">
        <w:rPr>
          <w:sz w:val="24"/>
        </w:rPr>
        <w:t xml:space="preserve">. The purpose of the letter </w:t>
      </w:r>
      <w:r w:rsidR="002B40E8">
        <w:rPr>
          <w:sz w:val="24"/>
        </w:rPr>
        <w:t>will be to</w:t>
      </w:r>
      <w:r w:rsidR="00266CCD" w:rsidRPr="001662FF">
        <w:rPr>
          <w:sz w:val="24"/>
        </w:rPr>
        <w:t xml:space="preserve"> introduce the study</w:t>
      </w:r>
      <w:r w:rsidR="001D2943" w:rsidRPr="001662FF">
        <w:rPr>
          <w:sz w:val="24"/>
        </w:rPr>
        <w:t xml:space="preserve">, </w:t>
      </w:r>
      <w:r w:rsidR="00400566" w:rsidRPr="001662FF">
        <w:rPr>
          <w:sz w:val="24"/>
        </w:rPr>
        <w:t>highlight it</w:t>
      </w:r>
      <w:r w:rsidR="00F22463" w:rsidRPr="001662FF">
        <w:rPr>
          <w:sz w:val="24"/>
        </w:rPr>
        <w:t>s</w:t>
      </w:r>
      <w:r w:rsidR="00400566" w:rsidRPr="001662FF">
        <w:rPr>
          <w:sz w:val="24"/>
        </w:rPr>
        <w:t xml:space="preserve"> significance</w:t>
      </w:r>
      <w:r w:rsidR="00397B09">
        <w:rPr>
          <w:sz w:val="24"/>
        </w:rPr>
        <w:t>,</w:t>
      </w:r>
      <w:r w:rsidR="00400566" w:rsidRPr="001662FF">
        <w:rPr>
          <w:sz w:val="24"/>
        </w:rPr>
        <w:t xml:space="preserve"> </w:t>
      </w:r>
      <w:r w:rsidR="00266CCD" w:rsidRPr="001662FF">
        <w:rPr>
          <w:sz w:val="24"/>
        </w:rPr>
        <w:t xml:space="preserve">and </w:t>
      </w:r>
      <w:r w:rsidR="00400566" w:rsidRPr="001662FF">
        <w:rPr>
          <w:sz w:val="24"/>
        </w:rPr>
        <w:t xml:space="preserve">encourage </w:t>
      </w:r>
      <w:r w:rsidR="00266CCD" w:rsidRPr="001662FF">
        <w:rPr>
          <w:sz w:val="24"/>
        </w:rPr>
        <w:t>participation</w:t>
      </w:r>
      <w:r w:rsidR="00EF7074">
        <w:rPr>
          <w:sz w:val="24"/>
        </w:rPr>
        <w:t xml:space="preserve">. </w:t>
      </w:r>
      <w:r w:rsidR="00266CCD" w:rsidRPr="001662FF">
        <w:rPr>
          <w:sz w:val="24"/>
        </w:rPr>
        <w:t>T</w:t>
      </w:r>
      <w:r w:rsidR="00F22463" w:rsidRPr="001662FF">
        <w:rPr>
          <w:sz w:val="24"/>
        </w:rPr>
        <w:t>hree days later, t</w:t>
      </w:r>
      <w:r w:rsidR="00266CCD" w:rsidRPr="001662FF">
        <w:rPr>
          <w:sz w:val="24"/>
        </w:rPr>
        <w:t>h</w:t>
      </w:r>
      <w:r w:rsidR="00DF4EC6" w:rsidRPr="001662FF">
        <w:rPr>
          <w:sz w:val="24"/>
        </w:rPr>
        <w:t xml:space="preserve">e study team will follow </w:t>
      </w:r>
      <w:r w:rsidR="00F22463" w:rsidRPr="001662FF">
        <w:rPr>
          <w:sz w:val="24"/>
        </w:rPr>
        <w:t xml:space="preserve">up </w:t>
      </w:r>
      <w:r w:rsidR="00DF4EC6" w:rsidRPr="001662FF">
        <w:rPr>
          <w:sz w:val="24"/>
        </w:rPr>
        <w:t xml:space="preserve">with </w:t>
      </w:r>
      <w:r w:rsidR="00266CCD" w:rsidRPr="001662FF">
        <w:rPr>
          <w:sz w:val="24"/>
        </w:rPr>
        <w:t xml:space="preserve">an </w:t>
      </w:r>
      <w:r w:rsidR="00960E40" w:rsidRPr="001662FF">
        <w:rPr>
          <w:sz w:val="24"/>
        </w:rPr>
        <w:t>e</w:t>
      </w:r>
      <w:r w:rsidR="00FF5BC5">
        <w:rPr>
          <w:sz w:val="24"/>
        </w:rPr>
        <w:t>-</w:t>
      </w:r>
      <w:r w:rsidR="00960E40" w:rsidRPr="001662FF">
        <w:rPr>
          <w:sz w:val="24"/>
        </w:rPr>
        <w:t>mail invi</w:t>
      </w:r>
      <w:r w:rsidR="00960E40" w:rsidRPr="00B85D87">
        <w:rPr>
          <w:sz w:val="24"/>
        </w:rPr>
        <w:t xml:space="preserve">ting the sample population </w:t>
      </w:r>
      <w:r w:rsidR="00B85D87" w:rsidRPr="00B85D87">
        <w:rPr>
          <w:sz w:val="24"/>
        </w:rPr>
        <w:t xml:space="preserve">selected </w:t>
      </w:r>
      <w:r w:rsidR="00960E40" w:rsidRPr="00B85D87">
        <w:rPr>
          <w:sz w:val="24"/>
        </w:rPr>
        <w:t>to</w:t>
      </w:r>
      <w:r w:rsidR="00960E40" w:rsidRPr="001662FF">
        <w:rPr>
          <w:sz w:val="24"/>
        </w:rPr>
        <w:t xml:space="preserve"> participate in the study. The e</w:t>
      </w:r>
      <w:r w:rsidR="00FF5BC5">
        <w:rPr>
          <w:sz w:val="24"/>
        </w:rPr>
        <w:t>-</w:t>
      </w:r>
      <w:r w:rsidR="00960E40" w:rsidRPr="001662FF">
        <w:rPr>
          <w:sz w:val="24"/>
        </w:rPr>
        <w:t xml:space="preserve">mail will include the purpose of the study, the type of data collected, the medium used to complete the survey, and contact information </w:t>
      </w:r>
      <w:r w:rsidR="002B40E8">
        <w:rPr>
          <w:sz w:val="24"/>
        </w:rPr>
        <w:t>for</w:t>
      </w:r>
      <w:r w:rsidR="002B40E8" w:rsidRPr="001662FF">
        <w:rPr>
          <w:sz w:val="24"/>
        </w:rPr>
        <w:t xml:space="preserve"> </w:t>
      </w:r>
      <w:r w:rsidR="00960E40" w:rsidRPr="001662FF">
        <w:rPr>
          <w:sz w:val="24"/>
        </w:rPr>
        <w:t xml:space="preserve">the study </w:t>
      </w:r>
      <w:r w:rsidR="002B40E8" w:rsidRPr="001662FF">
        <w:rPr>
          <w:sz w:val="24"/>
        </w:rPr>
        <w:t>coordina</w:t>
      </w:r>
      <w:r w:rsidR="002B40E8">
        <w:rPr>
          <w:sz w:val="24"/>
        </w:rPr>
        <w:t>tor</w:t>
      </w:r>
      <w:r w:rsidR="00397B09">
        <w:rPr>
          <w:sz w:val="24"/>
        </w:rPr>
        <w:t xml:space="preserve"> for responding to the invitation</w:t>
      </w:r>
      <w:r w:rsidR="00960E40" w:rsidRPr="001662FF">
        <w:rPr>
          <w:sz w:val="24"/>
        </w:rPr>
        <w:t xml:space="preserve">. </w:t>
      </w:r>
      <w:r w:rsidR="004158EB">
        <w:rPr>
          <w:sz w:val="24"/>
        </w:rPr>
        <w:t>After</w:t>
      </w:r>
      <w:r w:rsidR="004158EB" w:rsidRPr="001662FF">
        <w:rPr>
          <w:sz w:val="24"/>
        </w:rPr>
        <w:t xml:space="preserve"> </w:t>
      </w:r>
      <w:r w:rsidR="004B6F98" w:rsidRPr="001662FF">
        <w:rPr>
          <w:sz w:val="24"/>
        </w:rPr>
        <w:t xml:space="preserve">receiving consent to participate by the </w:t>
      </w:r>
      <w:r w:rsidR="00C74E59">
        <w:rPr>
          <w:sz w:val="24"/>
        </w:rPr>
        <w:t>P</w:t>
      </w:r>
      <w:r w:rsidR="004B6F98" w:rsidRPr="001662FF">
        <w:rPr>
          <w:sz w:val="24"/>
        </w:rPr>
        <w:t xml:space="preserve">rogram </w:t>
      </w:r>
      <w:r w:rsidR="00C74E59">
        <w:rPr>
          <w:sz w:val="24"/>
        </w:rPr>
        <w:t>D</w:t>
      </w:r>
      <w:r w:rsidR="00266CCD" w:rsidRPr="001662FF">
        <w:rPr>
          <w:sz w:val="24"/>
        </w:rPr>
        <w:t>ire</w:t>
      </w:r>
      <w:r w:rsidR="00DF4EC6" w:rsidRPr="001662FF">
        <w:rPr>
          <w:sz w:val="24"/>
        </w:rPr>
        <w:t>ctor</w:t>
      </w:r>
      <w:r w:rsidR="00266CCD" w:rsidRPr="001662FF">
        <w:rPr>
          <w:sz w:val="24"/>
        </w:rPr>
        <w:t>, the</w:t>
      </w:r>
      <w:r w:rsidR="009F2E8A" w:rsidRPr="001662FF">
        <w:rPr>
          <w:sz w:val="24"/>
        </w:rPr>
        <w:t xml:space="preserve"> study</w:t>
      </w:r>
      <w:r w:rsidR="00266CCD" w:rsidRPr="001662FF">
        <w:rPr>
          <w:sz w:val="24"/>
        </w:rPr>
        <w:t xml:space="preserve"> team will e</w:t>
      </w:r>
      <w:r w:rsidR="00737F7E" w:rsidRPr="001662FF">
        <w:rPr>
          <w:sz w:val="24"/>
        </w:rPr>
        <w:t>-</w:t>
      </w:r>
      <w:r w:rsidR="00266CCD" w:rsidRPr="001662FF">
        <w:rPr>
          <w:sz w:val="24"/>
        </w:rPr>
        <w:t xml:space="preserve">mail </w:t>
      </w:r>
      <w:r w:rsidR="00D45A0D" w:rsidRPr="001662FF">
        <w:rPr>
          <w:sz w:val="24"/>
        </w:rPr>
        <w:t>the instructions for completing the survey,</w:t>
      </w:r>
      <w:r w:rsidR="00C74E59">
        <w:rPr>
          <w:sz w:val="24"/>
        </w:rPr>
        <w:t xml:space="preserve"> the survey link</w:t>
      </w:r>
      <w:r w:rsidR="009F2E8A" w:rsidRPr="001662FF">
        <w:rPr>
          <w:sz w:val="24"/>
        </w:rPr>
        <w:t xml:space="preserve">, a timeframe </w:t>
      </w:r>
      <w:r w:rsidR="00397B09">
        <w:rPr>
          <w:sz w:val="24"/>
        </w:rPr>
        <w:t>for completing the survey.</w:t>
      </w:r>
      <w:r w:rsidR="00B85D87">
        <w:rPr>
          <w:sz w:val="24"/>
        </w:rPr>
        <w:t xml:space="preserve">  </w:t>
      </w:r>
      <w:r w:rsidR="009F2E8A" w:rsidRPr="001662FF">
        <w:rPr>
          <w:sz w:val="24"/>
        </w:rPr>
        <w:t>The instructions</w:t>
      </w:r>
      <w:r w:rsidR="006510D6" w:rsidRPr="001662FF">
        <w:rPr>
          <w:sz w:val="24"/>
        </w:rPr>
        <w:t xml:space="preserve"> e-mail will</w:t>
      </w:r>
      <w:r w:rsidR="00C74E59">
        <w:rPr>
          <w:sz w:val="24"/>
        </w:rPr>
        <w:t xml:space="preserve"> also</w:t>
      </w:r>
      <w:r w:rsidR="006510D6" w:rsidRPr="001662FF">
        <w:rPr>
          <w:sz w:val="24"/>
        </w:rPr>
        <w:t xml:space="preserve"> include a</w:t>
      </w:r>
      <w:r w:rsidR="00CE3C51" w:rsidRPr="001662FF">
        <w:rPr>
          <w:sz w:val="24"/>
        </w:rPr>
        <w:t>n</w:t>
      </w:r>
      <w:r w:rsidR="009F2E8A" w:rsidRPr="001662FF">
        <w:rPr>
          <w:sz w:val="24"/>
        </w:rPr>
        <w:t xml:space="preserve"> MS Word version of the survey </w:t>
      </w:r>
      <w:r w:rsidR="008E24F1" w:rsidRPr="001662FF">
        <w:rPr>
          <w:sz w:val="24"/>
        </w:rPr>
        <w:t xml:space="preserve">and </w:t>
      </w:r>
      <w:r w:rsidR="00E905E2" w:rsidRPr="001662FF">
        <w:rPr>
          <w:sz w:val="24"/>
        </w:rPr>
        <w:t>a</w:t>
      </w:r>
      <w:r w:rsidR="002B40E8">
        <w:rPr>
          <w:sz w:val="24"/>
        </w:rPr>
        <w:t xml:space="preserve"> </w:t>
      </w:r>
      <w:r w:rsidR="00424E25" w:rsidRPr="001662FF">
        <w:rPr>
          <w:sz w:val="24"/>
        </w:rPr>
        <w:t>Glossary of Terms</w:t>
      </w:r>
      <w:r w:rsidR="00C74E59">
        <w:rPr>
          <w:sz w:val="24"/>
        </w:rPr>
        <w:t>. The</w:t>
      </w:r>
      <w:r w:rsidR="009803BA" w:rsidRPr="00FB3C69">
        <w:rPr>
          <w:sz w:val="24"/>
        </w:rPr>
        <w:t xml:space="preserve"> MS Word version</w:t>
      </w:r>
      <w:r w:rsidR="00C74E59">
        <w:rPr>
          <w:sz w:val="24"/>
        </w:rPr>
        <w:t xml:space="preserve"> of the survey </w:t>
      </w:r>
      <w:r w:rsidR="00EF7074">
        <w:rPr>
          <w:sz w:val="24"/>
        </w:rPr>
        <w:t>will be provided so that</w:t>
      </w:r>
      <w:r w:rsidR="00C74E59">
        <w:rPr>
          <w:sz w:val="24"/>
        </w:rPr>
        <w:t xml:space="preserve"> Project Directors</w:t>
      </w:r>
      <w:r w:rsidR="00C74E59" w:rsidRPr="00FB3C69">
        <w:rPr>
          <w:sz w:val="24"/>
        </w:rPr>
        <w:t xml:space="preserve"> </w:t>
      </w:r>
      <w:r w:rsidR="00EF7074">
        <w:rPr>
          <w:sz w:val="24"/>
        </w:rPr>
        <w:t xml:space="preserve">can </w:t>
      </w:r>
      <w:r w:rsidR="009F2E8A" w:rsidRPr="00FB3C69">
        <w:rPr>
          <w:sz w:val="24"/>
        </w:rPr>
        <w:t>become familiar with the different topics</w:t>
      </w:r>
      <w:r w:rsidR="008E24F1" w:rsidRPr="00FB3C69">
        <w:rPr>
          <w:sz w:val="24"/>
        </w:rPr>
        <w:t xml:space="preserve"> </w:t>
      </w:r>
      <w:r w:rsidR="00EF7074">
        <w:rPr>
          <w:sz w:val="24"/>
        </w:rPr>
        <w:t xml:space="preserve">of the survey </w:t>
      </w:r>
      <w:r w:rsidR="008E24F1" w:rsidRPr="00FB3C69">
        <w:rPr>
          <w:sz w:val="24"/>
        </w:rPr>
        <w:t>before they start answering the questions</w:t>
      </w:r>
      <w:r w:rsidR="00C74E59">
        <w:rPr>
          <w:sz w:val="24"/>
        </w:rPr>
        <w:t xml:space="preserve"> online</w:t>
      </w:r>
      <w:r w:rsidR="009F2E8A" w:rsidRPr="00FB3C69">
        <w:rPr>
          <w:sz w:val="24"/>
        </w:rPr>
        <w:t xml:space="preserve">. This will also assist </w:t>
      </w:r>
      <w:r w:rsidR="00C74E59">
        <w:rPr>
          <w:sz w:val="24"/>
        </w:rPr>
        <w:t>Project Directors</w:t>
      </w:r>
      <w:r w:rsidR="00C74E59" w:rsidRPr="00FB3C69">
        <w:rPr>
          <w:sz w:val="24"/>
        </w:rPr>
        <w:t xml:space="preserve"> </w:t>
      </w:r>
      <w:r w:rsidR="009F2E8A" w:rsidRPr="00FB3C69">
        <w:rPr>
          <w:sz w:val="24"/>
        </w:rPr>
        <w:t>in identifying any additional staff members who might</w:t>
      </w:r>
      <w:r w:rsidR="008E24F1" w:rsidRPr="00FB3C69">
        <w:rPr>
          <w:sz w:val="24"/>
        </w:rPr>
        <w:t xml:space="preserve"> be needed to complete the survey</w:t>
      </w:r>
      <w:r w:rsidR="009F2E8A" w:rsidRPr="00FB3C69">
        <w:rPr>
          <w:sz w:val="24"/>
        </w:rPr>
        <w:t>. The</w:t>
      </w:r>
      <w:r w:rsidR="008E24F1" w:rsidRPr="00FB3C69">
        <w:rPr>
          <w:sz w:val="24"/>
        </w:rPr>
        <w:t xml:space="preserve"> </w:t>
      </w:r>
      <w:r w:rsidR="00C74E59">
        <w:rPr>
          <w:sz w:val="24"/>
        </w:rPr>
        <w:t>Glossary of Terms</w:t>
      </w:r>
      <w:r w:rsidR="00C74E59" w:rsidRPr="00FB3C69">
        <w:rPr>
          <w:sz w:val="24"/>
        </w:rPr>
        <w:t xml:space="preserve"> </w:t>
      </w:r>
      <w:r w:rsidR="009F2E8A" w:rsidRPr="00FB3C69">
        <w:rPr>
          <w:sz w:val="24"/>
        </w:rPr>
        <w:t xml:space="preserve">will </w:t>
      </w:r>
      <w:r w:rsidR="008E24F1" w:rsidRPr="00FB3C69">
        <w:rPr>
          <w:sz w:val="24"/>
        </w:rPr>
        <w:t xml:space="preserve">help </w:t>
      </w:r>
      <w:r w:rsidR="009F2E8A" w:rsidRPr="00FB3C69">
        <w:rPr>
          <w:sz w:val="24"/>
        </w:rPr>
        <w:t>clarify definitions</w:t>
      </w:r>
      <w:r w:rsidR="00C74E59">
        <w:rPr>
          <w:sz w:val="24"/>
        </w:rPr>
        <w:t xml:space="preserve"> of terms</w:t>
      </w:r>
      <w:r w:rsidR="009F2E8A" w:rsidRPr="00FB3C69">
        <w:rPr>
          <w:sz w:val="24"/>
        </w:rPr>
        <w:t xml:space="preserve"> used throughout the survey</w:t>
      </w:r>
      <w:r w:rsidR="006B252C">
        <w:rPr>
          <w:sz w:val="24"/>
        </w:rPr>
        <w:t xml:space="preserve"> (s</w:t>
      </w:r>
      <w:r w:rsidR="00C74E59">
        <w:rPr>
          <w:sz w:val="24"/>
        </w:rPr>
        <w:t>ee</w:t>
      </w:r>
      <w:r w:rsidR="006B252C">
        <w:rPr>
          <w:sz w:val="24"/>
        </w:rPr>
        <w:t>,</w:t>
      </w:r>
      <w:r w:rsidR="00C74E59">
        <w:rPr>
          <w:sz w:val="24"/>
        </w:rPr>
        <w:t xml:space="preserve"> Attachment</w:t>
      </w:r>
      <w:r w:rsidR="00C74E59" w:rsidRPr="00FB3C69">
        <w:rPr>
          <w:sz w:val="24"/>
        </w:rPr>
        <w:t xml:space="preserve"> </w:t>
      </w:r>
      <w:r w:rsidR="005B677C" w:rsidRPr="00FB3C69">
        <w:rPr>
          <w:sz w:val="24"/>
        </w:rPr>
        <w:t>B</w:t>
      </w:r>
      <w:r w:rsidR="00C74E59">
        <w:rPr>
          <w:sz w:val="24"/>
        </w:rPr>
        <w:t>:</w:t>
      </w:r>
      <w:r w:rsidR="00C74E59" w:rsidRPr="00FB3C69">
        <w:rPr>
          <w:sz w:val="24"/>
        </w:rPr>
        <w:t xml:space="preserve"> </w:t>
      </w:r>
      <w:r w:rsidR="005B677C" w:rsidRPr="00FB3C69">
        <w:rPr>
          <w:sz w:val="24"/>
        </w:rPr>
        <w:t>Survey Implementation Materials</w:t>
      </w:r>
      <w:r w:rsidR="006B252C">
        <w:rPr>
          <w:sz w:val="24"/>
        </w:rPr>
        <w:t>)</w:t>
      </w:r>
      <w:r w:rsidR="005B677C" w:rsidRPr="00FB3C69">
        <w:rPr>
          <w:sz w:val="24"/>
        </w:rPr>
        <w:t>.</w:t>
      </w:r>
    </w:p>
    <w:p w:rsidR="009F2E8A" w:rsidRPr="00FB3C69" w:rsidRDefault="009F2E8A" w:rsidP="00266CCD">
      <w:pPr>
        <w:pStyle w:val="Default"/>
        <w:ind w:left="720"/>
        <w:rPr>
          <w:rFonts w:ascii="Times New Roman" w:hAnsi="Times New Roman" w:cs="Times New Roman"/>
        </w:rPr>
      </w:pPr>
    </w:p>
    <w:p w:rsidR="007F091C" w:rsidRPr="00EC6B3E" w:rsidRDefault="00154704" w:rsidP="007F091C">
      <w:pPr>
        <w:pStyle w:val="Default"/>
        <w:rPr>
          <w:rFonts w:ascii="Times New Roman" w:hAnsi="Times New Roman" w:cs="Times New Roman"/>
        </w:rPr>
      </w:pPr>
      <w:r w:rsidRPr="00AF78F8">
        <w:rPr>
          <w:rFonts w:ascii="Times New Roman" w:hAnsi="Times New Roman" w:cs="Times New Roman"/>
        </w:rPr>
        <w:t xml:space="preserve">After the first invitation letter is sent to grantees, the study team will begin monitoring grantee-provider responses using </w:t>
      </w:r>
      <w:r w:rsidR="00D71712" w:rsidRPr="00AF78F8">
        <w:rPr>
          <w:rFonts w:ascii="Times New Roman" w:hAnsi="Times New Roman" w:cs="Times New Roman"/>
        </w:rPr>
        <w:t>a response monitoring spreadsheet to ensure high response rates for completing the survey. The spreadsheet will be used to record participation responses, survey completion, and any communication between the study team and Program Directors to support follow-up efforts. This spreadsheet will be used in conjunction with a sampling frame to ensure that sample categories are well represented.</w:t>
      </w:r>
      <w:r w:rsidR="00D71712" w:rsidRPr="00EC6B3E">
        <w:rPr>
          <w:rFonts w:ascii="Times New Roman" w:hAnsi="Times New Roman" w:cs="Times New Roman"/>
        </w:rPr>
        <w:t xml:space="preserve"> </w:t>
      </w:r>
    </w:p>
    <w:p w:rsidR="00FB3C69" w:rsidRPr="00FB3C69" w:rsidRDefault="00FB3C69" w:rsidP="009803BA">
      <w:pPr>
        <w:pStyle w:val="Default"/>
        <w:ind w:left="720"/>
        <w:rPr>
          <w:rFonts w:ascii="Times New Roman" w:hAnsi="Times New Roman" w:cs="Times New Roman"/>
        </w:rPr>
      </w:pPr>
    </w:p>
    <w:p w:rsidR="009803BA" w:rsidRPr="00610BDE" w:rsidRDefault="009803BA" w:rsidP="006B252C">
      <w:pPr>
        <w:pStyle w:val="Default"/>
        <w:numPr>
          <w:ilvl w:val="0"/>
          <w:numId w:val="2"/>
        </w:numPr>
        <w:ind w:left="360"/>
        <w:rPr>
          <w:rFonts w:ascii="Times New Roman" w:hAnsi="Times New Roman" w:cs="Times New Roman"/>
        </w:rPr>
      </w:pPr>
      <w:r w:rsidRPr="00610BDE">
        <w:rPr>
          <w:rFonts w:ascii="Times New Roman" w:hAnsi="Times New Roman" w:cs="Times New Roman"/>
          <w:b/>
          <w:bCs/>
        </w:rPr>
        <w:t>Methods to Maximize Response Rates and Deal with Nonresponse</w:t>
      </w:r>
    </w:p>
    <w:p w:rsidR="00296590" w:rsidRPr="00610BDE" w:rsidRDefault="00296590" w:rsidP="002D2D06">
      <w:pPr>
        <w:pStyle w:val="Default"/>
        <w:rPr>
          <w:rFonts w:ascii="Times New Roman" w:hAnsi="Times New Roman" w:cs="Times New Roman"/>
        </w:rPr>
      </w:pPr>
    </w:p>
    <w:p w:rsidR="002D2387" w:rsidRPr="006B252C" w:rsidRDefault="002D2387" w:rsidP="007F091C">
      <w:pPr>
        <w:rPr>
          <w:b/>
          <w:i/>
          <w:sz w:val="24"/>
        </w:rPr>
      </w:pPr>
      <w:r w:rsidRPr="006B252C">
        <w:rPr>
          <w:b/>
          <w:i/>
          <w:sz w:val="24"/>
        </w:rPr>
        <w:t>Consent to Participate</w:t>
      </w:r>
    </w:p>
    <w:p w:rsidR="00AA3AA1" w:rsidRDefault="008B0CB4" w:rsidP="007F091C">
      <w:pPr>
        <w:rPr>
          <w:sz w:val="24"/>
        </w:rPr>
      </w:pPr>
      <w:r w:rsidRPr="00610BDE">
        <w:rPr>
          <w:sz w:val="24"/>
        </w:rPr>
        <w:t>During the recruitment process, the study team will follow</w:t>
      </w:r>
      <w:r w:rsidR="004158EB">
        <w:rPr>
          <w:sz w:val="24"/>
        </w:rPr>
        <w:t xml:space="preserve"> </w:t>
      </w:r>
      <w:r w:rsidRPr="00610BDE">
        <w:rPr>
          <w:sz w:val="24"/>
        </w:rPr>
        <w:t>up</w:t>
      </w:r>
      <w:r w:rsidR="002D2D06" w:rsidRPr="00610BDE">
        <w:rPr>
          <w:sz w:val="24"/>
        </w:rPr>
        <w:t xml:space="preserve"> w</w:t>
      </w:r>
      <w:r w:rsidRPr="00610BDE">
        <w:rPr>
          <w:sz w:val="24"/>
        </w:rPr>
        <w:t>ith potential respondents</w:t>
      </w:r>
      <w:r w:rsidR="00EB3CBE">
        <w:rPr>
          <w:sz w:val="24"/>
        </w:rPr>
        <w:t xml:space="preserve"> (</w:t>
      </w:r>
      <w:r w:rsidR="00B05D8A">
        <w:rPr>
          <w:sz w:val="24"/>
        </w:rPr>
        <w:t xml:space="preserve">Program </w:t>
      </w:r>
      <w:r w:rsidR="00EB3CBE">
        <w:rPr>
          <w:sz w:val="24"/>
        </w:rPr>
        <w:t>Directors)</w:t>
      </w:r>
      <w:r w:rsidRPr="00610BDE">
        <w:rPr>
          <w:sz w:val="24"/>
        </w:rPr>
        <w:t xml:space="preserve"> and </w:t>
      </w:r>
      <w:r w:rsidR="002D2D06" w:rsidRPr="00610BDE">
        <w:rPr>
          <w:sz w:val="24"/>
        </w:rPr>
        <w:t xml:space="preserve">remind them to respond to the e-mail </w:t>
      </w:r>
      <w:r w:rsidRPr="00610BDE">
        <w:rPr>
          <w:sz w:val="24"/>
        </w:rPr>
        <w:t>invitation</w:t>
      </w:r>
      <w:r w:rsidR="00CE3C51">
        <w:rPr>
          <w:sz w:val="24"/>
        </w:rPr>
        <w:t>.</w:t>
      </w:r>
      <w:r w:rsidR="002D2D06" w:rsidRPr="00610BDE">
        <w:rPr>
          <w:sz w:val="24"/>
        </w:rPr>
        <w:t xml:space="preserve"> Program Directors will be asked to respond within a week</w:t>
      </w:r>
      <w:r w:rsidR="002D2387">
        <w:rPr>
          <w:sz w:val="24"/>
        </w:rPr>
        <w:t>.</w:t>
      </w:r>
      <w:r w:rsidR="002D2D06" w:rsidRPr="00610BDE">
        <w:rPr>
          <w:sz w:val="24"/>
        </w:rPr>
        <w:t xml:space="preserve"> In the event th</w:t>
      </w:r>
      <w:r w:rsidR="00AA3AA1">
        <w:rPr>
          <w:sz w:val="24"/>
        </w:rPr>
        <w:t>at we do not receive a response</w:t>
      </w:r>
      <w:r w:rsidR="002D2D06" w:rsidRPr="00610BDE">
        <w:rPr>
          <w:sz w:val="24"/>
        </w:rPr>
        <w:t xml:space="preserve">, the team will </w:t>
      </w:r>
      <w:r w:rsidR="002073A0">
        <w:rPr>
          <w:sz w:val="24"/>
        </w:rPr>
        <w:t xml:space="preserve">make a second attempt </w:t>
      </w:r>
      <w:r w:rsidR="002D2D06" w:rsidRPr="00610BDE">
        <w:rPr>
          <w:sz w:val="24"/>
        </w:rPr>
        <w:t>via e-mail</w:t>
      </w:r>
      <w:r w:rsidR="002073A0">
        <w:rPr>
          <w:sz w:val="24"/>
        </w:rPr>
        <w:t xml:space="preserve"> and </w:t>
      </w:r>
      <w:r w:rsidR="00AA3AA1">
        <w:rPr>
          <w:sz w:val="24"/>
        </w:rPr>
        <w:t xml:space="preserve">also </w:t>
      </w:r>
      <w:r w:rsidR="004158EB">
        <w:rPr>
          <w:sz w:val="24"/>
        </w:rPr>
        <w:t>make</w:t>
      </w:r>
      <w:r w:rsidR="002073A0">
        <w:rPr>
          <w:sz w:val="24"/>
        </w:rPr>
        <w:t xml:space="preserve"> telephone calls</w:t>
      </w:r>
      <w:r w:rsidR="002D2387">
        <w:rPr>
          <w:sz w:val="24"/>
        </w:rPr>
        <w:t>.</w:t>
      </w:r>
      <w:r w:rsidR="009D740F">
        <w:rPr>
          <w:sz w:val="24"/>
        </w:rPr>
        <w:t xml:space="preserve"> </w:t>
      </w:r>
      <w:bookmarkStart w:id="4" w:name="_Toc343983294"/>
      <w:r w:rsidR="009D740F">
        <w:rPr>
          <w:sz w:val="24"/>
        </w:rPr>
        <w:t xml:space="preserve">The team will attempt to reach </w:t>
      </w:r>
      <w:r w:rsidR="00AA3AA1">
        <w:rPr>
          <w:sz w:val="24"/>
        </w:rPr>
        <w:t>Project Directors</w:t>
      </w:r>
      <w:r w:rsidR="009D740F">
        <w:rPr>
          <w:sz w:val="24"/>
        </w:rPr>
        <w:t xml:space="preserve"> via telephone every other day thereafter. A third</w:t>
      </w:r>
      <w:r w:rsidR="002D2D06" w:rsidRPr="00610BDE">
        <w:rPr>
          <w:sz w:val="24"/>
        </w:rPr>
        <w:t xml:space="preserve"> e-mail attempt</w:t>
      </w:r>
      <w:r w:rsidR="009D740F">
        <w:rPr>
          <w:sz w:val="24"/>
        </w:rPr>
        <w:t xml:space="preserve"> will also be made </w:t>
      </w:r>
      <w:r w:rsidR="002D2D06" w:rsidRPr="00610BDE">
        <w:rPr>
          <w:sz w:val="24"/>
        </w:rPr>
        <w:t>three days</w:t>
      </w:r>
      <w:r w:rsidR="009D740F">
        <w:rPr>
          <w:sz w:val="24"/>
        </w:rPr>
        <w:t xml:space="preserve"> after the second one is sent. </w:t>
      </w:r>
      <w:bookmarkEnd w:id="4"/>
      <w:r w:rsidR="00EB3CBE">
        <w:rPr>
          <w:sz w:val="24"/>
        </w:rPr>
        <w:t>If a Project Director declines to participate in the study, a replacement grantee-provider will be drawn from the sample</w:t>
      </w:r>
      <w:r w:rsidR="006B252C">
        <w:rPr>
          <w:sz w:val="24"/>
        </w:rPr>
        <w:t>. The will be</w:t>
      </w:r>
      <w:r w:rsidR="00EB3CBE">
        <w:rPr>
          <w:sz w:val="24"/>
        </w:rPr>
        <w:t xml:space="preserve"> sent an </w:t>
      </w:r>
      <w:r w:rsidR="006B252C">
        <w:rPr>
          <w:sz w:val="24"/>
        </w:rPr>
        <w:t>invitation to participate</w:t>
      </w:r>
      <w:r w:rsidR="00EB3CBE">
        <w:rPr>
          <w:sz w:val="24"/>
        </w:rPr>
        <w:t>.</w:t>
      </w:r>
      <w:r w:rsidR="00AA3AA1">
        <w:rPr>
          <w:sz w:val="24"/>
        </w:rPr>
        <w:t xml:space="preserve"> The team will be prepared to emphasize the importance of this study to the RWHAP, the opportunity to provide input into the</w:t>
      </w:r>
      <w:r w:rsidR="0061443D">
        <w:rPr>
          <w:sz w:val="24"/>
        </w:rPr>
        <w:t xml:space="preserve"> T</w:t>
      </w:r>
      <w:r w:rsidR="00AA3AA1">
        <w:rPr>
          <w:sz w:val="24"/>
        </w:rPr>
        <w:t>racker tool and the benefits of having a tool that all grantees can use to track funding streams.</w:t>
      </w:r>
    </w:p>
    <w:p w:rsidR="00E34332" w:rsidRDefault="00E34332">
      <w:pPr>
        <w:widowControl/>
        <w:autoSpaceDE/>
        <w:autoSpaceDN/>
        <w:adjustRightInd/>
        <w:spacing w:after="200" w:line="276" w:lineRule="auto"/>
        <w:rPr>
          <w:rFonts w:eastAsiaTheme="minorHAnsi"/>
          <w:b/>
          <w:i/>
          <w:color w:val="000000"/>
          <w:sz w:val="24"/>
        </w:rPr>
      </w:pPr>
    </w:p>
    <w:p w:rsidR="00E34332" w:rsidRPr="006B252C" w:rsidRDefault="00E34332" w:rsidP="007F091C">
      <w:pPr>
        <w:pStyle w:val="Default"/>
        <w:rPr>
          <w:rFonts w:ascii="Times New Roman" w:hAnsi="Times New Roman" w:cs="Times New Roman"/>
          <w:b/>
          <w:i/>
        </w:rPr>
      </w:pPr>
    </w:p>
    <w:p w:rsidR="00AF78F8" w:rsidRPr="00AF78F8" w:rsidRDefault="00AF78F8" w:rsidP="00181FDF">
      <w:pPr>
        <w:tabs>
          <w:tab w:val="left" w:pos="-720"/>
        </w:tabs>
        <w:rPr>
          <w:b/>
          <w:i/>
          <w:sz w:val="24"/>
        </w:rPr>
      </w:pPr>
      <w:r w:rsidRPr="00AF78F8">
        <w:rPr>
          <w:b/>
          <w:i/>
          <w:sz w:val="24"/>
        </w:rPr>
        <w:lastRenderedPageBreak/>
        <w:t>Completion of Survey</w:t>
      </w:r>
    </w:p>
    <w:p w:rsidR="005068AD" w:rsidRDefault="004158EB" w:rsidP="00181FDF">
      <w:pPr>
        <w:tabs>
          <w:tab w:val="left" w:pos="-720"/>
        </w:tabs>
        <w:rPr>
          <w:sz w:val="24"/>
        </w:rPr>
      </w:pPr>
      <w:bookmarkStart w:id="5" w:name="_GoBack"/>
      <w:bookmarkEnd w:id="5"/>
      <w:r w:rsidRPr="00AF78F8">
        <w:rPr>
          <w:sz w:val="24"/>
        </w:rPr>
        <w:t xml:space="preserve">After </w:t>
      </w:r>
      <w:r w:rsidR="0078396C" w:rsidRPr="00AF78F8">
        <w:rPr>
          <w:sz w:val="24"/>
        </w:rPr>
        <w:t>the study team receives consent to participate in the study</w:t>
      </w:r>
      <w:r w:rsidR="006B252C" w:rsidRPr="00AF78F8">
        <w:rPr>
          <w:sz w:val="24"/>
        </w:rPr>
        <w:t xml:space="preserve"> from the grantees</w:t>
      </w:r>
      <w:r w:rsidR="0078396C" w:rsidRPr="00AF78F8">
        <w:rPr>
          <w:sz w:val="24"/>
        </w:rPr>
        <w:t xml:space="preserve">, </w:t>
      </w:r>
      <w:r w:rsidR="00AE2218" w:rsidRPr="00AF78F8">
        <w:rPr>
          <w:sz w:val="24"/>
        </w:rPr>
        <w:t xml:space="preserve">efforts will be made with </w:t>
      </w:r>
      <w:r w:rsidR="002D2387" w:rsidRPr="00AF78F8">
        <w:rPr>
          <w:sz w:val="24"/>
        </w:rPr>
        <w:t>Project Directors</w:t>
      </w:r>
      <w:r w:rsidR="00AE2218" w:rsidRPr="00AF78F8">
        <w:rPr>
          <w:sz w:val="24"/>
        </w:rPr>
        <w:t xml:space="preserve"> to remind them to complete and subm</w:t>
      </w:r>
      <w:r w:rsidR="00631226" w:rsidRPr="00AF78F8">
        <w:rPr>
          <w:sz w:val="24"/>
        </w:rPr>
        <w:t>it the survey. The study team</w:t>
      </w:r>
      <w:r w:rsidR="002A7369" w:rsidRPr="00AF78F8">
        <w:rPr>
          <w:sz w:val="24"/>
        </w:rPr>
        <w:t xml:space="preserve"> </w:t>
      </w:r>
      <w:r w:rsidR="00631226" w:rsidRPr="00AF78F8">
        <w:rPr>
          <w:sz w:val="24"/>
        </w:rPr>
        <w:t xml:space="preserve">will monitor the </w:t>
      </w:r>
      <w:r w:rsidR="002D2387" w:rsidRPr="00AF78F8">
        <w:rPr>
          <w:sz w:val="24"/>
        </w:rPr>
        <w:t xml:space="preserve">completion of surveys </w:t>
      </w:r>
      <w:r w:rsidR="00C860E2" w:rsidRPr="00AF78F8">
        <w:rPr>
          <w:sz w:val="24"/>
        </w:rPr>
        <w:t xml:space="preserve">and </w:t>
      </w:r>
      <w:r w:rsidR="00631226" w:rsidRPr="00AF78F8">
        <w:rPr>
          <w:sz w:val="24"/>
        </w:rPr>
        <w:t xml:space="preserve">will </w:t>
      </w:r>
      <w:r w:rsidR="00C860E2" w:rsidRPr="00AF78F8">
        <w:rPr>
          <w:sz w:val="24"/>
        </w:rPr>
        <w:t xml:space="preserve">focus </w:t>
      </w:r>
      <w:r w:rsidR="00CF4A74" w:rsidRPr="00AF78F8">
        <w:rPr>
          <w:sz w:val="24"/>
        </w:rPr>
        <w:t>follow-up efforts to</w:t>
      </w:r>
      <w:r w:rsidR="00181FDF" w:rsidRPr="00AF78F8">
        <w:rPr>
          <w:sz w:val="24"/>
        </w:rPr>
        <w:t xml:space="preserve"> achieve </w:t>
      </w:r>
      <w:r w:rsidR="005068AD" w:rsidRPr="00AF78F8">
        <w:rPr>
          <w:sz w:val="24"/>
        </w:rPr>
        <w:t xml:space="preserve">as high an </w:t>
      </w:r>
      <w:r w:rsidR="00181FDF" w:rsidRPr="00AF78F8">
        <w:rPr>
          <w:sz w:val="24"/>
        </w:rPr>
        <w:t xml:space="preserve">overall response rate </w:t>
      </w:r>
      <w:r w:rsidR="005068AD" w:rsidRPr="00AF78F8">
        <w:rPr>
          <w:sz w:val="24"/>
        </w:rPr>
        <w:t>as possible</w:t>
      </w:r>
      <w:r w:rsidR="00181FDF" w:rsidRPr="00AF78F8">
        <w:rPr>
          <w:sz w:val="24"/>
        </w:rPr>
        <w:t xml:space="preserve">. We will also focus </w:t>
      </w:r>
      <w:r w:rsidR="00EA3F5C" w:rsidRPr="00AF78F8">
        <w:rPr>
          <w:sz w:val="24"/>
        </w:rPr>
        <w:t xml:space="preserve">follow-up </w:t>
      </w:r>
      <w:r w:rsidR="00181FDF" w:rsidRPr="00AF78F8">
        <w:rPr>
          <w:sz w:val="24"/>
        </w:rPr>
        <w:t xml:space="preserve">efforts to ensure sufficient response rates </w:t>
      </w:r>
      <w:r w:rsidR="00EA3F5C" w:rsidRPr="00AF78F8">
        <w:rPr>
          <w:sz w:val="24"/>
        </w:rPr>
        <w:t xml:space="preserve">within all cells in Table 1. </w:t>
      </w:r>
      <w:r w:rsidR="00181FDF" w:rsidRPr="00AF78F8">
        <w:rPr>
          <w:sz w:val="24"/>
        </w:rPr>
        <w:t xml:space="preserve"> </w:t>
      </w:r>
    </w:p>
    <w:p w:rsidR="00EA3F5C" w:rsidRDefault="00EA3F5C" w:rsidP="00181FDF">
      <w:pPr>
        <w:tabs>
          <w:tab w:val="left" w:pos="-720"/>
        </w:tabs>
        <w:rPr>
          <w:sz w:val="24"/>
        </w:rPr>
      </w:pPr>
    </w:p>
    <w:p w:rsidR="00181FDF" w:rsidRPr="00EC6B3E" w:rsidRDefault="00181FDF" w:rsidP="00181FDF">
      <w:pPr>
        <w:tabs>
          <w:tab w:val="left" w:pos="-720"/>
        </w:tabs>
        <w:rPr>
          <w:sz w:val="24"/>
        </w:rPr>
      </w:pPr>
      <w:r w:rsidRPr="00EC6B3E">
        <w:rPr>
          <w:sz w:val="24"/>
        </w:rPr>
        <w:t xml:space="preserve">Peer consultants who are familiar with Part C and Part D grantees will also make calls to Project Directors to offer assistance in filling out the survey.  Project Directors will also be offered peer-to-peer assistance in filling out the survey. Part of the study team will include consultants who have worked with Part C and Part D grantees and know their financial and billing systems and practices. </w:t>
      </w:r>
      <w:r w:rsidR="009F6581" w:rsidRPr="00EC6B3E">
        <w:rPr>
          <w:sz w:val="24"/>
        </w:rPr>
        <w:t>E</w:t>
      </w:r>
      <w:r w:rsidR="004158EB" w:rsidRPr="00EC6B3E">
        <w:rPr>
          <w:sz w:val="24"/>
        </w:rPr>
        <w:t>-</w:t>
      </w:r>
      <w:r w:rsidR="009F6581" w:rsidRPr="00EC6B3E">
        <w:rPr>
          <w:sz w:val="24"/>
        </w:rPr>
        <w:t>mail r</w:t>
      </w:r>
      <w:r w:rsidR="00FB3C69" w:rsidRPr="00EC6B3E">
        <w:rPr>
          <w:sz w:val="24"/>
        </w:rPr>
        <w:t xml:space="preserve">eminders to complete the survey will be sent 2 days before the deadline. If a </w:t>
      </w:r>
      <w:r w:rsidR="002D2387" w:rsidRPr="00EC6B3E">
        <w:rPr>
          <w:sz w:val="24"/>
        </w:rPr>
        <w:t xml:space="preserve">Project Director </w:t>
      </w:r>
      <w:r w:rsidR="00FB3C69" w:rsidRPr="00EC6B3E">
        <w:rPr>
          <w:sz w:val="24"/>
        </w:rPr>
        <w:t xml:space="preserve">has not completed </w:t>
      </w:r>
      <w:r w:rsidR="009F6581" w:rsidRPr="00EC6B3E">
        <w:rPr>
          <w:sz w:val="24"/>
        </w:rPr>
        <w:t xml:space="preserve">the survey, follow-up calls </w:t>
      </w:r>
      <w:r w:rsidR="00FB3C69" w:rsidRPr="00EC6B3E">
        <w:rPr>
          <w:sz w:val="24"/>
        </w:rPr>
        <w:t xml:space="preserve">will be </w:t>
      </w:r>
      <w:r w:rsidR="009F6581" w:rsidRPr="00EC6B3E">
        <w:rPr>
          <w:sz w:val="24"/>
        </w:rPr>
        <w:t>made</w:t>
      </w:r>
      <w:r w:rsidR="00FB3C69" w:rsidRPr="00EC6B3E">
        <w:rPr>
          <w:sz w:val="24"/>
        </w:rPr>
        <w:t xml:space="preserve"> until </w:t>
      </w:r>
      <w:r w:rsidR="002D2387" w:rsidRPr="00EC6B3E">
        <w:rPr>
          <w:sz w:val="24"/>
        </w:rPr>
        <w:t>the survey is submitted.</w:t>
      </w:r>
      <w:r w:rsidRPr="00EC6B3E">
        <w:rPr>
          <w:sz w:val="24"/>
        </w:rPr>
        <w:t xml:space="preserve"> </w:t>
      </w:r>
    </w:p>
    <w:p w:rsidR="008A1D61" w:rsidRPr="00181FDF" w:rsidRDefault="008A1D61" w:rsidP="007F091C">
      <w:pPr>
        <w:pStyle w:val="Default"/>
        <w:rPr>
          <w:rFonts w:ascii="Times New Roman" w:hAnsi="Times New Roman" w:cs="Times New Roman"/>
          <w:highlight w:val="yellow"/>
        </w:rPr>
      </w:pPr>
    </w:p>
    <w:p w:rsidR="005F24B4" w:rsidRPr="00D725C0" w:rsidRDefault="002E6A2F" w:rsidP="006B252C">
      <w:pPr>
        <w:pStyle w:val="ListParagraph"/>
        <w:numPr>
          <w:ilvl w:val="0"/>
          <w:numId w:val="2"/>
        </w:numPr>
        <w:ind w:left="360"/>
        <w:rPr>
          <w:sz w:val="24"/>
        </w:rPr>
      </w:pPr>
      <w:r w:rsidRPr="00D725C0">
        <w:rPr>
          <w:b/>
          <w:bCs/>
          <w:sz w:val="24"/>
        </w:rPr>
        <w:t>Tests of Pr</w:t>
      </w:r>
      <w:r w:rsidRPr="00A203E6">
        <w:rPr>
          <w:b/>
          <w:bCs/>
          <w:sz w:val="24"/>
        </w:rPr>
        <w:t>ocedures or Methods to be Undertaken</w:t>
      </w:r>
    </w:p>
    <w:p w:rsidR="007E0A6B" w:rsidRPr="00D725C0" w:rsidRDefault="007E0A6B" w:rsidP="007E0A6B">
      <w:pPr>
        <w:rPr>
          <w:sz w:val="24"/>
        </w:rPr>
      </w:pPr>
    </w:p>
    <w:p w:rsidR="007F091C" w:rsidRDefault="00AE15FF" w:rsidP="007F091C">
      <w:pPr>
        <w:pStyle w:val="Default"/>
        <w:rPr>
          <w:rFonts w:ascii="Times New Roman" w:hAnsi="Times New Roman" w:cs="Times New Roman"/>
        </w:rPr>
      </w:pPr>
      <w:r w:rsidRPr="00D725C0">
        <w:rPr>
          <w:rFonts w:ascii="Times New Roman" w:hAnsi="Times New Roman" w:cs="Times New Roman"/>
        </w:rPr>
        <w:t>The study</w:t>
      </w:r>
      <w:r w:rsidRPr="00A203E6">
        <w:rPr>
          <w:rFonts w:ascii="Times New Roman" w:hAnsi="Times New Roman" w:cs="Times New Roman"/>
        </w:rPr>
        <w:t xml:space="preserve"> team pilot-tested the survey instrument in April</w:t>
      </w:r>
      <w:r w:rsidR="001027C5">
        <w:rPr>
          <w:rFonts w:ascii="Times New Roman" w:hAnsi="Times New Roman" w:cs="Times New Roman"/>
        </w:rPr>
        <w:t xml:space="preserve"> 2013 with three Part C and Part D grantees. </w:t>
      </w:r>
      <w:r w:rsidR="002D2387">
        <w:rPr>
          <w:rFonts w:ascii="Times New Roman" w:hAnsi="Times New Roman" w:cs="Times New Roman"/>
        </w:rPr>
        <w:t>Major r</w:t>
      </w:r>
      <w:r w:rsidR="001027C5">
        <w:rPr>
          <w:rFonts w:ascii="Times New Roman" w:hAnsi="Times New Roman" w:cs="Times New Roman"/>
        </w:rPr>
        <w:t>evisions to the instrument were made and</w:t>
      </w:r>
      <w:r w:rsidR="00BC3516">
        <w:rPr>
          <w:rFonts w:ascii="Times New Roman" w:hAnsi="Times New Roman" w:cs="Times New Roman"/>
        </w:rPr>
        <w:t xml:space="preserve"> the survey was</w:t>
      </w:r>
      <w:r w:rsidR="001027C5">
        <w:rPr>
          <w:rFonts w:ascii="Times New Roman" w:hAnsi="Times New Roman" w:cs="Times New Roman"/>
        </w:rPr>
        <w:t xml:space="preserve"> </w:t>
      </w:r>
      <w:r w:rsidR="00BC3516">
        <w:rPr>
          <w:rFonts w:ascii="Times New Roman" w:hAnsi="Times New Roman" w:cs="Times New Roman"/>
        </w:rPr>
        <w:t>re-piloted</w:t>
      </w:r>
      <w:r w:rsidR="001027C5">
        <w:rPr>
          <w:rFonts w:ascii="Times New Roman" w:hAnsi="Times New Roman" w:cs="Times New Roman"/>
        </w:rPr>
        <w:t xml:space="preserve"> in</w:t>
      </w:r>
      <w:r w:rsidRPr="00A203E6">
        <w:rPr>
          <w:rFonts w:ascii="Times New Roman" w:hAnsi="Times New Roman" w:cs="Times New Roman"/>
        </w:rPr>
        <w:t xml:space="preserve"> July 2013 </w:t>
      </w:r>
      <w:r w:rsidR="001027C5">
        <w:rPr>
          <w:rFonts w:ascii="Times New Roman" w:hAnsi="Times New Roman" w:cs="Times New Roman"/>
        </w:rPr>
        <w:t>with 7 grantees</w:t>
      </w:r>
      <w:r w:rsidR="00647DC3">
        <w:rPr>
          <w:rFonts w:ascii="Times New Roman" w:hAnsi="Times New Roman" w:cs="Times New Roman"/>
        </w:rPr>
        <w:t xml:space="preserve"> (including two grantees from the first pilot)</w:t>
      </w:r>
      <w:r w:rsidR="001027C5">
        <w:rPr>
          <w:rFonts w:ascii="Times New Roman" w:hAnsi="Times New Roman" w:cs="Times New Roman"/>
        </w:rPr>
        <w:t>.</w:t>
      </w:r>
      <w:r w:rsidR="002D2387">
        <w:rPr>
          <w:rFonts w:ascii="Times New Roman" w:hAnsi="Times New Roman" w:cs="Times New Roman"/>
        </w:rPr>
        <w:t xml:space="preserve"> </w:t>
      </w:r>
      <w:r w:rsidR="00F0132D" w:rsidRPr="00A203E6">
        <w:rPr>
          <w:rFonts w:ascii="Times New Roman" w:hAnsi="Times New Roman" w:cs="Times New Roman"/>
        </w:rPr>
        <w:t>The pilot</w:t>
      </w:r>
      <w:r w:rsidR="001027C5">
        <w:rPr>
          <w:rFonts w:ascii="Times New Roman" w:hAnsi="Times New Roman" w:cs="Times New Roman"/>
        </w:rPr>
        <w:t>s</w:t>
      </w:r>
      <w:r w:rsidR="00F0132D" w:rsidRPr="00A203E6">
        <w:rPr>
          <w:rFonts w:ascii="Times New Roman" w:hAnsi="Times New Roman" w:cs="Times New Roman"/>
        </w:rPr>
        <w:t xml:space="preserve"> w</w:t>
      </w:r>
      <w:r w:rsidR="001027C5">
        <w:rPr>
          <w:rFonts w:ascii="Times New Roman" w:hAnsi="Times New Roman" w:cs="Times New Roman"/>
        </w:rPr>
        <w:t>ere</w:t>
      </w:r>
      <w:r w:rsidR="00F0132D" w:rsidRPr="00A203E6">
        <w:rPr>
          <w:rFonts w:ascii="Times New Roman" w:hAnsi="Times New Roman" w:cs="Times New Roman"/>
        </w:rPr>
        <w:t xml:space="preserve"> conducted to test the appropriateness and validity of the survey questions, determine whether questions were consistently understood, whether respondents had the information needed to answer questions, and to obtain a basis for burden estimates. </w:t>
      </w:r>
      <w:r w:rsidR="00F0132D" w:rsidRPr="00610BDE">
        <w:rPr>
          <w:rFonts w:ascii="Times New Roman" w:hAnsi="Times New Roman" w:cs="Times New Roman"/>
        </w:rPr>
        <w:t xml:space="preserve">Feedback was gathered from respondents via questionnaires and follow-up telephone calls. </w:t>
      </w:r>
      <w:r w:rsidRPr="00246406">
        <w:rPr>
          <w:rFonts w:ascii="Times New Roman" w:hAnsi="Times New Roman" w:cs="Times New Roman"/>
        </w:rPr>
        <w:t>In addition</w:t>
      </w:r>
      <w:r w:rsidR="002D2387">
        <w:rPr>
          <w:rFonts w:ascii="Times New Roman" w:hAnsi="Times New Roman" w:cs="Times New Roman"/>
        </w:rPr>
        <w:t xml:space="preserve"> to the pilots</w:t>
      </w:r>
      <w:r w:rsidRPr="00246406">
        <w:rPr>
          <w:rFonts w:ascii="Times New Roman" w:hAnsi="Times New Roman" w:cs="Times New Roman"/>
        </w:rPr>
        <w:t xml:space="preserve">, the </w:t>
      </w:r>
      <w:r w:rsidR="00F0132D" w:rsidRPr="00246406">
        <w:rPr>
          <w:rFonts w:ascii="Times New Roman" w:hAnsi="Times New Roman" w:cs="Times New Roman"/>
        </w:rPr>
        <w:t>study</w:t>
      </w:r>
      <w:r w:rsidRPr="00246406">
        <w:rPr>
          <w:rFonts w:ascii="Times New Roman" w:hAnsi="Times New Roman" w:cs="Times New Roman"/>
        </w:rPr>
        <w:t xml:space="preserve"> t</w:t>
      </w:r>
      <w:r w:rsidRPr="00610BDE">
        <w:rPr>
          <w:rFonts w:ascii="Times New Roman" w:hAnsi="Times New Roman" w:cs="Times New Roman"/>
        </w:rPr>
        <w:t xml:space="preserve">eam </w:t>
      </w:r>
      <w:r w:rsidR="00F0132D" w:rsidRPr="00610BDE">
        <w:rPr>
          <w:rFonts w:ascii="Times New Roman" w:hAnsi="Times New Roman" w:cs="Times New Roman"/>
        </w:rPr>
        <w:t xml:space="preserve">used feedback provided by external project consultants and HAB to enhance the survey.  </w:t>
      </w:r>
    </w:p>
    <w:p w:rsidR="00F0132D" w:rsidRPr="00610BDE" w:rsidRDefault="00F0132D" w:rsidP="00AE15FF">
      <w:pPr>
        <w:pStyle w:val="Default"/>
        <w:ind w:left="720"/>
        <w:rPr>
          <w:rFonts w:ascii="Times New Roman" w:hAnsi="Times New Roman" w:cs="Times New Roman"/>
        </w:rPr>
      </w:pPr>
    </w:p>
    <w:p w:rsidR="00BE30B5" w:rsidRPr="00560B05" w:rsidRDefault="00BE30B5" w:rsidP="006B252C">
      <w:pPr>
        <w:pStyle w:val="ListParagraph"/>
        <w:numPr>
          <w:ilvl w:val="0"/>
          <w:numId w:val="2"/>
        </w:numPr>
        <w:tabs>
          <w:tab w:val="left" w:pos="360"/>
        </w:tabs>
        <w:ind w:left="360"/>
        <w:rPr>
          <w:b/>
          <w:bCs/>
          <w:sz w:val="24"/>
        </w:rPr>
      </w:pPr>
      <w:r w:rsidRPr="00560B05">
        <w:rPr>
          <w:b/>
          <w:bCs/>
          <w:sz w:val="24"/>
        </w:rPr>
        <w:t xml:space="preserve"> Individuals Consulted on Statistical Aspects and Individuals Collecting and/or Analyzing Data</w:t>
      </w:r>
    </w:p>
    <w:p w:rsidR="006E65DC" w:rsidRPr="00D725C0" w:rsidRDefault="006E65DC" w:rsidP="00AE15FF">
      <w:pPr>
        <w:ind w:left="720"/>
        <w:rPr>
          <w:sz w:val="24"/>
        </w:rPr>
      </w:pPr>
    </w:p>
    <w:p w:rsidR="00A757F9" w:rsidRDefault="00A757F9" w:rsidP="00A757F9">
      <w:pPr>
        <w:rPr>
          <w:sz w:val="24"/>
        </w:rPr>
      </w:pPr>
      <w:r w:rsidRPr="00D725C0">
        <w:rPr>
          <w:sz w:val="24"/>
        </w:rPr>
        <w:t>The survey design, data collect</w:t>
      </w:r>
      <w:r>
        <w:rPr>
          <w:sz w:val="24"/>
        </w:rPr>
        <w:t>ion activities, and data analysi</w:t>
      </w:r>
      <w:r w:rsidRPr="00D725C0">
        <w:rPr>
          <w:sz w:val="24"/>
        </w:rPr>
        <w:t xml:space="preserve">s are being conducted </w:t>
      </w:r>
      <w:r>
        <w:rPr>
          <w:sz w:val="24"/>
        </w:rPr>
        <w:t xml:space="preserve">for HRSA and </w:t>
      </w:r>
      <w:r w:rsidRPr="00D725C0">
        <w:rPr>
          <w:sz w:val="24"/>
        </w:rPr>
        <w:t xml:space="preserve">by the contractor, </w:t>
      </w:r>
      <w:r w:rsidRPr="00A203E6">
        <w:rPr>
          <w:sz w:val="24"/>
        </w:rPr>
        <w:t>Walter R. McDonald &amp; Associates, Inc. (WRMA) and its partner, Mission Analytics</w:t>
      </w:r>
      <w:r>
        <w:rPr>
          <w:sz w:val="24"/>
        </w:rPr>
        <w:t xml:space="preserve"> Group</w:t>
      </w:r>
      <w:r w:rsidRPr="00A203E6">
        <w:rPr>
          <w:sz w:val="24"/>
        </w:rPr>
        <w:t xml:space="preserve">, Inc. </w:t>
      </w:r>
    </w:p>
    <w:p w:rsidR="00A757F9" w:rsidRDefault="00A757F9" w:rsidP="00A757F9">
      <w:pPr>
        <w:rPr>
          <w:sz w:val="24"/>
        </w:rPr>
      </w:pPr>
    </w:p>
    <w:p w:rsidR="007F091C" w:rsidRDefault="00066BE5" w:rsidP="007F091C">
      <w:pPr>
        <w:rPr>
          <w:sz w:val="24"/>
        </w:rPr>
      </w:pPr>
      <w:r>
        <w:rPr>
          <w:sz w:val="24"/>
        </w:rPr>
        <w:t xml:space="preserve">The following </w:t>
      </w:r>
      <w:r w:rsidR="00A757F9">
        <w:rPr>
          <w:sz w:val="24"/>
        </w:rPr>
        <w:t xml:space="preserve">persons </w:t>
      </w:r>
      <w:r>
        <w:rPr>
          <w:sz w:val="24"/>
        </w:rPr>
        <w:t>provided guidance and input into the s</w:t>
      </w:r>
      <w:r w:rsidR="00A757F9">
        <w:rPr>
          <w:sz w:val="24"/>
        </w:rPr>
        <w:t>urvey design, s</w:t>
      </w:r>
      <w:r>
        <w:rPr>
          <w:sz w:val="24"/>
        </w:rPr>
        <w:t>ampling and statistical analysis approaches:</w:t>
      </w:r>
    </w:p>
    <w:p w:rsidR="00207A84" w:rsidRDefault="00207A84" w:rsidP="00AE15FF">
      <w:pPr>
        <w:ind w:left="720"/>
        <w:rPr>
          <w:sz w:val="24"/>
        </w:rPr>
      </w:pPr>
    </w:p>
    <w:tbl>
      <w:tblPr>
        <w:tblStyle w:val="TableGrid"/>
        <w:tblW w:w="0" w:type="auto"/>
        <w:tblInd w:w="108" w:type="dxa"/>
        <w:tblLook w:val="04A0" w:firstRow="1" w:lastRow="0" w:firstColumn="1" w:lastColumn="0" w:noHBand="0" w:noVBand="1"/>
      </w:tblPr>
      <w:tblGrid>
        <w:gridCol w:w="3550"/>
        <w:gridCol w:w="2938"/>
        <w:gridCol w:w="2938"/>
      </w:tblGrid>
      <w:tr w:rsidR="00207A84" w:rsidRPr="001359FB" w:rsidTr="0064608C">
        <w:tc>
          <w:tcPr>
            <w:tcW w:w="3550" w:type="dxa"/>
            <w:shd w:val="clear" w:color="auto" w:fill="F2F2F2" w:themeFill="background1" w:themeFillShade="F2"/>
          </w:tcPr>
          <w:p w:rsidR="00207A84" w:rsidRPr="001359FB" w:rsidRDefault="00AB413B" w:rsidP="00AE15FF">
            <w:pPr>
              <w:rPr>
                <w:b/>
                <w:sz w:val="24"/>
                <w:szCs w:val="24"/>
              </w:rPr>
            </w:pPr>
            <w:r w:rsidRPr="00AB413B">
              <w:rPr>
                <w:b/>
                <w:sz w:val="24"/>
              </w:rPr>
              <w:t xml:space="preserve">Name </w:t>
            </w:r>
          </w:p>
        </w:tc>
        <w:tc>
          <w:tcPr>
            <w:tcW w:w="2938" w:type="dxa"/>
            <w:shd w:val="clear" w:color="auto" w:fill="F2F2F2" w:themeFill="background1" w:themeFillShade="F2"/>
          </w:tcPr>
          <w:p w:rsidR="00207A84" w:rsidRPr="001359FB" w:rsidRDefault="00AB413B" w:rsidP="00AE15FF">
            <w:pPr>
              <w:rPr>
                <w:b/>
                <w:sz w:val="24"/>
                <w:szCs w:val="24"/>
              </w:rPr>
            </w:pPr>
            <w:r w:rsidRPr="00AB413B">
              <w:rPr>
                <w:b/>
                <w:sz w:val="24"/>
              </w:rPr>
              <w:t>E-mail</w:t>
            </w:r>
          </w:p>
        </w:tc>
        <w:tc>
          <w:tcPr>
            <w:tcW w:w="2938" w:type="dxa"/>
            <w:shd w:val="clear" w:color="auto" w:fill="F2F2F2" w:themeFill="background1" w:themeFillShade="F2"/>
          </w:tcPr>
          <w:p w:rsidR="00207A84" w:rsidRPr="001359FB" w:rsidRDefault="00AB413B" w:rsidP="00AE15FF">
            <w:pPr>
              <w:rPr>
                <w:b/>
                <w:sz w:val="24"/>
                <w:szCs w:val="24"/>
              </w:rPr>
            </w:pPr>
            <w:r w:rsidRPr="00AB413B">
              <w:rPr>
                <w:b/>
                <w:sz w:val="24"/>
              </w:rPr>
              <w:t>Telephone Number</w:t>
            </w:r>
          </w:p>
        </w:tc>
      </w:tr>
      <w:tr w:rsidR="00A757F9" w:rsidRPr="00207A84" w:rsidTr="0064608C">
        <w:tc>
          <w:tcPr>
            <w:tcW w:w="3550" w:type="dxa"/>
          </w:tcPr>
          <w:p w:rsidR="00A757F9" w:rsidRPr="009D0458" w:rsidRDefault="00A757F9" w:rsidP="00AE15FF">
            <w:pPr>
              <w:rPr>
                <w:sz w:val="24"/>
              </w:rPr>
            </w:pPr>
            <w:r w:rsidRPr="00207A84">
              <w:rPr>
                <w:sz w:val="24"/>
                <w:szCs w:val="24"/>
              </w:rPr>
              <w:t>Harry Day</w:t>
            </w:r>
            <w:r w:rsidR="00EB3CBE">
              <w:rPr>
                <w:sz w:val="24"/>
                <w:szCs w:val="24"/>
              </w:rPr>
              <w:t>, Ph.D</w:t>
            </w:r>
            <w:r w:rsidR="00E34332">
              <w:rPr>
                <w:sz w:val="24"/>
                <w:szCs w:val="24"/>
              </w:rPr>
              <w:t>.</w:t>
            </w:r>
          </w:p>
        </w:tc>
        <w:tc>
          <w:tcPr>
            <w:tcW w:w="2938" w:type="dxa"/>
          </w:tcPr>
          <w:p w:rsidR="00A757F9" w:rsidRPr="009D0458" w:rsidRDefault="00A757F9" w:rsidP="00AE15FF">
            <w:pPr>
              <w:rPr>
                <w:iCs/>
                <w:sz w:val="24"/>
              </w:rPr>
            </w:pPr>
            <w:r w:rsidRPr="00207A84">
              <w:rPr>
                <w:sz w:val="24"/>
                <w:szCs w:val="24"/>
              </w:rPr>
              <w:t>hday@wrma.com</w:t>
            </w:r>
          </w:p>
        </w:tc>
        <w:tc>
          <w:tcPr>
            <w:tcW w:w="2938" w:type="dxa"/>
          </w:tcPr>
          <w:p w:rsidR="00A757F9" w:rsidRPr="00207A84" w:rsidRDefault="00A757F9" w:rsidP="006655C1">
            <w:pPr>
              <w:rPr>
                <w:iCs/>
                <w:sz w:val="24"/>
              </w:rPr>
            </w:pPr>
            <w:r w:rsidRPr="00207A84">
              <w:rPr>
                <w:color w:val="000000"/>
                <w:sz w:val="24"/>
                <w:szCs w:val="24"/>
              </w:rPr>
              <w:t>703</w:t>
            </w:r>
            <w:r w:rsidR="006655C1">
              <w:rPr>
                <w:color w:val="000000"/>
                <w:sz w:val="24"/>
                <w:szCs w:val="24"/>
              </w:rPr>
              <w:t>-</w:t>
            </w:r>
            <w:r w:rsidRPr="00207A84">
              <w:rPr>
                <w:color w:val="000000"/>
                <w:sz w:val="24"/>
                <w:szCs w:val="24"/>
              </w:rPr>
              <w:t>402-8059</w:t>
            </w:r>
          </w:p>
        </w:tc>
      </w:tr>
      <w:tr w:rsidR="00A757F9" w:rsidRPr="00207A84" w:rsidTr="0064608C">
        <w:tc>
          <w:tcPr>
            <w:tcW w:w="3550" w:type="dxa"/>
          </w:tcPr>
          <w:p w:rsidR="00A757F9" w:rsidRPr="009D0458" w:rsidRDefault="00A757F9" w:rsidP="00AE15FF">
            <w:pPr>
              <w:rPr>
                <w:sz w:val="24"/>
                <w:szCs w:val="24"/>
              </w:rPr>
            </w:pPr>
            <w:r w:rsidRPr="009D0458">
              <w:rPr>
                <w:sz w:val="24"/>
                <w:szCs w:val="24"/>
              </w:rPr>
              <w:t>Carolyn Lichtenstein</w:t>
            </w:r>
            <w:r w:rsidR="00EB3CBE">
              <w:rPr>
                <w:sz w:val="24"/>
                <w:szCs w:val="24"/>
              </w:rPr>
              <w:t>, Ph.D</w:t>
            </w:r>
            <w:r w:rsidR="00E34332">
              <w:rPr>
                <w:sz w:val="24"/>
                <w:szCs w:val="24"/>
              </w:rPr>
              <w:t>.</w:t>
            </w:r>
          </w:p>
        </w:tc>
        <w:tc>
          <w:tcPr>
            <w:tcW w:w="2938" w:type="dxa"/>
          </w:tcPr>
          <w:p w:rsidR="00A757F9" w:rsidRPr="009D0458" w:rsidRDefault="00A757F9" w:rsidP="00AE15FF">
            <w:pPr>
              <w:rPr>
                <w:sz w:val="24"/>
                <w:szCs w:val="24"/>
              </w:rPr>
            </w:pPr>
            <w:r w:rsidRPr="009D0458">
              <w:rPr>
                <w:iCs/>
                <w:sz w:val="24"/>
                <w:szCs w:val="24"/>
              </w:rPr>
              <w:t>clichtenstein@wrma.com</w:t>
            </w:r>
          </w:p>
        </w:tc>
        <w:tc>
          <w:tcPr>
            <w:tcW w:w="2938" w:type="dxa"/>
          </w:tcPr>
          <w:p w:rsidR="00A757F9" w:rsidRPr="00207A84" w:rsidRDefault="00A757F9" w:rsidP="004158EB">
            <w:pPr>
              <w:rPr>
                <w:sz w:val="24"/>
                <w:szCs w:val="24"/>
              </w:rPr>
            </w:pPr>
            <w:r w:rsidRPr="00207A84">
              <w:rPr>
                <w:iCs/>
                <w:sz w:val="24"/>
                <w:szCs w:val="24"/>
              </w:rPr>
              <w:t>301-881-2590</w:t>
            </w:r>
          </w:p>
        </w:tc>
      </w:tr>
      <w:tr w:rsidR="00A757F9" w:rsidRPr="00207A84" w:rsidTr="0064608C">
        <w:tc>
          <w:tcPr>
            <w:tcW w:w="3550" w:type="dxa"/>
          </w:tcPr>
          <w:p w:rsidR="00A757F9" w:rsidRPr="00207A84" w:rsidRDefault="00A757F9" w:rsidP="00AE15FF">
            <w:pPr>
              <w:rPr>
                <w:sz w:val="24"/>
                <w:szCs w:val="24"/>
              </w:rPr>
            </w:pPr>
            <w:r w:rsidRPr="00207A84">
              <w:rPr>
                <w:sz w:val="24"/>
                <w:szCs w:val="24"/>
              </w:rPr>
              <w:t>Peggy O'Brien-Strain</w:t>
            </w:r>
            <w:r w:rsidR="00EB3CBE">
              <w:rPr>
                <w:sz w:val="24"/>
                <w:szCs w:val="24"/>
              </w:rPr>
              <w:t>. Ph.D</w:t>
            </w:r>
            <w:r w:rsidR="00E34332">
              <w:rPr>
                <w:sz w:val="24"/>
                <w:szCs w:val="24"/>
              </w:rPr>
              <w:t>.</w:t>
            </w:r>
          </w:p>
        </w:tc>
        <w:tc>
          <w:tcPr>
            <w:tcW w:w="2938" w:type="dxa"/>
          </w:tcPr>
          <w:p w:rsidR="00A757F9" w:rsidRPr="00207A84" w:rsidRDefault="00A757F9" w:rsidP="00AE15FF">
            <w:pPr>
              <w:rPr>
                <w:sz w:val="24"/>
                <w:szCs w:val="24"/>
              </w:rPr>
            </w:pPr>
            <w:r w:rsidRPr="00207A84">
              <w:rPr>
                <w:sz w:val="24"/>
                <w:szCs w:val="24"/>
              </w:rPr>
              <w:t>strain@mission-ag.com</w:t>
            </w:r>
          </w:p>
        </w:tc>
        <w:tc>
          <w:tcPr>
            <w:tcW w:w="2938" w:type="dxa"/>
          </w:tcPr>
          <w:p w:rsidR="00A757F9" w:rsidRPr="00207A84" w:rsidRDefault="00A757F9" w:rsidP="00AE15FF">
            <w:pPr>
              <w:rPr>
                <w:sz w:val="24"/>
                <w:szCs w:val="24"/>
              </w:rPr>
            </w:pPr>
            <w:r w:rsidRPr="00207A84">
              <w:rPr>
                <w:sz w:val="24"/>
                <w:szCs w:val="24"/>
              </w:rPr>
              <w:t>415-263-9885</w:t>
            </w:r>
          </w:p>
        </w:tc>
      </w:tr>
      <w:tr w:rsidR="00A757F9" w:rsidRPr="00207A84" w:rsidTr="0064608C">
        <w:tc>
          <w:tcPr>
            <w:tcW w:w="3550" w:type="dxa"/>
          </w:tcPr>
          <w:p w:rsidR="00A757F9" w:rsidRPr="00A757F9" w:rsidRDefault="00A757F9" w:rsidP="00AE15FF">
            <w:pPr>
              <w:rPr>
                <w:sz w:val="24"/>
              </w:rPr>
            </w:pPr>
            <w:r w:rsidRPr="00A757F9">
              <w:rPr>
                <w:sz w:val="24"/>
              </w:rPr>
              <w:t>Liz Oppenheim</w:t>
            </w:r>
            <w:r w:rsidR="00EB3CBE">
              <w:rPr>
                <w:sz w:val="24"/>
              </w:rPr>
              <w:t>, JD</w:t>
            </w:r>
          </w:p>
        </w:tc>
        <w:tc>
          <w:tcPr>
            <w:tcW w:w="2938" w:type="dxa"/>
          </w:tcPr>
          <w:p w:rsidR="00A757F9" w:rsidRPr="00A757F9" w:rsidRDefault="00B6008B" w:rsidP="00AE15FF">
            <w:pPr>
              <w:rPr>
                <w:sz w:val="24"/>
              </w:rPr>
            </w:pPr>
            <w:hyperlink r:id="rId9" w:history="1">
              <w:r w:rsidR="00A757F9" w:rsidRPr="00A757F9">
                <w:rPr>
                  <w:rStyle w:val="Hyperlink"/>
                  <w:color w:val="auto"/>
                  <w:sz w:val="24"/>
                  <w:u w:val="none"/>
                </w:rPr>
                <w:t>loppenheim@wrma.com</w:t>
              </w:r>
            </w:hyperlink>
          </w:p>
        </w:tc>
        <w:tc>
          <w:tcPr>
            <w:tcW w:w="2938" w:type="dxa"/>
          </w:tcPr>
          <w:p w:rsidR="00A757F9" w:rsidRPr="00207A84" w:rsidRDefault="00A757F9" w:rsidP="00AE15FF">
            <w:pPr>
              <w:rPr>
                <w:color w:val="000000"/>
                <w:sz w:val="24"/>
              </w:rPr>
            </w:pPr>
            <w:r>
              <w:rPr>
                <w:color w:val="000000"/>
                <w:sz w:val="24"/>
              </w:rPr>
              <w:t>301-881-2590</w:t>
            </w:r>
          </w:p>
        </w:tc>
      </w:tr>
    </w:tbl>
    <w:p w:rsidR="00186B19" w:rsidRDefault="00186B19" w:rsidP="00186B19">
      <w:pPr>
        <w:rPr>
          <w:sz w:val="24"/>
        </w:rPr>
      </w:pPr>
    </w:p>
    <w:p w:rsidR="0050373E" w:rsidRPr="00D153EF" w:rsidRDefault="006655C1" w:rsidP="0050373E">
      <w:pPr>
        <w:rPr>
          <w:sz w:val="24"/>
        </w:rPr>
      </w:pPr>
      <w:r w:rsidRPr="0050373E">
        <w:rPr>
          <w:sz w:val="24"/>
        </w:rPr>
        <w:t>The person responsible for receiving and approving the contract deliverables is Contracting Officer Representative</w:t>
      </w:r>
      <w:r w:rsidR="00D153EF">
        <w:rPr>
          <w:sz w:val="24"/>
        </w:rPr>
        <w:t>,</w:t>
      </w:r>
      <w:r w:rsidRPr="0050373E">
        <w:rPr>
          <w:sz w:val="24"/>
        </w:rPr>
        <w:t xml:space="preserve"> Faye Malitz</w:t>
      </w:r>
      <w:r w:rsidR="006B252C" w:rsidRPr="0050373E">
        <w:rPr>
          <w:sz w:val="24"/>
        </w:rPr>
        <w:t>,</w:t>
      </w:r>
      <w:r w:rsidR="0050373E" w:rsidRPr="0050373E">
        <w:rPr>
          <w:sz w:val="24"/>
        </w:rPr>
        <w:t xml:space="preserve"> M.S.,</w:t>
      </w:r>
      <w:r w:rsidR="006B252C" w:rsidRPr="0050373E">
        <w:rPr>
          <w:sz w:val="24"/>
        </w:rPr>
        <w:t xml:space="preserve"> </w:t>
      </w:r>
      <w:r w:rsidR="0050373E" w:rsidRPr="0050373E">
        <w:rPr>
          <w:sz w:val="24"/>
        </w:rPr>
        <w:t>HAB Senior Advisor for Data, Division of Policy and Data</w:t>
      </w:r>
      <w:r w:rsidR="0050373E">
        <w:rPr>
          <w:sz w:val="24"/>
        </w:rPr>
        <w:t>, HRSA/HAB</w:t>
      </w:r>
      <w:r w:rsidR="0050373E" w:rsidRPr="0050373E">
        <w:rPr>
          <w:sz w:val="24"/>
        </w:rPr>
        <w:t xml:space="preserve"> </w:t>
      </w:r>
      <w:r w:rsidR="0050373E">
        <w:rPr>
          <w:sz w:val="24"/>
        </w:rPr>
        <w:t>,</w:t>
      </w:r>
      <w:r w:rsidR="00D153EF">
        <w:rPr>
          <w:sz w:val="24"/>
        </w:rPr>
        <w:t>(301) 443-325</w:t>
      </w:r>
      <w:r w:rsidR="001E7409">
        <w:rPr>
          <w:sz w:val="24"/>
        </w:rPr>
        <w:t>9</w:t>
      </w:r>
      <w:r w:rsidR="00D153EF">
        <w:rPr>
          <w:sz w:val="24"/>
        </w:rPr>
        <w:t>,</w:t>
      </w:r>
      <w:r w:rsidR="0050373E" w:rsidRPr="0050373E">
        <w:rPr>
          <w:sz w:val="24"/>
        </w:rPr>
        <w:t xml:space="preserve">  </w:t>
      </w:r>
      <w:hyperlink r:id="rId10" w:history="1">
        <w:r w:rsidR="0050373E" w:rsidRPr="00791EF9">
          <w:rPr>
            <w:rStyle w:val="Hyperlink"/>
            <w:sz w:val="24"/>
          </w:rPr>
          <w:t>fmalitz@hrsa.gov</w:t>
        </w:r>
      </w:hyperlink>
      <w:r w:rsidR="0050373E">
        <w:rPr>
          <w:color w:val="1F497D"/>
          <w:sz w:val="24"/>
        </w:rPr>
        <w:t>.</w:t>
      </w:r>
    </w:p>
    <w:sectPr w:rsidR="0050373E" w:rsidRPr="00D153EF" w:rsidSect="00314EA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E33649" w15:done="0"/>
  <w15:commentEx w15:paraId="37392F5E" w15:done="0"/>
  <w15:commentEx w15:paraId="523A79FF" w15:done="0"/>
  <w15:commentEx w15:paraId="5B54DB61" w15:done="0"/>
  <w15:commentEx w15:paraId="563A15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3B0" w:rsidRDefault="002D63B0" w:rsidP="00A203E6">
      <w:r>
        <w:separator/>
      </w:r>
    </w:p>
  </w:endnote>
  <w:endnote w:type="continuationSeparator" w:id="0">
    <w:p w:rsidR="002D63B0" w:rsidRDefault="002D63B0" w:rsidP="00A2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3B0" w:rsidRDefault="002D63B0" w:rsidP="00A203E6">
      <w:r>
        <w:separator/>
      </w:r>
    </w:p>
  </w:footnote>
  <w:footnote w:type="continuationSeparator" w:id="0">
    <w:p w:rsidR="002D63B0" w:rsidRDefault="002D63B0" w:rsidP="00A20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A4E48"/>
    <w:multiLevelType w:val="hybridMultilevel"/>
    <w:tmpl w:val="5E0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74A22"/>
    <w:multiLevelType w:val="hybridMultilevel"/>
    <w:tmpl w:val="8144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35FB7"/>
    <w:multiLevelType w:val="hybridMultilevel"/>
    <w:tmpl w:val="5874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D4BE2"/>
    <w:multiLevelType w:val="hybridMultilevel"/>
    <w:tmpl w:val="741CD642"/>
    <w:lvl w:ilvl="0" w:tplc="6930C7EE">
      <w:start w:val="2"/>
      <w:numFmt w:val="upp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4">
    <w:nsid w:val="2DA53C66"/>
    <w:multiLevelType w:val="hybridMultilevel"/>
    <w:tmpl w:val="42C03FAC"/>
    <w:lvl w:ilvl="0" w:tplc="75F0D72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E344EF"/>
    <w:multiLevelType w:val="hybridMultilevel"/>
    <w:tmpl w:val="873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yn Lichtenstein">
    <w15:presenceInfo w15:providerId="AD" w15:userId="S-1-5-21-1202660629-1637723038-1177238915-1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0EE9"/>
    <w:rsid w:val="00026D50"/>
    <w:rsid w:val="000406E9"/>
    <w:rsid w:val="000663DE"/>
    <w:rsid w:val="00066BE5"/>
    <w:rsid w:val="000D7470"/>
    <w:rsid w:val="000F0B50"/>
    <w:rsid w:val="000F5E9D"/>
    <w:rsid w:val="001027C5"/>
    <w:rsid w:val="001269CA"/>
    <w:rsid w:val="001359FB"/>
    <w:rsid w:val="00154704"/>
    <w:rsid w:val="00163D6D"/>
    <w:rsid w:val="001662FF"/>
    <w:rsid w:val="00167752"/>
    <w:rsid w:val="00181FDF"/>
    <w:rsid w:val="00186B19"/>
    <w:rsid w:val="001A0335"/>
    <w:rsid w:val="001A27C0"/>
    <w:rsid w:val="001D2943"/>
    <w:rsid w:val="001E0D72"/>
    <w:rsid w:val="001E7409"/>
    <w:rsid w:val="001F2736"/>
    <w:rsid w:val="001F2D88"/>
    <w:rsid w:val="002073A0"/>
    <w:rsid w:val="00207A84"/>
    <w:rsid w:val="00220549"/>
    <w:rsid w:val="002373E5"/>
    <w:rsid w:val="00246406"/>
    <w:rsid w:val="00266CCD"/>
    <w:rsid w:val="00273005"/>
    <w:rsid w:val="002807E2"/>
    <w:rsid w:val="002874B7"/>
    <w:rsid w:val="00296590"/>
    <w:rsid w:val="002A7369"/>
    <w:rsid w:val="002B40E8"/>
    <w:rsid w:val="002D2387"/>
    <w:rsid w:val="002D2D06"/>
    <w:rsid w:val="002D35E5"/>
    <w:rsid w:val="002D36BF"/>
    <w:rsid w:val="002D63B0"/>
    <w:rsid w:val="002E6A2F"/>
    <w:rsid w:val="002E7750"/>
    <w:rsid w:val="00302B27"/>
    <w:rsid w:val="003134AA"/>
    <w:rsid w:val="00314EAF"/>
    <w:rsid w:val="003323D6"/>
    <w:rsid w:val="0036574F"/>
    <w:rsid w:val="003774B0"/>
    <w:rsid w:val="00382114"/>
    <w:rsid w:val="00383F51"/>
    <w:rsid w:val="00394671"/>
    <w:rsid w:val="00397B09"/>
    <w:rsid w:val="003B2BC1"/>
    <w:rsid w:val="003B4917"/>
    <w:rsid w:val="003E35E3"/>
    <w:rsid w:val="003E6C18"/>
    <w:rsid w:val="00400566"/>
    <w:rsid w:val="00412A59"/>
    <w:rsid w:val="00414B9F"/>
    <w:rsid w:val="004158EB"/>
    <w:rsid w:val="00417B1B"/>
    <w:rsid w:val="00417F1B"/>
    <w:rsid w:val="00424E25"/>
    <w:rsid w:val="00430CE4"/>
    <w:rsid w:val="00454A8C"/>
    <w:rsid w:val="00484CFE"/>
    <w:rsid w:val="004920A7"/>
    <w:rsid w:val="004B62A1"/>
    <w:rsid w:val="004B6F98"/>
    <w:rsid w:val="004C3895"/>
    <w:rsid w:val="004D4022"/>
    <w:rsid w:val="004F1569"/>
    <w:rsid w:val="0050373E"/>
    <w:rsid w:val="005068AD"/>
    <w:rsid w:val="00515F2D"/>
    <w:rsid w:val="00545548"/>
    <w:rsid w:val="005607FE"/>
    <w:rsid w:val="00560B05"/>
    <w:rsid w:val="00560B09"/>
    <w:rsid w:val="00585150"/>
    <w:rsid w:val="005B0DF2"/>
    <w:rsid w:val="005B1137"/>
    <w:rsid w:val="005B677C"/>
    <w:rsid w:val="005B72D0"/>
    <w:rsid w:val="005F24B4"/>
    <w:rsid w:val="00601872"/>
    <w:rsid w:val="00610BDE"/>
    <w:rsid w:val="00613F03"/>
    <w:rsid w:val="0061443D"/>
    <w:rsid w:val="00631226"/>
    <w:rsid w:val="0064608C"/>
    <w:rsid w:val="00647DC3"/>
    <w:rsid w:val="006510D6"/>
    <w:rsid w:val="006655C1"/>
    <w:rsid w:val="006708C4"/>
    <w:rsid w:val="00671A44"/>
    <w:rsid w:val="006764CF"/>
    <w:rsid w:val="00680C5F"/>
    <w:rsid w:val="006924C1"/>
    <w:rsid w:val="006A15EE"/>
    <w:rsid w:val="006B252C"/>
    <w:rsid w:val="006D1CA9"/>
    <w:rsid w:val="006E65DC"/>
    <w:rsid w:val="00724E28"/>
    <w:rsid w:val="007338EC"/>
    <w:rsid w:val="00737F7E"/>
    <w:rsid w:val="00760F33"/>
    <w:rsid w:val="00763187"/>
    <w:rsid w:val="00764598"/>
    <w:rsid w:val="0078396C"/>
    <w:rsid w:val="00795B89"/>
    <w:rsid w:val="007C1E59"/>
    <w:rsid w:val="007C694B"/>
    <w:rsid w:val="007D0CB1"/>
    <w:rsid w:val="007E0A6B"/>
    <w:rsid w:val="007E6EB7"/>
    <w:rsid w:val="007F091C"/>
    <w:rsid w:val="00801E99"/>
    <w:rsid w:val="008131C9"/>
    <w:rsid w:val="008407BA"/>
    <w:rsid w:val="00843E8F"/>
    <w:rsid w:val="008509EA"/>
    <w:rsid w:val="00880EE9"/>
    <w:rsid w:val="008A0E83"/>
    <w:rsid w:val="008A1D61"/>
    <w:rsid w:val="008B0CB4"/>
    <w:rsid w:val="008D1EE8"/>
    <w:rsid w:val="008E24F1"/>
    <w:rsid w:val="008F3937"/>
    <w:rsid w:val="00917ABA"/>
    <w:rsid w:val="00931BBF"/>
    <w:rsid w:val="0094083C"/>
    <w:rsid w:val="00946789"/>
    <w:rsid w:val="0095485B"/>
    <w:rsid w:val="00960E40"/>
    <w:rsid w:val="009803BA"/>
    <w:rsid w:val="00997F66"/>
    <w:rsid w:val="009D0458"/>
    <w:rsid w:val="009D740F"/>
    <w:rsid w:val="009E69DB"/>
    <w:rsid w:val="009F2E8A"/>
    <w:rsid w:val="009F4AB1"/>
    <w:rsid w:val="009F6581"/>
    <w:rsid w:val="00A203E6"/>
    <w:rsid w:val="00A45D5A"/>
    <w:rsid w:val="00A507B0"/>
    <w:rsid w:val="00A52DB1"/>
    <w:rsid w:val="00A757F9"/>
    <w:rsid w:val="00AA3AA1"/>
    <w:rsid w:val="00AB413B"/>
    <w:rsid w:val="00AD6E2D"/>
    <w:rsid w:val="00AE15FF"/>
    <w:rsid w:val="00AE2218"/>
    <w:rsid w:val="00AF78F8"/>
    <w:rsid w:val="00B05D8A"/>
    <w:rsid w:val="00B0791A"/>
    <w:rsid w:val="00B12F28"/>
    <w:rsid w:val="00B24CBA"/>
    <w:rsid w:val="00B2749C"/>
    <w:rsid w:val="00B6008B"/>
    <w:rsid w:val="00B61C52"/>
    <w:rsid w:val="00B700AF"/>
    <w:rsid w:val="00B85D87"/>
    <w:rsid w:val="00B920BA"/>
    <w:rsid w:val="00BC3516"/>
    <w:rsid w:val="00BD15B3"/>
    <w:rsid w:val="00BD1C5D"/>
    <w:rsid w:val="00BE30B5"/>
    <w:rsid w:val="00BF3343"/>
    <w:rsid w:val="00BF46F0"/>
    <w:rsid w:val="00C74E59"/>
    <w:rsid w:val="00C8181C"/>
    <w:rsid w:val="00C860E2"/>
    <w:rsid w:val="00C90C6D"/>
    <w:rsid w:val="00CB0A60"/>
    <w:rsid w:val="00CB3CB7"/>
    <w:rsid w:val="00CE0F7E"/>
    <w:rsid w:val="00CE3C51"/>
    <w:rsid w:val="00CE6CED"/>
    <w:rsid w:val="00CF4A74"/>
    <w:rsid w:val="00D153EF"/>
    <w:rsid w:val="00D45A0D"/>
    <w:rsid w:val="00D5570E"/>
    <w:rsid w:val="00D5715B"/>
    <w:rsid w:val="00D71712"/>
    <w:rsid w:val="00D725C0"/>
    <w:rsid w:val="00D83BAC"/>
    <w:rsid w:val="00D95475"/>
    <w:rsid w:val="00DB7339"/>
    <w:rsid w:val="00DC25CD"/>
    <w:rsid w:val="00DE02B8"/>
    <w:rsid w:val="00DF0604"/>
    <w:rsid w:val="00DF4EC6"/>
    <w:rsid w:val="00E3147E"/>
    <w:rsid w:val="00E34332"/>
    <w:rsid w:val="00E56FA8"/>
    <w:rsid w:val="00E574E6"/>
    <w:rsid w:val="00E66E3A"/>
    <w:rsid w:val="00E905E2"/>
    <w:rsid w:val="00EA3F5C"/>
    <w:rsid w:val="00EB3CBE"/>
    <w:rsid w:val="00EC6B3E"/>
    <w:rsid w:val="00ED059A"/>
    <w:rsid w:val="00EF7074"/>
    <w:rsid w:val="00F0132D"/>
    <w:rsid w:val="00F22463"/>
    <w:rsid w:val="00F45F31"/>
    <w:rsid w:val="00F51470"/>
    <w:rsid w:val="00F5257F"/>
    <w:rsid w:val="00F70F8A"/>
    <w:rsid w:val="00F87616"/>
    <w:rsid w:val="00FA410D"/>
    <w:rsid w:val="00FB3C69"/>
    <w:rsid w:val="00FC3A0A"/>
    <w:rsid w:val="00FC5481"/>
    <w:rsid w:val="00FE5451"/>
    <w:rsid w:val="00FF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E9"/>
    <w:pPr>
      <w:widowControl w:val="0"/>
      <w:autoSpaceDE w:val="0"/>
      <w:autoSpaceDN w:val="0"/>
      <w:adjustRightInd w:val="0"/>
      <w:spacing w:after="0" w:line="240" w:lineRule="auto"/>
    </w:pPr>
    <w:rPr>
      <w:rFonts w:eastAsia="Times New Roman" w:cs="Times New Roman"/>
      <w:sz w:val="20"/>
      <w:szCs w:val="24"/>
    </w:rPr>
  </w:style>
  <w:style w:type="paragraph" w:styleId="Heading1">
    <w:name w:val="heading 1"/>
    <w:basedOn w:val="Normal"/>
    <w:next w:val="Normal"/>
    <w:link w:val="Heading1Char"/>
    <w:qFormat/>
    <w:rsid w:val="00F5257F"/>
    <w:pPr>
      <w:keepNext/>
      <w:outlineLvl w:val="0"/>
    </w:pPr>
    <w:rPr>
      <w:b/>
      <w:bCs/>
      <w:sz w:val="24"/>
    </w:rPr>
  </w:style>
  <w:style w:type="paragraph" w:styleId="Heading3">
    <w:name w:val="heading 3"/>
    <w:basedOn w:val="Normal"/>
    <w:next w:val="Normal"/>
    <w:link w:val="Heading3Char"/>
    <w:uiPriority w:val="9"/>
    <w:unhideWhenUsed/>
    <w:qFormat/>
    <w:rsid w:val="00A203E6"/>
    <w:pPr>
      <w:keepNext/>
      <w:keepLines/>
      <w:widowControl/>
      <w:autoSpaceDE/>
      <w:autoSpaceDN/>
      <w:adjustRightInd/>
      <w:spacing w:before="200" w:line="276" w:lineRule="auto"/>
      <w:outlineLvl w:val="2"/>
    </w:pPr>
    <w:rPr>
      <w:rFonts w:asciiTheme="majorHAnsi" w:eastAsiaTheme="majorEastAsia" w:hAnsiTheme="majorHAnsi" w:cstheme="majorBidi"/>
      <w:b/>
      <w:bCs/>
      <w:color w:val="4F81BD"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80EE9"/>
    <w:pPr>
      <w:widowControl/>
      <w:autoSpaceDE/>
      <w:autoSpaceDN/>
      <w:adjustRightInd/>
      <w:spacing w:before="120"/>
      <w:jc w:val="center"/>
    </w:pPr>
    <w:rPr>
      <w:b/>
      <w:bCs/>
      <w:sz w:val="32"/>
      <w:szCs w:val="32"/>
    </w:rPr>
  </w:style>
  <w:style w:type="character" w:customStyle="1" w:styleId="TitleChar">
    <w:name w:val="Title Char"/>
    <w:basedOn w:val="DefaultParagraphFont"/>
    <w:link w:val="Title"/>
    <w:rsid w:val="00880EE9"/>
    <w:rPr>
      <w:rFonts w:eastAsia="Times New Roman" w:cs="Times New Roman"/>
      <w:b/>
      <w:bCs/>
      <w:sz w:val="32"/>
      <w:szCs w:val="32"/>
    </w:rPr>
  </w:style>
  <w:style w:type="character" w:customStyle="1" w:styleId="Heading1Char">
    <w:name w:val="Heading 1 Char"/>
    <w:basedOn w:val="DefaultParagraphFont"/>
    <w:link w:val="Heading1"/>
    <w:rsid w:val="00F5257F"/>
    <w:rPr>
      <w:rFonts w:eastAsia="Times New Roman" w:cs="Times New Roman"/>
      <w:b/>
      <w:bCs/>
      <w:szCs w:val="24"/>
    </w:rPr>
  </w:style>
  <w:style w:type="paragraph" w:styleId="ListParagraph">
    <w:name w:val="List Paragraph"/>
    <w:basedOn w:val="Normal"/>
    <w:uiPriority w:val="34"/>
    <w:qFormat/>
    <w:rsid w:val="00F5257F"/>
    <w:pPr>
      <w:ind w:left="720"/>
      <w:contextualSpacing/>
    </w:pPr>
  </w:style>
  <w:style w:type="paragraph" w:customStyle="1" w:styleId="Default">
    <w:name w:val="Default"/>
    <w:rsid w:val="005F24B4"/>
    <w:pPr>
      <w:autoSpaceDE w:val="0"/>
      <w:autoSpaceDN w:val="0"/>
      <w:adjustRightInd w:val="0"/>
      <w:spacing w:after="0" w:line="240" w:lineRule="auto"/>
    </w:pPr>
    <w:rPr>
      <w:rFonts w:ascii="Garamond" w:hAnsi="Garamond" w:cs="Garamond"/>
      <w:color w:val="000000"/>
      <w:szCs w:val="24"/>
    </w:rPr>
  </w:style>
  <w:style w:type="character" w:styleId="CommentReference">
    <w:name w:val="annotation reference"/>
    <w:basedOn w:val="DefaultParagraphFont"/>
    <w:uiPriority w:val="99"/>
    <w:semiHidden/>
    <w:unhideWhenUsed/>
    <w:rsid w:val="003B2BC1"/>
    <w:rPr>
      <w:sz w:val="16"/>
      <w:szCs w:val="16"/>
    </w:rPr>
  </w:style>
  <w:style w:type="paragraph" w:styleId="CommentText">
    <w:name w:val="annotation text"/>
    <w:basedOn w:val="Normal"/>
    <w:link w:val="CommentTextChar"/>
    <w:uiPriority w:val="99"/>
    <w:semiHidden/>
    <w:unhideWhenUsed/>
    <w:rsid w:val="003B2BC1"/>
    <w:rPr>
      <w:szCs w:val="20"/>
    </w:rPr>
  </w:style>
  <w:style w:type="character" w:customStyle="1" w:styleId="CommentTextChar">
    <w:name w:val="Comment Text Char"/>
    <w:basedOn w:val="DefaultParagraphFont"/>
    <w:link w:val="CommentText"/>
    <w:uiPriority w:val="99"/>
    <w:semiHidden/>
    <w:rsid w:val="003B2BC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2BC1"/>
    <w:rPr>
      <w:b/>
      <w:bCs/>
    </w:rPr>
  </w:style>
  <w:style w:type="character" w:customStyle="1" w:styleId="CommentSubjectChar">
    <w:name w:val="Comment Subject Char"/>
    <w:basedOn w:val="CommentTextChar"/>
    <w:link w:val="CommentSubject"/>
    <w:uiPriority w:val="99"/>
    <w:semiHidden/>
    <w:rsid w:val="003B2BC1"/>
    <w:rPr>
      <w:rFonts w:eastAsia="Times New Roman" w:cs="Times New Roman"/>
      <w:b/>
      <w:bCs/>
      <w:sz w:val="20"/>
      <w:szCs w:val="20"/>
    </w:rPr>
  </w:style>
  <w:style w:type="paragraph" w:styleId="BalloonText">
    <w:name w:val="Balloon Text"/>
    <w:basedOn w:val="Normal"/>
    <w:link w:val="BalloonTextChar"/>
    <w:uiPriority w:val="99"/>
    <w:semiHidden/>
    <w:unhideWhenUsed/>
    <w:rsid w:val="003B2BC1"/>
    <w:rPr>
      <w:rFonts w:ascii="Tahoma" w:hAnsi="Tahoma" w:cs="Tahoma"/>
      <w:sz w:val="16"/>
      <w:szCs w:val="16"/>
    </w:rPr>
  </w:style>
  <w:style w:type="character" w:customStyle="1" w:styleId="BalloonTextChar">
    <w:name w:val="Balloon Text Char"/>
    <w:basedOn w:val="DefaultParagraphFont"/>
    <w:link w:val="BalloonText"/>
    <w:uiPriority w:val="99"/>
    <w:semiHidden/>
    <w:rsid w:val="003B2BC1"/>
    <w:rPr>
      <w:rFonts w:ascii="Tahoma" w:eastAsia="Times New Roman" w:hAnsi="Tahoma" w:cs="Tahoma"/>
      <w:sz w:val="16"/>
      <w:szCs w:val="16"/>
    </w:rPr>
  </w:style>
  <w:style w:type="character" w:customStyle="1" w:styleId="Heading3Char">
    <w:name w:val="Heading 3 Char"/>
    <w:basedOn w:val="DefaultParagraphFont"/>
    <w:link w:val="Heading3"/>
    <w:uiPriority w:val="9"/>
    <w:rsid w:val="00A203E6"/>
    <w:rPr>
      <w:rFonts w:asciiTheme="majorHAnsi" w:eastAsiaTheme="majorEastAsia" w:hAnsiTheme="majorHAnsi" w:cstheme="majorBidi"/>
      <w:b/>
      <w:bCs/>
      <w:color w:val="4F81BD" w:themeColor="accent1"/>
      <w:sz w:val="20"/>
      <w:szCs w:val="20"/>
    </w:rPr>
  </w:style>
  <w:style w:type="paragraph" w:styleId="FootnoteText">
    <w:name w:val="footnote text"/>
    <w:basedOn w:val="Normal"/>
    <w:link w:val="FootnoteTextChar"/>
    <w:uiPriority w:val="99"/>
    <w:unhideWhenUsed/>
    <w:rsid w:val="00A203E6"/>
    <w:pPr>
      <w:keepNext/>
      <w:keepLines/>
      <w:widowControl/>
      <w:autoSpaceDE/>
      <w:autoSpaceDN/>
      <w:adjustRightInd/>
      <w:outlineLvl w:val="1"/>
    </w:pPr>
    <w:rPr>
      <w:rFonts w:ascii="Palatino Linotype" w:eastAsiaTheme="majorEastAsia" w:hAnsi="Palatino Linotype" w:cstheme="majorBidi"/>
      <w:bCs/>
      <w:szCs w:val="20"/>
    </w:rPr>
  </w:style>
  <w:style w:type="character" w:customStyle="1" w:styleId="FootnoteTextChar">
    <w:name w:val="Footnote Text Char"/>
    <w:basedOn w:val="DefaultParagraphFont"/>
    <w:link w:val="FootnoteText"/>
    <w:uiPriority w:val="99"/>
    <w:rsid w:val="00A203E6"/>
    <w:rPr>
      <w:rFonts w:ascii="Palatino Linotype" w:eastAsiaTheme="majorEastAsia" w:hAnsi="Palatino Linotype" w:cstheme="majorBidi"/>
      <w:bCs/>
      <w:sz w:val="20"/>
      <w:szCs w:val="20"/>
    </w:rPr>
  </w:style>
  <w:style w:type="character" w:styleId="FootnoteReference">
    <w:name w:val="footnote reference"/>
    <w:basedOn w:val="DefaultParagraphFont"/>
    <w:uiPriority w:val="99"/>
    <w:unhideWhenUsed/>
    <w:rsid w:val="00A203E6"/>
    <w:rPr>
      <w:vertAlign w:val="superscript"/>
    </w:rPr>
  </w:style>
  <w:style w:type="paragraph" w:styleId="Revision">
    <w:name w:val="Revision"/>
    <w:hidden/>
    <w:uiPriority w:val="99"/>
    <w:semiHidden/>
    <w:rsid w:val="00610BDE"/>
    <w:pPr>
      <w:spacing w:after="0" w:line="240" w:lineRule="auto"/>
    </w:pPr>
    <w:rPr>
      <w:rFonts w:eastAsia="Times New Roman" w:cs="Times New Roman"/>
      <w:sz w:val="20"/>
      <w:szCs w:val="24"/>
    </w:rPr>
  </w:style>
  <w:style w:type="table" w:styleId="TableGrid">
    <w:name w:val="Table Grid"/>
    <w:basedOn w:val="TableNormal"/>
    <w:uiPriority w:val="59"/>
    <w:rsid w:val="00207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7A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2246">
      <w:bodyDiv w:val="1"/>
      <w:marLeft w:val="0"/>
      <w:marRight w:val="0"/>
      <w:marTop w:val="0"/>
      <w:marBottom w:val="0"/>
      <w:divBdr>
        <w:top w:val="none" w:sz="0" w:space="0" w:color="auto"/>
        <w:left w:val="none" w:sz="0" w:space="0" w:color="auto"/>
        <w:bottom w:val="none" w:sz="0" w:space="0" w:color="auto"/>
        <w:right w:val="none" w:sz="0" w:space="0" w:color="auto"/>
      </w:divBdr>
    </w:div>
    <w:div w:id="417095835">
      <w:bodyDiv w:val="1"/>
      <w:marLeft w:val="0"/>
      <w:marRight w:val="0"/>
      <w:marTop w:val="0"/>
      <w:marBottom w:val="0"/>
      <w:divBdr>
        <w:top w:val="none" w:sz="0" w:space="0" w:color="auto"/>
        <w:left w:val="none" w:sz="0" w:space="0" w:color="auto"/>
        <w:bottom w:val="none" w:sz="0" w:space="0" w:color="auto"/>
        <w:right w:val="none" w:sz="0" w:space="0" w:color="auto"/>
      </w:divBdr>
    </w:div>
    <w:div w:id="843864214">
      <w:bodyDiv w:val="1"/>
      <w:marLeft w:val="0"/>
      <w:marRight w:val="0"/>
      <w:marTop w:val="0"/>
      <w:marBottom w:val="0"/>
      <w:divBdr>
        <w:top w:val="none" w:sz="0" w:space="0" w:color="auto"/>
        <w:left w:val="none" w:sz="0" w:space="0" w:color="auto"/>
        <w:bottom w:val="none" w:sz="0" w:space="0" w:color="auto"/>
        <w:right w:val="none" w:sz="0" w:space="0" w:color="auto"/>
      </w:divBdr>
    </w:div>
    <w:div w:id="855461439">
      <w:bodyDiv w:val="1"/>
      <w:marLeft w:val="0"/>
      <w:marRight w:val="0"/>
      <w:marTop w:val="0"/>
      <w:marBottom w:val="0"/>
      <w:divBdr>
        <w:top w:val="none" w:sz="0" w:space="0" w:color="auto"/>
        <w:left w:val="none" w:sz="0" w:space="0" w:color="auto"/>
        <w:bottom w:val="none" w:sz="0" w:space="0" w:color="auto"/>
        <w:right w:val="none" w:sz="0" w:space="0" w:color="auto"/>
      </w:divBdr>
    </w:div>
    <w:div w:id="1072658623">
      <w:bodyDiv w:val="1"/>
      <w:marLeft w:val="0"/>
      <w:marRight w:val="0"/>
      <w:marTop w:val="0"/>
      <w:marBottom w:val="0"/>
      <w:divBdr>
        <w:top w:val="none" w:sz="0" w:space="0" w:color="auto"/>
        <w:left w:val="none" w:sz="0" w:space="0" w:color="auto"/>
        <w:bottom w:val="none" w:sz="0" w:space="0" w:color="auto"/>
        <w:right w:val="none" w:sz="0" w:space="0" w:color="auto"/>
      </w:divBdr>
    </w:div>
    <w:div w:id="18812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fmalitz@hrsa.gov" TargetMode="External"/><Relationship Id="rId4" Type="http://schemas.microsoft.com/office/2007/relationships/stylesWithEffects" Target="stylesWithEffects.xml"/><Relationship Id="rId9" Type="http://schemas.openxmlformats.org/officeDocument/2006/relationships/hyperlink" Target="mailto:loppenheim@wrma.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7FBB0-404A-4E13-91FD-C9AC60EB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1658</Words>
  <Characters>9454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rmatos</dc:creator>
  <cp:lastModifiedBy>Windows User</cp:lastModifiedBy>
  <cp:revision>2</cp:revision>
  <cp:lastPrinted>2014-02-19T20:39:00Z</cp:lastPrinted>
  <dcterms:created xsi:type="dcterms:W3CDTF">2014-02-25T22:25:00Z</dcterms:created>
  <dcterms:modified xsi:type="dcterms:W3CDTF">2014-02-25T22:25:00Z</dcterms:modified>
</cp:coreProperties>
</file>