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43" w:rsidRPr="00130863" w:rsidRDefault="007D303E" w:rsidP="008B6643">
      <w:pPr>
        <w:spacing w:after="0" w:line="240" w:lineRule="auto"/>
        <w:jc w:val="center"/>
        <w:rPr>
          <w:rFonts w:ascii="Times New Roman" w:hAnsi="Times New Roman" w:cs="Times New Roman"/>
          <w:b/>
          <w:sz w:val="24"/>
          <w:szCs w:val="24"/>
        </w:rPr>
      </w:pPr>
      <w:r w:rsidRPr="00130863">
        <w:rPr>
          <w:rFonts w:ascii="Times New Roman" w:hAnsi="Times New Roman" w:cs="Times New Roman"/>
          <w:b/>
          <w:sz w:val="24"/>
          <w:szCs w:val="24"/>
        </w:rPr>
        <w:t>SUPPORTING STATEMENT</w:t>
      </w:r>
    </w:p>
    <w:p w:rsidR="008B6643" w:rsidRPr="00130863" w:rsidRDefault="008B6643" w:rsidP="008B6643">
      <w:pPr>
        <w:spacing w:after="0" w:line="240" w:lineRule="auto"/>
        <w:jc w:val="center"/>
        <w:rPr>
          <w:rFonts w:ascii="Times New Roman" w:hAnsi="Times New Roman" w:cs="Times New Roman"/>
          <w:b/>
          <w:sz w:val="24"/>
          <w:szCs w:val="24"/>
        </w:rPr>
      </w:pPr>
      <w:r w:rsidRPr="00130863">
        <w:rPr>
          <w:rFonts w:ascii="Times New Roman" w:hAnsi="Times New Roman" w:cs="Times New Roman"/>
          <w:b/>
          <w:sz w:val="24"/>
          <w:szCs w:val="24"/>
        </w:rPr>
        <w:t>ALASKA LICENSE LIMITATION PROGRAM FOR GROUNDFISH, CRAB,</w:t>
      </w:r>
      <w:r w:rsidR="007B6745" w:rsidRPr="00130863">
        <w:rPr>
          <w:rFonts w:ascii="Times New Roman" w:hAnsi="Times New Roman" w:cs="Times New Roman"/>
          <w:b/>
          <w:sz w:val="24"/>
          <w:szCs w:val="24"/>
        </w:rPr>
        <w:t xml:space="preserve"> </w:t>
      </w:r>
      <w:r w:rsidRPr="00130863">
        <w:rPr>
          <w:rFonts w:ascii="Times New Roman" w:hAnsi="Times New Roman" w:cs="Times New Roman"/>
          <w:b/>
          <w:sz w:val="24"/>
          <w:szCs w:val="24"/>
        </w:rPr>
        <w:t>AND SCALLOPS</w:t>
      </w:r>
    </w:p>
    <w:p w:rsidR="008B6643" w:rsidRPr="00130863" w:rsidRDefault="008B6643" w:rsidP="008B6643">
      <w:pPr>
        <w:spacing w:after="0" w:line="240" w:lineRule="auto"/>
        <w:jc w:val="center"/>
        <w:rPr>
          <w:rFonts w:ascii="Times New Roman" w:hAnsi="Times New Roman" w:cs="Times New Roman"/>
          <w:b/>
          <w:sz w:val="24"/>
          <w:szCs w:val="24"/>
        </w:rPr>
      </w:pPr>
      <w:proofErr w:type="gramStart"/>
      <w:r w:rsidRPr="00130863">
        <w:rPr>
          <w:rFonts w:ascii="Times New Roman" w:hAnsi="Times New Roman" w:cs="Times New Roman"/>
          <w:b/>
          <w:sz w:val="24"/>
          <w:szCs w:val="24"/>
        </w:rPr>
        <w:t>OMB CONTROL NO.</w:t>
      </w:r>
      <w:proofErr w:type="gramEnd"/>
      <w:r w:rsidRPr="00130863">
        <w:rPr>
          <w:rFonts w:ascii="Times New Roman" w:hAnsi="Times New Roman" w:cs="Times New Roman"/>
          <w:b/>
          <w:sz w:val="24"/>
          <w:szCs w:val="24"/>
        </w:rPr>
        <w:t xml:space="preserve"> 0648-0334</w:t>
      </w:r>
    </w:p>
    <w:p w:rsidR="00130863" w:rsidRPr="00130863" w:rsidRDefault="00130863" w:rsidP="008B6643">
      <w:pPr>
        <w:spacing w:after="0" w:line="240" w:lineRule="auto"/>
        <w:jc w:val="center"/>
        <w:rPr>
          <w:rFonts w:ascii="Times New Roman" w:hAnsi="Times New Roman" w:cs="Times New Roman"/>
          <w:b/>
          <w:sz w:val="24"/>
          <w:szCs w:val="24"/>
        </w:rPr>
      </w:pPr>
    </w:p>
    <w:p w:rsidR="008B6643" w:rsidRPr="00130863" w:rsidRDefault="008B6643" w:rsidP="008B6643">
      <w:pPr>
        <w:spacing w:after="0" w:line="240" w:lineRule="auto"/>
        <w:rPr>
          <w:rFonts w:ascii="Times New Roman" w:hAnsi="Times New Roman" w:cs="Times New Roman"/>
          <w:sz w:val="24"/>
          <w:szCs w:val="24"/>
        </w:rPr>
      </w:pPr>
    </w:p>
    <w:p w:rsidR="0070183B" w:rsidRPr="00D85D9D" w:rsidRDefault="0070183B" w:rsidP="0070183B">
      <w:pPr>
        <w:spacing w:after="0" w:line="240" w:lineRule="auto"/>
        <w:rPr>
          <w:rFonts w:ascii="Times New Roman" w:hAnsi="Times New Roman" w:cs="Times New Roman"/>
          <w:b/>
          <w:sz w:val="24"/>
          <w:szCs w:val="24"/>
        </w:rPr>
      </w:pPr>
      <w:r w:rsidRPr="00D85D9D">
        <w:rPr>
          <w:rFonts w:ascii="Times New Roman" w:hAnsi="Times New Roman" w:cs="Times New Roman"/>
          <w:b/>
          <w:sz w:val="24"/>
          <w:szCs w:val="24"/>
        </w:rPr>
        <w:t>INTRODUCTION</w:t>
      </w:r>
    </w:p>
    <w:p w:rsidR="0070183B" w:rsidRDefault="0070183B" w:rsidP="0070183B">
      <w:pPr>
        <w:spacing w:after="0" w:line="240" w:lineRule="auto"/>
        <w:rPr>
          <w:rFonts w:ascii="Times New Roman" w:hAnsi="Times New Roman" w:cs="Times New Roman"/>
          <w:sz w:val="24"/>
          <w:szCs w:val="24"/>
        </w:rPr>
      </w:pPr>
    </w:p>
    <w:p w:rsidR="0070183B" w:rsidRPr="008B6643" w:rsidRDefault="0070183B" w:rsidP="007018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Three </w:t>
      </w:r>
      <w:r w:rsidRPr="008B6643">
        <w:rPr>
          <w:rFonts w:ascii="Times New Roman" w:hAnsi="Times New Roman" w:cs="Times New Roman"/>
          <w:sz w:val="24"/>
          <w:szCs w:val="24"/>
        </w:rPr>
        <w:t>License Limitation Program</w:t>
      </w:r>
      <w:r>
        <w:rPr>
          <w:rFonts w:ascii="Times New Roman" w:hAnsi="Times New Roman" w:cs="Times New Roman"/>
          <w:sz w:val="24"/>
          <w:szCs w:val="24"/>
        </w:rPr>
        <w:t xml:space="preserve"> (LLP) permit holders would surrender endorsements in exchange for three specific LLP licenses </w:t>
      </w:r>
      <w:r w:rsidRPr="00AE3A63">
        <w:rPr>
          <w:rFonts w:ascii="Times New Roman" w:hAnsi="Times New Roman" w:cs="Times New Roman"/>
          <w:b/>
          <w:sz w:val="24"/>
          <w:szCs w:val="24"/>
        </w:rPr>
        <w:t xml:space="preserve">[Associated Rule:  </w:t>
      </w:r>
      <w:r>
        <w:rPr>
          <w:rFonts w:ascii="Times New Roman" w:hAnsi="Times New Roman" w:cs="Times New Roman"/>
          <w:b/>
          <w:sz w:val="24"/>
          <w:szCs w:val="24"/>
        </w:rPr>
        <w:t xml:space="preserve">RIN </w:t>
      </w:r>
      <w:r w:rsidRPr="00AE3A63">
        <w:rPr>
          <w:rFonts w:ascii="Times New Roman" w:hAnsi="Times New Roman" w:cs="Times New Roman"/>
          <w:b/>
          <w:sz w:val="24"/>
          <w:szCs w:val="24"/>
        </w:rPr>
        <w:t>0648-</w:t>
      </w:r>
      <w:r>
        <w:rPr>
          <w:rFonts w:ascii="Times New Roman" w:hAnsi="Times New Roman" w:cs="Times New Roman"/>
          <w:b/>
          <w:sz w:val="24"/>
          <w:szCs w:val="24"/>
        </w:rPr>
        <w:t>B</w:t>
      </w:r>
      <w:r w:rsidRPr="00AE3A63">
        <w:rPr>
          <w:rFonts w:ascii="Times New Roman" w:hAnsi="Times New Roman" w:cs="Times New Roman"/>
          <w:b/>
          <w:sz w:val="24"/>
          <w:szCs w:val="24"/>
        </w:rPr>
        <w:t>C</w:t>
      </w:r>
      <w:r>
        <w:rPr>
          <w:rFonts w:ascii="Times New Roman" w:hAnsi="Times New Roman" w:cs="Times New Roman"/>
          <w:b/>
          <w:sz w:val="24"/>
          <w:szCs w:val="24"/>
        </w:rPr>
        <w:t>7</w:t>
      </w:r>
      <w:r w:rsidRPr="00AE3A63">
        <w:rPr>
          <w:rFonts w:ascii="Times New Roman" w:hAnsi="Times New Roman" w:cs="Times New Roman"/>
          <w:b/>
          <w:sz w:val="24"/>
          <w:szCs w:val="24"/>
        </w:rPr>
        <w:t>3]</w:t>
      </w:r>
      <w:r>
        <w:rPr>
          <w:rFonts w:ascii="Times New Roman" w:hAnsi="Times New Roman" w:cs="Times New Roman"/>
          <w:b/>
          <w:sz w:val="24"/>
          <w:szCs w:val="24"/>
        </w:rPr>
        <w:t>.</w:t>
      </w:r>
    </w:p>
    <w:p w:rsidR="0070183B" w:rsidRDefault="0070183B" w:rsidP="0070183B">
      <w:pPr>
        <w:spacing w:after="0" w:line="240" w:lineRule="auto"/>
        <w:rPr>
          <w:rFonts w:ascii="Times New Roman" w:hAnsi="Times New Roman" w:cs="Times New Roman"/>
          <w:sz w:val="24"/>
          <w:szCs w:val="24"/>
        </w:rPr>
      </w:pPr>
    </w:p>
    <w:p w:rsidR="0070183B" w:rsidRPr="008B6643" w:rsidRDefault="0070183B" w:rsidP="0070183B">
      <w:pPr>
        <w:spacing w:after="0" w:line="240" w:lineRule="auto"/>
        <w:rPr>
          <w:rFonts w:ascii="Times New Roman" w:hAnsi="Times New Roman" w:cs="Times New Roman"/>
          <w:sz w:val="24"/>
          <w:szCs w:val="24"/>
        </w:rPr>
      </w:pPr>
      <w:r w:rsidRPr="008B6643">
        <w:rPr>
          <w:rFonts w:ascii="Times New Roman" w:hAnsi="Times New Roman" w:cs="Times New Roman"/>
          <w:sz w:val="24"/>
          <w:szCs w:val="24"/>
        </w:rPr>
        <w:t xml:space="preserve">National Marine Fisheries Service, Alaska Region (NMFS) manages the fisheries in the exclusive economic zone off the coast of Alaska under the Fishery Management Plan for </w:t>
      </w:r>
      <w:proofErr w:type="spellStart"/>
      <w:r w:rsidRPr="008B6643">
        <w:rPr>
          <w:rFonts w:ascii="Times New Roman" w:hAnsi="Times New Roman" w:cs="Times New Roman"/>
          <w:sz w:val="24"/>
          <w:szCs w:val="24"/>
        </w:rPr>
        <w:t>Groundfish</w:t>
      </w:r>
      <w:proofErr w:type="spellEnd"/>
      <w:r w:rsidRPr="008B6643">
        <w:rPr>
          <w:rFonts w:ascii="Times New Roman" w:hAnsi="Times New Roman" w:cs="Times New Roman"/>
          <w:sz w:val="24"/>
          <w:szCs w:val="24"/>
        </w:rPr>
        <w:t xml:space="preserve"> of the Bering Sea and Aleutian Islands Management Area</w:t>
      </w:r>
      <w:r>
        <w:rPr>
          <w:rFonts w:ascii="Times New Roman" w:hAnsi="Times New Roman" w:cs="Times New Roman"/>
          <w:sz w:val="24"/>
          <w:szCs w:val="24"/>
        </w:rPr>
        <w:t xml:space="preserve"> (FMP).  </w:t>
      </w:r>
      <w:r w:rsidRPr="008B6643">
        <w:rPr>
          <w:rFonts w:ascii="Times New Roman" w:hAnsi="Times New Roman" w:cs="Times New Roman"/>
          <w:sz w:val="24"/>
          <w:szCs w:val="24"/>
        </w:rPr>
        <w:t xml:space="preserve">The North Pacific Fishery Management Council (Council) prepared, and NMFS approved, the FMP under the authority of the </w:t>
      </w:r>
      <w:hyperlink r:id="rId9" w:history="1">
        <w:r w:rsidRPr="007D303E">
          <w:rPr>
            <w:rStyle w:val="Hyperlink"/>
            <w:rFonts w:ascii="Times New Roman" w:hAnsi="Times New Roman" w:cs="Times New Roman"/>
            <w:sz w:val="24"/>
            <w:szCs w:val="24"/>
          </w:rPr>
          <w:t>Magnuson-Stevens Fishery Conservation and Management Act</w:t>
        </w:r>
      </w:hyperlink>
      <w:r w:rsidRPr="008B6643">
        <w:rPr>
          <w:rFonts w:ascii="Times New Roman" w:hAnsi="Times New Roman" w:cs="Times New Roman"/>
          <w:sz w:val="24"/>
          <w:szCs w:val="24"/>
        </w:rPr>
        <w:t>, 16 U.S.C. 1801 et seq. as amended in 2006.  The</w:t>
      </w:r>
      <w:r>
        <w:rPr>
          <w:rFonts w:ascii="Times New Roman" w:hAnsi="Times New Roman" w:cs="Times New Roman"/>
          <w:sz w:val="24"/>
          <w:szCs w:val="24"/>
        </w:rPr>
        <w:t xml:space="preserve"> FMP is</w:t>
      </w:r>
      <w:r w:rsidRPr="008B6643">
        <w:rPr>
          <w:rFonts w:ascii="Times New Roman" w:hAnsi="Times New Roman" w:cs="Times New Roman"/>
          <w:sz w:val="24"/>
          <w:szCs w:val="24"/>
        </w:rPr>
        <w:t xml:space="preserve"> implemented by regulations at </w:t>
      </w:r>
      <w:hyperlink r:id="rId10" w:history="1">
        <w:proofErr w:type="gramStart"/>
        <w:r w:rsidRPr="007D303E">
          <w:rPr>
            <w:rStyle w:val="Hyperlink"/>
            <w:rFonts w:ascii="Times New Roman" w:hAnsi="Times New Roman" w:cs="Times New Roman"/>
            <w:sz w:val="24"/>
            <w:szCs w:val="24"/>
          </w:rPr>
          <w:t>50 CFR part</w:t>
        </w:r>
        <w:proofErr w:type="gramEnd"/>
        <w:r w:rsidRPr="007D303E">
          <w:rPr>
            <w:rStyle w:val="Hyperlink"/>
            <w:rFonts w:ascii="Times New Roman" w:hAnsi="Times New Roman" w:cs="Times New Roman"/>
            <w:sz w:val="24"/>
            <w:szCs w:val="24"/>
          </w:rPr>
          <w:t xml:space="preserve"> 679</w:t>
        </w:r>
      </w:hyperlink>
      <w:r w:rsidRPr="008B6643">
        <w:rPr>
          <w:rFonts w:ascii="Times New Roman" w:hAnsi="Times New Roman" w:cs="Times New Roman"/>
          <w:sz w:val="24"/>
          <w:szCs w:val="24"/>
        </w:rPr>
        <w:t>.</w:t>
      </w:r>
    </w:p>
    <w:p w:rsidR="0070183B" w:rsidRDefault="0070183B" w:rsidP="0070183B">
      <w:pPr>
        <w:spacing w:after="0" w:line="240" w:lineRule="auto"/>
        <w:rPr>
          <w:rFonts w:ascii="Times New Roman" w:hAnsi="Times New Roman" w:cs="Times New Roman"/>
          <w:sz w:val="24"/>
          <w:szCs w:val="24"/>
        </w:rPr>
      </w:pPr>
    </w:p>
    <w:p w:rsidR="00467B84" w:rsidRPr="00130863" w:rsidRDefault="0070183B" w:rsidP="0070183B">
      <w:pPr>
        <w:spacing w:after="0" w:line="240" w:lineRule="auto"/>
        <w:rPr>
          <w:rFonts w:ascii="Times New Roman" w:hAnsi="Times New Roman" w:cs="Times New Roman"/>
          <w:sz w:val="24"/>
          <w:szCs w:val="24"/>
        </w:rPr>
      </w:pPr>
      <w:r w:rsidRPr="008B6643">
        <w:rPr>
          <w:rFonts w:ascii="Times New Roman" w:hAnsi="Times New Roman" w:cs="Times New Roman"/>
          <w:sz w:val="24"/>
          <w:szCs w:val="24"/>
        </w:rPr>
        <w:t xml:space="preserve">The intended effect of the </w:t>
      </w:r>
      <w:r>
        <w:rPr>
          <w:rFonts w:ascii="Times New Roman" w:hAnsi="Times New Roman" w:cs="Times New Roman"/>
          <w:sz w:val="24"/>
          <w:szCs w:val="24"/>
        </w:rPr>
        <w:t>LLP</w:t>
      </w:r>
      <w:r w:rsidR="008B6643" w:rsidRPr="00130863">
        <w:rPr>
          <w:rFonts w:ascii="Times New Roman" w:hAnsi="Times New Roman" w:cs="Times New Roman"/>
          <w:sz w:val="24"/>
          <w:szCs w:val="24"/>
        </w:rPr>
        <w:t xml:space="preserve"> is to limit the number of participants</w:t>
      </w:r>
      <w:r w:rsidR="004D037E" w:rsidRPr="00130863">
        <w:rPr>
          <w:rFonts w:ascii="Times New Roman" w:hAnsi="Times New Roman" w:cs="Times New Roman"/>
          <w:sz w:val="24"/>
          <w:szCs w:val="24"/>
        </w:rPr>
        <w:t xml:space="preserve">, </w:t>
      </w:r>
      <w:r w:rsidR="008B6643" w:rsidRPr="00130863">
        <w:rPr>
          <w:rFonts w:ascii="Times New Roman" w:hAnsi="Times New Roman" w:cs="Times New Roman"/>
          <w:sz w:val="24"/>
          <w:szCs w:val="24"/>
        </w:rPr>
        <w:t>reduce fishing capacity in fisheries off Alaska</w:t>
      </w:r>
      <w:r w:rsidR="004D037E" w:rsidRPr="00130863">
        <w:rPr>
          <w:rFonts w:ascii="Times New Roman" w:hAnsi="Times New Roman" w:cs="Times New Roman"/>
          <w:sz w:val="24"/>
          <w:szCs w:val="24"/>
        </w:rPr>
        <w:t xml:space="preserve">, and </w:t>
      </w:r>
      <w:r w:rsidR="008B6643" w:rsidRPr="00130863">
        <w:rPr>
          <w:rFonts w:ascii="Times New Roman" w:hAnsi="Times New Roman" w:cs="Times New Roman"/>
          <w:sz w:val="24"/>
          <w:szCs w:val="24"/>
        </w:rPr>
        <w:t>limit access to the groundfish, crab, and scallop fisheries in the Bering Sea and Aleutian Islands Management Area (B</w:t>
      </w:r>
      <w:r w:rsidR="00130863" w:rsidRPr="00130863">
        <w:rPr>
          <w:rFonts w:ascii="Times New Roman" w:hAnsi="Times New Roman" w:cs="Times New Roman"/>
          <w:sz w:val="24"/>
          <w:szCs w:val="24"/>
        </w:rPr>
        <w:t>SAI) and Gulf of Alaska (GOA).</w:t>
      </w:r>
    </w:p>
    <w:p w:rsidR="008B6643" w:rsidRPr="00130863" w:rsidRDefault="008B6643" w:rsidP="004D037E">
      <w:pPr>
        <w:spacing w:after="0" w:line="240" w:lineRule="auto"/>
        <w:rPr>
          <w:rFonts w:ascii="Times New Roman" w:hAnsi="Times New Roman" w:cs="Times New Roman"/>
          <w:sz w:val="24"/>
          <w:szCs w:val="24"/>
        </w:rPr>
      </w:pPr>
    </w:p>
    <w:p w:rsidR="00810AE8" w:rsidRPr="00130863" w:rsidRDefault="00810AE8" w:rsidP="00810AE8">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For a vessel designated on an LLP license, the LLP license authorizes the type of fishing gear that may be used by the vessel, the maximum size of the vessel, and whether the vessel may catch and process fish at sea or if it is limited to delivering catch without at-sea processing.  LLP licenses that allow vessels to catch and process at-sea are assigned a catcher/processor endorsement; those that restrict vessels from at-sea processing are assigned a catcher vessel endorsement.</w:t>
      </w:r>
    </w:p>
    <w:p w:rsidR="00810AE8" w:rsidRPr="00130863" w:rsidRDefault="00810AE8" w:rsidP="00810AE8">
      <w:pPr>
        <w:spacing w:after="0" w:line="240" w:lineRule="auto"/>
        <w:rPr>
          <w:rFonts w:ascii="Times New Roman" w:hAnsi="Times New Roman" w:cs="Times New Roman"/>
          <w:sz w:val="24"/>
          <w:szCs w:val="24"/>
        </w:rPr>
      </w:pPr>
    </w:p>
    <w:p w:rsidR="00810AE8" w:rsidRPr="00130863" w:rsidRDefault="00810AE8" w:rsidP="00810AE8">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LLP licenses specify the</w:t>
      </w:r>
      <w:r w:rsidR="007D303E" w:rsidRPr="00130863">
        <w:rPr>
          <w:rFonts w:ascii="Times New Roman" w:hAnsi="Times New Roman" w:cs="Times New Roman"/>
          <w:sz w:val="24"/>
          <w:szCs w:val="24"/>
        </w:rPr>
        <w:t xml:space="preserve"> maximum length overall (</w:t>
      </w:r>
      <w:r w:rsidRPr="00130863">
        <w:rPr>
          <w:rFonts w:ascii="Times New Roman" w:hAnsi="Times New Roman" w:cs="Times New Roman"/>
          <w:sz w:val="24"/>
          <w:szCs w:val="24"/>
        </w:rPr>
        <w:t>MLOA</w:t>
      </w:r>
      <w:r w:rsidR="007D303E" w:rsidRPr="00130863">
        <w:rPr>
          <w:rFonts w:ascii="Times New Roman" w:hAnsi="Times New Roman" w:cs="Times New Roman"/>
          <w:sz w:val="24"/>
          <w:szCs w:val="24"/>
        </w:rPr>
        <w:t>)</w:t>
      </w:r>
      <w:r w:rsidRPr="00130863">
        <w:rPr>
          <w:rFonts w:ascii="Times New Roman" w:hAnsi="Times New Roman" w:cs="Times New Roman"/>
          <w:sz w:val="24"/>
          <w:szCs w:val="24"/>
        </w:rPr>
        <w:t xml:space="preserve"> of the vessel to which that LLP license may be assigned.  Participants in LLP groundfish fisheries are prohibited from using a vessel to fish for LLP groundfish that has a</w:t>
      </w:r>
      <w:r w:rsidR="007D303E" w:rsidRPr="00130863">
        <w:rPr>
          <w:rFonts w:ascii="Times New Roman" w:hAnsi="Times New Roman" w:cs="Times New Roman"/>
          <w:sz w:val="24"/>
          <w:szCs w:val="24"/>
        </w:rPr>
        <w:t>n LOA</w:t>
      </w:r>
      <w:r w:rsidRPr="00130863">
        <w:rPr>
          <w:rFonts w:ascii="Times New Roman" w:hAnsi="Times New Roman" w:cs="Times New Roman"/>
          <w:sz w:val="24"/>
          <w:szCs w:val="24"/>
        </w:rPr>
        <w:t xml:space="preserve"> that is greater than the vessel MLOA specified on the LLP license.</w:t>
      </w:r>
    </w:p>
    <w:p w:rsidR="007B5CCE" w:rsidRPr="00130863" w:rsidRDefault="007B5CCE" w:rsidP="004C3810">
      <w:pPr>
        <w:spacing w:after="0" w:line="240" w:lineRule="auto"/>
        <w:rPr>
          <w:rFonts w:ascii="Times New Roman" w:hAnsi="Times New Roman" w:cs="Times New Roman"/>
          <w:b/>
          <w:sz w:val="24"/>
          <w:szCs w:val="24"/>
        </w:rPr>
      </w:pPr>
    </w:p>
    <w:p w:rsidR="00810AE8" w:rsidRPr="00130863" w:rsidRDefault="00810AE8" w:rsidP="00810AE8">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 xml:space="preserve">Amendment 99 would automatically increase the vessel MLOA to 220 feet (67 m) on 33 LLP licenses in the BSAI longline catcher/processor subsector not also endorsed for pot gear. NMFS would encourage the remaining eligible three LLP license holders who also use pot gear to surrender their LLP in exchange for eligibility to replace aging vessels with newer, safer, and more efficient 220-foot (67 m) MLOA vessels.  </w:t>
      </w:r>
    </w:p>
    <w:p w:rsidR="00810AE8" w:rsidRPr="00130863" w:rsidRDefault="00810AE8" w:rsidP="004C3810">
      <w:pPr>
        <w:spacing w:after="0" w:line="240" w:lineRule="auto"/>
        <w:rPr>
          <w:rFonts w:ascii="Times New Roman" w:hAnsi="Times New Roman" w:cs="Times New Roman"/>
          <w:b/>
          <w:sz w:val="24"/>
          <w:szCs w:val="24"/>
        </w:rPr>
      </w:pPr>
    </w:p>
    <w:p w:rsidR="00050F16" w:rsidRPr="00130863" w:rsidRDefault="00130863" w:rsidP="00130863">
      <w:pPr>
        <w:spacing w:after="0" w:line="240" w:lineRule="auto"/>
        <w:rPr>
          <w:rFonts w:ascii="Times New Roman" w:hAnsi="Times New Roman" w:cs="Times New Roman"/>
          <w:b/>
          <w:sz w:val="24"/>
          <w:szCs w:val="24"/>
        </w:rPr>
      </w:pPr>
      <w:r w:rsidRPr="00130863">
        <w:rPr>
          <w:rFonts w:ascii="Times New Roman" w:hAnsi="Times New Roman" w:cs="Times New Roman"/>
          <w:b/>
          <w:sz w:val="24"/>
          <w:szCs w:val="24"/>
        </w:rPr>
        <w:t>A.</w:t>
      </w:r>
      <w:r w:rsidRPr="00130863">
        <w:rPr>
          <w:rFonts w:ascii="Times New Roman" w:hAnsi="Times New Roman" w:cs="Times New Roman"/>
          <w:b/>
          <w:sz w:val="24"/>
          <w:szCs w:val="24"/>
        </w:rPr>
        <w:tab/>
      </w:r>
      <w:r w:rsidR="00050F16" w:rsidRPr="00130863">
        <w:rPr>
          <w:rFonts w:ascii="Times New Roman" w:hAnsi="Times New Roman" w:cs="Times New Roman"/>
          <w:b/>
          <w:sz w:val="24"/>
          <w:szCs w:val="24"/>
        </w:rPr>
        <w:t>JUSTIFICATION</w:t>
      </w:r>
    </w:p>
    <w:p w:rsidR="00050F16" w:rsidRPr="00130863" w:rsidRDefault="00050F16" w:rsidP="00FC4888">
      <w:pPr>
        <w:spacing w:after="0" w:line="240" w:lineRule="auto"/>
        <w:rPr>
          <w:rFonts w:ascii="Times New Roman" w:hAnsi="Times New Roman" w:cs="Times New Roman"/>
          <w:sz w:val="24"/>
          <w:szCs w:val="24"/>
        </w:rPr>
      </w:pPr>
    </w:p>
    <w:p w:rsidR="00172605" w:rsidRPr="00130863" w:rsidRDefault="00C7653D" w:rsidP="00FC4888">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 xml:space="preserve">Each groundfish LLP license endorsed to catch and process Pacific cod with hook-and-line gear in the </w:t>
      </w:r>
      <w:r w:rsidR="00050F16" w:rsidRPr="00130863">
        <w:rPr>
          <w:rFonts w:ascii="Times New Roman" w:hAnsi="Times New Roman" w:cs="Times New Roman"/>
          <w:sz w:val="24"/>
          <w:szCs w:val="24"/>
        </w:rPr>
        <w:t>Bering Sea</w:t>
      </w:r>
      <w:r w:rsidRPr="00130863">
        <w:rPr>
          <w:rFonts w:ascii="Times New Roman" w:hAnsi="Times New Roman" w:cs="Times New Roman"/>
          <w:sz w:val="24"/>
          <w:szCs w:val="24"/>
        </w:rPr>
        <w:t xml:space="preserve"> or </w:t>
      </w:r>
      <w:r w:rsidR="00050F16" w:rsidRPr="00130863">
        <w:rPr>
          <w:rFonts w:ascii="Times New Roman" w:hAnsi="Times New Roman" w:cs="Times New Roman"/>
          <w:sz w:val="24"/>
          <w:szCs w:val="24"/>
        </w:rPr>
        <w:t>Aleutian Islands</w:t>
      </w:r>
      <w:r w:rsidRPr="00130863">
        <w:rPr>
          <w:rFonts w:ascii="Times New Roman" w:hAnsi="Times New Roman" w:cs="Times New Roman"/>
          <w:sz w:val="24"/>
          <w:szCs w:val="24"/>
        </w:rPr>
        <w:t xml:space="preserve">, or both, is eligible to receive a 220-foot (67-m) MLOA. </w:t>
      </w:r>
      <w:r w:rsidR="00172605" w:rsidRPr="00130863">
        <w:rPr>
          <w:rFonts w:ascii="Times New Roman" w:hAnsi="Times New Roman" w:cs="Times New Roman"/>
          <w:sz w:val="24"/>
          <w:szCs w:val="24"/>
        </w:rPr>
        <w:t xml:space="preserve">The </w:t>
      </w:r>
      <w:r w:rsidR="00F572A4" w:rsidRPr="00130863">
        <w:rPr>
          <w:rFonts w:ascii="Times New Roman" w:hAnsi="Times New Roman" w:cs="Times New Roman"/>
          <w:sz w:val="24"/>
          <w:szCs w:val="24"/>
        </w:rPr>
        <w:t xml:space="preserve">three </w:t>
      </w:r>
      <w:r w:rsidR="00172605" w:rsidRPr="00130863">
        <w:rPr>
          <w:rFonts w:ascii="Times New Roman" w:hAnsi="Times New Roman" w:cs="Times New Roman"/>
          <w:sz w:val="24"/>
          <w:szCs w:val="24"/>
        </w:rPr>
        <w:t>h</w:t>
      </w:r>
      <w:r w:rsidR="00F572A4" w:rsidRPr="00130863">
        <w:rPr>
          <w:rFonts w:ascii="Times New Roman" w:hAnsi="Times New Roman" w:cs="Times New Roman"/>
          <w:sz w:val="24"/>
          <w:szCs w:val="24"/>
        </w:rPr>
        <w:t xml:space="preserve">olders of eligible LLPs </w:t>
      </w:r>
      <w:r w:rsidRPr="00130863">
        <w:rPr>
          <w:rFonts w:ascii="Times New Roman" w:hAnsi="Times New Roman" w:cs="Times New Roman"/>
          <w:sz w:val="24"/>
          <w:szCs w:val="24"/>
        </w:rPr>
        <w:t xml:space="preserve">that also have pot gear endorsements </w:t>
      </w:r>
      <w:r w:rsidR="00F572A4" w:rsidRPr="00130863">
        <w:rPr>
          <w:rFonts w:ascii="Times New Roman" w:hAnsi="Times New Roman" w:cs="Times New Roman"/>
          <w:sz w:val="24"/>
          <w:szCs w:val="24"/>
        </w:rPr>
        <w:t xml:space="preserve">would need to </w:t>
      </w:r>
      <w:r w:rsidRPr="00130863">
        <w:rPr>
          <w:rFonts w:ascii="Times New Roman" w:hAnsi="Times New Roman" w:cs="Times New Roman"/>
          <w:sz w:val="24"/>
          <w:szCs w:val="24"/>
        </w:rPr>
        <w:t>submit a timely written request to remove all pot gear Pacific cod endorsements on that LLP</w:t>
      </w:r>
      <w:r w:rsidR="00BE041D" w:rsidRPr="00130863">
        <w:rPr>
          <w:rFonts w:ascii="Times New Roman" w:hAnsi="Times New Roman" w:cs="Times New Roman"/>
          <w:sz w:val="24"/>
          <w:szCs w:val="24"/>
        </w:rPr>
        <w:t xml:space="preserve">, </w:t>
      </w:r>
      <w:r w:rsidR="00FC4888" w:rsidRPr="00130863">
        <w:rPr>
          <w:rFonts w:ascii="Times New Roman" w:hAnsi="Times New Roman" w:cs="Times New Roman"/>
          <w:sz w:val="24"/>
          <w:szCs w:val="24"/>
        </w:rPr>
        <w:t>thus t</w:t>
      </w:r>
      <w:r w:rsidR="00F572A4" w:rsidRPr="00130863">
        <w:rPr>
          <w:rFonts w:ascii="Times New Roman" w:hAnsi="Times New Roman" w:cs="Times New Roman"/>
          <w:sz w:val="24"/>
          <w:szCs w:val="24"/>
        </w:rPr>
        <w:t xml:space="preserve">o </w:t>
      </w:r>
      <w:r w:rsidR="00F572A4" w:rsidRPr="00130863">
        <w:rPr>
          <w:rFonts w:ascii="Times New Roman" w:hAnsi="Times New Roman" w:cs="Times New Roman"/>
          <w:sz w:val="24"/>
          <w:szCs w:val="24"/>
        </w:rPr>
        <w:lastRenderedPageBreak/>
        <w:t xml:space="preserve">surrender the endorsements.  </w:t>
      </w:r>
      <w:r w:rsidR="00FC4888" w:rsidRPr="00130863">
        <w:rPr>
          <w:rFonts w:ascii="Times New Roman" w:hAnsi="Times New Roman" w:cs="Times New Roman"/>
          <w:sz w:val="24"/>
          <w:szCs w:val="24"/>
        </w:rPr>
        <w:t xml:space="preserve">The signature of the LLP holder </w:t>
      </w:r>
      <w:r w:rsidR="00F572A4" w:rsidRPr="00130863">
        <w:rPr>
          <w:rFonts w:ascii="Times New Roman" w:hAnsi="Times New Roman" w:cs="Times New Roman"/>
          <w:sz w:val="24"/>
          <w:szCs w:val="24"/>
        </w:rPr>
        <w:t xml:space="preserve">acknowledges that the election </w:t>
      </w:r>
      <w:r w:rsidR="00130863" w:rsidRPr="00130863">
        <w:rPr>
          <w:rFonts w:ascii="Times New Roman" w:hAnsi="Times New Roman" w:cs="Times New Roman"/>
          <w:sz w:val="24"/>
          <w:szCs w:val="24"/>
        </w:rPr>
        <w:t>is permanent and irreversible.</w:t>
      </w:r>
    </w:p>
    <w:p w:rsidR="00AC1EEE" w:rsidRPr="00130863" w:rsidRDefault="00AC1EEE" w:rsidP="00AD74ED">
      <w:pPr>
        <w:spacing w:after="0" w:line="240" w:lineRule="auto"/>
        <w:rPr>
          <w:rFonts w:ascii="Times New Roman" w:hAnsi="Times New Roman" w:cs="Times New Roman"/>
          <w:sz w:val="24"/>
          <w:szCs w:val="24"/>
        </w:rPr>
      </w:pPr>
    </w:p>
    <w:p w:rsidR="007B5CCE" w:rsidRPr="00130863" w:rsidRDefault="007B5CCE" w:rsidP="007B5CCE">
      <w:pPr>
        <w:rPr>
          <w:rFonts w:ascii="Times New Roman" w:hAnsi="Times New Roman" w:cs="Times New Roman"/>
          <w:b/>
          <w:sz w:val="24"/>
          <w:szCs w:val="24"/>
        </w:rPr>
      </w:pPr>
      <w:r w:rsidRPr="00130863">
        <w:rPr>
          <w:rFonts w:ascii="Times New Roman" w:hAnsi="Times New Roman" w:cs="Times New Roman"/>
          <w:b/>
          <w:sz w:val="24"/>
          <w:szCs w:val="24"/>
        </w:rPr>
        <w:t xml:space="preserve">1.  </w:t>
      </w:r>
      <w:r w:rsidRPr="00130863">
        <w:rPr>
          <w:rFonts w:ascii="Times New Roman" w:hAnsi="Times New Roman" w:cs="Times New Roman"/>
          <w:b/>
          <w:sz w:val="24"/>
          <w:szCs w:val="24"/>
          <w:u w:val="single"/>
        </w:rPr>
        <w:t>Explain the circumstances that make the collection of information necessary</w:t>
      </w:r>
      <w:r w:rsidRPr="00130863">
        <w:rPr>
          <w:rFonts w:ascii="Times New Roman" w:hAnsi="Times New Roman" w:cs="Times New Roman"/>
          <w:b/>
          <w:sz w:val="24"/>
          <w:szCs w:val="24"/>
        </w:rPr>
        <w:t>.</w:t>
      </w:r>
    </w:p>
    <w:p w:rsidR="007B5CCE" w:rsidRPr="00130863" w:rsidRDefault="007B5CCE" w:rsidP="005A2F2C">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The principal objective of this action is to promote the sustainable harvest of groundfish, especially Pacific cod in the BSAI and GOA, by removing disincentives for owners of vessels authorized to participate in the BSAI longline catcher/processor subsector to rebuild or replace their vessels with larger vessels.  To the extent that the vessel owners exercise the vessel replacement opportunity provided in this proposed action, it would promote efficient utilization of the Pacific cod resource in the BSAI and GOA.  The proposed action would also promote safety-at-sea because it removes disincentives for vessel owners to replace existing vessels with newer vessels that can accommodate improved safety features and minimize the risks faced by crew members.</w:t>
      </w:r>
    </w:p>
    <w:p w:rsidR="005A2F2C" w:rsidRPr="00130863" w:rsidRDefault="005A2F2C" w:rsidP="005A2F2C">
      <w:pPr>
        <w:spacing w:after="0" w:line="240" w:lineRule="auto"/>
        <w:rPr>
          <w:rFonts w:ascii="Times New Roman" w:hAnsi="Times New Roman" w:cs="Times New Roman"/>
          <w:sz w:val="24"/>
          <w:szCs w:val="24"/>
        </w:rPr>
      </w:pPr>
    </w:p>
    <w:p w:rsidR="005A2F2C" w:rsidRPr="00130863" w:rsidRDefault="005A2F2C" w:rsidP="005A2F2C">
      <w:pPr>
        <w:spacing w:after="0" w:line="240" w:lineRule="auto"/>
        <w:rPr>
          <w:rFonts w:ascii="Times New Roman" w:hAnsi="Times New Roman" w:cs="Times New Roman"/>
          <w:b/>
          <w:sz w:val="24"/>
          <w:szCs w:val="24"/>
        </w:rPr>
      </w:pPr>
      <w:r w:rsidRPr="00130863">
        <w:rPr>
          <w:rFonts w:ascii="Times New Roman" w:hAnsi="Times New Roman" w:cs="Times New Roman"/>
          <w:b/>
          <w:sz w:val="24"/>
          <w:szCs w:val="24"/>
        </w:rPr>
        <w:t xml:space="preserve">2.  </w:t>
      </w:r>
      <w:r w:rsidRPr="00130863">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130863">
        <w:rPr>
          <w:rFonts w:ascii="Times New Roman" w:hAnsi="Times New Roman" w:cs="Times New Roman"/>
          <w:b/>
          <w:sz w:val="24"/>
          <w:szCs w:val="24"/>
        </w:rPr>
        <w:t xml:space="preserve">. </w:t>
      </w:r>
    </w:p>
    <w:p w:rsidR="005A2F2C" w:rsidRPr="00130863" w:rsidRDefault="005A2F2C" w:rsidP="005A2F2C">
      <w:pPr>
        <w:spacing w:after="0" w:line="240" w:lineRule="auto"/>
        <w:rPr>
          <w:rFonts w:ascii="Times New Roman" w:hAnsi="Times New Roman" w:cs="Times New Roman"/>
          <w:b/>
          <w:sz w:val="24"/>
          <w:szCs w:val="24"/>
        </w:rPr>
      </w:pPr>
    </w:p>
    <w:p w:rsidR="005E2471" w:rsidRPr="00130863" w:rsidRDefault="005E2471" w:rsidP="005E2471">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There are 36 LLP licenses that meet the eligibility criteria for the BSAI longline catcher/processor subsector.</w:t>
      </w:r>
    </w:p>
    <w:p w:rsidR="005E2471" w:rsidRPr="00130863" w:rsidRDefault="005E2471" w:rsidP="00A04E82">
      <w:pPr>
        <w:spacing w:after="0" w:line="240" w:lineRule="auto"/>
        <w:rPr>
          <w:rFonts w:ascii="Times New Roman" w:hAnsi="Times New Roman" w:cs="Times New Roman"/>
          <w:sz w:val="24"/>
          <w:szCs w:val="24"/>
        </w:rPr>
      </w:pPr>
    </w:p>
    <w:p w:rsidR="00130863" w:rsidRDefault="00DB3C6E" w:rsidP="00FF761C">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A</w:t>
      </w:r>
      <w:r w:rsidR="00172605" w:rsidRPr="00130863">
        <w:rPr>
          <w:rFonts w:ascii="Times New Roman" w:hAnsi="Times New Roman" w:cs="Times New Roman"/>
          <w:sz w:val="24"/>
          <w:szCs w:val="24"/>
        </w:rPr>
        <w:t xml:space="preserve"> time limit on the one-time election for these LLP license holders would close 36 months from </w:t>
      </w:r>
      <w:bookmarkStart w:id="0" w:name="_GoBack"/>
      <w:bookmarkEnd w:id="0"/>
      <w:r w:rsidR="00172605" w:rsidRPr="00130863">
        <w:rPr>
          <w:rFonts w:ascii="Times New Roman" w:hAnsi="Times New Roman" w:cs="Times New Roman"/>
          <w:sz w:val="24"/>
          <w:szCs w:val="24"/>
        </w:rPr>
        <w:t xml:space="preserve">the </w:t>
      </w:r>
      <w:r w:rsidR="00FC4888" w:rsidRPr="00130863">
        <w:rPr>
          <w:rFonts w:ascii="Times New Roman" w:hAnsi="Times New Roman" w:cs="Times New Roman"/>
          <w:sz w:val="24"/>
          <w:szCs w:val="24"/>
        </w:rPr>
        <w:t xml:space="preserve">effective </w:t>
      </w:r>
      <w:r w:rsidR="00172605" w:rsidRPr="00130863">
        <w:rPr>
          <w:rFonts w:ascii="Times New Roman" w:hAnsi="Times New Roman" w:cs="Times New Roman"/>
          <w:sz w:val="24"/>
          <w:szCs w:val="24"/>
        </w:rPr>
        <w:t xml:space="preserve">date of </w:t>
      </w:r>
      <w:r w:rsidR="00FC4888" w:rsidRPr="00130863">
        <w:rPr>
          <w:rFonts w:ascii="Times New Roman" w:hAnsi="Times New Roman" w:cs="Times New Roman"/>
          <w:sz w:val="24"/>
          <w:szCs w:val="24"/>
        </w:rPr>
        <w:t>the final rule</w:t>
      </w:r>
      <w:r w:rsidR="00172605" w:rsidRPr="00130863">
        <w:rPr>
          <w:rFonts w:ascii="Times New Roman" w:hAnsi="Times New Roman" w:cs="Times New Roman"/>
          <w:sz w:val="24"/>
          <w:szCs w:val="24"/>
        </w:rPr>
        <w:t xml:space="preserve">.  </w:t>
      </w:r>
      <w:r w:rsidR="00C90DF0" w:rsidRPr="00130863">
        <w:rPr>
          <w:rFonts w:ascii="Times New Roman" w:hAnsi="Times New Roman" w:cs="Times New Roman"/>
          <w:sz w:val="24"/>
          <w:szCs w:val="24"/>
        </w:rPr>
        <w:t xml:space="preserve">The deadline is intended to clearly identify pot gear </w:t>
      </w:r>
      <w:r w:rsidR="00603CCC" w:rsidRPr="00130863">
        <w:rPr>
          <w:rFonts w:ascii="Times New Roman" w:hAnsi="Times New Roman" w:cs="Times New Roman"/>
          <w:sz w:val="24"/>
          <w:szCs w:val="24"/>
        </w:rPr>
        <w:t>catcher/processor</w:t>
      </w:r>
      <w:r w:rsidR="00C90DF0" w:rsidRPr="00130863">
        <w:rPr>
          <w:rFonts w:ascii="Times New Roman" w:hAnsi="Times New Roman" w:cs="Times New Roman"/>
          <w:sz w:val="24"/>
          <w:szCs w:val="24"/>
        </w:rPr>
        <w:t xml:space="preserve"> participants within a reasonable time frame</w:t>
      </w:r>
      <w:r w:rsidR="00AC1EEE" w:rsidRPr="00130863">
        <w:rPr>
          <w:rFonts w:ascii="Times New Roman" w:hAnsi="Times New Roman" w:cs="Times New Roman"/>
          <w:sz w:val="24"/>
          <w:szCs w:val="24"/>
        </w:rPr>
        <w:t>; t</w:t>
      </w:r>
      <w:r w:rsidR="00555D7C" w:rsidRPr="00130863">
        <w:rPr>
          <w:rFonts w:ascii="Times New Roman" w:hAnsi="Times New Roman" w:cs="Times New Roman"/>
          <w:sz w:val="24"/>
          <w:szCs w:val="24"/>
        </w:rPr>
        <w:t xml:space="preserve">he surrendered endorsements would be extinguished.  </w:t>
      </w:r>
      <w:r w:rsidR="00E26615" w:rsidRPr="00130863">
        <w:rPr>
          <w:rFonts w:ascii="Times New Roman" w:hAnsi="Times New Roman" w:cs="Times New Roman"/>
          <w:sz w:val="24"/>
          <w:szCs w:val="24"/>
        </w:rPr>
        <w:t xml:space="preserve">The holder of an eligible LLP license or the authorized representative </w:t>
      </w:r>
      <w:r w:rsidR="00FF761C" w:rsidRPr="00130863">
        <w:rPr>
          <w:rFonts w:ascii="Times New Roman" w:eastAsia="Times New Roman" w:hAnsi="Times New Roman" w:cs="Times New Roman"/>
          <w:color w:val="222222"/>
          <w:sz w:val="24"/>
          <w:szCs w:val="24"/>
        </w:rPr>
        <w:t xml:space="preserve">request NMFS permanently remove all pot gear Pacific cod endorsements issued on that LLP license; request that NMFS issue a 220-foot (67-m) MLOA on that LLP license, and sign the request, submitting to NMFS by </w:t>
      </w:r>
      <w:r w:rsidR="00130863">
        <w:rPr>
          <w:rFonts w:ascii="Times New Roman" w:hAnsi="Times New Roman" w:cs="Times New Roman"/>
          <w:sz w:val="24"/>
          <w:szCs w:val="24"/>
        </w:rPr>
        <w:t>mail, fax, or hand delivery.</w:t>
      </w:r>
    </w:p>
    <w:p w:rsidR="00FF761C" w:rsidRPr="00130863" w:rsidRDefault="00FF761C" w:rsidP="00FF761C">
      <w:pPr>
        <w:spacing w:after="0" w:line="240" w:lineRule="auto"/>
        <w:rPr>
          <w:rFonts w:ascii="Times New Roman" w:hAnsi="Times New Roman" w:cs="Times New Roman"/>
          <w:sz w:val="24"/>
          <w:szCs w:val="24"/>
        </w:rPr>
      </w:pPr>
    </w:p>
    <w:p w:rsidR="00AC1EEE" w:rsidRPr="00130863" w:rsidRDefault="00AC1EEE" w:rsidP="00A04E82">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 xml:space="preserve">If the written notification is received by NMFS within the 36 months prior to the deadline, NMFS would issue a revised LLP license to the holder of that license.  License holders who choose not to make the one-time election, or who do not submit a written notification within the 36-month deadline would retain their current MLOA on their LLP licenses and eligibility to fish in both the Pacific cod pot fisheries and longline fisheries in the BSAI and GOA.  </w:t>
      </w:r>
    </w:p>
    <w:p w:rsidR="00130863" w:rsidRDefault="00130863" w:rsidP="00F6132E">
      <w:pPr>
        <w:pStyle w:val="Default"/>
        <w:tabs>
          <w:tab w:val="left" w:pos="720"/>
        </w:tabs>
        <w:rPr>
          <w:szCs w:val="24"/>
        </w:rPr>
      </w:pPr>
    </w:p>
    <w:p w:rsidR="003C2BE7" w:rsidRPr="00130863" w:rsidRDefault="00C304A9" w:rsidP="00F6132E">
      <w:pPr>
        <w:pStyle w:val="Default"/>
        <w:tabs>
          <w:tab w:val="left" w:pos="720"/>
        </w:tabs>
        <w:rPr>
          <w:szCs w:val="24"/>
        </w:rPr>
      </w:pPr>
      <w:r w:rsidRPr="00130863">
        <w:rPr>
          <w:szCs w:val="24"/>
        </w:rPr>
        <w:t xml:space="preserve">Thirty </w:t>
      </w:r>
      <w:r w:rsidR="003C2BE7" w:rsidRPr="00130863">
        <w:rPr>
          <w:szCs w:val="24"/>
        </w:rPr>
        <w:t xml:space="preserve">days following the publication of the final rule, NMFS would issue new LLP licenses with an MLOA of 220 feet (67 m) to the </w:t>
      </w:r>
      <w:r w:rsidR="0006642F" w:rsidRPr="00130863">
        <w:rPr>
          <w:szCs w:val="24"/>
        </w:rPr>
        <w:t xml:space="preserve">33 </w:t>
      </w:r>
      <w:r w:rsidR="003C2BE7" w:rsidRPr="00130863">
        <w:rPr>
          <w:szCs w:val="24"/>
        </w:rPr>
        <w:t>holders of the eligible licenses</w:t>
      </w:r>
      <w:r w:rsidRPr="00130863">
        <w:rPr>
          <w:szCs w:val="24"/>
        </w:rPr>
        <w:t xml:space="preserve"> and t</w:t>
      </w:r>
      <w:r w:rsidR="003C2BE7" w:rsidRPr="00130863">
        <w:rPr>
          <w:szCs w:val="24"/>
        </w:rPr>
        <w:t>he MLOAs of th</w:t>
      </w:r>
      <w:r w:rsidRPr="00130863">
        <w:rPr>
          <w:szCs w:val="24"/>
        </w:rPr>
        <w:t xml:space="preserve">e three </w:t>
      </w:r>
      <w:r w:rsidR="004F2B09" w:rsidRPr="00130863">
        <w:rPr>
          <w:szCs w:val="24"/>
        </w:rPr>
        <w:t>pot-gear</w:t>
      </w:r>
      <w:r w:rsidR="003C2BE7" w:rsidRPr="00130863">
        <w:rPr>
          <w:szCs w:val="24"/>
        </w:rPr>
        <w:t xml:space="preserve"> LLP licenses would only be modified after the submission of a written request from the holders of LLP licenses</w:t>
      </w:r>
      <w:r w:rsidR="004F2B09" w:rsidRPr="00130863">
        <w:rPr>
          <w:szCs w:val="24"/>
        </w:rPr>
        <w:t>.</w:t>
      </w:r>
    </w:p>
    <w:p w:rsidR="003C2BE7" w:rsidRPr="00130863" w:rsidRDefault="003C2BE7" w:rsidP="00A04E82">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036"/>
      </w:tblGrid>
      <w:tr w:rsidR="003C2BE7" w:rsidRPr="00130863" w:rsidTr="00E832FA">
        <w:trPr>
          <w:jc w:val="center"/>
        </w:trPr>
        <w:tc>
          <w:tcPr>
            <w:tcW w:w="5626" w:type="dxa"/>
            <w:gridSpan w:val="2"/>
          </w:tcPr>
          <w:p w:rsidR="003C2BE7" w:rsidRPr="00130863" w:rsidRDefault="004D1970" w:rsidP="00130863">
            <w:pPr>
              <w:keepNext/>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sidRPr="00130863">
              <w:rPr>
                <w:rFonts w:ascii="Times New Roman" w:hAnsi="Times New Roman" w:cs="Times New Roman"/>
                <w:b/>
                <w:sz w:val="24"/>
                <w:szCs w:val="24"/>
              </w:rPr>
              <w:lastRenderedPageBreak/>
              <w:t xml:space="preserve">Notify </w:t>
            </w:r>
            <w:r w:rsidR="00244412" w:rsidRPr="00130863">
              <w:rPr>
                <w:rFonts w:ascii="Times New Roman" w:hAnsi="Times New Roman" w:cs="Times New Roman"/>
                <w:b/>
                <w:sz w:val="24"/>
                <w:szCs w:val="24"/>
              </w:rPr>
              <w:t xml:space="preserve">to Surrender </w:t>
            </w:r>
            <w:r w:rsidRPr="00130863">
              <w:rPr>
                <w:rFonts w:ascii="Times New Roman" w:hAnsi="Times New Roman" w:cs="Times New Roman"/>
                <w:b/>
                <w:sz w:val="24"/>
                <w:szCs w:val="24"/>
              </w:rPr>
              <w:t>E</w:t>
            </w:r>
            <w:r w:rsidR="00244412" w:rsidRPr="00130863">
              <w:rPr>
                <w:rFonts w:ascii="Times New Roman" w:hAnsi="Times New Roman" w:cs="Times New Roman"/>
                <w:b/>
                <w:sz w:val="24"/>
                <w:szCs w:val="24"/>
              </w:rPr>
              <w:t>ndorsement</w:t>
            </w:r>
            <w:r w:rsidR="003C2BE7" w:rsidRPr="00130863">
              <w:rPr>
                <w:rFonts w:ascii="Times New Roman" w:hAnsi="Times New Roman" w:cs="Times New Roman"/>
                <w:b/>
                <w:sz w:val="24"/>
                <w:szCs w:val="24"/>
              </w:rPr>
              <w:t>, Respondent</w:t>
            </w:r>
          </w:p>
        </w:tc>
      </w:tr>
      <w:tr w:rsidR="003C2BE7" w:rsidRPr="00130863" w:rsidTr="00E832FA">
        <w:trPr>
          <w:jc w:val="center"/>
        </w:trPr>
        <w:tc>
          <w:tcPr>
            <w:tcW w:w="4590" w:type="dxa"/>
          </w:tcPr>
          <w:p w:rsidR="003C2BE7" w:rsidRPr="00130863" w:rsidRDefault="003C2BE7" w:rsidP="00130863">
            <w:pPr>
              <w:keepNext/>
              <w:tabs>
                <w:tab w:val="left" w:pos="360"/>
                <w:tab w:val="left" w:pos="720"/>
                <w:tab w:val="left" w:pos="1080"/>
                <w:tab w:val="left" w:pos="1440"/>
              </w:tabs>
              <w:spacing w:after="0" w:line="240" w:lineRule="auto"/>
              <w:ind w:left="720" w:hanging="720"/>
              <w:rPr>
                <w:rFonts w:ascii="Times New Roman" w:hAnsi="Times New Roman" w:cs="Times New Roman"/>
                <w:b/>
                <w:sz w:val="24"/>
                <w:szCs w:val="24"/>
              </w:rPr>
            </w:pPr>
            <w:r w:rsidRPr="00130863">
              <w:rPr>
                <w:rFonts w:ascii="Times New Roman" w:hAnsi="Times New Roman" w:cs="Times New Roman"/>
                <w:b/>
                <w:sz w:val="24"/>
                <w:szCs w:val="24"/>
              </w:rPr>
              <w:t>Total respondents</w:t>
            </w:r>
          </w:p>
          <w:p w:rsidR="003C2BE7" w:rsidRPr="00130863" w:rsidRDefault="004D1970" w:rsidP="00130863">
            <w:pPr>
              <w:keepNext/>
              <w:tabs>
                <w:tab w:val="left" w:pos="360"/>
                <w:tab w:val="left" w:pos="720"/>
                <w:tab w:val="left" w:pos="1080"/>
                <w:tab w:val="left" w:pos="1440"/>
              </w:tabs>
              <w:spacing w:after="0" w:line="240" w:lineRule="auto"/>
              <w:ind w:left="720" w:hanging="720"/>
              <w:rPr>
                <w:rFonts w:ascii="Times New Roman" w:hAnsi="Times New Roman" w:cs="Times New Roman"/>
                <w:b/>
                <w:sz w:val="24"/>
                <w:szCs w:val="24"/>
              </w:rPr>
            </w:pPr>
            <w:r w:rsidRPr="00130863">
              <w:rPr>
                <w:rFonts w:ascii="Times New Roman" w:hAnsi="Times New Roman" w:cs="Times New Roman"/>
                <w:b/>
                <w:sz w:val="24"/>
                <w:szCs w:val="24"/>
              </w:rPr>
              <w:t xml:space="preserve">Total responses </w:t>
            </w:r>
          </w:p>
          <w:p w:rsidR="004D1970" w:rsidRPr="00130863" w:rsidRDefault="003C2BE7" w:rsidP="00130863">
            <w:pPr>
              <w:keepNext/>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30863">
              <w:rPr>
                <w:rFonts w:ascii="Times New Roman" w:hAnsi="Times New Roman" w:cs="Times New Roman"/>
                <w:sz w:val="24"/>
                <w:szCs w:val="24"/>
              </w:rPr>
              <w:t xml:space="preserve">   Frequency of response = </w:t>
            </w:r>
            <w:r w:rsidR="004D1970" w:rsidRPr="00130863">
              <w:rPr>
                <w:rFonts w:ascii="Times New Roman" w:hAnsi="Times New Roman" w:cs="Times New Roman"/>
                <w:sz w:val="24"/>
                <w:szCs w:val="24"/>
              </w:rPr>
              <w:t>one time only = 1</w:t>
            </w:r>
          </w:p>
          <w:p w:rsidR="003C2BE7" w:rsidRPr="00130863" w:rsidRDefault="003C2BE7" w:rsidP="00130863">
            <w:pPr>
              <w:keepNext/>
              <w:tabs>
                <w:tab w:val="left" w:pos="360"/>
                <w:tab w:val="left" w:pos="720"/>
                <w:tab w:val="left" w:pos="1080"/>
                <w:tab w:val="left" w:pos="1440"/>
              </w:tabs>
              <w:spacing w:after="0" w:line="240" w:lineRule="auto"/>
              <w:ind w:left="720" w:hanging="720"/>
              <w:rPr>
                <w:rFonts w:ascii="Times New Roman" w:hAnsi="Times New Roman" w:cs="Times New Roman"/>
                <w:b/>
                <w:sz w:val="24"/>
                <w:szCs w:val="24"/>
              </w:rPr>
            </w:pPr>
            <w:r w:rsidRPr="00130863">
              <w:rPr>
                <w:rFonts w:ascii="Times New Roman" w:hAnsi="Times New Roman" w:cs="Times New Roman"/>
                <w:b/>
                <w:sz w:val="24"/>
                <w:szCs w:val="24"/>
              </w:rPr>
              <w:t>Total burden hours</w:t>
            </w:r>
          </w:p>
          <w:p w:rsidR="003C2BE7" w:rsidRPr="00130863" w:rsidRDefault="003C2BE7" w:rsidP="00130863">
            <w:pPr>
              <w:keepNext/>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30863">
              <w:rPr>
                <w:rFonts w:ascii="Times New Roman" w:hAnsi="Times New Roman" w:cs="Times New Roman"/>
                <w:sz w:val="24"/>
                <w:szCs w:val="24"/>
              </w:rPr>
              <w:t xml:space="preserve">   Time per response = </w:t>
            </w:r>
            <w:r w:rsidR="00E832FA" w:rsidRPr="00130863">
              <w:rPr>
                <w:rFonts w:ascii="Times New Roman" w:hAnsi="Times New Roman" w:cs="Times New Roman"/>
                <w:sz w:val="24"/>
                <w:szCs w:val="24"/>
              </w:rPr>
              <w:t>30 minutes</w:t>
            </w:r>
          </w:p>
          <w:p w:rsidR="003C2BE7" w:rsidRPr="00130863" w:rsidRDefault="003C2BE7" w:rsidP="00130863">
            <w:pPr>
              <w:keepNext/>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30863">
              <w:rPr>
                <w:rFonts w:ascii="Times New Roman" w:hAnsi="Times New Roman" w:cs="Times New Roman"/>
                <w:b/>
                <w:sz w:val="24"/>
                <w:szCs w:val="24"/>
              </w:rPr>
              <w:t>Total personnel cost</w:t>
            </w:r>
            <w:r w:rsidRPr="00130863">
              <w:rPr>
                <w:rFonts w:ascii="Times New Roman" w:hAnsi="Times New Roman" w:cs="Times New Roman"/>
                <w:sz w:val="24"/>
                <w:szCs w:val="24"/>
              </w:rPr>
              <w:t xml:space="preserve"> ($25</w:t>
            </w:r>
            <w:r w:rsidR="004D1970" w:rsidRPr="00130863">
              <w:rPr>
                <w:rFonts w:ascii="Times New Roman" w:hAnsi="Times New Roman" w:cs="Times New Roman"/>
                <w:sz w:val="24"/>
                <w:szCs w:val="24"/>
              </w:rPr>
              <w:t>/</w:t>
            </w:r>
            <w:proofErr w:type="spellStart"/>
            <w:r w:rsidR="004D1970" w:rsidRPr="00130863">
              <w:rPr>
                <w:rFonts w:ascii="Times New Roman" w:hAnsi="Times New Roman" w:cs="Times New Roman"/>
                <w:sz w:val="24"/>
                <w:szCs w:val="24"/>
              </w:rPr>
              <w:t>hr</w:t>
            </w:r>
            <w:proofErr w:type="spellEnd"/>
            <w:r w:rsidR="0006642F" w:rsidRPr="00130863">
              <w:rPr>
                <w:rFonts w:ascii="Times New Roman" w:hAnsi="Times New Roman" w:cs="Times New Roman"/>
                <w:sz w:val="24"/>
                <w:szCs w:val="24"/>
              </w:rPr>
              <w:t>)</w:t>
            </w:r>
            <w:r w:rsidRPr="00130863">
              <w:rPr>
                <w:rFonts w:ascii="Times New Roman" w:hAnsi="Times New Roman" w:cs="Times New Roman"/>
                <w:sz w:val="24"/>
                <w:szCs w:val="24"/>
              </w:rPr>
              <w:t xml:space="preserve"> </w:t>
            </w:r>
          </w:p>
          <w:p w:rsidR="00AB2E60" w:rsidRPr="00130863" w:rsidRDefault="003C2BE7" w:rsidP="00130863">
            <w:pPr>
              <w:keepNext/>
              <w:tabs>
                <w:tab w:val="left" w:pos="360"/>
                <w:tab w:val="left" w:pos="720"/>
                <w:tab w:val="left" w:pos="1080"/>
                <w:tab w:val="left" w:pos="1440"/>
              </w:tabs>
              <w:spacing w:after="0" w:line="240" w:lineRule="auto"/>
              <w:rPr>
                <w:rFonts w:ascii="Times New Roman" w:hAnsi="Times New Roman" w:cs="Times New Roman"/>
                <w:sz w:val="24"/>
                <w:szCs w:val="24"/>
              </w:rPr>
            </w:pPr>
            <w:r w:rsidRPr="00130863">
              <w:rPr>
                <w:rFonts w:ascii="Times New Roman" w:hAnsi="Times New Roman" w:cs="Times New Roman"/>
                <w:b/>
                <w:sz w:val="24"/>
                <w:szCs w:val="24"/>
              </w:rPr>
              <w:t>Total miscellaneous costs</w:t>
            </w:r>
            <w:r w:rsidR="00AB2E60" w:rsidRPr="00130863">
              <w:rPr>
                <w:rFonts w:ascii="Times New Roman" w:hAnsi="Times New Roman" w:cs="Times New Roman"/>
                <w:b/>
                <w:sz w:val="24"/>
                <w:szCs w:val="24"/>
              </w:rPr>
              <w:t xml:space="preserve"> </w:t>
            </w:r>
            <w:r w:rsidR="00AB2E60" w:rsidRPr="00130863">
              <w:rPr>
                <w:rFonts w:ascii="Times New Roman" w:hAnsi="Times New Roman" w:cs="Times New Roman"/>
                <w:sz w:val="24"/>
                <w:szCs w:val="24"/>
              </w:rPr>
              <w:t>(12.45)</w:t>
            </w:r>
          </w:p>
          <w:p w:rsidR="00AB2E60" w:rsidRPr="00130863" w:rsidRDefault="00AB2E60" w:rsidP="00130863">
            <w:pPr>
              <w:keepNext/>
              <w:tabs>
                <w:tab w:val="left" w:pos="360"/>
                <w:tab w:val="left" w:pos="720"/>
                <w:tab w:val="left" w:pos="1080"/>
                <w:tab w:val="left" w:pos="1440"/>
              </w:tabs>
              <w:spacing w:after="0" w:line="240" w:lineRule="auto"/>
              <w:rPr>
                <w:rFonts w:ascii="Times New Roman" w:hAnsi="Times New Roman" w:cs="Times New Roman"/>
                <w:sz w:val="24"/>
                <w:szCs w:val="24"/>
              </w:rPr>
            </w:pPr>
            <w:r w:rsidRPr="00130863">
              <w:rPr>
                <w:rFonts w:ascii="Times New Roman" w:hAnsi="Times New Roman" w:cs="Times New Roman"/>
                <w:sz w:val="24"/>
                <w:szCs w:val="24"/>
              </w:rPr>
              <w:t xml:space="preserve">   Postage 0.45 x 1 = .45</w:t>
            </w:r>
          </w:p>
          <w:p w:rsidR="00AB2E60" w:rsidRPr="00130863" w:rsidRDefault="00AB2E60" w:rsidP="00130863">
            <w:pPr>
              <w:keepNext/>
              <w:tabs>
                <w:tab w:val="left" w:pos="360"/>
                <w:tab w:val="left" w:pos="720"/>
                <w:tab w:val="left" w:pos="1080"/>
                <w:tab w:val="left" w:pos="1440"/>
              </w:tabs>
              <w:spacing w:after="0" w:line="240" w:lineRule="auto"/>
              <w:rPr>
                <w:rFonts w:ascii="Times New Roman" w:hAnsi="Times New Roman" w:cs="Times New Roman"/>
                <w:sz w:val="24"/>
                <w:szCs w:val="24"/>
              </w:rPr>
            </w:pPr>
            <w:r w:rsidRPr="00130863">
              <w:rPr>
                <w:rFonts w:ascii="Times New Roman" w:hAnsi="Times New Roman" w:cs="Times New Roman"/>
                <w:sz w:val="24"/>
                <w:szCs w:val="24"/>
              </w:rPr>
              <w:t xml:space="preserve">   Fax 6 x 1 = 6.00</w:t>
            </w:r>
          </w:p>
          <w:p w:rsidR="003C2BE7" w:rsidRPr="00130863" w:rsidRDefault="00AB2E60" w:rsidP="00130863">
            <w:pPr>
              <w:keepNext/>
              <w:tabs>
                <w:tab w:val="left" w:pos="360"/>
                <w:tab w:val="left" w:pos="720"/>
                <w:tab w:val="left" w:pos="1080"/>
                <w:tab w:val="left" w:pos="1440"/>
              </w:tabs>
              <w:spacing w:after="0" w:line="240" w:lineRule="auto"/>
              <w:rPr>
                <w:rFonts w:ascii="Times New Roman" w:hAnsi="Times New Roman" w:cs="Times New Roman"/>
                <w:sz w:val="24"/>
                <w:szCs w:val="24"/>
              </w:rPr>
            </w:pPr>
            <w:r w:rsidRPr="00130863">
              <w:rPr>
                <w:rFonts w:ascii="Times New Roman" w:hAnsi="Times New Roman" w:cs="Times New Roman"/>
                <w:sz w:val="24"/>
                <w:szCs w:val="24"/>
              </w:rPr>
              <w:t xml:space="preserve">   Courier 6 x 1 = 6.00</w:t>
            </w:r>
            <w:r w:rsidR="004D1970" w:rsidRPr="00130863">
              <w:rPr>
                <w:rFonts w:ascii="Times New Roman" w:hAnsi="Times New Roman" w:cs="Times New Roman"/>
                <w:sz w:val="24"/>
                <w:szCs w:val="24"/>
              </w:rPr>
              <w:t xml:space="preserve">  </w:t>
            </w:r>
          </w:p>
        </w:tc>
        <w:tc>
          <w:tcPr>
            <w:tcW w:w="1036" w:type="dxa"/>
          </w:tcPr>
          <w:p w:rsidR="003C2BE7" w:rsidRPr="00130863" w:rsidRDefault="004D1970" w:rsidP="004D1970">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r w:rsidRPr="00130863">
              <w:rPr>
                <w:rFonts w:ascii="Times New Roman" w:hAnsi="Times New Roman" w:cs="Times New Roman"/>
                <w:b/>
                <w:sz w:val="24"/>
                <w:szCs w:val="24"/>
              </w:rPr>
              <w:t>3</w:t>
            </w:r>
          </w:p>
          <w:p w:rsidR="004D1970" w:rsidRPr="00130863" w:rsidRDefault="004D1970" w:rsidP="004D1970">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r w:rsidRPr="00130863">
              <w:rPr>
                <w:rFonts w:ascii="Times New Roman" w:hAnsi="Times New Roman" w:cs="Times New Roman"/>
                <w:b/>
                <w:sz w:val="24"/>
                <w:szCs w:val="24"/>
              </w:rPr>
              <w:t>3</w:t>
            </w:r>
          </w:p>
          <w:p w:rsidR="009A33C0" w:rsidRPr="00130863" w:rsidRDefault="009A33C0" w:rsidP="004D1970">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p>
          <w:p w:rsidR="009A33C0" w:rsidRPr="00130863" w:rsidRDefault="00E832FA" w:rsidP="00E832FA">
            <w:pPr>
              <w:tabs>
                <w:tab w:val="left" w:pos="360"/>
                <w:tab w:val="left" w:pos="720"/>
                <w:tab w:val="left" w:pos="1080"/>
                <w:tab w:val="left" w:pos="1440"/>
              </w:tabs>
              <w:spacing w:after="0" w:line="240" w:lineRule="auto"/>
              <w:ind w:left="720" w:hanging="720"/>
              <w:jc w:val="center"/>
              <w:rPr>
                <w:rFonts w:ascii="Times New Roman" w:hAnsi="Times New Roman" w:cs="Times New Roman"/>
                <w:b/>
                <w:sz w:val="24"/>
                <w:szCs w:val="24"/>
              </w:rPr>
            </w:pPr>
            <w:r w:rsidRPr="00130863">
              <w:rPr>
                <w:rFonts w:ascii="Times New Roman" w:hAnsi="Times New Roman" w:cs="Times New Roman"/>
                <w:b/>
                <w:sz w:val="24"/>
                <w:szCs w:val="24"/>
              </w:rPr>
              <w:t>1.5 (2)</w:t>
            </w:r>
            <w:r w:rsidR="009A33C0" w:rsidRPr="00130863">
              <w:rPr>
                <w:rFonts w:ascii="Times New Roman" w:hAnsi="Times New Roman" w:cs="Times New Roman"/>
                <w:b/>
                <w:sz w:val="24"/>
                <w:szCs w:val="24"/>
              </w:rPr>
              <w:t xml:space="preserve"> </w:t>
            </w:r>
            <w:proofErr w:type="spellStart"/>
            <w:r w:rsidR="009A33C0" w:rsidRPr="00130863">
              <w:rPr>
                <w:rFonts w:ascii="Times New Roman" w:hAnsi="Times New Roman" w:cs="Times New Roman"/>
                <w:b/>
                <w:sz w:val="24"/>
                <w:szCs w:val="24"/>
              </w:rPr>
              <w:t>hr</w:t>
            </w:r>
            <w:proofErr w:type="spellEnd"/>
          </w:p>
          <w:p w:rsidR="009A33C0" w:rsidRPr="00130863" w:rsidRDefault="009A33C0" w:rsidP="004D1970">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p>
          <w:p w:rsidR="009A33C0" w:rsidRPr="00130863" w:rsidRDefault="0043554A" w:rsidP="004D1970">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r w:rsidRPr="00130863">
              <w:rPr>
                <w:rFonts w:ascii="Times New Roman" w:hAnsi="Times New Roman" w:cs="Times New Roman"/>
                <w:b/>
                <w:sz w:val="24"/>
                <w:szCs w:val="24"/>
              </w:rPr>
              <w:t>$</w:t>
            </w:r>
            <w:r w:rsidR="009A33C0" w:rsidRPr="00130863">
              <w:rPr>
                <w:rFonts w:ascii="Times New Roman" w:hAnsi="Times New Roman" w:cs="Times New Roman"/>
                <w:b/>
                <w:sz w:val="24"/>
                <w:szCs w:val="24"/>
              </w:rPr>
              <w:t>50</w:t>
            </w:r>
          </w:p>
          <w:p w:rsidR="00AB2E60" w:rsidRPr="00130863" w:rsidRDefault="00AB2E60" w:rsidP="004D1970">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r w:rsidRPr="00130863">
              <w:rPr>
                <w:rFonts w:ascii="Times New Roman" w:hAnsi="Times New Roman" w:cs="Times New Roman"/>
                <w:b/>
                <w:sz w:val="24"/>
                <w:szCs w:val="24"/>
              </w:rPr>
              <w:t>$12</w:t>
            </w:r>
          </w:p>
          <w:p w:rsidR="009A33C0" w:rsidRPr="00130863" w:rsidRDefault="009A33C0" w:rsidP="004D1970">
            <w:pPr>
              <w:tabs>
                <w:tab w:val="left" w:pos="360"/>
                <w:tab w:val="left" w:pos="720"/>
                <w:tab w:val="left" w:pos="1080"/>
                <w:tab w:val="left" w:pos="1440"/>
              </w:tabs>
              <w:spacing w:after="0" w:line="240" w:lineRule="auto"/>
              <w:ind w:left="720" w:hanging="720"/>
              <w:jc w:val="right"/>
              <w:rPr>
                <w:rFonts w:ascii="Times New Roman" w:hAnsi="Times New Roman" w:cs="Times New Roman"/>
                <w:sz w:val="24"/>
                <w:szCs w:val="24"/>
              </w:rPr>
            </w:pPr>
          </w:p>
        </w:tc>
      </w:tr>
    </w:tbl>
    <w:p w:rsidR="003C2BE7" w:rsidRPr="00130863" w:rsidRDefault="003C2BE7" w:rsidP="003D1432">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1006"/>
      </w:tblGrid>
      <w:tr w:rsidR="003C2BE7" w:rsidRPr="00130863" w:rsidTr="00130863">
        <w:trPr>
          <w:jc w:val="center"/>
        </w:trPr>
        <w:tc>
          <w:tcPr>
            <w:tcW w:w="5613" w:type="dxa"/>
            <w:gridSpan w:val="2"/>
          </w:tcPr>
          <w:p w:rsidR="003C2BE7" w:rsidRPr="00130863" w:rsidRDefault="00AB2E60" w:rsidP="00244412">
            <w:pPr>
              <w:tabs>
                <w:tab w:val="left" w:pos="360"/>
                <w:tab w:val="left" w:pos="720"/>
                <w:tab w:val="left" w:pos="1080"/>
                <w:tab w:val="left" w:pos="1440"/>
              </w:tabs>
              <w:spacing w:after="0" w:line="240" w:lineRule="auto"/>
              <w:rPr>
                <w:rFonts w:ascii="Times New Roman" w:hAnsi="Times New Roman" w:cs="Times New Roman"/>
                <w:b/>
                <w:sz w:val="24"/>
                <w:szCs w:val="24"/>
              </w:rPr>
            </w:pPr>
            <w:r w:rsidRPr="00130863">
              <w:rPr>
                <w:rFonts w:ascii="Times New Roman" w:hAnsi="Times New Roman" w:cs="Times New Roman"/>
                <w:b/>
                <w:sz w:val="24"/>
                <w:szCs w:val="24"/>
              </w:rPr>
              <w:t xml:space="preserve">Notify </w:t>
            </w:r>
            <w:r w:rsidR="00244412" w:rsidRPr="00130863">
              <w:rPr>
                <w:rFonts w:ascii="Times New Roman" w:hAnsi="Times New Roman" w:cs="Times New Roman"/>
                <w:b/>
                <w:sz w:val="24"/>
                <w:szCs w:val="24"/>
              </w:rPr>
              <w:t>to Surrender Endorsement</w:t>
            </w:r>
            <w:r w:rsidR="003C2BE7" w:rsidRPr="00130863">
              <w:rPr>
                <w:rFonts w:ascii="Times New Roman" w:hAnsi="Times New Roman" w:cs="Times New Roman"/>
                <w:b/>
                <w:sz w:val="24"/>
                <w:szCs w:val="24"/>
              </w:rPr>
              <w:t>,  Federal Government</w:t>
            </w:r>
          </w:p>
        </w:tc>
      </w:tr>
      <w:tr w:rsidR="003C2BE7" w:rsidRPr="00130863" w:rsidTr="00130863">
        <w:trPr>
          <w:jc w:val="center"/>
        </w:trPr>
        <w:tc>
          <w:tcPr>
            <w:tcW w:w="4607" w:type="dxa"/>
          </w:tcPr>
          <w:p w:rsidR="003C2BE7" w:rsidRPr="00130863" w:rsidRDefault="003C2BE7" w:rsidP="003C2BE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30863">
              <w:rPr>
                <w:rFonts w:ascii="Times New Roman" w:hAnsi="Times New Roman" w:cs="Times New Roman"/>
                <w:b/>
                <w:sz w:val="24"/>
                <w:szCs w:val="24"/>
              </w:rPr>
              <w:t>Total responses</w:t>
            </w:r>
            <w:r w:rsidRPr="00130863">
              <w:rPr>
                <w:rFonts w:ascii="Times New Roman" w:hAnsi="Times New Roman" w:cs="Times New Roman"/>
                <w:sz w:val="24"/>
                <w:szCs w:val="24"/>
              </w:rPr>
              <w:t xml:space="preserve"> </w:t>
            </w:r>
          </w:p>
          <w:p w:rsidR="003C2BE7" w:rsidRPr="00130863" w:rsidRDefault="003C2BE7" w:rsidP="003C2BE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30863">
              <w:rPr>
                <w:rFonts w:ascii="Times New Roman" w:hAnsi="Times New Roman" w:cs="Times New Roman"/>
                <w:b/>
                <w:sz w:val="24"/>
                <w:szCs w:val="24"/>
              </w:rPr>
              <w:t>Total burden hours</w:t>
            </w:r>
            <w:r w:rsidRPr="00130863">
              <w:rPr>
                <w:rFonts w:ascii="Times New Roman" w:hAnsi="Times New Roman" w:cs="Times New Roman"/>
                <w:sz w:val="24"/>
                <w:szCs w:val="24"/>
              </w:rPr>
              <w:t xml:space="preserve"> </w:t>
            </w:r>
          </w:p>
          <w:p w:rsidR="003C2BE7" w:rsidRPr="00130863" w:rsidRDefault="003C2BE7" w:rsidP="003C2BE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30863">
              <w:rPr>
                <w:rFonts w:ascii="Times New Roman" w:hAnsi="Times New Roman" w:cs="Times New Roman"/>
                <w:sz w:val="24"/>
                <w:szCs w:val="24"/>
              </w:rPr>
              <w:t xml:space="preserve">   Time per response = </w:t>
            </w:r>
            <w:r w:rsidR="002E63F5" w:rsidRPr="00130863">
              <w:rPr>
                <w:rFonts w:ascii="Times New Roman" w:hAnsi="Times New Roman" w:cs="Times New Roman"/>
                <w:sz w:val="24"/>
                <w:szCs w:val="24"/>
              </w:rPr>
              <w:t xml:space="preserve"> 1 </w:t>
            </w:r>
            <w:proofErr w:type="spellStart"/>
            <w:r w:rsidR="002E63F5" w:rsidRPr="00130863">
              <w:rPr>
                <w:rFonts w:ascii="Times New Roman" w:hAnsi="Times New Roman" w:cs="Times New Roman"/>
                <w:sz w:val="24"/>
                <w:szCs w:val="24"/>
              </w:rPr>
              <w:t>hr</w:t>
            </w:r>
            <w:proofErr w:type="spellEnd"/>
          </w:p>
          <w:p w:rsidR="003C2BE7" w:rsidRPr="00130863" w:rsidRDefault="003C2BE7" w:rsidP="003C2BE7">
            <w:pPr>
              <w:tabs>
                <w:tab w:val="left" w:pos="360"/>
                <w:tab w:val="left" w:pos="720"/>
                <w:tab w:val="left" w:pos="1080"/>
                <w:tab w:val="left" w:pos="1440"/>
              </w:tabs>
              <w:spacing w:after="0" w:line="240" w:lineRule="auto"/>
              <w:rPr>
                <w:rFonts w:ascii="Times New Roman" w:hAnsi="Times New Roman" w:cs="Times New Roman"/>
                <w:sz w:val="24"/>
                <w:szCs w:val="24"/>
              </w:rPr>
            </w:pPr>
            <w:r w:rsidRPr="00130863">
              <w:rPr>
                <w:rFonts w:ascii="Times New Roman" w:hAnsi="Times New Roman" w:cs="Times New Roman"/>
                <w:b/>
                <w:sz w:val="24"/>
                <w:szCs w:val="24"/>
              </w:rPr>
              <w:t>Total personnel costs</w:t>
            </w:r>
            <w:r w:rsidRPr="00130863">
              <w:rPr>
                <w:rFonts w:ascii="Times New Roman" w:hAnsi="Times New Roman" w:cs="Times New Roman"/>
                <w:sz w:val="24"/>
                <w:szCs w:val="24"/>
              </w:rPr>
              <w:t xml:space="preserve">  ($25 x</w:t>
            </w:r>
            <w:r w:rsidR="002E63F5" w:rsidRPr="00130863">
              <w:rPr>
                <w:rFonts w:ascii="Times New Roman" w:hAnsi="Times New Roman" w:cs="Times New Roman"/>
                <w:sz w:val="24"/>
                <w:szCs w:val="24"/>
              </w:rPr>
              <w:t xml:space="preserve"> 3)</w:t>
            </w:r>
          </w:p>
          <w:p w:rsidR="003C2BE7" w:rsidRPr="00130863" w:rsidRDefault="003C2BE7" w:rsidP="003C2BE7">
            <w:pPr>
              <w:tabs>
                <w:tab w:val="left" w:pos="360"/>
                <w:tab w:val="left" w:pos="720"/>
                <w:tab w:val="left" w:pos="1080"/>
                <w:tab w:val="left" w:pos="1440"/>
              </w:tabs>
              <w:spacing w:after="0" w:line="240" w:lineRule="auto"/>
              <w:rPr>
                <w:rFonts w:ascii="Times New Roman" w:hAnsi="Times New Roman" w:cs="Times New Roman"/>
                <w:b/>
                <w:sz w:val="24"/>
                <w:szCs w:val="24"/>
              </w:rPr>
            </w:pPr>
            <w:r w:rsidRPr="00130863">
              <w:rPr>
                <w:rFonts w:ascii="Times New Roman" w:hAnsi="Times New Roman" w:cs="Times New Roman"/>
                <w:b/>
                <w:sz w:val="24"/>
                <w:szCs w:val="24"/>
              </w:rPr>
              <w:t>Total miscellaneous costs</w:t>
            </w:r>
          </w:p>
        </w:tc>
        <w:tc>
          <w:tcPr>
            <w:tcW w:w="1006" w:type="dxa"/>
          </w:tcPr>
          <w:p w:rsidR="003C2BE7" w:rsidRPr="00130863" w:rsidRDefault="002E63F5" w:rsidP="003C2BE7">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r w:rsidRPr="00130863">
              <w:rPr>
                <w:rFonts w:ascii="Times New Roman" w:hAnsi="Times New Roman" w:cs="Times New Roman"/>
                <w:b/>
                <w:sz w:val="24"/>
                <w:szCs w:val="24"/>
              </w:rPr>
              <w:t>3</w:t>
            </w:r>
          </w:p>
          <w:p w:rsidR="002E63F5" w:rsidRPr="00130863" w:rsidRDefault="002E63F5" w:rsidP="003C2BE7">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r w:rsidRPr="00130863">
              <w:rPr>
                <w:rFonts w:ascii="Times New Roman" w:hAnsi="Times New Roman" w:cs="Times New Roman"/>
                <w:b/>
                <w:sz w:val="24"/>
                <w:szCs w:val="24"/>
              </w:rPr>
              <w:t xml:space="preserve">3 </w:t>
            </w:r>
            <w:proofErr w:type="spellStart"/>
            <w:r w:rsidRPr="00130863">
              <w:rPr>
                <w:rFonts w:ascii="Times New Roman" w:hAnsi="Times New Roman" w:cs="Times New Roman"/>
                <w:b/>
                <w:sz w:val="24"/>
                <w:szCs w:val="24"/>
              </w:rPr>
              <w:t>hr</w:t>
            </w:r>
            <w:proofErr w:type="spellEnd"/>
          </w:p>
          <w:p w:rsidR="002E63F5" w:rsidRPr="00130863" w:rsidRDefault="002E63F5" w:rsidP="003C2BE7">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p>
          <w:p w:rsidR="002E63F5" w:rsidRPr="00130863" w:rsidRDefault="002E63F5" w:rsidP="003C2BE7">
            <w:pPr>
              <w:tabs>
                <w:tab w:val="left" w:pos="360"/>
                <w:tab w:val="left" w:pos="720"/>
                <w:tab w:val="left" w:pos="1080"/>
                <w:tab w:val="left" w:pos="1440"/>
              </w:tabs>
              <w:spacing w:after="0" w:line="240" w:lineRule="auto"/>
              <w:ind w:left="720" w:hanging="720"/>
              <w:jc w:val="right"/>
              <w:rPr>
                <w:rFonts w:ascii="Times New Roman" w:hAnsi="Times New Roman" w:cs="Times New Roman"/>
                <w:b/>
                <w:sz w:val="24"/>
                <w:szCs w:val="24"/>
              </w:rPr>
            </w:pPr>
            <w:r w:rsidRPr="00130863">
              <w:rPr>
                <w:rFonts w:ascii="Times New Roman" w:hAnsi="Times New Roman" w:cs="Times New Roman"/>
                <w:b/>
                <w:sz w:val="24"/>
                <w:szCs w:val="24"/>
              </w:rPr>
              <w:t>$75</w:t>
            </w:r>
          </w:p>
          <w:p w:rsidR="002E63F5" w:rsidRPr="00130863" w:rsidRDefault="002E63F5" w:rsidP="003C2BE7">
            <w:pPr>
              <w:tabs>
                <w:tab w:val="left" w:pos="360"/>
                <w:tab w:val="left" w:pos="720"/>
                <w:tab w:val="left" w:pos="1080"/>
                <w:tab w:val="left" w:pos="1440"/>
              </w:tabs>
              <w:spacing w:after="0" w:line="240" w:lineRule="auto"/>
              <w:ind w:left="720" w:hanging="720"/>
              <w:jc w:val="right"/>
              <w:rPr>
                <w:rFonts w:ascii="Times New Roman" w:hAnsi="Times New Roman" w:cs="Times New Roman"/>
                <w:sz w:val="24"/>
                <w:szCs w:val="24"/>
              </w:rPr>
            </w:pPr>
            <w:r w:rsidRPr="00130863">
              <w:rPr>
                <w:rFonts w:ascii="Times New Roman" w:hAnsi="Times New Roman" w:cs="Times New Roman"/>
                <w:b/>
                <w:sz w:val="24"/>
                <w:szCs w:val="24"/>
              </w:rPr>
              <w:t>0</w:t>
            </w:r>
          </w:p>
        </w:tc>
      </w:tr>
    </w:tbl>
    <w:p w:rsidR="003D1432" w:rsidRPr="00130863" w:rsidRDefault="003D1432" w:rsidP="00DB3C6E">
      <w:pPr>
        <w:pStyle w:val="Default"/>
        <w:tabs>
          <w:tab w:val="left" w:pos="720"/>
        </w:tabs>
        <w:rPr>
          <w:szCs w:val="24"/>
        </w:rPr>
      </w:pPr>
    </w:p>
    <w:p w:rsidR="00DB3C6E" w:rsidRPr="00130863" w:rsidRDefault="00DB3C6E" w:rsidP="00DB3C6E">
      <w:pPr>
        <w:pStyle w:val="Default"/>
        <w:tabs>
          <w:tab w:val="left" w:pos="720"/>
        </w:tabs>
        <w:rPr>
          <w:szCs w:val="24"/>
        </w:rPr>
      </w:pPr>
      <w:r w:rsidRPr="00130863">
        <w:rPr>
          <w:szCs w:val="24"/>
        </w:rPr>
        <w:t>It is anticipated that the information collected will be disseminated to the public or used to support publicly disseminated information.</w:t>
      </w:r>
      <w:r w:rsidR="00130863">
        <w:rPr>
          <w:szCs w:val="24"/>
        </w:rPr>
        <w:t xml:space="preserve"> </w:t>
      </w:r>
      <w:r w:rsidRPr="00130863">
        <w:rPr>
          <w:szCs w:val="24"/>
        </w:rPr>
        <w:t xml:space="preserve"> </w:t>
      </w:r>
      <w:r w:rsidR="00130863">
        <w:rPr>
          <w:szCs w:val="24"/>
        </w:rPr>
        <w:t>National Oceanic and Atmospheric Administration (</w:t>
      </w:r>
      <w:r w:rsidRPr="00130863">
        <w:rPr>
          <w:szCs w:val="24"/>
        </w:rPr>
        <w:t>NOAA</w:t>
      </w:r>
      <w:r w:rsidR="00130863">
        <w:rPr>
          <w:szCs w:val="24"/>
        </w:rPr>
        <w:t>)</w:t>
      </w:r>
      <w:r w:rsidRPr="00130863">
        <w:rPr>
          <w:szCs w:val="24"/>
        </w:rPr>
        <w:t xml:space="preserve">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130863">
          <w:rPr>
            <w:rStyle w:val="Hyperlink"/>
            <w:szCs w:val="24"/>
          </w:rPr>
          <w:t>Section 515 of Public Law 106-554</w:t>
        </w:r>
      </w:hyperlink>
      <w:r w:rsidRPr="00130863">
        <w:rPr>
          <w:szCs w:val="24"/>
        </w:rPr>
        <w:t>.</w:t>
      </w:r>
    </w:p>
    <w:p w:rsidR="00DB3C6E" w:rsidRPr="00130863" w:rsidRDefault="00DB3C6E" w:rsidP="00DB3C6E">
      <w:pPr>
        <w:pStyle w:val="Default"/>
        <w:tabs>
          <w:tab w:val="left" w:pos="720"/>
        </w:tabs>
        <w:rPr>
          <w:szCs w:val="24"/>
        </w:rPr>
      </w:pPr>
    </w:p>
    <w:p w:rsidR="00DB3C6E" w:rsidRPr="00130863" w:rsidRDefault="00DB3C6E" w:rsidP="00DB3C6E">
      <w:pPr>
        <w:pStyle w:val="Default"/>
        <w:tabs>
          <w:tab w:val="left" w:pos="720"/>
        </w:tabs>
        <w:rPr>
          <w:b/>
          <w:szCs w:val="24"/>
        </w:rPr>
      </w:pPr>
      <w:r w:rsidRPr="00130863">
        <w:rPr>
          <w:b/>
          <w:szCs w:val="24"/>
        </w:rPr>
        <w:t xml:space="preserve">3.  </w:t>
      </w:r>
      <w:r w:rsidRPr="00130863">
        <w:rPr>
          <w:b/>
          <w:szCs w:val="24"/>
          <w:u w:val="single"/>
        </w:rPr>
        <w:t>Describe whether, and to what extent, the collection of information involves the use of automated, electronic, mechanical, or other technological techniques or other forms of information technology</w:t>
      </w:r>
      <w:r w:rsidRPr="00130863">
        <w:rPr>
          <w:b/>
          <w:szCs w:val="24"/>
        </w:rPr>
        <w:t>.</w:t>
      </w:r>
    </w:p>
    <w:p w:rsidR="00DB3C6E" w:rsidRPr="00130863" w:rsidRDefault="00DB3C6E" w:rsidP="00E67D1F">
      <w:pPr>
        <w:pStyle w:val="Default"/>
        <w:tabs>
          <w:tab w:val="left" w:pos="720"/>
        </w:tabs>
        <w:rPr>
          <w:szCs w:val="24"/>
        </w:rPr>
      </w:pPr>
    </w:p>
    <w:p w:rsidR="00F21A61" w:rsidRPr="00130863" w:rsidRDefault="00F21A61" w:rsidP="00E67D1F">
      <w:pPr>
        <w:pStyle w:val="Default"/>
        <w:tabs>
          <w:tab w:val="left" w:pos="720"/>
        </w:tabs>
        <w:rPr>
          <w:szCs w:val="24"/>
        </w:rPr>
      </w:pPr>
      <w:r w:rsidRPr="00130863">
        <w:rPr>
          <w:szCs w:val="24"/>
        </w:rPr>
        <w:t>No form exists for the Written Request to Notify to Surrender Endorsement.</w:t>
      </w:r>
      <w:r w:rsidR="00A13780" w:rsidRPr="00130863">
        <w:rPr>
          <w:szCs w:val="24"/>
        </w:rPr>
        <w:t xml:space="preserve">  This request would be </w:t>
      </w:r>
      <w:r w:rsidR="0006642F" w:rsidRPr="00130863">
        <w:rPr>
          <w:szCs w:val="24"/>
        </w:rPr>
        <w:t xml:space="preserve">submitted by </w:t>
      </w:r>
      <w:r w:rsidR="00A13780" w:rsidRPr="00130863">
        <w:rPr>
          <w:szCs w:val="24"/>
        </w:rPr>
        <w:t>mail</w:t>
      </w:r>
      <w:r w:rsidR="0006642F" w:rsidRPr="00130863">
        <w:rPr>
          <w:szCs w:val="24"/>
        </w:rPr>
        <w:t xml:space="preserve">, fax, </w:t>
      </w:r>
      <w:r w:rsidR="00A13780" w:rsidRPr="00130863">
        <w:rPr>
          <w:szCs w:val="24"/>
        </w:rPr>
        <w:t>or deliver</w:t>
      </w:r>
      <w:r w:rsidR="0006642F" w:rsidRPr="00130863">
        <w:rPr>
          <w:szCs w:val="24"/>
        </w:rPr>
        <w:t>y</w:t>
      </w:r>
      <w:r w:rsidR="00A13780" w:rsidRPr="00130863">
        <w:rPr>
          <w:szCs w:val="24"/>
        </w:rPr>
        <w:t xml:space="preserve">.  </w:t>
      </w:r>
    </w:p>
    <w:p w:rsidR="00F21A61" w:rsidRPr="00130863" w:rsidRDefault="00F21A61" w:rsidP="00E67D1F">
      <w:pPr>
        <w:pStyle w:val="Default"/>
        <w:tabs>
          <w:tab w:val="left" w:pos="720"/>
        </w:tabs>
        <w:rPr>
          <w:szCs w:val="24"/>
        </w:rPr>
      </w:pPr>
    </w:p>
    <w:p w:rsidR="003D1432" w:rsidRPr="00130863" w:rsidRDefault="003D1432" w:rsidP="003D1432">
      <w:pPr>
        <w:pStyle w:val="Default"/>
        <w:tabs>
          <w:tab w:val="left" w:pos="720"/>
        </w:tabs>
        <w:rPr>
          <w:b/>
          <w:szCs w:val="24"/>
        </w:rPr>
      </w:pPr>
      <w:r w:rsidRPr="00130863">
        <w:rPr>
          <w:b/>
          <w:szCs w:val="24"/>
        </w:rPr>
        <w:t xml:space="preserve">4.  </w:t>
      </w:r>
      <w:r w:rsidRPr="00130863">
        <w:rPr>
          <w:b/>
          <w:szCs w:val="24"/>
          <w:u w:val="single"/>
        </w:rPr>
        <w:t>Describe efforts to identify duplication</w:t>
      </w:r>
      <w:r w:rsidRPr="00130863">
        <w:rPr>
          <w:b/>
          <w:szCs w:val="24"/>
        </w:rPr>
        <w:t>.</w:t>
      </w:r>
    </w:p>
    <w:p w:rsidR="003D1432" w:rsidRPr="00130863" w:rsidRDefault="003D1432" w:rsidP="003D1432">
      <w:pPr>
        <w:pStyle w:val="Default"/>
        <w:tabs>
          <w:tab w:val="left" w:pos="720"/>
        </w:tabs>
        <w:rPr>
          <w:szCs w:val="24"/>
        </w:rPr>
      </w:pPr>
    </w:p>
    <w:p w:rsidR="003D1432" w:rsidRPr="00130863" w:rsidRDefault="003D1432" w:rsidP="003D1432">
      <w:pPr>
        <w:pStyle w:val="Default"/>
        <w:tabs>
          <w:tab w:val="left" w:pos="720"/>
        </w:tabs>
        <w:rPr>
          <w:szCs w:val="24"/>
        </w:rPr>
      </w:pPr>
      <w:r w:rsidRPr="00130863">
        <w:rPr>
          <w:szCs w:val="24"/>
        </w:rPr>
        <w:t>None of the information collected as part of this information collection duplicates other collections.</w:t>
      </w:r>
    </w:p>
    <w:p w:rsidR="003D1432" w:rsidRPr="00130863" w:rsidRDefault="003D1432" w:rsidP="003D1432">
      <w:pPr>
        <w:pStyle w:val="Default"/>
        <w:tabs>
          <w:tab w:val="left" w:pos="720"/>
        </w:tabs>
        <w:rPr>
          <w:szCs w:val="24"/>
        </w:rPr>
      </w:pPr>
    </w:p>
    <w:p w:rsidR="007A65E5" w:rsidRDefault="007A65E5" w:rsidP="003D1432">
      <w:pPr>
        <w:pStyle w:val="Default"/>
        <w:tabs>
          <w:tab w:val="left" w:pos="720"/>
        </w:tabs>
        <w:rPr>
          <w:b/>
          <w:szCs w:val="24"/>
        </w:rPr>
      </w:pPr>
    </w:p>
    <w:p w:rsidR="007A65E5" w:rsidRDefault="007A65E5" w:rsidP="003D1432">
      <w:pPr>
        <w:pStyle w:val="Default"/>
        <w:tabs>
          <w:tab w:val="left" w:pos="720"/>
        </w:tabs>
        <w:rPr>
          <w:b/>
          <w:szCs w:val="24"/>
        </w:rPr>
      </w:pPr>
    </w:p>
    <w:p w:rsidR="007A65E5" w:rsidRDefault="007A65E5" w:rsidP="003D1432">
      <w:pPr>
        <w:pStyle w:val="Default"/>
        <w:tabs>
          <w:tab w:val="left" w:pos="720"/>
        </w:tabs>
        <w:rPr>
          <w:b/>
          <w:szCs w:val="24"/>
        </w:rPr>
      </w:pPr>
    </w:p>
    <w:p w:rsidR="007A65E5" w:rsidRDefault="007A65E5">
      <w:pPr>
        <w:rPr>
          <w:rFonts w:ascii="Times New Roman" w:eastAsia="ヒラギノ角ゴ Pro W3" w:hAnsi="Times New Roman" w:cs="Times New Roman"/>
          <w:b/>
          <w:color w:val="000000"/>
          <w:sz w:val="24"/>
          <w:szCs w:val="24"/>
        </w:rPr>
      </w:pPr>
      <w:r>
        <w:rPr>
          <w:b/>
          <w:szCs w:val="24"/>
        </w:rPr>
        <w:br w:type="page"/>
      </w:r>
    </w:p>
    <w:p w:rsidR="003D1432" w:rsidRPr="00130863" w:rsidRDefault="003D1432" w:rsidP="003D1432">
      <w:pPr>
        <w:pStyle w:val="Default"/>
        <w:tabs>
          <w:tab w:val="left" w:pos="720"/>
        </w:tabs>
        <w:rPr>
          <w:b/>
          <w:szCs w:val="24"/>
        </w:rPr>
      </w:pPr>
      <w:r w:rsidRPr="00130863">
        <w:rPr>
          <w:b/>
          <w:szCs w:val="24"/>
        </w:rPr>
        <w:lastRenderedPageBreak/>
        <w:t xml:space="preserve">5.  </w:t>
      </w:r>
      <w:r w:rsidRPr="00130863">
        <w:rPr>
          <w:b/>
          <w:szCs w:val="24"/>
          <w:u w:val="single"/>
        </w:rPr>
        <w:t>If the collection of information involves small businesses or other small entities, describe the methods used to minimize burden</w:t>
      </w:r>
      <w:r w:rsidRPr="00130863">
        <w:rPr>
          <w:b/>
          <w:szCs w:val="24"/>
        </w:rPr>
        <w:t>.</w:t>
      </w:r>
    </w:p>
    <w:p w:rsidR="003D1432" w:rsidRPr="00130863" w:rsidRDefault="003D1432" w:rsidP="003D1432">
      <w:pPr>
        <w:pStyle w:val="Default"/>
        <w:tabs>
          <w:tab w:val="left" w:pos="720"/>
        </w:tabs>
        <w:rPr>
          <w:b/>
          <w:szCs w:val="24"/>
        </w:rPr>
      </w:pPr>
    </w:p>
    <w:p w:rsidR="003D1432" w:rsidRDefault="003D1432" w:rsidP="00333416">
      <w:pPr>
        <w:pStyle w:val="Default"/>
        <w:tabs>
          <w:tab w:val="left" w:pos="720"/>
        </w:tabs>
        <w:rPr>
          <w:szCs w:val="24"/>
        </w:rPr>
      </w:pPr>
      <w:r w:rsidRPr="00130863">
        <w:rPr>
          <w:szCs w:val="24"/>
        </w:rPr>
        <w:t>NMFS has concluded that the 36 LLP license holders impacted through this proposed action are all affiliated with each other through membership in a cooperative. Consequently, all impacted entities are considered “large entities” for the purpose of the RFA. Since there are no directly regulated small entities under this action, there are no economic impacts from this action on small entities.</w:t>
      </w:r>
    </w:p>
    <w:p w:rsidR="00130863" w:rsidRPr="00130863" w:rsidRDefault="00130863" w:rsidP="00333416">
      <w:pPr>
        <w:pStyle w:val="Default"/>
        <w:tabs>
          <w:tab w:val="left" w:pos="720"/>
        </w:tabs>
        <w:rPr>
          <w:szCs w:val="24"/>
        </w:rPr>
      </w:pPr>
    </w:p>
    <w:p w:rsidR="00333416" w:rsidRPr="00130863" w:rsidRDefault="00333416" w:rsidP="00333416">
      <w:pPr>
        <w:spacing w:after="0" w:line="240" w:lineRule="auto"/>
        <w:rPr>
          <w:rFonts w:ascii="Times New Roman" w:eastAsia="ヒラギノ角ゴ Pro W3" w:hAnsi="Times New Roman" w:cs="Times New Roman"/>
          <w:b/>
          <w:color w:val="000000"/>
          <w:sz w:val="24"/>
          <w:szCs w:val="24"/>
        </w:rPr>
      </w:pPr>
      <w:r w:rsidRPr="00130863">
        <w:rPr>
          <w:rFonts w:ascii="Times New Roman" w:eastAsia="ヒラギノ角ゴ Pro W3" w:hAnsi="Times New Roman" w:cs="Times New Roman"/>
          <w:b/>
          <w:color w:val="000000"/>
          <w:sz w:val="24"/>
          <w:szCs w:val="24"/>
        </w:rPr>
        <w:t xml:space="preserve">6.  </w:t>
      </w:r>
      <w:r w:rsidRPr="00130863">
        <w:rPr>
          <w:rFonts w:ascii="Times New Roman" w:eastAsia="ヒラギノ角ゴ Pro W3" w:hAnsi="Times New Roman" w:cs="Times New Roman"/>
          <w:b/>
          <w:color w:val="000000"/>
          <w:sz w:val="24"/>
          <w:szCs w:val="24"/>
          <w:u w:val="single"/>
        </w:rPr>
        <w:t>Describe the consequences to the Federal program or policy activities if the collection is not conducted or is conducted less frequently</w:t>
      </w:r>
      <w:r w:rsidRPr="00130863">
        <w:rPr>
          <w:rFonts w:ascii="Times New Roman" w:eastAsia="ヒラギノ角ゴ Pro W3" w:hAnsi="Times New Roman" w:cs="Times New Roman"/>
          <w:b/>
          <w:color w:val="000000"/>
          <w:sz w:val="24"/>
          <w:szCs w:val="24"/>
        </w:rPr>
        <w:t xml:space="preserve">. </w:t>
      </w:r>
    </w:p>
    <w:p w:rsidR="00333416" w:rsidRPr="00130863" w:rsidRDefault="00333416" w:rsidP="00333416">
      <w:pPr>
        <w:pStyle w:val="Default"/>
        <w:tabs>
          <w:tab w:val="left" w:pos="720"/>
        </w:tabs>
        <w:rPr>
          <w:szCs w:val="24"/>
        </w:rPr>
      </w:pPr>
    </w:p>
    <w:p w:rsidR="00333416" w:rsidRPr="00130863" w:rsidRDefault="00973BAA" w:rsidP="00333416">
      <w:pPr>
        <w:pStyle w:val="Default"/>
        <w:tabs>
          <w:tab w:val="left" w:pos="720"/>
        </w:tabs>
        <w:rPr>
          <w:szCs w:val="24"/>
        </w:rPr>
      </w:pPr>
      <w:r w:rsidRPr="00130863">
        <w:rPr>
          <w:szCs w:val="24"/>
        </w:rPr>
        <w:t xml:space="preserve">Amendment 99 would enable the holders of LLP licenses authorizing a designated vessel to catch and process Pacific cod in the BSAI hook-and-line fisheries, to use newly built or existing vessels that are not eligible under current vessel length and capacity restrictions.  This action is necessary to promote safety-at-sea, by encouraging the replacement of older vessels with newer and more efficient vessels that are able to meet modern vessel safety standards.  This action is intended to facilitate the increased retention and utilization of groundfish by allowing sector participants to use larger vessels with increased processing and hold capabilities.  </w:t>
      </w:r>
    </w:p>
    <w:p w:rsidR="00333416" w:rsidRPr="00130863" w:rsidRDefault="00333416" w:rsidP="00333416">
      <w:pPr>
        <w:pStyle w:val="Default"/>
        <w:tabs>
          <w:tab w:val="left" w:pos="720"/>
        </w:tabs>
        <w:rPr>
          <w:szCs w:val="24"/>
        </w:rPr>
      </w:pPr>
    </w:p>
    <w:p w:rsidR="00973BAA" w:rsidRPr="00130863" w:rsidRDefault="000C5798" w:rsidP="00333416">
      <w:pPr>
        <w:pStyle w:val="Default"/>
        <w:tabs>
          <w:tab w:val="left" w:pos="720"/>
        </w:tabs>
        <w:rPr>
          <w:szCs w:val="24"/>
        </w:rPr>
      </w:pPr>
      <w:r w:rsidRPr="00130863">
        <w:rPr>
          <w:szCs w:val="24"/>
        </w:rPr>
        <w:t>To the extent that the vessel owners exercise the vessel replacement opportunity provided in this proposed action, it would promote efficient utilization of the Pacific cod resource in the BSAI and GOA.  The proposed action would also promote safety-at-sea because it removes disincentives for vessel owners to replace existing vessels with newer vessels that can accommodate improved safety features and minimize the risks faced by crew members.</w:t>
      </w:r>
    </w:p>
    <w:p w:rsidR="000C5798" w:rsidRPr="00130863" w:rsidRDefault="000C5798" w:rsidP="00333416">
      <w:pPr>
        <w:pStyle w:val="Default"/>
        <w:tabs>
          <w:tab w:val="left" w:pos="720"/>
        </w:tabs>
        <w:rPr>
          <w:szCs w:val="24"/>
        </w:rPr>
      </w:pPr>
    </w:p>
    <w:p w:rsidR="000C5798" w:rsidRPr="00130863" w:rsidRDefault="000C5798" w:rsidP="00333416">
      <w:pPr>
        <w:pStyle w:val="Default"/>
        <w:tabs>
          <w:tab w:val="left" w:pos="720"/>
        </w:tabs>
        <w:rPr>
          <w:szCs w:val="24"/>
        </w:rPr>
      </w:pPr>
      <w:r w:rsidRPr="00130863">
        <w:rPr>
          <w:szCs w:val="24"/>
        </w:rPr>
        <w:t>If t</w:t>
      </w:r>
      <w:r w:rsidR="00D35B7E" w:rsidRPr="00130863">
        <w:rPr>
          <w:szCs w:val="24"/>
        </w:rPr>
        <w:t xml:space="preserve">his policy were not conducted, </w:t>
      </w:r>
      <w:r w:rsidRPr="00130863">
        <w:rPr>
          <w:szCs w:val="24"/>
        </w:rPr>
        <w:t xml:space="preserve">some fishing for Pacific cod would be conducted in </w:t>
      </w:r>
      <w:r w:rsidR="00D35B7E" w:rsidRPr="00130863">
        <w:rPr>
          <w:szCs w:val="24"/>
        </w:rPr>
        <w:t xml:space="preserve">older, unsafe </w:t>
      </w:r>
      <w:r w:rsidRPr="00130863">
        <w:rPr>
          <w:szCs w:val="24"/>
        </w:rPr>
        <w:t xml:space="preserve">vessels that </w:t>
      </w:r>
      <w:r w:rsidR="00D35B7E" w:rsidRPr="00130863">
        <w:rPr>
          <w:szCs w:val="24"/>
        </w:rPr>
        <w:t>cause risks to crew members.  In addition, new vessels are equipped to store and process larger quantities of fish; smaller vessels must return to the fishing ground more often, sometimes at risk to crew members.</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b/>
          <w:szCs w:val="24"/>
        </w:rPr>
      </w:pPr>
      <w:r w:rsidRPr="00130863">
        <w:rPr>
          <w:b/>
          <w:szCs w:val="24"/>
        </w:rPr>
        <w:t xml:space="preserve">7.  </w:t>
      </w:r>
      <w:r w:rsidRPr="00130863">
        <w:rPr>
          <w:b/>
          <w:szCs w:val="24"/>
          <w:u w:val="single"/>
        </w:rPr>
        <w:t>Explain any special circumstances that require the collection to be conducted in a manner inconsistent with OMB guidelines</w:t>
      </w:r>
      <w:r w:rsidRPr="00130863">
        <w:rPr>
          <w:b/>
          <w:szCs w:val="24"/>
        </w:rPr>
        <w:t xml:space="preserve">. </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szCs w:val="24"/>
        </w:rPr>
      </w:pPr>
      <w:r w:rsidRPr="00130863">
        <w:rPr>
          <w:szCs w:val="24"/>
        </w:rPr>
        <w:t xml:space="preserve">No special circumstances are associated with this information collection. </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b/>
          <w:szCs w:val="24"/>
        </w:rPr>
      </w:pPr>
      <w:r w:rsidRPr="00130863">
        <w:rPr>
          <w:b/>
          <w:szCs w:val="24"/>
        </w:rPr>
        <w:t xml:space="preserve">8.  </w:t>
      </w:r>
      <w:r w:rsidRPr="00130863">
        <w:rPr>
          <w:b/>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33416" w:rsidRPr="00130863" w:rsidRDefault="00333416" w:rsidP="00333416">
      <w:pPr>
        <w:pStyle w:val="Default"/>
        <w:tabs>
          <w:tab w:val="left" w:pos="720"/>
        </w:tabs>
        <w:rPr>
          <w:szCs w:val="24"/>
        </w:rPr>
      </w:pPr>
    </w:p>
    <w:p w:rsidR="00333416" w:rsidRPr="00130863" w:rsidRDefault="00333416" w:rsidP="003300D7">
      <w:pPr>
        <w:spacing w:after="0" w:line="240" w:lineRule="auto"/>
        <w:rPr>
          <w:rFonts w:ascii="Times New Roman" w:hAnsi="Times New Roman" w:cs="Times New Roman"/>
          <w:sz w:val="24"/>
          <w:szCs w:val="24"/>
        </w:rPr>
      </w:pPr>
      <w:r w:rsidRPr="00130863">
        <w:rPr>
          <w:rFonts w:ascii="Times New Roman" w:hAnsi="Times New Roman" w:cs="Times New Roman"/>
          <w:sz w:val="24"/>
          <w:szCs w:val="24"/>
        </w:rPr>
        <w:t>The NMFS Alaska Region will submit a proposed rule, RIN 0648-</w:t>
      </w:r>
      <w:r w:rsidR="003300D7" w:rsidRPr="00130863">
        <w:rPr>
          <w:rFonts w:ascii="Times New Roman" w:eastAsia="ヒラギノ角ゴ Pro W3" w:hAnsi="Times New Roman" w:cs="Times New Roman"/>
          <w:color w:val="000000"/>
          <w:sz w:val="24"/>
          <w:szCs w:val="24"/>
        </w:rPr>
        <w:t>0648-BC73</w:t>
      </w:r>
      <w:r w:rsidRPr="00130863">
        <w:rPr>
          <w:rFonts w:ascii="Times New Roman" w:hAnsi="Times New Roman" w:cs="Times New Roman"/>
          <w:sz w:val="24"/>
          <w:szCs w:val="24"/>
        </w:rPr>
        <w:t>, coincident with this submission, requesting comments from the public.</w:t>
      </w:r>
    </w:p>
    <w:p w:rsidR="00B75F8C" w:rsidRPr="00130863" w:rsidRDefault="00B75F8C" w:rsidP="003300D7">
      <w:pPr>
        <w:spacing w:after="0" w:line="240" w:lineRule="auto"/>
        <w:rPr>
          <w:rFonts w:ascii="Times New Roman" w:hAnsi="Times New Roman" w:cs="Times New Roman"/>
          <w:sz w:val="24"/>
          <w:szCs w:val="24"/>
        </w:rPr>
      </w:pPr>
    </w:p>
    <w:p w:rsidR="00B75F8C" w:rsidRPr="00130863" w:rsidRDefault="00B75F8C" w:rsidP="00B75F8C">
      <w:pPr>
        <w:shd w:val="clear" w:color="auto" w:fill="FFFFFF"/>
        <w:spacing w:after="0" w:line="240" w:lineRule="auto"/>
        <w:rPr>
          <w:rFonts w:ascii="Times New Roman" w:eastAsia="Times New Roman" w:hAnsi="Times New Roman" w:cs="Times New Roman"/>
          <w:color w:val="222222"/>
          <w:sz w:val="24"/>
          <w:szCs w:val="24"/>
        </w:rPr>
      </w:pPr>
      <w:r w:rsidRPr="00130863">
        <w:rPr>
          <w:rFonts w:ascii="Times New Roman" w:eastAsia="Times New Roman" w:hAnsi="Times New Roman" w:cs="Times New Roman"/>
          <w:iCs/>
          <w:color w:val="222222"/>
          <w:sz w:val="24"/>
          <w:szCs w:val="24"/>
        </w:rPr>
        <w:t>NMFS received 3 comment letters during the public comment periods on the Notice of Availability for Amendment 99 and the proposed rule to implement Amendment 99.  Each comment letter was submitted by the same member of the public.  The commenter expressed a general dislike of fishery management policies that are out of the scope of this action.  One comment expressed discontent with this action and is included below with NMFS response. No changes were made this final rule in response to comment letter received.  </w:t>
      </w:r>
    </w:p>
    <w:p w:rsidR="00B75F8C" w:rsidRPr="00130863" w:rsidRDefault="00B75F8C" w:rsidP="00B75F8C">
      <w:pPr>
        <w:shd w:val="clear" w:color="auto" w:fill="FFFFFF"/>
        <w:spacing w:after="0" w:line="240" w:lineRule="auto"/>
        <w:rPr>
          <w:rFonts w:ascii="Times New Roman" w:eastAsia="Times New Roman" w:hAnsi="Times New Roman" w:cs="Times New Roman"/>
          <w:color w:val="222222"/>
          <w:sz w:val="24"/>
          <w:szCs w:val="24"/>
        </w:rPr>
      </w:pPr>
    </w:p>
    <w:p w:rsidR="00B75F8C" w:rsidRPr="00130863" w:rsidRDefault="00130863" w:rsidP="00B75F8C">
      <w:pPr>
        <w:shd w:val="clear" w:color="auto" w:fill="FFFFFF"/>
        <w:spacing w:after="0" w:line="240" w:lineRule="auto"/>
        <w:rPr>
          <w:rFonts w:ascii="Times New Roman" w:eastAsia="Times New Roman" w:hAnsi="Times New Roman" w:cs="Times New Roman"/>
          <w:color w:val="222222"/>
          <w:sz w:val="24"/>
          <w:szCs w:val="24"/>
        </w:rPr>
      </w:pPr>
      <w:r w:rsidRPr="00130863">
        <w:rPr>
          <w:rFonts w:ascii="Times New Roman" w:eastAsia="Times New Roman" w:hAnsi="Times New Roman" w:cs="Times New Roman"/>
          <w:iCs/>
          <w:color w:val="222222"/>
          <w:sz w:val="24"/>
          <w:szCs w:val="24"/>
        </w:rPr>
        <w:t xml:space="preserve">Comment:  </w:t>
      </w:r>
      <w:r w:rsidR="00B75F8C" w:rsidRPr="00130863">
        <w:rPr>
          <w:rFonts w:ascii="Times New Roman" w:eastAsia="Times New Roman" w:hAnsi="Times New Roman" w:cs="Times New Roman"/>
          <w:iCs/>
          <w:color w:val="222222"/>
          <w:sz w:val="24"/>
          <w:szCs w:val="24"/>
        </w:rPr>
        <w:t xml:space="preserve">Older vessels should not be replaced with newer vessels because the larger vessels will increase </w:t>
      </w:r>
      <w:r w:rsidRPr="00130863">
        <w:rPr>
          <w:rFonts w:ascii="Times New Roman" w:eastAsia="Times New Roman" w:hAnsi="Times New Roman" w:cs="Times New Roman"/>
          <w:iCs/>
          <w:color w:val="222222"/>
          <w:sz w:val="24"/>
          <w:szCs w:val="24"/>
        </w:rPr>
        <w:t>catch to unsustainable levels.</w:t>
      </w:r>
      <w:r w:rsidR="007A65E5">
        <w:rPr>
          <w:rFonts w:ascii="Times New Roman" w:eastAsia="Times New Roman" w:hAnsi="Times New Roman" w:cs="Times New Roman"/>
          <w:iCs/>
          <w:color w:val="222222"/>
          <w:sz w:val="24"/>
          <w:szCs w:val="24"/>
        </w:rPr>
        <w:br/>
      </w:r>
    </w:p>
    <w:p w:rsidR="0012274A" w:rsidRDefault="00130863" w:rsidP="007A65E5">
      <w:pPr>
        <w:spacing w:after="0" w:line="240" w:lineRule="auto"/>
        <w:rPr>
          <w:rFonts w:ascii="Times New Roman" w:hAnsi="Times New Roman" w:cs="Times New Roman"/>
          <w:color w:val="000000"/>
          <w:sz w:val="24"/>
          <w:szCs w:val="24"/>
        </w:rPr>
      </w:pPr>
      <w:r w:rsidRPr="00130863">
        <w:rPr>
          <w:rFonts w:ascii="Times New Roman" w:eastAsia="Times New Roman" w:hAnsi="Times New Roman" w:cs="Times New Roman"/>
          <w:iCs/>
          <w:color w:val="222222"/>
          <w:sz w:val="24"/>
          <w:szCs w:val="24"/>
        </w:rPr>
        <w:t xml:space="preserve">Response:  NMFS disagrees.  </w:t>
      </w:r>
      <w:r w:rsidR="00B75F8C" w:rsidRPr="00130863">
        <w:rPr>
          <w:rFonts w:ascii="Times New Roman" w:eastAsia="Times New Roman" w:hAnsi="Times New Roman" w:cs="Times New Roman"/>
          <w:iCs/>
          <w:color w:val="222222"/>
          <w:sz w:val="24"/>
          <w:szCs w:val="24"/>
        </w:rPr>
        <w:t>As noted in the preamble to the proposed rule and in section XXX of the analysis prepared for this action, vessel owners are currently able to replace older vessels with newer vessels that</w:t>
      </w:r>
      <w:r w:rsidRPr="00130863">
        <w:rPr>
          <w:rFonts w:ascii="Times New Roman" w:eastAsia="Times New Roman" w:hAnsi="Times New Roman" w:cs="Times New Roman"/>
          <w:iCs/>
          <w:color w:val="222222"/>
          <w:sz w:val="24"/>
          <w:szCs w:val="24"/>
        </w:rPr>
        <w:t xml:space="preserve"> meet modern safety standards.  </w:t>
      </w:r>
      <w:r w:rsidR="00B75F8C" w:rsidRPr="00130863">
        <w:rPr>
          <w:rFonts w:ascii="Times New Roman" w:eastAsia="Times New Roman" w:hAnsi="Times New Roman" w:cs="Times New Roman"/>
          <w:iCs/>
          <w:color w:val="222222"/>
          <w:sz w:val="24"/>
          <w:szCs w:val="24"/>
        </w:rPr>
        <w:t>This action would increase the MLOA on eligible LLP licenses to enable LLP license holder to deploy larger vessels that can pro</w:t>
      </w:r>
      <w:r w:rsidRPr="00130863">
        <w:rPr>
          <w:rFonts w:ascii="Times New Roman" w:eastAsia="Times New Roman" w:hAnsi="Times New Roman" w:cs="Times New Roman"/>
          <w:iCs/>
          <w:color w:val="222222"/>
          <w:sz w:val="24"/>
          <w:szCs w:val="24"/>
        </w:rPr>
        <w:t xml:space="preserve">vide additional hold capacity.  </w:t>
      </w:r>
      <w:r w:rsidR="00B75F8C" w:rsidRPr="00130863">
        <w:rPr>
          <w:rFonts w:ascii="Times New Roman" w:eastAsia="Times New Roman" w:hAnsi="Times New Roman" w:cs="Times New Roman"/>
          <w:iCs/>
          <w:color w:val="222222"/>
          <w:sz w:val="24"/>
          <w:szCs w:val="24"/>
        </w:rPr>
        <w:t>The increased usable space onboard the vessel is intended to increase the retention and utilization of catch and not to expand fishing effort i</w:t>
      </w:r>
      <w:r w:rsidR="00186C74" w:rsidRPr="00130863">
        <w:rPr>
          <w:rFonts w:ascii="Times New Roman" w:eastAsia="Times New Roman" w:hAnsi="Times New Roman" w:cs="Times New Roman"/>
          <w:iCs/>
          <w:color w:val="222222"/>
          <w:sz w:val="24"/>
          <w:szCs w:val="24"/>
        </w:rPr>
        <w:t xml:space="preserve">nto other </w:t>
      </w:r>
      <w:r w:rsidR="00B75F8C" w:rsidRPr="00130863">
        <w:rPr>
          <w:rFonts w:ascii="Times New Roman" w:eastAsia="Times New Roman" w:hAnsi="Times New Roman" w:cs="Times New Roman"/>
          <w:iCs/>
          <w:color w:val="222222"/>
          <w:sz w:val="24"/>
          <w:szCs w:val="24"/>
        </w:rPr>
        <w:t>fisheries.  Management constraints such as Pacific cod species endorsements on LLP licenses, sector allocations for Pacific cod in the BSAI and GOA, and halibut PSC limits in the BSAI and GOA, limit the ability of LLP license holders to expand the deployment of these vessels to other fishing operations in the EEZ off Alaska.</w:t>
      </w:r>
      <w:r w:rsidR="0012274A" w:rsidRPr="00130863">
        <w:rPr>
          <w:rFonts w:ascii="Times New Roman" w:eastAsia="Times New Roman" w:hAnsi="Times New Roman" w:cs="Times New Roman"/>
          <w:iCs/>
          <w:color w:val="222222"/>
          <w:sz w:val="24"/>
          <w:szCs w:val="24"/>
        </w:rPr>
        <w:t xml:space="preserve"> </w:t>
      </w:r>
      <w:r w:rsidR="0012274A" w:rsidRPr="00130863">
        <w:rPr>
          <w:rFonts w:ascii="Times New Roman" w:hAnsi="Times New Roman" w:cs="Times New Roman"/>
          <w:color w:val="000000"/>
          <w:sz w:val="24"/>
          <w:szCs w:val="24"/>
        </w:rPr>
        <w:t>While it is possible that larger BSAI longline C/P vessels entering the GOA Pacific cod fishery could increase competition in that fishery</w:t>
      </w:r>
      <w:r w:rsidR="0012274A" w:rsidRPr="00130863">
        <w:rPr>
          <w:rFonts w:ascii="Times New Roman" w:eastAsia="ヒラギノ角ゴ Pro W3" w:hAnsi="Times New Roman" w:cs="Times New Roman"/>
          <w:color w:val="000000"/>
          <w:sz w:val="24"/>
          <w:szCs w:val="24"/>
        </w:rPr>
        <w:t xml:space="preserve"> </w:t>
      </w:r>
      <w:r w:rsidR="0012274A" w:rsidRPr="00130863">
        <w:rPr>
          <w:rFonts w:ascii="Times New Roman" w:hAnsi="Times New Roman" w:cs="Times New Roman"/>
          <w:color w:val="000000"/>
          <w:sz w:val="24"/>
          <w:szCs w:val="24"/>
        </w:rPr>
        <w:t>all holders of eligible BSAI longline C/P subsector LLP licenses have joined a single cooperative, the Freezer Longline Conservation Cooperative (FLCC).  Cooperative management enables the license holders to efficiently harvest sector allocations through the coordination of fishing effort among participants.  NMFS and the Council note that the harvest patterns of individual member vessels are unlikely to change following the implementation of Amendment 99 because FLCC member vessels eligible to catch and process Pacific cod in the GOA have not increased effort in the GOA Pacific cod fisheries despite the efficiencies gained by cooperative management and their significantly longer length compared to the hook-and-line C/Ps active in the GOA that are not FLCC members.  NMFS notes that although the BSAI longline C/P fleet could increase effort in the GOA under the status quo, they have not.</w:t>
      </w:r>
    </w:p>
    <w:p w:rsidR="007A65E5" w:rsidRPr="00130863" w:rsidRDefault="007A65E5" w:rsidP="007A65E5">
      <w:pPr>
        <w:spacing w:after="0" w:line="240" w:lineRule="auto"/>
        <w:rPr>
          <w:rFonts w:ascii="Times New Roman" w:hAnsi="Times New Roman" w:cs="Times New Roman"/>
          <w:color w:val="000000"/>
          <w:sz w:val="24"/>
          <w:szCs w:val="24"/>
        </w:rPr>
      </w:pPr>
    </w:p>
    <w:p w:rsidR="00333416" w:rsidRPr="00130863" w:rsidRDefault="00B75F8C" w:rsidP="00130863">
      <w:pPr>
        <w:shd w:val="clear" w:color="auto" w:fill="F1F1F1"/>
        <w:spacing w:after="0" w:line="90" w:lineRule="atLeast"/>
        <w:rPr>
          <w:rFonts w:ascii="Times New Roman" w:hAnsi="Times New Roman" w:cs="Times New Roman"/>
          <w:b/>
          <w:sz w:val="24"/>
          <w:szCs w:val="24"/>
        </w:rPr>
      </w:pPr>
      <w:r w:rsidRPr="00130863">
        <w:rPr>
          <w:rFonts w:ascii="Times New Roman" w:eastAsia="Times New Roman" w:hAnsi="Times New Roman" w:cs="Times New Roman"/>
          <w:noProof/>
          <w:color w:val="222222"/>
          <w:sz w:val="24"/>
          <w:szCs w:val="24"/>
        </w:rPr>
        <w:drawing>
          <wp:inline distT="0" distB="0" distL="0" distR="0" wp14:anchorId="545D03C1" wp14:editId="0F65EC77">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33416" w:rsidRPr="00130863">
        <w:rPr>
          <w:rFonts w:ascii="Times New Roman" w:hAnsi="Times New Roman" w:cs="Times New Roman"/>
          <w:b/>
          <w:sz w:val="24"/>
          <w:szCs w:val="24"/>
        </w:rPr>
        <w:t xml:space="preserve">9.  </w:t>
      </w:r>
      <w:r w:rsidR="00333416" w:rsidRPr="00130863">
        <w:rPr>
          <w:rFonts w:ascii="Times New Roman" w:hAnsi="Times New Roman" w:cs="Times New Roman"/>
          <w:b/>
          <w:sz w:val="24"/>
          <w:szCs w:val="24"/>
          <w:u w:val="single"/>
        </w:rPr>
        <w:t>Explain any decisions to provide payments or gifts to respondents, other than remuneration of contractors or grantees</w:t>
      </w:r>
      <w:r w:rsidR="00333416" w:rsidRPr="00130863">
        <w:rPr>
          <w:rFonts w:ascii="Times New Roman" w:hAnsi="Times New Roman" w:cs="Times New Roman"/>
          <w:b/>
          <w:sz w:val="24"/>
          <w:szCs w:val="24"/>
        </w:rPr>
        <w:t>.</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szCs w:val="24"/>
        </w:rPr>
      </w:pPr>
      <w:r w:rsidRPr="00130863">
        <w:rPr>
          <w:szCs w:val="24"/>
        </w:rPr>
        <w:t>No payment or gift will be provided under this program.</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b/>
          <w:szCs w:val="24"/>
        </w:rPr>
      </w:pPr>
      <w:r w:rsidRPr="00130863">
        <w:rPr>
          <w:b/>
          <w:szCs w:val="24"/>
        </w:rPr>
        <w:t xml:space="preserve">10.  </w:t>
      </w:r>
      <w:r w:rsidRPr="00130863">
        <w:rPr>
          <w:b/>
          <w:szCs w:val="24"/>
          <w:u w:val="single"/>
        </w:rPr>
        <w:t>Describe any assurance of confidentiality provided to respondents and the basis for assurance in statute, regulation, or agency policy</w:t>
      </w:r>
      <w:r w:rsidRPr="00130863">
        <w:rPr>
          <w:b/>
          <w:szCs w:val="24"/>
        </w:rPr>
        <w:t>.</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szCs w:val="24"/>
        </w:rPr>
      </w:pPr>
      <w:r w:rsidRPr="00130863">
        <w:rPr>
          <w:szCs w:val="24"/>
        </w:rPr>
        <w:t xml:space="preserve">The information collected is mandatory and is required to manage commercial fishing efforts under 50 CFR part 679 and under section 402(a) of the Magnuson-Stevens Act (16 U.S.C. 1801, et seq.); 3) Responses to this information request are confidential under section 402(b) of the Magnuson-Stevens Act as amended in 2006 and under </w:t>
      </w:r>
      <w:hyperlink r:id="rId13" w:history="1">
        <w:r w:rsidRPr="00130863">
          <w:rPr>
            <w:rStyle w:val="Hyperlink"/>
            <w:szCs w:val="24"/>
          </w:rPr>
          <w:t>NOAA Administrative Order 216-100</w:t>
        </w:r>
      </w:hyperlink>
      <w:r w:rsidRPr="00130863">
        <w:rPr>
          <w:szCs w:val="24"/>
        </w:rPr>
        <w:t xml:space="preserve">, which sets forth procedures to protect confidentiality of fishery statistics.  </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b/>
          <w:szCs w:val="24"/>
        </w:rPr>
      </w:pPr>
      <w:r w:rsidRPr="00130863">
        <w:rPr>
          <w:b/>
          <w:szCs w:val="24"/>
        </w:rPr>
        <w:t xml:space="preserve">11.  </w:t>
      </w:r>
      <w:r w:rsidRPr="00130863">
        <w:rPr>
          <w:b/>
          <w:szCs w:val="24"/>
          <w:u w:val="single"/>
        </w:rPr>
        <w:t>Provide additional justification for any questions of a sensitive nature, such as sexual behavior and attitudes, religious beliefs, and other matters that are commonly considered private</w:t>
      </w:r>
      <w:r w:rsidRPr="00130863">
        <w:rPr>
          <w:b/>
          <w:szCs w:val="24"/>
        </w:rPr>
        <w:t>.</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szCs w:val="24"/>
        </w:rPr>
      </w:pPr>
      <w:r w:rsidRPr="00130863">
        <w:rPr>
          <w:szCs w:val="24"/>
        </w:rPr>
        <w:t>This information collection does not involve information of a sensitive nature.</w:t>
      </w:r>
    </w:p>
    <w:p w:rsidR="00333416" w:rsidRPr="00130863" w:rsidRDefault="00333416" w:rsidP="00333416">
      <w:pPr>
        <w:pStyle w:val="Default"/>
        <w:tabs>
          <w:tab w:val="left" w:pos="720"/>
        </w:tabs>
        <w:rPr>
          <w:szCs w:val="24"/>
        </w:rPr>
      </w:pPr>
    </w:p>
    <w:p w:rsidR="00333416" w:rsidRPr="00130863" w:rsidRDefault="00333416" w:rsidP="00333416">
      <w:pPr>
        <w:pStyle w:val="Default"/>
        <w:tabs>
          <w:tab w:val="left" w:pos="720"/>
        </w:tabs>
        <w:rPr>
          <w:b/>
          <w:szCs w:val="24"/>
        </w:rPr>
      </w:pPr>
      <w:r w:rsidRPr="00130863">
        <w:rPr>
          <w:b/>
          <w:szCs w:val="24"/>
        </w:rPr>
        <w:t xml:space="preserve">12.  </w:t>
      </w:r>
      <w:r w:rsidRPr="00130863">
        <w:rPr>
          <w:b/>
          <w:szCs w:val="24"/>
          <w:u w:val="single"/>
        </w:rPr>
        <w:t>Provide an estimate in hours of the burden of the collection of information</w:t>
      </w:r>
      <w:r w:rsidRPr="00130863">
        <w:rPr>
          <w:b/>
          <w:szCs w:val="24"/>
        </w:rPr>
        <w:t>.</w:t>
      </w:r>
    </w:p>
    <w:p w:rsidR="00333416" w:rsidRPr="00130863" w:rsidRDefault="00333416" w:rsidP="00333416">
      <w:pPr>
        <w:pStyle w:val="Default"/>
        <w:tabs>
          <w:tab w:val="left" w:pos="720"/>
        </w:tabs>
        <w:rPr>
          <w:szCs w:val="24"/>
        </w:rPr>
      </w:pPr>
    </w:p>
    <w:p w:rsidR="00856A7B" w:rsidRPr="00130863" w:rsidRDefault="00F1435D" w:rsidP="00BB6C7C">
      <w:pPr>
        <w:pStyle w:val="Default"/>
        <w:tabs>
          <w:tab w:val="left" w:pos="720"/>
        </w:tabs>
        <w:rPr>
          <w:szCs w:val="24"/>
        </w:rPr>
      </w:pPr>
      <w:r w:rsidRPr="00130863">
        <w:rPr>
          <w:szCs w:val="24"/>
        </w:rPr>
        <w:t xml:space="preserve">This action </w:t>
      </w:r>
      <w:r w:rsidR="005447E8" w:rsidRPr="00130863">
        <w:rPr>
          <w:szCs w:val="24"/>
        </w:rPr>
        <w:t xml:space="preserve">would make a one-time </w:t>
      </w:r>
      <w:r w:rsidRPr="00130863">
        <w:rPr>
          <w:szCs w:val="24"/>
        </w:rPr>
        <w:t>change</w:t>
      </w:r>
      <w:r w:rsidR="005447E8" w:rsidRPr="00130863">
        <w:rPr>
          <w:szCs w:val="24"/>
        </w:rPr>
        <w:t xml:space="preserve"> to t</w:t>
      </w:r>
      <w:r w:rsidRPr="00130863">
        <w:rPr>
          <w:szCs w:val="24"/>
        </w:rPr>
        <w:t>his collection</w:t>
      </w:r>
      <w:r w:rsidR="005447E8" w:rsidRPr="00130863">
        <w:rPr>
          <w:szCs w:val="24"/>
        </w:rPr>
        <w:t>.  E</w:t>
      </w:r>
      <w:r w:rsidR="00C0407A" w:rsidRPr="00130863">
        <w:rPr>
          <w:szCs w:val="24"/>
        </w:rPr>
        <w:t xml:space="preserve">stimated total respondents: </w:t>
      </w:r>
      <w:r w:rsidR="00E67D1F" w:rsidRPr="00130863">
        <w:rPr>
          <w:szCs w:val="24"/>
        </w:rPr>
        <w:t>1</w:t>
      </w:r>
      <w:r w:rsidR="00C0407A" w:rsidRPr="00130863">
        <w:rPr>
          <w:szCs w:val="24"/>
        </w:rPr>
        <w:t>48</w:t>
      </w:r>
      <w:r w:rsidR="007D303E" w:rsidRPr="00130863">
        <w:rPr>
          <w:szCs w:val="24"/>
        </w:rPr>
        <w:t xml:space="preserve">.  Estimated total responses: </w:t>
      </w:r>
      <w:r w:rsidR="00C0407A" w:rsidRPr="00130863">
        <w:rPr>
          <w:szCs w:val="24"/>
        </w:rPr>
        <w:t>151</w:t>
      </w:r>
      <w:r w:rsidR="00E67D1F" w:rsidRPr="00130863">
        <w:rPr>
          <w:szCs w:val="24"/>
        </w:rPr>
        <w:t xml:space="preserve">, up from </w:t>
      </w:r>
      <w:r w:rsidR="005447E8" w:rsidRPr="00130863">
        <w:rPr>
          <w:szCs w:val="24"/>
        </w:rPr>
        <w:t>148</w:t>
      </w:r>
      <w:r w:rsidR="00E67D1F" w:rsidRPr="00130863">
        <w:rPr>
          <w:szCs w:val="24"/>
        </w:rPr>
        <w:t xml:space="preserve">.  Estimated total burden: </w:t>
      </w:r>
      <w:r w:rsidR="00E832FA" w:rsidRPr="00130863">
        <w:rPr>
          <w:szCs w:val="24"/>
        </w:rPr>
        <w:t>276</w:t>
      </w:r>
      <w:r w:rsidR="00E67D1F" w:rsidRPr="00130863">
        <w:rPr>
          <w:szCs w:val="24"/>
        </w:rPr>
        <w:t xml:space="preserve">, up from </w:t>
      </w:r>
      <w:r w:rsidR="005447E8" w:rsidRPr="00130863">
        <w:rPr>
          <w:szCs w:val="24"/>
        </w:rPr>
        <w:t>274</w:t>
      </w:r>
      <w:r w:rsidR="00E67D1F" w:rsidRPr="00130863">
        <w:rPr>
          <w:szCs w:val="24"/>
        </w:rPr>
        <w:t xml:space="preserve"> hr.  Estimated total personnel cost:  $</w:t>
      </w:r>
      <w:r w:rsidR="005447E8" w:rsidRPr="00130863">
        <w:rPr>
          <w:szCs w:val="24"/>
        </w:rPr>
        <w:t xml:space="preserve"> </w:t>
      </w:r>
      <w:r w:rsidR="00E832FA" w:rsidRPr="00130863">
        <w:rPr>
          <w:szCs w:val="24"/>
        </w:rPr>
        <w:t>6,900</w:t>
      </w:r>
      <w:r w:rsidR="00E67D1F" w:rsidRPr="00130863">
        <w:rPr>
          <w:szCs w:val="24"/>
        </w:rPr>
        <w:t>, up from $</w:t>
      </w:r>
      <w:r w:rsidR="005447E8" w:rsidRPr="00130863">
        <w:rPr>
          <w:szCs w:val="24"/>
        </w:rPr>
        <w:t xml:space="preserve"> 6,850</w:t>
      </w:r>
      <w:r w:rsidR="00E67D1F" w:rsidRPr="00130863">
        <w:rPr>
          <w:szCs w:val="24"/>
        </w:rPr>
        <w:t xml:space="preserve">.  </w:t>
      </w:r>
    </w:p>
    <w:p w:rsidR="00856A7B" w:rsidRPr="00130863" w:rsidRDefault="00856A7B" w:rsidP="00333416">
      <w:pPr>
        <w:pStyle w:val="Default"/>
        <w:tabs>
          <w:tab w:val="left" w:pos="720"/>
        </w:tabs>
        <w:rPr>
          <w:szCs w:val="24"/>
        </w:rPr>
      </w:pPr>
    </w:p>
    <w:p w:rsidR="00856A7B" w:rsidRPr="00130863" w:rsidRDefault="00856A7B" w:rsidP="00856A7B">
      <w:pPr>
        <w:pStyle w:val="Default"/>
        <w:tabs>
          <w:tab w:val="left" w:pos="720"/>
        </w:tabs>
        <w:rPr>
          <w:b/>
          <w:szCs w:val="24"/>
        </w:rPr>
      </w:pPr>
      <w:r w:rsidRPr="00130863">
        <w:rPr>
          <w:b/>
          <w:szCs w:val="24"/>
        </w:rPr>
        <w:t xml:space="preserve">13.  </w:t>
      </w:r>
      <w:r w:rsidRPr="00130863">
        <w:rPr>
          <w:b/>
          <w:szCs w:val="24"/>
          <w:u w:val="single"/>
        </w:rPr>
        <w:t>Provide an estimate of the total annual cost burden to the respondents or record-keepers resulting from the collection (excluding the value of the burden hours in Question 12 above)</w:t>
      </w:r>
      <w:r w:rsidRPr="00130863">
        <w:rPr>
          <w:b/>
          <w:szCs w:val="24"/>
        </w:rPr>
        <w:t>.</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szCs w:val="24"/>
        </w:rPr>
      </w:pPr>
      <w:r w:rsidRPr="00130863">
        <w:rPr>
          <w:szCs w:val="24"/>
        </w:rPr>
        <w:t>Estimated total miscellaneous costs:  $</w:t>
      </w:r>
      <w:r w:rsidR="00BB6C7C" w:rsidRPr="00130863">
        <w:rPr>
          <w:szCs w:val="24"/>
        </w:rPr>
        <w:t>1,981</w:t>
      </w:r>
      <w:r w:rsidRPr="00130863">
        <w:rPr>
          <w:szCs w:val="24"/>
        </w:rPr>
        <w:t xml:space="preserve"> up from $</w:t>
      </w:r>
      <w:r w:rsidR="00BB6C7C" w:rsidRPr="00130863">
        <w:rPr>
          <w:szCs w:val="24"/>
        </w:rPr>
        <w:t>1,969</w:t>
      </w:r>
      <w:r w:rsidRPr="00130863">
        <w:rPr>
          <w:szCs w:val="24"/>
        </w:rPr>
        <w:t>.</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b/>
          <w:szCs w:val="24"/>
        </w:rPr>
      </w:pPr>
      <w:r w:rsidRPr="00130863">
        <w:rPr>
          <w:b/>
          <w:szCs w:val="24"/>
        </w:rPr>
        <w:t xml:space="preserve">14.  </w:t>
      </w:r>
      <w:r w:rsidRPr="00130863">
        <w:rPr>
          <w:b/>
          <w:szCs w:val="24"/>
          <w:u w:val="single"/>
        </w:rPr>
        <w:t>Provide estimates of annualized cost to the Federal government</w:t>
      </w:r>
      <w:r w:rsidRPr="00130863">
        <w:rPr>
          <w:b/>
          <w:szCs w:val="24"/>
        </w:rPr>
        <w:t>.</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szCs w:val="24"/>
        </w:rPr>
      </w:pPr>
      <w:r w:rsidRPr="00130863">
        <w:rPr>
          <w:szCs w:val="24"/>
        </w:rPr>
        <w:t>Estimated total responses:  1</w:t>
      </w:r>
      <w:r w:rsidR="00C0407A" w:rsidRPr="00130863">
        <w:rPr>
          <w:szCs w:val="24"/>
        </w:rPr>
        <w:t>51</w:t>
      </w:r>
      <w:r w:rsidRPr="00130863">
        <w:rPr>
          <w:szCs w:val="24"/>
        </w:rPr>
        <w:t>.  Estimated total burden:  2</w:t>
      </w:r>
      <w:r w:rsidR="00BB6C7C" w:rsidRPr="00130863">
        <w:rPr>
          <w:szCs w:val="24"/>
        </w:rPr>
        <w:t>27</w:t>
      </w:r>
      <w:r w:rsidRPr="00130863">
        <w:rPr>
          <w:szCs w:val="24"/>
        </w:rPr>
        <w:t xml:space="preserve"> </w:t>
      </w:r>
      <w:proofErr w:type="spellStart"/>
      <w:r w:rsidRPr="00130863">
        <w:rPr>
          <w:szCs w:val="24"/>
        </w:rPr>
        <w:t>hr</w:t>
      </w:r>
      <w:proofErr w:type="spellEnd"/>
      <w:r w:rsidRPr="00130863">
        <w:rPr>
          <w:szCs w:val="24"/>
        </w:rPr>
        <w:t>, up from</w:t>
      </w:r>
      <w:r w:rsidR="00BB6C7C" w:rsidRPr="00130863">
        <w:rPr>
          <w:szCs w:val="24"/>
        </w:rPr>
        <w:t xml:space="preserve"> 224</w:t>
      </w:r>
      <w:r w:rsidRPr="00130863">
        <w:rPr>
          <w:szCs w:val="24"/>
        </w:rPr>
        <w:t xml:space="preserve"> hr.  Estimated total personnel costs:  $14,</w:t>
      </w:r>
      <w:r w:rsidR="00BB6C7C" w:rsidRPr="00130863">
        <w:rPr>
          <w:szCs w:val="24"/>
        </w:rPr>
        <w:t>075</w:t>
      </w:r>
      <w:r w:rsidRPr="00130863">
        <w:rPr>
          <w:szCs w:val="24"/>
        </w:rPr>
        <w:t>, up from $1</w:t>
      </w:r>
      <w:r w:rsidR="00BB6C7C" w:rsidRPr="00130863">
        <w:rPr>
          <w:szCs w:val="24"/>
        </w:rPr>
        <w:t>4,000</w:t>
      </w:r>
      <w:r w:rsidRPr="00130863">
        <w:rPr>
          <w:szCs w:val="24"/>
        </w:rPr>
        <w:t xml:space="preserve">.  </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b/>
          <w:szCs w:val="24"/>
        </w:rPr>
      </w:pPr>
      <w:r w:rsidRPr="00130863">
        <w:rPr>
          <w:b/>
          <w:szCs w:val="24"/>
        </w:rPr>
        <w:t xml:space="preserve">15.  </w:t>
      </w:r>
      <w:r w:rsidRPr="00130863">
        <w:rPr>
          <w:b/>
          <w:szCs w:val="24"/>
          <w:u w:val="single"/>
        </w:rPr>
        <w:t>Explain the reasons for any program changes or adjustments</w:t>
      </w:r>
      <w:r w:rsidRPr="00130863">
        <w:rPr>
          <w:b/>
          <w:szCs w:val="24"/>
        </w:rPr>
        <w:t>.</w:t>
      </w:r>
    </w:p>
    <w:p w:rsidR="00856A7B" w:rsidRPr="00130863" w:rsidRDefault="00856A7B" w:rsidP="00856A7B">
      <w:pPr>
        <w:pStyle w:val="Default"/>
        <w:tabs>
          <w:tab w:val="left" w:pos="720"/>
        </w:tabs>
        <w:rPr>
          <w:szCs w:val="24"/>
        </w:rPr>
      </w:pPr>
    </w:p>
    <w:p w:rsidR="003300D7" w:rsidRPr="00130863" w:rsidRDefault="00856A7B" w:rsidP="00856A7B">
      <w:pPr>
        <w:pStyle w:val="Default"/>
        <w:tabs>
          <w:tab w:val="left" w:pos="720"/>
        </w:tabs>
        <w:rPr>
          <w:szCs w:val="24"/>
        </w:rPr>
      </w:pPr>
      <w:proofErr w:type="gramStart"/>
      <w:r w:rsidRPr="00130863">
        <w:rPr>
          <w:szCs w:val="24"/>
        </w:rPr>
        <w:t>Program Change.</w:t>
      </w:r>
      <w:proofErr w:type="gramEnd"/>
      <w:r w:rsidRPr="00130863">
        <w:rPr>
          <w:szCs w:val="24"/>
        </w:rPr>
        <w:t xml:space="preserve">  This action describes </w:t>
      </w:r>
      <w:r w:rsidR="003300D7" w:rsidRPr="00130863">
        <w:rPr>
          <w:szCs w:val="24"/>
        </w:rPr>
        <w:t xml:space="preserve">a new </w:t>
      </w:r>
      <w:r w:rsidRPr="00130863">
        <w:rPr>
          <w:szCs w:val="24"/>
        </w:rPr>
        <w:t>management measure to</w:t>
      </w:r>
      <w:r w:rsidR="007D3B40" w:rsidRPr="00130863">
        <w:rPr>
          <w:szCs w:val="24"/>
        </w:rPr>
        <w:t xml:space="preserve"> </w:t>
      </w:r>
      <w:r w:rsidR="003300D7" w:rsidRPr="00130863">
        <w:rPr>
          <w:szCs w:val="24"/>
        </w:rPr>
        <w:t>automatically increase the vess</w:t>
      </w:r>
      <w:r w:rsidR="00BB6C7C" w:rsidRPr="00130863">
        <w:rPr>
          <w:szCs w:val="24"/>
        </w:rPr>
        <w:t>el MLOA</w:t>
      </w:r>
      <w:r w:rsidR="003300D7" w:rsidRPr="00130863">
        <w:rPr>
          <w:szCs w:val="24"/>
        </w:rPr>
        <w:t xml:space="preserve"> to 220 feet (67 m) on 33 LLP licenses in the BSAI longline catcher/processor subsector not also endorsed for pot gear. NMFS would encourage the remaining eligible three LLP license holders who also use pot gear to surrender their LLP in exchange for eligibility to replace aging vessels with newer, safer, and more efficient 220-foot (67 m) MLOA vessels.  </w:t>
      </w:r>
      <w:r w:rsidRPr="00130863">
        <w:rPr>
          <w:szCs w:val="24"/>
        </w:rPr>
        <w:t xml:space="preserve"> </w:t>
      </w:r>
    </w:p>
    <w:p w:rsidR="0006642F" w:rsidRPr="00130863" w:rsidRDefault="0006642F" w:rsidP="00856A7B">
      <w:pPr>
        <w:pStyle w:val="Default"/>
        <w:tabs>
          <w:tab w:val="left" w:pos="720"/>
        </w:tabs>
        <w:rPr>
          <w:szCs w:val="24"/>
        </w:rPr>
      </w:pPr>
    </w:p>
    <w:p w:rsidR="00856A7B" w:rsidRPr="00130863" w:rsidRDefault="007D3B40" w:rsidP="00856A7B">
      <w:pPr>
        <w:pStyle w:val="Default"/>
        <w:tabs>
          <w:tab w:val="left" w:pos="720"/>
        </w:tabs>
        <w:rPr>
          <w:szCs w:val="24"/>
        </w:rPr>
      </w:pPr>
      <w:r w:rsidRPr="00130863">
        <w:rPr>
          <w:szCs w:val="24"/>
        </w:rPr>
        <w:t>Notify to Surrender Endorsement</w:t>
      </w:r>
      <w:r w:rsidR="00856A7B" w:rsidRPr="00130863">
        <w:rPr>
          <w:szCs w:val="24"/>
        </w:rPr>
        <w:t xml:space="preserve"> (New)</w:t>
      </w:r>
    </w:p>
    <w:p w:rsidR="00856A7B" w:rsidRPr="00130863" w:rsidRDefault="00856A7B" w:rsidP="00856A7B">
      <w:pPr>
        <w:pStyle w:val="Default"/>
        <w:tabs>
          <w:tab w:val="left" w:pos="720"/>
        </w:tabs>
        <w:rPr>
          <w:szCs w:val="24"/>
        </w:rPr>
      </w:pPr>
      <w:r w:rsidRPr="00130863">
        <w:rPr>
          <w:szCs w:val="24"/>
        </w:rPr>
        <w:tab/>
      </w:r>
      <w:proofErr w:type="gramStart"/>
      <w:r w:rsidRPr="00130863">
        <w:rPr>
          <w:szCs w:val="24"/>
        </w:rPr>
        <w:t>an</w:t>
      </w:r>
      <w:proofErr w:type="gramEnd"/>
      <w:r w:rsidRPr="00130863">
        <w:rPr>
          <w:szCs w:val="24"/>
        </w:rPr>
        <w:t xml:space="preserve"> increase of </w:t>
      </w:r>
      <w:r w:rsidR="005A0409" w:rsidRPr="00130863">
        <w:rPr>
          <w:szCs w:val="24"/>
        </w:rPr>
        <w:t>3</w:t>
      </w:r>
      <w:r w:rsidRPr="00130863">
        <w:rPr>
          <w:szCs w:val="24"/>
        </w:rPr>
        <w:t xml:space="preserve"> respondents and responses, </w:t>
      </w:r>
      <w:r w:rsidR="005A0409" w:rsidRPr="00130863">
        <w:rPr>
          <w:szCs w:val="24"/>
        </w:rPr>
        <w:t>3</w:t>
      </w:r>
      <w:r w:rsidRPr="00130863">
        <w:rPr>
          <w:szCs w:val="24"/>
        </w:rPr>
        <w:t xml:space="preserve"> instead of 0</w:t>
      </w:r>
    </w:p>
    <w:p w:rsidR="00856A7B" w:rsidRPr="00130863" w:rsidRDefault="00856A7B" w:rsidP="00856A7B">
      <w:pPr>
        <w:pStyle w:val="Default"/>
        <w:tabs>
          <w:tab w:val="left" w:pos="720"/>
        </w:tabs>
        <w:rPr>
          <w:szCs w:val="24"/>
        </w:rPr>
      </w:pPr>
      <w:r w:rsidRPr="00130863">
        <w:rPr>
          <w:szCs w:val="24"/>
        </w:rPr>
        <w:tab/>
      </w:r>
      <w:proofErr w:type="gramStart"/>
      <w:r w:rsidRPr="00130863">
        <w:rPr>
          <w:szCs w:val="24"/>
        </w:rPr>
        <w:t>an</w:t>
      </w:r>
      <w:proofErr w:type="gramEnd"/>
      <w:r w:rsidRPr="00130863">
        <w:rPr>
          <w:szCs w:val="24"/>
        </w:rPr>
        <w:t xml:space="preserve"> increase of</w:t>
      </w:r>
      <w:r w:rsidR="00E832FA" w:rsidRPr="00130863">
        <w:rPr>
          <w:szCs w:val="24"/>
        </w:rPr>
        <w:t xml:space="preserve"> 2</w:t>
      </w:r>
      <w:r w:rsidRPr="00130863">
        <w:rPr>
          <w:szCs w:val="24"/>
        </w:rPr>
        <w:t xml:space="preserve"> </w:t>
      </w:r>
      <w:proofErr w:type="spellStart"/>
      <w:r w:rsidRPr="00130863">
        <w:rPr>
          <w:szCs w:val="24"/>
        </w:rPr>
        <w:t>hr</w:t>
      </w:r>
      <w:proofErr w:type="spellEnd"/>
      <w:r w:rsidRPr="00130863">
        <w:rPr>
          <w:szCs w:val="24"/>
        </w:rPr>
        <w:t xml:space="preserve"> burden, </w:t>
      </w:r>
      <w:r w:rsidR="00E832FA" w:rsidRPr="00130863">
        <w:rPr>
          <w:szCs w:val="24"/>
        </w:rPr>
        <w:t>2</w:t>
      </w:r>
      <w:r w:rsidRPr="00130863">
        <w:rPr>
          <w:szCs w:val="24"/>
        </w:rPr>
        <w:t xml:space="preserve"> </w:t>
      </w:r>
      <w:proofErr w:type="spellStart"/>
      <w:r w:rsidRPr="00130863">
        <w:rPr>
          <w:szCs w:val="24"/>
        </w:rPr>
        <w:t>hr</w:t>
      </w:r>
      <w:proofErr w:type="spellEnd"/>
      <w:r w:rsidRPr="00130863">
        <w:rPr>
          <w:szCs w:val="24"/>
        </w:rPr>
        <w:t xml:space="preserve"> instead of 0</w:t>
      </w:r>
    </w:p>
    <w:p w:rsidR="00856A7B" w:rsidRPr="00130863" w:rsidRDefault="00856A7B" w:rsidP="00856A7B">
      <w:pPr>
        <w:pStyle w:val="Default"/>
        <w:tabs>
          <w:tab w:val="left" w:pos="720"/>
        </w:tabs>
        <w:rPr>
          <w:szCs w:val="24"/>
        </w:rPr>
      </w:pPr>
      <w:r w:rsidRPr="00130863">
        <w:rPr>
          <w:szCs w:val="24"/>
        </w:rPr>
        <w:tab/>
      </w:r>
      <w:proofErr w:type="gramStart"/>
      <w:r w:rsidRPr="00130863">
        <w:rPr>
          <w:szCs w:val="24"/>
        </w:rPr>
        <w:t>an</w:t>
      </w:r>
      <w:proofErr w:type="gramEnd"/>
      <w:r w:rsidRPr="00130863">
        <w:rPr>
          <w:szCs w:val="24"/>
        </w:rPr>
        <w:t xml:space="preserve"> increase of $</w:t>
      </w:r>
      <w:r w:rsidR="00E832FA" w:rsidRPr="00130863">
        <w:rPr>
          <w:szCs w:val="24"/>
        </w:rPr>
        <w:t>50 personnel costs, $</w:t>
      </w:r>
      <w:r w:rsidRPr="00130863">
        <w:rPr>
          <w:szCs w:val="24"/>
        </w:rPr>
        <w:t>50 instead of 0</w:t>
      </w:r>
    </w:p>
    <w:p w:rsidR="00856A7B" w:rsidRPr="00130863" w:rsidRDefault="00856A7B" w:rsidP="00856A7B">
      <w:pPr>
        <w:pStyle w:val="Default"/>
        <w:tabs>
          <w:tab w:val="left" w:pos="720"/>
        </w:tabs>
        <w:rPr>
          <w:szCs w:val="24"/>
        </w:rPr>
      </w:pPr>
      <w:r w:rsidRPr="00130863">
        <w:rPr>
          <w:szCs w:val="24"/>
        </w:rPr>
        <w:tab/>
      </w:r>
      <w:proofErr w:type="gramStart"/>
      <w:r w:rsidRPr="00130863">
        <w:rPr>
          <w:szCs w:val="24"/>
        </w:rPr>
        <w:t>an</w:t>
      </w:r>
      <w:proofErr w:type="gramEnd"/>
      <w:r w:rsidRPr="00130863">
        <w:rPr>
          <w:szCs w:val="24"/>
        </w:rPr>
        <w:t xml:space="preserve"> increase of $</w:t>
      </w:r>
      <w:r w:rsidR="005A0409" w:rsidRPr="00130863">
        <w:rPr>
          <w:szCs w:val="24"/>
        </w:rPr>
        <w:t>12</w:t>
      </w:r>
      <w:r w:rsidRPr="00130863">
        <w:rPr>
          <w:szCs w:val="24"/>
        </w:rPr>
        <w:t xml:space="preserve"> miscellaneous costs, $</w:t>
      </w:r>
      <w:r w:rsidR="005A0409" w:rsidRPr="00130863">
        <w:rPr>
          <w:szCs w:val="24"/>
        </w:rPr>
        <w:t>12</w:t>
      </w:r>
      <w:r w:rsidRPr="00130863">
        <w:rPr>
          <w:szCs w:val="24"/>
        </w:rPr>
        <w:t xml:space="preserve"> instead of 0</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szCs w:val="24"/>
        </w:rPr>
      </w:pPr>
      <w:r w:rsidRPr="00130863">
        <w:rPr>
          <w:szCs w:val="24"/>
        </w:rPr>
        <w:t>All other burden and cost remains the same.</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b/>
          <w:szCs w:val="24"/>
        </w:rPr>
      </w:pPr>
      <w:r w:rsidRPr="00130863">
        <w:rPr>
          <w:b/>
          <w:szCs w:val="24"/>
        </w:rPr>
        <w:t>16</w:t>
      </w:r>
      <w:r w:rsidRPr="00130863">
        <w:rPr>
          <w:b/>
          <w:szCs w:val="24"/>
          <w:u w:val="single"/>
        </w:rPr>
        <w:t>.  For collections whose results will be published, outline the plans for tabulation and publication</w:t>
      </w:r>
      <w:r w:rsidRPr="00130863">
        <w:rPr>
          <w:b/>
          <w:szCs w:val="24"/>
        </w:rPr>
        <w:t>.</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szCs w:val="24"/>
        </w:rPr>
      </w:pPr>
      <w:r w:rsidRPr="00130863">
        <w:rPr>
          <w:szCs w:val="24"/>
        </w:rPr>
        <w:t xml:space="preserve">NMFS Alaska Region posts LLP license information on the web at </w:t>
      </w:r>
      <w:hyperlink r:id="rId14" w:anchor="list" w:history="1">
        <w:r w:rsidR="006F1E64" w:rsidRPr="00130863">
          <w:rPr>
            <w:rStyle w:val="Hyperlink"/>
            <w:szCs w:val="24"/>
          </w:rPr>
          <w:t>http://alaskafisheries.noaa.gov/ram/llp.htm#list</w:t>
        </w:r>
      </w:hyperlink>
      <w:r w:rsidRPr="00130863">
        <w:rPr>
          <w:szCs w:val="24"/>
        </w:rPr>
        <w:t xml:space="preserve">.  The lists contain LLP groundfish and crab licenses issued as of the indicated preparation date.  Data are sorted alphabetically and are </w:t>
      </w:r>
      <w:r w:rsidRPr="00130863">
        <w:rPr>
          <w:szCs w:val="24"/>
        </w:rPr>
        <w:lastRenderedPageBreak/>
        <w:t xml:space="preserve">updated daily. Under current regulations, vessels must be designated on the licenses and the identities of original qualifying vessels are provided for reference only. </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b/>
          <w:szCs w:val="24"/>
        </w:rPr>
      </w:pPr>
      <w:r w:rsidRPr="00130863">
        <w:rPr>
          <w:b/>
          <w:szCs w:val="24"/>
        </w:rPr>
        <w:t xml:space="preserve">17.  </w:t>
      </w:r>
      <w:r w:rsidRPr="00130863">
        <w:rPr>
          <w:b/>
          <w:szCs w:val="24"/>
          <w:u w:val="single"/>
        </w:rPr>
        <w:t>If seeking approval to not display the expiration date for OMB approval of the information collection, explain the reasons why display would be inappropriate</w:t>
      </w:r>
      <w:r w:rsidRPr="00130863">
        <w:rPr>
          <w:b/>
          <w:szCs w:val="24"/>
        </w:rPr>
        <w:t>.</w:t>
      </w:r>
    </w:p>
    <w:p w:rsidR="00856A7B" w:rsidRPr="00130863" w:rsidRDefault="00856A7B" w:rsidP="00856A7B">
      <w:pPr>
        <w:pStyle w:val="Default"/>
        <w:tabs>
          <w:tab w:val="left" w:pos="720"/>
        </w:tabs>
        <w:rPr>
          <w:szCs w:val="24"/>
        </w:rPr>
      </w:pPr>
    </w:p>
    <w:p w:rsidR="00856A7B" w:rsidRPr="00130863" w:rsidRDefault="00130863" w:rsidP="00856A7B">
      <w:pPr>
        <w:pStyle w:val="Default"/>
        <w:tabs>
          <w:tab w:val="left" w:pos="720"/>
        </w:tabs>
        <w:rPr>
          <w:szCs w:val="24"/>
        </w:rPr>
      </w:pPr>
      <w:r>
        <w:rPr>
          <w:szCs w:val="24"/>
        </w:rPr>
        <w:t>Not A</w:t>
      </w:r>
      <w:r w:rsidR="00856A7B" w:rsidRPr="00130863">
        <w:rPr>
          <w:szCs w:val="24"/>
        </w:rPr>
        <w:t>pplicable.</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b/>
          <w:szCs w:val="24"/>
        </w:rPr>
      </w:pPr>
      <w:r w:rsidRPr="00130863">
        <w:rPr>
          <w:b/>
          <w:szCs w:val="24"/>
        </w:rPr>
        <w:t xml:space="preserve">18.  </w:t>
      </w:r>
      <w:r w:rsidRPr="00130863">
        <w:rPr>
          <w:b/>
          <w:szCs w:val="24"/>
          <w:u w:val="single"/>
        </w:rPr>
        <w:t>Explain each exception to the certification statement</w:t>
      </w:r>
      <w:r w:rsidRPr="00130863">
        <w:rPr>
          <w:b/>
          <w:szCs w:val="24"/>
        </w:rPr>
        <w:t>.</w:t>
      </w:r>
    </w:p>
    <w:p w:rsidR="00856A7B" w:rsidRPr="00130863" w:rsidRDefault="00856A7B" w:rsidP="00856A7B">
      <w:pPr>
        <w:pStyle w:val="Default"/>
        <w:tabs>
          <w:tab w:val="left" w:pos="720"/>
        </w:tabs>
        <w:rPr>
          <w:szCs w:val="24"/>
        </w:rPr>
      </w:pPr>
    </w:p>
    <w:p w:rsidR="00130863" w:rsidRPr="00130863" w:rsidRDefault="00130863" w:rsidP="00130863">
      <w:pPr>
        <w:pStyle w:val="Default"/>
        <w:tabs>
          <w:tab w:val="left" w:pos="720"/>
        </w:tabs>
        <w:rPr>
          <w:szCs w:val="24"/>
        </w:rPr>
      </w:pPr>
      <w:r>
        <w:rPr>
          <w:szCs w:val="24"/>
        </w:rPr>
        <w:t>Not A</w:t>
      </w:r>
      <w:r w:rsidRPr="00130863">
        <w:rPr>
          <w:szCs w:val="24"/>
        </w:rPr>
        <w:t>pplicable.</w:t>
      </w:r>
    </w:p>
    <w:p w:rsidR="00856A7B" w:rsidRPr="00130863" w:rsidRDefault="00856A7B" w:rsidP="00856A7B">
      <w:pPr>
        <w:pStyle w:val="Default"/>
        <w:tabs>
          <w:tab w:val="left" w:pos="720"/>
        </w:tabs>
        <w:rPr>
          <w:szCs w:val="24"/>
        </w:rPr>
      </w:pPr>
    </w:p>
    <w:p w:rsidR="00856A7B" w:rsidRPr="00130863" w:rsidRDefault="00856A7B" w:rsidP="00856A7B">
      <w:pPr>
        <w:pStyle w:val="Default"/>
        <w:tabs>
          <w:tab w:val="left" w:pos="720"/>
        </w:tabs>
        <w:rPr>
          <w:szCs w:val="24"/>
        </w:rPr>
      </w:pPr>
    </w:p>
    <w:p w:rsidR="00856A7B" w:rsidRPr="00130863" w:rsidRDefault="006F1E64" w:rsidP="00856A7B">
      <w:pPr>
        <w:pStyle w:val="Default"/>
        <w:tabs>
          <w:tab w:val="left" w:pos="720"/>
        </w:tabs>
        <w:rPr>
          <w:b/>
          <w:szCs w:val="24"/>
        </w:rPr>
      </w:pPr>
      <w:r w:rsidRPr="00130863">
        <w:rPr>
          <w:b/>
          <w:szCs w:val="24"/>
        </w:rPr>
        <w:t xml:space="preserve">B.  </w:t>
      </w:r>
      <w:r w:rsidR="00856A7B" w:rsidRPr="00130863">
        <w:rPr>
          <w:b/>
          <w:szCs w:val="24"/>
        </w:rPr>
        <w:t>COLLECTIONS OF INFORMATION EMPLOYING STATISTICAL METHODS</w:t>
      </w:r>
    </w:p>
    <w:p w:rsidR="00856A7B" w:rsidRPr="00130863" w:rsidRDefault="00856A7B" w:rsidP="00856A7B">
      <w:pPr>
        <w:pStyle w:val="Default"/>
        <w:tabs>
          <w:tab w:val="left" w:pos="720"/>
        </w:tabs>
        <w:rPr>
          <w:szCs w:val="24"/>
        </w:rPr>
      </w:pPr>
    </w:p>
    <w:p w:rsidR="00396ECD" w:rsidRPr="00130863" w:rsidRDefault="00856A7B" w:rsidP="00856A7B">
      <w:pPr>
        <w:pStyle w:val="Default"/>
        <w:tabs>
          <w:tab w:val="left" w:pos="720"/>
        </w:tabs>
        <w:rPr>
          <w:szCs w:val="24"/>
        </w:rPr>
      </w:pPr>
      <w:r w:rsidRPr="00130863">
        <w:rPr>
          <w:szCs w:val="24"/>
        </w:rPr>
        <w:t>This collection does not employ statistical methods.</w:t>
      </w:r>
      <w:r w:rsidR="00E67D1F" w:rsidRPr="00130863">
        <w:rPr>
          <w:szCs w:val="24"/>
        </w:rPr>
        <w:t xml:space="preserve">  </w:t>
      </w:r>
    </w:p>
    <w:sectPr w:rsidR="00396ECD" w:rsidRPr="0013086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DB" w:rsidRDefault="00577BDB" w:rsidP="008B6643">
      <w:pPr>
        <w:spacing w:after="0" w:line="240" w:lineRule="auto"/>
      </w:pPr>
      <w:r>
        <w:separator/>
      </w:r>
    </w:p>
  </w:endnote>
  <w:endnote w:type="continuationSeparator" w:id="0">
    <w:p w:rsidR="00577BDB" w:rsidRDefault="00577BDB" w:rsidP="008B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78855"/>
      <w:docPartObj>
        <w:docPartGallery w:val="Page Numbers (Bottom of Page)"/>
        <w:docPartUnique/>
      </w:docPartObj>
    </w:sdtPr>
    <w:sdtEndPr>
      <w:rPr>
        <w:noProof/>
      </w:rPr>
    </w:sdtEndPr>
    <w:sdtContent>
      <w:p w:rsidR="008B6643" w:rsidRDefault="008B6643">
        <w:pPr>
          <w:pStyle w:val="Footer"/>
          <w:jc w:val="center"/>
        </w:pPr>
        <w:r>
          <w:fldChar w:fldCharType="begin"/>
        </w:r>
        <w:r>
          <w:instrText xml:space="preserve"> PAGE   \* MERGEFORMAT </w:instrText>
        </w:r>
        <w:r>
          <w:fldChar w:fldCharType="separate"/>
        </w:r>
        <w:r w:rsidR="0070183B">
          <w:rPr>
            <w:noProof/>
          </w:rPr>
          <w:t>2</w:t>
        </w:r>
        <w:r>
          <w:rPr>
            <w:noProof/>
          </w:rPr>
          <w:fldChar w:fldCharType="end"/>
        </w:r>
      </w:p>
    </w:sdtContent>
  </w:sdt>
  <w:p w:rsidR="008B6643" w:rsidRDefault="008B6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DB" w:rsidRDefault="00577BDB" w:rsidP="008B6643">
      <w:pPr>
        <w:spacing w:after="0" w:line="240" w:lineRule="auto"/>
      </w:pPr>
      <w:r>
        <w:separator/>
      </w:r>
    </w:p>
  </w:footnote>
  <w:footnote w:type="continuationSeparator" w:id="0">
    <w:p w:rsidR="00577BDB" w:rsidRDefault="00577BDB" w:rsidP="008B6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5C4"/>
    <w:multiLevelType w:val="hybridMultilevel"/>
    <w:tmpl w:val="8D22B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45"/>
    <w:rsid w:val="00050F16"/>
    <w:rsid w:val="000579FB"/>
    <w:rsid w:val="0006642F"/>
    <w:rsid w:val="00077E35"/>
    <w:rsid w:val="000A23DE"/>
    <w:rsid w:val="000A319D"/>
    <w:rsid w:val="000B1FC2"/>
    <w:rsid w:val="000C5798"/>
    <w:rsid w:val="000D503D"/>
    <w:rsid w:val="0012274A"/>
    <w:rsid w:val="00130863"/>
    <w:rsid w:val="00172605"/>
    <w:rsid w:val="00186C74"/>
    <w:rsid w:val="00230923"/>
    <w:rsid w:val="00244412"/>
    <w:rsid w:val="00265589"/>
    <w:rsid w:val="002E63F5"/>
    <w:rsid w:val="00315F3F"/>
    <w:rsid w:val="003274DA"/>
    <w:rsid w:val="003300D7"/>
    <w:rsid w:val="00333416"/>
    <w:rsid w:val="00342520"/>
    <w:rsid w:val="00343B96"/>
    <w:rsid w:val="0035246A"/>
    <w:rsid w:val="00396ECD"/>
    <w:rsid w:val="003C2BE7"/>
    <w:rsid w:val="003D1432"/>
    <w:rsid w:val="003D3442"/>
    <w:rsid w:val="00402BDE"/>
    <w:rsid w:val="0043554A"/>
    <w:rsid w:val="00467B84"/>
    <w:rsid w:val="0047658A"/>
    <w:rsid w:val="004C3810"/>
    <w:rsid w:val="004D037E"/>
    <w:rsid w:val="004D1970"/>
    <w:rsid w:val="004F2B09"/>
    <w:rsid w:val="005447E8"/>
    <w:rsid w:val="00555D7C"/>
    <w:rsid w:val="0057640E"/>
    <w:rsid w:val="00577BDB"/>
    <w:rsid w:val="005A0409"/>
    <w:rsid w:val="005A2F2C"/>
    <w:rsid w:val="005E2471"/>
    <w:rsid w:val="00603CCC"/>
    <w:rsid w:val="006F1E64"/>
    <w:rsid w:val="007005B5"/>
    <w:rsid w:val="0070183B"/>
    <w:rsid w:val="007023F7"/>
    <w:rsid w:val="00746622"/>
    <w:rsid w:val="00754741"/>
    <w:rsid w:val="00795FA1"/>
    <w:rsid w:val="007A65E5"/>
    <w:rsid w:val="007B5CCE"/>
    <w:rsid w:val="007B6745"/>
    <w:rsid w:val="007D303E"/>
    <w:rsid w:val="007D3B40"/>
    <w:rsid w:val="007F7202"/>
    <w:rsid w:val="00810AE8"/>
    <w:rsid w:val="00854E1B"/>
    <w:rsid w:val="00856A7B"/>
    <w:rsid w:val="00897F5E"/>
    <w:rsid w:val="008B6643"/>
    <w:rsid w:val="008E23CF"/>
    <w:rsid w:val="00973BAA"/>
    <w:rsid w:val="009A33C0"/>
    <w:rsid w:val="009A78C2"/>
    <w:rsid w:val="009C6BDA"/>
    <w:rsid w:val="00A04E82"/>
    <w:rsid w:val="00A13780"/>
    <w:rsid w:val="00A16A03"/>
    <w:rsid w:val="00A56545"/>
    <w:rsid w:val="00AB2E60"/>
    <w:rsid w:val="00AC1EEE"/>
    <w:rsid w:val="00AD29D5"/>
    <w:rsid w:val="00AD74ED"/>
    <w:rsid w:val="00AE3A63"/>
    <w:rsid w:val="00B15D30"/>
    <w:rsid w:val="00B339A0"/>
    <w:rsid w:val="00B75F8C"/>
    <w:rsid w:val="00BB6C7C"/>
    <w:rsid w:val="00BE041D"/>
    <w:rsid w:val="00C0407A"/>
    <w:rsid w:val="00C304A9"/>
    <w:rsid w:val="00C321D0"/>
    <w:rsid w:val="00C7653D"/>
    <w:rsid w:val="00C87D26"/>
    <w:rsid w:val="00C90DF0"/>
    <w:rsid w:val="00D2708C"/>
    <w:rsid w:val="00D3056C"/>
    <w:rsid w:val="00D35B7E"/>
    <w:rsid w:val="00D53915"/>
    <w:rsid w:val="00D85D9D"/>
    <w:rsid w:val="00DB3C6E"/>
    <w:rsid w:val="00DD3E56"/>
    <w:rsid w:val="00DF4C35"/>
    <w:rsid w:val="00E26615"/>
    <w:rsid w:val="00E672C2"/>
    <w:rsid w:val="00E67D1F"/>
    <w:rsid w:val="00E832FA"/>
    <w:rsid w:val="00E97F09"/>
    <w:rsid w:val="00F1435D"/>
    <w:rsid w:val="00F21A61"/>
    <w:rsid w:val="00F2559F"/>
    <w:rsid w:val="00F572A4"/>
    <w:rsid w:val="00F6132E"/>
    <w:rsid w:val="00F72474"/>
    <w:rsid w:val="00F84374"/>
    <w:rsid w:val="00FA081D"/>
    <w:rsid w:val="00FC488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0DF0"/>
    <w:pPr>
      <w:widowControl w:val="0"/>
      <w:spacing w:after="0" w:line="240" w:lineRule="auto"/>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8B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643"/>
  </w:style>
  <w:style w:type="paragraph" w:styleId="Footer">
    <w:name w:val="footer"/>
    <w:basedOn w:val="Normal"/>
    <w:link w:val="FooterChar"/>
    <w:uiPriority w:val="99"/>
    <w:unhideWhenUsed/>
    <w:rsid w:val="008B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643"/>
  </w:style>
  <w:style w:type="character" w:styleId="Hyperlink">
    <w:name w:val="Hyperlink"/>
    <w:basedOn w:val="DefaultParagraphFont"/>
    <w:uiPriority w:val="99"/>
    <w:unhideWhenUsed/>
    <w:rsid w:val="006F1E64"/>
    <w:rPr>
      <w:color w:val="0000FF" w:themeColor="hyperlink"/>
      <w:u w:val="single"/>
    </w:rPr>
  </w:style>
  <w:style w:type="paragraph" w:styleId="BalloonText">
    <w:name w:val="Balloon Text"/>
    <w:basedOn w:val="Normal"/>
    <w:link w:val="BalloonTextChar"/>
    <w:uiPriority w:val="99"/>
    <w:semiHidden/>
    <w:unhideWhenUsed/>
    <w:rsid w:val="00B75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8C"/>
    <w:rPr>
      <w:rFonts w:ascii="Tahoma" w:hAnsi="Tahoma" w:cs="Tahoma"/>
      <w:sz w:val="16"/>
      <w:szCs w:val="16"/>
    </w:rPr>
  </w:style>
  <w:style w:type="paragraph" w:styleId="ListParagraph">
    <w:name w:val="List Paragraph"/>
    <w:basedOn w:val="Normal"/>
    <w:uiPriority w:val="34"/>
    <w:qFormat/>
    <w:rsid w:val="00130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0DF0"/>
    <w:pPr>
      <w:widowControl w:val="0"/>
      <w:spacing w:after="0" w:line="240" w:lineRule="auto"/>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8B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643"/>
  </w:style>
  <w:style w:type="paragraph" w:styleId="Footer">
    <w:name w:val="footer"/>
    <w:basedOn w:val="Normal"/>
    <w:link w:val="FooterChar"/>
    <w:uiPriority w:val="99"/>
    <w:unhideWhenUsed/>
    <w:rsid w:val="008B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643"/>
  </w:style>
  <w:style w:type="character" w:styleId="Hyperlink">
    <w:name w:val="Hyperlink"/>
    <w:basedOn w:val="DefaultParagraphFont"/>
    <w:uiPriority w:val="99"/>
    <w:unhideWhenUsed/>
    <w:rsid w:val="006F1E64"/>
    <w:rPr>
      <w:color w:val="0000FF" w:themeColor="hyperlink"/>
      <w:u w:val="single"/>
    </w:rPr>
  </w:style>
  <w:style w:type="paragraph" w:styleId="BalloonText">
    <w:name w:val="Balloon Text"/>
    <w:basedOn w:val="Normal"/>
    <w:link w:val="BalloonTextChar"/>
    <w:uiPriority w:val="99"/>
    <w:semiHidden/>
    <w:unhideWhenUsed/>
    <w:rsid w:val="00B75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8C"/>
    <w:rPr>
      <w:rFonts w:ascii="Tahoma" w:hAnsi="Tahoma" w:cs="Tahoma"/>
      <w:sz w:val="16"/>
      <w:szCs w:val="16"/>
    </w:rPr>
  </w:style>
  <w:style w:type="paragraph" w:styleId="ListParagraph">
    <w:name w:val="List Paragraph"/>
    <w:basedOn w:val="Normal"/>
    <w:uiPriority w:val="34"/>
    <w:qFormat/>
    <w:rsid w:val="00130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053">
      <w:bodyDiv w:val="1"/>
      <w:marLeft w:val="0"/>
      <w:marRight w:val="0"/>
      <w:marTop w:val="0"/>
      <w:marBottom w:val="0"/>
      <w:divBdr>
        <w:top w:val="none" w:sz="0" w:space="0" w:color="auto"/>
        <w:left w:val="none" w:sz="0" w:space="0" w:color="auto"/>
        <w:bottom w:val="none" w:sz="0" w:space="0" w:color="auto"/>
        <w:right w:val="none" w:sz="0" w:space="0" w:color="auto"/>
      </w:divBdr>
      <w:divsChild>
        <w:div w:id="1164970947">
          <w:marLeft w:val="0"/>
          <w:marRight w:val="0"/>
          <w:marTop w:val="0"/>
          <w:marBottom w:val="0"/>
          <w:divBdr>
            <w:top w:val="none" w:sz="0" w:space="0" w:color="auto"/>
            <w:left w:val="none" w:sz="0" w:space="0" w:color="auto"/>
            <w:bottom w:val="none" w:sz="0" w:space="0" w:color="auto"/>
            <w:right w:val="none" w:sz="0" w:space="0" w:color="auto"/>
          </w:divBdr>
        </w:div>
        <w:div w:id="1286083611">
          <w:marLeft w:val="0"/>
          <w:marRight w:val="0"/>
          <w:marTop w:val="0"/>
          <w:marBottom w:val="0"/>
          <w:divBdr>
            <w:top w:val="none" w:sz="0" w:space="0" w:color="auto"/>
            <w:left w:val="none" w:sz="0" w:space="0" w:color="auto"/>
            <w:bottom w:val="none" w:sz="0" w:space="0" w:color="auto"/>
            <w:right w:val="none" w:sz="0" w:space="0" w:color="auto"/>
          </w:divBdr>
        </w:div>
        <w:div w:id="1561594005">
          <w:marLeft w:val="0"/>
          <w:marRight w:val="0"/>
          <w:marTop w:val="0"/>
          <w:marBottom w:val="0"/>
          <w:divBdr>
            <w:top w:val="none" w:sz="0" w:space="0" w:color="auto"/>
            <w:left w:val="none" w:sz="0" w:space="0" w:color="auto"/>
            <w:bottom w:val="none" w:sz="0" w:space="0" w:color="auto"/>
            <w:right w:val="none" w:sz="0" w:space="0" w:color="auto"/>
          </w:divBdr>
        </w:div>
        <w:div w:id="1139347672">
          <w:marLeft w:val="0"/>
          <w:marRight w:val="0"/>
          <w:marTop w:val="0"/>
          <w:marBottom w:val="0"/>
          <w:divBdr>
            <w:top w:val="none" w:sz="0" w:space="0" w:color="auto"/>
            <w:left w:val="none" w:sz="0" w:space="0" w:color="auto"/>
            <w:bottom w:val="none" w:sz="0" w:space="0" w:color="auto"/>
            <w:right w:val="none" w:sz="0" w:space="0" w:color="auto"/>
          </w:divBdr>
        </w:div>
        <w:div w:id="977030378">
          <w:marLeft w:val="0"/>
          <w:marRight w:val="0"/>
          <w:marTop w:val="0"/>
          <w:marBottom w:val="0"/>
          <w:divBdr>
            <w:top w:val="none" w:sz="0" w:space="0" w:color="auto"/>
            <w:left w:val="none" w:sz="0" w:space="0" w:color="auto"/>
            <w:bottom w:val="none" w:sz="0" w:space="0" w:color="auto"/>
            <w:right w:val="none" w:sz="0" w:space="0" w:color="auto"/>
          </w:divBdr>
        </w:div>
        <w:div w:id="1544172934">
          <w:marLeft w:val="0"/>
          <w:marRight w:val="0"/>
          <w:marTop w:val="0"/>
          <w:marBottom w:val="0"/>
          <w:divBdr>
            <w:top w:val="none" w:sz="0" w:space="0" w:color="auto"/>
            <w:left w:val="none" w:sz="0" w:space="0" w:color="auto"/>
            <w:bottom w:val="none" w:sz="0" w:space="0" w:color="auto"/>
            <w:right w:val="none" w:sz="0" w:space="0" w:color="auto"/>
          </w:divBdr>
          <w:divsChild>
            <w:div w:id="9835859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02976167">
      <w:bodyDiv w:val="1"/>
      <w:marLeft w:val="0"/>
      <w:marRight w:val="0"/>
      <w:marTop w:val="0"/>
      <w:marBottom w:val="0"/>
      <w:divBdr>
        <w:top w:val="none" w:sz="0" w:space="0" w:color="auto"/>
        <w:left w:val="none" w:sz="0" w:space="0" w:color="auto"/>
        <w:bottom w:val="none" w:sz="0" w:space="0" w:color="auto"/>
        <w:right w:val="none" w:sz="0" w:space="0" w:color="auto"/>
      </w:divBdr>
    </w:div>
    <w:div w:id="556431066">
      <w:bodyDiv w:val="1"/>
      <w:marLeft w:val="0"/>
      <w:marRight w:val="0"/>
      <w:marTop w:val="0"/>
      <w:marBottom w:val="0"/>
      <w:divBdr>
        <w:top w:val="none" w:sz="0" w:space="0" w:color="auto"/>
        <w:left w:val="none" w:sz="0" w:space="0" w:color="auto"/>
        <w:bottom w:val="none" w:sz="0" w:space="0" w:color="auto"/>
        <w:right w:val="none" w:sz="0" w:space="0" w:color="auto"/>
      </w:divBdr>
      <w:divsChild>
        <w:div w:id="2125807776">
          <w:marLeft w:val="0"/>
          <w:marRight w:val="0"/>
          <w:marTop w:val="0"/>
          <w:marBottom w:val="0"/>
          <w:divBdr>
            <w:top w:val="none" w:sz="0" w:space="0" w:color="auto"/>
            <w:left w:val="none" w:sz="0" w:space="0" w:color="auto"/>
            <w:bottom w:val="none" w:sz="0" w:space="0" w:color="auto"/>
            <w:right w:val="none" w:sz="0" w:space="0" w:color="auto"/>
          </w:divBdr>
        </w:div>
        <w:div w:id="1501697467">
          <w:marLeft w:val="0"/>
          <w:marRight w:val="0"/>
          <w:marTop w:val="0"/>
          <w:marBottom w:val="0"/>
          <w:divBdr>
            <w:top w:val="none" w:sz="0" w:space="0" w:color="auto"/>
            <w:left w:val="none" w:sz="0" w:space="0" w:color="auto"/>
            <w:bottom w:val="none" w:sz="0" w:space="0" w:color="auto"/>
            <w:right w:val="none" w:sz="0" w:space="0" w:color="auto"/>
          </w:divBdr>
        </w:div>
        <w:div w:id="1154613406">
          <w:marLeft w:val="0"/>
          <w:marRight w:val="0"/>
          <w:marTop w:val="0"/>
          <w:marBottom w:val="0"/>
          <w:divBdr>
            <w:top w:val="none" w:sz="0" w:space="0" w:color="auto"/>
            <w:left w:val="none" w:sz="0" w:space="0" w:color="auto"/>
            <w:bottom w:val="none" w:sz="0" w:space="0" w:color="auto"/>
            <w:right w:val="none" w:sz="0" w:space="0" w:color="auto"/>
          </w:divBdr>
        </w:div>
        <w:div w:id="709259413">
          <w:marLeft w:val="0"/>
          <w:marRight w:val="0"/>
          <w:marTop w:val="0"/>
          <w:marBottom w:val="0"/>
          <w:divBdr>
            <w:top w:val="none" w:sz="0" w:space="0" w:color="auto"/>
            <w:left w:val="none" w:sz="0" w:space="0" w:color="auto"/>
            <w:bottom w:val="none" w:sz="0" w:space="0" w:color="auto"/>
            <w:right w:val="none" w:sz="0" w:space="0" w:color="auto"/>
          </w:divBdr>
        </w:div>
        <w:div w:id="47954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cfr.gov/cgi-bin/text-idx?c=ecfr&amp;SID=ab9c1a518d474503df1dd2e5e945581d&amp;tpl=/ecfrbrowse/Title50/50cfr679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ram/l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FD49-AE86-4E3C-83E4-BE56C5C1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23</cp:revision>
  <cp:lastPrinted>2013-12-05T21:02:00Z</cp:lastPrinted>
  <dcterms:created xsi:type="dcterms:W3CDTF">2013-06-05T23:07:00Z</dcterms:created>
  <dcterms:modified xsi:type="dcterms:W3CDTF">2013-12-06T17:28:00Z</dcterms:modified>
</cp:coreProperties>
</file>