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65" w:rsidRDefault="006D3765" w:rsidP="00001D5E">
      <w:pPr>
        <w:spacing w:line="360" w:lineRule="auto"/>
        <w:jc w:val="center"/>
        <w:rPr>
          <w:b/>
          <w:caps/>
          <w:sz w:val="36"/>
          <w:szCs w:val="36"/>
        </w:rPr>
      </w:pPr>
      <w:r>
        <w:rPr>
          <w:b/>
          <w:caps/>
          <w:sz w:val="36"/>
          <w:szCs w:val="36"/>
        </w:rPr>
        <w:t xml:space="preserve"> </w:t>
      </w:r>
    </w:p>
    <w:p w:rsidR="004708D0" w:rsidRDefault="006D3765" w:rsidP="004708D0">
      <w:pPr>
        <w:spacing w:line="360" w:lineRule="auto"/>
        <w:jc w:val="center"/>
        <w:rPr>
          <w:b/>
          <w:sz w:val="36"/>
          <w:szCs w:val="36"/>
        </w:rPr>
      </w:pPr>
      <w:r w:rsidRPr="00D6005B">
        <w:rPr>
          <w:b/>
          <w:sz w:val="36"/>
          <w:szCs w:val="36"/>
        </w:rPr>
        <w:t>Special Nutrition Program Operations Study</w:t>
      </w:r>
      <w:r>
        <w:rPr>
          <w:b/>
          <w:sz w:val="36"/>
          <w:szCs w:val="36"/>
        </w:rPr>
        <w:t xml:space="preserve"> (SN</w:t>
      </w:r>
      <w:r w:rsidR="00825371">
        <w:rPr>
          <w:b/>
          <w:sz w:val="36"/>
          <w:szCs w:val="36"/>
        </w:rPr>
        <w:t>-OP</w:t>
      </w:r>
      <w:r>
        <w:rPr>
          <w:b/>
          <w:sz w:val="36"/>
          <w:szCs w:val="36"/>
        </w:rPr>
        <w:t>S)</w:t>
      </w:r>
    </w:p>
    <w:p w:rsidR="004708D0" w:rsidRDefault="006D3765" w:rsidP="004708D0">
      <w:pPr>
        <w:spacing w:line="360" w:lineRule="auto"/>
        <w:jc w:val="center"/>
        <w:rPr>
          <w:b/>
          <w:sz w:val="36"/>
          <w:szCs w:val="36"/>
        </w:rPr>
      </w:pPr>
      <w:r w:rsidRPr="00D6005B">
        <w:rPr>
          <w:b/>
          <w:sz w:val="36"/>
          <w:szCs w:val="36"/>
        </w:rPr>
        <w:br/>
      </w:r>
      <w:r w:rsidR="004708D0" w:rsidRPr="00D6005B">
        <w:rPr>
          <w:b/>
          <w:caps/>
          <w:sz w:val="36"/>
          <w:szCs w:val="36"/>
        </w:rPr>
        <w:t>S</w:t>
      </w:r>
      <w:r w:rsidR="004708D0" w:rsidRPr="00D6005B">
        <w:rPr>
          <w:b/>
          <w:sz w:val="36"/>
          <w:szCs w:val="36"/>
        </w:rPr>
        <w:t>tatement</w:t>
      </w:r>
      <w:r w:rsidR="004708D0" w:rsidRPr="00D6005B">
        <w:rPr>
          <w:b/>
          <w:caps/>
          <w:sz w:val="36"/>
          <w:szCs w:val="36"/>
        </w:rPr>
        <w:t xml:space="preserve"> </w:t>
      </w:r>
      <w:r w:rsidR="004708D0">
        <w:rPr>
          <w:b/>
          <w:sz w:val="36"/>
          <w:szCs w:val="36"/>
        </w:rPr>
        <w:t>for</w:t>
      </w:r>
      <w:r w:rsidR="004708D0">
        <w:rPr>
          <w:b/>
          <w:caps/>
          <w:sz w:val="36"/>
          <w:szCs w:val="36"/>
        </w:rPr>
        <w:t xml:space="preserve"> P</w:t>
      </w:r>
      <w:r w:rsidR="004708D0">
        <w:rPr>
          <w:b/>
          <w:sz w:val="36"/>
          <w:szCs w:val="36"/>
        </w:rPr>
        <w:t>aperwork</w:t>
      </w:r>
      <w:r w:rsidR="004708D0">
        <w:rPr>
          <w:b/>
          <w:caps/>
          <w:sz w:val="36"/>
          <w:szCs w:val="36"/>
        </w:rPr>
        <w:t xml:space="preserve"> R</w:t>
      </w:r>
      <w:r w:rsidR="004708D0">
        <w:rPr>
          <w:b/>
          <w:sz w:val="36"/>
          <w:szCs w:val="36"/>
        </w:rPr>
        <w:t>eduction</w:t>
      </w:r>
      <w:r w:rsidR="004708D0">
        <w:rPr>
          <w:b/>
          <w:caps/>
          <w:sz w:val="36"/>
          <w:szCs w:val="36"/>
        </w:rPr>
        <w:t xml:space="preserve"> A</w:t>
      </w:r>
      <w:r w:rsidR="004708D0">
        <w:rPr>
          <w:b/>
          <w:sz w:val="36"/>
          <w:szCs w:val="36"/>
        </w:rPr>
        <w:t>ct</w:t>
      </w:r>
      <w:r w:rsidR="004708D0">
        <w:rPr>
          <w:b/>
          <w:caps/>
          <w:sz w:val="36"/>
          <w:szCs w:val="36"/>
        </w:rPr>
        <w:t xml:space="preserve"> S</w:t>
      </w:r>
      <w:r w:rsidR="004708D0">
        <w:rPr>
          <w:b/>
          <w:sz w:val="36"/>
          <w:szCs w:val="36"/>
        </w:rPr>
        <w:t>ubmission</w:t>
      </w:r>
    </w:p>
    <w:p w:rsidR="0003591B" w:rsidRPr="00D6005B" w:rsidRDefault="00D461AA" w:rsidP="004708D0">
      <w:pPr>
        <w:spacing w:line="360" w:lineRule="auto"/>
        <w:jc w:val="center"/>
        <w:rPr>
          <w:b/>
          <w:caps/>
          <w:sz w:val="36"/>
          <w:szCs w:val="36"/>
        </w:rPr>
      </w:pPr>
      <w:r w:rsidRPr="004E729A">
        <w:rPr>
          <w:b/>
          <w:caps/>
          <w:sz w:val="36"/>
          <w:szCs w:val="36"/>
        </w:rPr>
        <w:t>R</w:t>
      </w:r>
      <w:r w:rsidRPr="004E729A">
        <w:rPr>
          <w:b/>
          <w:sz w:val="36"/>
          <w:szCs w:val="36"/>
        </w:rPr>
        <w:t>evision of current OMB Number 0584-0562</w:t>
      </w:r>
    </w:p>
    <w:p w:rsidR="006D3765" w:rsidRDefault="004708D0" w:rsidP="004708D0">
      <w:pPr>
        <w:spacing w:line="360" w:lineRule="auto"/>
        <w:jc w:val="center"/>
        <w:rPr>
          <w:b/>
          <w:sz w:val="36"/>
          <w:szCs w:val="36"/>
        </w:rPr>
      </w:pPr>
      <w:r>
        <w:rPr>
          <w:b/>
          <w:sz w:val="36"/>
          <w:szCs w:val="36"/>
        </w:rPr>
        <w:t xml:space="preserve">Part </w:t>
      </w:r>
      <w:r w:rsidR="0029230B">
        <w:rPr>
          <w:b/>
          <w:sz w:val="36"/>
          <w:szCs w:val="36"/>
        </w:rPr>
        <w:t>B</w:t>
      </w:r>
      <w:r>
        <w:rPr>
          <w:b/>
          <w:sz w:val="36"/>
          <w:szCs w:val="36"/>
        </w:rPr>
        <w:t xml:space="preserve">: </w:t>
      </w:r>
      <w:r w:rsidR="0029230B">
        <w:rPr>
          <w:b/>
          <w:sz w:val="36"/>
          <w:szCs w:val="36"/>
        </w:rPr>
        <w:t>Supporting Statement</w:t>
      </w:r>
    </w:p>
    <w:p w:rsidR="004708D0" w:rsidRPr="00D6005B" w:rsidRDefault="004708D0" w:rsidP="00001D5E">
      <w:pPr>
        <w:spacing w:line="360" w:lineRule="auto"/>
        <w:jc w:val="center"/>
        <w:rPr>
          <w:b/>
          <w:sz w:val="36"/>
          <w:szCs w:val="36"/>
        </w:rPr>
      </w:pPr>
    </w:p>
    <w:p w:rsidR="006D3765" w:rsidRPr="00D6005B" w:rsidRDefault="006D3765" w:rsidP="00001D5E">
      <w:pPr>
        <w:spacing w:line="360" w:lineRule="auto"/>
        <w:jc w:val="center"/>
        <w:rPr>
          <w:b/>
          <w:sz w:val="36"/>
          <w:szCs w:val="36"/>
        </w:rPr>
      </w:pPr>
    </w:p>
    <w:p w:rsidR="006D3765" w:rsidRDefault="002A373C" w:rsidP="004708D0">
      <w:pPr>
        <w:spacing w:line="360" w:lineRule="auto"/>
        <w:jc w:val="center"/>
        <w:rPr>
          <w:b/>
          <w:sz w:val="36"/>
          <w:szCs w:val="36"/>
        </w:rPr>
      </w:pPr>
      <w:r>
        <w:rPr>
          <w:b/>
          <w:sz w:val="36"/>
          <w:szCs w:val="36"/>
        </w:rPr>
        <w:t>December</w:t>
      </w:r>
      <w:r w:rsidR="00E55E18">
        <w:rPr>
          <w:b/>
          <w:sz w:val="36"/>
          <w:szCs w:val="36"/>
        </w:rPr>
        <w:t xml:space="preserve"> </w:t>
      </w:r>
      <w:r>
        <w:rPr>
          <w:b/>
          <w:sz w:val="36"/>
          <w:szCs w:val="36"/>
        </w:rPr>
        <w:t>20</w:t>
      </w:r>
      <w:r w:rsidR="00E55E18">
        <w:rPr>
          <w:b/>
          <w:sz w:val="36"/>
          <w:szCs w:val="36"/>
        </w:rPr>
        <w:t>, 201</w:t>
      </w:r>
      <w:r>
        <w:rPr>
          <w:b/>
          <w:sz w:val="36"/>
          <w:szCs w:val="36"/>
        </w:rPr>
        <w:t>3</w:t>
      </w:r>
    </w:p>
    <w:p w:rsidR="006D3765" w:rsidRPr="00D6005B" w:rsidRDefault="006D3765" w:rsidP="00A826F3">
      <w:pPr>
        <w:spacing w:line="360" w:lineRule="auto"/>
        <w:rPr>
          <w:b/>
          <w:sz w:val="36"/>
          <w:szCs w:val="36"/>
        </w:rPr>
      </w:pPr>
    </w:p>
    <w:p w:rsidR="006D3765" w:rsidRDefault="006D3765"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Pr="00D6005B" w:rsidRDefault="004708D0" w:rsidP="00033EF8">
      <w:pPr>
        <w:spacing w:line="240" w:lineRule="auto"/>
        <w:jc w:val="center"/>
        <w:rPr>
          <w:b/>
          <w:sz w:val="36"/>
          <w:szCs w:val="36"/>
        </w:rPr>
      </w:pPr>
      <w:r w:rsidRPr="00D6005B">
        <w:rPr>
          <w:b/>
          <w:sz w:val="36"/>
          <w:szCs w:val="36"/>
        </w:rPr>
        <w:t>Office of</w:t>
      </w:r>
      <w:r w:rsidR="001E55BD">
        <w:rPr>
          <w:b/>
          <w:sz w:val="36"/>
          <w:szCs w:val="36"/>
        </w:rPr>
        <w:t xml:space="preserve"> Policy Support</w:t>
      </w:r>
    </w:p>
    <w:p w:rsidR="004708D0" w:rsidRPr="00D6005B" w:rsidRDefault="004708D0" w:rsidP="00033EF8">
      <w:pPr>
        <w:spacing w:line="240" w:lineRule="auto"/>
        <w:jc w:val="center"/>
        <w:rPr>
          <w:b/>
          <w:sz w:val="36"/>
          <w:szCs w:val="36"/>
        </w:rPr>
      </w:pPr>
      <w:r w:rsidRPr="00D6005B">
        <w:rPr>
          <w:b/>
          <w:sz w:val="36"/>
          <w:szCs w:val="36"/>
        </w:rPr>
        <w:t>Food and Nutrition Service</w:t>
      </w:r>
    </w:p>
    <w:p w:rsidR="004708D0" w:rsidRDefault="004708D0" w:rsidP="00033EF8">
      <w:pPr>
        <w:spacing w:line="320" w:lineRule="atLeast"/>
        <w:jc w:val="center"/>
        <w:rPr>
          <w:b/>
          <w:sz w:val="36"/>
          <w:szCs w:val="36"/>
        </w:rPr>
      </w:pPr>
      <w:r w:rsidRPr="00D6005B">
        <w:rPr>
          <w:b/>
          <w:sz w:val="36"/>
          <w:szCs w:val="36"/>
        </w:rPr>
        <w:t>United States Department of Agriculture</w:t>
      </w:r>
    </w:p>
    <w:p w:rsidR="00CE23D3" w:rsidRDefault="00CE23D3" w:rsidP="00033EF8">
      <w:pPr>
        <w:spacing w:line="240" w:lineRule="auto"/>
        <w:jc w:val="center"/>
        <w:rPr>
          <w:b/>
          <w:sz w:val="36"/>
          <w:szCs w:val="36"/>
        </w:rPr>
      </w:pPr>
      <w:r>
        <w:rPr>
          <w:b/>
          <w:sz w:val="36"/>
          <w:szCs w:val="36"/>
        </w:rPr>
        <w:t>Project Office</w:t>
      </w:r>
      <w:r w:rsidR="00D645F1">
        <w:rPr>
          <w:b/>
          <w:sz w:val="36"/>
          <w:szCs w:val="36"/>
        </w:rPr>
        <w:t>r</w:t>
      </w:r>
      <w:r>
        <w:rPr>
          <w:b/>
          <w:sz w:val="36"/>
          <w:szCs w:val="36"/>
        </w:rPr>
        <w:t xml:space="preserve">: </w:t>
      </w:r>
      <w:r w:rsidR="001E55BD">
        <w:rPr>
          <w:b/>
          <w:sz w:val="36"/>
          <w:szCs w:val="36"/>
        </w:rPr>
        <w:t>Allison Magness</w:t>
      </w:r>
    </w:p>
    <w:p w:rsidR="004E5D26" w:rsidRDefault="00CE23D3" w:rsidP="00CE23D3">
      <w:pPr>
        <w:spacing w:line="240" w:lineRule="auto"/>
        <w:ind w:left="2880"/>
        <w:rPr>
          <w:szCs w:val="24"/>
        </w:rPr>
        <w:sectPr w:rsidR="004E5D26" w:rsidSect="007A1790">
          <w:footerReference w:type="even" r:id="rId8"/>
          <w:footerReference w:type="default" r:id="rId9"/>
          <w:footerReference w:type="first" r:id="rId10"/>
          <w:pgSz w:w="12240" w:h="15840" w:code="1"/>
          <w:pgMar w:top="1440" w:right="1440" w:bottom="1440" w:left="1440" w:header="720" w:footer="576" w:gutter="0"/>
          <w:cols w:space="720"/>
          <w:docGrid w:linePitch="360"/>
        </w:sectPr>
      </w:pPr>
      <w:r>
        <w:rPr>
          <w:b/>
          <w:sz w:val="36"/>
          <w:szCs w:val="36"/>
        </w:rPr>
        <w:t>Telephone: 703-305-</w:t>
      </w:r>
      <w:r w:rsidR="001E55BD">
        <w:rPr>
          <w:b/>
          <w:sz w:val="36"/>
          <w:szCs w:val="36"/>
        </w:rPr>
        <w:t>2098</w:t>
      </w:r>
    </w:p>
    <w:bookmarkStart w:id="0" w:name="_Toc339616922" w:displacedByCustomXml="next"/>
    <w:bookmarkStart w:id="1" w:name="_Toc339617093" w:displacedByCustomXml="next"/>
    <w:bookmarkStart w:id="2" w:name="_Toc339621277" w:displacedByCustomXml="next"/>
    <w:sdt>
      <w:sdtPr>
        <w:rPr>
          <w:rFonts w:ascii="Garamond" w:hAnsi="Garamond"/>
          <w:b w:val="0"/>
          <w:color w:val="auto"/>
          <w:sz w:val="24"/>
        </w:rPr>
        <w:id w:val="546804605"/>
        <w:docPartObj>
          <w:docPartGallery w:val="Table of Contents"/>
          <w:docPartUnique/>
        </w:docPartObj>
      </w:sdtPr>
      <w:sdtEndPr>
        <w:rPr>
          <w:bCs/>
          <w:noProof/>
        </w:rPr>
      </w:sdtEndPr>
      <w:sdtContent>
        <w:p w:rsidR="00E238D7" w:rsidRDefault="00E238D7" w:rsidP="00E238D7">
          <w:pPr>
            <w:pStyle w:val="TC-TableofContentsHeading"/>
            <w:spacing w:after="0"/>
          </w:pPr>
          <w:r>
            <w:t>Table of Contents</w:t>
          </w:r>
          <w:bookmarkEnd w:id="2"/>
          <w:bookmarkEnd w:id="1"/>
          <w:bookmarkEnd w:id="0"/>
        </w:p>
        <w:p w:rsidR="0069324F" w:rsidRDefault="00E238D7" w:rsidP="0069324F">
          <w:pPr>
            <w:pStyle w:val="TOC1"/>
            <w:tabs>
              <w:tab w:val="clear" w:pos="1440"/>
              <w:tab w:val="clear" w:pos="8208"/>
              <w:tab w:val="left" w:pos="8190"/>
            </w:tabs>
            <w:ind w:left="7820" w:right="720"/>
            <w:rPr>
              <w:noProof/>
            </w:rPr>
          </w:pPr>
          <w:r>
            <w:t xml:space="preserve">                                                                                                                            </w:t>
          </w:r>
          <w:r w:rsidRPr="00E238D7">
            <w:rPr>
              <w:rFonts w:ascii="Franklin Gothic Medium" w:hAnsi="Franklin Gothic Medium"/>
              <w:b/>
              <w:color w:val="324162"/>
              <w:sz w:val="28"/>
              <w:u w:val="single"/>
            </w:rPr>
            <w:t>Page</w:t>
          </w:r>
          <w:r w:rsidR="00BB3B95">
            <w:rPr>
              <w:rFonts w:ascii="Franklin Gothic Book" w:hAnsi="Franklin Gothic Book"/>
              <w:b/>
              <w:u w:val="single"/>
            </w:rPr>
            <w:fldChar w:fldCharType="begin"/>
          </w:r>
          <w:r w:rsidRPr="00E238D7">
            <w:rPr>
              <w:rFonts w:ascii="Franklin Gothic Book" w:hAnsi="Franklin Gothic Book"/>
              <w:b/>
              <w:u w:val="single"/>
            </w:rPr>
            <w:instrText xml:space="preserve"> TOC \o "1-3" \h \z \u </w:instrText>
          </w:r>
          <w:r w:rsidR="00BB3B95">
            <w:rPr>
              <w:rFonts w:ascii="Franklin Gothic Book" w:hAnsi="Franklin Gothic Book"/>
              <w:b/>
              <w:u w:val="single"/>
            </w:rPr>
            <w:fldChar w:fldCharType="separate"/>
          </w:r>
        </w:p>
        <w:p w:rsidR="0069324F" w:rsidRDefault="00533C96" w:rsidP="0069324F">
          <w:pPr>
            <w:pStyle w:val="TOC1"/>
            <w:rPr>
              <w:rFonts w:asciiTheme="minorHAnsi" w:eastAsiaTheme="minorEastAsia" w:hAnsiTheme="minorHAnsi" w:cstheme="minorBidi"/>
              <w:noProof/>
              <w:sz w:val="22"/>
              <w:szCs w:val="22"/>
            </w:rPr>
          </w:pPr>
          <w:hyperlink w:anchor="_Toc339621279" w:history="1">
            <w:r w:rsidR="0069324F" w:rsidRPr="002A5B79">
              <w:rPr>
                <w:rStyle w:val="Hyperlink"/>
                <w:noProof/>
              </w:rPr>
              <w:t>Introduction</w:t>
            </w:r>
            <w:r w:rsidR="0069324F">
              <w:rPr>
                <w:noProof/>
                <w:webHidden/>
              </w:rPr>
              <w:tab/>
              <w:t>A-3</w:t>
            </w:r>
          </w:hyperlink>
          <w:r w:rsidR="0069324F">
            <w:rPr>
              <w:rStyle w:val="Hyperlink"/>
              <w:noProof/>
            </w:rPr>
            <w:br/>
          </w:r>
        </w:p>
        <w:p w:rsidR="0069324F" w:rsidRDefault="00533C96" w:rsidP="0069324F">
          <w:pPr>
            <w:pStyle w:val="TOC1"/>
            <w:rPr>
              <w:rFonts w:asciiTheme="minorHAnsi" w:eastAsiaTheme="minorEastAsia" w:hAnsiTheme="minorHAnsi" w:cstheme="minorBidi"/>
              <w:noProof/>
              <w:sz w:val="22"/>
              <w:szCs w:val="22"/>
            </w:rPr>
          </w:pPr>
          <w:hyperlink w:anchor="_Toc339621280" w:history="1">
            <w:r w:rsidR="0069324F" w:rsidRPr="002D64BF">
              <w:rPr>
                <w:rStyle w:val="Hyperlink"/>
                <w:b/>
                <w:bCs/>
                <w:noProof/>
              </w:rPr>
              <w:t>Part A</w:t>
            </w:r>
            <w:r w:rsidR="0069324F" w:rsidRPr="002A5B79">
              <w:rPr>
                <w:rStyle w:val="Hyperlink"/>
                <w:bCs/>
                <w:noProof/>
              </w:rPr>
              <w:t>:</w:t>
            </w:r>
            <w:r w:rsidR="0069324F" w:rsidRPr="002D64BF">
              <w:rPr>
                <w:rStyle w:val="Hyperlink"/>
                <w:b/>
                <w:bCs/>
                <w:noProof/>
              </w:rPr>
              <w:t xml:space="preserve"> </w:t>
            </w:r>
            <w:r w:rsidR="00BC67F8">
              <w:rPr>
                <w:rStyle w:val="Hyperlink"/>
                <w:b/>
                <w:bCs/>
                <w:noProof/>
              </w:rPr>
              <w:t>Justification</w:t>
            </w:r>
          </w:hyperlink>
          <w:r w:rsidR="00BC67F8">
            <w:rPr>
              <w:noProof/>
            </w:rPr>
            <w:tab/>
            <w:t>A-5</w:t>
          </w:r>
        </w:p>
        <w:p w:rsidR="0069324F" w:rsidRDefault="0069324F" w:rsidP="0069324F">
          <w:pPr>
            <w:pStyle w:val="TOC2"/>
            <w:rPr>
              <w:noProof/>
            </w:rPr>
          </w:pPr>
        </w:p>
        <w:p w:rsidR="00BC67F8" w:rsidRDefault="00BB3B95" w:rsidP="0069324F">
          <w:pPr>
            <w:pStyle w:val="TOC2"/>
            <w:tabs>
              <w:tab w:val="clear" w:pos="2160"/>
            </w:tabs>
            <w:ind w:left="1620"/>
            <w:rPr>
              <w:noProof/>
              <w:webHidden/>
            </w:rPr>
          </w:pPr>
          <w:r>
            <w:fldChar w:fldCharType="begin"/>
          </w:r>
          <w:r w:rsidR="0069324F">
            <w:instrText xml:space="preserve"> HYPERLINK \l "_Toc339621281" </w:instrText>
          </w:r>
          <w:r>
            <w:fldChar w:fldCharType="separate"/>
          </w:r>
          <w:r w:rsidR="0069324F" w:rsidRPr="002A5B79">
            <w:rPr>
              <w:rStyle w:val="Hyperlink"/>
              <w:noProof/>
            </w:rPr>
            <w:t>A.1</w:t>
          </w:r>
          <w:r w:rsidR="0069324F">
            <w:rPr>
              <w:rFonts w:asciiTheme="minorHAnsi" w:eastAsiaTheme="minorEastAsia" w:hAnsiTheme="minorHAnsi" w:cstheme="minorBidi"/>
              <w:noProof/>
              <w:sz w:val="22"/>
            </w:rPr>
            <w:tab/>
          </w:r>
          <w:r w:rsidR="00BC67F8">
            <w:rPr>
              <w:rStyle w:val="Hyperlink"/>
              <w:noProof/>
            </w:rPr>
            <w:t>Circumstances That Make the Collection of Information Necessary</w:t>
          </w:r>
          <w:r w:rsidR="0069324F">
            <w:rPr>
              <w:noProof/>
              <w:webHidden/>
            </w:rPr>
            <w:tab/>
          </w:r>
          <w:r w:rsidR="00BC67F8">
            <w:rPr>
              <w:noProof/>
              <w:webHidden/>
            </w:rPr>
            <w:t>A-5</w:t>
          </w:r>
        </w:p>
        <w:p w:rsidR="0069324F" w:rsidRDefault="00BB3B95" w:rsidP="0069324F">
          <w:pPr>
            <w:pStyle w:val="TOC2"/>
            <w:tabs>
              <w:tab w:val="clear" w:pos="2160"/>
            </w:tabs>
            <w:ind w:left="1620"/>
            <w:rPr>
              <w:rFonts w:asciiTheme="minorHAnsi" w:eastAsiaTheme="minorEastAsia" w:hAnsiTheme="minorHAnsi" w:cstheme="minorBidi"/>
              <w:noProof/>
              <w:sz w:val="22"/>
            </w:rPr>
          </w:pPr>
          <w:r>
            <w:rPr>
              <w:noProof/>
            </w:rPr>
            <w:fldChar w:fldCharType="end"/>
          </w:r>
          <w:r w:rsidR="00BC67F8">
            <w:t>A.2</w:t>
          </w:r>
          <w:r w:rsidR="00BC67F8">
            <w:tab/>
            <w:t>Purpose and use of the Information</w:t>
          </w:r>
          <w:r w:rsidR="00BC67F8">
            <w:tab/>
          </w:r>
          <w:r w:rsidR="00BC67F8">
            <w:rPr>
              <w:noProof/>
            </w:rPr>
            <w:t>A-10</w:t>
          </w:r>
        </w:p>
        <w:p w:rsidR="0069324F" w:rsidRDefault="00BC67F8" w:rsidP="0069324F">
          <w:pPr>
            <w:pStyle w:val="TOC2"/>
            <w:tabs>
              <w:tab w:val="clear" w:pos="2160"/>
            </w:tabs>
            <w:ind w:left="1620"/>
          </w:pPr>
          <w:r>
            <w:t>A.3</w:t>
          </w:r>
          <w:r>
            <w:tab/>
            <w:t xml:space="preserve">Use of Information Technology and Burden Reduction </w:t>
          </w:r>
          <w:r>
            <w:tab/>
            <w:t>A-1</w:t>
          </w:r>
          <w:r w:rsidR="00BF730F">
            <w:t>3</w:t>
          </w:r>
        </w:p>
        <w:p w:rsidR="00606EEF" w:rsidRDefault="00606EEF" w:rsidP="0069324F">
          <w:pPr>
            <w:pStyle w:val="TOC2"/>
            <w:tabs>
              <w:tab w:val="clear" w:pos="2160"/>
            </w:tabs>
            <w:ind w:left="1620"/>
          </w:pPr>
          <w:r>
            <w:t>A.4</w:t>
          </w:r>
          <w:r>
            <w:tab/>
            <w:t>Efforts to Identify Duplication and Use of Similar Information</w:t>
          </w:r>
          <w:r>
            <w:tab/>
            <w:t>A-1</w:t>
          </w:r>
          <w:r w:rsidR="00BF730F">
            <w:t>4</w:t>
          </w:r>
        </w:p>
        <w:p w:rsidR="00606EEF" w:rsidRDefault="00606EEF" w:rsidP="0069324F">
          <w:pPr>
            <w:pStyle w:val="TOC2"/>
            <w:tabs>
              <w:tab w:val="clear" w:pos="2160"/>
            </w:tabs>
            <w:ind w:left="1620"/>
          </w:pPr>
          <w:r>
            <w:t>A.5</w:t>
          </w:r>
          <w:r>
            <w:tab/>
            <w:t>Impact on Small Businesses or Other Small Entities</w:t>
          </w:r>
          <w:r>
            <w:tab/>
            <w:t>A-1</w:t>
          </w:r>
          <w:r w:rsidR="00BF730F">
            <w:t>4</w:t>
          </w:r>
        </w:p>
        <w:p w:rsidR="00606EEF" w:rsidRDefault="00606EEF" w:rsidP="0069324F">
          <w:pPr>
            <w:pStyle w:val="TOC2"/>
            <w:tabs>
              <w:tab w:val="clear" w:pos="2160"/>
            </w:tabs>
            <w:ind w:left="1620"/>
          </w:pPr>
          <w:r>
            <w:t>A.6</w:t>
          </w:r>
          <w:r>
            <w:tab/>
            <w:t>Consequences of Collecting the Information less Frequently</w:t>
          </w:r>
          <w:r>
            <w:tab/>
            <w:t>A-1</w:t>
          </w:r>
          <w:r w:rsidR="00BF730F">
            <w:t>4</w:t>
          </w:r>
        </w:p>
        <w:p w:rsidR="00606EEF" w:rsidRDefault="00606EEF" w:rsidP="0069324F">
          <w:pPr>
            <w:pStyle w:val="TOC2"/>
            <w:tabs>
              <w:tab w:val="clear" w:pos="2160"/>
            </w:tabs>
            <w:ind w:left="1620"/>
          </w:pPr>
          <w:r>
            <w:t>A.7</w:t>
          </w:r>
          <w:r>
            <w:tab/>
            <w:t>Special Circumstances Relating to the Guidelines of 5 CFR 1320.5</w:t>
          </w:r>
          <w:r>
            <w:tab/>
            <w:t>A-1</w:t>
          </w:r>
          <w:r w:rsidR="00BF730F">
            <w:t>5</w:t>
          </w:r>
        </w:p>
        <w:p w:rsidR="00606EEF" w:rsidRDefault="00606EEF" w:rsidP="0069324F">
          <w:pPr>
            <w:pStyle w:val="TOC2"/>
            <w:tabs>
              <w:tab w:val="clear" w:pos="2160"/>
            </w:tabs>
            <w:ind w:left="1620"/>
          </w:pPr>
          <w:r>
            <w:t>A.8</w:t>
          </w:r>
          <w:r>
            <w:tab/>
            <w:t>Comments in Response to Federal Register Notice and Efforts to Consult Outside Agency</w:t>
          </w:r>
          <w:r>
            <w:tab/>
            <w:t>A-1</w:t>
          </w:r>
          <w:r w:rsidR="00BF730F">
            <w:t>6</w:t>
          </w:r>
        </w:p>
        <w:p w:rsidR="00606EEF" w:rsidRDefault="00606EEF" w:rsidP="0069324F">
          <w:pPr>
            <w:pStyle w:val="TOC2"/>
            <w:tabs>
              <w:tab w:val="clear" w:pos="2160"/>
            </w:tabs>
            <w:ind w:left="1620"/>
          </w:pPr>
          <w:r>
            <w:t>A.9</w:t>
          </w:r>
          <w:r>
            <w:tab/>
            <w:t>Explanation of Any Payment or Gift to Respondents</w:t>
          </w:r>
          <w:r>
            <w:tab/>
            <w:t>A-1</w:t>
          </w:r>
          <w:r w:rsidR="00BF730F">
            <w:t>6</w:t>
          </w:r>
        </w:p>
        <w:p w:rsidR="00606EEF" w:rsidRDefault="00606EEF" w:rsidP="0069324F">
          <w:pPr>
            <w:pStyle w:val="TOC2"/>
            <w:tabs>
              <w:tab w:val="clear" w:pos="2160"/>
            </w:tabs>
            <w:ind w:left="1620"/>
          </w:pPr>
          <w:r>
            <w:t>A.10</w:t>
          </w:r>
          <w:r>
            <w:tab/>
            <w:t>Assurance of Confidentiality Provided to Respondents</w:t>
          </w:r>
          <w:r>
            <w:tab/>
            <w:t>A-1</w:t>
          </w:r>
          <w:r w:rsidR="00BF730F">
            <w:t>6</w:t>
          </w:r>
        </w:p>
        <w:p w:rsidR="00606EEF" w:rsidRDefault="00606EEF" w:rsidP="0069324F">
          <w:pPr>
            <w:pStyle w:val="TOC2"/>
            <w:tabs>
              <w:tab w:val="clear" w:pos="2160"/>
            </w:tabs>
            <w:ind w:left="1620"/>
          </w:pPr>
          <w:r>
            <w:t>A.11</w:t>
          </w:r>
          <w:r>
            <w:tab/>
            <w:t>Justification for Sensitive Questions</w:t>
          </w:r>
          <w:r>
            <w:tab/>
            <w:t>A-</w:t>
          </w:r>
          <w:r w:rsidR="00BF730F">
            <w:t>17</w:t>
          </w:r>
        </w:p>
        <w:p w:rsidR="00606EEF" w:rsidRDefault="00606EEF" w:rsidP="0069324F">
          <w:pPr>
            <w:pStyle w:val="TOC2"/>
            <w:tabs>
              <w:tab w:val="clear" w:pos="2160"/>
            </w:tabs>
            <w:ind w:left="1620"/>
          </w:pPr>
          <w:r>
            <w:t>A.12</w:t>
          </w:r>
          <w:r>
            <w:tab/>
            <w:t>Estimates of Annualized Burden Hours and Costs</w:t>
          </w:r>
          <w:r>
            <w:tab/>
            <w:t>A-</w:t>
          </w:r>
          <w:r w:rsidR="00BF730F">
            <w:t>17</w:t>
          </w:r>
        </w:p>
        <w:p w:rsidR="00606EEF" w:rsidRDefault="00606EEF" w:rsidP="0069324F">
          <w:pPr>
            <w:pStyle w:val="TOC2"/>
            <w:tabs>
              <w:tab w:val="clear" w:pos="2160"/>
            </w:tabs>
            <w:ind w:left="1620"/>
          </w:pPr>
          <w:r>
            <w:t>A.13</w:t>
          </w:r>
          <w:r>
            <w:tab/>
            <w:t>Estimates of Other Total Annual Cost Burden to Respondents and Record Keepers</w:t>
          </w:r>
          <w:r>
            <w:tab/>
            <w:t>A-2</w:t>
          </w:r>
          <w:r w:rsidR="00BF730F">
            <w:t>0</w:t>
          </w:r>
        </w:p>
        <w:p w:rsidR="0069324F" w:rsidRDefault="00533C96" w:rsidP="0069324F">
          <w:pPr>
            <w:pStyle w:val="TOC2"/>
            <w:tabs>
              <w:tab w:val="clear" w:pos="2160"/>
            </w:tabs>
            <w:ind w:left="1620"/>
            <w:rPr>
              <w:rFonts w:asciiTheme="minorHAnsi" w:eastAsiaTheme="minorEastAsia" w:hAnsiTheme="minorHAnsi" w:cstheme="minorBidi"/>
              <w:noProof/>
              <w:sz w:val="22"/>
            </w:rPr>
          </w:pPr>
          <w:hyperlink w:anchor="_Toc339621296" w:history="1">
            <w:r w:rsidR="0069324F" w:rsidRPr="002A5B79">
              <w:rPr>
                <w:rStyle w:val="Hyperlink"/>
                <w:noProof/>
              </w:rPr>
              <w:t>A.14</w:t>
            </w:r>
            <w:r w:rsidR="0069324F">
              <w:rPr>
                <w:rFonts w:asciiTheme="minorHAnsi" w:eastAsiaTheme="minorEastAsia" w:hAnsiTheme="minorHAnsi" w:cstheme="minorBidi"/>
                <w:noProof/>
                <w:sz w:val="22"/>
              </w:rPr>
              <w:tab/>
            </w:r>
            <w:r w:rsidR="0069324F">
              <w:rPr>
                <w:rStyle w:val="Hyperlink"/>
                <w:noProof/>
              </w:rPr>
              <w:t>A</w:t>
            </w:r>
            <w:r w:rsidR="0069324F" w:rsidRPr="002A5B79">
              <w:rPr>
                <w:rStyle w:val="Hyperlink"/>
                <w:noProof/>
              </w:rPr>
              <w:t>nnual</w:t>
            </w:r>
            <w:r w:rsidR="0069324F">
              <w:rPr>
                <w:rStyle w:val="Hyperlink"/>
                <w:noProof/>
              </w:rPr>
              <w:t>ized</w:t>
            </w:r>
            <w:r w:rsidR="0069324F" w:rsidRPr="002A5B79">
              <w:rPr>
                <w:rStyle w:val="Hyperlink"/>
                <w:noProof/>
              </w:rPr>
              <w:t xml:space="preserve"> </w:t>
            </w:r>
            <w:r w:rsidR="0069324F">
              <w:rPr>
                <w:rStyle w:val="Hyperlink"/>
                <w:noProof/>
              </w:rPr>
              <w:t>C</w:t>
            </w:r>
            <w:r w:rsidR="0069324F" w:rsidRPr="002A5B79">
              <w:rPr>
                <w:rStyle w:val="Hyperlink"/>
                <w:noProof/>
              </w:rPr>
              <w:t xml:space="preserve">ost to the Federal </w:t>
            </w:r>
            <w:r w:rsidR="0069324F">
              <w:rPr>
                <w:rStyle w:val="Hyperlink"/>
                <w:noProof/>
              </w:rPr>
              <w:t>G</w:t>
            </w:r>
            <w:r w:rsidR="0069324F" w:rsidRPr="002A5B79">
              <w:rPr>
                <w:rStyle w:val="Hyperlink"/>
                <w:noProof/>
              </w:rPr>
              <w:t>overnment..</w:t>
            </w:r>
            <w:r w:rsidR="0069324F">
              <w:rPr>
                <w:noProof/>
                <w:webHidden/>
              </w:rPr>
              <w:tab/>
              <w:t>A-2</w:t>
            </w:r>
            <w:r w:rsidR="00BF730F">
              <w:rPr>
                <w:noProof/>
                <w:webHidden/>
              </w:rPr>
              <w:t>0</w:t>
            </w:r>
          </w:hyperlink>
        </w:p>
        <w:p w:rsidR="0069324F" w:rsidRDefault="00533C96" w:rsidP="0069324F">
          <w:pPr>
            <w:pStyle w:val="TOC2"/>
            <w:tabs>
              <w:tab w:val="clear" w:pos="2160"/>
            </w:tabs>
            <w:ind w:left="1620"/>
            <w:rPr>
              <w:rFonts w:asciiTheme="minorHAnsi" w:eastAsiaTheme="minorEastAsia" w:hAnsiTheme="minorHAnsi" w:cstheme="minorBidi"/>
              <w:noProof/>
              <w:sz w:val="22"/>
            </w:rPr>
          </w:pPr>
          <w:hyperlink w:anchor="_Toc339621297" w:history="1">
            <w:r w:rsidR="0069324F" w:rsidRPr="002A5B79">
              <w:rPr>
                <w:rStyle w:val="Hyperlink"/>
                <w:noProof/>
              </w:rPr>
              <w:t>A.15</w:t>
            </w:r>
            <w:r w:rsidR="0069324F">
              <w:rPr>
                <w:rFonts w:asciiTheme="minorHAnsi" w:eastAsiaTheme="minorEastAsia" w:hAnsiTheme="minorHAnsi" w:cstheme="minorBidi"/>
                <w:noProof/>
                <w:sz w:val="22"/>
              </w:rPr>
              <w:tab/>
            </w:r>
            <w:r w:rsidR="0069324F" w:rsidRPr="002A5B79">
              <w:rPr>
                <w:rStyle w:val="Hyperlink"/>
                <w:noProof/>
              </w:rPr>
              <w:t>Explan</w:t>
            </w:r>
            <w:r w:rsidR="0069324F">
              <w:rPr>
                <w:rStyle w:val="Hyperlink"/>
                <w:noProof/>
              </w:rPr>
              <w:t>ation</w:t>
            </w:r>
            <w:r w:rsidR="0069324F" w:rsidRPr="002A5B79">
              <w:rPr>
                <w:rStyle w:val="Hyperlink"/>
                <w:noProof/>
              </w:rPr>
              <w:t xml:space="preserve"> for Program Changes </w:t>
            </w:r>
            <w:r w:rsidR="0069324F">
              <w:rPr>
                <w:rStyle w:val="Hyperlink"/>
                <w:noProof/>
              </w:rPr>
              <w:t>o</w:t>
            </w:r>
            <w:r w:rsidR="0069324F" w:rsidRPr="002A5B79">
              <w:rPr>
                <w:rStyle w:val="Hyperlink"/>
                <w:noProof/>
              </w:rPr>
              <w:t>r Adjustments.</w:t>
            </w:r>
            <w:r w:rsidR="0069324F">
              <w:rPr>
                <w:noProof/>
                <w:webHidden/>
              </w:rPr>
              <w:tab/>
              <w:t>A-2</w:t>
            </w:r>
            <w:r w:rsidR="00BF730F">
              <w:rPr>
                <w:noProof/>
                <w:webHidden/>
              </w:rPr>
              <w:t>0</w:t>
            </w:r>
          </w:hyperlink>
        </w:p>
        <w:p w:rsidR="0069324F" w:rsidRDefault="00533C96" w:rsidP="0069324F">
          <w:pPr>
            <w:pStyle w:val="TOC2"/>
            <w:tabs>
              <w:tab w:val="clear" w:pos="2160"/>
            </w:tabs>
            <w:ind w:left="1620"/>
            <w:rPr>
              <w:rFonts w:asciiTheme="minorHAnsi" w:eastAsiaTheme="minorEastAsia" w:hAnsiTheme="minorHAnsi" w:cstheme="minorBidi"/>
              <w:noProof/>
              <w:sz w:val="22"/>
            </w:rPr>
          </w:pPr>
          <w:hyperlink w:anchor="_Toc339621298" w:history="1">
            <w:r w:rsidR="0069324F" w:rsidRPr="002A5B79">
              <w:rPr>
                <w:rStyle w:val="Hyperlink"/>
                <w:noProof/>
              </w:rPr>
              <w:t>A.16</w:t>
            </w:r>
            <w:r w:rsidR="0069324F">
              <w:rPr>
                <w:rFonts w:asciiTheme="minorHAnsi" w:eastAsiaTheme="minorEastAsia" w:hAnsiTheme="minorHAnsi" w:cstheme="minorBidi"/>
                <w:noProof/>
                <w:sz w:val="22"/>
              </w:rPr>
              <w:tab/>
            </w:r>
            <w:r w:rsidR="0069324F">
              <w:rPr>
                <w:rStyle w:val="Hyperlink"/>
                <w:noProof/>
              </w:rPr>
              <w:t>P</w:t>
            </w:r>
            <w:r w:rsidR="0069324F" w:rsidRPr="002A5B79">
              <w:rPr>
                <w:rStyle w:val="Hyperlink"/>
                <w:noProof/>
              </w:rPr>
              <w:t>lan</w:t>
            </w:r>
            <w:r w:rsidR="0069324F">
              <w:rPr>
                <w:rStyle w:val="Hyperlink"/>
                <w:noProof/>
              </w:rPr>
              <w:t>s</w:t>
            </w:r>
            <w:r w:rsidR="0069324F" w:rsidRPr="002A5B79">
              <w:rPr>
                <w:rStyle w:val="Hyperlink"/>
                <w:noProof/>
              </w:rPr>
              <w:t xml:space="preserve"> for </w:t>
            </w:r>
            <w:r w:rsidR="0069324F">
              <w:rPr>
                <w:rStyle w:val="Hyperlink"/>
                <w:noProof/>
              </w:rPr>
              <w:t>T</w:t>
            </w:r>
            <w:r w:rsidR="0069324F" w:rsidRPr="002A5B79">
              <w:rPr>
                <w:rStyle w:val="Hyperlink"/>
                <w:noProof/>
              </w:rPr>
              <w:t xml:space="preserve">abulation and </w:t>
            </w:r>
            <w:r w:rsidR="0069324F">
              <w:rPr>
                <w:rStyle w:val="Hyperlink"/>
                <w:noProof/>
              </w:rPr>
              <w:t>P</w:t>
            </w:r>
            <w:r w:rsidR="0069324F" w:rsidRPr="002A5B79">
              <w:rPr>
                <w:rStyle w:val="Hyperlink"/>
                <w:noProof/>
              </w:rPr>
              <w:t>ublication</w:t>
            </w:r>
            <w:r w:rsidR="0069324F">
              <w:rPr>
                <w:rStyle w:val="Hyperlink"/>
                <w:noProof/>
              </w:rPr>
              <w:t xml:space="preserve"> and Project Time Schedule</w:t>
            </w:r>
            <w:r w:rsidR="0069324F" w:rsidRPr="002A5B79">
              <w:rPr>
                <w:rStyle w:val="Hyperlink"/>
                <w:noProof/>
              </w:rPr>
              <w:t>.</w:t>
            </w:r>
            <w:r w:rsidR="0069324F">
              <w:rPr>
                <w:noProof/>
                <w:webHidden/>
              </w:rPr>
              <w:tab/>
              <w:t>A-2</w:t>
            </w:r>
            <w:r w:rsidR="00BF730F">
              <w:rPr>
                <w:noProof/>
                <w:webHidden/>
              </w:rPr>
              <w:t>1</w:t>
            </w:r>
          </w:hyperlink>
        </w:p>
        <w:p w:rsidR="0069324F" w:rsidRDefault="00533C96" w:rsidP="0069324F">
          <w:pPr>
            <w:pStyle w:val="TOC2"/>
            <w:tabs>
              <w:tab w:val="clear" w:pos="2160"/>
            </w:tabs>
            <w:ind w:left="1620"/>
            <w:rPr>
              <w:rFonts w:asciiTheme="minorHAnsi" w:eastAsiaTheme="minorEastAsia" w:hAnsiTheme="minorHAnsi" w:cstheme="minorBidi"/>
              <w:noProof/>
              <w:sz w:val="22"/>
            </w:rPr>
          </w:pPr>
          <w:hyperlink w:anchor="_Toc339621300" w:history="1">
            <w:r w:rsidR="0069324F" w:rsidRPr="002A5B79">
              <w:rPr>
                <w:rStyle w:val="Hyperlink"/>
                <w:noProof/>
              </w:rPr>
              <w:t>A.17</w:t>
            </w:r>
            <w:r w:rsidR="0069324F">
              <w:rPr>
                <w:rFonts w:asciiTheme="minorHAnsi" w:eastAsiaTheme="minorEastAsia" w:hAnsiTheme="minorHAnsi" w:cstheme="minorBidi"/>
                <w:noProof/>
                <w:sz w:val="22"/>
              </w:rPr>
              <w:tab/>
            </w:r>
            <w:r w:rsidR="0069324F">
              <w:rPr>
                <w:rStyle w:val="Hyperlink"/>
                <w:noProof/>
              </w:rPr>
              <w:t>R</w:t>
            </w:r>
            <w:r w:rsidR="0069324F" w:rsidRPr="002A5B79">
              <w:rPr>
                <w:rStyle w:val="Hyperlink"/>
                <w:noProof/>
              </w:rPr>
              <w:t>eason</w:t>
            </w:r>
            <w:r w:rsidR="0069324F">
              <w:rPr>
                <w:rStyle w:val="Hyperlink"/>
                <w:noProof/>
              </w:rPr>
              <w:t>(</w:t>
            </w:r>
            <w:r w:rsidR="0069324F" w:rsidRPr="002A5B79">
              <w:rPr>
                <w:rStyle w:val="Hyperlink"/>
                <w:noProof/>
              </w:rPr>
              <w:t>s</w:t>
            </w:r>
            <w:r w:rsidR="0069324F">
              <w:rPr>
                <w:rStyle w:val="Hyperlink"/>
                <w:noProof/>
              </w:rPr>
              <w:t>)</w:t>
            </w:r>
            <w:r w:rsidR="0069324F" w:rsidRPr="002A5B79">
              <w:rPr>
                <w:rStyle w:val="Hyperlink"/>
                <w:noProof/>
              </w:rPr>
              <w:t xml:space="preserve"> </w:t>
            </w:r>
            <w:r w:rsidR="0069324F">
              <w:rPr>
                <w:rStyle w:val="Hyperlink"/>
                <w:noProof/>
              </w:rPr>
              <w:t>D</w:t>
            </w:r>
            <w:r w:rsidR="0069324F" w:rsidRPr="002A5B79">
              <w:rPr>
                <w:rStyle w:val="Hyperlink"/>
                <w:noProof/>
              </w:rPr>
              <w:t>isplay o</w:t>
            </w:r>
            <w:r w:rsidR="0069324F">
              <w:rPr>
                <w:rStyle w:val="Hyperlink"/>
                <w:noProof/>
              </w:rPr>
              <w:t>f OMB Exp</w:t>
            </w:r>
            <w:r w:rsidR="0069324F" w:rsidRPr="002A5B79">
              <w:rPr>
                <w:rStyle w:val="Hyperlink"/>
                <w:noProof/>
              </w:rPr>
              <w:t>i</w:t>
            </w:r>
            <w:r w:rsidR="0069324F">
              <w:rPr>
                <w:rStyle w:val="Hyperlink"/>
                <w:noProof/>
              </w:rPr>
              <w:t>r</w:t>
            </w:r>
            <w:r w:rsidR="0069324F" w:rsidRPr="002A5B79">
              <w:rPr>
                <w:rStyle w:val="Hyperlink"/>
                <w:noProof/>
              </w:rPr>
              <w:t>at</w:t>
            </w:r>
            <w:r w:rsidR="0069324F">
              <w:rPr>
                <w:rStyle w:val="Hyperlink"/>
                <w:noProof/>
              </w:rPr>
              <w:t>ion Date is Innapropriate</w:t>
            </w:r>
            <w:r w:rsidR="0069324F" w:rsidRPr="002A5B79">
              <w:rPr>
                <w:rStyle w:val="Hyperlink"/>
                <w:noProof/>
              </w:rPr>
              <w:t>.</w:t>
            </w:r>
            <w:r w:rsidR="0069324F">
              <w:rPr>
                <w:noProof/>
                <w:webHidden/>
              </w:rPr>
              <w:tab/>
              <w:t>A-2</w:t>
            </w:r>
            <w:r w:rsidR="00BF730F">
              <w:rPr>
                <w:noProof/>
                <w:webHidden/>
              </w:rPr>
              <w:t>5</w:t>
            </w:r>
          </w:hyperlink>
        </w:p>
        <w:p w:rsidR="0069324F" w:rsidRDefault="00533C96" w:rsidP="0069324F">
          <w:pPr>
            <w:pStyle w:val="TOC2"/>
            <w:tabs>
              <w:tab w:val="clear" w:pos="2160"/>
            </w:tabs>
            <w:ind w:left="1620"/>
            <w:rPr>
              <w:rStyle w:val="Hyperlink"/>
              <w:noProof/>
            </w:rPr>
          </w:pPr>
          <w:hyperlink w:anchor="_Toc339621301" w:history="1">
            <w:r w:rsidR="0069324F" w:rsidRPr="002A5B79">
              <w:rPr>
                <w:rStyle w:val="Hyperlink"/>
                <w:noProof/>
              </w:rPr>
              <w:t>A.18</w:t>
            </w:r>
            <w:r w:rsidR="0069324F">
              <w:rPr>
                <w:rFonts w:asciiTheme="minorHAnsi" w:eastAsiaTheme="minorEastAsia" w:hAnsiTheme="minorHAnsi" w:cstheme="minorBidi"/>
                <w:noProof/>
                <w:sz w:val="22"/>
              </w:rPr>
              <w:tab/>
            </w:r>
            <w:r w:rsidR="0069324F" w:rsidRPr="002A5B79">
              <w:rPr>
                <w:rStyle w:val="Hyperlink"/>
                <w:noProof/>
              </w:rPr>
              <w:t>Exception</w:t>
            </w:r>
            <w:r w:rsidR="0069324F">
              <w:rPr>
                <w:rStyle w:val="Hyperlink"/>
                <w:noProof/>
              </w:rPr>
              <w:t>s</w:t>
            </w:r>
            <w:r w:rsidR="0069324F" w:rsidRPr="002A5B79">
              <w:rPr>
                <w:rStyle w:val="Hyperlink"/>
                <w:noProof/>
              </w:rPr>
              <w:t xml:space="preserve"> to </w:t>
            </w:r>
            <w:r w:rsidR="0069324F">
              <w:rPr>
                <w:rStyle w:val="Hyperlink"/>
                <w:noProof/>
              </w:rPr>
              <w:t>C</w:t>
            </w:r>
            <w:r w:rsidR="0069324F" w:rsidRPr="002A5B79">
              <w:rPr>
                <w:rStyle w:val="Hyperlink"/>
                <w:noProof/>
              </w:rPr>
              <w:t>ertificat</w:t>
            </w:r>
            <w:r w:rsidR="0069324F">
              <w:rPr>
                <w:rStyle w:val="Hyperlink"/>
                <w:noProof/>
              </w:rPr>
              <w:t>ion</w:t>
            </w:r>
            <w:r w:rsidR="0069324F" w:rsidRPr="002A5B79">
              <w:rPr>
                <w:rStyle w:val="Hyperlink"/>
                <w:noProof/>
              </w:rPr>
              <w:t xml:space="preserve"> for Paperwork Reduction Act</w:t>
            </w:r>
            <w:r w:rsidR="0069324F">
              <w:rPr>
                <w:rStyle w:val="Hyperlink"/>
                <w:noProof/>
              </w:rPr>
              <w:t xml:space="preserve"> Submission</w:t>
            </w:r>
            <w:r w:rsidR="0069324F" w:rsidRPr="002A5B79">
              <w:rPr>
                <w:rStyle w:val="Hyperlink"/>
                <w:noProof/>
              </w:rPr>
              <w:t>.</w:t>
            </w:r>
            <w:r w:rsidR="0069324F">
              <w:rPr>
                <w:noProof/>
                <w:webHidden/>
              </w:rPr>
              <w:tab/>
              <w:t>A-2</w:t>
            </w:r>
          </w:hyperlink>
          <w:r w:rsidR="00BF730F">
            <w:rPr>
              <w:noProof/>
            </w:rPr>
            <w:t>5</w:t>
          </w:r>
        </w:p>
        <w:p w:rsidR="0069324F" w:rsidRDefault="0069324F" w:rsidP="0069324F">
          <w:pPr>
            <w:pStyle w:val="TOC2"/>
            <w:rPr>
              <w:rFonts w:asciiTheme="minorHAnsi" w:eastAsiaTheme="minorEastAsia" w:hAnsiTheme="minorHAnsi" w:cstheme="minorBidi"/>
              <w:noProof/>
              <w:sz w:val="22"/>
            </w:rPr>
          </w:pPr>
        </w:p>
        <w:p w:rsidR="0069324F" w:rsidRDefault="0069324F" w:rsidP="0069324F">
          <w:pPr>
            <w:pStyle w:val="TOC1"/>
            <w:rPr>
              <w:b/>
              <w:noProof/>
            </w:rPr>
          </w:pPr>
          <w:r w:rsidRPr="002D64BF">
            <w:rPr>
              <w:rStyle w:val="Hyperlink"/>
              <w:b/>
              <w:noProof/>
              <w:color w:val="auto"/>
              <w:u w:val="none"/>
            </w:rPr>
            <w:t xml:space="preserve">Part </w:t>
          </w:r>
          <w:hyperlink w:anchor="_Toc339621302" w:history="1">
            <w:r w:rsidRPr="002D64BF">
              <w:rPr>
                <w:rStyle w:val="Hyperlink"/>
                <w:b/>
                <w:bCs/>
                <w:noProof/>
              </w:rPr>
              <w:t>B. Collections of Information Employing Statistical Methods</w:t>
            </w:r>
            <w:r w:rsidRPr="002D64BF">
              <w:rPr>
                <w:b/>
                <w:noProof/>
                <w:webHidden/>
              </w:rPr>
              <w:tab/>
            </w:r>
            <w:r w:rsidRPr="002D64BF">
              <w:rPr>
                <w:noProof/>
                <w:webHidden/>
              </w:rPr>
              <w:t>B-</w:t>
            </w:r>
          </w:hyperlink>
          <w:r>
            <w:rPr>
              <w:noProof/>
            </w:rPr>
            <w:t>3</w:t>
          </w:r>
        </w:p>
        <w:p w:rsidR="0069324F" w:rsidRPr="002D64BF" w:rsidRDefault="0069324F" w:rsidP="0069324F">
          <w:pPr>
            <w:pStyle w:val="TOC1"/>
            <w:rPr>
              <w:rFonts w:asciiTheme="minorHAnsi" w:eastAsiaTheme="minorEastAsia" w:hAnsiTheme="minorHAnsi" w:cstheme="minorBidi"/>
              <w:b/>
              <w:noProof/>
              <w:sz w:val="22"/>
              <w:szCs w:val="22"/>
            </w:rPr>
          </w:pPr>
        </w:p>
        <w:p w:rsidR="0069324F" w:rsidRDefault="0069324F" w:rsidP="0069324F">
          <w:pPr>
            <w:tabs>
              <w:tab w:val="left" w:pos="1620"/>
              <w:tab w:val="right" w:leader="dot" w:pos="8190"/>
              <w:tab w:val="left" w:pos="8910"/>
            </w:tabs>
            <w:ind w:left="1620" w:right="1530" w:hanging="720"/>
            <w:rPr>
              <w:noProof/>
            </w:rPr>
          </w:pPr>
          <w:r>
            <w:rPr>
              <w:noProof/>
            </w:rPr>
            <w:t>B.1</w:t>
          </w:r>
          <w:r>
            <w:rPr>
              <w:noProof/>
            </w:rPr>
            <w:tab/>
            <w:t>Respondent Universe and Sampling Methods</w:t>
          </w:r>
          <w:r>
            <w:rPr>
              <w:noProof/>
            </w:rPr>
            <w:tab/>
            <w:t>B-3</w:t>
          </w:r>
        </w:p>
        <w:p w:rsidR="0069324F" w:rsidRDefault="0069324F" w:rsidP="0069324F">
          <w:pPr>
            <w:tabs>
              <w:tab w:val="left" w:pos="1620"/>
              <w:tab w:val="right" w:leader="dot" w:pos="8190"/>
              <w:tab w:val="left" w:pos="8910"/>
            </w:tabs>
            <w:ind w:left="1620" w:right="1080" w:hanging="720"/>
            <w:rPr>
              <w:noProof/>
            </w:rPr>
          </w:pPr>
          <w:r>
            <w:rPr>
              <w:noProof/>
            </w:rPr>
            <w:t>B.2</w:t>
          </w:r>
          <w:r>
            <w:rPr>
              <w:noProof/>
            </w:rPr>
            <w:tab/>
            <w:t>Procedures for the Collection of Information</w:t>
          </w:r>
          <w:r>
            <w:rPr>
              <w:noProof/>
            </w:rPr>
            <w:tab/>
            <w:t>B-5</w:t>
          </w:r>
        </w:p>
        <w:p w:rsidR="0069324F" w:rsidRDefault="0069324F" w:rsidP="0069324F">
          <w:pPr>
            <w:tabs>
              <w:tab w:val="left" w:pos="1620"/>
              <w:tab w:val="right" w:leader="dot" w:pos="8190"/>
              <w:tab w:val="left" w:pos="8910"/>
            </w:tabs>
            <w:ind w:left="1620" w:right="1080" w:hanging="720"/>
            <w:rPr>
              <w:noProof/>
            </w:rPr>
          </w:pPr>
          <w:r>
            <w:rPr>
              <w:noProof/>
            </w:rPr>
            <w:t>B.3</w:t>
          </w:r>
          <w:r>
            <w:rPr>
              <w:noProof/>
            </w:rPr>
            <w:tab/>
            <w:t>Methods to Maximize the Response Rates and to Deal with Nonresponse</w:t>
          </w:r>
          <w:r>
            <w:rPr>
              <w:noProof/>
            </w:rPr>
            <w:tab/>
            <w:t>B-1</w:t>
          </w:r>
          <w:r w:rsidR="000A0C78">
            <w:rPr>
              <w:noProof/>
            </w:rPr>
            <w:t>3</w:t>
          </w:r>
        </w:p>
        <w:p w:rsidR="0069324F" w:rsidRDefault="0069324F" w:rsidP="0069324F">
          <w:pPr>
            <w:tabs>
              <w:tab w:val="left" w:pos="1620"/>
              <w:tab w:val="right" w:leader="dot" w:pos="8190"/>
              <w:tab w:val="left" w:pos="8910"/>
            </w:tabs>
            <w:ind w:left="1620" w:right="1080" w:hanging="720"/>
            <w:rPr>
              <w:noProof/>
            </w:rPr>
          </w:pPr>
          <w:r>
            <w:rPr>
              <w:noProof/>
            </w:rPr>
            <w:t>B.4</w:t>
          </w:r>
          <w:r>
            <w:rPr>
              <w:noProof/>
            </w:rPr>
            <w:tab/>
            <w:t xml:space="preserve">Test of Procedures </w:t>
          </w:r>
          <w:r w:rsidR="000A0C78">
            <w:rPr>
              <w:noProof/>
            </w:rPr>
            <w:t>or Methods to be Undertaken</w:t>
          </w:r>
          <w:r w:rsidR="000A0C78">
            <w:rPr>
              <w:noProof/>
            </w:rPr>
            <w:tab/>
            <w:t>B-14</w:t>
          </w:r>
        </w:p>
        <w:p w:rsidR="0069324F" w:rsidRDefault="0069324F" w:rsidP="0069324F">
          <w:pPr>
            <w:tabs>
              <w:tab w:val="left" w:pos="1620"/>
              <w:tab w:val="right" w:leader="dot" w:pos="8190"/>
              <w:tab w:val="left" w:pos="8910"/>
            </w:tabs>
            <w:ind w:left="1620" w:right="1080" w:hanging="720"/>
            <w:rPr>
              <w:noProof/>
            </w:rPr>
          </w:pPr>
          <w:r>
            <w:rPr>
              <w:noProof/>
            </w:rPr>
            <w:t>B.5</w:t>
          </w:r>
          <w:r>
            <w:rPr>
              <w:noProof/>
            </w:rPr>
            <w:tab/>
            <w:t xml:space="preserve">Individuals Consulted on Statistical Aspects and Individuals </w:t>
          </w:r>
          <w:r>
            <w:rPr>
              <w:noProof/>
            </w:rPr>
            <w:br/>
            <w:t>Colle</w:t>
          </w:r>
          <w:r w:rsidR="004F6D95">
            <w:rPr>
              <w:noProof/>
            </w:rPr>
            <w:t>cting and/or Analyzing Data</w:t>
          </w:r>
          <w:r w:rsidR="004F6D95">
            <w:rPr>
              <w:noProof/>
            </w:rPr>
            <w:tab/>
            <w:t>B-17</w:t>
          </w:r>
        </w:p>
        <w:p w:rsidR="00B06525" w:rsidRDefault="00533C96" w:rsidP="0069324F">
          <w:pPr>
            <w:pStyle w:val="TOC1"/>
            <w:tabs>
              <w:tab w:val="clear" w:pos="1440"/>
              <w:tab w:val="clear" w:pos="8208"/>
              <w:tab w:val="left" w:pos="8190"/>
            </w:tabs>
            <w:ind w:left="7820" w:right="720"/>
            <w:rPr>
              <w:rFonts w:asciiTheme="minorHAnsi" w:eastAsiaTheme="minorEastAsia" w:hAnsiTheme="minorHAnsi" w:cstheme="minorBidi"/>
              <w:noProof/>
              <w:sz w:val="22"/>
              <w:szCs w:val="22"/>
            </w:rPr>
          </w:pPr>
          <w:hyperlink w:anchor="_Toc339621303" w:history="1"/>
        </w:p>
        <w:p w:rsidR="002D64BF" w:rsidRDefault="00BB3B95">
          <w:pPr>
            <w:rPr>
              <w:b/>
              <w:bCs/>
              <w:noProof/>
            </w:rPr>
          </w:pPr>
          <w:r>
            <w:rPr>
              <w:b/>
              <w:bCs/>
              <w:noProof/>
            </w:rPr>
            <w:fldChar w:fldCharType="end"/>
          </w:r>
        </w:p>
        <w:p w:rsidR="002D64BF" w:rsidRDefault="002D64BF">
          <w:pPr>
            <w:spacing w:line="240" w:lineRule="auto"/>
            <w:rPr>
              <w:b/>
              <w:bCs/>
              <w:noProof/>
            </w:rPr>
          </w:pPr>
          <w:r>
            <w:rPr>
              <w:b/>
              <w:bCs/>
              <w:noProof/>
            </w:rPr>
            <w:br w:type="page"/>
          </w:r>
        </w:p>
        <w:p w:rsidR="00493E9E" w:rsidRDefault="00493E9E">
          <w:pPr>
            <w:rPr>
              <w:b/>
              <w:bCs/>
              <w:noProof/>
            </w:rPr>
          </w:pPr>
          <w:r>
            <w:rPr>
              <w:b/>
              <w:bCs/>
              <w:noProof/>
            </w:rPr>
            <w:lastRenderedPageBreak/>
            <w:t>Tables</w:t>
          </w:r>
        </w:p>
        <w:p w:rsidR="00493E9E" w:rsidRDefault="00493E9E" w:rsidP="00493E9E">
          <w:pPr>
            <w:tabs>
              <w:tab w:val="left" w:pos="270"/>
              <w:tab w:val="left" w:leader="dot" w:pos="7740"/>
            </w:tabs>
            <w:rPr>
              <w:bCs/>
              <w:noProof/>
              <w:webHidden/>
            </w:rPr>
          </w:pPr>
          <w:r>
            <w:rPr>
              <w:bCs/>
              <w:noProof/>
            </w:rPr>
            <w:tab/>
          </w:r>
          <w:r w:rsidRPr="00493E9E">
            <w:rPr>
              <w:bCs/>
              <w:noProof/>
            </w:rPr>
            <w:t xml:space="preserve">Table A1. </w:t>
          </w:r>
          <w:r>
            <w:rPr>
              <w:bCs/>
              <w:noProof/>
            </w:rPr>
            <w:t xml:space="preserve">   </w:t>
          </w:r>
          <w:r w:rsidRPr="00493E9E">
            <w:rPr>
              <w:bCs/>
              <w:noProof/>
            </w:rPr>
            <w:t>Estimates of respondent burden</w:t>
          </w:r>
          <w:r>
            <w:rPr>
              <w:bCs/>
              <w:noProof/>
            </w:rPr>
            <w:tab/>
          </w:r>
          <w:r>
            <w:rPr>
              <w:bCs/>
              <w:noProof/>
              <w:webHidden/>
            </w:rPr>
            <w:t>A-</w:t>
          </w:r>
          <w:r w:rsidR="00BF730F">
            <w:rPr>
              <w:bCs/>
              <w:noProof/>
              <w:webHidden/>
            </w:rPr>
            <w:t>18</w:t>
          </w:r>
        </w:p>
        <w:p w:rsidR="004469AA" w:rsidRDefault="004469AA" w:rsidP="004469AA">
          <w:pPr>
            <w:tabs>
              <w:tab w:val="left" w:pos="270"/>
              <w:tab w:val="left" w:pos="1440"/>
              <w:tab w:val="left" w:leader="dot" w:pos="7740"/>
            </w:tabs>
            <w:rPr>
              <w:bCs/>
              <w:noProof/>
              <w:webHidden/>
            </w:rPr>
          </w:pPr>
          <w:r>
            <w:rPr>
              <w:bCs/>
              <w:noProof/>
              <w:webHidden/>
            </w:rPr>
            <w:tab/>
            <w:t>Table A2.</w:t>
          </w:r>
          <w:r>
            <w:rPr>
              <w:bCs/>
              <w:noProof/>
              <w:webHidden/>
            </w:rPr>
            <w:tab/>
            <w:t>Annualized cost to respondents</w:t>
          </w:r>
          <w:r>
            <w:rPr>
              <w:bCs/>
              <w:noProof/>
              <w:webHidden/>
            </w:rPr>
            <w:tab/>
            <w:t>A-</w:t>
          </w:r>
          <w:r w:rsidR="00BF730F">
            <w:rPr>
              <w:bCs/>
              <w:noProof/>
              <w:webHidden/>
            </w:rPr>
            <w:t>19</w:t>
          </w:r>
        </w:p>
        <w:p w:rsidR="004469AA" w:rsidRDefault="004469AA" w:rsidP="004469AA">
          <w:pPr>
            <w:tabs>
              <w:tab w:val="left" w:pos="270"/>
              <w:tab w:val="left" w:pos="1440"/>
              <w:tab w:val="left" w:leader="dot" w:pos="7740"/>
            </w:tabs>
            <w:rPr>
              <w:bCs/>
              <w:noProof/>
              <w:webHidden/>
            </w:rPr>
          </w:pPr>
          <w:r>
            <w:rPr>
              <w:bCs/>
              <w:noProof/>
              <w:webHidden/>
            </w:rPr>
            <w:tab/>
            <w:t>Table A3.</w:t>
          </w:r>
          <w:r>
            <w:rPr>
              <w:bCs/>
              <w:noProof/>
              <w:webHidden/>
            </w:rPr>
            <w:tab/>
            <w:t>Data collection schedule</w:t>
          </w:r>
          <w:r>
            <w:rPr>
              <w:bCs/>
              <w:noProof/>
              <w:webHidden/>
            </w:rPr>
            <w:tab/>
            <w:t>A-2</w:t>
          </w:r>
          <w:r w:rsidR="00BF730F">
            <w:rPr>
              <w:bCs/>
              <w:noProof/>
              <w:webHidden/>
            </w:rPr>
            <w:t>2</w:t>
          </w:r>
        </w:p>
        <w:p w:rsidR="00C700A6" w:rsidRPr="00C700A6" w:rsidRDefault="00C700A6" w:rsidP="00493E9E">
          <w:pPr>
            <w:pStyle w:val="TOC1"/>
            <w:rPr>
              <w:rFonts w:eastAsiaTheme="minorEastAsia" w:cstheme="minorBidi"/>
              <w:noProof/>
              <w:szCs w:val="22"/>
            </w:rPr>
          </w:pPr>
          <w:r w:rsidRPr="00C700A6">
            <w:rPr>
              <w:rFonts w:eastAsiaTheme="minorEastAsia" w:cstheme="minorBidi"/>
              <w:noProof/>
              <w:szCs w:val="22"/>
            </w:rPr>
            <w:t>Table B1.</w:t>
          </w:r>
          <w:r w:rsidRPr="00C700A6">
            <w:rPr>
              <w:rFonts w:eastAsiaTheme="minorEastAsia" w:cstheme="minorBidi"/>
              <w:noProof/>
              <w:szCs w:val="22"/>
            </w:rPr>
            <w:tab/>
            <w:t>Distribution of eligible SFAs in the 2011-12 FNS-742 universe file</w:t>
          </w:r>
          <w:r w:rsidRPr="00C700A6">
            <w:rPr>
              <w:rFonts w:eastAsiaTheme="minorEastAsia" w:cstheme="minorBidi"/>
              <w:noProof/>
              <w:webHidden/>
              <w:szCs w:val="22"/>
            </w:rPr>
            <w:tab/>
            <w:t>B-</w:t>
          </w:r>
          <w:r w:rsidR="000376A0">
            <w:rPr>
              <w:rFonts w:eastAsiaTheme="minorEastAsia" w:cstheme="minorBidi"/>
              <w:noProof/>
              <w:webHidden/>
              <w:szCs w:val="22"/>
            </w:rPr>
            <w:t>4</w:t>
          </w:r>
        </w:p>
        <w:p w:rsidR="00AB159B" w:rsidRDefault="00493E9E" w:rsidP="00AB159B">
          <w:pPr>
            <w:tabs>
              <w:tab w:val="left" w:pos="270"/>
              <w:tab w:val="left" w:leader="dot" w:pos="3600"/>
              <w:tab w:val="left" w:leader="dot" w:pos="7830"/>
            </w:tabs>
            <w:ind w:left="1440" w:hanging="1440"/>
            <w:rPr>
              <w:webHidden/>
            </w:rPr>
          </w:pPr>
          <w:r>
            <w:rPr>
              <w:webHidden/>
            </w:rPr>
            <w:t xml:space="preserve">  </w:t>
          </w:r>
          <w:r w:rsidRPr="00493E9E">
            <w:rPr>
              <w:webHidden/>
            </w:rPr>
            <w:tab/>
          </w:r>
          <w:r w:rsidR="00AB159B" w:rsidRPr="00AB159B">
            <w:t>Table B2.</w:t>
          </w:r>
          <w:r w:rsidR="00AB159B" w:rsidRPr="00AB159B">
            <w:rPr>
              <w:rFonts w:eastAsiaTheme="minorEastAsia"/>
            </w:rPr>
            <w:tab/>
          </w:r>
          <w:r w:rsidR="00AB159B" w:rsidRPr="00AB159B">
            <w:t>Expected margins of error* for various sample sizes (n) and</w:t>
          </w:r>
          <w:r w:rsidR="00AB159B">
            <w:br/>
          </w:r>
          <w:r w:rsidR="00AB159B" w:rsidRPr="00AB159B">
            <w:t>design effects (DEFF)</w:t>
          </w:r>
          <w:r w:rsidR="009C29F1" w:rsidRPr="009C29F1">
            <w:rPr>
              <w:bCs/>
              <w:noProof/>
              <w:webHidden/>
            </w:rPr>
            <w:t xml:space="preserve"> </w:t>
          </w:r>
          <w:r w:rsidR="009C29F1">
            <w:rPr>
              <w:bCs/>
              <w:noProof/>
              <w:webHidden/>
            </w:rPr>
            <w:tab/>
          </w:r>
          <w:r w:rsidR="009C29F1">
            <w:rPr>
              <w:bCs/>
              <w:noProof/>
              <w:webHidden/>
            </w:rPr>
            <w:tab/>
          </w:r>
          <w:r w:rsidR="00AB159B">
            <w:rPr>
              <w:webHidden/>
            </w:rPr>
            <w:t>B-</w:t>
          </w:r>
          <w:r w:rsidR="000376A0">
            <w:rPr>
              <w:webHidden/>
            </w:rPr>
            <w:t>7</w:t>
          </w:r>
        </w:p>
        <w:p w:rsidR="00AB159B" w:rsidRPr="00AB159B" w:rsidRDefault="00533C96" w:rsidP="00AB159B">
          <w:pPr>
            <w:pStyle w:val="TOC1"/>
            <w:rPr>
              <w:rFonts w:asciiTheme="minorHAnsi" w:eastAsiaTheme="minorEastAsia" w:hAnsiTheme="minorHAnsi" w:cstheme="minorBidi"/>
              <w:noProof/>
              <w:sz w:val="22"/>
              <w:szCs w:val="22"/>
            </w:rPr>
          </w:pPr>
          <w:hyperlink w:anchor="_Toc339621311" w:history="1">
            <w:r w:rsidR="00AB159B" w:rsidRPr="00AB159B">
              <w:rPr>
                <w:rStyle w:val="Hyperlink"/>
                <w:noProof/>
                <w:color w:val="auto"/>
                <w:u w:val="none"/>
              </w:rPr>
              <w:t>Table B3.</w:t>
            </w:r>
            <w:r w:rsidR="00AB159B" w:rsidRPr="00AB159B">
              <w:rPr>
                <w:rFonts w:asciiTheme="minorHAnsi" w:eastAsiaTheme="minorEastAsia" w:hAnsiTheme="minorHAnsi" w:cstheme="minorBidi"/>
                <w:noProof/>
                <w:sz w:val="22"/>
                <w:szCs w:val="22"/>
              </w:rPr>
              <w:tab/>
            </w:r>
            <w:r w:rsidR="00AB159B" w:rsidRPr="00AB159B">
              <w:rPr>
                <w:rStyle w:val="Hyperlink"/>
                <w:noProof/>
                <w:color w:val="auto"/>
                <w:u w:val="none"/>
              </w:rPr>
              <w:t>Proposed sample sizes for the SFA survey</w:t>
            </w:r>
            <w:r w:rsidR="009C29F1" w:rsidRPr="009C29F1">
              <w:rPr>
                <w:bCs/>
                <w:noProof/>
                <w:webHidden/>
              </w:rPr>
              <w:t xml:space="preserve"> </w:t>
            </w:r>
            <w:r w:rsidR="009C29F1">
              <w:rPr>
                <w:bCs/>
                <w:noProof/>
                <w:webHidden/>
              </w:rPr>
              <w:tab/>
            </w:r>
            <w:bookmarkStart w:id="3" w:name="_GoBack"/>
            <w:bookmarkEnd w:id="3"/>
            <w:r w:rsidR="009C29F1">
              <w:rPr>
                <w:webHidden/>
              </w:rPr>
              <w:t>B</w:t>
            </w:r>
            <w:r w:rsidR="00AB159B">
              <w:rPr>
                <w:noProof/>
                <w:webHidden/>
              </w:rPr>
              <w:t>-</w:t>
            </w:r>
            <w:r w:rsidR="000376A0">
              <w:rPr>
                <w:noProof/>
                <w:webHidden/>
              </w:rPr>
              <w:t>10</w:t>
            </w:r>
          </w:hyperlink>
        </w:p>
        <w:p w:rsidR="00AB159B" w:rsidRDefault="00AB159B" w:rsidP="00AB159B">
          <w:pPr>
            <w:tabs>
              <w:tab w:val="left" w:pos="270"/>
              <w:tab w:val="left" w:leader="dot" w:pos="3600"/>
              <w:tab w:val="left" w:leader="dot" w:pos="7830"/>
            </w:tabs>
            <w:ind w:left="1440" w:hanging="1440"/>
          </w:pPr>
          <w:r>
            <w:t xml:space="preserve">     </w:t>
          </w:r>
          <w:r w:rsidRPr="00AB159B">
            <w:t>Table B4.</w:t>
          </w:r>
          <w:r w:rsidRPr="00AB159B">
            <w:rPr>
              <w:rFonts w:eastAsiaTheme="minorEastAsia"/>
            </w:rPr>
            <w:tab/>
          </w:r>
          <w:r w:rsidRPr="00AB159B">
            <w:t xml:space="preserve">Expected sample sizes and corresponding standard error of an </w:t>
          </w:r>
          <w:r>
            <w:br/>
          </w:r>
          <w:r w:rsidRPr="00AB159B">
            <w:t xml:space="preserve">estimated proportion under proposed design for selected </w:t>
          </w:r>
        </w:p>
        <w:p w:rsidR="00AB159B" w:rsidRDefault="00AB159B" w:rsidP="00AB159B">
          <w:pPr>
            <w:tabs>
              <w:tab w:val="left" w:pos="270"/>
              <w:tab w:val="left" w:leader="dot" w:pos="7830"/>
            </w:tabs>
            <w:ind w:left="1440" w:hanging="1440"/>
            <w:rPr>
              <w:webHidden/>
            </w:rPr>
          </w:pPr>
          <w:r>
            <w:t xml:space="preserve">                        </w:t>
          </w:r>
          <w:proofErr w:type="gramStart"/>
          <w:r w:rsidRPr="00AB159B">
            <w:t>analytic</w:t>
          </w:r>
          <w:proofErr w:type="gramEnd"/>
          <w:r w:rsidRPr="00AB159B">
            <w:t xml:space="preserve"> domains</w:t>
          </w:r>
          <w:r w:rsidRPr="00AB159B">
            <w:rPr>
              <w:webHidden/>
            </w:rPr>
            <w:tab/>
          </w:r>
          <w:r>
            <w:rPr>
              <w:webHidden/>
            </w:rPr>
            <w:t>B-</w:t>
          </w:r>
          <w:r w:rsidR="000376A0">
            <w:rPr>
              <w:webHidden/>
            </w:rPr>
            <w:t>11</w:t>
          </w:r>
        </w:p>
        <w:p w:rsidR="00267B14" w:rsidRDefault="00267B14" w:rsidP="00267B14">
          <w:pPr>
            <w:pStyle w:val="TOC1"/>
            <w:rPr>
              <w:rFonts w:asciiTheme="minorHAnsi" w:eastAsiaTheme="minorEastAsia" w:hAnsiTheme="minorHAnsi" w:cstheme="minorBidi"/>
              <w:noProof/>
              <w:sz w:val="22"/>
              <w:szCs w:val="22"/>
            </w:rPr>
          </w:pPr>
        </w:p>
        <w:p w:rsidR="005715CF" w:rsidRDefault="005715CF" w:rsidP="005715CF">
          <w:pPr>
            <w:tabs>
              <w:tab w:val="left" w:pos="270"/>
              <w:tab w:val="left" w:leader="dot" w:pos="7830"/>
            </w:tabs>
            <w:ind w:left="1440" w:hanging="1440"/>
            <w:rPr>
              <w:b/>
            </w:rPr>
          </w:pPr>
          <w:r>
            <w:rPr>
              <w:b/>
              <w:webHidden/>
            </w:rPr>
            <w:t>Appendixes</w:t>
          </w:r>
        </w:p>
        <w:p w:rsidR="005715CF" w:rsidRDefault="005715CF" w:rsidP="005715CF">
          <w:pPr>
            <w:tabs>
              <w:tab w:val="left" w:pos="270"/>
              <w:tab w:val="left" w:leader="dot" w:pos="7830"/>
            </w:tabs>
            <w:ind w:left="810" w:right="1080" w:hanging="810"/>
            <w:rPr>
              <w:webHidden/>
            </w:rPr>
          </w:pPr>
          <w:r>
            <w:rPr>
              <w:webHidden/>
            </w:rPr>
            <w:tab/>
            <w:t>A</w:t>
          </w:r>
          <w:r>
            <w:rPr>
              <w:webHidden/>
            </w:rPr>
            <w:tab/>
            <w:t xml:space="preserve">Crosswalk </w:t>
          </w:r>
          <w:proofErr w:type="gramStart"/>
          <w:r>
            <w:rPr>
              <w:webHidden/>
            </w:rPr>
            <w:t>Between</w:t>
          </w:r>
          <w:proofErr w:type="gramEnd"/>
          <w:r>
            <w:rPr>
              <w:webHidden/>
            </w:rPr>
            <w:t xml:space="preserve"> Topics And Questions Included </w:t>
          </w:r>
          <w:r>
            <w:rPr>
              <w:webHidden/>
            </w:rPr>
            <w:br/>
            <w:t xml:space="preserve">In The 2012-13 And 2013-14 State Child Nutrition Director Surveys </w:t>
          </w:r>
          <w:r>
            <w:rPr>
              <w:webHidden/>
            </w:rPr>
            <w:tab/>
            <w:t>A-1</w:t>
          </w:r>
        </w:p>
        <w:p w:rsidR="005715CF" w:rsidRDefault="005715CF" w:rsidP="005715CF">
          <w:pPr>
            <w:tabs>
              <w:tab w:val="left" w:pos="270"/>
              <w:tab w:val="left" w:leader="dot" w:pos="7830"/>
            </w:tabs>
            <w:ind w:left="810" w:right="990" w:hanging="810"/>
            <w:rPr>
              <w:webHidden/>
            </w:rPr>
          </w:pPr>
          <w:r>
            <w:rPr>
              <w:webHidden/>
            </w:rPr>
            <w:tab/>
            <w:t>B</w:t>
          </w:r>
          <w:r>
            <w:rPr>
              <w:webHidden/>
            </w:rPr>
            <w:tab/>
            <w:t xml:space="preserve">Crosswalk </w:t>
          </w:r>
          <w:proofErr w:type="gramStart"/>
          <w:r>
            <w:rPr>
              <w:webHidden/>
            </w:rPr>
            <w:t>Between</w:t>
          </w:r>
          <w:proofErr w:type="gramEnd"/>
          <w:r>
            <w:rPr>
              <w:webHidden/>
            </w:rPr>
            <w:t xml:space="preserve"> Topics And Questions Included</w:t>
          </w:r>
          <w:r>
            <w:rPr>
              <w:webHidden/>
            </w:rPr>
            <w:br/>
            <w:t xml:space="preserve">In The 2012-13 And 2013-14 SFA Director Surveys </w:t>
          </w:r>
          <w:r>
            <w:rPr>
              <w:webHidden/>
            </w:rPr>
            <w:tab/>
            <w:t>B-1</w:t>
          </w:r>
        </w:p>
        <w:p w:rsidR="005715CF" w:rsidRDefault="005715CF" w:rsidP="005715CF">
          <w:pPr>
            <w:tabs>
              <w:tab w:val="left" w:pos="270"/>
              <w:tab w:val="left" w:pos="810"/>
              <w:tab w:val="left" w:leader="dot" w:pos="7830"/>
            </w:tabs>
            <w:ind w:left="810" w:hanging="810"/>
            <w:rPr>
              <w:webHidden/>
            </w:rPr>
          </w:pPr>
          <w:r>
            <w:rPr>
              <w:webHidden/>
            </w:rPr>
            <w:tab/>
            <w:t>C</w:t>
          </w:r>
          <w:r>
            <w:rPr>
              <w:webHidden/>
            </w:rPr>
            <w:tab/>
            <w:t>Research Questions Year 3</w:t>
          </w:r>
          <w:r>
            <w:rPr>
              <w:webHidden/>
            </w:rPr>
            <w:tab/>
            <w:t>C-1</w:t>
          </w:r>
        </w:p>
        <w:p w:rsidR="005715CF" w:rsidRDefault="005715CF" w:rsidP="005715CF">
          <w:pPr>
            <w:tabs>
              <w:tab w:val="left" w:pos="270"/>
              <w:tab w:val="left" w:leader="dot" w:pos="7830"/>
            </w:tabs>
            <w:ind w:left="810" w:hanging="1350"/>
            <w:rPr>
              <w:webHidden/>
            </w:rPr>
          </w:pPr>
          <w:r>
            <w:rPr>
              <w:webHidden/>
            </w:rPr>
            <w:tab/>
            <w:t>D1</w:t>
          </w:r>
          <w:r>
            <w:rPr>
              <w:webHidden/>
            </w:rPr>
            <w:tab/>
          </w:r>
          <w:r>
            <w:t>Email Notification to Regional Offices</w:t>
          </w:r>
          <w:r>
            <w:rPr>
              <w:webHidden/>
            </w:rPr>
            <w:tab/>
            <w:t>D1-1</w:t>
          </w:r>
        </w:p>
        <w:p w:rsidR="005715CF" w:rsidRDefault="005715CF" w:rsidP="005715CF">
          <w:pPr>
            <w:tabs>
              <w:tab w:val="left" w:pos="270"/>
              <w:tab w:val="left" w:leader="dot" w:pos="7830"/>
            </w:tabs>
            <w:ind w:left="810" w:hanging="1350"/>
            <w:rPr>
              <w:webHidden/>
            </w:rPr>
          </w:pPr>
          <w:r>
            <w:rPr>
              <w:webHidden/>
            </w:rPr>
            <w:tab/>
            <w:t>D2</w:t>
          </w:r>
          <w:r>
            <w:rPr>
              <w:webHidden/>
            </w:rPr>
            <w:tab/>
            <w:t>Invitation Letter to State CN Directors</w:t>
          </w:r>
          <w:r>
            <w:rPr>
              <w:webHidden/>
            </w:rPr>
            <w:tab/>
            <w:t>D2-1</w:t>
          </w:r>
        </w:p>
        <w:p w:rsidR="005715CF" w:rsidRDefault="005715CF" w:rsidP="005715CF">
          <w:pPr>
            <w:tabs>
              <w:tab w:val="left" w:pos="270"/>
              <w:tab w:val="left" w:leader="dot" w:pos="7830"/>
            </w:tabs>
            <w:ind w:left="810" w:hanging="1350"/>
            <w:rPr>
              <w:webHidden/>
            </w:rPr>
          </w:pPr>
          <w:r>
            <w:rPr>
              <w:webHidden/>
            </w:rPr>
            <w:tab/>
            <w:t>D3</w:t>
          </w:r>
          <w:r w:rsidR="00BF730F">
            <w:rPr>
              <w:webHidden/>
            </w:rPr>
            <w:t>.1</w:t>
          </w:r>
          <w:r>
            <w:rPr>
              <w:webHidden/>
            </w:rPr>
            <w:tab/>
            <w:t>Follow-Up Email to State CN Directors</w:t>
          </w:r>
          <w:r>
            <w:rPr>
              <w:webHidden/>
            </w:rPr>
            <w:tab/>
            <w:t>D3</w:t>
          </w:r>
          <w:r w:rsidR="00BF730F">
            <w:rPr>
              <w:webHidden/>
            </w:rPr>
            <w:t>.1</w:t>
          </w:r>
          <w:r>
            <w:rPr>
              <w:webHidden/>
            </w:rPr>
            <w:t>-1</w:t>
          </w:r>
        </w:p>
        <w:p w:rsidR="00C23E23" w:rsidRDefault="00C23E23" w:rsidP="005715CF">
          <w:pPr>
            <w:tabs>
              <w:tab w:val="left" w:pos="270"/>
              <w:tab w:val="left" w:leader="dot" w:pos="7830"/>
            </w:tabs>
            <w:ind w:left="810" w:hanging="1350"/>
            <w:rPr>
              <w:webHidden/>
            </w:rPr>
          </w:pPr>
          <w:r>
            <w:rPr>
              <w:webHidden/>
            </w:rPr>
            <w:tab/>
            <w:t>D3.2</w:t>
          </w:r>
          <w:r>
            <w:rPr>
              <w:webHidden/>
            </w:rPr>
            <w:tab/>
            <w:t>Reminder Email to State CN Directors</w:t>
          </w:r>
          <w:r w:rsidRPr="00C23E23">
            <w:rPr>
              <w:webHidden/>
            </w:rPr>
            <w:t xml:space="preserve"> </w:t>
          </w:r>
          <w:r>
            <w:rPr>
              <w:webHidden/>
            </w:rPr>
            <w:tab/>
            <w:t>D3.</w:t>
          </w:r>
          <w:r>
            <w:rPr>
              <w:webHidden/>
            </w:rPr>
            <w:t>2</w:t>
          </w:r>
          <w:r>
            <w:rPr>
              <w:webHidden/>
            </w:rPr>
            <w:t>-1</w:t>
          </w:r>
        </w:p>
        <w:p w:rsidR="005715CF" w:rsidRDefault="005715CF" w:rsidP="005715CF">
          <w:pPr>
            <w:tabs>
              <w:tab w:val="left" w:pos="270"/>
              <w:tab w:val="left" w:leader="dot" w:pos="7830"/>
            </w:tabs>
            <w:ind w:left="810" w:hanging="1350"/>
            <w:rPr>
              <w:webHidden/>
            </w:rPr>
          </w:pPr>
          <w:r>
            <w:rPr>
              <w:webHidden/>
            </w:rPr>
            <w:tab/>
            <w:t>D4</w:t>
          </w:r>
          <w:r>
            <w:rPr>
              <w:webHidden/>
            </w:rPr>
            <w:tab/>
          </w:r>
          <w:r>
            <w:t>CN and SFA Director Telephone Interviewer Scripts</w:t>
          </w:r>
          <w:r>
            <w:rPr>
              <w:webHidden/>
            </w:rPr>
            <w:tab/>
            <w:t>D4-1</w:t>
          </w:r>
        </w:p>
        <w:p w:rsidR="005715CF" w:rsidRDefault="005715CF" w:rsidP="005715CF">
          <w:pPr>
            <w:tabs>
              <w:tab w:val="left" w:pos="810"/>
              <w:tab w:val="left" w:leader="dot" w:pos="7830"/>
              <w:tab w:val="left" w:pos="8370"/>
              <w:tab w:val="left" w:pos="8910"/>
            </w:tabs>
            <w:ind w:left="900" w:right="990" w:hanging="630"/>
            <w:rPr>
              <w:webHidden/>
            </w:rPr>
          </w:pPr>
          <w:r>
            <w:rPr>
              <w:webHidden/>
            </w:rPr>
            <w:t>D5</w:t>
          </w:r>
          <w:r>
            <w:rPr>
              <w:webHidden/>
            </w:rPr>
            <w:tab/>
          </w:r>
          <w:r>
            <w:t>Thank You Letter to State CN Director</w:t>
          </w:r>
          <w:r>
            <w:tab/>
          </w:r>
          <w:r>
            <w:rPr>
              <w:webHidden/>
            </w:rPr>
            <w:t>D5-1</w:t>
          </w:r>
        </w:p>
        <w:p w:rsidR="005715CF" w:rsidRDefault="005715CF" w:rsidP="005715CF">
          <w:pPr>
            <w:tabs>
              <w:tab w:val="left" w:pos="270"/>
              <w:tab w:val="left" w:leader="dot" w:pos="7830"/>
            </w:tabs>
            <w:ind w:left="810" w:hanging="1350"/>
            <w:rPr>
              <w:webHidden/>
            </w:rPr>
          </w:pPr>
          <w:r>
            <w:rPr>
              <w:webHidden/>
            </w:rPr>
            <w:tab/>
            <w:t>D6</w:t>
          </w:r>
          <w:r>
            <w:rPr>
              <w:webHidden/>
            </w:rPr>
            <w:tab/>
          </w:r>
          <w:r>
            <w:t>Email Notification to State CN Directors</w:t>
          </w:r>
          <w:r>
            <w:rPr>
              <w:webHidden/>
            </w:rPr>
            <w:tab/>
            <w:t>D6-1</w:t>
          </w:r>
        </w:p>
        <w:p w:rsidR="005715CF" w:rsidRDefault="005715CF" w:rsidP="005715CF">
          <w:pPr>
            <w:tabs>
              <w:tab w:val="left" w:pos="270"/>
              <w:tab w:val="left" w:leader="dot" w:pos="7830"/>
            </w:tabs>
            <w:ind w:left="810" w:hanging="1350"/>
            <w:rPr>
              <w:webHidden/>
            </w:rPr>
          </w:pPr>
          <w:r>
            <w:rPr>
              <w:webHidden/>
            </w:rPr>
            <w:tab/>
            <w:t>D7</w:t>
          </w:r>
          <w:r>
            <w:rPr>
              <w:webHidden/>
            </w:rPr>
            <w:tab/>
          </w:r>
          <w:r>
            <w:t>Invitation Letter to SFA Directors</w:t>
          </w:r>
          <w:r>
            <w:rPr>
              <w:webHidden/>
            </w:rPr>
            <w:tab/>
            <w:t>D7-1</w:t>
          </w:r>
        </w:p>
        <w:p w:rsidR="005715CF" w:rsidRDefault="005715CF" w:rsidP="005715CF">
          <w:pPr>
            <w:tabs>
              <w:tab w:val="left" w:pos="270"/>
              <w:tab w:val="left" w:leader="dot" w:pos="7830"/>
            </w:tabs>
            <w:ind w:left="810" w:hanging="1350"/>
            <w:rPr>
              <w:webHidden/>
            </w:rPr>
          </w:pPr>
          <w:r>
            <w:rPr>
              <w:webHidden/>
            </w:rPr>
            <w:tab/>
            <w:t>D8</w:t>
          </w:r>
          <w:r w:rsidR="00C23E23">
            <w:rPr>
              <w:webHidden/>
            </w:rPr>
            <w:t>.1</w:t>
          </w:r>
          <w:r>
            <w:rPr>
              <w:webHidden/>
            </w:rPr>
            <w:tab/>
            <w:t xml:space="preserve">Follow-Up Email </w:t>
          </w:r>
          <w:r w:rsidR="00C23E23">
            <w:rPr>
              <w:webHidden/>
            </w:rPr>
            <w:t>t</w:t>
          </w:r>
          <w:r>
            <w:rPr>
              <w:webHidden/>
            </w:rPr>
            <w:t>o SFA Directors</w:t>
          </w:r>
          <w:r>
            <w:rPr>
              <w:webHidden/>
            </w:rPr>
            <w:tab/>
            <w:t>D8</w:t>
          </w:r>
          <w:r w:rsidR="00C23E23">
            <w:rPr>
              <w:webHidden/>
            </w:rPr>
            <w:t>.1</w:t>
          </w:r>
          <w:r>
            <w:rPr>
              <w:webHidden/>
            </w:rPr>
            <w:t>-1</w:t>
          </w:r>
        </w:p>
        <w:p w:rsidR="00C23E23" w:rsidRDefault="00C23E23" w:rsidP="005715CF">
          <w:pPr>
            <w:tabs>
              <w:tab w:val="left" w:pos="270"/>
              <w:tab w:val="left" w:leader="dot" w:pos="7830"/>
            </w:tabs>
            <w:ind w:left="810" w:hanging="1350"/>
            <w:rPr>
              <w:webHidden/>
            </w:rPr>
          </w:pPr>
          <w:r>
            <w:rPr>
              <w:webHidden/>
            </w:rPr>
            <w:tab/>
            <w:t>D8.2</w:t>
          </w:r>
          <w:r>
            <w:rPr>
              <w:webHidden/>
            </w:rPr>
            <w:tab/>
            <w:t>Reminder Email to SFA Directors</w:t>
          </w:r>
          <w:r w:rsidRPr="00C23E23">
            <w:rPr>
              <w:webHidden/>
            </w:rPr>
            <w:t xml:space="preserve"> </w:t>
          </w:r>
          <w:r>
            <w:rPr>
              <w:webHidden/>
            </w:rPr>
            <w:tab/>
            <w:t>D8.</w:t>
          </w:r>
          <w:r>
            <w:rPr>
              <w:webHidden/>
            </w:rPr>
            <w:t>2</w:t>
          </w:r>
          <w:r>
            <w:rPr>
              <w:webHidden/>
            </w:rPr>
            <w:t>-1</w:t>
          </w:r>
        </w:p>
        <w:p w:rsidR="005715CF" w:rsidRDefault="005715CF" w:rsidP="005715CF">
          <w:pPr>
            <w:tabs>
              <w:tab w:val="left" w:pos="270"/>
              <w:tab w:val="left" w:leader="dot" w:pos="7830"/>
            </w:tabs>
            <w:ind w:left="810" w:hanging="1350"/>
            <w:rPr>
              <w:webHidden/>
            </w:rPr>
          </w:pPr>
          <w:r>
            <w:rPr>
              <w:webHidden/>
            </w:rPr>
            <w:tab/>
            <w:t>D9</w:t>
          </w:r>
          <w:r>
            <w:rPr>
              <w:webHidden/>
            </w:rPr>
            <w:tab/>
          </w:r>
          <w:r>
            <w:t>Thank You Letter to SFA Director</w:t>
          </w:r>
          <w:r>
            <w:rPr>
              <w:webHidden/>
            </w:rPr>
            <w:tab/>
            <w:t>D9-1</w:t>
          </w:r>
        </w:p>
        <w:p w:rsidR="005715CF" w:rsidRDefault="005715CF" w:rsidP="005715CF">
          <w:pPr>
            <w:tabs>
              <w:tab w:val="left" w:pos="270"/>
              <w:tab w:val="left" w:leader="dot" w:pos="7830"/>
            </w:tabs>
            <w:ind w:left="810" w:hanging="1350"/>
            <w:rPr>
              <w:webHidden/>
            </w:rPr>
          </w:pPr>
          <w:r>
            <w:rPr>
              <w:webHidden/>
            </w:rPr>
            <w:tab/>
            <w:t>E</w:t>
          </w:r>
          <w:r>
            <w:rPr>
              <w:webHidden/>
            </w:rPr>
            <w:tab/>
          </w:r>
          <w:r>
            <w:t>State CN Director Survey Year 3</w:t>
          </w:r>
          <w:r>
            <w:rPr>
              <w:webHidden/>
            </w:rPr>
            <w:tab/>
            <w:t>E-1</w:t>
          </w:r>
        </w:p>
        <w:p w:rsidR="005715CF" w:rsidRDefault="005715CF" w:rsidP="005715CF">
          <w:pPr>
            <w:tabs>
              <w:tab w:val="left" w:pos="270"/>
              <w:tab w:val="left" w:leader="dot" w:pos="7830"/>
            </w:tabs>
            <w:ind w:left="810" w:hanging="1350"/>
            <w:rPr>
              <w:webHidden/>
            </w:rPr>
          </w:pPr>
          <w:r>
            <w:rPr>
              <w:webHidden/>
            </w:rPr>
            <w:tab/>
            <w:t>F</w:t>
          </w:r>
          <w:r>
            <w:rPr>
              <w:webHidden/>
            </w:rPr>
            <w:tab/>
          </w:r>
          <w:r>
            <w:t>SFA Director Survey Year 3</w:t>
          </w:r>
          <w:r>
            <w:rPr>
              <w:webHidden/>
            </w:rPr>
            <w:tab/>
            <w:t>F-1</w:t>
          </w:r>
        </w:p>
        <w:p w:rsidR="00E238D7" w:rsidRDefault="00533C96" w:rsidP="00AB159B">
          <w:pPr>
            <w:tabs>
              <w:tab w:val="left" w:pos="270"/>
              <w:tab w:val="left" w:leader="dot" w:pos="7830"/>
            </w:tabs>
            <w:ind w:left="1440" w:hanging="1440"/>
          </w:pPr>
        </w:p>
      </w:sdtContent>
    </w:sdt>
    <w:p w:rsidR="00983EE0" w:rsidRDefault="00983EE0" w:rsidP="005700E0">
      <w:pPr>
        <w:tabs>
          <w:tab w:val="left" w:pos="1620"/>
          <w:tab w:val="right" w:leader="dot" w:pos="8640"/>
          <w:tab w:val="left" w:pos="8910"/>
        </w:tabs>
        <w:ind w:left="1620" w:right="1080" w:hanging="720"/>
      </w:pPr>
    </w:p>
    <w:p w:rsidR="002D64BF" w:rsidRDefault="002D64BF" w:rsidP="002D64BF">
      <w:pPr>
        <w:tabs>
          <w:tab w:val="left" w:pos="900"/>
          <w:tab w:val="right" w:leader="dot" w:pos="8640"/>
          <w:tab w:val="left" w:pos="8910"/>
        </w:tabs>
        <w:ind w:left="900" w:right="1080" w:hanging="630"/>
      </w:pPr>
      <w:bookmarkStart w:id="4" w:name="_Toc282506021"/>
      <w:bookmarkStart w:id="5" w:name="_Toc339621279"/>
      <w:r>
        <w:tab/>
      </w:r>
    </w:p>
    <w:p w:rsidR="002D64BF" w:rsidRDefault="002D64BF" w:rsidP="002D64BF">
      <w:pPr>
        <w:tabs>
          <w:tab w:val="left" w:pos="900"/>
          <w:tab w:val="right" w:leader="dot" w:pos="8640"/>
          <w:tab w:val="left" w:pos="8910"/>
        </w:tabs>
        <w:ind w:left="900" w:right="1080" w:hanging="630"/>
      </w:pPr>
    </w:p>
    <w:bookmarkEnd w:id="4"/>
    <w:bookmarkEnd w:id="5"/>
    <w:p w:rsidR="005D69FB" w:rsidRDefault="005D69FB" w:rsidP="005D69FB">
      <w:pPr>
        <w:pStyle w:val="BodyTextIndent3"/>
        <w:widowControl/>
        <w:tabs>
          <w:tab w:val="clear" w:pos="0"/>
        </w:tabs>
        <w:suppressAutoHyphens w:val="0"/>
        <w:autoSpaceDE/>
        <w:autoSpaceDN/>
        <w:adjustRightInd/>
        <w:spacing w:line="240" w:lineRule="auto"/>
        <w:ind w:firstLine="0"/>
        <w:jc w:val="center"/>
        <w:rPr>
          <w:bCs/>
          <w:szCs w:val="24"/>
        </w:rPr>
      </w:pPr>
    </w:p>
    <w:p w:rsidR="005D69FB" w:rsidRDefault="005D69FB" w:rsidP="005D69FB">
      <w:pPr>
        <w:pStyle w:val="BodyTextIndent3"/>
        <w:widowControl/>
        <w:tabs>
          <w:tab w:val="clear" w:pos="0"/>
        </w:tabs>
        <w:suppressAutoHyphens w:val="0"/>
        <w:autoSpaceDE/>
        <w:autoSpaceDN/>
        <w:adjustRightInd/>
        <w:spacing w:line="240" w:lineRule="auto"/>
        <w:ind w:firstLine="0"/>
        <w:jc w:val="center"/>
        <w:rPr>
          <w:bCs/>
          <w:szCs w:val="24"/>
        </w:rPr>
        <w:sectPr w:rsidR="005D69FB" w:rsidSect="0019187E">
          <w:footerReference w:type="default" r:id="rId11"/>
          <w:headerReference w:type="first" r:id="rId12"/>
          <w:footerReference w:type="first" r:id="rId13"/>
          <w:endnotePr>
            <w:numFmt w:val="decimal"/>
          </w:endnotePr>
          <w:pgSz w:w="12240" w:h="15840" w:code="1"/>
          <w:pgMar w:top="1440" w:right="1440" w:bottom="1440" w:left="1440" w:header="720" w:footer="576" w:gutter="0"/>
          <w:pgNumType w:start="1"/>
          <w:cols w:space="720"/>
          <w:noEndnote/>
          <w:titlePg/>
          <w:docGrid w:linePitch="326"/>
        </w:sectPr>
      </w:pPr>
    </w:p>
    <w:p w:rsidR="00B06525" w:rsidRPr="00281D17" w:rsidRDefault="00B06525" w:rsidP="00001D5E">
      <w:pPr>
        <w:spacing w:line="240" w:lineRule="auto"/>
        <w:jc w:val="center"/>
        <w:rPr>
          <w:b/>
          <w:caps/>
          <w:sz w:val="28"/>
          <w:szCs w:val="28"/>
        </w:rPr>
      </w:pPr>
      <w:r w:rsidRPr="00281D17">
        <w:rPr>
          <w:b/>
          <w:caps/>
          <w:sz w:val="28"/>
          <w:szCs w:val="28"/>
        </w:rPr>
        <w:lastRenderedPageBreak/>
        <w:t>SUPPORTING STATEMENT B</w:t>
      </w:r>
    </w:p>
    <w:p w:rsidR="00B06525" w:rsidRPr="00D6005B" w:rsidRDefault="00B06525" w:rsidP="00001D5E">
      <w:pPr>
        <w:spacing w:line="240" w:lineRule="auto"/>
        <w:jc w:val="center"/>
        <w:rPr>
          <w:b/>
          <w:caps/>
          <w:szCs w:val="24"/>
        </w:rPr>
      </w:pPr>
    </w:p>
    <w:p w:rsidR="00B06525" w:rsidRPr="00281D17" w:rsidRDefault="00B06525" w:rsidP="00001D5E">
      <w:pPr>
        <w:spacing w:line="240" w:lineRule="auto"/>
        <w:jc w:val="center"/>
        <w:rPr>
          <w:b/>
          <w:bCs/>
          <w:sz w:val="28"/>
          <w:szCs w:val="28"/>
        </w:rPr>
      </w:pPr>
      <w:r w:rsidRPr="00281D17">
        <w:rPr>
          <w:b/>
          <w:sz w:val="28"/>
          <w:szCs w:val="28"/>
        </w:rPr>
        <w:t>Special Nutrition Program Operations Study</w:t>
      </w:r>
      <w:r w:rsidRPr="00281D17">
        <w:rPr>
          <w:b/>
          <w:bCs/>
          <w:sz w:val="28"/>
          <w:szCs w:val="28"/>
        </w:rPr>
        <w:t xml:space="preserve"> </w:t>
      </w:r>
    </w:p>
    <w:p w:rsidR="00B06525" w:rsidRPr="004D4B51" w:rsidRDefault="00B06525" w:rsidP="00001D5E">
      <w:pPr>
        <w:spacing w:line="240" w:lineRule="auto"/>
        <w:ind w:left="720" w:hanging="720"/>
        <w:jc w:val="both"/>
        <w:rPr>
          <w:szCs w:val="24"/>
        </w:rPr>
      </w:pPr>
    </w:p>
    <w:p w:rsidR="00B06525" w:rsidRPr="004D4B51" w:rsidRDefault="00B06525" w:rsidP="00001D5E">
      <w:pPr>
        <w:spacing w:line="240" w:lineRule="auto"/>
        <w:ind w:left="720" w:hanging="720"/>
        <w:jc w:val="both"/>
        <w:rPr>
          <w:szCs w:val="24"/>
        </w:rPr>
      </w:pPr>
    </w:p>
    <w:p w:rsidR="00B06525" w:rsidRPr="00001D5E" w:rsidRDefault="00B06525" w:rsidP="00161A77">
      <w:pPr>
        <w:pStyle w:val="Heading1"/>
        <w:numPr>
          <w:ilvl w:val="0"/>
          <w:numId w:val="11"/>
        </w:numPr>
        <w:tabs>
          <w:tab w:val="clear" w:pos="1152"/>
          <w:tab w:val="left" w:pos="720"/>
        </w:tabs>
        <w:ind w:left="720" w:hanging="720"/>
        <w:rPr>
          <w:rFonts w:ascii="Garamond" w:hAnsi="Garamond"/>
          <w:bCs/>
          <w:color w:val="auto"/>
          <w:sz w:val="24"/>
        </w:rPr>
      </w:pPr>
      <w:bookmarkStart w:id="6" w:name="_Toc282506041"/>
      <w:bookmarkStart w:id="7" w:name="_Toc339621302"/>
      <w:r w:rsidRPr="00001D5E">
        <w:rPr>
          <w:rFonts w:ascii="Garamond" w:hAnsi="Garamond"/>
          <w:bCs/>
          <w:color w:val="auto"/>
          <w:sz w:val="24"/>
        </w:rPr>
        <w:t>COLLECTIONS OF INFORMATION EMPLOYING STATISTICAL METHODS</w:t>
      </w:r>
      <w:bookmarkEnd w:id="6"/>
      <w:bookmarkEnd w:id="7"/>
    </w:p>
    <w:p w:rsidR="00B06525" w:rsidRDefault="00B06525" w:rsidP="00B06525">
      <w:pPr>
        <w:tabs>
          <w:tab w:val="left" w:pos="720"/>
        </w:tabs>
        <w:spacing w:after="80"/>
        <w:ind w:left="720" w:hanging="720"/>
        <w:rPr>
          <w:b/>
          <w:szCs w:val="24"/>
        </w:rPr>
      </w:pPr>
      <w:bookmarkStart w:id="8" w:name="_Toc282506042"/>
      <w:r w:rsidRPr="00281D17">
        <w:rPr>
          <w:b/>
          <w:szCs w:val="24"/>
        </w:rPr>
        <w:t>B.1</w:t>
      </w:r>
      <w:r w:rsidRPr="00281D17">
        <w:rPr>
          <w:b/>
          <w:szCs w:val="24"/>
        </w:rPr>
        <w:tab/>
      </w:r>
      <w:bookmarkEnd w:id="8"/>
      <w:r w:rsidRPr="00281D17">
        <w:rPr>
          <w:b/>
          <w:szCs w:val="24"/>
        </w:rPr>
        <w:t xml:space="preserve">Describe (including a numerical estimate) the potential </w:t>
      </w:r>
      <w:r w:rsidR="00D35A00">
        <w:rPr>
          <w:b/>
          <w:szCs w:val="24"/>
        </w:rPr>
        <w:t>respondent universe and any sam</w:t>
      </w:r>
      <w:r w:rsidRPr="00281D17">
        <w:rPr>
          <w:b/>
          <w:szCs w:val="24"/>
        </w:rPr>
        <w:t xml:space="preserve">pling or other respondent selection method to be used. Data on the number of entities (e.g., establishments, State and local government units, households, or persons) in the universe covered by </w:t>
      </w:r>
      <w:r w:rsidR="00D35A00">
        <w:rPr>
          <w:b/>
          <w:szCs w:val="24"/>
        </w:rPr>
        <w:t>the collection and in the corre</w:t>
      </w:r>
      <w:r w:rsidRPr="00281D17">
        <w:rPr>
          <w:b/>
          <w:szCs w:val="24"/>
        </w:rPr>
        <w:t>sponding sample are to be provi</w:t>
      </w:r>
      <w:r w:rsidR="00D35A00">
        <w:rPr>
          <w:b/>
          <w:szCs w:val="24"/>
        </w:rPr>
        <w:t>ded in tabular form for the uni</w:t>
      </w:r>
      <w:r w:rsidRPr="00281D17">
        <w:rPr>
          <w:b/>
          <w:szCs w:val="24"/>
        </w:rPr>
        <w:t>verse as a whole and for each of the strata in the proposed sample. Indicate expected response rates for the collection as a whole. If the collection had been conducted previously, include the actual response rate achieved during the last collection.</w:t>
      </w:r>
    </w:p>
    <w:p w:rsidR="00B06525" w:rsidRDefault="00B06525" w:rsidP="00B06525"/>
    <w:p w:rsidR="00561B28" w:rsidRDefault="00561B28" w:rsidP="00B06525"/>
    <w:p w:rsidR="00B06525" w:rsidRPr="00281D17" w:rsidRDefault="00B06525" w:rsidP="006A20B9">
      <w:pPr>
        <w:spacing w:line="480" w:lineRule="auto"/>
      </w:pPr>
      <w:r w:rsidRPr="00281D17">
        <w:t xml:space="preserve">The respondent universe for the proposed </w:t>
      </w:r>
      <w:r w:rsidR="00CD2FCF">
        <w:t xml:space="preserve">Year 3 </w:t>
      </w:r>
      <w:r w:rsidRPr="00281D17">
        <w:t>survey include</w:t>
      </w:r>
      <w:r>
        <w:t>s</w:t>
      </w:r>
      <w:r w:rsidRPr="00281D17">
        <w:t xml:space="preserve"> all SFAs operating in public school districts in the United States and outlying territories that </w:t>
      </w:r>
      <w:r>
        <w:t>were</w:t>
      </w:r>
      <w:r w:rsidRPr="00281D17">
        <w:t xml:space="preserve"> required to submit form FNS-742 (SFA Verification Summary Data</w:t>
      </w:r>
      <w:r w:rsidRPr="003D64AB">
        <w:t xml:space="preserve"> 7 CFR Part 245, Determining Eligibility for Free &amp; Reduced Price Meals, </w:t>
      </w:r>
      <w:r w:rsidRPr="006752C8">
        <w:t xml:space="preserve">OMB# 0584-0026, expiration date </w:t>
      </w:r>
      <w:r w:rsidR="002A373C" w:rsidRPr="006752C8">
        <w:t>4</w:t>
      </w:r>
      <w:r w:rsidRPr="006752C8">
        <w:t>/3</w:t>
      </w:r>
      <w:r w:rsidR="002A373C" w:rsidRPr="006752C8">
        <w:t>0</w:t>
      </w:r>
      <w:r w:rsidRPr="006752C8">
        <w:t>/201</w:t>
      </w:r>
      <w:r w:rsidR="002A373C">
        <w:t>6</w:t>
      </w:r>
      <w:r w:rsidRPr="003D64AB">
        <w:t>)</w:t>
      </w:r>
      <w:r w:rsidRPr="00281D17">
        <w:t xml:space="preserve">  to USDA</w:t>
      </w:r>
      <w:r w:rsidR="0075603E">
        <w:t>-</w:t>
      </w:r>
      <w:r w:rsidRPr="00281D17">
        <w:t xml:space="preserve"> FNS</w:t>
      </w:r>
      <w:r>
        <w:t xml:space="preserve"> in SY2011-12</w:t>
      </w:r>
      <w:r w:rsidRPr="00281D17">
        <w:t xml:space="preserve">. </w:t>
      </w:r>
      <w:r w:rsidR="00CD2FCF">
        <w:t xml:space="preserve">The Year 3 survey will use the same respondent universe and sampling frame as Year 2. </w:t>
      </w:r>
      <w:r w:rsidRPr="00281D17">
        <w:t xml:space="preserve">In general, </w:t>
      </w:r>
      <w:r>
        <w:t xml:space="preserve">all </w:t>
      </w:r>
      <w:r w:rsidRPr="00281D17">
        <w:t>SFAs that participate</w:t>
      </w:r>
      <w:r>
        <w:t>d</w:t>
      </w:r>
      <w:r w:rsidRPr="00281D17">
        <w:t xml:space="preserve"> in the NSLP or SBP</w:t>
      </w:r>
      <w:r>
        <w:t xml:space="preserve"> are</w:t>
      </w:r>
      <w:r w:rsidRPr="00281D17">
        <w:t xml:space="preserve"> included in the respondent universe with the following exceptions: </w:t>
      </w:r>
    </w:p>
    <w:p w:rsidR="00B06525" w:rsidRPr="00D6005B" w:rsidRDefault="00B06525" w:rsidP="006A20B9">
      <w:pPr>
        <w:spacing w:line="480" w:lineRule="auto"/>
      </w:pPr>
    </w:p>
    <w:p w:rsidR="00B06525" w:rsidRPr="00D6005B" w:rsidRDefault="00B06525" w:rsidP="006A20B9">
      <w:pPr>
        <w:pStyle w:val="N1-1stBullet"/>
        <w:tabs>
          <w:tab w:val="clear" w:pos="1152"/>
          <w:tab w:val="num" w:pos="1080"/>
        </w:tabs>
        <w:spacing w:line="240" w:lineRule="auto"/>
        <w:ind w:left="1080" w:hanging="504"/>
        <w:rPr>
          <w:szCs w:val="24"/>
        </w:rPr>
      </w:pPr>
      <w:r w:rsidRPr="00D6005B">
        <w:rPr>
          <w:szCs w:val="24"/>
        </w:rPr>
        <w:t xml:space="preserve">SFAs that operate only in Residential Child Care Institutions that do not have day time students;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SFAs that do not have students who are eligible for free/reduced-price lunch;</w:t>
      </w:r>
      <w:r>
        <w:rPr>
          <w:szCs w:val="24"/>
        </w:rPr>
        <w:t xml:space="preserve">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SFAs in some outlying territories that are not required to complete form FNS-742; and </w:t>
      </w:r>
    </w:p>
    <w:p w:rsidR="00B06525"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Private schools that participate in the NSLP. </w:t>
      </w:r>
    </w:p>
    <w:p w:rsidR="00B06525" w:rsidRDefault="00B06525" w:rsidP="006A20B9">
      <w:pPr>
        <w:pStyle w:val="P1-StandPara"/>
        <w:spacing w:line="480" w:lineRule="auto"/>
        <w:ind w:left="720" w:right="-86" w:firstLine="0"/>
        <w:rPr>
          <w:szCs w:val="24"/>
        </w:rPr>
      </w:pPr>
    </w:p>
    <w:p w:rsidR="004E729A" w:rsidRPr="00D6005B" w:rsidRDefault="004E729A" w:rsidP="006A20B9">
      <w:pPr>
        <w:pStyle w:val="P1-StandPara"/>
        <w:spacing w:line="480" w:lineRule="auto"/>
        <w:ind w:left="720" w:right="-86" w:firstLine="0"/>
        <w:rPr>
          <w:szCs w:val="24"/>
        </w:rPr>
      </w:pPr>
    </w:p>
    <w:p w:rsidR="00B06525" w:rsidRDefault="00B06525" w:rsidP="006A20B9">
      <w:pPr>
        <w:pStyle w:val="P1-StandPara"/>
        <w:spacing w:line="480" w:lineRule="auto"/>
        <w:ind w:right="-86" w:firstLine="0"/>
        <w:rPr>
          <w:szCs w:val="24"/>
        </w:rPr>
      </w:pPr>
      <w:r w:rsidRPr="00D6005B">
        <w:rPr>
          <w:szCs w:val="24"/>
        </w:rPr>
        <w:lastRenderedPageBreak/>
        <w:t xml:space="preserve">The </w:t>
      </w:r>
      <w:r w:rsidR="00B36511">
        <w:rPr>
          <w:szCs w:val="24"/>
        </w:rPr>
        <w:t xml:space="preserve">SY </w:t>
      </w:r>
      <w:r>
        <w:rPr>
          <w:szCs w:val="24"/>
        </w:rPr>
        <w:t>2011-12</w:t>
      </w:r>
      <w:r w:rsidRPr="00D6005B">
        <w:rPr>
          <w:szCs w:val="24"/>
        </w:rPr>
        <w:t xml:space="preserve"> FNS-742 database </w:t>
      </w:r>
      <w:r w:rsidR="00CD2FCF">
        <w:rPr>
          <w:szCs w:val="24"/>
        </w:rPr>
        <w:t>was</w:t>
      </w:r>
      <w:r w:rsidRPr="00D6005B">
        <w:rPr>
          <w:szCs w:val="24"/>
        </w:rPr>
        <w:t xml:space="preserve"> used to construct the SFA sampling frame</w:t>
      </w:r>
      <w:r>
        <w:rPr>
          <w:szCs w:val="24"/>
        </w:rPr>
        <w:t xml:space="preserve"> (</w:t>
      </w:r>
      <w:r w:rsidRPr="00D6005B">
        <w:rPr>
          <w:szCs w:val="24"/>
        </w:rPr>
        <w:t>i.e., the universe file</w:t>
      </w:r>
      <w:r>
        <w:rPr>
          <w:szCs w:val="24"/>
        </w:rPr>
        <w:t>)</w:t>
      </w:r>
      <w:r w:rsidRPr="00D6005B">
        <w:rPr>
          <w:szCs w:val="24"/>
        </w:rPr>
        <w:t xml:space="preserve"> from which the respondent samples will be drawn. There </w:t>
      </w:r>
      <w:r w:rsidR="00CD2FCF">
        <w:rPr>
          <w:szCs w:val="24"/>
        </w:rPr>
        <w:t>were</w:t>
      </w:r>
      <w:r w:rsidRPr="00D6005B">
        <w:rPr>
          <w:szCs w:val="24"/>
        </w:rPr>
        <w:t xml:space="preserve"> over </w:t>
      </w:r>
      <w:r>
        <w:rPr>
          <w:szCs w:val="24"/>
        </w:rPr>
        <w:t>19</w:t>
      </w:r>
      <w:r w:rsidRPr="00D6005B">
        <w:rPr>
          <w:szCs w:val="24"/>
        </w:rPr>
        <w:t xml:space="preserve">,000 SFAs in the </w:t>
      </w:r>
      <w:r>
        <w:rPr>
          <w:szCs w:val="24"/>
        </w:rPr>
        <w:t>2011</w:t>
      </w:r>
      <w:r w:rsidRPr="00D6005B">
        <w:rPr>
          <w:szCs w:val="24"/>
        </w:rPr>
        <w:t>-</w:t>
      </w:r>
      <w:r>
        <w:rPr>
          <w:szCs w:val="24"/>
        </w:rPr>
        <w:t>12</w:t>
      </w:r>
      <w:r w:rsidRPr="00D6005B">
        <w:rPr>
          <w:szCs w:val="24"/>
        </w:rPr>
        <w:t xml:space="preserve"> FNS-742 data base. However, </w:t>
      </w:r>
      <w:r>
        <w:rPr>
          <w:szCs w:val="24"/>
        </w:rPr>
        <w:t xml:space="preserve">only the </w:t>
      </w:r>
      <w:r w:rsidRPr="00D6005B">
        <w:rPr>
          <w:szCs w:val="24"/>
        </w:rPr>
        <w:t xml:space="preserve">approximately 15,000 SFAs operating in public school districts </w:t>
      </w:r>
      <w:r w:rsidR="00CD2FCF">
        <w:rPr>
          <w:szCs w:val="24"/>
        </w:rPr>
        <w:t>were</w:t>
      </w:r>
      <w:r w:rsidRPr="00D6005B">
        <w:rPr>
          <w:szCs w:val="24"/>
        </w:rPr>
        <w:t xml:space="preserve"> included in the sampling frame. Note that the unit of analysis for the study </w:t>
      </w:r>
      <w:r w:rsidR="00D07191">
        <w:rPr>
          <w:szCs w:val="24"/>
        </w:rPr>
        <w:t xml:space="preserve">is </w:t>
      </w:r>
      <w:r w:rsidRPr="00D6005B">
        <w:rPr>
          <w:szCs w:val="24"/>
        </w:rPr>
        <w:t>the SFA</w:t>
      </w:r>
      <w:r w:rsidR="00D07191">
        <w:rPr>
          <w:szCs w:val="24"/>
        </w:rPr>
        <w:t>,</w:t>
      </w:r>
      <w:r w:rsidRPr="00D6005B">
        <w:rPr>
          <w:szCs w:val="24"/>
        </w:rPr>
        <w:t xml:space="preserve"> which usually (but not always) coincides with a local education agency (LEA) as defined in the U.S. Department of Education’s Common Core of Data (CCD) Local Education Agency Universe Survey File maintained by the National Center for Education Statistics (NCES). Exceptions are SFAs that operate</w:t>
      </w:r>
      <w:r w:rsidR="00CD2FCF">
        <w:rPr>
          <w:szCs w:val="24"/>
        </w:rPr>
        <w:t>d</w:t>
      </w:r>
      <w:r w:rsidRPr="00D6005B">
        <w:rPr>
          <w:szCs w:val="24"/>
        </w:rPr>
        <w:t xml:space="preserve"> school food programs for multiple school districts and those operating individual schools (e.g., some public charter schools). In the </w:t>
      </w:r>
      <w:r>
        <w:rPr>
          <w:szCs w:val="24"/>
        </w:rPr>
        <w:t>2011</w:t>
      </w:r>
      <w:r w:rsidRPr="00D6005B">
        <w:rPr>
          <w:szCs w:val="24"/>
        </w:rPr>
        <w:t>-</w:t>
      </w:r>
      <w:r>
        <w:rPr>
          <w:szCs w:val="24"/>
        </w:rPr>
        <w:t>12</w:t>
      </w:r>
      <w:r w:rsidRPr="00D6005B">
        <w:rPr>
          <w:szCs w:val="24"/>
        </w:rPr>
        <w:t xml:space="preserve"> FNS-742 data base, </w:t>
      </w:r>
      <w:r>
        <w:rPr>
          <w:szCs w:val="24"/>
        </w:rPr>
        <w:t>approximately</w:t>
      </w:r>
      <w:r>
        <w:rPr>
          <w:color w:val="FF0000"/>
          <w:szCs w:val="24"/>
        </w:rPr>
        <w:t xml:space="preserve"> </w:t>
      </w:r>
      <w:r>
        <w:rPr>
          <w:szCs w:val="24"/>
        </w:rPr>
        <w:t>85</w:t>
      </w:r>
      <w:r w:rsidRPr="00D6005B">
        <w:rPr>
          <w:color w:val="FF0000"/>
          <w:szCs w:val="24"/>
        </w:rPr>
        <w:t xml:space="preserve"> </w:t>
      </w:r>
      <w:r w:rsidRPr="00D6005B">
        <w:rPr>
          <w:szCs w:val="24"/>
        </w:rPr>
        <w:t xml:space="preserve">percent of the eligible SFAs </w:t>
      </w:r>
      <w:r>
        <w:rPr>
          <w:szCs w:val="24"/>
        </w:rPr>
        <w:t>match</w:t>
      </w:r>
      <w:r w:rsidR="00CD2FCF">
        <w:rPr>
          <w:szCs w:val="24"/>
        </w:rPr>
        <w:t>ed</w:t>
      </w:r>
      <w:r w:rsidRPr="00D6005B">
        <w:rPr>
          <w:szCs w:val="24"/>
        </w:rPr>
        <w:t xml:space="preserve"> a district (LEA) in the</w:t>
      </w:r>
      <w:r>
        <w:rPr>
          <w:szCs w:val="24"/>
        </w:rPr>
        <w:t xml:space="preserve"> </w:t>
      </w:r>
      <w:r w:rsidR="00D07191">
        <w:rPr>
          <w:szCs w:val="24"/>
        </w:rPr>
        <w:t>then-</w:t>
      </w:r>
      <w:r>
        <w:rPr>
          <w:szCs w:val="24"/>
        </w:rPr>
        <w:t xml:space="preserve">current </w:t>
      </w:r>
      <w:r w:rsidRPr="00D6005B">
        <w:rPr>
          <w:szCs w:val="24"/>
        </w:rPr>
        <w:t>CCD universe file.</w:t>
      </w:r>
      <w:r>
        <w:rPr>
          <w:szCs w:val="24"/>
        </w:rPr>
        <w:t xml:space="preserve"> Table B1 summarizes the distribution of eligible SFAs in the sampling frame by enrollment size and categories of poverty status based on the percentage of students eligible for free/reduced</w:t>
      </w:r>
      <w:r w:rsidR="006A20B9">
        <w:rPr>
          <w:szCs w:val="24"/>
        </w:rPr>
        <w:t>-</w:t>
      </w:r>
      <w:r>
        <w:rPr>
          <w:szCs w:val="24"/>
        </w:rPr>
        <w:t>price lunch.</w:t>
      </w:r>
    </w:p>
    <w:p w:rsidR="004E729A" w:rsidRDefault="004E729A" w:rsidP="00001D5E">
      <w:pPr>
        <w:pStyle w:val="P1-StandPara"/>
        <w:spacing w:line="240" w:lineRule="auto"/>
        <w:ind w:right="-86" w:firstLine="0"/>
        <w:rPr>
          <w:szCs w:val="24"/>
        </w:rPr>
      </w:pPr>
    </w:p>
    <w:p w:rsidR="00B06525" w:rsidRDefault="00B06525" w:rsidP="00B06525">
      <w:pPr>
        <w:pStyle w:val="TT-TableTitle"/>
        <w:tabs>
          <w:tab w:val="clear" w:pos="1440"/>
          <w:tab w:val="left" w:pos="720"/>
          <w:tab w:val="left" w:pos="1980"/>
        </w:tabs>
        <w:ind w:left="1980" w:hanging="1260"/>
      </w:pPr>
      <w:bookmarkStart w:id="9" w:name="_Toc282508102"/>
      <w:bookmarkStart w:id="10" w:name="_Toc339621303"/>
      <w:r w:rsidRPr="00D6005B">
        <w:t>Table B1.</w:t>
      </w:r>
      <w:r w:rsidRPr="00D6005B">
        <w:tab/>
        <w:t xml:space="preserve">Distribution of eligible SFAs in the </w:t>
      </w:r>
      <w:r>
        <w:t>2011</w:t>
      </w:r>
      <w:r w:rsidRPr="00D6005B">
        <w:t>-</w:t>
      </w:r>
      <w:r>
        <w:t>12</w:t>
      </w:r>
      <w:r w:rsidRPr="00D6005B">
        <w:t xml:space="preserve"> FNS-742 universe</w:t>
      </w:r>
      <w:r>
        <w:t xml:space="preserve"> </w:t>
      </w:r>
      <w:r w:rsidRPr="00D6005B">
        <w:t xml:space="preserve">file </w:t>
      </w:r>
      <w:r>
        <w:br/>
      </w:r>
      <w:r w:rsidRPr="00D6005B">
        <w:t xml:space="preserve">(sampling frame) by </w:t>
      </w:r>
      <w:r>
        <w:t xml:space="preserve">enrollment </w:t>
      </w:r>
      <w:r w:rsidRPr="00D6005B">
        <w:t xml:space="preserve">size and </w:t>
      </w:r>
      <w:bookmarkEnd w:id="9"/>
      <w:r>
        <w:t xml:space="preserve">percent of students </w:t>
      </w:r>
      <w:r>
        <w:br/>
        <w:t>eligible for free/reduced price lunch</w:t>
      </w:r>
      <w:bookmarkEnd w:id="10"/>
    </w:p>
    <w:tbl>
      <w:tblPr>
        <w:tblW w:w="8006" w:type="dxa"/>
        <w:jc w:val="center"/>
        <w:tblLook w:val="04A0" w:firstRow="1" w:lastRow="0" w:firstColumn="1" w:lastColumn="0" w:noHBand="0" w:noVBand="1"/>
      </w:tblPr>
      <w:tblGrid>
        <w:gridCol w:w="2923"/>
        <w:gridCol w:w="1487"/>
        <w:gridCol w:w="1170"/>
        <w:gridCol w:w="1350"/>
        <w:gridCol w:w="1076"/>
      </w:tblGrid>
      <w:tr w:rsidR="00B06525" w:rsidRPr="00131B3D" w:rsidTr="00B06525">
        <w:trPr>
          <w:trHeight w:val="480"/>
          <w:jc w:val="center"/>
        </w:trPr>
        <w:tc>
          <w:tcPr>
            <w:tcW w:w="2923" w:type="dxa"/>
            <w:tcBorders>
              <w:top w:val="single" w:sz="4" w:space="0" w:color="auto"/>
              <w:left w:val="nil"/>
              <w:bottom w:val="single" w:sz="4" w:space="0" w:color="auto"/>
              <w:right w:val="nil"/>
            </w:tcBorders>
            <w:shd w:val="clear" w:color="auto" w:fill="AFBED7"/>
            <w:noWrap/>
            <w:vAlign w:val="bottom"/>
            <w:hideMark/>
          </w:tcPr>
          <w:p w:rsidR="00B06525" w:rsidRPr="00282786" w:rsidRDefault="00B06525" w:rsidP="00B06525">
            <w:pPr>
              <w:pStyle w:val="TH-TableHeading"/>
            </w:pPr>
            <w:r w:rsidRPr="00282786">
              <w:t> </w:t>
            </w:r>
          </w:p>
        </w:tc>
        <w:tc>
          <w:tcPr>
            <w:tcW w:w="4007" w:type="dxa"/>
            <w:gridSpan w:val="3"/>
            <w:tcBorders>
              <w:top w:val="single" w:sz="4" w:space="0" w:color="auto"/>
              <w:left w:val="nil"/>
              <w:bottom w:val="single" w:sz="4" w:space="0" w:color="auto"/>
              <w:right w:val="nil"/>
            </w:tcBorders>
            <w:shd w:val="clear" w:color="auto" w:fill="AFBED7"/>
            <w:vAlign w:val="bottom"/>
            <w:hideMark/>
          </w:tcPr>
          <w:p w:rsidR="00B06525" w:rsidRPr="00282786" w:rsidRDefault="00B06525" w:rsidP="00B06525">
            <w:pPr>
              <w:pStyle w:val="TH-TableHeading"/>
            </w:pPr>
            <w:bookmarkStart w:id="11" w:name="_Toc339621304"/>
            <w:r w:rsidRPr="00282786">
              <w:t>Percent of students eligible for free/reduced price lunch</w:t>
            </w:r>
            <w:bookmarkEnd w:id="11"/>
          </w:p>
        </w:tc>
        <w:tc>
          <w:tcPr>
            <w:tcW w:w="1076" w:type="dxa"/>
            <w:tcBorders>
              <w:top w:val="single" w:sz="4" w:space="0" w:color="auto"/>
              <w:left w:val="nil"/>
              <w:bottom w:val="single" w:sz="4" w:space="0" w:color="auto"/>
              <w:right w:val="nil"/>
            </w:tcBorders>
            <w:shd w:val="clear" w:color="auto" w:fill="AFBED7"/>
            <w:noWrap/>
            <w:vAlign w:val="bottom"/>
            <w:hideMark/>
          </w:tcPr>
          <w:p w:rsidR="00B06525" w:rsidRPr="00282786" w:rsidRDefault="00B06525" w:rsidP="00B06525">
            <w:pPr>
              <w:pStyle w:val="TH-TableHeading"/>
            </w:pPr>
            <w:r w:rsidRPr="00282786">
              <w:t> </w:t>
            </w:r>
          </w:p>
        </w:tc>
      </w:tr>
      <w:tr w:rsidR="00B06525" w:rsidRPr="00131B3D" w:rsidTr="00B06525">
        <w:trPr>
          <w:trHeight w:val="480"/>
          <w:jc w:val="center"/>
        </w:trPr>
        <w:tc>
          <w:tcPr>
            <w:tcW w:w="2923"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18488D">
            <w:pPr>
              <w:pStyle w:val="TX-TableText"/>
              <w:jc w:val="center"/>
            </w:pPr>
            <w:r w:rsidRPr="00282786">
              <w:t>SFA enrollment</w:t>
            </w:r>
            <w:r w:rsidR="0018488D" w:rsidRPr="0018488D">
              <w:rPr>
                <w:vertAlign w:val="superscript"/>
              </w:rPr>
              <w:t>1</w:t>
            </w:r>
          </w:p>
        </w:tc>
        <w:tc>
          <w:tcPr>
            <w:tcW w:w="1487"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B06525">
            <w:pPr>
              <w:pStyle w:val="TX-TableText"/>
              <w:jc w:val="center"/>
            </w:pPr>
            <w:r w:rsidRPr="00282786">
              <w:t>Less than 30</w:t>
            </w:r>
          </w:p>
        </w:tc>
        <w:tc>
          <w:tcPr>
            <w:tcW w:w="1170"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B06525">
            <w:pPr>
              <w:pStyle w:val="TX-TableText"/>
              <w:jc w:val="center"/>
            </w:pPr>
            <w:r w:rsidRPr="00282786">
              <w:t>30 to 59</w:t>
            </w:r>
          </w:p>
        </w:tc>
        <w:tc>
          <w:tcPr>
            <w:tcW w:w="1350"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B06525">
            <w:pPr>
              <w:pStyle w:val="TX-TableText"/>
              <w:jc w:val="center"/>
            </w:pPr>
            <w:r w:rsidRPr="00282786">
              <w:t>60 or more</w:t>
            </w:r>
          </w:p>
        </w:tc>
        <w:tc>
          <w:tcPr>
            <w:tcW w:w="1076" w:type="dxa"/>
            <w:tcBorders>
              <w:top w:val="single" w:sz="4" w:space="0" w:color="auto"/>
              <w:left w:val="nil"/>
              <w:bottom w:val="single" w:sz="4" w:space="0" w:color="auto"/>
              <w:right w:val="nil"/>
            </w:tcBorders>
            <w:shd w:val="clear" w:color="auto" w:fill="auto"/>
            <w:vAlign w:val="bottom"/>
            <w:hideMark/>
          </w:tcPr>
          <w:p w:rsidR="00B06525" w:rsidRPr="00282786" w:rsidRDefault="00B06525" w:rsidP="00B06525">
            <w:pPr>
              <w:pStyle w:val="TX-TableText"/>
              <w:jc w:val="center"/>
            </w:pPr>
            <w:r w:rsidRPr="00282786">
              <w:t>Total</w:t>
            </w:r>
          </w:p>
        </w:tc>
      </w:tr>
      <w:tr w:rsidR="00B06525" w:rsidRPr="00131B3D" w:rsidTr="00B06525">
        <w:trPr>
          <w:trHeight w:val="360"/>
          <w:jc w:val="center"/>
        </w:trPr>
        <w:tc>
          <w:tcPr>
            <w:tcW w:w="2923" w:type="dxa"/>
            <w:tcBorders>
              <w:top w:val="nil"/>
              <w:left w:val="nil"/>
              <w:bottom w:val="nil"/>
              <w:right w:val="nil"/>
            </w:tcBorders>
            <w:shd w:val="clear" w:color="auto" w:fill="auto"/>
            <w:noWrap/>
            <w:vAlign w:val="bottom"/>
            <w:hideMark/>
          </w:tcPr>
          <w:p w:rsidR="00B06525" w:rsidRPr="00282786" w:rsidRDefault="00B06525" w:rsidP="00B06525">
            <w:pPr>
              <w:pStyle w:val="TX-TableText"/>
            </w:pPr>
            <w:r w:rsidRPr="00282786">
              <w:t>Under 1,000</w:t>
            </w:r>
          </w:p>
        </w:tc>
        <w:tc>
          <w:tcPr>
            <w:tcW w:w="1487"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1,146</w:t>
            </w:r>
          </w:p>
        </w:tc>
        <w:tc>
          <w:tcPr>
            <w:tcW w:w="117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3,474</w:t>
            </w:r>
          </w:p>
        </w:tc>
        <w:tc>
          <w:tcPr>
            <w:tcW w:w="135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3,299</w:t>
            </w:r>
          </w:p>
        </w:tc>
        <w:tc>
          <w:tcPr>
            <w:tcW w:w="1076" w:type="dxa"/>
            <w:tcBorders>
              <w:top w:val="nil"/>
              <w:left w:val="nil"/>
              <w:bottom w:val="nil"/>
              <w:right w:val="nil"/>
            </w:tcBorders>
            <w:shd w:val="clear" w:color="auto" w:fill="auto"/>
            <w:noWrap/>
            <w:vAlign w:val="bottom"/>
            <w:hideMark/>
          </w:tcPr>
          <w:p w:rsidR="00B06525" w:rsidRPr="00282786" w:rsidRDefault="00B06525" w:rsidP="00B06525">
            <w:pPr>
              <w:pStyle w:val="TX-TableText"/>
              <w:jc w:val="right"/>
            </w:pPr>
            <w:r w:rsidRPr="00282786">
              <w:t>7,919</w:t>
            </w:r>
          </w:p>
        </w:tc>
      </w:tr>
      <w:tr w:rsidR="00B06525" w:rsidRPr="00131B3D" w:rsidTr="00B06525">
        <w:trPr>
          <w:trHeight w:val="255"/>
          <w:jc w:val="center"/>
        </w:trPr>
        <w:tc>
          <w:tcPr>
            <w:tcW w:w="2923" w:type="dxa"/>
            <w:tcBorders>
              <w:top w:val="nil"/>
              <w:left w:val="nil"/>
              <w:bottom w:val="nil"/>
              <w:right w:val="nil"/>
            </w:tcBorders>
            <w:shd w:val="clear" w:color="auto" w:fill="auto"/>
            <w:noWrap/>
            <w:vAlign w:val="bottom"/>
            <w:hideMark/>
          </w:tcPr>
          <w:p w:rsidR="00B06525" w:rsidRPr="00282786" w:rsidRDefault="00B06525" w:rsidP="00B06525">
            <w:pPr>
              <w:pStyle w:val="TX-TableText"/>
            </w:pPr>
            <w:r w:rsidRPr="00282786">
              <w:t>1,000 to 4,999</w:t>
            </w:r>
          </w:p>
        </w:tc>
        <w:tc>
          <w:tcPr>
            <w:tcW w:w="1487"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1,421</w:t>
            </w:r>
          </w:p>
        </w:tc>
        <w:tc>
          <w:tcPr>
            <w:tcW w:w="117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2,441</w:t>
            </w:r>
          </w:p>
        </w:tc>
        <w:tc>
          <w:tcPr>
            <w:tcW w:w="135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1,400</w:t>
            </w:r>
          </w:p>
        </w:tc>
        <w:tc>
          <w:tcPr>
            <w:tcW w:w="1076" w:type="dxa"/>
            <w:tcBorders>
              <w:top w:val="nil"/>
              <w:left w:val="nil"/>
              <w:bottom w:val="nil"/>
              <w:right w:val="nil"/>
            </w:tcBorders>
            <w:shd w:val="clear" w:color="auto" w:fill="auto"/>
            <w:noWrap/>
            <w:vAlign w:val="bottom"/>
            <w:hideMark/>
          </w:tcPr>
          <w:p w:rsidR="00B06525" w:rsidRPr="00282786" w:rsidRDefault="00B06525" w:rsidP="00B06525">
            <w:pPr>
              <w:pStyle w:val="TX-TableText"/>
              <w:jc w:val="right"/>
            </w:pPr>
            <w:r w:rsidRPr="00282786">
              <w:t>5,262</w:t>
            </w:r>
          </w:p>
        </w:tc>
      </w:tr>
      <w:tr w:rsidR="00B06525" w:rsidRPr="00131B3D" w:rsidTr="00B06525">
        <w:trPr>
          <w:trHeight w:val="255"/>
          <w:jc w:val="center"/>
        </w:trPr>
        <w:tc>
          <w:tcPr>
            <w:tcW w:w="2923" w:type="dxa"/>
            <w:tcBorders>
              <w:top w:val="nil"/>
              <w:left w:val="nil"/>
              <w:bottom w:val="nil"/>
              <w:right w:val="nil"/>
            </w:tcBorders>
            <w:shd w:val="clear" w:color="auto" w:fill="auto"/>
            <w:noWrap/>
            <w:vAlign w:val="bottom"/>
            <w:hideMark/>
          </w:tcPr>
          <w:p w:rsidR="00B06525" w:rsidRPr="00282786" w:rsidRDefault="00B06525" w:rsidP="00B06525">
            <w:pPr>
              <w:pStyle w:val="TX-TableText"/>
            </w:pPr>
            <w:r w:rsidRPr="00282786">
              <w:t>5,000 to 24,999</w:t>
            </w:r>
          </w:p>
        </w:tc>
        <w:tc>
          <w:tcPr>
            <w:tcW w:w="1487"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434</w:t>
            </w:r>
          </w:p>
        </w:tc>
        <w:tc>
          <w:tcPr>
            <w:tcW w:w="117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707</w:t>
            </w:r>
          </w:p>
        </w:tc>
        <w:tc>
          <w:tcPr>
            <w:tcW w:w="135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508</w:t>
            </w:r>
          </w:p>
        </w:tc>
        <w:tc>
          <w:tcPr>
            <w:tcW w:w="1076" w:type="dxa"/>
            <w:tcBorders>
              <w:top w:val="nil"/>
              <w:left w:val="nil"/>
              <w:bottom w:val="nil"/>
              <w:right w:val="nil"/>
            </w:tcBorders>
            <w:shd w:val="clear" w:color="auto" w:fill="auto"/>
            <w:noWrap/>
            <w:vAlign w:val="bottom"/>
            <w:hideMark/>
          </w:tcPr>
          <w:p w:rsidR="00B06525" w:rsidRPr="00282786" w:rsidRDefault="00B06525" w:rsidP="00B06525">
            <w:pPr>
              <w:pStyle w:val="TX-TableText"/>
              <w:jc w:val="right"/>
            </w:pPr>
            <w:r w:rsidRPr="00282786">
              <w:t>1,649</w:t>
            </w:r>
          </w:p>
        </w:tc>
      </w:tr>
      <w:tr w:rsidR="00B06525" w:rsidRPr="00131B3D" w:rsidTr="00B06525">
        <w:trPr>
          <w:trHeight w:val="255"/>
          <w:jc w:val="center"/>
        </w:trPr>
        <w:tc>
          <w:tcPr>
            <w:tcW w:w="2923" w:type="dxa"/>
            <w:tcBorders>
              <w:top w:val="nil"/>
              <w:left w:val="nil"/>
              <w:bottom w:val="nil"/>
              <w:right w:val="nil"/>
            </w:tcBorders>
            <w:shd w:val="clear" w:color="auto" w:fill="auto"/>
            <w:noWrap/>
            <w:vAlign w:val="bottom"/>
            <w:hideMark/>
          </w:tcPr>
          <w:p w:rsidR="00B06525" w:rsidRPr="00282786" w:rsidRDefault="00B06525" w:rsidP="00B06525">
            <w:pPr>
              <w:pStyle w:val="TX-TableText"/>
            </w:pPr>
            <w:r w:rsidRPr="00282786">
              <w:t>25,000 or more</w:t>
            </w:r>
          </w:p>
        </w:tc>
        <w:tc>
          <w:tcPr>
            <w:tcW w:w="1487"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55</w:t>
            </w:r>
          </w:p>
        </w:tc>
        <w:tc>
          <w:tcPr>
            <w:tcW w:w="117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129</w:t>
            </w:r>
          </w:p>
        </w:tc>
        <w:tc>
          <w:tcPr>
            <w:tcW w:w="1350" w:type="dxa"/>
            <w:tcBorders>
              <w:top w:val="nil"/>
              <w:left w:val="nil"/>
              <w:bottom w:val="nil"/>
              <w:right w:val="nil"/>
            </w:tcBorders>
            <w:shd w:val="clear" w:color="auto" w:fill="auto"/>
            <w:noWrap/>
            <w:vAlign w:val="bottom"/>
            <w:hideMark/>
          </w:tcPr>
          <w:p w:rsidR="00B06525" w:rsidRPr="00282786" w:rsidRDefault="00B06525" w:rsidP="00B06525">
            <w:pPr>
              <w:pStyle w:val="TX-TableText"/>
              <w:jc w:val="center"/>
            </w:pPr>
            <w:r w:rsidRPr="00282786">
              <w:t>112</w:t>
            </w:r>
          </w:p>
        </w:tc>
        <w:tc>
          <w:tcPr>
            <w:tcW w:w="1076" w:type="dxa"/>
            <w:tcBorders>
              <w:top w:val="nil"/>
              <w:left w:val="nil"/>
              <w:bottom w:val="nil"/>
              <w:right w:val="nil"/>
            </w:tcBorders>
            <w:shd w:val="clear" w:color="auto" w:fill="auto"/>
            <w:noWrap/>
            <w:vAlign w:val="bottom"/>
            <w:hideMark/>
          </w:tcPr>
          <w:p w:rsidR="00B06525" w:rsidRPr="00282786" w:rsidRDefault="00B06525" w:rsidP="00B06525">
            <w:pPr>
              <w:pStyle w:val="TX-TableText"/>
              <w:jc w:val="right"/>
            </w:pPr>
            <w:r w:rsidRPr="00282786">
              <w:t>296</w:t>
            </w:r>
          </w:p>
        </w:tc>
      </w:tr>
      <w:tr w:rsidR="00B06525" w:rsidRPr="00131B3D" w:rsidTr="00B06525">
        <w:trPr>
          <w:trHeight w:val="360"/>
          <w:jc w:val="center"/>
        </w:trPr>
        <w:tc>
          <w:tcPr>
            <w:tcW w:w="2923"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pPr>
            <w:r w:rsidRPr="00282786">
              <w:t>Total</w:t>
            </w:r>
          </w:p>
        </w:tc>
        <w:tc>
          <w:tcPr>
            <w:tcW w:w="1487"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jc w:val="center"/>
            </w:pPr>
            <w:r w:rsidRPr="00282786">
              <w:t>3,056</w:t>
            </w:r>
          </w:p>
        </w:tc>
        <w:tc>
          <w:tcPr>
            <w:tcW w:w="1170"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jc w:val="center"/>
            </w:pPr>
            <w:r w:rsidRPr="00282786">
              <w:t>6,751</w:t>
            </w:r>
          </w:p>
        </w:tc>
        <w:tc>
          <w:tcPr>
            <w:tcW w:w="1350"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jc w:val="center"/>
            </w:pPr>
            <w:r w:rsidRPr="00282786">
              <w:t>5,319</w:t>
            </w:r>
          </w:p>
        </w:tc>
        <w:tc>
          <w:tcPr>
            <w:tcW w:w="1076" w:type="dxa"/>
            <w:tcBorders>
              <w:top w:val="single" w:sz="4" w:space="0" w:color="auto"/>
              <w:left w:val="nil"/>
              <w:bottom w:val="single" w:sz="4" w:space="0" w:color="auto"/>
              <w:right w:val="nil"/>
            </w:tcBorders>
            <w:shd w:val="clear" w:color="auto" w:fill="auto"/>
            <w:noWrap/>
            <w:vAlign w:val="bottom"/>
            <w:hideMark/>
          </w:tcPr>
          <w:p w:rsidR="00B06525" w:rsidRPr="00282786" w:rsidRDefault="00B06525" w:rsidP="00B06525">
            <w:pPr>
              <w:pStyle w:val="TX-TableText"/>
              <w:jc w:val="right"/>
            </w:pPr>
            <w:r w:rsidRPr="00282786">
              <w:t>15,126</w:t>
            </w:r>
          </w:p>
        </w:tc>
      </w:tr>
    </w:tbl>
    <w:p w:rsidR="00B06525" w:rsidRPr="00B72321" w:rsidRDefault="00B06525" w:rsidP="00B06525">
      <w:pPr>
        <w:tabs>
          <w:tab w:val="left" w:pos="720"/>
        </w:tabs>
        <w:spacing w:line="240" w:lineRule="auto"/>
        <w:rPr>
          <w:rFonts w:ascii="Franklin Gothic Medium" w:hAnsi="Franklin Gothic Medium"/>
          <w:sz w:val="18"/>
          <w:szCs w:val="18"/>
        </w:rPr>
      </w:pPr>
      <w:r>
        <w:rPr>
          <w:rFonts w:ascii="Franklin Gothic Medium" w:hAnsi="Franklin Gothic Medium"/>
          <w:sz w:val="18"/>
          <w:szCs w:val="18"/>
          <w:vertAlign w:val="superscript"/>
        </w:rPr>
        <w:t xml:space="preserve">    </w:t>
      </w:r>
      <w:r>
        <w:rPr>
          <w:rFonts w:ascii="Franklin Gothic Medium" w:hAnsi="Franklin Gothic Medium"/>
          <w:sz w:val="18"/>
          <w:szCs w:val="18"/>
          <w:vertAlign w:val="superscript"/>
        </w:rPr>
        <w:tab/>
      </w:r>
      <w:r w:rsidRPr="00B72321">
        <w:rPr>
          <w:rFonts w:ascii="Franklin Gothic Medium" w:hAnsi="Franklin Gothic Medium"/>
          <w:sz w:val="18"/>
          <w:szCs w:val="18"/>
          <w:vertAlign w:val="superscript"/>
        </w:rPr>
        <w:t>1</w:t>
      </w:r>
      <w:r w:rsidRPr="00B72321">
        <w:rPr>
          <w:rFonts w:ascii="Franklin Gothic Medium" w:hAnsi="Franklin Gothic Medium"/>
          <w:sz w:val="18"/>
          <w:szCs w:val="18"/>
        </w:rPr>
        <w:t xml:space="preserve"> Number of students with access to NSLP/SBP as reported in </w:t>
      </w:r>
      <w:r>
        <w:rPr>
          <w:rFonts w:ascii="Franklin Gothic Medium" w:hAnsi="Franklin Gothic Medium"/>
          <w:sz w:val="18"/>
          <w:szCs w:val="18"/>
        </w:rPr>
        <w:t>2011</w:t>
      </w:r>
      <w:r w:rsidRPr="00B72321">
        <w:rPr>
          <w:rFonts w:ascii="Franklin Gothic Medium" w:hAnsi="Franklin Gothic Medium"/>
          <w:sz w:val="18"/>
          <w:szCs w:val="18"/>
        </w:rPr>
        <w:t>-</w:t>
      </w:r>
      <w:r>
        <w:rPr>
          <w:rFonts w:ascii="Franklin Gothic Medium" w:hAnsi="Franklin Gothic Medium"/>
          <w:sz w:val="18"/>
          <w:szCs w:val="18"/>
        </w:rPr>
        <w:t>12</w:t>
      </w:r>
      <w:r w:rsidRPr="00B72321">
        <w:rPr>
          <w:rFonts w:ascii="Franklin Gothic Medium" w:hAnsi="Franklin Gothic Medium"/>
          <w:sz w:val="18"/>
          <w:szCs w:val="18"/>
        </w:rPr>
        <w:t xml:space="preserve"> FNS 742.</w:t>
      </w:r>
    </w:p>
    <w:p w:rsidR="00B06525" w:rsidRDefault="00B06525" w:rsidP="00001D5E">
      <w:pPr>
        <w:tabs>
          <w:tab w:val="left" w:pos="0"/>
          <w:tab w:val="left" w:pos="288"/>
          <w:tab w:val="left" w:pos="475"/>
          <w:tab w:val="left" w:pos="662"/>
        </w:tabs>
        <w:spacing w:line="240" w:lineRule="auto"/>
        <w:rPr>
          <w:szCs w:val="24"/>
        </w:rPr>
      </w:pPr>
    </w:p>
    <w:p w:rsidR="004E729A" w:rsidRPr="00B72321" w:rsidRDefault="004E729A" w:rsidP="00001D5E">
      <w:pPr>
        <w:tabs>
          <w:tab w:val="left" w:pos="0"/>
          <w:tab w:val="left" w:pos="288"/>
          <w:tab w:val="left" w:pos="475"/>
          <w:tab w:val="left" w:pos="662"/>
        </w:tabs>
        <w:spacing w:line="240" w:lineRule="auto"/>
        <w:rPr>
          <w:szCs w:val="24"/>
        </w:rPr>
      </w:pPr>
    </w:p>
    <w:p w:rsidR="00B06525" w:rsidRDefault="00B06525" w:rsidP="00A04DA5">
      <w:pPr>
        <w:spacing w:line="240" w:lineRule="auto"/>
        <w:ind w:left="540"/>
        <w:rPr>
          <w:b/>
          <w:szCs w:val="24"/>
        </w:rPr>
      </w:pPr>
      <w:r w:rsidRPr="00D6005B">
        <w:rPr>
          <w:b/>
          <w:szCs w:val="24"/>
        </w:rPr>
        <w:t>Expected Response Rates</w:t>
      </w:r>
    </w:p>
    <w:p w:rsidR="00B06525" w:rsidRPr="00D6005B" w:rsidRDefault="00B06525" w:rsidP="00001D5E">
      <w:pPr>
        <w:tabs>
          <w:tab w:val="left" w:pos="0"/>
          <w:tab w:val="left" w:pos="288"/>
          <w:tab w:val="left" w:pos="475"/>
          <w:tab w:val="left" w:pos="662"/>
        </w:tabs>
        <w:spacing w:line="240" w:lineRule="auto"/>
        <w:rPr>
          <w:b/>
          <w:szCs w:val="24"/>
        </w:rPr>
      </w:pPr>
    </w:p>
    <w:p w:rsidR="00B06525" w:rsidRPr="00D6005B" w:rsidRDefault="00B06525" w:rsidP="00D96FB3">
      <w:pPr>
        <w:pStyle w:val="NormalWeb"/>
        <w:spacing w:before="0" w:beforeAutospacing="0" w:after="0" w:afterAutospacing="0" w:line="480" w:lineRule="auto"/>
        <w:rPr>
          <w:rFonts w:ascii="Garamond" w:hAnsi="Garamond"/>
        </w:rPr>
      </w:pPr>
      <w:r w:rsidRPr="00D6005B">
        <w:rPr>
          <w:rFonts w:ascii="Garamond" w:hAnsi="Garamond"/>
        </w:rPr>
        <w:t xml:space="preserve">The response rate is the proportion of </w:t>
      </w:r>
      <w:r>
        <w:rPr>
          <w:rFonts w:ascii="Garamond" w:hAnsi="Garamond"/>
        </w:rPr>
        <w:t xml:space="preserve">sampled </w:t>
      </w:r>
      <w:r w:rsidRPr="00D6005B">
        <w:rPr>
          <w:rFonts w:ascii="Garamond" w:hAnsi="Garamond"/>
        </w:rPr>
        <w:t>SFA</w:t>
      </w:r>
      <w:r>
        <w:rPr>
          <w:rFonts w:ascii="Garamond" w:hAnsi="Garamond"/>
        </w:rPr>
        <w:t>s</w:t>
      </w:r>
      <w:r w:rsidRPr="00D6005B">
        <w:rPr>
          <w:rFonts w:ascii="Garamond" w:hAnsi="Garamond"/>
        </w:rPr>
        <w:t xml:space="preserve"> </w:t>
      </w:r>
      <w:r>
        <w:rPr>
          <w:rFonts w:ascii="Garamond" w:hAnsi="Garamond"/>
        </w:rPr>
        <w:t xml:space="preserve">that complete the SFA survey. Based on experience with the </w:t>
      </w:r>
      <w:r w:rsidR="009E25CC">
        <w:rPr>
          <w:rFonts w:ascii="Garamond" w:hAnsi="Garamond"/>
        </w:rPr>
        <w:t>previous two years</w:t>
      </w:r>
      <w:r w:rsidR="00D07191">
        <w:rPr>
          <w:rFonts w:ascii="Garamond" w:hAnsi="Garamond"/>
        </w:rPr>
        <w:t xml:space="preserve"> of the</w:t>
      </w:r>
      <w:r>
        <w:rPr>
          <w:rFonts w:ascii="Garamond" w:hAnsi="Garamond"/>
        </w:rPr>
        <w:t xml:space="preserve"> SFA survey, we expect to achieve an SFA response rate of 80 percent. Thus, we </w:t>
      </w:r>
      <w:r w:rsidRPr="00D6005B">
        <w:rPr>
          <w:rFonts w:ascii="Garamond" w:hAnsi="Garamond"/>
        </w:rPr>
        <w:t>plan to sample 1,</w:t>
      </w:r>
      <w:r>
        <w:rPr>
          <w:rFonts w:ascii="Garamond" w:hAnsi="Garamond"/>
        </w:rPr>
        <w:t>875</w:t>
      </w:r>
      <w:r w:rsidRPr="00D6005B">
        <w:rPr>
          <w:rFonts w:ascii="Garamond" w:hAnsi="Garamond"/>
        </w:rPr>
        <w:t xml:space="preserve"> SFAs to obtain 1,500 complete</w:t>
      </w:r>
      <w:r>
        <w:rPr>
          <w:rFonts w:ascii="Garamond" w:hAnsi="Garamond"/>
        </w:rPr>
        <w:t>d survey</w:t>
      </w:r>
      <w:r w:rsidRPr="00D6005B">
        <w:rPr>
          <w:rFonts w:ascii="Garamond" w:hAnsi="Garamond"/>
        </w:rPr>
        <w:t>s</w:t>
      </w:r>
      <w:r>
        <w:rPr>
          <w:rFonts w:ascii="Garamond" w:hAnsi="Garamond"/>
        </w:rPr>
        <w:t xml:space="preserve"> with</w:t>
      </w:r>
      <w:r w:rsidRPr="00D6005B">
        <w:rPr>
          <w:rFonts w:ascii="Garamond" w:hAnsi="Garamond"/>
        </w:rPr>
        <w:t xml:space="preserve"> SFA </w:t>
      </w:r>
      <w:r>
        <w:rPr>
          <w:rFonts w:ascii="Garamond" w:hAnsi="Garamond"/>
        </w:rPr>
        <w:lastRenderedPageBreak/>
        <w:t>d</w:t>
      </w:r>
      <w:r w:rsidRPr="00D6005B">
        <w:rPr>
          <w:rFonts w:ascii="Garamond" w:hAnsi="Garamond"/>
        </w:rPr>
        <w:t>irector</w:t>
      </w:r>
      <w:r>
        <w:rPr>
          <w:rFonts w:ascii="Garamond" w:hAnsi="Garamond"/>
        </w:rPr>
        <w:t>s</w:t>
      </w:r>
      <w:r w:rsidRPr="00D6005B">
        <w:rPr>
          <w:rFonts w:ascii="Garamond" w:hAnsi="Garamond"/>
        </w:rPr>
        <w:t xml:space="preserve">. The State Child Nutrition Director survey will be conducted among all 56 </w:t>
      </w:r>
      <w:r w:rsidR="00314188">
        <w:rPr>
          <w:rFonts w:ascii="Garamond" w:hAnsi="Garamond"/>
        </w:rPr>
        <w:t>S</w:t>
      </w:r>
      <w:r w:rsidRPr="00D6005B">
        <w:rPr>
          <w:rFonts w:ascii="Garamond" w:hAnsi="Garamond"/>
        </w:rPr>
        <w:t xml:space="preserve">tate directors </w:t>
      </w:r>
      <w:r w:rsidR="00D07191">
        <w:rPr>
          <w:rFonts w:ascii="Garamond" w:hAnsi="Garamond"/>
        </w:rPr>
        <w:t xml:space="preserve">(including all States, U.S. Territories, and the District of Columbia) </w:t>
      </w:r>
      <w:r w:rsidRPr="00D6005B">
        <w:rPr>
          <w:rFonts w:ascii="Garamond" w:hAnsi="Garamond"/>
        </w:rPr>
        <w:t>and will not involve any sampling.</w:t>
      </w:r>
      <w:r>
        <w:rPr>
          <w:rFonts w:ascii="Garamond" w:hAnsi="Garamond"/>
        </w:rPr>
        <w:t xml:space="preserve"> </w:t>
      </w:r>
      <w:r w:rsidRPr="00D6005B">
        <w:rPr>
          <w:rFonts w:ascii="Garamond" w:hAnsi="Garamond"/>
        </w:rPr>
        <w:t>We expect at least a 95 percent response rate for the State Child Nutrition Director survey.</w:t>
      </w:r>
    </w:p>
    <w:p w:rsidR="00B06525" w:rsidRDefault="00B06525" w:rsidP="00A04DA5">
      <w:pPr>
        <w:spacing w:line="240" w:lineRule="auto"/>
        <w:ind w:left="540"/>
        <w:rPr>
          <w:b/>
          <w:szCs w:val="24"/>
        </w:rPr>
      </w:pPr>
    </w:p>
    <w:p w:rsidR="004E729A" w:rsidRDefault="004E729A" w:rsidP="00A04DA5">
      <w:pPr>
        <w:spacing w:line="240" w:lineRule="auto"/>
        <w:ind w:left="540"/>
        <w:rPr>
          <w:b/>
          <w:szCs w:val="24"/>
        </w:rPr>
      </w:pPr>
    </w:p>
    <w:p w:rsidR="00B06525" w:rsidRPr="00D6005B" w:rsidRDefault="00B06525" w:rsidP="00A04DA5">
      <w:pPr>
        <w:spacing w:line="240" w:lineRule="auto"/>
        <w:ind w:left="540"/>
        <w:rPr>
          <w:b/>
          <w:szCs w:val="24"/>
        </w:rPr>
      </w:pPr>
      <w:r w:rsidRPr="00D6005B">
        <w:rPr>
          <w:b/>
          <w:szCs w:val="24"/>
        </w:rPr>
        <w:t>Previous Data Collections and Response Rates</w:t>
      </w:r>
    </w:p>
    <w:p w:rsidR="00B06525" w:rsidRDefault="00B06525" w:rsidP="00001D5E">
      <w:pPr>
        <w:spacing w:line="240" w:lineRule="auto"/>
        <w:rPr>
          <w:szCs w:val="24"/>
        </w:rPr>
      </w:pPr>
    </w:p>
    <w:p w:rsidR="00B06525" w:rsidRPr="00D6005B" w:rsidRDefault="00B06525" w:rsidP="006A20B9">
      <w:pPr>
        <w:spacing w:line="480" w:lineRule="auto"/>
        <w:rPr>
          <w:szCs w:val="24"/>
        </w:rPr>
      </w:pPr>
      <w:r w:rsidRPr="00D6005B">
        <w:rPr>
          <w:szCs w:val="24"/>
        </w:rPr>
        <w:t>This data collection</w:t>
      </w:r>
      <w:r>
        <w:rPr>
          <w:szCs w:val="24"/>
        </w:rPr>
        <w:t xml:space="preserve"> is similar to the </w:t>
      </w:r>
      <w:r w:rsidR="009E25CC">
        <w:rPr>
          <w:szCs w:val="24"/>
        </w:rPr>
        <w:t>Year 1 and Year 2</w:t>
      </w:r>
      <w:r>
        <w:rPr>
          <w:szCs w:val="24"/>
        </w:rPr>
        <w:t xml:space="preserve"> data collection conducted in </w:t>
      </w:r>
      <w:r w:rsidR="00843979">
        <w:rPr>
          <w:szCs w:val="24"/>
        </w:rPr>
        <w:t xml:space="preserve">SY </w:t>
      </w:r>
      <w:r>
        <w:rPr>
          <w:szCs w:val="24"/>
        </w:rPr>
        <w:t>2011</w:t>
      </w:r>
      <w:r w:rsidR="00843979">
        <w:rPr>
          <w:szCs w:val="24"/>
        </w:rPr>
        <w:t>-12</w:t>
      </w:r>
      <w:r w:rsidR="009E25CC">
        <w:rPr>
          <w:szCs w:val="24"/>
        </w:rPr>
        <w:t xml:space="preserve"> and SY 2012-13</w:t>
      </w:r>
      <w:r w:rsidRPr="00D6005B">
        <w:rPr>
          <w:szCs w:val="24"/>
        </w:rPr>
        <w:t xml:space="preserve">. </w:t>
      </w:r>
      <w:r>
        <w:rPr>
          <w:szCs w:val="24"/>
        </w:rPr>
        <w:t>T</w:t>
      </w:r>
      <w:r w:rsidRPr="00D6005B">
        <w:rPr>
          <w:szCs w:val="24"/>
        </w:rPr>
        <w:t xml:space="preserve">he </w:t>
      </w:r>
      <w:r>
        <w:rPr>
          <w:szCs w:val="24"/>
        </w:rPr>
        <w:t>assumed 80</w:t>
      </w:r>
      <w:r w:rsidR="004934D8">
        <w:rPr>
          <w:szCs w:val="24"/>
        </w:rPr>
        <w:t xml:space="preserve"> percent</w:t>
      </w:r>
      <w:r w:rsidR="004934D8" w:rsidRPr="00D6005B">
        <w:rPr>
          <w:szCs w:val="24"/>
        </w:rPr>
        <w:t xml:space="preserve"> </w:t>
      </w:r>
      <w:r w:rsidRPr="00D6005B">
        <w:rPr>
          <w:szCs w:val="24"/>
        </w:rPr>
        <w:t>and 95</w:t>
      </w:r>
      <w:r w:rsidR="004934D8">
        <w:rPr>
          <w:szCs w:val="24"/>
        </w:rPr>
        <w:t xml:space="preserve"> percent</w:t>
      </w:r>
      <w:r w:rsidR="004934D8" w:rsidRPr="00D6005B">
        <w:rPr>
          <w:szCs w:val="24"/>
        </w:rPr>
        <w:t xml:space="preserve"> </w:t>
      </w:r>
      <w:r w:rsidRPr="00D6005B">
        <w:rPr>
          <w:szCs w:val="24"/>
        </w:rPr>
        <w:t>response rates for the SFA and State C</w:t>
      </w:r>
      <w:r w:rsidR="004A0C56">
        <w:rPr>
          <w:szCs w:val="24"/>
        </w:rPr>
        <w:t xml:space="preserve">hild </w:t>
      </w:r>
      <w:r w:rsidRPr="00D6005B">
        <w:rPr>
          <w:szCs w:val="24"/>
        </w:rPr>
        <w:t>N</w:t>
      </w:r>
      <w:r w:rsidR="004A0C56">
        <w:rPr>
          <w:szCs w:val="24"/>
        </w:rPr>
        <w:t>utrition</w:t>
      </w:r>
      <w:r w:rsidRPr="00D6005B">
        <w:rPr>
          <w:szCs w:val="24"/>
        </w:rPr>
        <w:t xml:space="preserve"> Directors</w:t>
      </w:r>
      <w:r>
        <w:rPr>
          <w:szCs w:val="24"/>
        </w:rPr>
        <w:t>,</w:t>
      </w:r>
      <w:r w:rsidRPr="00D6005B">
        <w:rPr>
          <w:szCs w:val="24"/>
        </w:rPr>
        <w:t xml:space="preserve"> respectively</w:t>
      </w:r>
      <w:r>
        <w:rPr>
          <w:szCs w:val="24"/>
        </w:rPr>
        <w:t>,</w:t>
      </w:r>
      <w:r w:rsidRPr="00D6005B">
        <w:rPr>
          <w:szCs w:val="24"/>
        </w:rPr>
        <w:t xml:space="preserve"> </w:t>
      </w:r>
      <w:r w:rsidR="0018488D">
        <w:rPr>
          <w:szCs w:val="24"/>
        </w:rPr>
        <w:t>are</w:t>
      </w:r>
      <w:r w:rsidRPr="00D6005B">
        <w:rPr>
          <w:szCs w:val="24"/>
        </w:rPr>
        <w:t xml:space="preserve"> based on</w:t>
      </w:r>
      <w:r>
        <w:rPr>
          <w:szCs w:val="24"/>
        </w:rPr>
        <w:t xml:space="preserve"> experience in the</w:t>
      </w:r>
      <w:r w:rsidRPr="00D6005B">
        <w:rPr>
          <w:szCs w:val="24"/>
        </w:rPr>
        <w:t xml:space="preserve"> prior surveys involving SFA and State C</w:t>
      </w:r>
      <w:r w:rsidR="004A0C56">
        <w:rPr>
          <w:szCs w:val="24"/>
        </w:rPr>
        <w:t xml:space="preserve">hild </w:t>
      </w:r>
      <w:r w:rsidRPr="00D6005B">
        <w:rPr>
          <w:szCs w:val="24"/>
        </w:rPr>
        <w:t>N</w:t>
      </w:r>
      <w:r w:rsidR="004A0C56">
        <w:rPr>
          <w:szCs w:val="24"/>
        </w:rPr>
        <w:t>utrition</w:t>
      </w:r>
      <w:r w:rsidRPr="00D6005B">
        <w:rPr>
          <w:szCs w:val="24"/>
        </w:rPr>
        <w:t xml:space="preserve"> </w:t>
      </w:r>
      <w:r w:rsidR="00843979">
        <w:rPr>
          <w:szCs w:val="24"/>
        </w:rPr>
        <w:t>D</w:t>
      </w:r>
      <w:r w:rsidRPr="00D6005B">
        <w:rPr>
          <w:szCs w:val="24"/>
        </w:rPr>
        <w:t>irectors.</w:t>
      </w:r>
    </w:p>
    <w:p w:rsidR="00B06525" w:rsidRDefault="00B06525" w:rsidP="00001D5E">
      <w:pPr>
        <w:spacing w:line="240" w:lineRule="auto"/>
        <w:rPr>
          <w:szCs w:val="24"/>
        </w:rPr>
      </w:pPr>
    </w:p>
    <w:p w:rsidR="009E24F4" w:rsidRDefault="009E24F4" w:rsidP="00001D5E">
      <w:pPr>
        <w:spacing w:line="240" w:lineRule="auto"/>
        <w:rPr>
          <w:szCs w:val="24"/>
        </w:rPr>
      </w:pPr>
    </w:p>
    <w:p w:rsidR="00B06525" w:rsidRDefault="00B06525" w:rsidP="00B06525">
      <w:pPr>
        <w:spacing w:line="240" w:lineRule="auto"/>
        <w:rPr>
          <w:b/>
        </w:rPr>
      </w:pPr>
      <w:bookmarkStart w:id="12" w:name="_Toc282506043"/>
      <w:r w:rsidRPr="00281D17">
        <w:rPr>
          <w:b/>
          <w:szCs w:val="24"/>
        </w:rPr>
        <w:t>B.2</w:t>
      </w:r>
      <w:r w:rsidRPr="00281D17">
        <w:rPr>
          <w:b/>
          <w:szCs w:val="24"/>
        </w:rPr>
        <w:tab/>
      </w:r>
      <w:bookmarkEnd w:id="12"/>
      <w:r w:rsidRPr="00281D17">
        <w:rPr>
          <w:b/>
        </w:rPr>
        <w:t>Describe</w:t>
      </w:r>
      <w:r>
        <w:rPr>
          <w:b/>
        </w:rPr>
        <w:t xml:space="preserve"> the procedures for the collection of information including:</w:t>
      </w:r>
    </w:p>
    <w:p w:rsidR="00B06525" w:rsidRPr="00DF5DAF" w:rsidRDefault="00B06525" w:rsidP="00B06525">
      <w:pPr>
        <w:tabs>
          <w:tab w:val="left" w:pos="720"/>
        </w:tabs>
        <w:spacing w:line="240" w:lineRule="auto"/>
        <w:ind w:left="720" w:hanging="720"/>
      </w:pPr>
    </w:p>
    <w:p w:rsidR="00B06525" w:rsidRDefault="00B06525" w:rsidP="00161A77">
      <w:pPr>
        <w:numPr>
          <w:ilvl w:val="0"/>
          <w:numId w:val="12"/>
        </w:numPr>
        <w:tabs>
          <w:tab w:val="clear" w:pos="360"/>
          <w:tab w:val="left" w:pos="0"/>
          <w:tab w:val="num" w:pos="1080"/>
        </w:tabs>
        <w:spacing w:line="240" w:lineRule="auto"/>
        <w:ind w:left="1080"/>
        <w:rPr>
          <w:b/>
        </w:rPr>
      </w:pPr>
      <w:r>
        <w:rPr>
          <w:b/>
        </w:rPr>
        <w:t>Statistical methodology for stratification and sample selection,</w:t>
      </w:r>
    </w:p>
    <w:p w:rsidR="00B06525" w:rsidRDefault="00B06525" w:rsidP="00161A77">
      <w:pPr>
        <w:numPr>
          <w:ilvl w:val="0"/>
          <w:numId w:val="13"/>
        </w:numPr>
        <w:tabs>
          <w:tab w:val="clear" w:pos="360"/>
          <w:tab w:val="left" w:pos="0"/>
          <w:tab w:val="left" w:pos="475"/>
          <w:tab w:val="num" w:pos="1080"/>
        </w:tabs>
        <w:spacing w:line="240" w:lineRule="auto"/>
        <w:ind w:left="1080"/>
        <w:rPr>
          <w:b/>
        </w:rPr>
      </w:pPr>
      <w:r>
        <w:rPr>
          <w:b/>
        </w:rPr>
        <w:t>Estimation procedure,</w:t>
      </w:r>
    </w:p>
    <w:p w:rsidR="00B06525" w:rsidRDefault="00B06525" w:rsidP="00161A77">
      <w:pPr>
        <w:numPr>
          <w:ilvl w:val="0"/>
          <w:numId w:val="14"/>
        </w:numPr>
        <w:tabs>
          <w:tab w:val="clear" w:pos="360"/>
          <w:tab w:val="left" w:pos="0"/>
          <w:tab w:val="left" w:pos="475"/>
          <w:tab w:val="num" w:pos="1080"/>
        </w:tabs>
        <w:spacing w:line="240" w:lineRule="auto"/>
        <w:ind w:left="1080"/>
        <w:rPr>
          <w:b/>
        </w:rPr>
      </w:pPr>
      <w:r>
        <w:rPr>
          <w:b/>
        </w:rPr>
        <w:t>Degree of accuracy needed for the purpose described in the justification,</w:t>
      </w:r>
    </w:p>
    <w:p w:rsidR="00B06525" w:rsidRDefault="00B06525" w:rsidP="00161A77">
      <w:pPr>
        <w:numPr>
          <w:ilvl w:val="0"/>
          <w:numId w:val="15"/>
        </w:numPr>
        <w:tabs>
          <w:tab w:val="clear" w:pos="360"/>
          <w:tab w:val="left" w:pos="0"/>
          <w:tab w:val="left" w:pos="475"/>
          <w:tab w:val="num" w:pos="1080"/>
        </w:tabs>
        <w:spacing w:line="240" w:lineRule="auto"/>
        <w:ind w:left="1080"/>
        <w:rPr>
          <w:b/>
        </w:rPr>
      </w:pPr>
      <w:r>
        <w:rPr>
          <w:b/>
        </w:rPr>
        <w:t>Unusual problems requiring specialized sampling procedures, and</w:t>
      </w:r>
    </w:p>
    <w:p w:rsidR="00B06525" w:rsidRDefault="00B06525" w:rsidP="00161A77">
      <w:pPr>
        <w:numPr>
          <w:ilvl w:val="0"/>
          <w:numId w:val="16"/>
        </w:numPr>
        <w:tabs>
          <w:tab w:val="clear" w:pos="360"/>
          <w:tab w:val="left" w:pos="0"/>
          <w:tab w:val="num" w:pos="1080"/>
        </w:tabs>
        <w:spacing w:line="240" w:lineRule="auto"/>
        <w:ind w:left="1080"/>
        <w:rPr>
          <w:b/>
        </w:rPr>
      </w:pPr>
      <w:r>
        <w:rPr>
          <w:b/>
        </w:rPr>
        <w:t>Any use of periodic (less frequent than annual) data collection cycles to reduce burden.</w:t>
      </w:r>
    </w:p>
    <w:p w:rsidR="00B06525" w:rsidRDefault="00B06525" w:rsidP="00001D5E">
      <w:pPr>
        <w:tabs>
          <w:tab w:val="left" w:pos="0"/>
          <w:tab w:val="left" w:pos="288"/>
          <w:tab w:val="num" w:pos="648"/>
        </w:tabs>
        <w:spacing w:line="240" w:lineRule="auto"/>
        <w:rPr>
          <w:szCs w:val="24"/>
        </w:rPr>
      </w:pPr>
    </w:p>
    <w:p w:rsidR="00B06525" w:rsidRPr="003C1C87" w:rsidRDefault="00B06525" w:rsidP="006A20B9">
      <w:pPr>
        <w:tabs>
          <w:tab w:val="left" w:pos="0"/>
          <w:tab w:val="left" w:pos="288"/>
          <w:tab w:val="num" w:pos="648"/>
        </w:tabs>
        <w:spacing w:line="480" w:lineRule="auto"/>
      </w:pPr>
      <w:r w:rsidRPr="003C1C87">
        <w:rPr>
          <w:szCs w:val="24"/>
        </w:rPr>
        <w:t xml:space="preserve">Below </w:t>
      </w:r>
      <w:r>
        <w:rPr>
          <w:szCs w:val="24"/>
        </w:rPr>
        <w:t>we describe the procedures for the collection of information including s</w:t>
      </w:r>
      <w:r w:rsidRPr="003C1C87">
        <w:t>tatistical methodology for stratification and sample selection,</w:t>
      </w:r>
      <w:r>
        <w:t xml:space="preserve"> e</w:t>
      </w:r>
      <w:r w:rsidRPr="003C1C87">
        <w:t>stimation procedure,</w:t>
      </w:r>
      <w:r>
        <w:t xml:space="preserve"> and the d</w:t>
      </w:r>
      <w:r w:rsidRPr="003C1C87">
        <w:t>egree of accuracy needed for the purpose described in the justification.</w:t>
      </w:r>
    </w:p>
    <w:p w:rsidR="00B06525" w:rsidRPr="003C1C87" w:rsidRDefault="00B06525" w:rsidP="006A20B9">
      <w:pPr>
        <w:tabs>
          <w:tab w:val="left" w:pos="0"/>
          <w:tab w:val="left" w:pos="288"/>
        </w:tabs>
        <w:spacing w:line="480" w:lineRule="auto"/>
        <w:ind w:left="648"/>
        <w:rPr>
          <w:szCs w:val="24"/>
        </w:rPr>
      </w:pPr>
    </w:p>
    <w:p w:rsidR="00B06525" w:rsidRDefault="00B06525" w:rsidP="006A20B9">
      <w:pPr>
        <w:tabs>
          <w:tab w:val="left" w:pos="0"/>
        </w:tabs>
        <w:spacing w:line="480" w:lineRule="auto"/>
        <w:rPr>
          <w:szCs w:val="24"/>
        </w:rPr>
      </w:pPr>
      <w:r w:rsidRPr="00D6005B">
        <w:rPr>
          <w:szCs w:val="24"/>
        </w:rPr>
        <w:t>A goal of the s</w:t>
      </w:r>
      <w:r w:rsidR="00CA199C">
        <w:rPr>
          <w:szCs w:val="24"/>
        </w:rPr>
        <w:t>urvey s</w:t>
      </w:r>
      <w:r w:rsidRPr="00D6005B">
        <w:rPr>
          <w:szCs w:val="24"/>
        </w:rPr>
        <w:t xml:space="preserve">ample design is to obtain a nationally representative sample of SFAs that will yield population estimates with a precision of ±5 percent at the 95 percent level of confidence for the overall SFA population and for specified subgroups of SFAs. Under simple random sampling, this translates to a sample size of 400-500 responding SFAs for each subgroup. For example, with </w:t>
      </w:r>
      <w:r w:rsidRPr="00D6005B">
        <w:rPr>
          <w:szCs w:val="24"/>
        </w:rPr>
        <w:lastRenderedPageBreak/>
        <w:t xml:space="preserve">three key subgroups of roughly equal size, the total required sample size would range from 1,200-1,500 SFAs to meet the specified precision levels. In general, however, simple random sampling is not efficient for the multiple analytic objectives of the study. For example, while a simple random (or self-weighting) sample would be optimal for estimating the overall prevalence of SFAs reporting various types of food service practices or programs, it </w:t>
      </w:r>
      <w:r w:rsidR="00D07191">
        <w:rPr>
          <w:szCs w:val="24"/>
        </w:rPr>
        <w:t>would</w:t>
      </w:r>
      <w:r w:rsidRPr="00D6005B">
        <w:rPr>
          <w:szCs w:val="24"/>
        </w:rPr>
        <w:t xml:space="preserve"> be inefficient for estimating the </w:t>
      </w:r>
      <w:r w:rsidRPr="00D6005B">
        <w:rPr>
          <w:i/>
          <w:szCs w:val="24"/>
        </w:rPr>
        <w:t>numbers of students</w:t>
      </w:r>
      <w:r w:rsidRPr="00D6005B">
        <w:rPr>
          <w:szCs w:val="24"/>
        </w:rPr>
        <w:t xml:space="preserve"> involved in these types of services or programs. A stratified sample design using variable rates that depend on the size of the SFA would better meet these conflicting objectives. Stratification not only helps to ensure that adequate sample sizes are obtained for important analytic subgroups of interest, but can also be effective in reducing the sampling errors of estimates that are correlated with enrollment size.</w:t>
      </w:r>
    </w:p>
    <w:p w:rsidR="00B06525" w:rsidRPr="00D6005B" w:rsidRDefault="00B06525" w:rsidP="006A20B9">
      <w:pPr>
        <w:tabs>
          <w:tab w:val="left" w:pos="0"/>
        </w:tabs>
        <w:spacing w:line="480" w:lineRule="auto"/>
        <w:rPr>
          <w:szCs w:val="24"/>
        </w:rPr>
      </w:pPr>
    </w:p>
    <w:p w:rsidR="00B06525" w:rsidRDefault="00B06525" w:rsidP="006A20B9">
      <w:pPr>
        <w:pStyle w:val="P1-StandPara"/>
        <w:tabs>
          <w:tab w:val="left" w:pos="720"/>
        </w:tabs>
        <w:spacing w:line="480" w:lineRule="auto"/>
        <w:ind w:firstLine="0"/>
        <w:rPr>
          <w:szCs w:val="24"/>
        </w:rPr>
      </w:pPr>
      <w:r w:rsidRPr="00D6005B">
        <w:rPr>
          <w:szCs w:val="24"/>
        </w:rPr>
        <w:t xml:space="preserve">A stratified sampling design employing varying sampling fractions </w:t>
      </w:r>
      <w:r w:rsidR="00D07191">
        <w:rPr>
          <w:szCs w:val="24"/>
        </w:rPr>
        <w:t>was</w:t>
      </w:r>
      <w:r w:rsidRPr="00D6005B">
        <w:rPr>
          <w:szCs w:val="24"/>
        </w:rPr>
        <w:t xml:space="preserve"> used to select the SFA sample for the study. Such a design will generally inflate the standard errors of prevalence estimates as compared with simple random sampling but is justifiable for reasons mentioned above. A measure of the relative precision of a complex sample design is given by the design effect (DEFF), which is defined to be the ratio of the variance of an estimate based on the complex sample design to the hypothetical variance based on a simple random sample of the same size. A design effect of 1.00 means that the complex sample is roughly equivalent to a simple random sample</w:t>
      </w:r>
      <w:r>
        <w:rPr>
          <w:szCs w:val="24"/>
        </w:rPr>
        <w:t xml:space="preserve"> in terms of sampling precision</w:t>
      </w:r>
      <w:r w:rsidRPr="00D6005B">
        <w:rPr>
          <w:szCs w:val="24"/>
        </w:rPr>
        <w:t xml:space="preserve">. </w:t>
      </w:r>
      <w:r>
        <w:rPr>
          <w:szCs w:val="24"/>
        </w:rPr>
        <w:t>(A design effect less than 1.00 can sometimes occur if the sampling rates in some strata are very high</w:t>
      </w:r>
      <w:r w:rsidR="004E729A">
        <w:rPr>
          <w:szCs w:val="24"/>
        </w:rPr>
        <w:t xml:space="preserve">, resulting in </w:t>
      </w:r>
      <w:r w:rsidR="009512D2">
        <w:rPr>
          <w:szCs w:val="24"/>
        </w:rPr>
        <w:t>non-negligible finite population correction factors.)</w:t>
      </w:r>
      <w:r>
        <w:rPr>
          <w:szCs w:val="24"/>
        </w:rPr>
        <w:t xml:space="preserve"> </w:t>
      </w:r>
      <w:r w:rsidRPr="00D6005B">
        <w:rPr>
          <w:szCs w:val="24"/>
        </w:rPr>
        <w:t xml:space="preserve">Under the proposed design, we have estimated that the resulting design effects will range from </w:t>
      </w:r>
      <w:r>
        <w:rPr>
          <w:szCs w:val="24"/>
        </w:rPr>
        <w:t>slightly under 1.00</w:t>
      </w:r>
      <w:r w:rsidRPr="00D6005B">
        <w:rPr>
          <w:szCs w:val="24"/>
        </w:rPr>
        <w:t xml:space="preserve"> to </w:t>
      </w:r>
      <w:r>
        <w:rPr>
          <w:szCs w:val="24"/>
        </w:rPr>
        <w:t>1.50</w:t>
      </w:r>
      <w:r w:rsidRPr="00D6005B">
        <w:rPr>
          <w:szCs w:val="24"/>
        </w:rPr>
        <w:t xml:space="preserve"> depending on the subgroup being analyzed. As indicated in table </w:t>
      </w:r>
      <w:r>
        <w:rPr>
          <w:szCs w:val="24"/>
        </w:rPr>
        <w:t>B</w:t>
      </w:r>
      <w:r w:rsidRPr="00D6005B">
        <w:rPr>
          <w:szCs w:val="24"/>
        </w:rPr>
        <w:t xml:space="preserve">2, which summarizes the expected margins of error of a prevalence estimate under the proposed design for a range of sample sizes and design effects, a total SFA sample size of 1,500 responding SFAs should be more </w:t>
      </w:r>
      <w:r w:rsidRPr="00D6005B">
        <w:rPr>
          <w:szCs w:val="24"/>
        </w:rPr>
        <w:lastRenderedPageBreak/>
        <w:t>than adequate to meet or exceed the ±5 percent precision requirement even for design effect as large as 1.5. For a subgroup consisting of 500 SFAs for which the design effect is 1.10 (e.g., this would be reasonable for subgroups defined by size of SFA, but may be larger for other subgroups), the expected level of precision for the subgroup would be at most ±4.9 percent (and would be lower for prevalence estimates that are less than 50 percent or greater than 50 percent).</w:t>
      </w:r>
    </w:p>
    <w:p w:rsidR="00B06525" w:rsidRDefault="00B06525">
      <w:pPr>
        <w:spacing w:line="240" w:lineRule="auto"/>
        <w:rPr>
          <w:rFonts w:ascii="Franklin Gothic Medium" w:hAnsi="Franklin Gothic Medium"/>
          <w:sz w:val="22"/>
        </w:rPr>
      </w:pPr>
      <w:bookmarkStart w:id="13" w:name="_Toc282508103"/>
    </w:p>
    <w:p w:rsidR="00B06525" w:rsidRDefault="00B06525" w:rsidP="00B06525">
      <w:pPr>
        <w:pStyle w:val="TT-TableTitle"/>
        <w:tabs>
          <w:tab w:val="clear" w:pos="1440"/>
          <w:tab w:val="left" w:pos="990"/>
          <w:tab w:val="left" w:pos="2250"/>
        </w:tabs>
        <w:ind w:left="1530" w:hanging="1260"/>
      </w:pPr>
      <w:r>
        <w:tab/>
      </w:r>
      <w:bookmarkStart w:id="14" w:name="_Toc339621305"/>
      <w:r w:rsidRPr="00D6005B">
        <w:t>Table B2.</w:t>
      </w:r>
      <w:r w:rsidRPr="00D6005B">
        <w:tab/>
        <w:t xml:space="preserve">Expected margins of error* for various sample sizes (n) and design </w:t>
      </w:r>
      <w:r>
        <w:br/>
        <w:t xml:space="preserve">     </w:t>
      </w:r>
      <w:r>
        <w:tab/>
      </w:r>
      <w:r w:rsidRPr="00D6005B">
        <w:t>effects (DEFF)</w:t>
      </w:r>
      <w:bookmarkEnd w:id="13"/>
      <w:bookmarkEnd w:id="14"/>
    </w:p>
    <w:tbl>
      <w:tblPr>
        <w:tblW w:w="3886" w:type="pct"/>
        <w:jc w:val="center"/>
        <w:tblBorders>
          <w:top w:val="single" w:sz="4" w:space="0" w:color="auto"/>
          <w:bottom w:val="single" w:sz="4" w:space="0" w:color="auto"/>
        </w:tblBorders>
        <w:tblLayout w:type="fixed"/>
        <w:tblLook w:val="00A0" w:firstRow="1" w:lastRow="0" w:firstColumn="1" w:lastColumn="0" w:noHBand="0" w:noVBand="0"/>
      </w:tblPr>
      <w:tblGrid>
        <w:gridCol w:w="1860"/>
        <w:gridCol w:w="1860"/>
        <w:gridCol w:w="1861"/>
        <w:gridCol w:w="1861"/>
      </w:tblGrid>
      <w:tr w:rsidR="00B06525" w:rsidRPr="00D6005B" w:rsidTr="00B06525">
        <w:trPr>
          <w:trHeight w:val="144"/>
          <w:jc w:val="center"/>
        </w:trPr>
        <w:tc>
          <w:tcPr>
            <w:tcW w:w="1250" w:type="pct"/>
            <w:tcBorders>
              <w:bottom w:val="nil"/>
            </w:tcBorders>
            <w:shd w:val="clear" w:color="auto" w:fill="AFBED7"/>
            <w:noWrap/>
            <w:vAlign w:val="bottom"/>
          </w:tcPr>
          <w:p w:rsidR="00B06525" w:rsidRPr="00A04DA5" w:rsidRDefault="00B06525" w:rsidP="00A04DA5">
            <w:pPr>
              <w:pStyle w:val="TH-TableHeading"/>
            </w:pPr>
          </w:p>
        </w:tc>
        <w:tc>
          <w:tcPr>
            <w:tcW w:w="3750" w:type="pct"/>
            <w:gridSpan w:val="3"/>
            <w:tcBorders>
              <w:bottom w:val="single" w:sz="4" w:space="0" w:color="auto"/>
            </w:tcBorders>
            <w:shd w:val="clear" w:color="auto" w:fill="AFBED7"/>
            <w:noWrap/>
            <w:vAlign w:val="bottom"/>
          </w:tcPr>
          <w:p w:rsidR="00B06525" w:rsidRPr="00A04DA5" w:rsidRDefault="00B06525" w:rsidP="00A04DA5">
            <w:pPr>
              <w:pStyle w:val="TH-TableHeading"/>
            </w:pPr>
            <w:bookmarkStart w:id="15" w:name="_Toc339621306"/>
            <w:r>
              <w:t>Design effect (DEFF)</w:t>
            </w:r>
            <w:bookmarkEnd w:id="15"/>
          </w:p>
        </w:tc>
      </w:tr>
      <w:tr w:rsidR="00B06525" w:rsidRPr="00D6005B" w:rsidTr="00B06525">
        <w:trPr>
          <w:trHeight w:val="144"/>
          <w:jc w:val="center"/>
        </w:trPr>
        <w:tc>
          <w:tcPr>
            <w:tcW w:w="1250" w:type="pct"/>
            <w:tcBorders>
              <w:top w:val="nil"/>
              <w:bottom w:val="single" w:sz="4" w:space="0" w:color="auto"/>
            </w:tcBorders>
            <w:shd w:val="clear" w:color="auto" w:fill="AFBED7"/>
            <w:noWrap/>
            <w:vAlign w:val="bottom"/>
          </w:tcPr>
          <w:p w:rsidR="00B06525" w:rsidRPr="00A04DA5" w:rsidRDefault="00B06525" w:rsidP="00A04DA5">
            <w:pPr>
              <w:pStyle w:val="TH-TableHeading"/>
            </w:pPr>
            <w:bookmarkStart w:id="16" w:name="_Toc339621307"/>
            <w:r w:rsidRPr="00A04DA5">
              <w:t>n</w:t>
            </w:r>
            <w:bookmarkEnd w:id="16"/>
          </w:p>
        </w:tc>
        <w:tc>
          <w:tcPr>
            <w:tcW w:w="1250" w:type="pct"/>
            <w:tcBorders>
              <w:bottom w:val="single" w:sz="4" w:space="0" w:color="auto"/>
            </w:tcBorders>
            <w:shd w:val="clear" w:color="auto" w:fill="AFBED7"/>
            <w:noWrap/>
            <w:vAlign w:val="bottom"/>
          </w:tcPr>
          <w:p w:rsidR="00B06525" w:rsidRPr="00A04DA5" w:rsidRDefault="00B06525" w:rsidP="00A04DA5">
            <w:pPr>
              <w:pStyle w:val="TH-TableHeading"/>
            </w:pPr>
            <w:bookmarkStart w:id="17" w:name="_Toc339621308"/>
            <w:r w:rsidRPr="00A04DA5">
              <w:t>1.10</w:t>
            </w:r>
            <w:bookmarkEnd w:id="17"/>
          </w:p>
        </w:tc>
        <w:tc>
          <w:tcPr>
            <w:tcW w:w="1250" w:type="pct"/>
            <w:tcBorders>
              <w:bottom w:val="single" w:sz="4" w:space="0" w:color="auto"/>
            </w:tcBorders>
            <w:shd w:val="clear" w:color="auto" w:fill="AFBED7"/>
            <w:noWrap/>
            <w:vAlign w:val="bottom"/>
          </w:tcPr>
          <w:p w:rsidR="00B06525" w:rsidRPr="00A04DA5" w:rsidRDefault="00B06525" w:rsidP="00A04DA5">
            <w:pPr>
              <w:pStyle w:val="TH-TableHeading"/>
            </w:pPr>
            <w:bookmarkStart w:id="18" w:name="_Toc339621309"/>
            <w:r w:rsidRPr="00A04DA5">
              <w:t>1.25</w:t>
            </w:r>
            <w:bookmarkEnd w:id="18"/>
          </w:p>
        </w:tc>
        <w:tc>
          <w:tcPr>
            <w:tcW w:w="1250" w:type="pct"/>
            <w:tcBorders>
              <w:bottom w:val="single" w:sz="4" w:space="0" w:color="auto"/>
            </w:tcBorders>
            <w:shd w:val="clear" w:color="auto" w:fill="AFBED7"/>
            <w:noWrap/>
            <w:vAlign w:val="bottom"/>
          </w:tcPr>
          <w:p w:rsidR="00B06525" w:rsidRPr="00A04DA5" w:rsidRDefault="00B06525" w:rsidP="00A04DA5">
            <w:pPr>
              <w:pStyle w:val="TH-TableHeading"/>
            </w:pPr>
            <w:bookmarkStart w:id="19" w:name="_Toc339621310"/>
            <w:r w:rsidRPr="00A04DA5">
              <w:t>1.50</w:t>
            </w:r>
            <w:bookmarkEnd w:id="19"/>
          </w:p>
        </w:tc>
      </w:tr>
      <w:tr w:rsidR="00B06525" w:rsidRPr="00D6005B" w:rsidTr="00B06525">
        <w:trPr>
          <w:trHeight w:val="288"/>
          <w:jc w:val="center"/>
        </w:trPr>
        <w:tc>
          <w:tcPr>
            <w:tcW w:w="1250" w:type="pct"/>
            <w:tcBorders>
              <w:top w:val="single" w:sz="4" w:space="0" w:color="auto"/>
              <w:bottom w:val="nil"/>
            </w:tcBorders>
            <w:noWrap/>
            <w:vAlign w:val="bottom"/>
          </w:tcPr>
          <w:p w:rsidR="00B06525" w:rsidRPr="00D6005B" w:rsidRDefault="00B06525" w:rsidP="00B72321">
            <w:pPr>
              <w:pStyle w:val="TX-TableText"/>
            </w:pPr>
            <w:r w:rsidRPr="00D6005B">
              <w:t>100</w:t>
            </w:r>
          </w:p>
        </w:tc>
        <w:tc>
          <w:tcPr>
            <w:tcW w:w="1250" w:type="pct"/>
            <w:tcBorders>
              <w:top w:val="single" w:sz="4" w:space="0" w:color="auto"/>
              <w:bottom w:val="nil"/>
            </w:tcBorders>
            <w:noWrap/>
            <w:vAlign w:val="bottom"/>
          </w:tcPr>
          <w:p w:rsidR="00B06525" w:rsidRPr="00D6005B" w:rsidRDefault="00B06525" w:rsidP="00A04DA5">
            <w:pPr>
              <w:pStyle w:val="TX-TableText"/>
              <w:jc w:val="center"/>
            </w:pPr>
            <w:r w:rsidRPr="00D6005B">
              <w:t>11.0%</w:t>
            </w:r>
          </w:p>
        </w:tc>
        <w:tc>
          <w:tcPr>
            <w:tcW w:w="1250" w:type="pct"/>
            <w:tcBorders>
              <w:top w:val="single" w:sz="4" w:space="0" w:color="auto"/>
              <w:bottom w:val="nil"/>
            </w:tcBorders>
            <w:noWrap/>
            <w:vAlign w:val="bottom"/>
          </w:tcPr>
          <w:p w:rsidR="00B06525" w:rsidRPr="00D6005B" w:rsidRDefault="00B06525" w:rsidP="00A04DA5">
            <w:pPr>
              <w:pStyle w:val="TX-TableText"/>
              <w:jc w:val="center"/>
            </w:pPr>
            <w:r w:rsidRPr="00D6005B">
              <w:t>12.5%</w:t>
            </w:r>
          </w:p>
        </w:tc>
        <w:tc>
          <w:tcPr>
            <w:tcW w:w="1250" w:type="pct"/>
            <w:tcBorders>
              <w:top w:val="single" w:sz="4" w:space="0" w:color="auto"/>
              <w:bottom w:val="nil"/>
            </w:tcBorders>
            <w:noWrap/>
            <w:vAlign w:val="bottom"/>
          </w:tcPr>
          <w:p w:rsidR="00B06525" w:rsidRPr="00D6005B" w:rsidRDefault="00B06525" w:rsidP="00A04DA5">
            <w:pPr>
              <w:pStyle w:val="TX-TableText"/>
              <w:jc w:val="center"/>
            </w:pPr>
            <w:r w:rsidRPr="00D6005B">
              <w:t>15.0%</w:t>
            </w:r>
          </w:p>
        </w:tc>
      </w:tr>
      <w:tr w:rsidR="00B06525" w:rsidRPr="00D6005B" w:rsidTr="00B06525">
        <w:trPr>
          <w:trHeight w:val="288"/>
          <w:jc w:val="center"/>
        </w:trPr>
        <w:tc>
          <w:tcPr>
            <w:tcW w:w="1250" w:type="pct"/>
            <w:tcBorders>
              <w:top w:val="nil"/>
            </w:tcBorders>
            <w:noWrap/>
            <w:vAlign w:val="bottom"/>
          </w:tcPr>
          <w:p w:rsidR="00B06525" w:rsidRPr="00D6005B" w:rsidRDefault="00B06525" w:rsidP="00B72321">
            <w:pPr>
              <w:pStyle w:val="TX-TableText"/>
            </w:pPr>
            <w:r w:rsidRPr="00D6005B">
              <w:t>200</w:t>
            </w:r>
          </w:p>
        </w:tc>
        <w:tc>
          <w:tcPr>
            <w:tcW w:w="1250" w:type="pct"/>
            <w:tcBorders>
              <w:top w:val="nil"/>
            </w:tcBorders>
            <w:noWrap/>
            <w:vAlign w:val="bottom"/>
          </w:tcPr>
          <w:p w:rsidR="00B06525" w:rsidRPr="00D6005B" w:rsidRDefault="00B06525" w:rsidP="00A04DA5">
            <w:pPr>
              <w:pStyle w:val="TX-TableText"/>
              <w:jc w:val="center"/>
            </w:pPr>
            <w:r w:rsidRPr="00D6005B">
              <w:t>7.8%</w:t>
            </w:r>
          </w:p>
        </w:tc>
        <w:tc>
          <w:tcPr>
            <w:tcW w:w="1250" w:type="pct"/>
            <w:tcBorders>
              <w:top w:val="nil"/>
            </w:tcBorders>
            <w:noWrap/>
            <w:vAlign w:val="bottom"/>
          </w:tcPr>
          <w:p w:rsidR="00B06525" w:rsidRPr="00D6005B" w:rsidRDefault="00B06525" w:rsidP="00A04DA5">
            <w:pPr>
              <w:pStyle w:val="TX-TableText"/>
              <w:jc w:val="center"/>
            </w:pPr>
            <w:r w:rsidRPr="00D6005B">
              <w:t>8.8%</w:t>
            </w:r>
          </w:p>
        </w:tc>
        <w:tc>
          <w:tcPr>
            <w:tcW w:w="1250" w:type="pct"/>
            <w:tcBorders>
              <w:top w:val="nil"/>
            </w:tcBorders>
            <w:noWrap/>
            <w:vAlign w:val="bottom"/>
          </w:tcPr>
          <w:p w:rsidR="00B06525" w:rsidRPr="00D6005B" w:rsidRDefault="00B06525" w:rsidP="00A04DA5">
            <w:pPr>
              <w:pStyle w:val="TX-TableText"/>
              <w:jc w:val="center"/>
            </w:pPr>
            <w:r w:rsidRPr="00D6005B">
              <w:t>10.6%</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300</w:t>
            </w:r>
          </w:p>
        </w:tc>
        <w:tc>
          <w:tcPr>
            <w:tcW w:w="1250" w:type="pct"/>
            <w:noWrap/>
            <w:vAlign w:val="bottom"/>
          </w:tcPr>
          <w:p w:rsidR="00B06525" w:rsidRPr="00D6005B" w:rsidRDefault="00B06525" w:rsidP="00A04DA5">
            <w:pPr>
              <w:pStyle w:val="TX-TableText"/>
              <w:jc w:val="center"/>
            </w:pPr>
            <w:r w:rsidRPr="00D6005B">
              <w:t>6.4%</w:t>
            </w:r>
          </w:p>
        </w:tc>
        <w:tc>
          <w:tcPr>
            <w:tcW w:w="1250" w:type="pct"/>
            <w:noWrap/>
            <w:vAlign w:val="bottom"/>
          </w:tcPr>
          <w:p w:rsidR="00B06525" w:rsidRPr="00D6005B" w:rsidRDefault="00B06525" w:rsidP="00A04DA5">
            <w:pPr>
              <w:pStyle w:val="TX-TableText"/>
              <w:jc w:val="center"/>
            </w:pPr>
            <w:r w:rsidRPr="00D6005B">
              <w:t>7.2%</w:t>
            </w:r>
          </w:p>
        </w:tc>
        <w:tc>
          <w:tcPr>
            <w:tcW w:w="1250" w:type="pct"/>
            <w:noWrap/>
            <w:vAlign w:val="bottom"/>
          </w:tcPr>
          <w:p w:rsidR="00B06525" w:rsidRPr="00D6005B" w:rsidRDefault="00B06525" w:rsidP="00A04DA5">
            <w:pPr>
              <w:pStyle w:val="TX-TableText"/>
              <w:jc w:val="center"/>
            </w:pPr>
            <w:r w:rsidRPr="00D6005B">
              <w:t>8.7%</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400</w:t>
            </w:r>
          </w:p>
        </w:tc>
        <w:tc>
          <w:tcPr>
            <w:tcW w:w="1250" w:type="pct"/>
            <w:noWrap/>
            <w:vAlign w:val="bottom"/>
          </w:tcPr>
          <w:p w:rsidR="00B06525" w:rsidRPr="00D6005B" w:rsidRDefault="00B06525" w:rsidP="00A04DA5">
            <w:pPr>
              <w:pStyle w:val="TX-TableText"/>
              <w:jc w:val="center"/>
            </w:pPr>
            <w:r w:rsidRPr="00D6005B">
              <w:t>5.5%</w:t>
            </w:r>
          </w:p>
        </w:tc>
        <w:tc>
          <w:tcPr>
            <w:tcW w:w="1250" w:type="pct"/>
            <w:noWrap/>
            <w:vAlign w:val="bottom"/>
          </w:tcPr>
          <w:p w:rsidR="00B06525" w:rsidRPr="00D6005B" w:rsidRDefault="00B06525" w:rsidP="00A04DA5">
            <w:pPr>
              <w:pStyle w:val="TX-TableText"/>
              <w:jc w:val="center"/>
            </w:pPr>
            <w:r w:rsidRPr="00D6005B">
              <w:t>6.3%</w:t>
            </w:r>
          </w:p>
        </w:tc>
        <w:tc>
          <w:tcPr>
            <w:tcW w:w="1250" w:type="pct"/>
            <w:noWrap/>
            <w:vAlign w:val="bottom"/>
          </w:tcPr>
          <w:p w:rsidR="00B06525" w:rsidRPr="00D6005B" w:rsidRDefault="00B06525" w:rsidP="00A04DA5">
            <w:pPr>
              <w:pStyle w:val="TX-TableText"/>
              <w:jc w:val="center"/>
            </w:pPr>
            <w:r w:rsidRPr="00D6005B">
              <w:t>7.5%</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500</w:t>
            </w:r>
          </w:p>
        </w:tc>
        <w:tc>
          <w:tcPr>
            <w:tcW w:w="1250" w:type="pct"/>
            <w:noWrap/>
            <w:vAlign w:val="bottom"/>
          </w:tcPr>
          <w:p w:rsidR="00B06525" w:rsidRPr="00D6005B" w:rsidRDefault="00B06525" w:rsidP="00A04DA5">
            <w:pPr>
              <w:pStyle w:val="TX-TableText"/>
              <w:jc w:val="center"/>
            </w:pPr>
            <w:r w:rsidRPr="00D6005B">
              <w:t>4.9%</w:t>
            </w:r>
          </w:p>
        </w:tc>
        <w:tc>
          <w:tcPr>
            <w:tcW w:w="1250" w:type="pct"/>
            <w:noWrap/>
            <w:vAlign w:val="bottom"/>
          </w:tcPr>
          <w:p w:rsidR="00B06525" w:rsidRPr="00D6005B" w:rsidRDefault="00B06525" w:rsidP="00A04DA5">
            <w:pPr>
              <w:pStyle w:val="TX-TableText"/>
              <w:jc w:val="center"/>
            </w:pPr>
            <w:r w:rsidRPr="00D6005B">
              <w:t>5.6%</w:t>
            </w:r>
          </w:p>
        </w:tc>
        <w:tc>
          <w:tcPr>
            <w:tcW w:w="1250" w:type="pct"/>
            <w:noWrap/>
            <w:vAlign w:val="bottom"/>
          </w:tcPr>
          <w:p w:rsidR="00B06525" w:rsidRPr="00D6005B" w:rsidRDefault="00B06525" w:rsidP="00A04DA5">
            <w:pPr>
              <w:pStyle w:val="TX-TableText"/>
              <w:jc w:val="center"/>
            </w:pPr>
            <w:r w:rsidRPr="00D6005B">
              <w:t>6.7%</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600</w:t>
            </w:r>
          </w:p>
        </w:tc>
        <w:tc>
          <w:tcPr>
            <w:tcW w:w="1250" w:type="pct"/>
            <w:noWrap/>
            <w:vAlign w:val="bottom"/>
          </w:tcPr>
          <w:p w:rsidR="00B06525" w:rsidRPr="00D6005B" w:rsidRDefault="00B06525" w:rsidP="00A04DA5">
            <w:pPr>
              <w:pStyle w:val="TX-TableText"/>
              <w:jc w:val="center"/>
            </w:pPr>
            <w:r w:rsidRPr="00D6005B">
              <w:t>4.5%</w:t>
            </w:r>
          </w:p>
        </w:tc>
        <w:tc>
          <w:tcPr>
            <w:tcW w:w="1250" w:type="pct"/>
            <w:noWrap/>
            <w:vAlign w:val="bottom"/>
          </w:tcPr>
          <w:p w:rsidR="00B06525" w:rsidRPr="00D6005B" w:rsidRDefault="00B06525" w:rsidP="00A04DA5">
            <w:pPr>
              <w:pStyle w:val="TX-TableText"/>
              <w:jc w:val="center"/>
            </w:pPr>
            <w:r w:rsidRPr="00D6005B">
              <w:t>5.1%</w:t>
            </w:r>
          </w:p>
        </w:tc>
        <w:tc>
          <w:tcPr>
            <w:tcW w:w="1250" w:type="pct"/>
            <w:noWrap/>
            <w:vAlign w:val="bottom"/>
          </w:tcPr>
          <w:p w:rsidR="00B06525" w:rsidRPr="00D6005B" w:rsidRDefault="00B06525" w:rsidP="00A04DA5">
            <w:pPr>
              <w:pStyle w:val="TX-TableText"/>
              <w:jc w:val="center"/>
            </w:pPr>
            <w:r w:rsidRPr="00D6005B">
              <w:t>6.1%</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700</w:t>
            </w:r>
          </w:p>
        </w:tc>
        <w:tc>
          <w:tcPr>
            <w:tcW w:w="1250" w:type="pct"/>
            <w:noWrap/>
            <w:vAlign w:val="bottom"/>
          </w:tcPr>
          <w:p w:rsidR="00B06525" w:rsidRPr="00D6005B" w:rsidRDefault="00B06525" w:rsidP="00A04DA5">
            <w:pPr>
              <w:pStyle w:val="TX-TableText"/>
              <w:jc w:val="center"/>
            </w:pPr>
            <w:r w:rsidRPr="00D6005B">
              <w:t>4.2%</w:t>
            </w:r>
          </w:p>
        </w:tc>
        <w:tc>
          <w:tcPr>
            <w:tcW w:w="1250" w:type="pct"/>
            <w:noWrap/>
            <w:vAlign w:val="bottom"/>
          </w:tcPr>
          <w:p w:rsidR="00B06525" w:rsidRPr="00D6005B" w:rsidRDefault="00B06525" w:rsidP="00A04DA5">
            <w:pPr>
              <w:pStyle w:val="TX-TableText"/>
              <w:jc w:val="center"/>
            </w:pPr>
            <w:r w:rsidRPr="00D6005B">
              <w:t>4.7%</w:t>
            </w:r>
          </w:p>
        </w:tc>
        <w:tc>
          <w:tcPr>
            <w:tcW w:w="1250" w:type="pct"/>
            <w:noWrap/>
            <w:vAlign w:val="bottom"/>
          </w:tcPr>
          <w:p w:rsidR="00B06525" w:rsidRPr="00D6005B" w:rsidRDefault="00B06525" w:rsidP="00A04DA5">
            <w:pPr>
              <w:pStyle w:val="TX-TableText"/>
              <w:jc w:val="center"/>
            </w:pPr>
            <w:r w:rsidRPr="00D6005B">
              <w:t>5.7%</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800</w:t>
            </w:r>
          </w:p>
        </w:tc>
        <w:tc>
          <w:tcPr>
            <w:tcW w:w="1250" w:type="pct"/>
            <w:noWrap/>
            <w:vAlign w:val="bottom"/>
          </w:tcPr>
          <w:p w:rsidR="00B06525" w:rsidRPr="00D6005B" w:rsidRDefault="00B06525" w:rsidP="00A04DA5">
            <w:pPr>
              <w:pStyle w:val="TX-TableText"/>
              <w:jc w:val="center"/>
            </w:pPr>
            <w:r w:rsidRPr="00D6005B">
              <w:t>3.9%</w:t>
            </w:r>
          </w:p>
        </w:tc>
        <w:tc>
          <w:tcPr>
            <w:tcW w:w="1250" w:type="pct"/>
            <w:noWrap/>
            <w:vAlign w:val="bottom"/>
          </w:tcPr>
          <w:p w:rsidR="00B06525" w:rsidRPr="00D6005B" w:rsidRDefault="00B06525" w:rsidP="00A04DA5">
            <w:pPr>
              <w:pStyle w:val="TX-TableText"/>
              <w:jc w:val="center"/>
            </w:pPr>
            <w:r w:rsidRPr="00D6005B">
              <w:t>4.4%</w:t>
            </w:r>
          </w:p>
        </w:tc>
        <w:tc>
          <w:tcPr>
            <w:tcW w:w="1250" w:type="pct"/>
            <w:noWrap/>
            <w:vAlign w:val="bottom"/>
          </w:tcPr>
          <w:p w:rsidR="00B06525" w:rsidRPr="00D6005B" w:rsidRDefault="00B06525" w:rsidP="00A04DA5">
            <w:pPr>
              <w:pStyle w:val="TX-TableText"/>
              <w:jc w:val="center"/>
            </w:pPr>
            <w:r w:rsidRPr="00D6005B">
              <w:t>5.3%</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900</w:t>
            </w:r>
          </w:p>
        </w:tc>
        <w:tc>
          <w:tcPr>
            <w:tcW w:w="1250" w:type="pct"/>
            <w:noWrap/>
            <w:vAlign w:val="bottom"/>
          </w:tcPr>
          <w:p w:rsidR="00B06525" w:rsidRPr="00D6005B" w:rsidRDefault="00B06525" w:rsidP="00A04DA5">
            <w:pPr>
              <w:pStyle w:val="TX-TableText"/>
              <w:jc w:val="center"/>
            </w:pPr>
            <w:r w:rsidRPr="00D6005B">
              <w:t>3.7%</w:t>
            </w:r>
          </w:p>
        </w:tc>
        <w:tc>
          <w:tcPr>
            <w:tcW w:w="1250" w:type="pct"/>
            <w:noWrap/>
            <w:vAlign w:val="bottom"/>
          </w:tcPr>
          <w:p w:rsidR="00B06525" w:rsidRPr="00D6005B" w:rsidRDefault="00B06525" w:rsidP="00A04DA5">
            <w:pPr>
              <w:pStyle w:val="TX-TableText"/>
              <w:jc w:val="center"/>
            </w:pPr>
            <w:r w:rsidRPr="00D6005B">
              <w:t>4.2%</w:t>
            </w:r>
          </w:p>
        </w:tc>
        <w:tc>
          <w:tcPr>
            <w:tcW w:w="1250" w:type="pct"/>
            <w:noWrap/>
            <w:vAlign w:val="bottom"/>
          </w:tcPr>
          <w:p w:rsidR="00B06525" w:rsidRPr="00D6005B" w:rsidRDefault="00B06525" w:rsidP="00A04DA5">
            <w:pPr>
              <w:pStyle w:val="TX-TableText"/>
              <w:jc w:val="center"/>
            </w:pPr>
            <w:r w:rsidRPr="00D6005B">
              <w:t>5.0%</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1,000</w:t>
            </w:r>
          </w:p>
        </w:tc>
        <w:tc>
          <w:tcPr>
            <w:tcW w:w="1250" w:type="pct"/>
            <w:noWrap/>
            <w:vAlign w:val="bottom"/>
          </w:tcPr>
          <w:p w:rsidR="00B06525" w:rsidRPr="00D6005B" w:rsidRDefault="00B06525" w:rsidP="00A04DA5">
            <w:pPr>
              <w:pStyle w:val="TX-TableText"/>
              <w:jc w:val="center"/>
            </w:pPr>
            <w:r w:rsidRPr="00D6005B">
              <w:t>3.5%</w:t>
            </w:r>
          </w:p>
        </w:tc>
        <w:tc>
          <w:tcPr>
            <w:tcW w:w="1250" w:type="pct"/>
            <w:noWrap/>
            <w:vAlign w:val="bottom"/>
          </w:tcPr>
          <w:p w:rsidR="00B06525" w:rsidRPr="00D6005B" w:rsidRDefault="00B06525" w:rsidP="00A04DA5">
            <w:pPr>
              <w:pStyle w:val="TX-TableText"/>
              <w:jc w:val="center"/>
            </w:pPr>
            <w:r w:rsidRPr="00D6005B">
              <w:t>4.0%</w:t>
            </w:r>
          </w:p>
        </w:tc>
        <w:tc>
          <w:tcPr>
            <w:tcW w:w="1250" w:type="pct"/>
            <w:noWrap/>
            <w:vAlign w:val="bottom"/>
          </w:tcPr>
          <w:p w:rsidR="00B06525" w:rsidRPr="00D6005B" w:rsidRDefault="00B06525" w:rsidP="00A04DA5">
            <w:pPr>
              <w:pStyle w:val="TX-TableText"/>
              <w:jc w:val="center"/>
            </w:pPr>
            <w:r w:rsidRPr="00D6005B">
              <w:t>4.7%</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1,100</w:t>
            </w:r>
          </w:p>
        </w:tc>
        <w:tc>
          <w:tcPr>
            <w:tcW w:w="1250" w:type="pct"/>
            <w:noWrap/>
            <w:vAlign w:val="bottom"/>
          </w:tcPr>
          <w:p w:rsidR="00B06525" w:rsidRPr="00D6005B" w:rsidRDefault="00B06525" w:rsidP="00A04DA5">
            <w:pPr>
              <w:pStyle w:val="TX-TableText"/>
              <w:jc w:val="center"/>
            </w:pPr>
            <w:r w:rsidRPr="00D6005B">
              <w:t>3.3%</w:t>
            </w:r>
          </w:p>
        </w:tc>
        <w:tc>
          <w:tcPr>
            <w:tcW w:w="1250" w:type="pct"/>
            <w:noWrap/>
            <w:vAlign w:val="bottom"/>
          </w:tcPr>
          <w:p w:rsidR="00B06525" w:rsidRPr="00D6005B" w:rsidRDefault="00B06525" w:rsidP="00A04DA5">
            <w:pPr>
              <w:pStyle w:val="TX-TableText"/>
              <w:jc w:val="center"/>
            </w:pPr>
            <w:r w:rsidRPr="00D6005B">
              <w:t>3.8%</w:t>
            </w:r>
          </w:p>
        </w:tc>
        <w:tc>
          <w:tcPr>
            <w:tcW w:w="1250" w:type="pct"/>
            <w:noWrap/>
            <w:vAlign w:val="bottom"/>
          </w:tcPr>
          <w:p w:rsidR="00B06525" w:rsidRPr="00D6005B" w:rsidRDefault="00B06525" w:rsidP="00A04DA5">
            <w:pPr>
              <w:pStyle w:val="TX-TableText"/>
              <w:jc w:val="center"/>
            </w:pPr>
            <w:r w:rsidRPr="00D6005B">
              <w:t>4.5%</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1,200</w:t>
            </w:r>
          </w:p>
        </w:tc>
        <w:tc>
          <w:tcPr>
            <w:tcW w:w="1250" w:type="pct"/>
            <w:noWrap/>
            <w:vAlign w:val="bottom"/>
          </w:tcPr>
          <w:p w:rsidR="00B06525" w:rsidRPr="00D6005B" w:rsidRDefault="00B06525" w:rsidP="00A04DA5">
            <w:pPr>
              <w:pStyle w:val="TX-TableText"/>
              <w:jc w:val="center"/>
            </w:pPr>
            <w:r w:rsidRPr="00D6005B">
              <w:t>3.2%</w:t>
            </w:r>
          </w:p>
        </w:tc>
        <w:tc>
          <w:tcPr>
            <w:tcW w:w="1250" w:type="pct"/>
            <w:noWrap/>
            <w:vAlign w:val="bottom"/>
          </w:tcPr>
          <w:p w:rsidR="00B06525" w:rsidRPr="00D6005B" w:rsidRDefault="00B06525" w:rsidP="00A04DA5">
            <w:pPr>
              <w:pStyle w:val="TX-TableText"/>
              <w:jc w:val="center"/>
            </w:pPr>
            <w:r w:rsidRPr="00D6005B">
              <w:t>3.6%</w:t>
            </w:r>
          </w:p>
        </w:tc>
        <w:tc>
          <w:tcPr>
            <w:tcW w:w="1250" w:type="pct"/>
            <w:noWrap/>
            <w:vAlign w:val="bottom"/>
          </w:tcPr>
          <w:p w:rsidR="00B06525" w:rsidRPr="00D6005B" w:rsidRDefault="00B06525" w:rsidP="00A04DA5">
            <w:pPr>
              <w:pStyle w:val="TX-TableText"/>
              <w:jc w:val="center"/>
            </w:pPr>
            <w:r w:rsidRPr="00D6005B">
              <w:t>4.3%</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1,300</w:t>
            </w:r>
          </w:p>
        </w:tc>
        <w:tc>
          <w:tcPr>
            <w:tcW w:w="1250" w:type="pct"/>
            <w:noWrap/>
            <w:vAlign w:val="bottom"/>
          </w:tcPr>
          <w:p w:rsidR="00B06525" w:rsidRPr="00D6005B" w:rsidRDefault="00B06525" w:rsidP="00A04DA5">
            <w:pPr>
              <w:pStyle w:val="TX-TableText"/>
              <w:jc w:val="center"/>
            </w:pPr>
            <w:r w:rsidRPr="00D6005B">
              <w:t>3.1%</w:t>
            </w:r>
          </w:p>
        </w:tc>
        <w:tc>
          <w:tcPr>
            <w:tcW w:w="1250" w:type="pct"/>
            <w:noWrap/>
            <w:vAlign w:val="bottom"/>
          </w:tcPr>
          <w:p w:rsidR="00B06525" w:rsidRPr="00D6005B" w:rsidRDefault="00B06525" w:rsidP="00A04DA5">
            <w:pPr>
              <w:pStyle w:val="TX-TableText"/>
              <w:jc w:val="center"/>
            </w:pPr>
            <w:r w:rsidRPr="00D6005B">
              <w:t>3.5%</w:t>
            </w:r>
          </w:p>
        </w:tc>
        <w:tc>
          <w:tcPr>
            <w:tcW w:w="1250" w:type="pct"/>
            <w:noWrap/>
            <w:vAlign w:val="bottom"/>
          </w:tcPr>
          <w:p w:rsidR="00B06525" w:rsidRPr="00D6005B" w:rsidRDefault="00B06525" w:rsidP="00A04DA5">
            <w:pPr>
              <w:pStyle w:val="TX-TableText"/>
              <w:jc w:val="center"/>
            </w:pPr>
            <w:r w:rsidRPr="00D6005B">
              <w:t>4.2%</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1,400</w:t>
            </w:r>
          </w:p>
        </w:tc>
        <w:tc>
          <w:tcPr>
            <w:tcW w:w="1250" w:type="pct"/>
            <w:noWrap/>
            <w:vAlign w:val="bottom"/>
          </w:tcPr>
          <w:p w:rsidR="00B06525" w:rsidRPr="00D6005B" w:rsidRDefault="00B06525" w:rsidP="00A04DA5">
            <w:pPr>
              <w:pStyle w:val="TX-TableText"/>
              <w:jc w:val="center"/>
            </w:pPr>
            <w:r w:rsidRPr="00D6005B">
              <w:t>2.9%</w:t>
            </w:r>
          </w:p>
        </w:tc>
        <w:tc>
          <w:tcPr>
            <w:tcW w:w="1250" w:type="pct"/>
            <w:noWrap/>
            <w:vAlign w:val="bottom"/>
          </w:tcPr>
          <w:p w:rsidR="00B06525" w:rsidRPr="00D6005B" w:rsidRDefault="00B06525" w:rsidP="00A04DA5">
            <w:pPr>
              <w:pStyle w:val="TX-TableText"/>
              <w:jc w:val="center"/>
            </w:pPr>
            <w:r w:rsidRPr="00D6005B">
              <w:t>3.3%</w:t>
            </w:r>
          </w:p>
        </w:tc>
        <w:tc>
          <w:tcPr>
            <w:tcW w:w="1250" w:type="pct"/>
            <w:noWrap/>
            <w:vAlign w:val="bottom"/>
          </w:tcPr>
          <w:p w:rsidR="00B06525" w:rsidRPr="00D6005B" w:rsidRDefault="00B06525" w:rsidP="00A04DA5">
            <w:pPr>
              <w:pStyle w:val="TX-TableText"/>
              <w:jc w:val="center"/>
            </w:pPr>
            <w:r w:rsidRPr="00D6005B">
              <w:t>4.0%</w:t>
            </w:r>
          </w:p>
        </w:tc>
      </w:tr>
      <w:tr w:rsidR="00B06525" w:rsidRPr="00D6005B" w:rsidTr="00B06525">
        <w:trPr>
          <w:trHeight w:val="288"/>
          <w:jc w:val="center"/>
        </w:trPr>
        <w:tc>
          <w:tcPr>
            <w:tcW w:w="1250" w:type="pct"/>
            <w:noWrap/>
            <w:vAlign w:val="bottom"/>
          </w:tcPr>
          <w:p w:rsidR="00B06525" w:rsidRPr="00D6005B" w:rsidRDefault="00B06525" w:rsidP="00B72321">
            <w:pPr>
              <w:pStyle w:val="TX-TableText"/>
            </w:pPr>
            <w:r w:rsidRPr="00D6005B">
              <w:t>1,500</w:t>
            </w:r>
          </w:p>
        </w:tc>
        <w:tc>
          <w:tcPr>
            <w:tcW w:w="1250" w:type="pct"/>
            <w:noWrap/>
            <w:vAlign w:val="bottom"/>
          </w:tcPr>
          <w:p w:rsidR="00B06525" w:rsidRPr="00D6005B" w:rsidRDefault="00B06525" w:rsidP="00A04DA5">
            <w:pPr>
              <w:pStyle w:val="TX-TableText"/>
              <w:jc w:val="center"/>
            </w:pPr>
            <w:r w:rsidRPr="00D6005B">
              <w:t>2.8%</w:t>
            </w:r>
          </w:p>
        </w:tc>
        <w:tc>
          <w:tcPr>
            <w:tcW w:w="1250" w:type="pct"/>
            <w:noWrap/>
            <w:vAlign w:val="bottom"/>
          </w:tcPr>
          <w:p w:rsidR="00B06525" w:rsidRPr="00D6005B" w:rsidRDefault="00B06525" w:rsidP="00A04DA5">
            <w:pPr>
              <w:pStyle w:val="TX-TableText"/>
              <w:jc w:val="center"/>
            </w:pPr>
            <w:r w:rsidRPr="00D6005B">
              <w:t>3.2%</w:t>
            </w:r>
          </w:p>
        </w:tc>
        <w:tc>
          <w:tcPr>
            <w:tcW w:w="1250" w:type="pct"/>
            <w:noWrap/>
            <w:vAlign w:val="bottom"/>
          </w:tcPr>
          <w:p w:rsidR="00B06525" w:rsidRPr="00D6005B" w:rsidRDefault="00B06525" w:rsidP="00A04DA5">
            <w:pPr>
              <w:pStyle w:val="TX-TableText"/>
              <w:jc w:val="center"/>
            </w:pPr>
            <w:r w:rsidRPr="00D6005B">
              <w:t>3.9%</w:t>
            </w:r>
          </w:p>
        </w:tc>
      </w:tr>
    </w:tbl>
    <w:p w:rsidR="00B06525" w:rsidRPr="00A04DA5" w:rsidRDefault="00B06525" w:rsidP="00B06525">
      <w:pPr>
        <w:pStyle w:val="TF-TblFN"/>
        <w:tabs>
          <w:tab w:val="clear" w:pos="120"/>
          <w:tab w:val="left" w:pos="990"/>
        </w:tabs>
        <w:ind w:left="990" w:right="990" w:firstLine="0"/>
        <w:rPr>
          <w:sz w:val="18"/>
          <w:szCs w:val="18"/>
        </w:rPr>
      </w:pPr>
      <w:r w:rsidRPr="00A04DA5">
        <w:rPr>
          <w:sz w:val="18"/>
          <w:szCs w:val="18"/>
        </w:rPr>
        <w:t xml:space="preserve">*Entries correspond to 95% confidence limits for an estimated prevalence of </w:t>
      </w:r>
      <w:r>
        <w:rPr>
          <w:sz w:val="18"/>
          <w:szCs w:val="18"/>
        </w:rPr>
        <w:t>a</w:t>
      </w:r>
      <w:r w:rsidRPr="00A04DA5">
        <w:rPr>
          <w:sz w:val="18"/>
          <w:szCs w:val="18"/>
        </w:rPr>
        <w:t>pproximately 50%. For estimated prevalence less than 50% or greater than 50%, the confidence limits will be smaller than those indicated in the table.</w:t>
      </w:r>
    </w:p>
    <w:p w:rsidR="00B06525" w:rsidRDefault="00B06525" w:rsidP="00B06525">
      <w:pPr>
        <w:tabs>
          <w:tab w:val="left" w:pos="990"/>
        </w:tabs>
        <w:spacing w:line="240" w:lineRule="auto"/>
        <w:ind w:left="990"/>
        <w:rPr>
          <w:szCs w:val="24"/>
        </w:rPr>
      </w:pPr>
    </w:p>
    <w:p w:rsidR="004E729A" w:rsidRDefault="004E729A" w:rsidP="00B06525">
      <w:pPr>
        <w:tabs>
          <w:tab w:val="left" w:pos="990"/>
        </w:tabs>
        <w:spacing w:line="240" w:lineRule="auto"/>
        <w:ind w:left="990"/>
        <w:rPr>
          <w:szCs w:val="24"/>
        </w:rPr>
      </w:pPr>
    </w:p>
    <w:p w:rsidR="00B06525" w:rsidRDefault="00B06525" w:rsidP="00A04DA5">
      <w:pPr>
        <w:pStyle w:val="P1-StandPara"/>
        <w:spacing w:line="240" w:lineRule="auto"/>
        <w:ind w:left="540" w:firstLine="0"/>
        <w:rPr>
          <w:b/>
          <w:szCs w:val="24"/>
        </w:rPr>
      </w:pPr>
      <w:r w:rsidRPr="00D6005B">
        <w:rPr>
          <w:b/>
          <w:szCs w:val="24"/>
        </w:rPr>
        <w:t>Sample Stratification and Selection</w:t>
      </w:r>
    </w:p>
    <w:p w:rsidR="00B06525" w:rsidRDefault="00B06525" w:rsidP="00001D5E">
      <w:pPr>
        <w:pStyle w:val="P1-StandPara"/>
        <w:spacing w:line="240" w:lineRule="auto"/>
        <w:ind w:firstLine="0"/>
        <w:rPr>
          <w:b/>
          <w:szCs w:val="24"/>
        </w:rPr>
      </w:pPr>
    </w:p>
    <w:p w:rsidR="00B06525" w:rsidRPr="00B62C3C" w:rsidRDefault="00B06525" w:rsidP="006A20B9">
      <w:pPr>
        <w:pStyle w:val="P1-StandPara"/>
        <w:spacing w:line="480" w:lineRule="auto"/>
        <w:ind w:firstLine="0"/>
        <w:rPr>
          <w:szCs w:val="24"/>
        </w:rPr>
      </w:pPr>
      <w:r w:rsidRPr="00D6005B">
        <w:rPr>
          <w:szCs w:val="24"/>
        </w:rPr>
        <w:t xml:space="preserve">As indicated </w:t>
      </w:r>
      <w:r>
        <w:rPr>
          <w:szCs w:val="24"/>
        </w:rPr>
        <w:t>in Section B.1</w:t>
      </w:r>
      <w:r w:rsidRPr="00D6005B">
        <w:rPr>
          <w:szCs w:val="24"/>
        </w:rPr>
        <w:t>, an SFA-level database derived from 20</w:t>
      </w:r>
      <w:r>
        <w:rPr>
          <w:szCs w:val="24"/>
        </w:rPr>
        <w:t>11</w:t>
      </w:r>
      <w:r w:rsidRPr="00D6005B">
        <w:rPr>
          <w:szCs w:val="24"/>
        </w:rPr>
        <w:t>-</w:t>
      </w:r>
      <w:r>
        <w:rPr>
          <w:szCs w:val="24"/>
        </w:rPr>
        <w:t>12</w:t>
      </w:r>
      <w:r w:rsidRPr="00D6005B">
        <w:rPr>
          <w:szCs w:val="24"/>
        </w:rPr>
        <w:t xml:space="preserve"> Verification Summary Reports data (FNS form 742) w</w:t>
      </w:r>
      <w:r w:rsidR="001C424D">
        <w:rPr>
          <w:szCs w:val="24"/>
        </w:rPr>
        <w:t>as</w:t>
      </w:r>
      <w:r w:rsidRPr="00D6005B">
        <w:rPr>
          <w:szCs w:val="24"/>
        </w:rPr>
        <w:t xml:space="preserve"> used to construct the SFA sampling frame. In addition to a unique identifier (SFAID), name of SFA, and </w:t>
      </w:r>
      <w:r w:rsidR="00D07191">
        <w:rPr>
          <w:szCs w:val="24"/>
        </w:rPr>
        <w:t>S</w:t>
      </w:r>
      <w:r w:rsidRPr="00D6005B">
        <w:rPr>
          <w:szCs w:val="24"/>
        </w:rPr>
        <w:t xml:space="preserve">tate in which the SFA is located, the database includes information about the type of control of the SFA/school district (public or private), number of schools participating in the NSLP/SBP, total enrollment in participating schools, and the </w:t>
      </w:r>
      <w:r w:rsidRPr="00D6005B">
        <w:rPr>
          <w:szCs w:val="24"/>
        </w:rPr>
        <w:lastRenderedPageBreak/>
        <w:t xml:space="preserve">number of students eligible for free or reduced-price lunch. This information, along with data from the most recent NCES Common Core of Data (CCD) LEA universe file </w:t>
      </w:r>
      <w:r w:rsidR="009512D2">
        <w:rPr>
          <w:szCs w:val="24"/>
        </w:rPr>
        <w:t xml:space="preserve">where applicable </w:t>
      </w:r>
      <w:r w:rsidR="001C424D">
        <w:rPr>
          <w:szCs w:val="24"/>
        </w:rPr>
        <w:t>were</w:t>
      </w:r>
      <w:r w:rsidRPr="00D6005B">
        <w:rPr>
          <w:szCs w:val="24"/>
        </w:rPr>
        <w:t xml:space="preserve"> used to stratify SFAs for sampling purposes. Note that all known eligible SFAs, including those that </w:t>
      </w:r>
      <w:r w:rsidR="00D07191">
        <w:rPr>
          <w:szCs w:val="24"/>
        </w:rPr>
        <w:t>could not</w:t>
      </w:r>
      <w:r w:rsidRPr="00D6005B">
        <w:rPr>
          <w:szCs w:val="24"/>
        </w:rPr>
        <w:t xml:space="preserve"> be matched to the </w:t>
      </w:r>
      <w:r w:rsidR="00D07191">
        <w:rPr>
          <w:szCs w:val="24"/>
        </w:rPr>
        <w:t>then-</w:t>
      </w:r>
      <w:r w:rsidRPr="00D6005B">
        <w:rPr>
          <w:szCs w:val="24"/>
        </w:rPr>
        <w:t xml:space="preserve">current CCD file, </w:t>
      </w:r>
      <w:r w:rsidR="00D07191">
        <w:rPr>
          <w:szCs w:val="24"/>
        </w:rPr>
        <w:t>were</w:t>
      </w:r>
      <w:r w:rsidRPr="00D6005B">
        <w:rPr>
          <w:szCs w:val="24"/>
        </w:rPr>
        <w:t xml:space="preserve"> included in the sampling frame</w:t>
      </w:r>
      <w:r>
        <w:rPr>
          <w:szCs w:val="24"/>
        </w:rPr>
        <w:t>.</w:t>
      </w:r>
      <w:r w:rsidRPr="00B62C3C">
        <w:rPr>
          <w:szCs w:val="24"/>
        </w:rPr>
        <w:t xml:space="preserve"> </w:t>
      </w:r>
    </w:p>
    <w:p w:rsidR="00B06525" w:rsidRDefault="00B06525" w:rsidP="006A20B9">
      <w:pPr>
        <w:pStyle w:val="P1-StandPara"/>
        <w:spacing w:line="480" w:lineRule="auto"/>
        <w:ind w:firstLine="0"/>
        <w:rPr>
          <w:szCs w:val="24"/>
        </w:rPr>
      </w:pPr>
    </w:p>
    <w:p w:rsidR="00B06525" w:rsidRDefault="00B06525" w:rsidP="006A20B9">
      <w:pPr>
        <w:pStyle w:val="P1-StandPara"/>
        <w:spacing w:line="480" w:lineRule="auto"/>
        <w:ind w:firstLine="0"/>
        <w:rPr>
          <w:szCs w:val="24"/>
        </w:rPr>
      </w:pPr>
      <w:r w:rsidRPr="00D6005B">
        <w:rPr>
          <w:szCs w:val="24"/>
        </w:rPr>
        <w:t xml:space="preserve">The types of </w:t>
      </w:r>
      <w:r>
        <w:rPr>
          <w:szCs w:val="24"/>
        </w:rPr>
        <w:t>SFA/</w:t>
      </w:r>
      <w:r w:rsidRPr="00D6005B">
        <w:rPr>
          <w:szCs w:val="24"/>
        </w:rPr>
        <w:t xml:space="preserve">district-level variables that can be used either as explicit or implicit </w:t>
      </w:r>
      <w:proofErr w:type="spellStart"/>
      <w:r w:rsidRPr="00D6005B">
        <w:rPr>
          <w:szCs w:val="24"/>
        </w:rPr>
        <w:t>stratifiers</w:t>
      </w:r>
      <w:proofErr w:type="spellEnd"/>
      <w:r w:rsidRPr="00D6005B">
        <w:rPr>
          <w:szCs w:val="24"/>
        </w:rPr>
        <w:t xml:space="preserve"> include region (defined by the seven FNS regions</w:t>
      </w:r>
      <w:r w:rsidR="0018488D">
        <w:rPr>
          <w:rStyle w:val="FootnoteReference"/>
          <w:szCs w:val="24"/>
        </w:rPr>
        <w:footnoteReference w:id="1"/>
      </w:r>
      <w:r w:rsidRPr="00D6005B">
        <w:rPr>
          <w:szCs w:val="24"/>
        </w:rPr>
        <w:t>), enrollment size class, a measure of poverty status defined by the percent of students eligible for free/reduced</w:t>
      </w:r>
      <w:r w:rsidR="006A20B9">
        <w:rPr>
          <w:szCs w:val="24"/>
        </w:rPr>
        <w:t>-</w:t>
      </w:r>
      <w:r w:rsidRPr="00D6005B">
        <w:rPr>
          <w:szCs w:val="24"/>
        </w:rPr>
        <w:t xml:space="preserve">price lunch, minority status defined by the percent of </w:t>
      </w:r>
      <w:r w:rsidR="00FD76C3">
        <w:rPr>
          <w:szCs w:val="24"/>
        </w:rPr>
        <w:t xml:space="preserve">students who were </w:t>
      </w:r>
      <w:r w:rsidRPr="00D6005B">
        <w:rPr>
          <w:szCs w:val="24"/>
        </w:rPr>
        <w:t>non-white</w:t>
      </w:r>
      <w:r w:rsidR="00FD76C3">
        <w:rPr>
          <w:szCs w:val="24"/>
        </w:rPr>
        <w:t>,</w:t>
      </w:r>
      <w:r w:rsidRPr="00D6005B">
        <w:rPr>
          <w:szCs w:val="24"/>
        </w:rPr>
        <w:t xml:space="preserve"> type of locale (e.g., central city, suburban, town, rural), and instructional level of schools served by the SFA (e.g., elementary schools only, secondary schools only, or both)</w:t>
      </w:r>
      <w:r w:rsidR="001E09A3">
        <w:rPr>
          <w:rStyle w:val="FootnoteReference"/>
          <w:szCs w:val="24"/>
        </w:rPr>
        <w:footnoteReference w:id="2"/>
      </w:r>
      <w:r w:rsidRPr="00D6005B">
        <w:rPr>
          <w:szCs w:val="24"/>
        </w:rPr>
        <w:t xml:space="preserve">. Since many of these characteristics are related, it </w:t>
      </w:r>
      <w:r w:rsidR="000C36A6">
        <w:rPr>
          <w:szCs w:val="24"/>
        </w:rPr>
        <w:t xml:space="preserve">was </w:t>
      </w:r>
      <w:r w:rsidRPr="00D6005B">
        <w:rPr>
          <w:szCs w:val="24"/>
        </w:rPr>
        <w:t xml:space="preserve">not necessary to employ all of them in </w:t>
      </w:r>
      <w:r w:rsidR="000C36A6">
        <w:rPr>
          <w:szCs w:val="24"/>
        </w:rPr>
        <w:t xml:space="preserve">the </w:t>
      </w:r>
      <w:r w:rsidRPr="00D6005B">
        <w:rPr>
          <w:szCs w:val="24"/>
        </w:rPr>
        <w:t xml:space="preserve">stratification to account for the variation in SFAs. </w:t>
      </w:r>
      <w:r w:rsidR="00FD76C3">
        <w:rPr>
          <w:szCs w:val="24"/>
        </w:rPr>
        <w:t>Three</w:t>
      </w:r>
      <w:r>
        <w:rPr>
          <w:szCs w:val="24"/>
        </w:rPr>
        <w:t xml:space="preserve"> </w:t>
      </w:r>
      <w:r w:rsidRPr="00D6005B">
        <w:rPr>
          <w:szCs w:val="24"/>
        </w:rPr>
        <w:t>variables</w:t>
      </w:r>
      <w:r w:rsidR="000C36A6">
        <w:rPr>
          <w:szCs w:val="24"/>
        </w:rPr>
        <w:t xml:space="preserve"> were used to create the strata</w:t>
      </w:r>
      <w:r w:rsidRPr="00D6005B">
        <w:rPr>
          <w:szCs w:val="24"/>
        </w:rPr>
        <w:t xml:space="preserve">: SFA enrollment size, </w:t>
      </w:r>
      <w:r>
        <w:rPr>
          <w:szCs w:val="24"/>
        </w:rPr>
        <w:t>FNS region</w:t>
      </w:r>
      <w:r w:rsidRPr="00D6005B">
        <w:rPr>
          <w:szCs w:val="24"/>
        </w:rPr>
        <w:t xml:space="preserve">, and poverty status. </w:t>
      </w:r>
      <w:r>
        <w:rPr>
          <w:szCs w:val="24"/>
        </w:rPr>
        <w:t xml:space="preserve">Note that since type-of-locale, minority status, and instructional level </w:t>
      </w:r>
      <w:r w:rsidR="000C36A6">
        <w:rPr>
          <w:szCs w:val="24"/>
        </w:rPr>
        <w:t>are</w:t>
      </w:r>
      <w:r>
        <w:rPr>
          <w:szCs w:val="24"/>
        </w:rPr>
        <w:t xml:space="preserve"> not be available for SFAs that are not matched to LEAs in the CCD file, the non-matched cases </w:t>
      </w:r>
      <w:r w:rsidR="000C36A6">
        <w:rPr>
          <w:szCs w:val="24"/>
        </w:rPr>
        <w:t>were</w:t>
      </w:r>
      <w:r>
        <w:rPr>
          <w:szCs w:val="24"/>
        </w:rPr>
        <w:t xml:space="preserve"> placed in a separate category for sampling purposes. The CCD</w:t>
      </w:r>
      <w:r w:rsidRPr="00D6005B">
        <w:rPr>
          <w:szCs w:val="24"/>
        </w:rPr>
        <w:t xml:space="preserve"> variables w</w:t>
      </w:r>
      <w:r w:rsidR="00947257">
        <w:rPr>
          <w:szCs w:val="24"/>
        </w:rPr>
        <w:t>ere</w:t>
      </w:r>
      <w:r w:rsidRPr="00D6005B">
        <w:rPr>
          <w:szCs w:val="24"/>
        </w:rPr>
        <w:t xml:space="preserve"> used as implicit </w:t>
      </w:r>
      <w:proofErr w:type="spellStart"/>
      <w:r w:rsidRPr="00D6005B">
        <w:rPr>
          <w:szCs w:val="24"/>
        </w:rPr>
        <w:t>stratifiers</w:t>
      </w:r>
      <w:proofErr w:type="spellEnd"/>
      <w:r w:rsidRPr="00D6005B">
        <w:rPr>
          <w:szCs w:val="24"/>
        </w:rPr>
        <w:t xml:space="preserve"> (i.e., sorting variables) to ensure appropriate representation in the sample. </w:t>
      </w:r>
      <w:r w:rsidRPr="00D6005B">
        <w:rPr>
          <w:color w:val="000000"/>
          <w:szCs w:val="24"/>
        </w:rPr>
        <w:t xml:space="preserve">A </w:t>
      </w:r>
      <w:r>
        <w:rPr>
          <w:color w:val="000000"/>
          <w:szCs w:val="24"/>
        </w:rPr>
        <w:t>total</w:t>
      </w:r>
      <w:r w:rsidRPr="00D6005B">
        <w:rPr>
          <w:color w:val="000000"/>
          <w:szCs w:val="24"/>
        </w:rPr>
        <w:t xml:space="preserve"> sample of 1,</w:t>
      </w:r>
      <w:r>
        <w:rPr>
          <w:color w:val="000000"/>
          <w:szCs w:val="24"/>
        </w:rPr>
        <w:t>865</w:t>
      </w:r>
      <w:r w:rsidRPr="00D6005B">
        <w:rPr>
          <w:color w:val="000000"/>
          <w:szCs w:val="24"/>
        </w:rPr>
        <w:t xml:space="preserve"> SFAs </w:t>
      </w:r>
      <w:r w:rsidR="00947257">
        <w:rPr>
          <w:color w:val="000000"/>
          <w:szCs w:val="24"/>
        </w:rPr>
        <w:t>were</w:t>
      </w:r>
      <w:r w:rsidRPr="00D6005B">
        <w:rPr>
          <w:color w:val="000000"/>
          <w:szCs w:val="24"/>
        </w:rPr>
        <w:t xml:space="preserve"> allocated to the strata in proportion to the aggregate square root of the enrollment of SFAs in the stratum. Such an allocation gives large SFAs relatively higher selection probabilities</w:t>
      </w:r>
      <w:r w:rsidRPr="00D6005B">
        <w:rPr>
          <w:szCs w:val="24"/>
        </w:rPr>
        <w:t xml:space="preserve"> than smaller ones and  </w:t>
      </w:r>
      <w:r w:rsidR="00947257">
        <w:rPr>
          <w:szCs w:val="24"/>
        </w:rPr>
        <w:t>provides</w:t>
      </w:r>
      <w:r w:rsidRPr="00D6005B">
        <w:rPr>
          <w:szCs w:val="24"/>
        </w:rPr>
        <w:t xml:space="preserve"> acceptable sampling precision for both prevalence estimates (e.g., the proportion of SFAs with a </w:t>
      </w:r>
      <w:r w:rsidRPr="00D6005B">
        <w:rPr>
          <w:szCs w:val="24"/>
        </w:rPr>
        <w:lastRenderedPageBreak/>
        <w:t xml:space="preserve">specified characteristic) and numeric measures correlated with enrollment (e.g., the number of students in SFAs with access to various food services or programs). </w:t>
      </w:r>
    </w:p>
    <w:p w:rsidR="00B06525" w:rsidRDefault="00B06525" w:rsidP="006A20B9">
      <w:pPr>
        <w:pStyle w:val="P1-StandPara"/>
        <w:spacing w:line="480" w:lineRule="auto"/>
        <w:ind w:firstLine="0"/>
        <w:rPr>
          <w:szCs w:val="24"/>
        </w:rPr>
      </w:pPr>
    </w:p>
    <w:p w:rsidR="00B06525" w:rsidRPr="00D6005B" w:rsidRDefault="009512D2" w:rsidP="006A20B9">
      <w:pPr>
        <w:pStyle w:val="P1-StandPara"/>
        <w:spacing w:line="480" w:lineRule="auto"/>
        <w:ind w:firstLine="0"/>
        <w:rPr>
          <w:szCs w:val="24"/>
        </w:rPr>
      </w:pPr>
      <w:r>
        <w:rPr>
          <w:szCs w:val="24"/>
        </w:rPr>
        <w:t xml:space="preserve">During </w:t>
      </w:r>
      <w:r w:rsidR="00FD76C3">
        <w:rPr>
          <w:szCs w:val="24"/>
        </w:rPr>
        <w:t xml:space="preserve">2011-12, </w:t>
      </w:r>
      <w:r>
        <w:rPr>
          <w:szCs w:val="24"/>
        </w:rPr>
        <w:t xml:space="preserve">the </w:t>
      </w:r>
      <w:r w:rsidR="00FD76C3">
        <w:rPr>
          <w:szCs w:val="24"/>
        </w:rPr>
        <w:t>b</w:t>
      </w:r>
      <w:r>
        <w:rPr>
          <w:szCs w:val="24"/>
        </w:rPr>
        <w:t xml:space="preserve">ase </w:t>
      </w:r>
      <w:r w:rsidR="00FD76C3">
        <w:rPr>
          <w:szCs w:val="24"/>
        </w:rPr>
        <w:t>y</w:t>
      </w:r>
      <w:r>
        <w:rPr>
          <w:szCs w:val="24"/>
        </w:rPr>
        <w:t>ear</w:t>
      </w:r>
      <w:r w:rsidR="00957402">
        <w:rPr>
          <w:szCs w:val="24"/>
        </w:rPr>
        <w:t xml:space="preserve"> (or Year 1)</w:t>
      </w:r>
      <w:r>
        <w:rPr>
          <w:szCs w:val="24"/>
        </w:rPr>
        <w:t xml:space="preserve">, 1,400 SFAs completed the SFA </w:t>
      </w:r>
      <w:r w:rsidR="00FD76C3">
        <w:rPr>
          <w:szCs w:val="24"/>
        </w:rPr>
        <w:t>D</w:t>
      </w:r>
      <w:r>
        <w:rPr>
          <w:szCs w:val="24"/>
        </w:rPr>
        <w:t xml:space="preserve">irectors’ </w:t>
      </w:r>
      <w:r w:rsidR="00FD76C3">
        <w:rPr>
          <w:szCs w:val="24"/>
        </w:rPr>
        <w:t>S</w:t>
      </w:r>
      <w:r>
        <w:rPr>
          <w:szCs w:val="24"/>
        </w:rPr>
        <w:t>urvey</w:t>
      </w:r>
      <w:r w:rsidR="00FD76C3">
        <w:rPr>
          <w:szCs w:val="24"/>
        </w:rPr>
        <w:t>.</w:t>
      </w:r>
      <w:r>
        <w:rPr>
          <w:szCs w:val="24"/>
        </w:rPr>
        <w:t xml:space="preserve"> To permit longitudinal analyses</w:t>
      </w:r>
      <w:r w:rsidR="00FD76C3">
        <w:rPr>
          <w:szCs w:val="24"/>
        </w:rPr>
        <w:t>, in Year 2,</w:t>
      </w:r>
      <w:r>
        <w:rPr>
          <w:szCs w:val="24"/>
        </w:rPr>
        <w:t xml:space="preserve"> all of the still-eligible SFAs </w:t>
      </w:r>
      <w:r w:rsidR="00FD76C3">
        <w:rPr>
          <w:szCs w:val="24"/>
        </w:rPr>
        <w:t xml:space="preserve">that were </w:t>
      </w:r>
      <w:r>
        <w:rPr>
          <w:szCs w:val="24"/>
        </w:rPr>
        <w:t xml:space="preserve">selected </w:t>
      </w:r>
      <w:r w:rsidR="00864CA9">
        <w:rPr>
          <w:szCs w:val="24"/>
        </w:rPr>
        <w:t>in Year 1</w:t>
      </w:r>
      <w:r>
        <w:rPr>
          <w:szCs w:val="24"/>
        </w:rPr>
        <w:t xml:space="preserve"> (</w:t>
      </w:r>
      <w:r w:rsidRPr="000C58EB">
        <w:rPr>
          <w:szCs w:val="24"/>
        </w:rPr>
        <w:t xml:space="preserve">including responding as well as </w:t>
      </w:r>
      <w:proofErr w:type="spellStart"/>
      <w:r w:rsidRPr="000C58EB">
        <w:rPr>
          <w:szCs w:val="24"/>
        </w:rPr>
        <w:t>nonresponding</w:t>
      </w:r>
      <w:proofErr w:type="spellEnd"/>
      <w:r w:rsidRPr="000C58EB">
        <w:rPr>
          <w:szCs w:val="24"/>
        </w:rPr>
        <w:t xml:space="preserve"> SFAs) w</w:t>
      </w:r>
      <w:r w:rsidR="00FD76C3">
        <w:rPr>
          <w:szCs w:val="24"/>
        </w:rPr>
        <w:t>ere retained</w:t>
      </w:r>
      <w:r w:rsidRPr="000C58EB">
        <w:rPr>
          <w:szCs w:val="24"/>
        </w:rPr>
        <w:t xml:space="preserve"> in the sample</w:t>
      </w:r>
      <w:r w:rsidR="00FD76C3">
        <w:rPr>
          <w:szCs w:val="24"/>
        </w:rPr>
        <w:t xml:space="preserve">. </w:t>
      </w:r>
      <w:r w:rsidR="00FD76C3">
        <w:rPr>
          <w:color w:val="000000"/>
          <w:szCs w:val="24"/>
        </w:rPr>
        <w:t xml:space="preserve"> Additionally, t</w:t>
      </w:r>
      <w:r w:rsidRPr="000C58EB">
        <w:rPr>
          <w:color w:val="000000"/>
          <w:szCs w:val="24"/>
        </w:rPr>
        <w:t xml:space="preserve">o achieve the desired total sample size of </w:t>
      </w:r>
      <w:r>
        <w:rPr>
          <w:color w:val="000000"/>
          <w:szCs w:val="24"/>
        </w:rPr>
        <w:t xml:space="preserve">1,500 respondents, </w:t>
      </w:r>
      <w:r w:rsidR="00FD76C3">
        <w:rPr>
          <w:color w:val="000000"/>
          <w:szCs w:val="24"/>
        </w:rPr>
        <w:t xml:space="preserve">the Contractor added </w:t>
      </w:r>
      <w:r>
        <w:rPr>
          <w:color w:val="000000"/>
          <w:szCs w:val="24"/>
        </w:rPr>
        <w:t>a</w:t>
      </w:r>
      <w:r w:rsidRPr="000C58EB">
        <w:rPr>
          <w:color w:val="000000"/>
          <w:szCs w:val="24"/>
        </w:rPr>
        <w:t xml:space="preserve"> </w:t>
      </w:r>
      <w:r>
        <w:rPr>
          <w:color w:val="000000"/>
          <w:szCs w:val="24"/>
        </w:rPr>
        <w:t>supplemental sample of</w:t>
      </w:r>
      <w:r w:rsidRPr="000C58EB">
        <w:rPr>
          <w:color w:val="000000"/>
          <w:szCs w:val="24"/>
        </w:rPr>
        <w:t xml:space="preserve"> 14</w:t>
      </w:r>
      <w:r w:rsidR="007D09AB">
        <w:rPr>
          <w:color w:val="000000"/>
          <w:szCs w:val="24"/>
        </w:rPr>
        <w:t>1</w:t>
      </w:r>
      <w:r>
        <w:rPr>
          <w:color w:val="000000"/>
          <w:szCs w:val="24"/>
        </w:rPr>
        <w:t xml:space="preserve"> SFAs</w:t>
      </w:r>
      <w:r w:rsidRPr="000C58EB">
        <w:rPr>
          <w:color w:val="000000"/>
          <w:szCs w:val="24"/>
        </w:rPr>
        <w:t xml:space="preserve">, bringing the total number </w:t>
      </w:r>
      <w:r w:rsidR="00957402">
        <w:rPr>
          <w:color w:val="000000"/>
          <w:szCs w:val="24"/>
        </w:rPr>
        <w:t xml:space="preserve">of SFAs in the sample </w:t>
      </w:r>
      <w:r w:rsidRPr="000C58EB">
        <w:rPr>
          <w:color w:val="000000"/>
          <w:szCs w:val="24"/>
        </w:rPr>
        <w:t xml:space="preserve">to </w:t>
      </w:r>
      <w:r>
        <w:rPr>
          <w:color w:val="000000"/>
          <w:szCs w:val="24"/>
        </w:rPr>
        <w:t>1,875</w:t>
      </w:r>
      <w:r w:rsidRPr="000C58EB">
        <w:rPr>
          <w:color w:val="000000"/>
          <w:szCs w:val="24"/>
        </w:rPr>
        <w:t xml:space="preserve">. </w:t>
      </w:r>
      <w:r>
        <w:rPr>
          <w:color w:val="000000"/>
          <w:szCs w:val="24"/>
        </w:rPr>
        <w:t xml:space="preserve">Similar to procedures used to select the </w:t>
      </w:r>
      <w:r w:rsidR="00957402">
        <w:rPr>
          <w:color w:val="000000"/>
          <w:szCs w:val="24"/>
        </w:rPr>
        <w:t xml:space="preserve">Year 1 </w:t>
      </w:r>
      <w:r>
        <w:rPr>
          <w:color w:val="000000"/>
          <w:szCs w:val="24"/>
        </w:rPr>
        <w:t>sample, the supplemental sample w</w:t>
      </w:r>
      <w:r w:rsidR="00957402">
        <w:rPr>
          <w:color w:val="000000"/>
          <w:szCs w:val="24"/>
        </w:rPr>
        <w:t>as</w:t>
      </w:r>
      <w:r>
        <w:rPr>
          <w:color w:val="000000"/>
          <w:szCs w:val="24"/>
        </w:rPr>
        <w:t xml:space="preserve"> selected at rates that depend</w:t>
      </w:r>
      <w:r w:rsidR="00957402">
        <w:rPr>
          <w:color w:val="000000"/>
          <w:szCs w:val="24"/>
        </w:rPr>
        <w:t>ed</w:t>
      </w:r>
      <w:r>
        <w:rPr>
          <w:color w:val="000000"/>
          <w:szCs w:val="24"/>
        </w:rPr>
        <w:t xml:space="preserve"> on the size of the SFA, where large SFAs are selected at relatively higher rates than smaller ones. </w:t>
      </w:r>
      <w:r w:rsidRPr="00D6005B">
        <w:rPr>
          <w:szCs w:val="24"/>
        </w:rPr>
        <w:t xml:space="preserve">Table </w:t>
      </w:r>
      <w:r>
        <w:rPr>
          <w:szCs w:val="24"/>
        </w:rPr>
        <w:t>B</w:t>
      </w:r>
      <w:r w:rsidRPr="00D6005B">
        <w:rPr>
          <w:szCs w:val="24"/>
        </w:rPr>
        <w:t>3 summarizes the</w:t>
      </w:r>
      <w:r>
        <w:rPr>
          <w:szCs w:val="24"/>
        </w:rPr>
        <w:t xml:space="preserve"> </w:t>
      </w:r>
      <w:r w:rsidR="00957402">
        <w:rPr>
          <w:szCs w:val="24"/>
        </w:rPr>
        <w:t xml:space="preserve">Year 2 </w:t>
      </w:r>
      <w:r>
        <w:rPr>
          <w:szCs w:val="24"/>
        </w:rPr>
        <w:t>expected numbers of SFAs to be sampled</w:t>
      </w:r>
      <w:r w:rsidRPr="00D6005B">
        <w:rPr>
          <w:szCs w:val="24"/>
        </w:rPr>
        <w:t xml:space="preserve"> and the</w:t>
      </w:r>
      <w:r>
        <w:rPr>
          <w:szCs w:val="24"/>
        </w:rPr>
        <w:t xml:space="preserve"> corresponding</w:t>
      </w:r>
      <w:r w:rsidRPr="00D6005B">
        <w:rPr>
          <w:szCs w:val="24"/>
        </w:rPr>
        <w:t xml:space="preserve"> expected </w:t>
      </w:r>
      <w:r>
        <w:rPr>
          <w:szCs w:val="24"/>
        </w:rPr>
        <w:t xml:space="preserve">numbers of responding SFAs </w:t>
      </w:r>
      <w:r w:rsidRPr="00D6005B">
        <w:rPr>
          <w:szCs w:val="24"/>
        </w:rPr>
        <w:t>by</w:t>
      </w:r>
      <w:r>
        <w:rPr>
          <w:szCs w:val="24"/>
        </w:rPr>
        <w:t xml:space="preserve"> percent eligible for free/reduced</w:t>
      </w:r>
      <w:r w:rsidR="006A20B9">
        <w:rPr>
          <w:szCs w:val="24"/>
        </w:rPr>
        <w:t>-</w:t>
      </w:r>
      <w:r>
        <w:rPr>
          <w:szCs w:val="24"/>
        </w:rPr>
        <w:t>price lunch and</w:t>
      </w:r>
      <w:r w:rsidRPr="00D6005B">
        <w:rPr>
          <w:szCs w:val="24"/>
        </w:rPr>
        <w:t xml:space="preserve"> enrollment size</w:t>
      </w:r>
      <w:r>
        <w:rPr>
          <w:szCs w:val="24"/>
        </w:rPr>
        <w:t xml:space="preserve"> class</w:t>
      </w:r>
      <w:r w:rsidR="00B06525" w:rsidRPr="00D6005B">
        <w:rPr>
          <w:szCs w:val="24"/>
        </w:rPr>
        <w:t>.</w:t>
      </w:r>
      <w:r w:rsidR="00957402">
        <w:rPr>
          <w:szCs w:val="24"/>
        </w:rPr>
        <w:t xml:space="preserve"> For Year 3, these expectations will be identical.</w:t>
      </w:r>
    </w:p>
    <w:p w:rsidR="00FC66A6" w:rsidRDefault="00FC66A6">
      <w:pPr>
        <w:spacing w:line="240" w:lineRule="auto"/>
        <w:rPr>
          <w:szCs w:val="24"/>
        </w:rPr>
      </w:pPr>
      <w:r>
        <w:rPr>
          <w:szCs w:val="24"/>
        </w:rPr>
        <w:br w:type="page"/>
      </w:r>
    </w:p>
    <w:p w:rsidR="00B06525" w:rsidRDefault="00B06525" w:rsidP="00001D5E">
      <w:pPr>
        <w:rPr>
          <w:szCs w:val="24"/>
        </w:rPr>
      </w:pPr>
    </w:p>
    <w:p w:rsidR="00B06525" w:rsidRPr="00722B33" w:rsidRDefault="00B06525" w:rsidP="00B06525">
      <w:pPr>
        <w:pStyle w:val="TT-TableTitle"/>
        <w:tabs>
          <w:tab w:val="clear" w:pos="1440"/>
          <w:tab w:val="left" w:pos="720"/>
          <w:tab w:val="left" w:pos="2160"/>
        </w:tabs>
        <w:ind w:left="1530" w:hanging="1260"/>
      </w:pPr>
      <w:bookmarkStart w:id="20" w:name="_Toc282508104"/>
      <w:r w:rsidRPr="00722B33">
        <w:tab/>
      </w:r>
      <w:bookmarkStart w:id="21" w:name="_Toc339621311"/>
      <w:r w:rsidRPr="00722B33">
        <w:t>Table B3.</w:t>
      </w:r>
      <w:r w:rsidRPr="00722B33">
        <w:tab/>
        <w:t>Proposed sample sizes for the SFA survey</w:t>
      </w:r>
      <w:bookmarkEnd w:id="20"/>
      <w:bookmarkEnd w:id="21"/>
    </w:p>
    <w:tbl>
      <w:tblPr>
        <w:tblW w:w="8554" w:type="dxa"/>
        <w:jc w:val="center"/>
        <w:tblLayout w:type="fixed"/>
        <w:tblLook w:val="04A0" w:firstRow="1" w:lastRow="0" w:firstColumn="1" w:lastColumn="0" w:noHBand="0" w:noVBand="1"/>
      </w:tblPr>
      <w:tblGrid>
        <w:gridCol w:w="2610"/>
        <w:gridCol w:w="2080"/>
        <w:gridCol w:w="1932"/>
        <w:gridCol w:w="1932"/>
      </w:tblGrid>
      <w:tr w:rsidR="00B06525" w:rsidRPr="005E0C7B" w:rsidTr="00B06525">
        <w:trPr>
          <w:jc w:val="center"/>
        </w:trPr>
        <w:tc>
          <w:tcPr>
            <w:tcW w:w="2610" w:type="dxa"/>
            <w:tcBorders>
              <w:top w:val="single" w:sz="4" w:space="0" w:color="auto"/>
              <w:left w:val="nil"/>
              <w:bottom w:val="single" w:sz="4" w:space="0" w:color="auto"/>
              <w:right w:val="nil"/>
            </w:tcBorders>
            <w:shd w:val="clear" w:color="auto" w:fill="AFBED7"/>
            <w:vAlign w:val="bottom"/>
            <w:hideMark/>
          </w:tcPr>
          <w:p w:rsidR="00B06525" w:rsidRPr="007B23B1" w:rsidRDefault="00B06525" w:rsidP="00A04DA5">
            <w:pPr>
              <w:pStyle w:val="TH-TableHeading"/>
            </w:pPr>
            <w:bookmarkStart w:id="22" w:name="_Toc339621312"/>
            <w:r w:rsidRPr="007B23B1">
              <w:t>Percent eligible for free/reduced price lunch</w:t>
            </w:r>
            <w:r w:rsidRPr="00A04DA5">
              <w:rPr>
                <w:vertAlign w:val="superscript"/>
              </w:rPr>
              <w:t>1</w:t>
            </w:r>
            <w:bookmarkEnd w:id="22"/>
          </w:p>
        </w:tc>
        <w:tc>
          <w:tcPr>
            <w:tcW w:w="2080" w:type="dxa"/>
            <w:tcBorders>
              <w:top w:val="single" w:sz="4" w:space="0" w:color="auto"/>
              <w:left w:val="nil"/>
              <w:bottom w:val="single" w:sz="4" w:space="0" w:color="auto"/>
              <w:right w:val="nil"/>
            </w:tcBorders>
            <w:shd w:val="clear" w:color="auto" w:fill="AFBED7"/>
            <w:vAlign w:val="bottom"/>
            <w:hideMark/>
          </w:tcPr>
          <w:p w:rsidR="00B06525" w:rsidRPr="007B23B1" w:rsidRDefault="00B06525" w:rsidP="00A04DA5">
            <w:pPr>
              <w:pStyle w:val="TH-TableHeading"/>
            </w:pPr>
            <w:bookmarkStart w:id="23" w:name="_Toc339621313"/>
            <w:r w:rsidRPr="007B23B1">
              <w:t>Enrollment size class</w:t>
            </w:r>
            <w:r w:rsidRPr="00A04DA5">
              <w:rPr>
                <w:vertAlign w:val="superscript"/>
              </w:rPr>
              <w:t>2</w:t>
            </w:r>
            <w:bookmarkEnd w:id="23"/>
          </w:p>
        </w:tc>
        <w:tc>
          <w:tcPr>
            <w:tcW w:w="1932" w:type="dxa"/>
            <w:tcBorders>
              <w:top w:val="single" w:sz="4" w:space="0" w:color="auto"/>
              <w:left w:val="nil"/>
              <w:bottom w:val="single" w:sz="4" w:space="0" w:color="auto"/>
              <w:right w:val="nil"/>
            </w:tcBorders>
            <w:shd w:val="clear" w:color="auto" w:fill="AFBED7"/>
            <w:vAlign w:val="bottom"/>
            <w:hideMark/>
          </w:tcPr>
          <w:p w:rsidR="00B06525" w:rsidRPr="007B23B1" w:rsidRDefault="00B06525" w:rsidP="00A04DA5">
            <w:pPr>
              <w:pStyle w:val="TH-TableHeading"/>
            </w:pPr>
            <w:bookmarkStart w:id="24" w:name="_Toc339621314"/>
            <w:r>
              <w:t>Expected n</w:t>
            </w:r>
            <w:r w:rsidRPr="007B23B1">
              <w:t>umber of SFAs to be sampled</w:t>
            </w:r>
            <w:bookmarkEnd w:id="24"/>
          </w:p>
        </w:tc>
        <w:tc>
          <w:tcPr>
            <w:tcW w:w="1932" w:type="dxa"/>
            <w:tcBorders>
              <w:top w:val="single" w:sz="4" w:space="0" w:color="auto"/>
              <w:left w:val="nil"/>
              <w:bottom w:val="single" w:sz="4" w:space="0" w:color="auto"/>
              <w:right w:val="nil"/>
            </w:tcBorders>
            <w:shd w:val="clear" w:color="auto" w:fill="AFBED7"/>
            <w:vAlign w:val="bottom"/>
            <w:hideMark/>
          </w:tcPr>
          <w:p w:rsidR="00B06525" w:rsidRPr="007B23B1" w:rsidRDefault="00B06525" w:rsidP="00A04DA5">
            <w:pPr>
              <w:pStyle w:val="TH-TableHeading"/>
            </w:pPr>
            <w:bookmarkStart w:id="25" w:name="_Toc339621315"/>
            <w:r w:rsidRPr="007B23B1">
              <w:t>Expected number of responding SFAs</w:t>
            </w:r>
            <w:r w:rsidRPr="00A04DA5">
              <w:rPr>
                <w:vertAlign w:val="superscript"/>
              </w:rPr>
              <w:t>3</w:t>
            </w:r>
            <w:bookmarkEnd w:id="25"/>
          </w:p>
        </w:tc>
      </w:tr>
      <w:tr w:rsidR="00B06525" w:rsidRPr="005E0C7B" w:rsidTr="00B06525">
        <w:trPr>
          <w:trHeight w:val="360"/>
          <w:jc w:val="center"/>
        </w:trPr>
        <w:tc>
          <w:tcPr>
            <w:tcW w:w="2610" w:type="dxa"/>
            <w:tcBorders>
              <w:top w:val="nil"/>
              <w:left w:val="nil"/>
              <w:bottom w:val="nil"/>
              <w:right w:val="nil"/>
            </w:tcBorders>
            <w:shd w:val="clear" w:color="auto" w:fill="auto"/>
            <w:vAlign w:val="bottom"/>
            <w:hideMark/>
          </w:tcPr>
          <w:p w:rsidR="00B06525" w:rsidRPr="007B23B1" w:rsidRDefault="00B06525" w:rsidP="00A04DA5">
            <w:pPr>
              <w:pStyle w:val="TX-TableText"/>
            </w:pPr>
            <w:r w:rsidRPr="007B23B1">
              <w:t>Under 60 percent</w:t>
            </w: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Less than 1,000</w:t>
            </w:r>
          </w:p>
        </w:tc>
        <w:tc>
          <w:tcPr>
            <w:tcW w:w="1932" w:type="dxa"/>
            <w:tcBorders>
              <w:top w:val="nil"/>
              <w:left w:val="nil"/>
              <w:bottom w:val="nil"/>
              <w:right w:val="nil"/>
            </w:tcBorders>
            <w:shd w:val="clear" w:color="auto" w:fill="auto"/>
            <w:noWrap/>
            <w:vAlign w:val="center"/>
            <w:hideMark/>
          </w:tcPr>
          <w:p w:rsidR="00B06525" w:rsidRPr="007B23B1" w:rsidRDefault="00B06525" w:rsidP="00F433F1">
            <w:pPr>
              <w:pStyle w:val="TX-TableText"/>
              <w:tabs>
                <w:tab w:val="decimal" w:pos="1056"/>
              </w:tabs>
            </w:pPr>
            <w:r>
              <w:rPr>
                <w:rFonts w:cs="Calibri"/>
                <w:color w:val="000000"/>
              </w:rPr>
              <w:t>29</w:t>
            </w:r>
            <w:r w:rsidR="00F433F1">
              <w:rPr>
                <w:rFonts w:cs="Calibri"/>
                <w:color w:val="000000"/>
              </w:rPr>
              <w:t>2</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234</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1,000 to 4,999</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579</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463</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5,000 to 24,999</w:t>
            </w:r>
          </w:p>
        </w:tc>
        <w:tc>
          <w:tcPr>
            <w:tcW w:w="1932" w:type="dxa"/>
            <w:tcBorders>
              <w:top w:val="nil"/>
              <w:left w:val="nil"/>
              <w:bottom w:val="nil"/>
              <w:right w:val="nil"/>
            </w:tcBorders>
            <w:shd w:val="clear" w:color="auto" w:fill="auto"/>
            <w:noWrap/>
            <w:vAlign w:val="center"/>
            <w:hideMark/>
          </w:tcPr>
          <w:p w:rsidR="00B06525" w:rsidRPr="007B23B1" w:rsidRDefault="00B06525" w:rsidP="00F433F1">
            <w:pPr>
              <w:pStyle w:val="TX-TableText"/>
              <w:tabs>
                <w:tab w:val="decimal" w:pos="1056"/>
              </w:tabs>
            </w:pPr>
            <w:r>
              <w:rPr>
                <w:rFonts w:cs="Calibri"/>
                <w:color w:val="000000"/>
              </w:rPr>
              <w:t>35</w:t>
            </w:r>
            <w:r w:rsidR="00F433F1">
              <w:rPr>
                <w:rFonts w:cs="Calibri"/>
                <w:color w:val="000000"/>
              </w:rPr>
              <w:t>7</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286</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25,000 or more</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124</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99</w:t>
            </w:r>
          </w:p>
        </w:tc>
      </w:tr>
      <w:tr w:rsidR="00B06525" w:rsidRPr="005E0C7B" w:rsidTr="00B06525">
        <w:trPr>
          <w:trHeight w:val="360"/>
          <w:jc w:val="center"/>
        </w:trPr>
        <w:tc>
          <w:tcPr>
            <w:tcW w:w="2610" w:type="dxa"/>
            <w:tcBorders>
              <w:top w:val="nil"/>
              <w:left w:val="nil"/>
              <w:bottom w:val="nil"/>
              <w:right w:val="nil"/>
            </w:tcBorders>
            <w:shd w:val="clear" w:color="auto" w:fill="auto"/>
            <w:noWrap/>
            <w:vAlign w:val="center"/>
            <w:hideMark/>
          </w:tcPr>
          <w:p w:rsidR="00B06525" w:rsidRPr="007B23B1" w:rsidRDefault="00B06525" w:rsidP="00A04DA5">
            <w:pPr>
              <w:pStyle w:val="TX-TableText"/>
              <w:rPr>
                <w:i/>
                <w:iCs/>
              </w:rPr>
            </w:pPr>
          </w:p>
        </w:tc>
        <w:tc>
          <w:tcPr>
            <w:tcW w:w="2080" w:type="dxa"/>
            <w:tcBorders>
              <w:top w:val="nil"/>
              <w:left w:val="nil"/>
              <w:bottom w:val="nil"/>
              <w:right w:val="nil"/>
            </w:tcBorders>
            <w:shd w:val="clear" w:color="auto" w:fill="auto"/>
            <w:noWrap/>
            <w:vAlign w:val="center"/>
            <w:hideMark/>
          </w:tcPr>
          <w:p w:rsidR="00B06525" w:rsidRPr="007B23B1" w:rsidRDefault="00B06525" w:rsidP="00A04DA5">
            <w:pPr>
              <w:pStyle w:val="TX-TableText"/>
              <w:rPr>
                <w:i/>
                <w:iCs/>
              </w:rPr>
            </w:pPr>
            <w:r w:rsidRPr="007B23B1">
              <w:rPr>
                <w:i/>
                <w:iCs/>
              </w:rPr>
              <w:t>Subtotal</w:t>
            </w:r>
          </w:p>
        </w:tc>
        <w:tc>
          <w:tcPr>
            <w:tcW w:w="1932" w:type="dxa"/>
            <w:tcBorders>
              <w:top w:val="nil"/>
              <w:left w:val="nil"/>
              <w:bottom w:val="nil"/>
              <w:right w:val="nil"/>
            </w:tcBorders>
            <w:shd w:val="clear" w:color="auto" w:fill="auto"/>
            <w:noWrap/>
            <w:vAlign w:val="center"/>
            <w:hideMark/>
          </w:tcPr>
          <w:p w:rsidR="00B06525" w:rsidRPr="004E5346" w:rsidRDefault="006D2D57" w:rsidP="00F433F1">
            <w:pPr>
              <w:pStyle w:val="TX-TableText"/>
              <w:tabs>
                <w:tab w:val="decimal" w:pos="1056"/>
              </w:tabs>
              <w:rPr>
                <w:i/>
                <w:iCs/>
              </w:rPr>
            </w:pPr>
            <w:r w:rsidRPr="004E729A">
              <w:rPr>
                <w:rFonts w:cs="Calibri"/>
                <w:i/>
                <w:color w:val="000000"/>
              </w:rPr>
              <w:t>1,35</w:t>
            </w:r>
            <w:r w:rsidR="00F433F1">
              <w:rPr>
                <w:rFonts w:cs="Calibri"/>
                <w:i/>
                <w:color w:val="000000"/>
              </w:rPr>
              <w:t>2</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rPr>
                <w:i/>
                <w:iCs/>
              </w:rPr>
            </w:pPr>
            <w:r>
              <w:rPr>
                <w:rFonts w:cs="Calibri"/>
                <w:i/>
                <w:iCs/>
                <w:color w:val="000000"/>
              </w:rPr>
              <w:t>1,082</w:t>
            </w:r>
          </w:p>
        </w:tc>
      </w:tr>
      <w:tr w:rsidR="00B06525" w:rsidRPr="005E0C7B" w:rsidTr="00B06525">
        <w:trPr>
          <w:trHeight w:val="360"/>
          <w:jc w:val="center"/>
        </w:trPr>
        <w:tc>
          <w:tcPr>
            <w:tcW w:w="2610" w:type="dxa"/>
            <w:tcBorders>
              <w:top w:val="nil"/>
              <w:left w:val="nil"/>
              <w:bottom w:val="nil"/>
              <w:right w:val="nil"/>
            </w:tcBorders>
            <w:shd w:val="clear" w:color="auto" w:fill="auto"/>
            <w:vAlign w:val="bottom"/>
            <w:hideMark/>
          </w:tcPr>
          <w:p w:rsidR="00B06525" w:rsidRPr="007B23B1" w:rsidRDefault="00B06525" w:rsidP="00A04DA5">
            <w:pPr>
              <w:pStyle w:val="TX-TableText"/>
            </w:pPr>
            <w:r w:rsidRPr="007B23B1">
              <w:t>60 percent or more</w:t>
            </w: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Less than 1,000</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148</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118</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1,000 to 4,999</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181</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145</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5,000 to 24,999</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131</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105</w:t>
            </w:r>
          </w:p>
        </w:tc>
      </w:tr>
      <w:tr w:rsidR="00B06525" w:rsidRPr="005E0C7B" w:rsidTr="00B06525">
        <w:trPr>
          <w:trHeight w:val="255"/>
          <w:jc w:val="center"/>
        </w:trPr>
        <w:tc>
          <w:tcPr>
            <w:tcW w:w="2610" w:type="dxa"/>
            <w:tcBorders>
              <w:top w:val="nil"/>
              <w:left w:val="nil"/>
              <w:bottom w:val="nil"/>
              <w:right w:val="nil"/>
            </w:tcBorders>
            <w:shd w:val="clear" w:color="auto" w:fill="auto"/>
            <w:noWrap/>
            <w:vAlign w:val="bottom"/>
            <w:hideMark/>
          </w:tcPr>
          <w:p w:rsidR="00B06525" w:rsidRPr="007B23B1" w:rsidRDefault="00B06525" w:rsidP="00A04DA5">
            <w:pPr>
              <w:pStyle w:val="TX-TableText"/>
            </w:pPr>
          </w:p>
        </w:tc>
        <w:tc>
          <w:tcPr>
            <w:tcW w:w="2080" w:type="dxa"/>
            <w:tcBorders>
              <w:top w:val="nil"/>
              <w:left w:val="nil"/>
              <w:bottom w:val="nil"/>
              <w:right w:val="nil"/>
            </w:tcBorders>
            <w:shd w:val="clear" w:color="auto" w:fill="auto"/>
            <w:noWrap/>
            <w:vAlign w:val="bottom"/>
            <w:hideMark/>
          </w:tcPr>
          <w:p w:rsidR="00B06525" w:rsidRPr="007B23B1" w:rsidRDefault="00B06525" w:rsidP="00A04DA5">
            <w:pPr>
              <w:pStyle w:val="TX-TableText"/>
            </w:pPr>
            <w:r w:rsidRPr="007B23B1">
              <w:t>25,000 or more</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63</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pPr>
            <w:r>
              <w:rPr>
                <w:rFonts w:cs="Calibri"/>
                <w:color w:val="000000"/>
              </w:rPr>
              <w:t>50</w:t>
            </w:r>
          </w:p>
        </w:tc>
      </w:tr>
      <w:tr w:rsidR="00B06525" w:rsidRPr="005E0C7B" w:rsidTr="00B06525">
        <w:trPr>
          <w:trHeight w:val="360"/>
          <w:jc w:val="center"/>
        </w:trPr>
        <w:tc>
          <w:tcPr>
            <w:tcW w:w="2610" w:type="dxa"/>
            <w:tcBorders>
              <w:top w:val="nil"/>
              <w:left w:val="nil"/>
              <w:bottom w:val="nil"/>
              <w:right w:val="nil"/>
            </w:tcBorders>
            <w:shd w:val="clear" w:color="auto" w:fill="auto"/>
            <w:noWrap/>
            <w:vAlign w:val="center"/>
            <w:hideMark/>
          </w:tcPr>
          <w:p w:rsidR="00B06525" w:rsidRPr="007B23B1" w:rsidRDefault="00B06525" w:rsidP="00A04DA5">
            <w:pPr>
              <w:pStyle w:val="TX-TableText"/>
              <w:rPr>
                <w:i/>
                <w:iCs/>
              </w:rPr>
            </w:pPr>
          </w:p>
        </w:tc>
        <w:tc>
          <w:tcPr>
            <w:tcW w:w="2080" w:type="dxa"/>
            <w:tcBorders>
              <w:top w:val="nil"/>
              <w:left w:val="nil"/>
              <w:bottom w:val="nil"/>
              <w:right w:val="nil"/>
            </w:tcBorders>
            <w:shd w:val="clear" w:color="auto" w:fill="auto"/>
            <w:noWrap/>
            <w:vAlign w:val="center"/>
            <w:hideMark/>
          </w:tcPr>
          <w:p w:rsidR="00B06525" w:rsidRPr="007B23B1" w:rsidRDefault="00B06525" w:rsidP="00A04DA5">
            <w:pPr>
              <w:pStyle w:val="TX-TableText"/>
              <w:rPr>
                <w:i/>
                <w:iCs/>
              </w:rPr>
            </w:pPr>
            <w:r w:rsidRPr="007B23B1">
              <w:rPr>
                <w:i/>
                <w:iCs/>
              </w:rPr>
              <w:t>Subtotal</w:t>
            </w:r>
          </w:p>
        </w:tc>
        <w:tc>
          <w:tcPr>
            <w:tcW w:w="1932" w:type="dxa"/>
            <w:tcBorders>
              <w:top w:val="nil"/>
              <w:left w:val="nil"/>
              <w:bottom w:val="nil"/>
              <w:right w:val="nil"/>
            </w:tcBorders>
            <w:shd w:val="clear" w:color="auto" w:fill="auto"/>
            <w:noWrap/>
            <w:vAlign w:val="center"/>
            <w:hideMark/>
          </w:tcPr>
          <w:p w:rsidR="00B06525" w:rsidRPr="004E5346" w:rsidRDefault="006D2D57" w:rsidP="00A04DA5">
            <w:pPr>
              <w:pStyle w:val="TX-TableText"/>
              <w:tabs>
                <w:tab w:val="decimal" w:pos="1056"/>
              </w:tabs>
              <w:rPr>
                <w:i/>
                <w:iCs/>
              </w:rPr>
            </w:pPr>
            <w:r w:rsidRPr="004E729A">
              <w:rPr>
                <w:rFonts w:cs="Calibri"/>
                <w:i/>
                <w:color w:val="000000"/>
              </w:rPr>
              <w:t>523</w:t>
            </w:r>
          </w:p>
        </w:tc>
        <w:tc>
          <w:tcPr>
            <w:tcW w:w="1932" w:type="dxa"/>
            <w:tcBorders>
              <w:top w:val="nil"/>
              <w:left w:val="nil"/>
              <w:bottom w:val="nil"/>
              <w:right w:val="nil"/>
            </w:tcBorders>
            <w:shd w:val="clear" w:color="auto" w:fill="auto"/>
            <w:noWrap/>
            <w:vAlign w:val="center"/>
            <w:hideMark/>
          </w:tcPr>
          <w:p w:rsidR="00B06525" w:rsidRPr="007B23B1" w:rsidRDefault="00B06525" w:rsidP="00A04DA5">
            <w:pPr>
              <w:pStyle w:val="TX-TableText"/>
              <w:tabs>
                <w:tab w:val="decimal" w:pos="1056"/>
              </w:tabs>
              <w:rPr>
                <w:i/>
                <w:iCs/>
              </w:rPr>
            </w:pPr>
            <w:r>
              <w:rPr>
                <w:rFonts w:cs="Calibri"/>
                <w:i/>
                <w:iCs/>
                <w:color w:val="000000"/>
              </w:rPr>
              <w:t>418</w:t>
            </w:r>
          </w:p>
        </w:tc>
      </w:tr>
      <w:tr w:rsidR="00B06525" w:rsidRPr="005E0C7B" w:rsidTr="00B06525">
        <w:trPr>
          <w:trHeight w:val="360"/>
          <w:jc w:val="center"/>
        </w:trPr>
        <w:tc>
          <w:tcPr>
            <w:tcW w:w="2610" w:type="dxa"/>
            <w:tcBorders>
              <w:top w:val="single" w:sz="4" w:space="0" w:color="auto"/>
              <w:left w:val="nil"/>
              <w:bottom w:val="single" w:sz="4" w:space="0" w:color="auto"/>
              <w:right w:val="nil"/>
            </w:tcBorders>
            <w:shd w:val="clear" w:color="auto" w:fill="auto"/>
            <w:noWrap/>
            <w:vAlign w:val="center"/>
            <w:hideMark/>
          </w:tcPr>
          <w:p w:rsidR="00B06525" w:rsidRPr="007B23B1" w:rsidRDefault="00B06525" w:rsidP="00A04DA5">
            <w:pPr>
              <w:pStyle w:val="TX-TableText"/>
              <w:rPr>
                <w:b/>
                <w:bCs/>
                <w:i/>
                <w:iCs/>
              </w:rPr>
            </w:pPr>
            <w:r w:rsidRPr="007B23B1">
              <w:rPr>
                <w:b/>
                <w:bCs/>
                <w:i/>
                <w:iCs/>
              </w:rPr>
              <w:t>All SFAs</w:t>
            </w:r>
          </w:p>
        </w:tc>
        <w:tc>
          <w:tcPr>
            <w:tcW w:w="2080" w:type="dxa"/>
            <w:tcBorders>
              <w:top w:val="single" w:sz="4" w:space="0" w:color="auto"/>
              <w:left w:val="nil"/>
              <w:bottom w:val="single" w:sz="4" w:space="0" w:color="auto"/>
              <w:right w:val="nil"/>
            </w:tcBorders>
            <w:shd w:val="clear" w:color="auto" w:fill="auto"/>
            <w:noWrap/>
            <w:vAlign w:val="center"/>
            <w:hideMark/>
          </w:tcPr>
          <w:p w:rsidR="00B06525" w:rsidRPr="007B23B1" w:rsidRDefault="00B06525" w:rsidP="00A04DA5">
            <w:pPr>
              <w:pStyle w:val="TX-TableText"/>
              <w:rPr>
                <w:b/>
                <w:bCs/>
                <w:i/>
                <w:iCs/>
              </w:rPr>
            </w:pPr>
            <w:r w:rsidRPr="007B23B1">
              <w:rPr>
                <w:b/>
                <w:bCs/>
                <w:i/>
                <w:iCs/>
              </w:rPr>
              <w:t>Total</w:t>
            </w:r>
          </w:p>
        </w:tc>
        <w:tc>
          <w:tcPr>
            <w:tcW w:w="1932" w:type="dxa"/>
            <w:tcBorders>
              <w:top w:val="single" w:sz="4" w:space="0" w:color="auto"/>
              <w:left w:val="nil"/>
              <w:bottom w:val="single" w:sz="4" w:space="0" w:color="auto"/>
              <w:right w:val="nil"/>
            </w:tcBorders>
            <w:shd w:val="clear" w:color="auto" w:fill="auto"/>
            <w:noWrap/>
            <w:vAlign w:val="center"/>
            <w:hideMark/>
          </w:tcPr>
          <w:p w:rsidR="00B06525" w:rsidRPr="007B23B1" w:rsidRDefault="00B06525" w:rsidP="00A04DA5">
            <w:pPr>
              <w:pStyle w:val="TX-TableText"/>
              <w:tabs>
                <w:tab w:val="decimal" w:pos="1056"/>
              </w:tabs>
              <w:rPr>
                <w:b/>
                <w:bCs/>
                <w:i/>
                <w:iCs/>
              </w:rPr>
            </w:pPr>
            <w:r>
              <w:rPr>
                <w:rFonts w:cs="Calibri"/>
                <w:b/>
                <w:bCs/>
                <w:i/>
                <w:iCs/>
                <w:color w:val="000000"/>
              </w:rPr>
              <w:t>1,875</w:t>
            </w:r>
          </w:p>
        </w:tc>
        <w:tc>
          <w:tcPr>
            <w:tcW w:w="1932" w:type="dxa"/>
            <w:tcBorders>
              <w:top w:val="single" w:sz="4" w:space="0" w:color="auto"/>
              <w:left w:val="nil"/>
              <w:bottom w:val="single" w:sz="4" w:space="0" w:color="auto"/>
              <w:right w:val="nil"/>
            </w:tcBorders>
            <w:shd w:val="clear" w:color="auto" w:fill="auto"/>
            <w:noWrap/>
            <w:vAlign w:val="center"/>
            <w:hideMark/>
          </w:tcPr>
          <w:p w:rsidR="00B06525" w:rsidRPr="007B23B1" w:rsidRDefault="00B06525" w:rsidP="00A04DA5">
            <w:pPr>
              <w:pStyle w:val="TX-TableText"/>
              <w:tabs>
                <w:tab w:val="decimal" w:pos="1056"/>
              </w:tabs>
              <w:rPr>
                <w:b/>
                <w:bCs/>
                <w:i/>
                <w:iCs/>
              </w:rPr>
            </w:pPr>
            <w:r>
              <w:rPr>
                <w:rFonts w:cs="Calibri"/>
                <w:b/>
                <w:bCs/>
                <w:i/>
                <w:iCs/>
                <w:color w:val="000000"/>
              </w:rPr>
              <w:t>1,500</w:t>
            </w:r>
          </w:p>
        </w:tc>
      </w:tr>
    </w:tbl>
    <w:p w:rsidR="00B06525" w:rsidRPr="00A04DA5" w:rsidRDefault="00B06525" w:rsidP="00B06525">
      <w:pPr>
        <w:tabs>
          <w:tab w:val="left" w:pos="360"/>
        </w:tabs>
        <w:spacing w:line="240" w:lineRule="auto"/>
        <w:ind w:left="360" w:right="180"/>
        <w:rPr>
          <w:rFonts w:ascii="Franklin Gothic Medium" w:hAnsi="Franklin Gothic Medium"/>
          <w:b/>
          <w:color w:val="000000"/>
          <w:sz w:val="18"/>
          <w:szCs w:val="18"/>
        </w:rPr>
      </w:pPr>
      <w:r w:rsidRPr="00A04DA5">
        <w:rPr>
          <w:rFonts w:ascii="Franklin Gothic Medium" w:hAnsi="Franklin Gothic Medium"/>
          <w:sz w:val="18"/>
          <w:szCs w:val="18"/>
          <w:vertAlign w:val="superscript"/>
        </w:rPr>
        <w:t>1</w:t>
      </w:r>
      <w:r w:rsidRPr="00A04DA5">
        <w:rPr>
          <w:rFonts w:ascii="Franklin Gothic Medium" w:hAnsi="Franklin Gothic Medium"/>
          <w:sz w:val="18"/>
          <w:szCs w:val="18"/>
        </w:rPr>
        <w:t xml:space="preserve">Calculated from the numbers of students eligible for free or reduced price lunch as reported in </w:t>
      </w:r>
      <w:r>
        <w:rPr>
          <w:rFonts w:ascii="Franklin Gothic Medium" w:hAnsi="Franklin Gothic Medium"/>
          <w:sz w:val="18"/>
          <w:szCs w:val="18"/>
        </w:rPr>
        <w:t>2011</w:t>
      </w:r>
      <w:r w:rsidRPr="00A04DA5">
        <w:rPr>
          <w:rFonts w:ascii="Franklin Gothic Medium" w:hAnsi="Franklin Gothic Medium"/>
          <w:sz w:val="18"/>
          <w:szCs w:val="18"/>
        </w:rPr>
        <w:t>-</w:t>
      </w:r>
      <w:r>
        <w:rPr>
          <w:rFonts w:ascii="Franklin Gothic Medium" w:hAnsi="Franklin Gothic Medium"/>
          <w:sz w:val="18"/>
          <w:szCs w:val="18"/>
        </w:rPr>
        <w:t>12</w:t>
      </w:r>
      <w:r w:rsidRPr="00A04DA5">
        <w:rPr>
          <w:rFonts w:ascii="Franklin Gothic Medium" w:hAnsi="Franklin Gothic Medium"/>
          <w:sz w:val="18"/>
          <w:szCs w:val="18"/>
        </w:rPr>
        <w:t xml:space="preserve"> FNS 742.</w:t>
      </w:r>
    </w:p>
    <w:p w:rsidR="00B06525" w:rsidRPr="00A04DA5" w:rsidRDefault="00B06525" w:rsidP="00B06525">
      <w:pPr>
        <w:tabs>
          <w:tab w:val="left" w:pos="360"/>
        </w:tabs>
        <w:spacing w:line="240" w:lineRule="auto"/>
        <w:ind w:left="360" w:right="990"/>
        <w:rPr>
          <w:rFonts w:ascii="Franklin Gothic Medium" w:hAnsi="Franklin Gothic Medium"/>
          <w:sz w:val="18"/>
          <w:szCs w:val="18"/>
        </w:rPr>
      </w:pPr>
      <w:r w:rsidRPr="00A04DA5">
        <w:rPr>
          <w:rFonts w:ascii="Franklin Gothic Medium" w:hAnsi="Franklin Gothic Medium"/>
          <w:sz w:val="18"/>
          <w:szCs w:val="18"/>
          <w:vertAlign w:val="superscript"/>
        </w:rPr>
        <w:t>2</w:t>
      </w:r>
      <w:r w:rsidRPr="00A04DA5">
        <w:rPr>
          <w:rFonts w:ascii="Franklin Gothic Medium" w:hAnsi="Franklin Gothic Medium"/>
          <w:sz w:val="18"/>
          <w:szCs w:val="18"/>
        </w:rPr>
        <w:t xml:space="preserve">Number of students with access to NSLP/SBP as reported in </w:t>
      </w:r>
      <w:r>
        <w:rPr>
          <w:rFonts w:ascii="Franklin Gothic Medium" w:hAnsi="Franklin Gothic Medium"/>
          <w:sz w:val="18"/>
          <w:szCs w:val="18"/>
        </w:rPr>
        <w:t>2011</w:t>
      </w:r>
      <w:r w:rsidRPr="00A04DA5">
        <w:rPr>
          <w:rFonts w:ascii="Franklin Gothic Medium" w:hAnsi="Franklin Gothic Medium"/>
          <w:sz w:val="18"/>
          <w:szCs w:val="18"/>
        </w:rPr>
        <w:t>-</w:t>
      </w:r>
      <w:r>
        <w:rPr>
          <w:rFonts w:ascii="Franklin Gothic Medium" w:hAnsi="Franklin Gothic Medium"/>
          <w:sz w:val="18"/>
          <w:szCs w:val="18"/>
        </w:rPr>
        <w:t>12</w:t>
      </w:r>
      <w:r w:rsidRPr="00A04DA5">
        <w:rPr>
          <w:rFonts w:ascii="Franklin Gothic Medium" w:hAnsi="Franklin Gothic Medium"/>
          <w:sz w:val="18"/>
          <w:szCs w:val="18"/>
        </w:rPr>
        <w:t xml:space="preserve"> FNS 742.</w:t>
      </w:r>
    </w:p>
    <w:p w:rsidR="00B06525" w:rsidRDefault="00B06525" w:rsidP="00B06525">
      <w:pPr>
        <w:tabs>
          <w:tab w:val="left" w:pos="360"/>
        </w:tabs>
        <w:spacing w:line="240" w:lineRule="auto"/>
        <w:ind w:left="360" w:right="990"/>
        <w:rPr>
          <w:rFonts w:ascii="Franklin Gothic Medium" w:hAnsi="Franklin Gothic Medium"/>
          <w:sz w:val="18"/>
          <w:szCs w:val="18"/>
        </w:rPr>
      </w:pPr>
      <w:r w:rsidRPr="00A04DA5">
        <w:rPr>
          <w:rFonts w:ascii="Franklin Gothic Medium" w:hAnsi="Franklin Gothic Medium"/>
          <w:sz w:val="18"/>
          <w:szCs w:val="18"/>
          <w:vertAlign w:val="superscript"/>
        </w:rPr>
        <w:t>3</w:t>
      </w:r>
      <w:r w:rsidRPr="00A04DA5">
        <w:rPr>
          <w:rFonts w:ascii="Franklin Gothic Medium" w:hAnsi="Franklin Gothic Medium"/>
          <w:sz w:val="18"/>
          <w:szCs w:val="18"/>
        </w:rPr>
        <w:t xml:space="preserve">Based on </w:t>
      </w:r>
      <w:r>
        <w:rPr>
          <w:rFonts w:ascii="Franklin Gothic Medium" w:hAnsi="Franklin Gothic Medium"/>
          <w:sz w:val="18"/>
          <w:szCs w:val="18"/>
        </w:rPr>
        <w:t>80</w:t>
      </w:r>
      <w:r w:rsidRPr="00A04DA5">
        <w:rPr>
          <w:rFonts w:ascii="Franklin Gothic Medium" w:hAnsi="Franklin Gothic Medium"/>
          <w:sz w:val="18"/>
          <w:szCs w:val="18"/>
        </w:rPr>
        <w:t>% response rate.</w:t>
      </w:r>
      <w:r>
        <w:rPr>
          <w:rFonts w:ascii="Franklin Gothic Medium" w:hAnsi="Franklin Gothic Medium"/>
          <w:sz w:val="18"/>
          <w:szCs w:val="18"/>
        </w:rPr>
        <w:t xml:space="preserve"> Note: See Table B4 for additional breakouts of the sample.</w:t>
      </w:r>
    </w:p>
    <w:p w:rsidR="00FC66A6" w:rsidRDefault="00FC66A6">
      <w:pPr>
        <w:spacing w:line="240" w:lineRule="auto"/>
        <w:rPr>
          <w:b/>
          <w:color w:val="000000"/>
          <w:szCs w:val="24"/>
        </w:rPr>
      </w:pPr>
    </w:p>
    <w:p w:rsidR="00B06525" w:rsidRDefault="00B06525">
      <w:pPr>
        <w:spacing w:line="240" w:lineRule="auto"/>
        <w:rPr>
          <w:b/>
          <w:color w:val="000000"/>
          <w:szCs w:val="24"/>
        </w:rPr>
      </w:pPr>
    </w:p>
    <w:p w:rsidR="00B06525" w:rsidRDefault="00B06525" w:rsidP="00A04DA5">
      <w:pPr>
        <w:spacing w:line="240" w:lineRule="auto"/>
        <w:ind w:left="540"/>
        <w:rPr>
          <w:b/>
          <w:color w:val="000000"/>
          <w:szCs w:val="24"/>
        </w:rPr>
      </w:pPr>
      <w:r w:rsidRPr="00D6005B">
        <w:rPr>
          <w:b/>
          <w:color w:val="000000"/>
          <w:szCs w:val="24"/>
        </w:rPr>
        <w:t>Expected Levels of Precision</w:t>
      </w:r>
    </w:p>
    <w:p w:rsidR="00B06525" w:rsidRPr="00A04DA5" w:rsidRDefault="00B06525" w:rsidP="00A04DA5">
      <w:pPr>
        <w:spacing w:line="240" w:lineRule="auto"/>
        <w:rPr>
          <w:color w:val="000000"/>
          <w:szCs w:val="24"/>
        </w:rPr>
      </w:pPr>
    </w:p>
    <w:p w:rsidR="00B06525" w:rsidRPr="00D6005B" w:rsidRDefault="00B06525" w:rsidP="006A20B9">
      <w:pPr>
        <w:spacing w:line="480" w:lineRule="auto"/>
        <w:rPr>
          <w:color w:val="000000"/>
          <w:szCs w:val="24"/>
        </w:rPr>
      </w:pPr>
      <w:r w:rsidRPr="00D6005B">
        <w:rPr>
          <w:color w:val="000000"/>
          <w:szCs w:val="24"/>
        </w:rPr>
        <w:t xml:space="preserve">Table </w:t>
      </w:r>
      <w:r>
        <w:rPr>
          <w:color w:val="000000"/>
          <w:szCs w:val="24"/>
        </w:rPr>
        <w:t>B</w:t>
      </w:r>
      <w:r w:rsidRPr="00D6005B">
        <w:rPr>
          <w:color w:val="000000"/>
          <w:szCs w:val="24"/>
        </w:rPr>
        <w:t xml:space="preserve">4 summarizes the approximate </w:t>
      </w:r>
      <w:r w:rsidR="00CA199C">
        <w:rPr>
          <w:color w:val="000000"/>
          <w:szCs w:val="24"/>
        </w:rPr>
        <w:t xml:space="preserve">survey </w:t>
      </w:r>
      <w:r w:rsidRPr="00D6005B">
        <w:rPr>
          <w:color w:val="000000"/>
          <w:szCs w:val="24"/>
        </w:rPr>
        <w:t xml:space="preserve">sample sizes and standard errors to be expected under the proposed design for selected subgroups. The standard errors in table </w:t>
      </w:r>
      <w:r>
        <w:rPr>
          <w:color w:val="000000"/>
          <w:szCs w:val="24"/>
        </w:rPr>
        <w:t>B</w:t>
      </w:r>
      <w:r w:rsidRPr="00D6005B">
        <w:rPr>
          <w:color w:val="000000"/>
          <w:szCs w:val="24"/>
        </w:rPr>
        <w:t>4 reflect design effects ranging from</w:t>
      </w:r>
      <w:r>
        <w:rPr>
          <w:color w:val="000000"/>
          <w:szCs w:val="24"/>
        </w:rPr>
        <w:t xml:space="preserve"> 1.0 or less </w:t>
      </w:r>
      <w:r w:rsidRPr="00D6005B">
        <w:rPr>
          <w:color w:val="000000"/>
          <w:szCs w:val="24"/>
        </w:rPr>
        <w:t xml:space="preserve">to 1.5 depending on subgroup. The design effect primarily reflects the fact that under the proposed stratified design, large SFAs will be sampled at relatively higher rates (i.e., have smaller sampling weights) than small SFAs. The standard errors in table </w:t>
      </w:r>
      <w:r>
        <w:rPr>
          <w:color w:val="000000"/>
          <w:szCs w:val="24"/>
        </w:rPr>
        <w:t>B</w:t>
      </w:r>
      <w:r w:rsidRPr="00D6005B">
        <w:rPr>
          <w:color w:val="000000"/>
          <w:szCs w:val="24"/>
        </w:rPr>
        <w:t xml:space="preserve">4 can be converted to 95 percent confidence bounds by multiplying the entries by 2. For example, an estimated proportion of the order of 20 percent (P = 0.20) for SFAs </w:t>
      </w:r>
      <w:r>
        <w:rPr>
          <w:color w:val="000000"/>
          <w:szCs w:val="24"/>
        </w:rPr>
        <w:t xml:space="preserve">in which fewer than 30 percent of students are eligible for free/reduced price lunch </w:t>
      </w:r>
      <w:r w:rsidRPr="00D6005B">
        <w:rPr>
          <w:color w:val="000000"/>
          <w:szCs w:val="24"/>
        </w:rPr>
        <w:t>will be subject to a margin of error of ±4.6 percent at the 95 percent confidence level. Similarly, an estimated proportion of the order of 50 percent (P = 0.50) for SFAs in the Northeast region will be subject to a margin of error of ±</w:t>
      </w:r>
      <w:r>
        <w:rPr>
          <w:color w:val="000000"/>
          <w:szCs w:val="24"/>
        </w:rPr>
        <w:t>8.</w:t>
      </w:r>
      <w:r w:rsidR="009512D2">
        <w:rPr>
          <w:color w:val="000000"/>
          <w:szCs w:val="24"/>
        </w:rPr>
        <w:t>6</w:t>
      </w:r>
      <w:r w:rsidR="009512D2" w:rsidRPr="00D6005B">
        <w:rPr>
          <w:color w:val="000000"/>
          <w:szCs w:val="24"/>
        </w:rPr>
        <w:t xml:space="preserve"> </w:t>
      </w:r>
      <w:r w:rsidRPr="00D6005B">
        <w:rPr>
          <w:color w:val="000000"/>
          <w:szCs w:val="24"/>
        </w:rPr>
        <w:t>percent at the 95 percent confidence level.</w:t>
      </w:r>
    </w:p>
    <w:p w:rsidR="00B06525" w:rsidRPr="00DF5DAF" w:rsidRDefault="00B06525" w:rsidP="00001D5E">
      <w:pPr>
        <w:keepNext/>
        <w:keepLines/>
        <w:spacing w:line="240" w:lineRule="auto"/>
        <w:ind w:left="2160" w:right="720" w:hanging="1354"/>
        <w:rPr>
          <w:szCs w:val="24"/>
        </w:rPr>
      </w:pPr>
    </w:p>
    <w:p w:rsidR="00B06525" w:rsidRDefault="00B06525" w:rsidP="00B06525">
      <w:pPr>
        <w:pStyle w:val="TT-TableTitle"/>
        <w:tabs>
          <w:tab w:val="clear" w:pos="1440"/>
          <w:tab w:val="left" w:pos="1530"/>
          <w:tab w:val="left" w:pos="2610"/>
        </w:tabs>
        <w:ind w:left="1530" w:hanging="1260"/>
      </w:pPr>
      <w:bookmarkStart w:id="26" w:name="_Toc282508105"/>
      <w:r>
        <w:t xml:space="preserve">   </w:t>
      </w:r>
      <w:bookmarkStart w:id="27" w:name="_Toc339621316"/>
      <w:r w:rsidRPr="00A42ECF">
        <w:t>T</w:t>
      </w:r>
      <w:r w:rsidRPr="007B23B1">
        <w:t>able B4.</w:t>
      </w:r>
      <w:r w:rsidRPr="007B23B1">
        <w:tab/>
        <w:t xml:space="preserve">Expected </w:t>
      </w:r>
      <w:r>
        <w:t xml:space="preserve">sample sizes and corresponding </w:t>
      </w:r>
      <w:r w:rsidRPr="007B23B1">
        <w:t>standard error of an estimated proportion under proposed design for selected analytic domains</w:t>
      </w:r>
      <w:bookmarkEnd w:id="26"/>
      <w:bookmarkEnd w:id="27"/>
    </w:p>
    <w:tbl>
      <w:tblPr>
        <w:tblW w:w="0" w:type="auto"/>
        <w:jc w:val="center"/>
        <w:tblLayout w:type="fixed"/>
        <w:tblCellMar>
          <w:left w:w="0" w:type="dxa"/>
          <w:right w:w="0" w:type="dxa"/>
        </w:tblCellMar>
        <w:tblLook w:val="0000" w:firstRow="0" w:lastRow="0" w:firstColumn="0" w:lastColumn="0" w:noHBand="0" w:noVBand="0"/>
      </w:tblPr>
      <w:tblGrid>
        <w:gridCol w:w="3168"/>
        <w:gridCol w:w="1435"/>
        <w:gridCol w:w="1436"/>
        <w:gridCol w:w="1436"/>
        <w:gridCol w:w="1436"/>
      </w:tblGrid>
      <w:tr w:rsidR="00B06525" w:rsidRPr="007B23B1" w:rsidTr="00B06525">
        <w:trPr>
          <w:cantSplit/>
          <w:trHeight w:val="360"/>
          <w:jc w:val="center"/>
        </w:trPr>
        <w:tc>
          <w:tcPr>
            <w:tcW w:w="3168" w:type="dxa"/>
            <w:vMerge w:val="restart"/>
            <w:tcBorders>
              <w:top w:val="single" w:sz="2" w:space="0" w:color="auto"/>
              <w:right w:val="single" w:sz="2" w:space="0" w:color="auto"/>
            </w:tcBorders>
            <w:shd w:val="clear" w:color="auto" w:fill="AFBED7"/>
            <w:vAlign w:val="bottom"/>
          </w:tcPr>
          <w:p w:rsidR="00B06525" w:rsidRPr="007B23B1" w:rsidRDefault="00B06525" w:rsidP="00BA6228">
            <w:pPr>
              <w:pStyle w:val="TH-TableHeading"/>
            </w:pPr>
            <w:bookmarkStart w:id="28" w:name="_Toc339621317"/>
            <w:r>
              <w:t>Domain (subset)</w:t>
            </w:r>
            <w:bookmarkEnd w:id="28"/>
          </w:p>
        </w:tc>
        <w:tc>
          <w:tcPr>
            <w:tcW w:w="1435" w:type="dxa"/>
            <w:vMerge w:val="restart"/>
            <w:tcBorders>
              <w:top w:val="single" w:sz="2" w:space="0" w:color="auto"/>
              <w:right w:val="single" w:sz="2" w:space="0" w:color="auto"/>
            </w:tcBorders>
            <w:shd w:val="clear" w:color="auto" w:fill="AFBED7"/>
            <w:vAlign w:val="bottom"/>
          </w:tcPr>
          <w:p w:rsidR="00B06525" w:rsidRPr="007B23B1" w:rsidRDefault="00B06525" w:rsidP="00A04DA5">
            <w:pPr>
              <w:pStyle w:val="TH-TableHeading"/>
            </w:pPr>
            <w:bookmarkStart w:id="29" w:name="_Toc339621318"/>
            <w:r>
              <w:t>Expected sample size*</w:t>
            </w:r>
            <w:bookmarkEnd w:id="29"/>
          </w:p>
        </w:tc>
        <w:tc>
          <w:tcPr>
            <w:tcW w:w="4308" w:type="dxa"/>
            <w:gridSpan w:val="3"/>
            <w:tcBorders>
              <w:top w:val="single" w:sz="2" w:space="0" w:color="auto"/>
              <w:bottom w:val="single" w:sz="2" w:space="0" w:color="auto"/>
            </w:tcBorders>
            <w:shd w:val="clear" w:color="auto" w:fill="AFBED7"/>
            <w:vAlign w:val="bottom"/>
          </w:tcPr>
          <w:p w:rsidR="00B06525" w:rsidRPr="007B23B1" w:rsidRDefault="00B06525" w:rsidP="00A04DA5">
            <w:pPr>
              <w:pStyle w:val="TH-TableHeading"/>
              <w:tabs>
                <w:tab w:val="clear" w:pos="1152"/>
              </w:tabs>
            </w:pPr>
            <w:bookmarkStart w:id="30" w:name="_Toc339621319"/>
            <w:r>
              <w:t>Standard error</w:t>
            </w:r>
            <w:r w:rsidRPr="007B23B1">
              <w:t>†</w:t>
            </w:r>
            <w:r>
              <w:t xml:space="preserve"> of an estimated </w:t>
            </w:r>
            <w:r>
              <w:br/>
              <w:t>proportion equal to …</w:t>
            </w:r>
            <w:bookmarkEnd w:id="30"/>
          </w:p>
        </w:tc>
      </w:tr>
      <w:tr w:rsidR="00B06525" w:rsidRPr="007B23B1" w:rsidTr="00B06525">
        <w:trPr>
          <w:cantSplit/>
          <w:trHeight w:val="360"/>
          <w:jc w:val="center"/>
        </w:trPr>
        <w:tc>
          <w:tcPr>
            <w:tcW w:w="3168" w:type="dxa"/>
            <w:vMerge/>
            <w:tcBorders>
              <w:bottom w:val="single" w:sz="2" w:space="0" w:color="auto"/>
              <w:right w:val="single" w:sz="2" w:space="0" w:color="auto"/>
            </w:tcBorders>
            <w:shd w:val="clear" w:color="auto" w:fill="AFBED7"/>
            <w:vAlign w:val="bottom"/>
          </w:tcPr>
          <w:p w:rsidR="00B06525" w:rsidRDefault="00B06525" w:rsidP="00001D5E">
            <w:pPr>
              <w:keepNext/>
              <w:keepLines/>
              <w:ind w:left="80"/>
              <w:jc w:val="center"/>
              <w:rPr>
                <w:szCs w:val="24"/>
              </w:rPr>
            </w:pPr>
          </w:p>
        </w:tc>
        <w:tc>
          <w:tcPr>
            <w:tcW w:w="1435" w:type="dxa"/>
            <w:vMerge/>
            <w:tcBorders>
              <w:bottom w:val="single" w:sz="2" w:space="0" w:color="auto"/>
              <w:right w:val="single" w:sz="2" w:space="0" w:color="auto"/>
            </w:tcBorders>
            <w:shd w:val="clear" w:color="auto" w:fill="AFBED7"/>
            <w:vAlign w:val="bottom"/>
          </w:tcPr>
          <w:p w:rsidR="00B06525" w:rsidRDefault="00B06525" w:rsidP="00A04DA5">
            <w:pPr>
              <w:pStyle w:val="TH-TableHeading"/>
            </w:pPr>
          </w:p>
        </w:tc>
        <w:tc>
          <w:tcPr>
            <w:tcW w:w="1436" w:type="dxa"/>
            <w:tcBorders>
              <w:top w:val="single" w:sz="2" w:space="0" w:color="auto"/>
              <w:bottom w:val="single" w:sz="2" w:space="0" w:color="auto"/>
            </w:tcBorders>
            <w:shd w:val="clear" w:color="auto" w:fill="AFBED7"/>
            <w:vAlign w:val="bottom"/>
          </w:tcPr>
          <w:p w:rsidR="00B06525" w:rsidRPr="007B23B1" w:rsidRDefault="00B06525" w:rsidP="00822AC6">
            <w:pPr>
              <w:pStyle w:val="TH-TableHeading"/>
            </w:pPr>
            <w:bookmarkStart w:id="31" w:name="_Toc339621320"/>
            <w:r w:rsidRPr="007B23B1">
              <w:t>P = 0.20</w:t>
            </w:r>
            <w:bookmarkEnd w:id="31"/>
          </w:p>
        </w:tc>
        <w:tc>
          <w:tcPr>
            <w:tcW w:w="1436" w:type="dxa"/>
            <w:tcBorders>
              <w:top w:val="single" w:sz="2" w:space="0" w:color="auto"/>
              <w:bottom w:val="single" w:sz="2" w:space="0" w:color="auto"/>
            </w:tcBorders>
            <w:shd w:val="clear" w:color="auto" w:fill="AFBED7"/>
            <w:vAlign w:val="bottom"/>
          </w:tcPr>
          <w:p w:rsidR="00B06525" w:rsidRPr="007B23B1" w:rsidRDefault="00B06525" w:rsidP="00822AC6">
            <w:pPr>
              <w:pStyle w:val="TH-TableHeading"/>
            </w:pPr>
            <w:bookmarkStart w:id="32" w:name="_Toc339621321"/>
            <w:r w:rsidRPr="007B23B1">
              <w:t>P = 0.33</w:t>
            </w:r>
            <w:bookmarkEnd w:id="32"/>
          </w:p>
        </w:tc>
        <w:tc>
          <w:tcPr>
            <w:tcW w:w="1436" w:type="dxa"/>
            <w:tcBorders>
              <w:top w:val="single" w:sz="2" w:space="0" w:color="auto"/>
              <w:bottom w:val="single" w:sz="2" w:space="0" w:color="auto"/>
            </w:tcBorders>
            <w:shd w:val="clear" w:color="auto" w:fill="AFBED7"/>
            <w:vAlign w:val="bottom"/>
          </w:tcPr>
          <w:p w:rsidR="00B06525" w:rsidRPr="007B23B1" w:rsidRDefault="00B06525" w:rsidP="00822AC6">
            <w:pPr>
              <w:pStyle w:val="TH-TableHeading"/>
            </w:pPr>
            <w:bookmarkStart w:id="33" w:name="_Toc339621322"/>
            <w:r w:rsidRPr="007B23B1">
              <w:t>P = 0.50</w:t>
            </w:r>
            <w:bookmarkEnd w:id="33"/>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A04DA5">
            <w:pPr>
              <w:pStyle w:val="TX-TableText"/>
            </w:pPr>
            <w:r w:rsidRPr="007B23B1">
              <w:t>Total sample</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1,500</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0.012</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0.014</w:t>
            </w:r>
          </w:p>
        </w:tc>
        <w:tc>
          <w:tcPr>
            <w:tcW w:w="1436" w:type="dxa"/>
            <w:vAlign w:val="bottom"/>
          </w:tcPr>
          <w:p w:rsidR="00B06525" w:rsidRPr="007B23B1" w:rsidRDefault="00B06525" w:rsidP="00BA6228">
            <w:pPr>
              <w:pStyle w:val="TX-TableText"/>
              <w:jc w:val="center"/>
            </w:pPr>
            <w:r w:rsidRPr="007B23B1">
              <w:rPr>
                <w:rFonts w:cs="Times"/>
              </w:rPr>
              <w:t>0.015</w:t>
            </w:r>
          </w:p>
        </w:tc>
      </w:tr>
      <w:tr w:rsidR="00B06525" w:rsidRPr="007B23B1" w:rsidTr="00B06525">
        <w:trPr>
          <w:cantSplit/>
          <w:trHeight w:val="240"/>
          <w:jc w:val="center"/>
        </w:trPr>
        <w:tc>
          <w:tcPr>
            <w:tcW w:w="3168" w:type="dxa"/>
            <w:tcBorders>
              <w:top w:val="single" w:sz="2" w:space="0" w:color="auto"/>
              <w:right w:val="single" w:sz="2" w:space="0" w:color="auto"/>
            </w:tcBorders>
            <w:vAlign w:val="center"/>
          </w:tcPr>
          <w:p w:rsidR="00B06525" w:rsidRPr="007B23B1" w:rsidRDefault="00B06525" w:rsidP="00A04DA5">
            <w:pPr>
              <w:pStyle w:val="TX-TableText"/>
              <w:rPr>
                <w:i/>
              </w:rPr>
            </w:pPr>
            <w:r w:rsidRPr="007B23B1">
              <w:rPr>
                <w:i/>
              </w:rPr>
              <w:t>Percent of students eligible for free/reduced price lunch</w:t>
            </w:r>
          </w:p>
        </w:tc>
        <w:tc>
          <w:tcPr>
            <w:tcW w:w="1435" w:type="dxa"/>
            <w:tcBorders>
              <w:top w:val="single" w:sz="2" w:space="0" w:color="auto"/>
              <w:right w:val="single" w:sz="2" w:space="0" w:color="auto"/>
            </w:tcBorders>
            <w:vAlign w:val="bottom"/>
          </w:tcPr>
          <w:p w:rsidR="00B06525" w:rsidRPr="007B23B1" w:rsidRDefault="00B06525" w:rsidP="00BA6228">
            <w:pPr>
              <w:pStyle w:val="TX-TableText"/>
              <w:tabs>
                <w:tab w:val="decimal" w:pos="882"/>
              </w:tabs>
              <w:rPr>
                <w:i/>
                <w:iCs/>
              </w:rPr>
            </w:pPr>
            <w:r w:rsidRPr="007B23B1">
              <w:rPr>
                <w:rFonts w:cs="Times"/>
                <w:i/>
                <w:iCs/>
              </w:rPr>
              <w:t> </w:t>
            </w: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rPr>
                <w:i/>
                <w:iCs/>
              </w:rPr>
            </w:pP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rPr>
                <w:i/>
                <w:iCs/>
              </w:rPr>
            </w:pPr>
          </w:p>
        </w:tc>
        <w:tc>
          <w:tcPr>
            <w:tcW w:w="1436" w:type="dxa"/>
            <w:tcBorders>
              <w:top w:val="single" w:sz="2" w:space="0" w:color="auto"/>
            </w:tcBorders>
            <w:vAlign w:val="bottom"/>
          </w:tcPr>
          <w:p w:rsidR="00B06525" w:rsidRPr="007B23B1" w:rsidRDefault="00B06525" w:rsidP="00BA6228">
            <w:pPr>
              <w:pStyle w:val="TX-TableText"/>
              <w:jc w:val="center"/>
              <w:rPr>
                <w:i/>
                <w:iCs/>
              </w:rPr>
            </w:pP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rPr>
                <w:i/>
              </w:rPr>
              <w:t xml:space="preserve"> </w:t>
            </w:r>
            <w:r w:rsidRPr="007B23B1">
              <w:t>Less than 30</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394</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0.023</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0.027</w:t>
            </w:r>
          </w:p>
        </w:tc>
        <w:tc>
          <w:tcPr>
            <w:tcW w:w="1436" w:type="dxa"/>
            <w:vAlign w:val="bottom"/>
          </w:tcPr>
          <w:p w:rsidR="00B06525" w:rsidRPr="007B23B1" w:rsidRDefault="00B06525" w:rsidP="00BA6228">
            <w:pPr>
              <w:pStyle w:val="TX-TableText"/>
              <w:jc w:val="center"/>
            </w:pPr>
            <w:r w:rsidRPr="007B23B1">
              <w:rPr>
                <w:rFonts w:cs="Times"/>
              </w:rPr>
              <w:t>0.028</w:t>
            </w:r>
          </w:p>
        </w:tc>
      </w:tr>
      <w:tr w:rsidR="00B06525" w:rsidRPr="007B23B1" w:rsidTr="00B06525">
        <w:trPr>
          <w:cantSplit/>
          <w:trHeight w:val="87"/>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30 to 59.9</w:t>
            </w:r>
          </w:p>
        </w:tc>
        <w:tc>
          <w:tcPr>
            <w:tcW w:w="1435" w:type="dxa"/>
            <w:tcBorders>
              <w:right w:val="single" w:sz="2" w:space="0" w:color="auto"/>
            </w:tcBorders>
            <w:vAlign w:val="bottom"/>
          </w:tcPr>
          <w:p w:rsidR="00B06525" w:rsidRPr="007B23B1" w:rsidRDefault="00B06525" w:rsidP="00F433F1">
            <w:pPr>
              <w:pStyle w:val="TX-TableText"/>
              <w:tabs>
                <w:tab w:val="decimal" w:pos="882"/>
              </w:tabs>
            </w:pPr>
            <w:r w:rsidRPr="007B23B1">
              <w:rPr>
                <w:rFonts w:cs="Times"/>
              </w:rPr>
              <w:t>68</w:t>
            </w:r>
            <w:r w:rsidR="00F433F1">
              <w:rPr>
                <w:rFonts w:cs="Times"/>
              </w:rPr>
              <w:t>8</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0.018</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0.021</w:t>
            </w:r>
          </w:p>
        </w:tc>
        <w:tc>
          <w:tcPr>
            <w:tcW w:w="1436" w:type="dxa"/>
            <w:vAlign w:val="bottom"/>
          </w:tcPr>
          <w:p w:rsidR="00B06525" w:rsidRPr="007B23B1" w:rsidRDefault="00B06525" w:rsidP="00BA6228">
            <w:pPr>
              <w:pStyle w:val="TX-TableText"/>
              <w:jc w:val="center"/>
            </w:pPr>
            <w:r w:rsidRPr="007B23B1">
              <w:rPr>
                <w:rFonts w:cs="Times"/>
              </w:rPr>
              <w:t>0.022</w:t>
            </w:r>
          </w:p>
        </w:tc>
      </w:tr>
      <w:tr w:rsidR="00B06525" w:rsidRPr="007B23B1" w:rsidTr="00B06525">
        <w:trPr>
          <w:cantSplit/>
          <w:trHeight w:val="240"/>
          <w:jc w:val="center"/>
        </w:trPr>
        <w:tc>
          <w:tcPr>
            <w:tcW w:w="3168" w:type="dxa"/>
            <w:tcBorders>
              <w:bottom w:val="single" w:sz="2" w:space="0" w:color="auto"/>
              <w:right w:val="single" w:sz="2" w:space="0" w:color="auto"/>
            </w:tcBorders>
            <w:vAlign w:val="center"/>
          </w:tcPr>
          <w:p w:rsidR="00B06525" w:rsidRPr="007B23B1" w:rsidRDefault="00B06525" w:rsidP="00B46D1D">
            <w:pPr>
              <w:pStyle w:val="TX-TableText"/>
              <w:ind w:left="180"/>
            </w:pPr>
            <w:r>
              <w:t xml:space="preserve"> </w:t>
            </w:r>
            <w:r w:rsidRPr="007B23B1">
              <w:t>60 or more</w:t>
            </w:r>
          </w:p>
        </w:tc>
        <w:tc>
          <w:tcPr>
            <w:tcW w:w="1435" w:type="dxa"/>
            <w:tcBorders>
              <w:bottom w:val="single" w:sz="2" w:space="0" w:color="auto"/>
              <w:right w:val="single" w:sz="2" w:space="0" w:color="auto"/>
            </w:tcBorders>
            <w:vAlign w:val="bottom"/>
          </w:tcPr>
          <w:p w:rsidR="00B06525" w:rsidRPr="007B23B1" w:rsidRDefault="00B06525" w:rsidP="00BA6228">
            <w:pPr>
              <w:pStyle w:val="TX-TableText"/>
              <w:tabs>
                <w:tab w:val="decimal" w:pos="882"/>
              </w:tabs>
            </w:pPr>
            <w:r w:rsidRPr="007B23B1">
              <w:rPr>
                <w:rFonts w:cs="Times"/>
              </w:rPr>
              <w:t>418</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0.024</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0.028</w:t>
            </w:r>
          </w:p>
        </w:tc>
        <w:tc>
          <w:tcPr>
            <w:tcW w:w="1436" w:type="dxa"/>
            <w:tcBorders>
              <w:bottom w:val="single" w:sz="2" w:space="0" w:color="auto"/>
            </w:tcBorders>
            <w:vAlign w:val="bottom"/>
          </w:tcPr>
          <w:p w:rsidR="00B06525" w:rsidRPr="007B23B1" w:rsidRDefault="00B06525" w:rsidP="00BA6228">
            <w:pPr>
              <w:pStyle w:val="TX-TableText"/>
              <w:jc w:val="center"/>
            </w:pPr>
            <w:r w:rsidRPr="007B23B1">
              <w:rPr>
                <w:rFonts w:cs="Times"/>
              </w:rPr>
              <w:t>0.030</w:t>
            </w:r>
          </w:p>
        </w:tc>
      </w:tr>
      <w:tr w:rsidR="00B06525" w:rsidRPr="007B23B1" w:rsidTr="00B06525">
        <w:trPr>
          <w:cantSplit/>
          <w:trHeight w:val="240"/>
          <w:jc w:val="center"/>
        </w:trPr>
        <w:tc>
          <w:tcPr>
            <w:tcW w:w="3168" w:type="dxa"/>
            <w:tcBorders>
              <w:top w:val="single" w:sz="2" w:space="0" w:color="auto"/>
              <w:right w:val="single" w:sz="2" w:space="0" w:color="auto"/>
            </w:tcBorders>
            <w:vAlign w:val="center"/>
          </w:tcPr>
          <w:p w:rsidR="00B06525" w:rsidRPr="007B23B1" w:rsidRDefault="00B06525" w:rsidP="00A04DA5">
            <w:pPr>
              <w:pStyle w:val="TX-TableText"/>
              <w:rPr>
                <w:i/>
              </w:rPr>
            </w:pPr>
            <w:r w:rsidRPr="007B23B1">
              <w:rPr>
                <w:i/>
              </w:rPr>
              <w:t xml:space="preserve">FNS Region </w:t>
            </w:r>
          </w:p>
        </w:tc>
        <w:tc>
          <w:tcPr>
            <w:tcW w:w="1435" w:type="dxa"/>
            <w:tcBorders>
              <w:top w:val="single" w:sz="2" w:space="0" w:color="auto"/>
              <w:right w:val="single" w:sz="2" w:space="0" w:color="auto"/>
            </w:tcBorders>
            <w:vAlign w:val="bottom"/>
          </w:tcPr>
          <w:p w:rsidR="00B06525" w:rsidRPr="007B23B1" w:rsidRDefault="00B06525" w:rsidP="00BA6228">
            <w:pPr>
              <w:pStyle w:val="TX-TableText"/>
              <w:tabs>
                <w:tab w:val="decimal" w:pos="882"/>
              </w:tabs>
            </w:pPr>
            <w:r w:rsidRPr="007B23B1">
              <w:rPr>
                <w:rFonts w:cs="Times"/>
              </w:rPr>
              <w:t> </w:t>
            </w: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pP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pPr>
          </w:p>
        </w:tc>
        <w:tc>
          <w:tcPr>
            <w:tcW w:w="1436" w:type="dxa"/>
            <w:tcBorders>
              <w:top w:val="single" w:sz="2" w:space="0" w:color="auto"/>
            </w:tcBorders>
            <w:vAlign w:val="bottom"/>
          </w:tcPr>
          <w:p w:rsidR="00B06525" w:rsidRPr="007B23B1" w:rsidRDefault="00B06525" w:rsidP="00BA6228">
            <w:pPr>
              <w:pStyle w:val="TX-TableText"/>
              <w:jc w:val="center"/>
            </w:pP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Mid Atlantic</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173</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0.035</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0.041</w:t>
            </w:r>
          </w:p>
        </w:tc>
        <w:tc>
          <w:tcPr>
            <w:tcW w:w="1436" w:type="dxa"/>
            <w:vAlign w:val="bottom"/>
          </w:tcPr>
          <w:p w:rsidR="00B06525" w:rsidRPr="007B23B1" w:rsidRDefault="00B06525" w:rsidP="00BA6228">
            <w:pPr>
              <w:pStyle w:val="TX-TableText"/>
              <w:jc w:val="center"/>
            </w:pPr>
            <w:r w:rsidRPr="007B23B1">
              <w:rPr>
                <w:rFonts w:cs="Times"/>
              </w:rPr>
              <w:t>0.043</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Midwest</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339</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0.024</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0.028</w:t>
            </w:r>
          </w:p>
        </w:tc>
        <w:tc>
          <w:tcPr>
            <w:tcW w:w="1436" w:type="dxa"/>
            <w:vAlign w:val="bottom"/>
          </w:tcPr>
          <w:p w:rsidR="00B06525" w:rsidRPr="007B23B1" w:rsidRDefault="00B06525" w:rsidP="00BA6228">
            <w:pPr>
              <w:pStyle w:val="TX-TableText"/>
              <w:jc w:val="center"/>
            </w:pPr>
            <w:r w:rsidRPr="007B23B1">
              <w:rPr>
                <w:rFonts w:cs="Times"/>
              </w:rPr>
              <w:t>0.030</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Mountain</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173</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0.035</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0.041</w:t>
            </w:r>
          </w:p>
        </w:tc>
        <w:tc>
          <w:tcPr>
            <w:tcW w:w="1436" w:type="dxa"/>
            <w:vAlign w:val="bottom"/>
          </w:tcPr>
          <w:p w:rsidR="00B06525" w:rsidRPr="007B23B1" w:rsidRDefault="00B06525" w:rsidP="00BA6228">
            <w:pPr>
              <w:pStyle w:val="TX-TableText"/>
              <w:jc w:val="center"/>
            </w:pPr>
            <w:r w:rsidRPr="007B23B1">
              <w:rPr>
                <w:rFonts w:cs="Times"/>
              </w:rPr>
              <w:t>0.043</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Northeast</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167</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0.035</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0.041</w:t>
            </w:r>
          </w:p>
        </w:tc>
        <w:tc>
          <w:tcPr>
            <w:tcW w:w="1436" w:type="dxa"/>
            <w:vAlign w:val="bottom"/>
          </w:tcPr>
          <w:p w:rsidR="00B06525" w:rsidRPr="007B23B1" w:rsidRDefault="00B06525" w:rsidP="00BA6228">
            <w:pPr>
              <w:pStyle w:val="TX-TableText"/>
              <w:jc w:val="center"/>
            </w:pPr>
            <w:r w:rsidRPr="007B23B1">
              <w:rPr>
                <w:rFonts w:cs="Times"/>
              </w:rPr>
              <w:t>0.043</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Southeast</w:t>
            </w:r>
          </w:p>
        </w:tc>
        <w:tc>
          <w:tcPr>
            <w:tcW w:w="1435" w:type="dxa"/>
            <w:tcBorders>
              <w:right w:val="single" w:sz="2" w:space="0" w:color="auto"/>
            </w:tcBorders>
            <w:vAlign w:val="bottom"/>
          </w:tcPr>
          <w:p w:rsidR="00B06525" w:rsidRPr="007B23B1" w:rsidRDefault="00B06525" w:rsidP="00F433F1">
            <w:pPr>
              <w:pStyle w:val="TX-TableText"/>
              <w:tabs>
                <w:tab w:val="decimal" w:pos="882"/>
              </w:tabs>
            </w:pPr>
            <w:r w:rsidRPr="007B23B1">
              <w:rPr>
                <w:rFonts w:cs="Times"/>
              </w:rPr>
              <w:t>19</w:t>
            </w:r>
            <w:r w:rsidR="00F433F1">
              <w:rPr>
                <w:rFonts w:cs="Times"/>
              </w:rPr>
              <w:t>5</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0.033</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0.039</w:t>
            </w:r>
          </w:p>
        </w:tc>
        <w:tc>
          <w:tcPr>
            <w:tcW w:w="1436" w:type="dxa"/>
            <w:vAlign w:val="bottom"/>
          </w:tcPr>
          <w:p w:rsidR="00B06525" w:rsidRPr="007B23B1" w:rsidRDefault="00B06525" w:rsidP="00BA6228">
            <w:pPr>
              <w:pStyle w:val="TX-TableText"/>
              <w:jc w:val="center"/>
            </w:pPr>
            <w:r w:rsidRPr="007B23B1">
              <w:rPr>
                <w:rFonts w:cs="Times"/>
              </w:rPr>
              <w:t>0.041</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Southwest</w:t>
            </w:r>
          </w:p>
        </w:tc>
        <w:tc>
          <w:tcPr>
            <w:tcW w:w="1435" w:type="dxa"/>
            <w:tcBorders>
              <w:right w:val="single" w:sz="2" w:space="0" w:color="auto"/>
            </w:tcBorders>
            <w:vAlign w:val="bottom"/>
          </w:tcPr>
          <w:p w:rsidR="00B06525" w:rsidRPr="007B23B1" w:rsidRDefault="00B06525" w:rsidP="00BA6228">
            <w:pPr>
              <w:pStyle w:val="TX-TableText"/>
              <w:tabs>
                <w:tab w:val="decimal" w:pos="882"/>
              </w:tabs>
            </w:pPr>
            <w:r w:rsidRPr="007B23B1">
              <w:rPr>
                <w:rFonts w:cs="Times"/>
              </w:rPr>
              <w:t>213</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0.032</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0.038</w:t>
            </w:r>
          </w:p>
        </w:tc>
        <w:tc>
          <w:tcPr>
            <w:tcW w:w="1436" w:type="dxa"/>
            <w:vAlign w:val="bottom"/>
          </w:tcPr>
          <w:p w:rsidR="00B06525" w:rsidRPr="007B23B1" w:rsidRDefault="00B06525" w:rsidP="00BA6228">
            <w:pPr>
              <w:pStyle w:val="TX-TableText"/>
              <w:jc w:val="center"/>
            </w:pPr>
            <w:r w:rsidRPr="007B23B1">
              <w:rPr>
                <w:rFonts w:cs="Times"/>
              </w:rPr>
              <w:t>0.041</w:t>
            </w:r>
          </w:p>
        </w:tc>
      </w:tr>
      <w:tr w:rsidR="00B06525" w:rsidRPr="007B23B1" w:rsidTr="00B06525">
        <w:trPr>
          <w:cantSplit/>
          <w:trHeight w:val="240"/>
          <w:jc w:val="center"/>
        </w:trPr>
        <w:tc>
          <w:tcPr>
            <w:tcW w:w="3168" w:type="dxa"/>
            <w:tcBorders>
              <w:bottom w:val="single" w:sz="2" w:space="0" w:color="auto"/>
              <w:right w:val="single" w:sz="2" w:space="0" w:color="auto"/>
            </w:tcBorders>
            <w:vAlign w:val="center"/>
          </w:tcPr>
          <w:p w:rsidR="00B06525" w:rsidRPr="007B23B1" w:rsidRDefault="00B06525" w:rsidP="00B46D1D">
            <w:pPr>
              <w:pStyle w:val="TX-TableText"/>
              <w:ind w:left="180"/>
            </w:pPr>
            <w:r>
              <w:t xml:space="preserve"> </w:t>
            </w:r>
            <w:r w:rsidRPr="007B23B1">
              <w:t>Western</w:t>
            </w:r>
          </w:p>
        </w:tc>
        <w:tc>
          <w:tcPr>
            <w:tcW w:w="1435" w:type="dxa"/>
            <w:tcBorders>
              <w:bottom w:val="single" w:sz="2" w:space="0" w:color="auto"/>
              <w:right w:val="single" w:sz="2" w:space="0" w:color="auto"/>
            </w:tcBorders>
            <w:vAlign w:val="bottom"/>
          </w:tcPr>
          <w:p w:rsidR="00B06525" w:rsidRPr="007B23B1" w:rsidRDefault="00B06525" w:rsidP="00BA6228">
            <w:pPr>
              <w:pStyle w:val="TX-TableText"/>
              <w:tabs>
                <w:tab w:val="decimal" w:pos="882"/>
              </w:tabs>
            </w:pPr>
            <w:r w:rsidRPr="007B23B1">
              <w:rPr>
                <w:rFonts w:cs="Times"/>
              </w:rPr>
              <w:t>240</w:t>
            </w:r>
            <w:r>
              <w:rPr>
                <w:rFonts w:cs="Times"/>
              </w:rPr>
              <w:t xml:space="preserve"> </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0.034</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0.040</w:t>
            </w:r>
          </w:p>
        </w:tc>
        <w:tc>
          <w:tcPr>
            <w:tcW w:w="1436" w:type="dxa"/>
            <w:tcBorders>
              <w:bottom w:val="single" w:sz="2" w:space="0" w:color="auto"/>
            </w:tcBorders>
            <w:vAlign w:val="bottom"/>
          </w:tcPr>
          <w:p w:rsidR="00B06525" w:rsidRPr="007B23B1" w:rsidRDefault="00B06525" w:rsidP="00BA6228">
            <w:pPr>
              <w:pStyle w:val="TX-TableText"/>
              <w:jc w:val="center"/>
            </w:pPr>
            <w:r w:rsidRPr="007B23B1">
              <w:rPr>
                <w:rFonts w:cs="Times"/>
              </w:rPr>
              <w:t>0.042</w:t>
            </w:r>
          </w:p>
        </w:tc>
      </w:tr>
      <w:tr w:rsidR="00B06525" w:rsidRPr="007B23B1" w:rsidTr="00B06525">
        <w:trPr>
          <w:cantSplit/>
          <w:trHeight w:val="240"/>
          <w:jc w:val="center"/>
        </w:trPr>
        <w:tc>
          <w:tcPr>
            <w:tcW w:w="3168" w:type="dxa"/>
            <w:tcBorders>
              <w:top w:val="single" w:sz="2" w:space="0" w:color="auto"/>
              <w:right w:val="single" w:sz="2" w:space="0" w:color="auto"/>
            </w:tcBorders>
            <w:vAlign w:val="center"/>
          </w:tcPr>
          <w:p w:rsidR="00B06525" w:rsidRPr="007B23B1" w:rsidRDefault="00B06525" w:rsidP="00A04DA5">
            <w:pPr>
              <w:pStyle w:val="TX-TableText"/>
              <w:rPr>
                <w:i/>
              </w:rPr>
            </w:pPr>
            <w:r w:rsidRPr="007B23B1">
              <w:rPr>
                <w:i/>
              </w:rPr>
              <w:t>SFA Enrollment Size</w:t>
            </w:r>
          </w:p>
        </w:tc>
        <w:tc>
          <w:tcPr>
            <w:tcW w:w="1435" w:type="dxa"/>
            <w:tcBorders>
              <w:top w:val="single" w:sz="2" w:space="0" w:color="auto"/>
              <w:right w:val="single" w:sz="2" w:space="0" w:color="auto"/>
            </w:tcBorders>
            <w:vAlign w:val="bottom"/>
          </w:tcPr>
          <w:p w:rsidR="00B06525" w:rsidRPr="007B23B1" w:rsidRDefault="00B06525" w:rsidP="00BA6228">
            <w:pPr>
              <w:pStyle w:val="TX-TableText"/>
              <w:tabs>
                <w:tab w:val="decimal" w:pos="882"/>
              </w:tabs>
            </w:pPr>
            <w:r w:rsidRPr="007B23B1">
              <w:rPr>
                <w:rFonts w:cs="Times"/>
              </w:rPr>
              <w:t> </w:t>
            </w: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pPr>
          </w:p>
        </w:tc>
        <w:tc>
          <w:tcPr>
            <w:tcW w:w="1436" w:type="dxa"/>
            <w:tcBorders>
              <w:top w:val="single" w:sz="2" w:space="0" w:color="auto"/>
              <w:right w:val="single" w:sz="2" w:space="0" w:color="auto"/>
            </w:tcBorders>
            <w:vAlign w:val="bottom"/>
          </w:tcPr>
          <w:p w:rsidR="00B06525" w:rsidRPr="007B23B1" w:rsidRDefault="00B06525" w:rsidP="00BA6228">
            <w:pPr>
              <w:pStyle w:val="TX-TableText"/>
              <w:jc w:val="center"/>
            </w:pPr>
          </w:p>
        </w:tc>
        <w:tc>
          <w:tcPr>
            <w:tcW w:w="1436" w:type="dxa"/>
            <w:tcBorders>
              <w:top w:val="single" w:sz="2" w:space="0" w:color="auto"/>
            </w:tcBorders>
            <w:vAlign w:val="bottom"/>
          </w:tcPr>
          <w:p w:rsidR="00B06525" w:rsidRPr="007B23B1" w:rsidRDefault="00B06525" w:rsidP="00BA6228">
            <w:pPr>
              <w:pStyle w:val="TX-TableText"/>
              <w:jc w:val="center"/>
            </w:pP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Under 1,000</w:t>
            </w:r>
          </w:p>
        </w:tc>
        <w:tc>
          <w:tcPr>
            <w:tcW w:w="1435" w:type="dxa"/>
            <w:tcBorders>
              <w:right w:val="single" w:sz="2" w:space="0" w:color="auto"/>
            </w:tcBorders>
            <w:vAlign w:val="bottom"/>
          </w:tcPr>
          <w:p w:rsidR="00B06525" w:rsidRPr="007B23B1" w:rsidRDefault="00B06525" w:rsidP="00F433F1">
            <w:pPr>
              <w:pStyle w:val="TX-TableText"/>
              <w:tabs>
                <w:tab w:val="decimal" w:pos="882"/>
              </w:tabs>
            </w:pPr>
            <w:r w:rsidRPr="007B23B1">
              <w:rPr>
                <w:rFonts w:cs="Times"/>
              </w:rPr>
              <w:t>35</w:t>
            </w:r>
            <w:r w:rsidR="00F433F1">
              <w:rPr>
                <w:rFonts w:cs="Times"/>
              </w:rPr>
              <w:t>2</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0.020</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0.024</w:t>
            </w:r>
          </w:p>
        </w:tc>
        <w:tc>
          <w:tcPr>
            <w:tcW w:w="1436" w:type="dxa"/>
            <w:vAlign w:val="bottom"/>
          </w:tcPr>
          <w:p w:rsidR="00B06525" w:rsidRPr="007B23B1" w:rsidRDefault="00B06525" w:rsidP="00BA6228">
            <w:pPr>
              <w:pStyle w:val="TX-TableText"/>
              <w:jc w:val="center"/>
            </w:pPr>
            <w:r w:rsidRPr="007B23B1">
              <w:rPr>
                <w:rFonts w:cs="Times"/>
              </w:rPr>
              <w:t>0.026</w:t>
            </w:r>
          </w:p>
        </w:tc>
      </w:tr>
      <w:tr w:rsidR="00B06525" w:rsidRPr="007B23B1" w:rsidTr="00B06525">
        <w:trPr>
          <w:cantSplit/>
          <w:trHeight w:val="240"/>
          <w:jc w:val="center"/>
        </w:trPr>
        <w:tc>
          <w:tcPr>
            <w:tcW w:w="3168" w:type="dxa"/>
            <w:tcBorders>
              <w:right w:val="single" w:sz="2" w:space="0" w:color="auto"/>
            </w:tcBorders>
            <w:vAlign w:val="center"/>
          </w:tcPr>
          <w:p w:rsidR="00B06525" w:rsidRPr="007B23B1" w:rsidRDefault="00B06525" w:rsidP="00B46D1D">
            <w:pPr>
              <w:pStyle w:val="TX-TableText"/>
              <w:ind w:left="180"/>
            </w:pPr>
            <w:r>
              <w:t xml:space="preserve"> </w:t>
            </w:r>
            <w:r w:rsidRPr="007B23B1">
              <w:t>1,000 to 4,999</w:t>
            </w:r>
          </w:p>
        </w:tc>
        <w:tc>
          <w:tcPr>
            <w:tcW w:w="1435" w:type="dxa"/>
            <w:tcBorders>
              <w:right w:val="single" w:sz="2" w:space="0" w:color="auto"/>
            </w:tcBorders>
            <w:vAlign w:val="bottom"/>
          </w:tcPr>
          <w:p w:rsidR="00B06525" w:rsidRPr="007B23B1" w:rsidRDefault="00B06525" w:rsidP="00F433F1">
            <w:pPr>
              <w:pStyle w:val="TX-TableText"/>
              <w:tabs>
                <w:tab w:val="decimal" w:pos="882"/>
              </w:tabs>
            </w:pPr>
            <w:r w:rsidRPr="007B23B1">
              <w:rPr>
                <w:rFonts w:cs="Times"/>
              </w:rPr>
              <w:t>60</w:t>
            </w:r>
            <w:r w:rsidR="00F433F1">
              <w:rPr>
                <w:rFonts w:cs="Times"/>
              </w:rPr>
              <w:t>8</w:t>
            </w:r>
            <w:r>
              <w:rPr>
                <w:rFonts w:cs="Times"/>
              </w:rPr>
              <w:t xml:space="preserve"> </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0.015</w:t>
            </w:r>
          </w:p>
        </w:tc>
        <w:tc>
          <w:tcPr>
            <w:tcW w:w="1436" w:type="dxa"/>
            <w:tcBorders>
              <w:right w:val="single" w:sz="2" w:space="0" w:color="auto"/>
            </w:tcBorders>
            <w:vAlign w:val="bottom"/>
          </w:tcPr>
          <w:p w:rsidR="00B06525" w:rsidRPr="007B23B1" w:rsidRDefault="00B06525" w:rsidP="00BA6228">
            <w:pPr>
              <w:pStyle w:val="TX-TableText"/>
              <w:jc w:val="center"/>
            </w:pPr>
            <w:r w:rsidRPr="007B23B1">
              <w:rPr>
                <w:rFonts w:cs="Times"/>
              </w:rPr>
              <w:t>0.018</w:t>
            </w:r>
          </w:p>
        </w:tc>
        <w:tc>
          <w:tcPr>
            <w:tcW w:w="1436" w:type="dxa"/>
            <w:vAlign w:val="bottom"/>
          </w:tcPr>
          <w:p w:rsidR="00B06525" w:rsidRPr="007B23B1" w:rsidRDefault="00B06525" w:rsidP="00BA6228">
            <w:pPr>
              <w:pStyle w:val="TX-TableText"/>
              <w:jc w:val="center"/>
            </w:pPr>
            <w:r w:rsidRPr="007B23B1">
              <w:rPr>
                <w:rFonts w:cs="Times"/>
              </w:rPr>
              <w:t>0.019</w:t>
            </w:r>
          </w:p>
        </w:tc>
      </w:tr>
      <w:tr w:rsidR="00B06525" w:rsidRPr="007B23B1" w:rsidTr="00B06525">
        <w:trPr>
          <w:cantSplit/>
          <w:trHeight w:val="240"/>
          <w:jc w:val="center"/>
        </w:trPr>
        <w:tc>
          <w:tcPr>
            <w:tcW w:w="3168" w:type="dxa"/>
            <w:tcBorders>
              <w:bottom w:val="single" w:sz="2" w:space="0" w:color="auto"/>
              <w:right w:val="single" w:sz="2" w:space="0" w:color="auto"/>
            </w:tcBorders>
            <w:vAlign w:val="center"/>
          </w:tcPr>
          <w:p w:rsidR="00B06525" w:rsidRPr="007B23B1" w:rsidRDefault="00B06525" w:rsidP="00B46D1D">
            <w:pPr>
              <w:pStyle w:val="TX-TableText"/>
              <w:ind w:left="180"/>
            </w:pPr>
            <w:r>
              <w:t xml:space="preserve"> </w:t>
            </w:r>
            <w:r w:rsidRPr="007B23B1">
              <w:t>5,000 or more</w:t>
            </w:r>
          </w:p>
        </w:tc>
        <w:tc>
          <w:tcPr>
            <w:tcW w:w="1435" w:type="dxa"/>
            <w:tcBorders>
              <w:bottom w:val="single" w:sz="2" w:space="0" w:color="auto"/>
              <w:right w:val="single" w:sz="2" w:space="0" w:color="auto"/>
            </w:tcBorders>
            <w:vAlign w:val="bottom"/>
          </w:tcPr>
          <w:p w:rsidR="00B06525" w:rsidRPr="007B23B1" w:rsidRDefault="00B06525" w:rsidP="00F433F1">
            <w:pPr>
              <w:pStyle w:val="TX-TableText"/>
              <w:tabs>
                <w:tab w:val="decimal" w:pos="882"/>
              </w:tabs>
            </w:pPr>
            <w:r w:rsidRPr="007B23B1">
              <w:rPr>
                <w:rFonts w:cs="Times"/>
              </w:rPr>
              <w:t>5</w:t>
            </w:r>
            <w:r w:rsidR="00F433F1">
              <w:rPr>
                <w:rFonts w:cs="Times"/>
              </w:rPr>
              <w:t>40</w:t>
            </w:r>
            <w:r>
              <w:rPr>
                <w:rFonts w:cs="Times"/>
              </w:rPr>
              <w:t xml:space="preserve"> </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0.015</w:t>
            </w:r>
          </w:p>
        </w:tc>
        <w:tc>
          <w:tcPr>
            <w:tcW w:w="1436" w:type="dxa"/>
            <w:tcBorders>
              <w:bottom w:val="single" w:sz="2" w:space="0" w:color="auto"/>
              <w:right w:val="single" w:sz="2" w:space="0" w:color="auto"/>
            </w:tcBorders>
            <w:vAlign w:val="bottom"/>
          </w:tcPr>
          <w:p w:rsidR="00B06525" w:rsidRPr="007B23B1" w:rsidRDefault="00B06525" w:rsidP="00BA6228">
            <w:pPr>
              <w:pStyle w:val="TX-TableText"/>
              <w:jc w:val="center"/>
            </w:pPr>
            <w:r w:rsidRPr="007B23B1">
              <w:rPr>
                <w:rFonts w:cs="Times"/>
              </w:rPr>
              <w:t>0.018</w:t>
            </w:r>
          </w:p>
        </w:tc>
        <w:tc>
          <w:tcPr>
            <w:tcW w:w="1436" w:type="dxa"/>
            <w:tcBorders>
              <w:bottom w:val="single" w:sz="2" w:space="0" w:color="auto"/>
            </w:tcBorders>
            <w:vAlign w:val="bottom"/>
          </w:tcPr>
          <w:p w:rsidR="00B06525" w:rsidRPr="007B23B1" w:rsidRDefault="00B06525" w:rsidP="00BA6228">
            <w:pPr>
              <w:pStyle w:val="TX-TableText"/>
              <w:jc w:val="center"/>
            </w:pPr>
            <w:r w:rsidRPr="007B23B1">
              <w:rPr>
                <w:rFonts w:cs="Times"/>
              </w:rPr>
              <w:t>0.019</w:t>
            </w:r>
          </w:p>
        </w:tc>
      </w:tr>
    </w:tbl>
    <w:p w:rsidR="00B06525" w:rsidRPr="00B46D1D" w:rsidRDefault="00B06525" w:rsidP="00B06525">
      <w:pPr>
        <w:keepNext/>
        <w:keepLines/>
        <w:spacing w:line="240" w:lineRule="auto"/>
        <w:ind w:left="180"/>
        <w:rPr>
          <w:rFonts w:ascii="Franklin Gothic Medium" w:hAnsi="Franklin Gothic Medium"/>
          <w:sz w:val="18"/>
          <w:szCs w:val="18"/>
        </w:rPr>
      </w:pPr>
      <w:r w:rsidRPr="00B46D1D">
        <w:rPr>
          <w:rFonts w:ascii="Franklin Gothic Medium" w:hAnsi="Franklin Gothic Medium"/>
          <w:sz w:val="18"/>
          <w:szCs w:val="18"/>
        </w:rPr>
        <w:t xml:space="preserve">* Expected number of responding eligible SFAs, assuming response rate of </w:t>
      </w:r>
      <w:r>
        <w:rPr>
          <w:rFonts w:ascii="Franklin Gothic Medium" w:hAnsi="Franklin Gothic Medium"/>
          <w:sz w:val="18"/>
          <w:szCs w:val="18"/>
        </w:rPr>
        <w:t>80</w:t>
      </w:r>
      <w:r w:rsidRPr="00B46D1D">
        <w:rPr>
          <w:rFonts w:ascii="Franklin Gothic Medium" w:hAnsi="Franklin Gothic Medium"/>
          <w:sz w:val="18"/>
          <w:szCs w:val="18"/>
        </w:rPr>
        <w:t xml:space="preserve"> percent. The standard errors given in this table are given for illustration. Actual standard errors will depend on characteristics being estimated and may differ from those shown.</w:t>
      </w:r>
    </w:p>
    <w:p w:rsidR="00B06525" w:rsidRPr="00B46D1D" w:rsidRDefault="00B06525" w:rsidP="00B06525">
      <w:pPr>
        <w:keepNext/>
        <w:keepLines/>
        <w:spacing w:line="240" w:lineRule="auto"/>
        <w:ind w:left="180"/>
        <w:rPr>
          <w:rFonts w:ascii="Franklin Gothic Medium" w:hAnsi="Franklin Gothic Medium"/>
          <w:sz w:val="18"/>
          <w:szCs w:val="18"/>
        </w:rPr>
      </w:pPr>
      <w:r w:rsidRPr="00B46D1D">
        <w:rPr>
          <w:rFonts w:ascii="Franklin Gothic Medium" w:hAnsi="Franklin Gothic Medium"/>
          <w:sz w:val="18"/>
          <w:szCs w:val="18"/>
        </w:rPr>
        <w:t>† Assumes unequal weighting design effect ranging from 0.78 to 1.87 depending on subgroup.</w:t>
      </w:r>
    </w:p>
    <w:p w:rsidR="00B06525" w:rsidRDefault="00B06525" w:rsidP="00B46D1D">
      <w:pPr>
        <w:keepNext/>
        <w:keepLines/>
        <w:tabs>
          <w:tab w:val="left" w:pos="540"/>
        </w:tabs>
        <w:spacing w:line="240" w:lineRule="auto"/>
        <w:rPr>
          <w:b/>
          <w:color w:val="000000"/>
          <w:szCs w:val="24"/>
        </w:rPr>
      </w:pPr>
    </w:p>
    <w:p w:rsidR="004E729A" w:rsidRDefault="004E729A" w:rsidP="00B46D1D">
      <w:pPr>
        <w:keepNext/>
        <w:keepLines/>
        <w:tabs>
          <w:tab w:val="left" w:pos="540"/>
        </w:tabs>
        <w:spacing w:line="240" w:lineRule="auto"/>
        <w:rPr>
          <w:b/>
          <w:color w:val="000000"/>
          <w:szCs w:val="24"/>
        </w:rPr>
      </w:pPr>
    </w:p>
    <w:p w:rsidR="00B06525" w:rsidRDefault="00B06525" w:rsidP="00B46D1D">
      <w:pPr>
        <w:keepNext/>
        <w:keepLines/>
        <w:tabs>
          <w:tab w:val="left" w:pos="540"/>
        </w:tabs>
        <w:spacing w:line="240" w:lineRule="auto"/>
        <w:rPr>
          <w:b/>
          <w:color w:val="000000"/>
          <w:szCs w:val="24"/>
        </w:rPr>
      </w:pPr>
      <w:r w:rsidRPr="00D6005B">
        <w:rPr>
          <w:b/>
          <w:color w:val="000000"/>
          <w:szCs w:val="24"/>
        </w:rPr>
        <w:t>Estimation and Calculation of Sampling Errors</w:t>
      </w:r>
    </w:p>
    <w:p w:rsidR="00B06525" w:rsidRPr="00B46D1D" w:rsidRDefault="00B06525" w:rsidP="00001D5E">
      <w:pPr>
        <w:keepNext/>
        <w:keepLines/>
        <w:tabs>
          <w:tab w:val="left" w:pos="720"/>
        </w:tabs>
        <w:spacing w:line="240" w:lineRule="auto"/>
        <w:rPr>
          <w:color w:val="000000"/>
          <w:szCs w:val="24"/>
        </w:rPr>
      </w:pPr>
    </w:p>
    <w:p w:rsidR="00B06525" w:rsidRDefault="00B06525" w:rsidP="006A20B9">
      <w:pPr>
        <w:pStyle w:val="P1-StandPara"/>
        <w:tabs>
          <w:tab w:val="left" w:pos="720"/>
        </w:tabs>
        <w:spacing w:line="480" w:lineRule="auto"/>
        <w:ind w:firstLine="0"/>
        <w:mirrorIndents/>
        <w:rPr>
          <w:szCs w:val="24"/>
        </w:rPr>
      </w:pPr>
      <w:r w:rsidRPr="00D6005B">
        <w:rPr>
          <w:szCs w:val="24"/>
        </w:rPr>
        <w:t>For estimation purposes, sampling weights reflecting the overall probabilities of selection and differential nonresponse rates will be attached to each data record providing usable SFA data. The first step in the weighting process will be to assign a base weight to each sampled SFA. The base weight is equal to the reciprocal of the probability of selecting the SFA for the study, which will vary by sampling stratum under the proposed stratified sample design</w:t>
      </w:r>
      <w:r w:rsidR="009512D2">
        <w:rPr>
          <w:szCs w:val="24"/>
        </w:rPr>
        <w:t xml:space="preserve">, and also depend on whether the SFA was originally sampled </w:t>
      </w:r>
      <w:r w:rsidR="00957402">
        <w:rPr>
          <w:szCs w:val="24"/>
        </w:rPr>
        <w:t xml:space="preserve">in </w:t>
      </w:r>
      <w:r w:rsidR="009512D2">
        <w:rPr>
          <w:szCs w:val="24"/>
        </w:rPr>
        <w:t xml:space="preserve">Year </w:t>
      </w:r>
      <w:r w:rsidR="00957402">
        <w:rPr>
          <w:szCs w:val="24"/>
        </w:rPr>
        <w:t xml:space="preserve">1 </w:t>
      </w:r>
      <w:r w:rsidR="009512D2">
        <w:rPr>
          <w:szCs w:val="24"/>
        </w:rPr>
        <w:t>or was selected for the supplemental sample</w:t>
      </w:r>
      <w:r w:rsidRPr="00D6005B">
        <w:rPr>
          <w:szCs w:val="24"/>
        </w:rPr>
        <w:t xml:space="preserve">. Next, the base weights will be adjusted for nonresponse within cells consisting of SFAs that are expected to be homogeneous with respect to response propensity. To determine the appropriate adjustment cells, we will conduct a nonresponse bias analysis to identify characteristics of SFAs that are correlated </w:t>
      </w:r>
      <w:r w:rsidRPr="00D6005B">
        <w:rPr>
          <w:szCs w:val="24"/>
        </w:rPr>
        <w:lastRenderedPageBreak/>
        <w:t>with nonresponse. The potential set of predictors to be used to define the adjustment cells will include SFA-level characteristics that are available from the FNS database and data from the most recent CCD file. Within these cells, a weighted response rate will be computed and applied to the SFA base weights to obtain the corresponding nonresponse-adjusted weights.</w:t>
      </w:r>
    </w:p>
    <w:p w:rsidR="00B06525" w:rsidRPr="00D6005B" w:rsidRDefault="00B06525" w:rsidP="006A20B9">
      <w:pPr>
        <w:pStyle w:val="P1-StandPara"/>
        <w:tabs>
          <w:tab w:val="left" w:pos="720"/>
        </w:tabs>
        <w:spacing w:line="480" w:lineRule="auto"/>
        <w:ind w:firstLine="0"/>
        <w:mirrorIndents/>
        <w:rPr>
          <w:szCs w:val="24"/>
        </w:rPr>
      </w:pPr>
    </w:p>
    <w:p w:rsidR="00B06525" w:rsidRDefault="00B06525" w:rsidP="006A20B9">
      <w:pPr>
        <w:pStyle w:val="P1-StandPara"/>
        <w:tabs>
          <w:tab w:val="left" w:pos="720"/>
        </w:tabs>
        <w:spacing w:line="480" w:lineRule="auto"/>
        <w:ind w:firstLine="0"/>
        <w:mirrorIndents/>
        <w:rPr>
          <w:szCs w:val="24"/>
        </w:rPr>
      </w:pPr>
      <w:r w:rsidRPr="00D6005B">
        <w:rPr>
          <w:szCs w:val="24"/>
        </w:rPr>
        <w:t xml:space="preserve">To properly reflect the complex features of the sample design, standard errors of the survey-based estimates will be calculated using jackknife replication. Under the jackknife replication approach, 100 subsamples or "replicates" 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SAS, SUDAAN, WESVAR) to calculate standard errors of the survey-based estimates. In addition to the replicate weights, stratum and unit codes will be provided in the data files to permit calculation of standard errors using Taylor series approximations if desired. Note that while replication and Taylor series methods often produce similar results, jackknife replication has some advantages in reflecting statistical adjustments used in weighting such as nonresponse and </w:t>
      </w:r>
      <w:proofErr w:type="spellStart"/>
      <w:r w:rsidRPr="00D6005B">
        <w:rPr>
          <w:szCs w:val="24"/>
        </w:rPr>
        <w:t>poststratification</w:t>
      </w:r>
      <w:proofErr w:type="spellEnd"/>
      <w:r w:rsidRPr="00D6005B">
        <w:rPr>
          <w:szCs w:val="24"/>
        </w:rPr>
        <w:t xml:space="preserve"> (e.g., see Rust, K.F., and Rao, J.N.K., 1996. Variance estimation for complex surveys using replication techniques. </w:t>
      </w:r>
      <w:r w:rsidRPr="00D6005B">
        <w:rPr>
          <w:i/>
          <w:iCs/>
          <w:szCs w:val="24"/>
        </w:rPr>
        <w:t>Statistical Methods in Medical Research</w:t>
      </w:r>
      <w:r w:rsidRPr="00D6005B">
        <w:rPr>
          <w:szCs w:val="24"/>
        </w:rPr>
        <w:t>, 5: 283-310).</w:t>
      </w:r>
    </w:p>
    <w:p w:rsidR="00B06525" w:rsidRDefault="00B06525" w:rsidP="00B06525">
      <w:pPr>
        <w:rPr>
          <w:rFonts w:ascii="Times New Roman" w:hAnsi="Times New Roman"/>
        </w:rPr>
      </w:pPr>
      <w:bookmarkStart w:id="34" w:name="_Toc282506044"/>
    </w:p>
    <w:p w:rsidR="003E5DFA" w:rsidRDefault="003E5DFA" w:rsidP="00B06525">
      <w:pPr>
        <w:rPr>
          <w:rFonts w:ascii="Times New Roman" w:hAnsi="Times New Roman"/>
        </w:rPr>
      </w:pPr>
    </w:p>
    <w:p w:rsidR="00FC66A6" w:rsidRDefault="00FC66A6">
      <w:pPr>
        <w:spacing w:line="240" w:lineRule="auto"/>
        <w:rPr>
          <w:rFonts w:ascii="Franklin Gothic Medium" w:hAnsi="Franklin Gothic Medium"/>
          <w:sz w:val="22"/>
        </w:rPr>
      </w:pPr>
      <w:bookmarkStart w:id="35" w:name="_Toc339621323"/>
      <w:r>
        <w:br w:type="page"/>
      </w:r>
    </w:p>
    <w:bookmarkEnd w:id="35"/>
    <w:p w:rsidR="00B06525" w:rsidRPr="00281D17" w:rsidRDefault="00B06525" w:rsidP="00B06525">
      <w:pPr>
        <w:pStyle w:val="BodyText"/>
        <w:spacing w:after="0" w:line="240" w:lineRule="auto"/>
        <w:ind w:left="720" w:hanging="720"/>
        <w:rPr>
          <w:rFonts w:ascii="Garamond" w:hAnsi="Garamond"/>
          <w:b/>
          <w:sz w:val="24"/>
          <w:szCs w:val="24"/>
        </w:rPr>
      </w:pPr>
      <w:r w:rsidRPr="00281D17">
        <w:rPr>
          <w:rFonts w:ascii="Garamond" w:hAnsi="Garamond"/>
          <w:b/>
          <w:sz w:val="24"/>
          <w:szCs w:val="24"/>
        </w:rPr>
        <w:lastRenderedPageBreak/>
        <w:t>B.3</w:t>
      </w:r>
      <w:r w:rsidRPr="00281D17">
        <w:rPr>
          <w:rFonts w:ascii="Garamond" w:hAnsi="Garamond"/>
          <w:b/>
          <w:sz w:val="24"/>
          <w:szCs w:val="24"/>
        </w:rPr>
        <w:tab/>
      </w:r>
      <w:bookmarkEnd w:id="34"/>
      <w:r w:rsidRPr="00281D17">
        <w:rPr>
          <w:rFonts w:ascii="Garamond" w:hAnsi="Garamond"/>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06525" w:rsidRDefault="00B06525" w:rsidP="00001D5E">
      <w:pPr>
        <w:spacing w:line="240" w:lineRule="auto"/>
        <w:rPr>
          <w:szCs w:val="24"/>
        </w:rPr>
      </w:pPr>
    </w:p>
    <w:p w:rsidR="00B06525" w:rsidRDefault="00B06525" w:rsidP="006A20B9">
      <w:pPr>
        <w:spacing w:line="480" w:lineRule="auto"/>
        <w:rPr>
          <w:szCs w:val="24"/>
        </w:rPr>
      </w:pPr>
      <w:r w:rsidRPr="00D6005B">
        <w:rPr>
          <w:szCs w:val="24"/>
        </w:rPr>
        <w:t>Overall response</w:t>
      </w:r>
      <w:r>
        <w:rPr>
          <w:szCs w:val="24"/>
        </w:rPr>
        <w:t xml:space="preserve"> rate</w:t>
      </w:r>
      <w:r w:rsidRPr="00D6005B">
        <w:rPr>
          <w:szCs w:val="24"/>
        </w:rPr>
        <w:t xml:space="preserve"> projections were presented earlier. Achieving </w:t>
      </w:r>
      <w:r>
        <w:rPr>
          <w:szCs w:val="24"/>
        </w:rPr>
        <w:t>the specified</w:t>
      </w:r>
      <w:r w:rsidRPr="00D6005B">
        <w:rPr>
          <w:szCs w:val="24"/>
        </w:rPr>
        <w:t xml:space="preserve"> response rate involves locating the sample members </w:t>
      </w:r>
      <w:r>
        <w:rPr>
          <w:szCs w:val="24"/>
        </w:rPr>
        <w:t>to</w:t>
      </w:r>
      <w:r w:rsidRPr="00D6005B">
        <w:rPr>
          <w:szCs w:val="24"/>
        </w:rPr>
        <w:t xml:space="preserve"> secur</w:t>
      </w:r>
      <w:r>
        <w:rPr>
          <w:szCs w:val="24"/>
        </w:rPr>
        <w:t>e</w:t>
      </w:r>
      <w:r w:rsidRPr="00D6005B">
        <w:rPr>
          <w:szCs w:val="24"/>
        </w:rPr>
        <w:t xml:space="preserve"> participation</w:t>
      </w:r>
      <w:r>
        <w:rPr>
          <w:szCs w:val="24"/>
        </w:rPr>
        <w:t xml:space="preserve"> using procedures described below</w:t>
      </w:r>
      <w:r w:rsidRPr="00D6005B">
        <w:rPr>
          <w:szCs w:val="24"/>
        </w:rPr>
        <w:t xml:space="preserve">. We estimate </w:t>
      </w:r>
      <w:r>
        <w:rPr>
          <w:szCs w:val="24"/>
        </w:rPr>
        <w:t>80</w:t>
      </w:r>
      <w:r w:rsidRPr="00D6005B">
        <w:rPr>
          <w:szCs w:val="24"/>
        </w:rPr>
        <w:t xml:space="preserve"> percent of the </w:t>
      </w:r>
      <w:r>
        <w:rPr>
          <w:szCs w:val="24"/>
        </w:rPr>
        <w:t xml:space="preserve">sampled </w:t>
      </w:r>
      <w:r w:rsidRPr="00D6005B">
        <w:rPr>
          <w:szCs w:val="24"/>
        </w:rPr>
        <w:t>SFA Directors will complete</w:t>
      </w:r>
      <w:r w:rsidR="004934D8" w:rsidRPr="004934D8">
        <w:rPr>
          <w:szCs w:val="24"/>
        </w:rPr>
        <w:t xml:space="preserve"> </w:t>
      </w:r>
      <w:r w:rsidR="004934D8">
        <w:rPr>
          <w:szCs w:val="24"/>
        </w:rPr>
        <w:t xml:space="preserve">the </w:t>
      </w:r>
      <w:r w:rsidR="004934D8" w:rsidRPr="00D6005B">
        <w:rPr>
          <w:szCs w:val="24"/>
        </w:rPr>
        <w:t>web-administered survey</w:t>
      </w:r>
      <w:r w:rsidR="001B746F">
        <w:rPr>
          <w:szCs w:val="24"/>
        </w:rPr>
        <w:t>.</w:t>
      </w:r>
      <w:r w:rsidR="00D11180" w:rsidRPr="00230D9A">
        <w:rPr>
          <w:szCs w:val="24"/>
        </w:rPr>
        <w:t xml:space="preserve"> </w:t>
      </w:r>
      <w:r w:rsidR="004934D8" w:rsidRPr="00230D9A">
        <w:rPr>
          <w:szCs w:val="24"/>
        </w:rPr>
        <w:t xml:space="preserve">We expect </w:t>
      </w:r>
      <w:r w:rsidR="001B746F">
        <w:rPr>
          <w:szCs w:val="24"/>
        </w:rPr>
        <w:t xml:space="preserve">at least 95 percent of </w:t>
      </w:r>
      <w:r w:rsidR="004934D8" w:rsidRPr="00230D9A">
        <w:rPr>
          <w:szCs w:val="24"/>
        </w:rPr>
        <w:t>State Child Nutrition Directors to complete their survey.</w:t>
      </w:r>
    </w:p>
    <w:p w:rsidR="00B06525" w:rsidRPr="00D6005B" w:rsidRDefault="00B06525" w:rsidP="006A20B9">
      <w:pPr>
        <w:spacing w:line="480" w:lineRule="auto"/>
        <w:ind w:firstLine="720"/>
        <w:rPr>
          <w:szCs w:val="24"/>
        </w:rPr>
      </w:pPr>
    </w:p>
    <w:p w:rsidR="00B06525" w:rsidRDefault="00B06525" w:rsidP="006A20B9">
      <w:pPr>
        <w:spacing w:line="480" w:lineRule="auto"/>
        <w:rPr>
          <w:szCs w:val="24"/>
        </w:rPr>
      </w:pPr>
      <w:r w:rsidRPr="00D6005B">
        <w:rPr>
          <w:szCs w:val="24"/>
        </w:rPr>
        <w:t>Below we describe procedures to be followed to maximize the number of sample members who complete the survey:</w:t>
      </w:r>
    </w:p>
    <w:p w:rsidR="00B06525" w:rsidRPr="00D6005B" w:rsidRDefault="00B06525" w:rsidP="006A20B9">
      <w:pPr>
        <w:spacing w:line="480" w:lineRule="auto"/>
        <w:rPr>
          <w:szCs w:val="24"/>
        </w:rPr>
      </w:pP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The letters inviting SFA Directors and State C</w:t>
      </w:r>
      <w:r w:rsidR="004A0C56">
        <w:rPr>
          <w:szCs w:val="24"/>
        </w:rPr>
        <w:t xml:space="preserve">hild </w:t>
      </w:r>
      <w:r w:rsidRPr="00D6005B">
        <w:rPr>
          <w:szCs w:val="24"/>
        </w:rPr>
        <w:t>N</w:t>
      </w:r>
      <w:r w:rsidR="004A0C56">
        <w:rPr>
          <w:szCs w:val="24"/>
        </w:rPr>
        <w:t>utrition</w:t>
      </w:r>
      <w:r w:rsidRPr="00D6005B">
        <w:rPr>
          <w:szCs w:val="24"/>
        </w:rPr>
        <w:t xml:space="preserve"> Directors to participate in the </w:t>
      </w:r>
      <w:r w:rsidR="001B746F">
        <w:rPr>
          <w:szCs w:val="24"/>
        </w:rPr>
        <w:t xml:space="preserve">third year of the </w:t>
      </w:r>
      <w:r w:rsidRPr="00D6005B">
        <w:rPr>
          <w:szCs w:val="24"/>
        </w:rPr>
        <w:t xml:space="preserve">surveys will be very carefully developed to emphasize the importance of this study and how the information will help the Food and Nutrition Service (FNS) to better understand and address current policy issues related to Special Nutrition Program (SNP) operations.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Designated FNS regional staff will serve as regional study liaisons and be kept closely informed of the project so that they will be able to answer questions from SFAs and </w:t>
      </w:r>
      <w:r w:rsidR="006B2C33">
        <w:rPr>
          <w:szCs w:val="24"/>
        </w:rPr>
        <w:t xml:space="preserve">States and </w:t>
      </w:r>
      <w:r w:rsidRPr="00D6005B">
        <w:rPr>
          <w:szCs w:val="24"/>
        </w:rPr>
        <w:t>encourage participation.</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The </w:t>
      </w:r>
      <w:r w:rsidR="006B2C33">
        <w:rPr>
          <w:szCs w:val="24"/>
        </w:rPr>
        <w:t>C</w:t>
      </w:r>
      <w:r w:rsidRPr="00D6005B">
        <w:rPr>
          <w:szCs w:val="24"/>
        </w:rPr>
        <w:t xml:space="preserve">ontractor will have a toll free number </w:t>
      </w:r>
      <w:r w:rsidR="006B2C33">
        <w:rPr>
          <w:szCs w:val="24"/>
        </w:rPr>
        <w:t xml:space="preserve">and study email address so </w:t>
      </w:r>
      <w:r w:rsidRPr="00D6005B">
        <w:rPr>
          <w:szCs w:val="24"/>
        </w:rPr>
        <w:t xml:space="preserve">that SFAs </w:t>
      </w:r>
      <w:r w:rsidR="006B2C33">
        <w:rPr>
          <w:szCs w:val="24"/>
        </w:rPr>
        <w:t xml:space="preserve">and States </w:t>
      </w:r>
      <w:r w:rsidRPr="00D6005B">
        <w:rPr>
          <w:szCs w:val="24"/>
        </w:rPr>
        <w:t xml:space="preserve">can </w:t>
      </w:r>
      <w:r w:rsidR="006B2C33">
        <w:rPr>
          <w:szCs w:val="24"/>
        </w:rPr>
        <w:t>receive assistance with the</w:t>
      </w:r>
      <w:r w:rsidRPr="00D6005B">
        <w:rPr>
          <w:szCs w:val="24"/>
        </w:rPr>
        <w:t xml:space="preserve"> study.</w:t>
      </w:r>
    </w:p>
    <w:p w:rsidR="00B06525"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Sampled SFA Directors will have the option of completing </w:t>
      </w:r>
      <w:r w:rsidR="00E23241">
        <w:rPr>
          <w:szCs w:val="24"/>
        </w:rPr>
        <w:t xml:space="preserve">the </w:t>
      </w:r>
      <w:r w:rsidR="006B2C33">
        <w:rPr>
          <w:szCs w:val="24"/>
        </w:rPr>
        <w:t>w</w:t>
      </w:r>
      <w:r w:rsidR="00E23241">
        <w:rPr>
          <w:szCs w:val="24"/>
        </w:rPr>
        <w:t xml:space="preserve">eb-based </w:t>
      </w:r>
      <w:r w:rsidRPr="00D6005B">
        <w:rPr>
          <w:szCs w:val="24"/>
        </w:rPr>
        <w:t xml:space="preserve">survey </w:t>
      </w:r>
      <w:r w:rsidR="00E23241">
        <w:rPr>
          <w:szCs w:val="24"/>
        </w:rPr>
        <w:t>as a telephone survey</w:t>
      </w:r>
      <w:r w:rsidRPr="00D6005B">
        <w:rPr>
          <w:szCs w:val="24"/>
        </w:rPr>
        <w:t>. The State C</w:t>
      </w:r>
      <w:r w:rsidR="00314188">
        <w:rPr>
          <w:szCs w:val="24"/>
        </w:rPr>
        <w:t xml:space="preserve">hild </w:t>
      </w:r>
      <w:r w:rsidRPr="00D6005B">
        <w:rPr>
          <w:szCs w:val="24"/>
        </w:rPr>
        <w:t>N</w:t>
      </w:r>
      <w:r w:rsidR="00314188">
        <w:rPr>
          <w:szCs w:val="24"/>
        </w:rPr>
        <w:t>utrition</w:t>
      </w:r>
      <w:r w:rsidRPr="00D6005B">
        <w:rPr>
          <w:szCs w:val="24"/>
        </w:rPr>
        <w:t xml:space="preserve"> Directors will have the option of completing </w:t>
      </w:r>
      <w:r w:rsidR="006B2C33">
        <w:rPr>
          <w:szCs w:val="24"/>
        </w:rPr>
        <w:t>the w</w:t>
      </w:r>
      <w:r w:rsidR="00E23241">
        <w:rPr>
          <w:szCs w:val="24"/>
        </w:rPr>
        <w:t xml:space="preserve">eb-based survey as </w:t>
      </w:r>
      <w:r w:rsidRPr="00D6005B">
        <w:rPr>
          <w:szCs w:val="24"/>
        </w:rPr>
        <w:t xml:space="preserve">a telephone survey. </w:t>
      </w:r>
    </w:p>
    <w:p w:rsidR="006B2C33" w:rsidRPr="00D6005B" w:rsidRDefault="006B2C33" w:rsidP="006A20B9">
      <w:pPr>
        <w:pStyle w:val="N1-1stBullet"/>
        <w:tabs>
          <w:tab w:val="clear" w:pos="1152"/>
          <w:tab w:val="num" w:pos="1080"/>
        </w:tabs>
        <w:spacing w:after="0" w:line="480" w:lineRule="auto"/>
        <w:ind w:left="1080" w:hanging="504"/>
        <w:rPr>
          <w:szCs w:val="24"/>
        </w:rPr>
      </w:pPr>
      <w:r>
        <w:rPr>
          <w:szCs w:val="24"/>
        </w:rPr>
        <w:lastRenderedPageBreak/>
        <w:t xml:space="preserve">Periodic email </w:t>
      </w:r>
      <w:r w:rsidRPr="00D6005B">
        <w:rPr>
          <w:szCs w:val="24"/>
        </w:rPr>
        <w:t xml:space="preserve">reminders will be sent to </w:t>
      </w:r>
      <w:r>
        <w:rPr>
          <w:szCs w:val="24"/>
        </w:rPr>
        <w:t xml:space="preserve">sample members </w:t>
      </w:r>
      <w:r w:rsidRPr="00D6005B">
        <w:rPr>
          <w:szCs w:val="24"/>
        </w:rPr>
        <w:t xml:space="preserve">who have not </w:t>
      </w:r>
      <w:r>
        <w:rPr>
          <w:szCs w:val="24"/>
        </w:rPr>
        <w:t xml:space="preserve">yet </w:t>
      </w:r>
      <w:r w:rsidRPr="00D6005B">
        <w:rPr>
          <w:szCs w:val="24"/>
        </w:rPr>
        <w:t>completed the survey.</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We will follow up by telephone with all sampled SFA and State C</w:t>
      </w:r>
      <w:r w:rsidR="00314188">
        <w:rPr>
          <w:szCs w:val="24"/>
        </w:rPr>
        <w:t xml:space="preserve">hild </w:t>
      </w:r>
      <w:r w:rsidRPr="00D6005B">
        <w:rPr>
          <w:szCs w:val="24"/>
        </w:rPr>
        <w:t>N</w:t>
      </w:r>
      <w:r w:rsidR="00314188">
        <w:rPr>
          <w:szCs w:val="24"/>
        </w:rPr>
        <w:t>utrition</w:t>
      </w:r>
      <w:r w:rsidRPr="00D6005B">
        <w:rPr>
          <w:szCs w:val="24"/>
        </w:rPr>
        <w:t xml:space="preserve"> Directors who do not complete the survey within a specified period and urge them to complete the survey. At that point if the</w:t>
      </w:r>
      <w:r>
        <w:rPr>
          <w:szCs w:val="24"/>
        </w:rPr>
        <w:t xml:space="preserve"> Directors </w:t>
      </w:r>
      <w:r w:rsidRPr="00D6005B">
        <w:rPr>
          <w:szCs w:val="24"/>
        </w:rPr>
        <w:t xml:space="preserve">prefer to complete </w:t>
      </w:r>
      <w:r w:rsidR="006B2C33">
        <w:rPr>
          <w:szCs w:val="24"/>
        </w:rPr>
        <w:t xml:space="preserve">the survey or remaining </w:t>
      </w:r>
      <w:r w:rsidR="00E23241">
        <w:rPr>
          <w:szCs w:val="24"/>
        </w:rPr>
        <w:t xml:space="preserve">sections of </w:t>
      </w:r>
      <w:r w:rsidRPr="00D6005B">
        <w:rPr>
          <w:szCs w:val="24"/>
        </w:rPr>
        <w:t xml:space="preserve">the survey over the telephone, a telephone interviewer will administer the survey </w:t>
      </w:r>
      <w:r w:rsidR="006B2C33">
        <w:rPr>
          <w:szCs w:val="24"/>
        </w:rPr>
        <w:t xml:space="preserve">or remaining parts </w:t>
      </w:r>
      <w:r w:rsidRPr="00D6005B">
        <w:rPr>
          <w:szCs w:val="24"/>
        </w:rPr>
        <w:t xml:space="preserve">over the telephone. </w:t>
      </w:r>
    </w:p>
    <w:p w:rsidR="00B06525" w:rsidRPr="00D6005B" w:rsidRDefault="00B06525" w:rsidP="006A20B9">
      <w:pPr>
        <w:pStyle w:val="ListParagraph"/>
        <w:spacing w:after="0" w:line="480" w:lineRule="auto"/>
        <w:ind w:left="1260"/>
        <w:contextualSpacing w:val="0"/>
        <w:rPr>
          <w:rFonts w:ascii="Garamond" w:hAnsi="Garamond"/>
          <w:sz w:val="24"/>
          <w:szCs w:val="24"/>
        </w:rPr>
      </w:pPr>
    </w:p>
    <w:p w:rsidR="00B06525" w:rsidRDefault="00B06525" w:rsidP="006A20B9">
      <w:pPr>
        <w:spacing w:line="480" w:lineRule="auto"/>
        <w:rPr>
          <w:szCs w:val="24"/>
        </w:rPr>
      </w:pPr>
      <w:r w:rsidRPr="00D6005B">
        <w:rPr>
          <w:szCs w:val="24"/>
        </w:rPr>
        <w:t>The following procedures will be used to maximize the completion rates for surveys that are administered by telephone</w:t>
      </w:r>
      <w:r>
        <w:rPr>
          <w:szCs w:val="24"/>
        </w:rPr>
        <w:t>:</w:t>
      </w:r>
    </w:p>
    <w:p w:rsidR="00B06525" w:rsidRPr="00D6005B" w:rsidRDefault="00B06525" w:rsidP="006A20B9">
      <w:pPr>
        <w:spacing w:line="480" w:lineRule="auto"/>
        <w:ind w:firstLine="720"/>
        <w:rPr>
          <w:szCs w:val="24"/>
        </w:rPr>
      </w:pP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Use a core of interviewers with experience working on telephone surveys, particularly interviewers who have proven their ability to obtain cooperation from a high proportion of sample members</w:t>
      </w:r>
      <w:r w:rsidR="00E23241">
        <w:rPr>
          <w:szCs w:val="24"/>
        </w:rPr>
        <w:t>.</w:t>
      </w:r>
    </w:p>
    <w:p w:rsidR="00B06525" w:rsidRPr="00D6005B" w:rsidRDefault="006B2C33" w:rsidP="006A20B9">
      <w:pPr>
        <w:pStyle w:val="N1-1stBullet"/>
        <w:tabs>
          <w:tab w:val="clear" w:pos="1152"/>
          <w:tab w:val="num" w:pos="1080"/>
        </w:tabs>
        <w:spacing w:after="0" w:line="480" w:lineRule="auto"/>
        <w:ind w:left="1080" w:hanging="504"/>
        <w:rPr>
          <w:szCs w:val="24"/>
        </w:rPr>
      </w:pPr>
      <w:r>
        <w:rPr>
          <w:szCs w:val="24"/>
        </w:rPr>
        <w:t xml:space="preserve">Conduct a telephone interviewer training </w:t>
      </w:r>
      <w:r w:rsidR="00B06525" w:rsidRPr="00D6005B">
        <w:rPr>
          <w:szCs w:val="24"/>
        </w:rPr>
        <w:t>specific to this study</w:t>
      </w:r>
      <w:r w:rsidR="00B06525">
        <w:rPr>
          <w:szCs w:val="24"/>
        </w:rPr>
        <w:t xml:space="preserve">.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Use call scheduling procedures that are designed to call numbers at different times of the day </w:t>
      </w:r>
      <w:r>
        <w:rPr>
          <w:szCs w:val="24"/>
        </w:rPr>
        <w:t xml:space="preserve">(between 8am and 6pm) </w:t>
      </w:r>
      <w:r w:rsidRPr="00D6005B">
        <w:rPr>
          <w:szCs w:val="24"/>
        </w:rPr>
        <w:t xml:space="preserve">and </w:t>
      </w:r>
      <w:r w:rsidR="006B2C33">
        <w:rPr>
          <w:szCs w:val="24"/>
        </w:rPr>
        <w:t xml:space="preserve">days of the </w:t>
      </w:r>
      <w:r w:rsidRPr="00D6005B">
        <w:rPr>
          <w:szCs w:val="24"/>
        </w:rPr>
        <w:t>week</w:t>
      </w:r>
      <w:r>
        <w:rPr>
          <w:szCs w:val="24"/>
        </w:rPr>
        <w:t xml:space="preserve"> (Monday through Friday)</w:t>
      </w:r>
      <w:r w:rsidRPr="00D6005B">
        <w:rPr>
          <w:szCs w:val="24"/>
        </w:rPr>
        <w:t xml:space="preserve">, to improve the chances of finding a respondent at </w:t>
      </w:r>
      <w:r>
        <w:rPr>
          <w:szCs w:val="24"/>
        </w:rPr>
        <w:t>work</w:t>
      </w:r>
      <w:r w:rsidRPr="00D6005B">
        <w:rPr>
          <w:szCs w:val="24"/>
        </w:rPr>
        <w:t>.</w:t>
      </w:r>
      <w:r>
        <w:rPr>
          <w:szCs w:val="24"/>
        </w:rPr>
        <w:t xml:space="preserve"> </w:t>
      </w:r>
    </w:p>
    <w:p w:rsidR="00B06525" w:rsidRPr="00D6005B" w:rsidRDefault="00B06525" w:rsidP="006A20B9">
      <w:pPr>
        <w:pStyle w:val="N1-1stBullet"/>
        <w:tabs>
          <w:tab w:val="clear" w:pos="1152"/>
          <w:tab w:val="num" w:pos="1080"/>
        </w:tabs>
        <w:spacing w:after="0" w:line="480" w:lineRule="auto"/>
        <w:ind w:left="1080" w:hanging="504"/>
        <w:rPr>
          <w:szCs w:val="24"/>
        </w:rPr>
      </w:pPr>
      <w:r w:rsidRPr="00D6005B">
        <w:rPr>
          <w:szCs w:val="24"/>
        </w:rPr>
        <w:t xml:space="preserve">Provide a toll-free number </w:t>
      </w:r>
      <w:r w:rsidR="006B2C33">
        <w:rPr>
          <w:szCs w:val="24"/>
        </w:rPr>
        <w:t xml:space="preserve">and email help address </w:t>
      </w:r>
      <w:r w:rsidRPr="00D6005B">
        <w:rPr>
          <w:szCs w:val="24"/>
        </w:rPr>
        <w:t>for respondents to verify the study’s legitimacy or to ask other questions about the study.</w:t>
      </w:r>
      <w:r>
        <w:rPr>
          <w:szCs w:val="24"/>
        </w:rPr>
        <w:t xml:space="preserve"> </w:t>
      </w:r>
    </w:p>
    <w:p w:rsidR="004E729A" w:rsidRPr="004E729A" w:rsidRDefault="004E729A" w:rsidP="00B46D1D">
      <w:pPr>
        <w:pStyle w:val="ListParagraph"/>
        <w:spacing w:after="0" w:line="240" w:lineRule="auto"/>
        <w:ind w:left="0"/>
        <w:contextualSpacing w:val="0"/>
        <w:rPr>
          <w:rFonts w:ascii="Garamond" w:hAnsi="Garamond"/>
        </w:rPr>
      </w:pPr>
    </w:p>
    <w:p w:rsidR="00B06525" w:rsidRPr="00281D17" w:rsidRDefault="00B06525" w:rsidP="00B06525">
      <w:pPr>
        <w:pStyle w:val="BodyTextIndent3"/>
        <w:widowControl/>
        <w:tabs>
          <w:tab w:val="clear" w:pos="0"/>
        </w:tabs>
        <w:suppressAutoHyphens w:val="0"/>
        <w:autoSpaceDE/>
        <w:autoSpaceDN/>
        <w:adjustRightInd/>
        <w:spacing w:after="80" w:line="240" w:lineRule="auto"/>
        <w:ind w:left="720" w:hanging="720"/>
        <w:rPr>
          <w:rFonts w:ascii="Garamond" w:hAnsi="Garamond"/>
          <w:b/>
          <w:sz w:val="24"/>
          <w:szCs w:val="24"/>
        </w:rPr>
      </w:pPr>
      <w:bookmarkStart w:id="36" w:name="_Toc282506045"/>
      <w:r w:rsidRPr="00281D17">
        <w:rPr>
          <w:rFonts w:ascii="Garamond" w:hAnsi="Garamond"/>
          <w:b/>
          <w:sz w:val="24"/>
          <w:szCs w:val="24"/>
        </w:rPr>
        <w:t>B.4</w:t>
      </w:r>
      <w:r w:rsidRPr="00281D17">
        <w:rPr>
          <w:rFonts w:ascii="Garamond" w:hAnsi="Garamond"/>
          <w:b/>
          <w:sz w:val="24"/>
          <w:szCs w:val="24"/>
        </w:rPr>
        <w:tab/>
      </w:r>
      <w:bookmarkEnd w:id="36"/>
      <w:r w:rsidRPr="00281D17">
        <w:rPr>
          <w:rFonts w:ascii="Garamond" w:hAnsi="Garamond"/>
          <w:b/>
          <w:sz w:val="24"/>
          <w:szCs w:val="24"/>
        </w:rPr>
        <w:t>Describe any tests of procedures or methods to be undertaken.</w:t>
      </w:r>
      <w:r>
        <w:rPr>
          <w:rFonts w:ascii="Garamond" w:hAnsi="Garamond"/>
          <w:b/>
          <w:sz w:val="24"/>
          <w:szCs w:val="24"/>
        </w:rPr>
        <w:t xml:space="preserve"> </w:t>
      </w:r>
      <w:r w:rsidRPr="00281D17">
        <w:rPr>
          <w:rFonts w:ascii="Garamond" w:hAnsi="Garamond"/>
          <w:b/>
          <w:sz w:val="24"/>
          <w:szCs w:val="24"/>
        </w:rPr>
        <w:t>Testing is encouraged as an effective means of refining collections of information to minimize burden and improve utility.</w:t>
      </w:r>
      <w:r>
        <w:rPr>
          <w:rFonts w:ascii="Garamond" w:hAnsi="Garamond"/>
          <w:b/>
          <w:sz w:val="24"/>
          <w:szCs w:val="24"/>
        </w:rPr>
        <w:t xml:space="preserve"> </w:t>
      </w:r>
      <w:r w:rsidRPr="00281D17">
        <w:rPr>
          <w:rFonts w:ascii="Garamond" w:hAnsi="Garamond"/>
          <w:b/>
          <w:sz w:val="24"/>
          <w:szCs w:val="24"/>
        </w:rPr>
        <w:t>Tests must be approved if they call for answers to identical questions from 10 or more respondents. A proposed test or set of tests may be submitted for approval separately or in combination with the main collection of information.</w:t>
      </w:r>
    </w:p>
    <w:p w:rsidR="00B06525" w:rsidRDefault="00B06525" w:rsidP="00001D5E">
      <w:pPr>
        <w:pStyle w:val="BodyTextIndent3"/>
        <w:spacing w:line="240" w:lineRule="auto"/>
        <w:ind w:firstLine="0"/>
        <w:rPr>
          <w:rFonts w:ascii="Garamond" w:hAnsi="Garamond"/>
          <w:sz w:val="24"/>
          <w:szCs w:val="24"/>
        </w:rPr>
      </w:pPr>
    </w:p>
    <w:p w:rsidR="003835A8" w:rsidRDefault="003835A8" w:rsidP="003835A8">
      <w:pPr>
        <w:pStyle w:val="P1-StandPara"/>
        <w:spacing w:line="480" w:lineRule="auto"/>
        <w:ind w:firstLine="0"/>
        <w:rPr>
          <w:szCs w:val="24"/>
        </w:rPr>
      </w:pPr>
      <w:r>
        <w:rPr>
          <w:szCs w:val="24"/>
        </w:rPr>
        <w:t xml:space="preserve">A substantial number of the questions to be included in the third year of data collection were asked in Year 1 and/or Year 2. The contractor conducted a pretest of the two surveys with a focus on content that was developed for Year 3. Three State Child Nutrition Directors and seven SFA Directors from within the three States completed a hard-copy version of their respective surveys in early January 2014 and provided feedback during telephone debriefing interviews. The interviews assessed: (1) clarity of the wording, (2) </w:t>
      </w:r>
      <w:r w:rsidRPr="00230D9A">
        <w:rPr>
          <w:szCs w:val="24"/>
        </w:rPr>
        <w:t>availabil</w:t>
      </w:r>
      <w:r>
        <w:rPr>
          <w:szCs w:val="24"/>
        </w:rPr>
        <w:t xml:space="preserve">ity of the information, and (3) </w:t>
      </w:r>
      <w:r w:rsidRPr="00230D9A">
        <w:rPr>
          <w:szCs w:val="24"/>
        </w:rPr>
        <w:t>response burden</w:t>
      </w:r>
      <w:r>
        <w:rPr>
          <w:szCs w:val="24"/>
        </w:rPr>
        <w:t xml:space="preserve"> (SFA Directors only)</w:t>
      </w:r>
      <w:r w:rsidRPr="00230D9A">
        <w:rPr>
          <w:szCs w:val="24"/>
        </w:rPr>
        <w:t>.</w:t>
      </w:r>
      <w:r>
        <w:rPr>
          <w:szCs w:val="24"/>
        </w:rPr>
        <w:t xml:space="preserve"> Pretest participants’ feedback was used to revise the instruments and data collection plans; key changes are described below.</w:t>
      </w:r>
    </w:p>
    <w:p w:rsidR="003835A8" w:rsidRDefault="003835A8" w:rsidP="003835A8">
      <w:pPr>
        <w:pStyle w:val="P1-StandPara"/>
        <w:spacing w:line="480" w:lineRule="auto"/>
        <w:ind w:firstLine="0"/>
        <w:rPr>
          <w:szCs w:val="24"/>
        </w:rPr>
      </w:pPr>
      <w:r>
        <w:rPr>
          <w:b/>
          <w:color w:val="000000"/>
          <w:szCs w:val="24"/>
        </w:rPr>
        <w:t>State Agency (SA) Survey.</w:t>
      </w:r>
      <w:r>
        <w:rPr>
          <w:szCs w:val="24"/>
        </w:rPr>
        <w:t xml:space="preserve"> </w:t>
      </w:r>
      <w:r w:rsidRPr="002740FC">
        <w:rPr>
          <w:szCs w:val="24"/>
        </w:rPr>
        <w:t>Overall, pretest participants felt the new content in the SA Survey addressed important topics</w:t>
      </w:r>
      <w:r>
        <w:rPr>
          <w:szCs w:val="24"/>
        </w:rPr>
        <w:t xml:space="preserve">. </w:t>
      </w:r>
      <w:r w:rsidRPr="002740FC">
        <w:rPr>
          <w:szCs w:val="24"/>
        </w:rPr>
        <w:t xml:space="preserve">The major concern that was expressed by all respondents was the timing of the survey and the availability of the Administrative Review data being requested. They indicated that </w:t>
      </w:r>
      <w:r>
        <w:rPr>
          <w:szCs w:val="24"/>
        </w:rPr>
        <w:t>the</w:t>
      </w:r>
      <w:r w:rsidRPr="002740FC">
        <w:rPr>
          <w:szCs w:val="24"/>
        </w:rPr>
        <w:t xml:space="preserve"> process is new and they do not yet have all the systems in place to be able to quickly and easily </w:t>
      </w:r>
      <w:r>
        <w:rPr>
          <w:szCs w:val="24"/>
        </w:rPr>
        <w:t xml:space="preserve">access </w:t>
      </w:r>
      <w:r w:rsidRPr="002740FC">
        <w:rPr>
          <w:szCs w:val="24"/>
        </w:rPr>
        <w:t>information for the questions in Section A. A further complication is the timing of the survey and the schedule for completion of these reviews. The pretest participants noted that many reviews will be taking place toward the end of the school year (April, May, and June). We are taking three steps to address this issue:</w:t>
      </w:r>
    </w:p>
    <w:p w:rsidR="003835A8" w:rsidRDefault="003835A8" w:rsidP="003835A8">
      <w:pPr>
        <w:pStyle w:val="P1-StandPara"/>
        <w:numPr>
          <w:ilvl w:val="0"/>
          <w:numId w:val="24"/>
        </w:numPr>
        <w:spacing w:line="480" w:lineRule="auto"/>
        <w:rPr>
          <w:szCs w:val="24"/>
        </w:rPr>
      </w:pPr>
      <w:r w:rsidRPr="002740FC">
        <w:rPr>
          <w:szCs w:val="24"/>
        </w:rPr>
        <w:t xml:space="preserve">Delay administering the SA Survey until June 2014 to allow more reviews to be completed. </w:t>
      </w:r>
    </w:p>
    <w:p w:rsidR="003835A8" w:rsidRDefault="003835A8" w:rsidP="003835A8">
      <w:pPr>
        <w:pStyle w:val="P1-StandPara"/>
        <w:numPr>
          <w:ilvl w:val="0"/>
          <w:numId w:val="24"/>
        </w:numPr>
        <w:spacing w:line="480" w:lineRule="auto"/>
        <w:rPr>
          <w:szCs w:val="24"/>
        </w:rPr>
      </w:pPr>
      <w:r w:rsidRPr="002740FC">
        <w:rPr>
          <w:szCs w:val="24"/>
        </w:rPr>
        <w:t>Revise the Section A questions to ask participants to provide the number of reviews completed as of June 1, 2014 and estimate the remaining number of reviews.</w:t>
      </w:r>
    </w:p>
    <w:p w:rsidR="003835A8" w:rsidRDefault="003835A8" w:rsidP="003835A8">
      <w:pPr>
        <w:pStyle w:val="P1-StandPara"/>
        <w:numPr>
          <w:ilvl w:val="0"/>
          <w:numId w:val="24"/>
        </w:numPr>
        <w:spacing w:line="480" w:lineRule="auto"/>
        <w:rPr>
          <w:szCs w:val="24"/>
        </w:rPr>
      </w:pPr>
      <w:r w:rsidRPr="002740FC">
        <w:rPr>
          <w:szCs w:val="24"/>
        </w:rPr>
        <w:t>Acknowledge the potential challenge SAs may have with Section A to minimize participants’ potential frustration.</w:t>
      </w:r>
    </w:p>
    <w:p w:rsidR="003835A8" w:rsidRDefault="003835A8" w:rsidP="003835A8">
      <w:pPr>
        <w:pStyle w:val="P1-StandPara"/>
        <w:spacing w:line="480" w:lineRule="auto"/>
        <w:ind w:firstLine="0"/>
        <w:rPr>
          <w:szCs w:val="24"/>
        </w:rPr>
      </w:pPr>
      <w:r w:rsidRPr="002740FC">
        <w:rPr>
          <w:szCs w:val="24"/>
        </w:rPr>
        <w:lastRenderedPageBreak/>
        <w:t>The pretest participants provided valuable feedback on other questions and response options in the survey. We revis</w:t>
      </w:r>
      <w:r>
        <w:rPr>
          <w:szCs w:val="24"/>
        </w:rPr>
        <w:t xml:space="preserve">ed </w:t>
      </w:r>
      <w:r w:rsidRPr="002740FC">
        <w:rPr>
          <w:szCs w:val="24"/>
        </w:rPr>
        <w:t xml:space="preserve">a </w:t>
      </w:r>
      <w:r>
        <w:rPr>
          <w:szCs w:val="24"/>
        </w:rPr>
        <w:t xml:space="preserve">small number </w:t>
      </w:r>
      <w:r w:rsidRPr="002740FC">
        <w:rPr>
          <w:szCs w:val="24"/>
        </w:rPr>
        <w:t>of the SA Survey questions, with the key changes summarized below:</w:t>
      </w:r>
    </w:p>
    <w:p w:rsidR="003835A8" w:rsidRDefault="003835A8" w:rsidP="003835A8">
      <w:pPr>
        <w:pStyle w:val="P1-StandPara"/>
        <w:numPr>
          <w:ilvl w:val="0"/>
          <w:numId w:val="25"/>
        </w:numPr>
        <w:spacing w:line="480" w:lineRule="auto"/>
        <w:rPr>
          <w:szCs w:val="24"/>
        </w:rPr>
      </w:pPr>
      <w:r w:rsidRPr="002740FC">
        <w:rPr>
          <w:szCs w:val="24"/>
        </w:rPr>
        <w:t>Question</w:t>
      </w:r>
      <w:r>
        <w:rPr>
          <w:szCs w:val="24"/>
        </w:rPr>
        <w:t>s</w:t>
      </w:r>
      <w:r w:rsidRPr="002740FC">
        <w:rPr>
          <w:szCs w:val="24"/>
        </w:rPr>
        <w:t xml:space="preserve"> A9</w:t>
      </w:r>
      <w:r>
        <w:rPr>
          <w:szCs w:val="24"/>
        </w:rPr>
        <w:t>-A10a</w:t>
      </w:r>
      <w:r w:rsidRPr="002740FC">
        <w:rPr>
          <w:szCs w:val="24"/>
        </w:rPr>
        <w:t xml:space="preserve">: One participant explained that the dollar amount of fiscal action may not be known until the review is completed and closed. The question wording was refined to focus on closed reviews as of June 1, 2014 and to exclude all disregards (regardless of each SA’s disregard amount). We considered asking all SAs to provide the number of disregards using the $600 threshold for consistency, but felt the approach would make the question more difficult for SAs that have a different threshold to answer. We </w:t>
      </w:r>
      <w:r>
        <w:rPr>
          <w:szCs w:val="24"/>
        </w:rPr>
        <w:t xml:space="preserve">also </w:t>
      </w:r>
      <w:r w:rsidRPr="002740FC">
        <w:rPr>
          <w:szCs w:val="24"/>
        </w:rPr>
        <w:t xml:space="preserve">added a yes/no question to determine if a State’s disregard for </w:t>
      </w:r>
      <w:proofErr w:type="spellStart"/>
      <w:r w:rsidRPr="002740FC">
        <w:rPr>
          <w:szCs w:val="24"/>
        </w:rPr>
        <w:t>overclaim</w:t>
      </w:r>
      <w:proofErr w:type="spellEnd"/>
      <w:r w:rsidRPr="002740FC">
        <w:rPr>
          <w:szCs w:val="24"/>
        </w:rPr>
        <w:t xml:space="preserve"> is less than $600</w:t>
      </w:r>
      <w:r>
        <w:rPr>
          <w:szCs w:val="24"/>
        </w:rPr>
        <w:t xml:space="preserve">, and if </w:t>
      </w:r>
      <w:r w:rsidRPr="002740FC">
        <w:rPr>
          <w:szCs w:val="24"/>
        </w:rPr>
        <w:t xml:space="preserve">yes, a follow-up question will determine the actual </w:t>
      </w:r>
      <w:proofErr w:type="spellStart"/>
      <w:r w:rsidRPr="002740FC">
        <w:rPr>
          <w:szCs w:val="24"/>
        </w:rPr>
        <w:t>overclaim</w:t>
      </w:r>
      <w:proofErr w:type="spellEnd"/>
      <w:r w:rsidRPr="002740FC">
        <w:rPr>
          <w:szCs w:val="24"/>
        </w:rPr>
        <w:t xml:space="preserve"> amount.</w:t>
      </w:r>
    </w:p>
    <w:p w:rsidR="003835A8" w:rsidRDefault="003835A8" w:rsidP="003835A8">
      <w:pPr>
        <w:pStyle w:val="P1-StandPara"/>
        <w:numPr>
          <w:ilvl w:val="0"/>
          <w:numId w:val="25"/>
        </w:numPr>
        <w:spacing w:line="480" w:lineRule="auto"/>
        <w:rPr>
          <w:szCs w:val="24"/>
        </w:rPr>
      </w:pPr>
      <w:r w:rsidRPr="002740FC">
        <w:rPr>
          <w:szCs w:val="24"/>
        </w:rPr>
        <w:t>Questions C9a-C10a: We added food service management companies to the questions</w:t>
      </w:r>
      <w:r>
        <w:rPr>
          <w:szCs w:val="24"/>
        </w:rPr>
        <w:t xml:space="preserve"> because t</w:t>
      </w:r>
      <w:r w:rsidRPr="002740FC">
        <w:rPr>
          <w:szCs w:val="24"/>
        </w:rPr>
        <w:t xml:space="preserve">he </w:t>
      </w:r>
      <w:r>
        <w:rPr>
          <w:szCs w:val="24"/>
        </w:rPr>
        <w:t>pretest</w:t>
      </w:r>
      <w:r w:rsidRPr="002740FC">
        <w:rPr>
          <w:szCs w:val="24"/>
        </w:rPr>
        <w:t xml:space="preserve"> participants all </w:t>
      </w:r>
      <w:r>
        <w:rPr>
          <w:szCs w:val="24"/>
        </w:rPr>
        <w:t xml:space="preserve">suggested they </w:t>
      </w:r>
      <w:r w:rsidRPr="002740FC">
        <w:rPr>
          <w:szCs w:val="24"/>
        </w:rPr>
        <w:t>should be included</w:t>
      </w:r>
      <w:r>
        <w:rPr>
          <w:szCs w:val="24"/>
        </w:rPr>
        <w:t xml:space="preserve">. </w:t>
      </w:r>
      <w:r w:rsidRPr="002740FC">
        <w:rPr>
          <w:szCs w:val="24"/>
        </w:rPr>
        <w:t xml:space="preserve">SAs review these contracts and provide prototype procurement documents or model contracts to SFAs. </w:t>
      </w:r>
    </w:p>
    <w:p w:rsidR="003835A8" w:rsidRDefault="003835A8" w:rsidP="003835A8">
      <w:pPr>
        <w:pStyle w:val="P1-StandPara"/>
        <w:spacing w:line="480" w:lineRule="auto"/>
        <w:ind w:firstLine="0"/>
        <w:rPr>
          <w:szCs w:val="24"/>
        </w:rPr>
      </w:pPr>
      <w:r w:rsidRPr="001913C0">
        <w:rPr>
          <w:b/>
          <w:color w:val="000000"/>
          <w:szCs w:val="24"/>
        </w:rPr>
        <w:t>SFA Director Survey.</w:t>
      </w:r>
      <w:r w:rsidRPr="001913C0">
        <w:rPr>
          <w:szCs w:val="24"/>
        </w:rPr>
        <w:t xml:space="preserve"> On average, SFA Directors took 1 hour</w:t>
      </w:r>
      <w:r>
        <w:rPr>
          <w:szCs w:val="24"/>
        </w:rPr>
        <w:t xml:space="preserve"> and</w:t>
      </w:r>
      <w:r w:rsidRPr="001913C0">
        <w:rPr>
          <w:szCs w:val="24"/>
        </w:rPr>
        <w:t xml:space="preserve"> 5 minutes to complete the third year survey</w:t>
      </w:r>
      <w:r>
        <w:rPr>
          <w:szCs w:val="24"/>
        </w:rPr>
        <w:t xml:space="preserve"> plus an additional </w:t>
      </w:r>
      <w:r w:rsidRPr="001913C0">
        <w:rPr>
          <w:szCs w:val="24"/>
        </w:rPr>
        <w:t>hour looking up information needed to complete the survey</w:t>
      </w:r>
      <w:r>
        <w:rPr>
          <w:szCs w:val="24"/>
        </w:rPr>
        <w:t xml:space="preserve">. Average burden was therefore approximately 2 hours, a reduction </w:t>
      </w:r>
      <w:r w:rsidR="00097760">
        <w:rPr>
          <w:szCs w:val="24"/>
        </w:rPr>
        <w:t xml:space="preserve">of 1 hour </w:t>
      </w:r>
      <w:r>
        <w:rPr>
          <w:szCs w:val="24"/>
        </w:rPr>
        <w:t>from the Year 2 survey.</w:t>
      </w:r>
    </w:p>
    <w:p w:rsidR="003835A8" w:rsidRPr="001913C0" w:rsidRDefault="003835A8" w:rsidP="003835A8">
      <w:pPr>
        <w:pStyle w:val="P1-StandPara"/>
        <w:spacing w:line="480" w:lineRule="auto"/>
        <w:ind w:firstLine="360"/>
        <w:rPr>
          <w:szCs w:val="24"/>
        </w:rPr>
      </w:pPr>
      <w:r w:rsidRPr="001913C0">
        <w:rPr>
          <w:szCs w:val="24"/>
        </w:rPr>
        <w:t>The other feedback we received from SFA Directors was minor. We used it to adjust question or response option wording, or add response options, in order to improve clarity and salience. Key changes are described below:</w:t>
      </w:r>
    </w:p>
    <w:p w:rsidR="003835A8" w:rsidRPr="001913C0" w:rsidRDefault="003835A8" w:rsidP="003835A8">
      <w:pPr>
        <w:pStyle w:val="P1-StandPara"/>
        <w:numPr>
          <w:ilvl w:val="0"/>
          <w:numId w:val="26"/>
        </w:numPr>
        <w:spacing w:line="480" w:lineRule="auto"/>
        <w:rPr>
          <w:szCs w:val="24"/>
        </w:rPr>
      </w:pPr>
      <w:r w:rsidRPr="001913C0">
        <w:rPr>
          <w:szCs w:val="24"/>
        </w:rPr>
        <w:t>We added instructions in questions 5.5 and 5.6 for respondents who currently do not use a certain type of fruit or vegetable product to mark “use less often” if they used the product before implementing the new meal patterns or “same frequency” if they were not using the product previously either.</w:t>
      </w:r>
    </w:p>
    <w:p w:rsidR="003835A8" w:rsidRPr="001913C0" w:rsidRDefault="003835A8" w:rsidP="003835A8">
      <w:pPr>
        <w:pStyle w:val="P1-StandPara"/>
        <w:numPr>
          <w:ilvl w:val="0"/>
          <w:numId w:val="26"/>
        </w:numPr>
        <w:spacing w:line="480" w:lineRule="auto"/>
        <w:rPr>
          <w:szCs w:val="24"/>
        </w:rPr>
      </w:pPr>
      <w:r w:rsidRPr="001913C0">
        <w:rPr>
          <w:szCs w:val="24"/>
        </w:rPr>
        <w:lastRenderedPageBreak/>
        <w:t>SFA directors were divided on question 10.3 over whether this information should be reported in terms of none/some/all or elementary/middle/high breakdowns. Some noted the school-level breakdown could be difficult to provide if there are many “other” schools under their authority</w:t>
      </w:r>
      <w:r>
        <w:rPr>
          <w:szCs w:val="24"/>
        </w:rPr>
        <w:t>, making this question more difficult to answer</w:t>
      </w:r>
      <w:r w:rsidRPr="001913C0">
        <w:rPr>
          <w:szCs w:val="24"/>
        </w:rPr>
        <w:t xml:space="preserve">. </w:t>
      </w:r>
      <w:r>
        <w:rPr>
          <w:szCs w:val="24"/>
        </w:rPr>
        <w:t xml:space="preserve">Other pretest participants said </w:t>
      </w:r>
      <w:r w:rsidRPr="001913C0">
        <w:rPr>
          <w:szCs w:val="24"/>
        </w:rPr>
        <w:t xml:space="preserve">answering by school level would allow them to more specifically report this information than the none/some/all breakdown. Given that SFA </w:t>
      </w:r>
      <w:r>
        <w:rPr>
          <w:szCs w:val="24"/>
        </w:rPr>
        <w:t>D</w:t>
      </w:r>
      <w:r w:rsidRPr="001913C0">
        <w:rPr>
          <w:szCs w:val="24"/>
        </w:rPr>
        <w:t xml:space="preserve">irectors had difficulty in prior rounds of SN-OPS to report data separately by school level, we </w:t>
      </w:r>
      <w:r>
        <w:rPr>
          <w:szCs w:val="24"/>
        </w:rPr>
        <w:t>retained</w:t>
      </w:r>
      <w:r w:rsidRPr="001913C0">
        <w:rPr>
          <w:szCs w:val="24"/>
        </w:rPr>
        <w:t xml:space="preserve"> </w:t>
      </w:r>
      <w:r>
        <w:rPr>
          <w:szCs w:val="24"/>
        </w:rPr>
        <w:t xml:space="preserve">the </w:t>
      </w:r>
      <w:r w:rsidRPr="001913C0">
        <w:rPr>
          <w:szCs w:val="24"/>
        </w:rPr>
        <w:t>none/some/all format</w:t>
      </w:r>
      <w:r>
        <w:rPr>
          <w:szCs w:val="24"/>
        </w:rPr>
        <w:t xml:space="preserve">. </w:t>
      </w:r>
      <w:r w:rsidRPr="001913C0">
        <w:rPr>
          <w:szCs w:val="24"/>
        </w:rPr>
        <w:t xml:space="preserve">This format is also consistent with </w:t>
      </w:r>
      <w:r>
        <w:rPr>
          <w:szCs w:val="24"/>
        </w:rPr>
        <w:t xml:space="preserve">the analysis goal of assessing </w:t>
      </w:r>
      <w:r w:rsidRPr="001913C0">
        <w:rPr>
          <w:szCs w:val="24"/>
        </w:rPr>
        <w:t>the proportion of schools implementing Smarter Lunchroom techniques.</w:t>
      </w:r>
    </w:p>
    <w:p w:rsidR="00B06525" w:rsidRPr="00E04E32" w:rsidRDefault="00B06525" w:rsidP="006A20B9">
      <w:pPr>
        <w:pStyle w:val="P1-StandPara"/>
        <w:spacing w:line="480" w:lineRule="auto"/>
        <w:ind w:firstLine="0"/>
        <w:rPr>
          <w:szCs w:val="24"/>
        </w:rPr>
      </w:pPr>
    </w:p>
    <w:p w:rsidR="00D014F4" w:rsidRDefault="00D014F4">
      <w:pPr>
        <w:spacing w:line="240" w:lineRule="auto"/>
        <w:rPr>
          <w:rFonts w:ascii="Franklin Gothic Medium" w:hAnsi="Franklin Gothic Medium"/>
          <w:sz w:val="22"/>
        </w:rPr>
      </w:pPr>
      <w:bookmarkStart w:id="37" w:name="_Toc282506046"/>
      <w:bookmarkStart w:id="38" w:name="_Toc339621325"/>
    </w:p>
    <w:p w:rsidR="00B06525" w:rsidRPr="00282786" w:rsidRDefault="00B06525" w:rsidP="00B06525">
      <w:pPr>
        <w:pStyle w:val="TT-TableTitle"/>
        <w:tabs>
          <w:tab w:val="clear" w:pos="1440"/>
          <w:tab w:val="left" w:pos="1530"/>
          <w:tab w:val="left" w:pos="2610"/>
        </w:tabs>
        <w:ind w:left="1530" w:hanging="1260"/>
      </w:pPr>
      <w:r w:rsidRPr="00992595">
        <w:rPr>
          <w:rFonts w:ascii="Garamond" w:hAnsi="Garamond"/>
          <w:b/>
        </w:rPr>
        <w:t>B.5</w:t>
      </w:r>
      <w:r w:rsidRPr="00282786">
        <w:tab/>
      </w:r>
      <w:bookmarkEnd w:id="37"/>
      <w:r w:rsidRPr="00992595">
        <w:rPr>
          <w:rFonts w:ascii="Garamond" w:hAnsi="Garamond"/>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bookmarkEnd w:id="38"/>
    </w:p>
    <w:p w:rsidR="00B06525" w:rsidRPr="00DF5DAF" w:rsidRDefault="00B06525" w:rsidP="00B06525">
      <w:pPr>
        <w:pStyle w:val="BodyTextIndent3"/>
        <w:widowControl/>
        <w:suppressAutoHyphens w:val="0"/>
        <w:autoSpaceDE/>
        <w:autoSpaceDN/>
        <w:adjustRightInd/>
        <w:spacing w:after="80" w:line="240" w:lineRule="auto"/>
        <w:ind w:left="720" w:hanging="720"/>
        <w:rPr>
          <w:rFonts w:ascii="Garamond" w:hAnsi="Garamond"/>
          <w:sz w:val="24"/>
          <w:szCs w:val="24"/>
        </w:rPr>
      </w:pPr>
    </w:p>
    <w:p w:rsidR="00B06525" w:rsidRDefault="00B06525" w:rsidP="00B06525">
      <w:r w:rsidRPr="00D6005B">
        <w:t xml:space="preserve">The </w:t>
      </w:r>
      <w:r w:rsidR="00111C21">
        <w:t>C</w:t>
      </w:r>
      <w:r w:rsidRPr="00D6005B">
        <w:t xml:space="preserve">ontractor, </w:t>
      </w:r>
      <w:r w:rsidR="00D22CA2">
        <w:t>2M Research Services, and t</w:t>
      </w:r>
      <w:r w:rsidR="00111C21">
        <w:t>heir S</w:t>
      </w:r>
      <w:r w:rsidR="00D22CA2">
        <w:t xml:space="preserve">ubcontractor, </w:t>
      </w:r>
      <w:proofErr w:type="spellStart"/>
      <w:r w:rsidR="00D22CA2">
        <w:t>Mathematica</w:t>
      </w:r>
      <w:proofErr w:type="spellEnd"/>
      <w:r w:rsidR="00D22CA2">
        <w:t xml:space="preserve"> Policy Research,</w:t>
      </w:r>
      <w:r w:rsidR="00D22CA2" w:rsidRPr="00D6005B">
        <w:t xml:space="preserve"> </w:t>
      </w:r>
      <w:r w:rsidRPr="00D6005B">
        <w:t xml:space="preserve">will conduct this study. </w:t>
      </w:r>
    </w:p>
    <w:p w:rsidR="00B06525" w:rsidRPr="00F9066F" w:rsidRDefault="00B06525" w:rsidP="00B06525"/>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1492"/>
        <w:gridCol w:w="1710"/>
        <w:gridCol w:w="3420"/>
      </w:tblGrid>
      <w:tr w:rsidR="00111C21" w:rsidRPr="00D6005B" w:rsidTr="00B06525">
        <w:trPr>
          <w:jc w:val="center"/>
        </w:trPr>
        <w:tc>
          <w:tcPr>
            <w:tcW w:w="2482" w:type="dxa"/>
            <w:shd w:val="clear" w:color="auto" w:fill="AFBED7"/>
            <w:vAlign w:val="bottom"/>
          </w:tcPr>
          <w:p w:rsidR="00B06525" w:rsidRPr="00D6005B" w:rsidRDefault="00B06525" w:rsidP="00B06525">
            <w:pPr>
              <w:pStyle w:val="TH-TableHeading"/>
            </w:pPr>
            <w:bookmarkStart w:id="39" w:name="_Toc339621326"/>
            <w:r w:rsidRPr="00D6005B">
              <w:t>Name</w:t>
            </w:r>
            <w:bookmarkEnd w:id="39"/>
          </w:p>
        </w:tc>
        <w:tc>
          <w:tcPr>
            <w:tcW w:w="1492" w:type="dxa"/>
            <w:shd w:val="clear" w:color="auto" w:fill="AFBED7"/>
            <w:vAlign w:val="bottom"/>
          </w:tcPr>
          <w:p w:rsidR="00B06525" w:rsidRPr="00D6005B" w:rsidRDefault="00B06525" w:rsidP="00B06525">
            <w:pPr>
              <w:pStyle w:val="TH-TableHeading"/>
            </w:pPr>
            <w:bookmarkStart w:id="40" w:name="_Toc339621327"/>
            <w:r w:rsidRPr="00D6005B">
              <w:t>Affiliation</w:t>
            </w:r>
            <w:bookmarkEnd w:id="40"/>
          </w:p>
        </w:tc>
        <w:tc>
          <w:tcPr>
            <w:tcW w:w="1710" w:type="dxa"/>
            <w:shd w:val="clear" w:color="auto" w:fill="AFBED7"/>
            <w:vAlign w:val="bottom"/>
          </w:tcPr>
          <w:p w:rsidR="00B06525" w:rsidRPr="00D6005B" w:rsidRDefault="00B06525" w:rsidP="00B06525">
            <w:pPr>
              <w:pStyle w:val="TH-TableHeading"/>
            </w:pPr>
            <w:bookmarkStart w:id="41" w:name="_Toc339621328"/>
            <w:r w:rsidRPr="00D6005B">
              <w:t>Telephone Number</w:t>
            </w:r>
            <w:bookmarkEnd w:id="41"/>
          </w:p>
        </w:tc>
        <w:tc>
          <w:tcPr>
            <w:tcW w:w="3420" w:type="dxa"/>
            <w:shd w:val="clear" w:color="auto" w:fill="AFBED7"/>
            <w:vAlign w:val="bottom"/>
          </w:tcPr>
          <w:p w:rsidR="00B06525" w:rsidRPr="00D6005B" w:rsidRDefault="00B06525" w:rsidP="00B06525">
            <w:pPr>
              <w:pStyle w:val="TH-TableHeading"/>
            </w:pPr>
            <w:bookmarkStart w:id="42" w:name="_Toc339621329"/>
            <w:r w:rsidRPr="00D6005B">
              <w:t>e-mail</w:t>
            </w:r>
            <w:bookmarkEnd w:id="42"/>
          </w:p>
        </w:tc>
      </w:tr>
      <w:tr w:rsidR="00111C21" w:rsidRPr="00D6005B" w:rsidTr="00B06525">
        <w:trPr>
          <w:jc w:val="center"/>
        </w:trPr>
        <w:tc>
          <w:tcPr>
            <w:tcW w:w="2482" w:type="dxa"/>
            <w:vAlign w:val="bottom"/>
          </w:tcPr>
          <w:p w:rsidR="00B06525" w:rsidRPr="00D6005B" w:rsidRDefault="00495C86" w:rsidP="00B06525">
            <w:pPr>
              <w:pStyle w:val="TX-TableText"/>
              <w:spacing w:before="60" w:after="60"/>
            </w:pPr>
            <w:r>
              <w:t>Jim Murdoch</w:t>
            </w:r>
          </w:p>
        </w:tc>
        <w:tc>
          <w:tcPr>
            <w:tcW w:w="1492" w:type="dxa"/>
            <w:vAlign w:val="bottom"/>
          </w:tcPr>
          <w:p w:rsidR="00B06525" w:rsidRPr="00D6005B" w:rsidRDefault="00D22CA2" w:rsidP="00B06525">
            <w:pPr>
              <w:pStyle w:val="TX-TableText"/>
              <w:spacing w:before="60" w:after="60"/>
            </w:pPr>
            <w:r>
              <w:t xml:space="preserve">2M </w:t>
            </w:r>
          </w:p>
        </w:tc>
        <w:tc>
          <w:tcPr>
            <w:tcW w:w="1710" w:type="dxa"/>
            <w:vAlign w:val="bottom"/>
          </w:tcPr>
          <w:p w:rsidR="00B06525" w:rsidRPr="00D6005B" w:rsidRDefault="009108A5" w:rsidP="009108A5">
            <w:pPr>
              <w:pStyle w:val="TX-TableText"/>
              <w:spacing w:before="60" w:after="60"/>
            </w:pPr>
            <w:r>
              <w:t>817-856-0863</w:t>
            </w:r>
          </w:p>
        </w:tc>
        <w:tc>
          <w:tcPr>
            <w:tcW w:w="3420" w:type="dxa"/>
          </w:tcPr>
          <w:p w:rsidR="00440D24" w:rsidRPr="00D6005B" w:rsidRDefault="00533C96" w:rsidP="00B06525">
            <w:pPr>
              <w:pStyle w:val="TX-TableText"/>
              <w:spacing w:before="60" w:after="60"/>
            </w:pPr>
            <w:hyperlink r:id="rId14" w:history="1">
              <w:r w:rsidR="00440D24" w:rsidRPr="00086185">
                <w:rPr>
                  <w:rStyle w:val="Hyperlink"/>
                </w:rPr>
                <w:t>jmurdoch@2mresearchservices.com</w:t>
              </w:r>
            </w:hyperlink>
          </w:p>
        </w:tc>
      </w:tr>
      <w:tr w:rsidR="00111C21" w:rsidRPr="00D6005B" w:rsidTr="00B06525">
        <w:trPr>
          <w:jc w:val="center"/>
        </w:trPr>
        <w:tc>
          <w:tcPr>
            <w:tcW w:w="2482" w:type="dxa"/>
            <w:vAlign w:val="bottom"/>
          </w:tcPr>
          <w:p w:rsidR="00B06525" w:rsidRPr="00D6005B" w:rsidRDefault="00495C86" w:rsidP="00B06525">
            <w:pPr>
              <w:pStyle w:val="TX-TableText"/>
              <w:spacing w:before="60" w:after="60"/>
            </w:pPr>
            <w:r>
              <w:t xml:space="preserve">Roderick Harrison </w:t>
            </w:r>
          </w:p>
        </w:tc>
        <w:tc>
          <w:tcPr>
            <w:tcW w:w="1492" w:type="dxa"/>
            <w:vAlign w:val="bottom"/>
          </w:tcPr>
          <w:p w:rsidR="00B06525" w:rsidRPr="00D6005B" w:rsidRDefault="00D22CA2" w:rsidP="00B06525">
            <w:pPr>
              <w:pStyle w:val="TX-TableText"/>
              <w:spacing w:before="60" w:after="60"/>
            </w:pPr>
            <w:r>
              <w:t>2M</w:t>
            </w:r>
          </w:p>
        </w:tc>
        <w:tc>
          <w:tcPr>
            <w:tcW w:w="1710" w:type="dxa"/>
            <w:vAlign w:val="bottom"/>
          </w:tcPr>
          <w:p w:rsidR="00B06525" w:rsidRPr="00D6005B" w:rsidRDefault="009108A5" w:rsidP="00B06525">
            <w:pPr>
              <w:pStyle w:val="TX-TableText"/>
              <w:spacing w:before="60" w:after="60"/>
            </w:pPr>
            <w:r>
              <w:t>202-266-9901</w:t>
            </w:r>
          </w:p>
        </w:tc>
        <w:tc>
          <w:tcPr>
            <w:tcW w:w="3420" w:type="dxa"/>
          </w:tcPr>
          <w:p w:rsidR="00440D24" w:rsidRPr="00D6005B" w:rsidRDefault="00533C96" w:rsidP="00B06525">
            <w:pPr>
              <w:pStyle w:val="TX-TableText"/>
              <w:spacing w:before="60" w:after="60"/>
            </w:pPr>
            <w:hyperlink r:id="rId15" w:history="1">
              <w:r w:rsidR="00440D24" w:rsidRPr="00086185">
                <w:rPr>
                  <w:rStyle w:val="Hyperlink"/>
                </w:rPr>
                <w:t>rharrison@2mresearchservices.com</w:t>
              </w:r>
            </w:hyperlink>
          </w:p>
        </w:tc>
      </w:tr>
      <w:tr w:rsidR="00111C21" w:rsidRPr="00D6005B" w:rsidTr="00B06525">
        <w:trPr>
          <w:jc w:val="center"/>
        </w:trPr>
        <w:tc>
          <w:tcPr>
            <w:tcW w:w="2482" w:type="dxa"/>
          </w:tcPr>
          <w:p w:rsidR="00B06525" w:rsidRPr="00D6005B" w:rsidRDefault="00E23241" w:rsidP="00B06525">
            <w:pPr>
              <w:pStyle w:val="TX-TableText"/>
              <w:spacing w:before="60" w:after="60"/>
            </w:pPr>
            <w:r>
              <w:t>Anne Gordon</w:t>
            </w:r>
          </w:p>
        </w:tc>
        <w:tc>
          <w:tcPr>
            <w:tcW w:w="1492" w:type="dxa"/>
            <w:vAlign w:val="bottom"/>
          </w:tcPr>
          <w:p w:rsidR="00B06525" w:rsidRPr="00D6005B" w:rsidRDefault="00E23241" w:rsidP="00B06525">
            <w:pPr>
              <w:pStyle w:val="TX-TableText"/>
              <w:spacing w:before="60" w:after="60"/>
            </w:pPr>
            <w:proofErr w:type="spellStart"/>
            <w:r>
              <w:t>Mathematica</w:t>
            </w:r>
            <w:proofErr w:type="spellEnd"/>
          </w:p>
        </w:tc>
        <w:tc>
          <w:tcPr>
            <w:tcW w:w="1710" w:type="dxa"/>
          </w:tcPr>
          <w:p w:rsidR="00B06525" w:rsidRPr="00D6005B" w:rsidRDefault="00B06525" w:rsidP="00B06525">
            <w:pPr>
              <w:pStyle w:val="TX-TableText"/>
              <w:spacing w:before="60" w:after="60"/>
            </w:pPr>
            <w:r>
              <w:t>301-294-3943</w:t>
            </w:r>
          </w:p>
        </w:tc>
        <w:tc>
          <w:tcPr>
            <w:tcW w:w="3420" w:type="dxa"/>
          </w:tcPr>
          <w:p w:rsidR="00CF46EF" w:rsidRPr="00D6005B" w:rsidRDefault="00533C96" w:rsidP="00CF46EF">
            <w:pPr>
              <w:pStyle w:val="TX-TableText"/>
              <w:spacing w:before="60" w:after="60"/>
            </w:pPr>
            <w:hyperlink r:id="rId16" w:history="1">
              <w:r w:rsidR="009108A5" w:rsidRPr="007B3D45">
                <w:rPr>
                  <w:rStyle w:val="Hyperlink"/>
                </w:rPr>
                <w:t>agordon@mathematica-mpr.com</w:t>
              </w:r>
            </w:hyperlink>
          </w:p>
        </w:tc>
      </w:tr>
      <w:tr w:rsidR="00111C21" w:rsidRPr="00230D9A" w:rsidTr="00B06525">
        <w:trPr>
          <w:jc w:val="center"/>
        </w:trPr>
        <w:tc>
          <w:tcPr>
            <w:tcW w:w="2482" w:type="dxa"/>
            <w:vAlign w:val="bottom"/>
          </w:tcPr>
          <w:p w:rsidR="00111C21" w:rsidRPr="00230D9A" w:rsidRDefault="00111C21" w:rsidP="00B06525">
            <w:pPr>
              <w:pStyle w:val="TX-TableText"/>
              <w:spacing w:before="60" w:after="60"/>
            </w:pPr>
            <w:r>
              <w:t xml:space="preserve">Nicholas </w:t>
            </w:r>
            <w:proofErr w:type="spellStart"/>
            <w:r>
              <w:t>Beyler</w:t>
            </w:r>
            <w:proofErr w:type="spellEnd"/>
          </w:p>
        </w:tc>
        <w:tc>
          <w:tcPr>
            <w:tcW w:w="1492" w:type="dxa"/>
            <w:vAlign w:val="bottom"/>
          </w:tcPr>
          <w:p w:rsidR="00111C21" w:rsidRPr="00230D9A" w:rsidRDefault="00111C21" w:rsidP="00B06525">
            <w:pPr>
              <w:pStyle w:val="TX-TableText"/>
              <w:spacing w:before="60" w:after="60"/>
            </w:pPr>
            <w:proofErr w:type="spellStart"/>
            <w:r>
              <w:t>Mathematica</w:t>
            </w:r>
            <w:proofErr w:type="spellEnd"/>
          </w:p>
        </w:tc>
        <w:tc>
          <w:tcPr>
            <w:tcW w:w="1710" w:type="dxa"/>
            <w:vAlign w:val="bottom"/>
          </w:tcPr>
          <w:p w:rsidR="00111C21" w:rsidRPr="00230D9A" w:rsidRDefault="00111C21" w:rsidP="00B06525">
            <w:pPr>
              <w:pStyle w:val="TX-TableText"/>
              <w:spacing w:before="60" w:after="60"/>
            </w:pPr>
            <w:r>
              <w:t>202-250-3539</w:t>
            </w:r>
          </w:p>
        </w:tc>
        <w:tc>
          <w:tcPr>
            <w:tcW w:w="3420" w:type="dxa"/>
          </w:tcPr>
          <w:p w:rsidR="00111C21" w:rsidRDefault="00533C96" w:rsidP="00B06525">
            <w:pPr>
              <w:pStyle w:val="TX-TableText"/>
              <w:spacing w:before="60" w:after="60"/>
            </w:pPr>
            <w:hyperlink r:id="rId17" w:history="1">
              <w:r w:rsidR="00111C21" w:rsidRPr="00965C3F">
                <w:rPr>
                  <w:rStyle w:val="Hyperlink"/>
                </w:rPr>
                <w:t>nbeyler@mathematica-mpr.com</w:t>
              </w:r>
            </w:hyperlink>
          </w:p>
        </w:tc>
      </w:tr>
      <w:tr w:rsidR="00111C21" w:rsidRPr="00230D9A" w:rsidTr="00B06525">
        <w:trPr>
          <w:jc w:val="center"/>
        </w:trPr>
        <w:tc>
          <w:tcPr>
            <w:tcW w:w="2482" w:type="dxa"/>
            <w:vAlign w:val="bottom"/>
          </w:tcPr>
          <w:p w:rsidR="00B06525" w:rsidRPr="00230D9A" w:rsidRDefault="009108A5" w:rsidP="00B06525">
            <w:pPr>
              <w:pStyle w:val="TX-TableText"/>
              <w:spacing w:before="60" w:after="60"/>
            </w:pPr>
            <w:r>
              <w:t>Allison Magness</w:t>
            </w:r>
          </w:p>
        </w:tc>
        <w:tc>
          <w:tcPr>
            <w:tcW w:w="1492" w:type="dxa"/>
            <w:vAlign w:val="bottom"/>
          </w:tcPr>
          <w:p w:rsidR="00B06525" w:rsidRPr="00230D9A" w:rsidRDefault="00B06525" w:rsidP="00B06525">
            <w:pPr>
              <w:pStyle w:val="TX-TableText"/>
              <w:spacing w:before="60" w:after="60"/>
            </w:pPr>
            <w:r w:rsidRPr="00230D9A">
              <w:t>FNS/USDA</w:t>
            </w:r>
          </w:p>
        </w:tc>
        <w:tc>
          <w:tcPr>
            <w:tcW w:w="1710" w:type="dxa"/>
            <w:vAlign w:val="bottom"/>
          </w:tcPr>
          <w:p w:rsidR="00B06525" w:rsidRPr="00230D9A" w:rsidRDefault="009108A5" w:rsidP="00B06525">
            <w:pPr>
              <w:pStyle w:val="TX-TableText"/>
              <w:spacing w:before="60" w:after="60"/>
              <w:rPr>
                <w:b/>
              </w:rPr>
            </w:pPr>
            <w:r>
              <w:t>703-305-2098</w:t>
            </w:r>
          </w:p>
        </w:tc>
        <w:tc>
          <w:tcPr>
            <w:tcW w:w="3420" w:type="dxa"/>
          </w:tcPr>
          <w:p w:rsidR="00B06525" w:rsidRPr="00230D9A" w:rsidRDefault="00533C96" w:rsidP="009108A5">
            <w:pPr>
              <w:pStyle w:val="TX-TableText"/>
              <w:spacing w:before="60" w:after="60"/>
              <w:rPr>
                <w:b/>
              </w:rPr>
            </w:pPr>
            <w:hyperlink r:id="rId18" w:history="1">
              <w:r w:rsidR="009108A5" w:rsidRPr="007B3D45">
                <w:rPr>
                  <w:rStyle w:val="Hyperlink"/>
                </w:rPr>
                <w:t>Allison.magness@fns.usda.gov</w:t>
              </w:r>
            </w:hyperlink>
          </w:p>
        </w:tc>
      </w:tr>
      <w:tr w:rsidR="00111C21" w:rsidRPr="00230D9A" w:rsidTr="00B06525">
        <w:trPr>
          <w:jc w:val="center"/>
        </w:trPr>
        <w:tc>
          <w:tcPr>
            <w:tcW w:w="2482" w:type="dxa"/>
            <w:vAlign w:val="bottom"/>
          </w:tcPr>
          <w:p w:rsidR="00943069" w:rsidRPr="00230D9A" w:rsidRDefault="00943069" w:rsidP="00B06525">
            <w:pPr>
              <w:pStyle w:val="TX-TableText"/>
              <w:spacing w:before="60" w:after="60"/>
            </w:pPr>
            <w:r>
              <w:t xml:space="preserve">Jennifer </w:t>
            </w:r>
            <w:proofErr w:type="spellStart"/>
            <w:r>
              <w:t>Rhorer</w:t>
            </w:r>
            <w:proofErr w:type="spellEnd"/>
          </w:p>
        </w:tc>
        <w:tc>
          <w:tcPr>
            <w:tcW w:w="1492" w:type="dxa"/>
            <w:vAlign w:val="bottom"/>
          </w:tcPr>
          <w:p w:rsidR="00943069" w:rsidRPr="00230D9A" w:rsidRDefault="00943069" w:rsidP="00B06525">
            <w:pPr>
              <w:pStyle w:val="TX-TableText"/>
              <w:spacing w:before="60" w:after="60"/>
            </w:pPr>
            <w:r>
              <w:t>NASS/USDA</w:t>
            </w:r>
          </w:p>
        </w:tc>
        <w:tc>
          <w:tcPr>
            <w:tcW w:w="1710" w:type="dxa"/>
            <w:vAlign w:val="bottom"/>
          </w:tcPr>
          <w:p w:rsidR="00943069" w:rsidRPr="00230D9A" w:rsidRDefault="00943069" w:rsidP="00B06525">
            <w:pPr>
              <w:pStyle w:val="TX-TableText"/>
              <w:spacing w:before="60" w:after="60"/>
            </w:pPr>
            <w:r>
              <w:t>202-720-2616</w:t>
            </w:r>
          </w:p>
        </w:tc>
        <w:tc>
          <w:tcPr>
            <w:tcW w:w="3420" w:type="dxa"/>
          </w:tcPr>
          <w:p w:rsidR="00943069" w:rsidRDefault="00533C96" w:rsidP="00B06525">
            <w:pPr>
              <w:pStyle w:val="TX-TableText"/>
              <w:spacing w:before="60" w:after="60"/>
            </w:pPr>
            <w:hyperlink r:id="rId19" w:history="1">
              <w:r w:rsidR="00943069">
                <w:rPr>
                  <w:rStyle w:val="Hyperlink"/>
                </w:rPr>
                <w:t>Jennifer_rhorer@nass.usda.gov</w:t>
              </w:r>
            </w:hyperlink>
          </w:p>
        </w:tc>
      </w:tr>
    </w:tbl>
    <w:p w:rsidR="00161A77" w:rsidRDefault="00161A77" w:rsidP="004D4B51">
      <w:pPr>
        <w:pStyle w:val="BodyTextIndent3"/>
        <w:widowControl/>
        <w:tabs>
          <w:tab w:val="clear" w:pos="0"/>
        </w:tabs>
        <w:suppressAutoHyphens w:val="0"/>
        <w:autoSpaceDE/>
        <w:autoSpaceDN/>
        <w:adjustRightInd/>
        <w:spacing w:line="240" w:lineRule="auto"/>
        <w:ind w:firstLine="0"/>
        <w:jc w:val="both"/>
        <w:rPr>
          <w:bCs/>
          <w:szCs w:val="24"/>
        </w:rPr>
      </w:pPr>
    </w:p>
    <w:p w:rsidR="00FC66A6" w:rsidRDefault="00FC66A6" w:rsidP="004D4B51">
      <w:pPr>
        <w:pStyle w:val="BodyTextIndent3"/>
        <w:widowControl/>
        <w:tabs>
          <w:tab w:val="clear" w:pos="0"/>
        </w:tabs>
        <w:suppressAutoHyphens w:val="0"/>
        <w:autoSpaceDE/>
        <w:autoSpaceDN/>
        <w:adjustRightInd/>
        <w:spacing w:line="240" w:lineRule="auto"/>
        <w:ind w:firstLine="0"/>
        <w:jc w:val="both"/>
        <w:rPr>
          <w:bCs/>
          <w:szCs w:val="24"/>
        </w:rPr>
      </w:pPr>
    </w:p>
    <w:p w:rsidR="00A03BA9" w:rsidRPr="00A03BA9" w:rsidRDefault="00A03BA9" w:rsidP="00CE33D2">
      <w:pPr>
        <w:rPr>
          <w:bCs/>
          <w:szCs w:val="24"/>
        </w:rPr>
      </w:pPr>
    </w:p>
    <w:sectPr w:rsidR="00A03BA9" w:rsidRPr="00A03BA9" w:rsidSect="007E2EDC">
      <w:footerReference w:type="defaul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C96" w:rsidRDefault="00533C96" w:rsidP="006D3765">
      <w:pPr>
        <w:spacing w:line="240" w:lineRule="auto"/>
      </w:pPr>
      <w:r>
        <w:separator/>
      </w:r>
    </w:p>
  </w:endnote>
  <w:endnote w:type="continuationSeparator" w:id="0">
    <w:p w:rsidR="00533C96" w:rsidRDefault="00533C96" w:rsidP="006D3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79" w:rsidRDefault="00BB3B95" w:rsidP="00001D5E">
    <w:pPr>
      <w:pStyle w:val="Footer"/>
      <w:framePr w:wrap="around" w:vAnchor="text" w:hAnchor="margin" w:xAlign="right" w:y="1"/>
      <w:rPr>
        <w:rStyle w:val="PageNumber"/>
      </w:rPr>
    </w:pPr>
    <w:r>
      <w:rPr>
        <w:rStyle w:val="PageNumber"/>
      </w:rPr>
      <w:fldChar w:fldCharType="begin"/>
    </w:r>
    <w:r w:rsidR="007C6079">
      <w:rPr>
        <w:rStyle w:val="PageNumber"/>
      </w:rPr>
      <w:instrText xml:space="preserve">PAGE  </w:instrText>
    </w:r>
    <w:r>
      <w:rPr>
        <w:rStyle w:val="PageNumber"/>
      </w:rPr>
      <w:fldChar w:fldCharType="end"/>
    </w:r>
  </w:p>
  <w:p w:rsidR="007C6079" w:rsidRDefault="007C6079" w:rsidP="00001D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79" w:rsidRDefault="007C607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79" w:rsidRPr="00400AEE" w:rsidRDefault="007C6079" w:rsidP="00001D5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79" w:rsidRDefault="007C6079">
    <w:pPr>
      <w:pStyle w:val="Footer"/>
      <w:jc w:val="center"/>
    </w:pPr>
    <w:r>
      <w:t>B-</w:t>
    </w:r>
    <w:sdt>
      <w:sdtPr>
        <w:id w:val="10196188"/>
        <w:docPartObj>
          <w:docPartGallery w:val="Page Numbers (Bottom of Page)"/>
          <w:docPartUnique/>
        </w:docPartObj>
      </w:sdtPr>
      <w:sdtEndPr>
        <w:rPr>
          <w:noProof/>
        </w:rPr>
      </w:sdtEndPr>
      <w:sdtContent>
        <w:r w:rsidR="009278C1">
          <w:fldChar w:fldCharType="begin"/>
        </w:r>
        <w:r w:rsidR="009278C1">
          <w:instrText xml:space="preserve"> PAGE   \* MERGEFORMAT </w:instrText>
        </w:r>
        <w:r w:rsidR="009278C1">
          <w:fldChar w:fldCharType="separate"/>
        </w:r>
        <w:r w:rsidR="009C29F1">
          <w:rPr>
            <w:noProof/>
          </w:rPr>
          <w:t>2</w:t>
        </w:r>
        <w:r w:rsidR="009278C1">
          <w:rPr>
            <w:noProof/>
          </w:rPr>
          <w:fldChar w:fldCharType="end"/>
        </w:r>
      </w:sdtContent>
    </w:sdt>
  </w:p>
  <w:p w:rsidR="007C6079" w:rsidRDefault="007C6079">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79" w:rsidRDefault="007C6079">
    <w:pPr>
      <w:pStyle w:val="Footer"/>
      <w:jc w:val="center"/>
    </w:pPr>
    <w:r>
      <w:t>B-</w:t>
    </w:r>
    <w:sdt>
      <w:sdtPr>
        <w:id w:val="-110593508"/>
        <w:docPartObj>
          <w:docPartGallery w:val="Page Numbers (Bottom of Page)"/>
          <w:docPartUnique/>
        </w:docPartObj>
      </w:sdtPr>
      <w:sdtEndPr>
        <w:rPr>
          <w:noProof/>
        </w:rPr>
      </w:sdtEndPr>
      <w:sdtContent>
        <w:r w:rsidR="009278C1">
          <w:fldChar w:fldCharType="begin"/>
        </w:r>
        <w:r w:rsidR="009278C1">
          <w:instrText xml:space="preserve"> PAGE   \* MERGEFORMAT </w:instrText>
        </w:r>
        <w:r w:rsidR="009278C1">
          <w:fldChar w:fldCharType="separate"/>
        </w:r>
        <w:r w:rsidR="009C29F1">
          <w:rPr>
            <w:noProof/>
          </w:rPr>
          <w:t>1</w:t>
        </w:r>
        <w:r w:rsidR="009278C1">
          <w:rPr>
            <w:noProof/>
          </w:rPr>
          <w:fldChar w:fldCharType="end"/>
        </w:r>
      </w:sdtContent>
    </w:sdt>
  </w:p>
  <w:p w:rsidR="007C6079" w:rsidRPr="00627E46" w:rsidRDefault="007C6079" w:rsidP="00627E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79" w:rsidRDefault="007C6079">
    <w:pPr>
      <w:pStyle w:val="Footer"/>
      <w:jc w:val="center"/>
    </w:pPr>
    <w:r>
      <w:t>B-</w:t>
    </w:r>
    <w:sdt>
      <w:sdtPr>
        <w:id w:val="-1842237661"/>
        <w:docPartObj>
          <w:docPartGallery w:val="Page Numbers (Bottom of Page)"/>
          <w:docPartUnique/>
        </w:docPartObj>
      </w:sdtPr>
      <w:sdtEndPr>
        <w:rPr>
          <w:noProof/>
        </w:rPr>
      </w:sdtEndPr>
      <w:sdtContent>
        <w:r w:rsidR="009278C1">
          <w:fldChar w:fldCharType="begin"/>
        </w:r>
        <w:r w:rsidR="009278C1">
          <w:instrText xml:space="preserve"> PAGE   \* MERGEFORMAT </w:instrText>
        </w:r>
        <w:r w:rsidR="009278C1">
          <w:fldChar w:fldCharType="separate"/>
        </w:r>
        <w:r w:rsidR="009C29F1">
          <w:rPr>
            <w:noProof/>
          </w:rPr>
          <w:t>17</w:t>
        </w:r>
        <w:r w:rsidR="009278C1">
          <w:rPr>
            <w:noProof/>
          </w:rPr>
          <w:fldChar w:fldCharType="end"/>
        </w:r>
      </w:sdtContent>
    </w:sdt>
  </w:p>
  <w:p w:rsidR="007C6079" w:rsidRDefault="007C6079">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79" w:rsidRDefault="007C6079">
    <w:pPr>
      <w:pStyle w:val="Footer"/>
      <w:jc w:val="center"/>
    </w:pPr>
    <w:r>
      <w:t>B-</w:t>
    </w:r>
    <w:sdt>
      <w:sdtPr>
        <w:id w:val="270903420"/>
        <w:docPartObj>
          <w:docPartGallery w:val="Page Numbers (Bottom of Page)"/>
          <w:docPartUnique/>
        </w:docPartObj>
      </w:sdtPr>
      <w:sdtEndPr>
        <w:rPr>
          <w:noProof/>
        </w:rPr>
      </w:sdtEndPr>
      <w:sdtContent>
        <w:r w:rsidR="009278C1">
          <w:fldChar w:fldCharType="begin"/>
        </w:r>
        <w:r w:rsidR="009278C1">
          <w:instrText xml:space="preserve"> PAGE   \* MERGEFORMAT </w:instrText>
        </w:r>
        <w:r w:rsidR="009278C1">
          <w:fldChar w:fldCharType="separate"/>
        </w:r>
        <w:r w:rsidR="009C29F1">
          <w:rPr>
            <w:noProof/>
          </w:rPr>
          <w:t>3</w:t>
        </w:r>
        <w:r w:rsidR="009278C1">
          <w:rPr>
            <w:noProof/>
          </w:rPr>
          <w:fldChar w:fldCharType="end"/>
        </w:r>
      </w:sdtContent>
    </w:sdt>
  </w:p>
  <w:p w:rsidR="007C6079" w:rsidRPr="00627E46" w:rsidRDefault="007C6079" w:rsidP="00627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C96" w:rsidRDefault="00533C96" w:rsidP="006D3765">
      <w:pPr>
        <w:spacing w:line="240" w:lineRule="auto"/>
      </w:pPr>
      <w:r>
        <w:separator/>
      </w:r>
    </w:p>
  </w:footnote>
  <w:footnote w:type="continuationSeparator" w:id="0">
    <w:p w:rsidR="00533C96" w:rsidRDefault="00533C96" w:rsidP="006D3765">
      <w:pPr>
        <w:spacing w:line="240" w:lineRule="auto"/>
      </w:pPr>
      <w:r>
        <w:continuationSeparator/>
      </w:r>
    </w:p>
  </w:footnote>
  <w:footnote w:id="1">
    <w:p w:rsidR="007C6079" w:rsidRDefault="007C6079">
      <w:pPr>
        <w:pStyle w:val="FootnoteText"/>
      </w:pPr>
      <w:r>
        <w:rPr>
          <w:rStyle w:val="FootnoteReference"/>
        </w:rPr>
        <w:footnoteRef/>
      </w:r>
      <w:r>
        <w:t xml:space="preserve"> The seven regions (and states) are: Northeast (CT, ME, MA, NH, NY, RI, VT), Mid-Atlantic (DE, DC, MD, NJ, PA, PR, VA, VI, WV), Southeast (AL, FL, GA, KY, MS, NC, SC, TN), Midwest (IL, IN, MI, MN, OH, WI), Southwest (AR, LA, NM, OK, TX), Mountain Plains (CO, IA, KS, MO, MT, NE, ND, SD, UT, WY), and Western (AK, AZ, CA, GU, HI, ID, NV, OR, WA).</w:t>
      </w:r>
    </w:p>
  </w:footnote>
  <w:footnote w:id="2">
    <w:p w:rsidR="007C6079" w:rsidRDefault="007C6079">
      <w:pPr>
        <w:pStyle w:val="FootnoteText"/>
      </w:pPr>
      <w:r>
        <w:rPr>
          <w:rStyle w:val="FootnoteReference"/>
        </w:rPr>
        <w:footnoteRef/>
      </w:r>
      <w:r>
        <w:t xml:space="preserve"> Elementary school is defined as any school with any span of grades from kindergarten through grade 6. Middle or junior high school is defined as any school that has no grade lower than grade 6 and no grade higher than grade 9. High school is defined as any school that has no grade lower than grade 9 and continues through grade 12. Schools that do not fit these definitions are categorized as “other.”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79" w:rsidRDefault="007C6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12053"/>
    <w:multiLevelType w:val="hybridMultilevel"/>
    <w:tmpl w:val="8B78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506E63"/>
    <w:multiLevelType w:val="hybridMultilevel"/>
    <w:tmpl w:val="3EF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B559CB"/>
    <w:multiLevelType w:val="hybridMultilevel"/>
    <w:tmpl w:val="F42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5"/>
  </w:num>
  <w:num w:numId="4">
    <w:abstractNumId w:val="4"/>
  </w:num>
  <w:num w:numId="5">
    <w:abstractNumId w:val="8"/>
  </w:num>
  <w:num w:numId="6">
    <w:abstractNumId w:val="14"/>
  </w:num>
  <w:num w:numId="7">
    <w:abstractNumId w:val="18"/>
  </w:num>
  <w:num w:numId="8">
    <w:abstractNumId w:val="11"/>
  </w:num>
  <w:num w:numId="9">
    <w:abstractNumId w:val="12"/>
  </w:num>
  <w:num w:numId="10">
    <w:abstractNumId w:val="3"/>
  </w:num>
  <w:num w:numId="11">
    <w:abstractNumId w:val="7"/>
  </w:num>
  <w:num w:numId="12">
    <w:abstractNumId w:val="22"/>
  </w:num>
  <w:num w:numId="13">
    <w:abstractNumId w:val="17"/>
  </w:num>
  <w:num w:numId="14">
    <w:abstractNumId w:val="5"/>
  </w:num>
  <w:num w:numId="15">
    <w:abstractNumId w:val="23"/>
  </w:num>
  <w:num w:numId="16">
    <w:abstractNumId w:val="19"/>
  </w:num>
  <w:num w:numId="17">
    <w:abstractNumId w:val="1"/>
  </w:num>
  <w:num w:numId="18">
    <w:abstractNumId w:val="6"/>
  </w:num>
  <w:num w:numId="19">
    <w:abstractNumId w:val="21"/>
  </w:num>
  <w:num w:numId="20">
    <w:abstractNumId w:val="25"/>
  </w:num>
  <w:num w:numId="21">
    <w:abstractNumId w:val="9"/>
  </w:num>
  <w:num w:numId="22">
    <w:abstractNumId w:val="10"/>
  </w:num>
  <w:num w:numId="23">
    <w:abstractNumId w:val="24"/>
  </w:num>
  <w:num w:numId="24">
    <w:abstractNumId w:val="16"/>
  </w:num>
  <w:num w:numId="25">
    <w:abstractNumId w:val="0"/>
  </w:num>
  <w:num w:numId="2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5"/>
    <w:rsid w:val="00001D5E"/>
    <w:rsid w:val="000034FB"/>
    <w:rsid w:val="000072A3"/>
    <w:rsid w:val="00007477"/>
    <w:rsid w:val="00011228"/>
    <w:rsid w:val="0001169E"/>
    <w:rsid w:val="00013095"/>
    <w:rsid w:val="000157E2"/>
    <w:rsid w:val="0001598C"/>
    <w:rsid w:val="00015B0E"/>
    <w:rsid w:val="00022762"/>
    <w:rsid w:val="00023236"/>
    <w:rsid w:val="0002373D"/>
    <w:rsid w:val="00026C89"/>
    <w:rsid w:val="00026DD5"/>
    <w:rsid w:val="00027E1A"/>
    <w:rsid w:val="00030D39"/>
    <w:rsid w:val="00031DFA"/>
    <w:rsid w:val="0003258A"/>
    <w:rsid w:val="00033EF8"/>
    <w:rsid w:val="00033FC0"/>
    <w:rsid w:val="00035912"/>
    <w:rsid w:val="0003591B"/>
    <w:rsid w:val="0003661E"/>
    <w:rsid w:val="00036687"/>
    <w:rsid w:val="00036D2A"/>
    <w:rsid w:val="000376A0"/>
    <w:rsid w:val="00037E15"/>
    <w:rsid w:val="00040824"/>
    <w:rsid w:val="00040A85"/>
    <w:rsid w:val="00041210"/>
    <w:rsid w:val="00041358"/>
    <w:rsid w:val="000417FC"/>
    <w:rsid w:val="000430FE"/>
    <w:rsid w:val="00043156"/>
    <w:rsid w:val="00044650"/>
    <w:rsid w:val="00046E60"/>
    <w:rsid w:val="00047BAD"/>
    <w:rsid w:val="00051021"/>
    <w:rsid w:val="000518AF"/>
    <w:rsid w:val="00051D49"/>
    <w:rsid w:val="00051E73"/>
    <w:rsid w:val="000520A9"/>
    <w:rsid w:val="00052D2A"/>
    <w:rsid w:val="00053589"/>
    <w:rsid w:val="00053ECC"/>
    <w:rsid w:val="00054941"/>
    <w:rsid w:val="000549FB"/>
    <w:rsid w:val="00054A73"/>
    <w:rsid w:val="000568DC"/>
    <w:rsid w:val="00056B58"/>
    <w:rsid w:val="00056DA1"/>
    <w:rsid w:val="0006175D"/>
    <w:rsid w:val="00061BF3"/>
    <w:rsid w:val="0006264E"/>
    <w:rsid w:val="00062996"/>
    <w:rsid w:val="000671EC"/>
    <w:rsid w:val="0007089D"/>
    <w:rsid w:val="00070DE4"/>
    <w:rsid w:val="00070F45"/>
    <w:rsid w:val="0007113A"/>
    <w:rsid w:val="000711DA"/>
    <w:rsid w:val="00072270"/>
    <w:rsid w:val="00076C2E"/>
    <w:rsid w:val="00081A59"/>
    <w:rsid w:val="00083AC9"/>
    <w:rsid w:val="00085F6C"/>
    <w:rsid w:val="00086577"/>
    <w:rsid w:val="00087234"/>
    <w:rsid w:val="0008786B"/>
    <w:rsid w:val="0009253D"/>
    <w:rsid w:val="00092846"/>
    <w:rsid w:val="00094327"/>
    <w:rsid w:val="00094D7B"/>
    <w:rsid w:val="00097760"/>
    <w:rsid w:val="000A0C78"/>
    <w:rsid w:val="000A1397"/>
    <w:rsid w:val="000A1C54"/>
    <w:rsid w:val="000A52C9"/>
    <w:rsid w:val="000A6B6B"/>
    <w:rsid w:val="000A6D2E"/>
    <w:rsid w:val="000A7CEF"/>
    <w:rsid w:val="000B0441"/>
    <w:rsid w:val="000B0E1E"/>
    <w:rsid w:val="000B1E3C"/>
    <w:rsid w:val="000B2029"/>
    <w:rsid w:val="000B20F0"/>
    <w:rsid w:val="000B2121"/>
    <w:rsid w:val="000B28FC"/>
    <w:rsid w:val="000B2975"/>
    <w:rsid w:val="000B370C"/>
    <w:rsid w:val="000B4924"/>
    <w:rsid w:val="000B4BAD"/>
    <w:rsid w:val="000B501C"/>
    <w:rsid w:val="000B5B04"/>
    <w:rsid w:val="000C0EAF"/>
    <w:rsid w:val="000C0FA9"/>
    <w:rsid w:val="000C36A6"/>
    <w:rsid w:val="000C3A32"/>
    <w:rsid w:val="000C4862"/>
    <w:rsid w:val="000C4BC3"/>
    <w:rsid w:val="000C60BF"/>
    <w:rsid w:val="000C7425"/>
    <w:rsid w:val="000D1BD5"/>
    <w:rsid w:val="000D6C88"/>
    <w:rsid w:val="000D7573"/>
    <w:rsid w:val="000D7DF0"/>
    <w:rsid w:val="000E3405"/>
    <w:rsid w:val="000E3CF7"/>
    <w:rsid w:val="000E402D"/>
    <w:rsid w:val="000E4505"/>
    <w:rsid w:val="000E47DF"/>
    <w:rsid w:val="000E5D35"/>
    <w:rsid w:val="000E67F9"/>
    <w:rsid w:val="000E6C6F"/>
    <w:rsid w:val="000E73C0"/>
    <w:rsid w:val="000E7CB2"/>
    <w:rsid w:val="000F10E3"/>
    <w:rsid w:val="000F20E3"/>
    <w:rsid w:val="000F3141"/>
    <w:rsid w:val="000F3ADF"/>
    <w:rsid w:val="000F4434"/>
    <w:rsid w:val="000F5273"/>
    <w:rsid w:val="000F6382"/>
    <w:rsid w:val="000F7C07"/>
    <w:rsid w:val="000F7FBB"/>
    <w:rsid w:val="00100DCF"/>
    <w:rsid w:val="001042DE"/>
    <w:rsid w:val="00105867"/>
    <w:rsid w:val="001073FC"/>
    <w:rsid w:val="00107FFD"/>
    <w:rsid w:val="00111A45"/>
    <w:rsid w:val="00111C21"/>
    <w:rsid w:val="00112118"/>
    <w:rsid w:val="001157C6"/>
    <w:rsid w:val="00116D64"/>
    <w:rsid w:val="00117E39"/>
    <w:rsid w:val="00123505"/>
    <w:rsid w:val="0012498E"/>
    <w:rsid w:val="00125CA3"/>
    <w:rsid w:val="0013141F"/>
    <w:rsid w:val="0013145E"/>
    <w:rsid w:val="001327C3"/>
    <w:rsid w:val="001330B8"/>
    <w:rsid w:val="00133E5F"/>
    <w:rsid w:val="0013662C"/>
    <w:rsid w:val="00137218"/>
    <w:rsid w:val="00140B12"/>
    <w:rsid w:val="00140C08"/>
    <w:rsid w:val="001427B7"/>
    <w:rsid w:val="0014346D"/>
    <w:rsid w:val="00147355"/>
    <w:rsid w:val="001476F6"/>
    <w:rsid w:val="00147957"/>
    <w:rsid w:val="0014798C"/>
    <w:rsid w:val="001513EB"/>
    <w:rsid w:val="00152464"/>
    <w:rsid w:val="0015317A"/>
    <w:rsid w:val="00157B9F"/>
    <w:rsid w:val="00160B59"/>
    <w:rsid w:val="001615FF"/>
    <w:rsid w:val="001616CA"/>
    <w:rsid w:val="00161A77"/>
    <w:rsid w:val="001645CA"/>
    <w:rsid w:val="00164EC3"/>
    <w:rsid w:val="001652A4"/>
    <w:rsid w:val="001658A0"/>
    <w:rsid w:val="0016715E"/>
    <w:rsid w:val="00167583"/>
    <w:rsid w:val="00172736"/>
    <w:rsid w:val="001735F0"/>
    <w:rsid w:val="001838D7"/>
    <w:rsid w:val="0018488D"/>
    <w:rsid w:val="00184912"/>
    <w:rsid w:val="00184BBC"/>
    <w:rsid w:val="00185014"/>
    <w:rsid w:val="00185AEE"/>
    <w:rsid w:val="00187393"/>
    <w:rsid w:val="0019034B"/>
    <w:rsid w:val="0019055B"/>
    <w:rsid w:val="00190961"/>
    <w:rsid w:val="0019187E"/>
    <w:rsid w:val="00192631"/>
    <w:rsid w:val="0019384F"/>
    <w:rsid w:val="0019397B"/>
    <w:rsid w:val="00193AA0"/>
    <w:rsid w:val="00193B4D"/>
    <w:rsid w:val="00193F33"/>
    <w:rsid w:val="0019431A"/>
    <w:rsid w:val="001979FE"/>
    <w:rsid w:val="001A05AC"/>
    <w:rsid w:val="001A22CC"/>
    <w:rsid w:val="001A2F4B"/>
    <w:rsid w:val="001A3402"/>
    <w:rsid w:val="001A6AC8"/>
    <w:rsid w:val="001A6E94"/>
    <w:rsid w:val="001B0BA0"/>
    <w:rsid w:val="001B1599"/>
    <w:rsid w:val="001B1E07"/>
    <w:rsid w:val="001B21F7"/>
    <w:rsid w:val="001B233F"/>
    <w:rsid w:val="001B303C"/>
    <w:rsid w:val="001B588E"/>
    <w:rsid w:val="001B637F"/>
    <w:rsid w:val="001B6AC4"/>
    <w:rsid w:val="001B746F"/>
    <w:rsid w:val="001B7AF7"/>
    <w:rsid w:val="001C003B"/>
    <w:rsid w:val="001C016B"/>
    <w:rsid w:val="001C0310"/>
    <w:rsid w:val="001C424D"/>
    <w:rsid w:val="001C4595"/>
    <w:rsid w:val="001C5297"/>
    <w:rsid w:val="001C5505"/>
    <w:rsid w:val="001C70E2"/>
    <w:rsid w:val="001C78B7"/>
    <w:rsid w:val="001D0169"/>
    <w:rsid w:val="001D1072"/>
    <w:rsid w:val="001D1946"/>
    <w:rsid w:val="001D3C25"/>
    <w:rsid w:val="001D415F"/>
    <w:rsid w:val="001D41EE"/>
    <w:rsid w:val="001D4F1D"/>
    <w:rsid w:val="001D5569"/>
    <w:rsid w:val="001D5707"/>
    <w:rsid w:val="001D65AD"/>
    <w:rsid w:val="001D6CA8"/>
    <w:rsid w:val="001D6F89"/>
    <w:rsid w:val="001E09A3"/>
    <w:rsid w:val="001E0FA7"/>
    <w:rsid w:val="001E223C"/>
    <w:rsid w:val="001E3156"/>
    <w:rsid w:val="001E3653"/>
    <w:rsid w:val="001E4372"/>
    <w:rsid w:val="001E4C50"/>
    <w:rsid w:val="001E55BD"/>
    <w:rsid w:val="001E658D"/>
    <w:rsid w:val="001E7AE6"/>
    <w:rsid w:val="001E7C09"/>
    <w:rsid w:val="001E7CD9"/>
    <w:rsid w:val="001E7CDA"/>
    <w:rsid w:val="001F11B0"/>
    <w:rsid w:val="001F1CDC"/>
    <w:rsid w:val="001F29FE"/>
    <w:rsid w:val="001F3531"/>
    <w:rsid w:val="001F3BD1"/>
    <w:rsid w:val="001F4AF2"/>
    <w:rsid w:val="001F4D47"/>
    <w:rsid w:val="001F6D69"/>
    <w:rsid w:val="001F73B2"/>
    <w:rsid w:val="001F7B97"/>
    <w:rsid w:val="00200717"/>
    <w:rsid w:val="00201487"/>
    <w:rsid w:val="00202587"/>
    <w:rsid w:val="002028D3"/>
    <w:rsid w:val="00202D64"/>
    <w:rsid w:val="00202E76"/>
    <w:rsid w:val="00204A1C"/>
    <w:rsid w:val="0020509F"/>
    <w:rsid w:val="00207983"/>
    <w:rsid w:val="00207ED9"/>
    <w:rsid w:val="00213BEC"/>
    <w:rsid w:val="002159FE"/>
    <w:rsid w:val="002172D6"/>
    <w:rsid w:val="0021748D"/>
    <w:rsid w:val="002177DD"/>
    <w:rsid w:val="00217B5D"/>
    <w:rsid w:val="002203F7"/>
    <w:rsid w:val="00220A7D"/>
    <w:rsid w:val="002240CD"/>
    <w:rsid w:val="00225B0A"/>
    <w:rsid w:val="00227419"/>
    <w:rsid w:val="0023001B"/>
    <w:rsid w:val="002303EF"/>
    <w:rsid w:val="00230D9A"/>
    <w:rsid w:val="00233C04"/>
    <w:rsid w:val="002353A2"/>
    <w:rsid w:val="00235D61"/>
    <w:rsid w:val="00236762"/>
    <w:rsid w:val="0023699C"/>
    <w:rsid w:val="00237F30"/>
    <w:rsid w:val="00240515"/>
    <w:rsid w:val="002417BE"/>
    <w:rsid w:val="002419B0"/>
    <w:rsid w:val="00241B5F"/>
    <w:rsid w:val="002450B1"/>
    <w:rsid w:val="002454AF"/>
    <w:rsid w:val="0024679A"/>
    <w:rsid w:val="00246E6C"/>
    <w:rsid w:val="002473B5"/>
    <w:rsid w:val="002503AA"/>
    <w:rsid w:val="00250702"/>
    <w:rsid w:val="002519B6"/>
    <w:rsid w:val="00254196"/>
    <w:rsid w:val="002541F2"/>
    <w:rsid w:val="0025507F"/>
    <w:rsid w:val="00260556"/>
    <w:rsid w:val="00260999"/>
    <w:rsid w:val="00261190"/>
    <w:rsid w:val="002623AA"/>
    <w:rsid w:val="00263662"/>
    <w:rsid w:val="00264A12"/>
    <w:rsid w:val="002658FC"/>
    <w:rsid w:val="00265934"/>
    <w:rsid w:val="00267B14"/>
    <w:rsid w:val="00267CB3"/>
    <w:rsid w:val="00270A8F"/>
    <w:rsid w:val="00271BB2"/>
    <w:rsid w:val="00272AC2"/>
    <w:rsid w:val="0027391B"/>
    <w:rsid w:val="00273D90"/>
    <w:rsid w:val="0027448F"/>
    <w:rsid w:val="00274862"/>
    <w:rsid w:val="002751A9"/>
    <w:rsid w:val="00275DAE"/>
    <w:rsid w:val="00276323"/>
    <w:rsid w:val="0027656F"/>
    <w:rsid w:val="00276C81"/>
    <w:rsid w:val="00280954"/>
    <w:rsid w:val="002819E3"/>
    <w:rsid w:val="0028214B"/>
    <w:rsid w:val="00282E2C"/>
    <w:rsid w:val="0028389B"/>
    <w:rsid w:val="00286B70"/>
    <w:rsid w:val="002877E4"/>
    <w:rsid w:val="00291A72"/>
    <w:rsid w:val="0029230B"/>
    <w:rsid w:val="0029546E"/>
    <w:rsid w:val="00295764"/>
    <w:rsid w:val="00295F3D"/>
    <w:rsid w:val="002961CF"/>
    <w:rsid w:val="0029680E"/>
    <w:rsid w:val="00297160"/>
    <w:rsid w:val="002A1621"/>
    <w:rsid w:val="002A1BBE"/>
    <w:rsid w:val="002A373C"/>
    <w:rsid w:val="002A42AD"/>
    <w:rsid w:val="002A641A"/>
    <w:rsid w:val="002A6D44"/>
    <w:rsid w:val="002B41C0"/>
    <w:rsid w:val="002B7AF1"/>
    <w:rsid w:val="002C0915"/>
    <w:rsid w:val="002C1354"/>
    <w:rsid w:val="002C1A54"/>
    <w:rsid w:val="002C29B3"/>
    <w:rsid w:val="002C2DD7"/>
    <w:rsid w:val="002C33EE"/>
    <w:rsid w:val="002C349D"/>
    <w:rsid w:val="002C792C"/>
    <w:rsid w:val="002D38A0"/>
    <w:rsid w:val="002D4432"/>
    <w:rsid w:val="002D64BF"/>
    <w:rsid w:val="002E1784"/>
    <w:rsid w:val="002E2D5C"/>
    <w:rsid w:val="002E3695"/>
    <w:rsid w:val="002E3D7F"/>
    <w:rsid w:val="002E5659"/>
    <w:rsid w:val="002F3571"/>
    <w:rsid w:val="002F3C9E"/>
    <w:rsid w:val="002F5855"/>
    <w:rsid w:val="002F6D10"/>
    <w:rsid w:val="002F6E8A"/>
    <w:rsid w:val="002F7244"/>
    <w:rsid w:val="00300AF0"/>
    <w:rsid w:val="00301460"/>
    <w:rsid w:val="00301785"/>
    <w:rsid w:val="00302B7D"/>
    <w:rsid w:val="00302CE1"/>
    <w:rsid w:val="0030514D"/>
    <w:rsid w:val="003056A3"/>
    <w:rsid w:val="00307406"/>
    <w:rsid w:val="00307F02"/>
    <w:rsid w:val="0031126A"/>
    <w:rsid w:val="00312D87"/>
    <w:rsid w:val="00312FB3"/>
    <w:rsid w:val="00314188"/>
    <w:rsid w:val="00316DD4"/>
    <w:rsid w:val="003172A7"/>
    <w:rsid w:val="00321CAD"/>
    <w:rsid w:val="0032202C"/>
    <w:rsid w:val="003225B6"/>
    <w:rsid w:val="00322971"/>
    <w:rsid w:val="003229D0"/>
    <w:rsid w:val="00322A86"/>
    <w:rsid w:val="00323FF4"/>
    <w:rsid w:val="00325963"/>
    <w:rsid w:val="003263FC"/>
    <w:rsid w:val="00327356"/>
    <w:rsid w:val="003273AD"/>
    <w:rsid w:val="003300FC"/>
    <w:rsid w:val="003312A8"/>
    <w:rsid w:val="00331313"/>
    <w:rsid w:val="00331EC8"/>
    <w:rsid w:val="00333DB0"/>
    <w:rsid w:val="003344B7"/>
    <w:rsid w:val="00334682"/>
    <w:rsid w:val="00334D3E"/>
    <w:rsid w:val="0033531E"/>
    <w:rsid w:val="00337C8D"/>
    <w:rsid w:val="00340016"/>
    <w:rsid w:val="00341455"/>
    <w:rsid w:val="003415F1"/>
    <w:rsid w:val="00341757"/>
    <w:rsid w:val="00342801"/>
    <w:rsid w:val="00342CC0"/>
    <w:rsid w:val="003449A8"/>
    <w:rsid w:val="003453CA"/>
    <w:rsid w:val="00346429"/>
    <w:rsid w:val="00347422"/>
    <w:rsid w:val="00347CDA"/>
    <w:rsid w:val="00347EAD"/>
    <w:rsid w:val="00350B5C"/>
    <w:rsid w:val="00350F11"/>
    <w:rsid w:val="0035188B"/>
    <w:rsid w:val="003539BF"/>
    <w:rsid w:val="00354A14"/>
    <w:rsid w:val="003563B5"/>
    <w:rsid w:val="003564A2"/>
    <w:rsid w:val="00356D81"/>
    <w:rsid w:val="00357137"/>
    <w:rsid w:val="003575BC"/>
    <w:rsid w:val="003576C1"/>
    <w:rsid w:val="0035799A"/>
    <w:rsid w:val="00361C10"/>
    <w:rsid w:val="00362DFB"/>
    <w:rsid w:val="003632EE"/>
    <w:rsid w:val="00363C6D"/>
    <w:rsid w:val="00366275"/>
    <w:rsid w:val="00366F60"/>
    <w:rsid w:val="003714AE"/>
    <w:rsid w:val="00371CEB"/>
    <w:rsid w:val="00373866"/>
    <w:rsid w:val="003740F4"/>
    <w:rsid w:val="003748B6"/>
    <w:rsid w:val="00376ED0"/>
    <w:rsid w:val="0038034C"/>
    <w:rsid w:val="0038068F"/>
    <w:rsid w:val="00381B25"/>
    <w:rsid w:val="00381C7C"/>
    <w:rsid w:val="00382917"/>
    <w:rsid w:val="00382C9F"/>
    <w:rsid w:val="0038349C"/>
    <w:rsid w:val="003835A8"/>
    <w:rsid w:val="003839BE"/>
    <w:rsid w:val="003847B8"/>
    <w:rsid w:val="003863D6"/>
    <w:rsid w:val="003873B9"/>
    <w:rsid w:val="00387B97"/>
    <w:rsid w:val="00390B63"/>
    <w:rsid w:val="003921BF"/>
    <w:rsid w:val="003950B2"/>
    <w:rsid w:val="00395441"/>
    <w:rsid w:val="0039574C"/>
    <w:rsid w:val="00396FAD"/>
    <w:rsid w:val="003A0019"/>
    <w:rsid w:val="003A03A7"/>
    <w:rsid w:val="003A065B"/>
    <w:rsid w:val="003A16D8"/>
    <w:rsid w:val="003A346C"/>
    <w:rsid w:val="003A3AED"/>
    <w:rsid w:val="003A4182"/>
    <w:rsid w:val="003A6880"/>
    <w:rsid w:val="003A7AFC"/>
    <w:rsid w:val="003B1A54"/>
    <w:rsid w:val="003B1BFE"/>
    <w:rsid w:val="003B35C2"/>
    <w:rsid w:val="003B40DF"/>
    <w:rsid w:val="003B43B9"/>
    <w:rsid w:val="003B5A79"/>
    <w:rsid w:val="003B66AC"/>
    <w:rsid w:val="003B7EAE"/>
    <w:rsid w:val="003C0530"/>
    <w:rsid w:val="003C0812"/>
    <w:rsid w:val="003C2E74"/>
    <w:rsid w:val="003C36BE"/>
    <w:rsid w:val="003C3AC2"/>
    <w:rsid w:val="003C3FE7"/>
    <w:rsid w:val="003C421C"/>
    <w:rsid w:val="003C4AAD"/>
    <w:rsid w:val="003C63D6"/>
    <w:rsid w:val="003C63F0"/>
    <w:rsid w:val="003C77B4"/>
    <w:rsid w:val="003D011E"/>
    <w:rsid w:val="003D2C20"/>
    <w:rsid w:val="003D5206"/>
    <w:rsid w:val="003D5674"/>
    <w:rsid w:val="003D5CD9"/>
    <w:rsid w:val="003D66F3"/>
    <w:rsid w:val="003D7503"/>
    <w:rsid w:val="003D7B17"/>
    <w:rsid w:val="003E00E0"/>
    <w:rsid w:val="003E1D3E"/>
    <w:rsid w:val="003E28A3"/>
    <w:rsid w:val="003E2AEE"/>
    <w:rsid w:val="003E5158"/>
    <w:rsid w:val="003E5DFA"/>
    <w:rsid w:val="003E6473"/>
    <w:rsid w:val="003F0ED8"/>
    <w:rsid w:val="003F0F46"/>
    <w:rsid w:val="003F2DF2"/>
    <w:rsid w:val="003F5304"/>
    <w:rsid w:val="003F7676"/>
    <w:rsid w:val="0040044F"/>
    <w:rsid w:val="00400473"/>
    <w:rsid w:val="0040087E"/>
    <w:rsid w:val="00401279"/>
    <w:rsid w:val="004020D3"/>
    <w:rsid w:val="004027D2"/>
    <w:rsid w:val="00402B18"/>
    <w:rsid w:val="00405BBE"/>
    <w:rsid w:val="0040706B"/>
    <w:rsid w:val="0040745F"/>
    <w:rsid w:val="00411173"/>
    <w:rsid w:val="00413294"/>
    <w:rsid w:val="004147BD"/>
    <w:rsid w:val="00416A45"/>
    <w:rsid w:val="00417066"/>
    <w:rsid w:val="00417D4E"/>
    <w:rsid w:val="00417F62"/>
    <w:rsid w:val="00417F6B"/>
    <w:rsid w:val="00420DC2"/>
    <w:rsid w:val="004217DF"/>
    <w:rsid w:val="0042203C"/>
    <w:rsid w:val="00422497"/>
    <w:rsid w:val="00422CF6"/>
    <w:rsid w:val="004232AA"/>
    <w:rsid w:val="004256E0"/>
    <w:rsid w:val="00426E33"/>
    <w:rsid w:val="00431152"/>
    <w:rsid w:val="004318DD"/>
    <w:rsid w:val="004333A5"/>
    <w:rsid w:val="00434D16"/>
    <w:rsid w:val="00437000"/>
    <w:rsid w:val="004377AB"/>
    <w:rsid w:val="00437BC7"/>
    <w:rsid w:val="00440D24"/>
    <w:rsid w:val="0044241A"/>
    <w:rsid w:val="004435B9"/>
    <w:rsid w:val="00444073"/>
    <w:rsid w:val="00444645"/>
    <w:rsid w:val="004454AA"/>
    <w:rsid w:val="00445A8E"/>
    <w:rsid w:val="00445E9E"/>
    <w:rsid w:val="004469AA"/>
    <w:rsid w:val="00446FF0"/>
    <w:rsid w:val="0045115A"/>
    <w:rsid w:val="004518BE"/>
    <w:rsid w:val="00456D96"/>
    <w:rsid w:val="00457BA6"/>
    <w:rsid w:val="00460062"/>
    <w:rsid w:val="00460903"/>
    <w:rsid w:val="00461E36"/>
    <w:rsid w:val="00462217"/>
    <w:rsid w:val="00462E14"/>
    <w:rsid w:val="00462EC3"/>
    <w:rsid w:val="004635CD"/>
    <w:rsid w:val="004641C2"/>
    <w:rsid w:val="004648A1"/>
    <w:rsid w:val="0046551C"/>
    <w:rsid w:val="0046690F"/>
    <w:rsid w:val="00467AF5"/>
    <w:rsid w:val="00467CE9"/>
    <w:rsid w:val="004708D0"/>
    <w:rsid w:val="004715DE"/>
    <w:rsid w:val="004717DE"/>
    <w:rsid w:val="00474C2C"/>
    <w:rsid w:val="00476470"/>
    <w:rsid w:val="00476499"/>
    <w:rsid w:val="00476726"/>
    <w:rsid w:val="004775F0"/>
    <w:rsid w:val="0048059F"/>
    <w:rsid w:val="004812D5"/>
    <w:rsid w:val="00481488"/>
    <w:rsid w:val="00483282"/>
    <w:rsid w:val="004835A5"/>
    <w:rsid w:val="0048539D"/>
    <w:rsid w:val="004858CD"/>
    <w:rsid w:val="00485D9B"/>
    <w:rsid w:val="00486434"/>
    <w:rsid w:val="00486902"/>
    <w:rsid w:val="00487D4C"/>
    <w:rsid w:val="00487EFA"/>
    <w:rsid w:val="0049057B"/>
    <w:rsid w:val="00490622"/>
    <w:rsid w:val="00490660"/>
    <w:rsid w:val="00491054"/>
    <w:rsid w:val="00492BE7"/>
    <w:rsid w:val="004934D8"/>
    <w:rsid w:val="00493E9E"/>
    <w:rsid w:val="00494235"/>
    <w:rsid w:val="00495463"/>
    <w:rsid w:val="00495C86"/>
    <w:rsid w:val="004965FE"/>
    <w:rsid w:val="004967E8"/>
    <w:rsid w:val="00497625"/>
    <w:rsid w:val="00497775"/>
    <w:rsid w:val="00497CF4"/>
    <w:rsid w:val="004A0766"/>
    <w:rsid w:val="004A0C56"/>
    <w:rsid w:val="004A1DDA"/>
    <w:rsid w:val="004A4161"/>
    <w:rsid w:val="004A4483"/>
    <w:rsid w:val="004A5AC5"/>
    <w:rsid w:val="004A61A4"/>
    <w:rsid w:val="004A6389"/>
    <w:rsid w:val="004A6DDB"/>
    <w:rsid w:val="004A724F"/>
    <w:rsid w:val="004B25E7"/>
    <w:rsid w:val="004B42FB"/>
    <w:rsid w:val="004B62E6"/>
    <w:rsid w:val="004C01E8"/>
    <w:rsid w:val="004C2BB7"/>
    <w:rsid w:val="004C3273"/>
    <w:rsid w:val="004C3CED"/>
    <w:rsid w:val="004C4506"/>
    <w:rsid w:val="004C49DA"/>
    <w:rsid w:val="004C548B"/>
    <w:rsid w:val="004C661A"/>
    <w:rsid w:val="004C6772"/>
    <w:rsid w:val="004C6B0D"/>
    <w:rsid w:val="004C7A1A"/>
    <w:rsid w:val="004D0283"/>
    <w:rsid w:val="004D12BA"/>
    <w:rsid w:val="004D204B"/>
    <w:rsid w:val="004D2EBB"/>
    <w:rsid w:val="004D3630"/>
    <w:rsid w:val="004D4B51"/>
    <w:rsid w:val="004D59B1"/>
    <w:rsid w:val="004D7B90"/>
    <w:rsid w:val="004D7EFE"/>
    <w:rsid w:val="004E1E52"/>
    <w:rsid w:val="004E5346"/>
    <w:rsid w:val="004E5D26"/>
    <w:rsid w:val="004E729A"/>
    <w:rsid w:val="004F0140"/>
    <w:rsid w:val="004F2395"/>
    <w:rsid w:val="004F296A"/>
    <w:rsid w:val="004F3336"/>
    <w:rsid w:val="004F40E5"/>
    <w:rsid w:val="004F4397"/>
    <w:rsid w:val="004F5BB7"/>
    <w:rsid w:val="004F6700"/>
    <w:rsid w:val="004F69C0"/>
    <w:rsid w:val="004F6D95"/>
    <w:rsid w:val="004F7AB1"/>
    <w:rsid w:val="004F7C67"/>
    <w:rsid w:val="005011EF"/>
    <w:rsid w:val="005013F4"/>
    <w:rsid w:val="005026A0"/>
    <w:rsid w:val="0050290C"/>
    <w:rsid w:val="00502CC1"/>
    <w:rsid w:val="00503A16"/>
    <w:rsid w:val="00506020"/>
    <w:rsid w:val="0050726F"/>
    <w:rsid w:val="005112B3"/>
    <w:rsid w:val="00511D84"/>
    <w:rsid w:val="0051239A"/>
    <w:rsid w:val="005132E7"/>
    <w:rsid w:val="00513E53"/>
    <w:rsid w:val="00514735"/>
    <w:rsid w:val="0051522C"/>
    <w:rsid w:val="00517FF9"/>
    <w:rsid w:val="005216E5"/>
    <w:rsid w:val="00522164"/>
    <w:rsid w:val="0052288F"/>
    <w:rsid w:val="00523EE1"/>
    <w:rsid w:val="00524BBA"/>
    <w:rsid w:val="00525315"/>
    <w:rsid w:val="005257E7"/>
    <w:rsid w:val="00530D97"/>
    <w:rsid w:val="0053147C"/>
    <w:rsid w:val="005314B6"/>
    <w:rsid w:val="00531DC4"/>
    <w:rsid w:val="00532208"/>
    <w:rsid w:val="00532F86"/>
    <w:rsid w:val="00533371"/>
    <w:rsid w:val="00533C96"/>
    <w:rsid w:val="00534762"/>
    <w:rsid w:val="00535734"/>
    <w:rsid w:val="00540090"/>
    <w:rsid w:val="00540B01"/>
    <w:rsid w:val="00541B31"/>
    <w:rsid w:val="005423A5"/>
    <w:rsid w:val="005435B2"/>
    <w:rsid w:val="005443C6"/>
    <w:rsid w:val="0054755C"/>
    <w:rsid w:val="0054794B"/>
    <w:rsid w:val="00547AC2"/>
    <w:rsid w:val="0055094F"/>
    <w:rsid w:val="005510BA"/>
    <w:rsid w:val="00554BCD"/>
    <w:rsid w:val="00555457"/>
    <w:rsid w:val="005565B1"/>
    <w:rsid w:val="00557044"/>
    <w:rsid w:val="00557A16"/>
    <w:rsid w:val="00561B28"/>
    <w:rsid w:val="00561BA6"/>
    <w:rsid w:val="00562363"/>
    <w:rsid w:val="00563747"/>
    <w:rsid w:val="00563998"/>
    <w:rsid w:val="00564D33"/>
    <w:rsid w:val="00565C68"/>
    <w:rsid w:val="00566674"/>
    <w:rsid w:val="00566D5D"/>
    <w:rsid w:val="005678E1"/>
    <w:rsid w:val="005700E0"/>
    <w:rsid w:val="00571498"/>
    <w:rsid w:val="005715CF"/>
    <w:rsid w:val="00572C40"/>
    <w:rsid w:val="005730EE"/>
    <w:rsid w:val="00575597"/>
    <w:rsid w:val="00576BA0"/>
    <w:rsid w:val="00581903"/>
    <w:rsid w:val="00582DDC"/>
    <w:rsid w:val="005835DA"/>
    <w:rsid w:val="005848F0"/>
    <w:rsid w:val="00587C40"/>
    <w:rsid w:val="00591961"/>
    <w:rsid w:val="00591E27"/>
    <w:rsid w:val="00592506"/>
    <w:rsid w:val="00592D6D"/>
    <w:rsid w:val="00594BE0"/>
    <w:rsid w:val="00597CC6"/>
    <w:rsid w:val="005A2887"/>
    <w:rsid w:val="005A308A"/>
    <w:rsid w:val="005A30BF"/>
    <w:rsid w:val="005A30CD"/>
    <w:rsid w:val="005A390E"/>
    <w:rsid w:val="005A3B2C"/>
    <w:rsid w:val="005A3E06"/>
    <w:rsid w:val="005A5D83"/>
    <w:rsid w:val="005A669A"/>
    <w:rsid w:val="005A6773"/>
    <w:rsid w:val="005A7907"/>
    <w:rsid w:val="005B0D2B"/>
    <w:rsid w:val="005B120F"/>
    <w:rsid w:val="005B3578"/>
    <w:rsid w:val="005B4146"/>
    <w:rsid w:val="005B4A5D"/>
    <w:rsid w:val="005B5ACA"/>
    <w:rsid w:val="005B675F"/>
    <w:rsid w:val="005B7125"/>
    <w:rsid w:val="005C012A"/>
    <w:rsid w:val="005C12F8"/>
    <w:rsid w:val="005C25B0"/>
    <w:rsid w:val="005C44A1"/>
    <w:rsid w:val="005C63B9"/>
    <w:rsid w:val="005D3A2E"/>
    <w:rsid w:val="005D3AAC"/>
    <w:rsid w:val="005D3BFD"/>
    <w:rsid w:val="005D3F56"/>
    <w:rsid w:val="005D4E7E"/>
    <w:rsid w:val="005D59E1"/>
    <w:rsid w:val="005D5C3E"/>
    <w:rsid w:val="005D60F3"/>
    <w:rsid w:val="005D69DF"/>
    <w:rsid w:val="005D69FB"/>
    <w:rsid w:val="005D70FF"/>
    <w:rsid w:val="005E14CA"/>
    <w:rsid w:val="005E19FE"/>
    <w:rsid w:val="005E32A9"/>
    <w:rsid w:val="005E4AEA"/>
    <w:rsid w:val="005E57A2"/>
    <w:rsid w:val="005E654D"/>
    <w:rsid w:val="005E668F"/>
    <w:rsid w:val="005E6721"/>
    <w:rsid w:val="005E7394"/>
    <w:rsid w:val="005F1621"/>
    <w:rsid w:val="005F5048"/>
    <w:rsid w:val="00601C1B"/>
    <w:rsid w:val="0060244F"/>
    <w:rsid w:val="00602CC7"/>
    <w:rsid w:val="00603D33"/>
    <w:rsid w:val="00603FA8"/>
    <w:rsid w:val="00604428"/>
    <w:rsid w:val="00605B90"/>
    <w:rsid w:val="00606010"/>
    <w:rsid w:val="00606BF9"/>
    <w:rsid w:val="00606EEF"/>
    <w:rsid w:val="006110FE"/>
    <w:rsid w:val="00614DEF"/>
    <w:rsid w:val="00617005"/>
    <w:rsid w:val="00621A76"/>
    <w:rsid w:val="006226F0"/>
    <w:rsid w:val="006231D5"/>
    <w:rsid w:val="00623EEA"/>
    <w:rsid w:val="006255BF"/>
    <w:rsid w:val="00625600"/>
    <w:rsid w:val="00627E46"/>
    <w:rsid w:val="006328D9"/>
    <w:rsid w:val="00632AFF"/>
    <w:rsid w:val="00633704"/>
    <w:rsid w:val="00634343"/>
    <w:rsid w:val="00635A56"/>
    <w:rsid w:val="00636E2A"/>
    <w:rsid w:val="00637408"/>
    <w:rsid w:val="00642ED0"/>
    <w:rsid w:val="006430F2"/>
    <w:rsid w:val="0064334F"/>
    <w:rsid w:val="00643E70"/>
    <w:rsid w:val="00644852"/>
    <w:rsid w:val="00645FD2"/>
    <w:rsid w:val="0064794E"/>
    <w:rsid w:val="006507BF"/>
    <w:rsid w:val="00650F9F"/>
    <w:rsid w:val="00652BAD"/>
    <w:rsid w:val="00654AFD"/>
    <w:rsid w:val="00656EDB"/>
    <w:rsid w:val="006603BF"/>
    <w:rsid w:val="00660FBE"/>
    <w:rsid w:val="00661441"/>
    <w:rsid w:val="006640E0"/>
    <w:rsid w:val="00670341"/>
    <w:rsid w:val="00670BCB"/>
    <w:rsid w:val="00671ACF"/>
    <w:rsid w:val="00673F90"/>
    <w:rsid w:val="00674AD5"/>
    <w:rsid w:val="006752C8"/>
    <w:rsid w:val="00676007"/>
    <w:rsid w:val="006760B5"/>
    <w:rsid w:val="00676643"/>
    <w:rsid w:val="00677380"/>
    <w:rsid w:val="00680507"/>
    <w:rsid w:val="00682DBD"/>
    <w:rsid w:val="00682ECE"/>
    <w:rsid w:val="006853EF"/>
    <w:rsid w:val="00686067"/>
    <w:rsid w:val="0068719A"/>
    <w:rsid w:val="00687E5C"/>
    <w:rsid w:val="00690BB5"/>
    <w:rsid w:val="006914A8"/>
    <w:rsid w:val="00692089"/>
    <w:rsid w:val="00692C90"/>
    <w:rsid w:val="00692FFF"/>
    <w:rsid w:val="0069324F"/>
    <w:rsid w:val="00693609"/>
    <w:rsid w:val="00693D79"/>
    <w:rsid w:val="00694548"/>
    <w:rsid w:val="0069789A"/>
    <w:rsid w:val="006A04A4"/>
    <w:rsid w:val="006A161F"/>
    <w:rsid w:val="006A20B9"/>
    <w:rsid w:val="006A24E3"/>
    <w:rsid w:val="006A299F"/>
    <w:rsid w:val="006A3EC0"/>
    <w:rsid w:val="006A5FF2"/>
    <w:rsid w:val="006A64C1"/>
    <w:rsid w:val="006B025A"/>
    <w:rsid w:val="006B2C33"/>
    <w:rsid w:val="006B4043"/>
    <w:rsid w:val="006B40CD"/>
    <w:rsid w:val="006B43E8"/>
    <w:rsid w:val="006B63BF"/>
    <w:rsid w:val="006B6BBB"/>
    <w:rsid w:val="006C07CE"/>
    <w:rsid w:val="006C09CB"/>
    <w:rsid w:val="006C0B5A"/>
    <w:rsid w:val="006C1B3D"/>
    <w:rsid w:val="006C5D3F"/>
    <w:rsid w:val="006C6904"/>
    <w:rsid w:val="006C70DB"/>
    <w:rsid w:val="006C763B"/>
    <w:rsid w:val="006D0DFD"/>
    <w:rsid w:val="006D2D57"/>
    <w:rsid w:val="006D2EB8"/>
    <w:rsid w:val="006D3765"/>
    <w:rsid w:val="006D378D"/>
    <w:rsid w:val="006D3C7E"/>
    <w:rsid w:val="006D4076"/>
    <w:rsid w:val="006D5AE7"/>
    <w:rsid w:val="006D60A4"/>
    <w:rsid w:val="006D699F"/>
    <w:rsid w:val="006D6F41"/>
    <w:rsid w:val="006D7946"/>
    <w:rsid w:val="006D7A0E"/>
    <w:rsid w:val="006E21A8"/>
    <w:rsid w:val="006E3E74"/>
    <w:rsid w:val="006E6EF8"/>
    <w:rsid w:val="006E775E"/>
    <w:rsid w:val="006E7965"/>
    <w:rsid w:val="006F1001"/>
    <w:rsid w:val="006F10B6"/>
    <w:rsid w:val="006F28C3"/>
    <w:rsid w:val="006F291B"/>
    <w:rsid w:val="006F40A5"/>
    <w:rsid w:val="006F4811"/>
    <w:rsid w:val="006F48CF"/>
    <w:rsid w:val="006F5E89"/>
    <w:rsid w:val="006F668D"/>
    <w:rsid w:val="006F76C4"/>
    <w:rsid w:val="0070077D"/>
    <w:rsid w:val="007011E2"/>
    <w:rsid w:val="00702EBF"/>
    <w:rsid w:val="0070347D"/>
    <w:rsid w:val="00704095"/>
    <w:rsid w:val="00705FD3"/>
    <w:rsid w:val="007118E7"/>
    <w:rsid w:val="00712206"/>
    <w:rsid w:val="00712699"/>
    <w:rsid w:val="00713FBB"/>
    <w:rsid w:val="0071424E"/>
    <w:rsid w:val="00714992"/>
    <w:rsid w:val="00714E34"/>
    <w:rsid w:val="00715BE2"/>
    <w:rsid w:val="00717549"/>
    <w:rsid w:val="00720A48"/>
    <w:rsid w:val="007214CE"/>
    <w:rsid w:val="007228BF"/>
    <w:rsid w:val="00722914"/>
    <w:rsid w:val="00724244"/>
    <w:rsid w:val="00725336"/>
    <w:rsid w:val="0072763F"/>
    <w:rsid w:val="00730EFC"/>
    <w:rsid w:val="00732D61"/>
    <w:rsid w:val="0073490C"/>
    <w:rsid w:val="00734DD6"/>
    <w:rsid w:val="00735571"/>
    <w:rsid w:val="0073561F"/>
    <w:rsid w:val="00736AFF"/>
    <w:rsid w:val="00737970"/>
    <w:rsid w:val="007414BC"/>
    <w:rsid w:val="00741B76"/>
    <w:rsid w:val="00742FAF"/>
    <w:rsid w:val="00747661"/>
    <w:rsid w:val="00751390"/>
    <w:rsid w:val="00753BB3"/>
    <w:rsid w:val="007559FE"/>
    <w:rsid w:val="0075603E"/>
    <w:rsid w:val="00756B2F"/>
    <w:rsid w:val="0076149B"/>
    <w:rsid w:val="00762826"/>
    <w:rsid w:val="00763B25"/>
    <w:rsid w:val="00763D95"/>
    <w:rsid w:val="00764498"/>
    <w:rsid w:val="0076528D"/>
    <w:rsid w:val="00770022"/>
    <w:rsid w:val="007741C5"/>
    <w:rsid w:val="0077432F"/>
    <w:rsid w:val="00776978"/>
    <w:rsid w:val="00776C86"/>
    <w:rsid w:val="00776F8C"/>
    <w:rsid w:val="00777996"/>
    <w:rsid w:val="00777B88"/>
    <w:rsid w:val="007804DB"/>
    <w:rsid w:val="00781693"/>
    <w:rsid w:val="007818A1"/>
    <w:rsid w:val="00781F54"/>
    <w:rsid w:val="00785960"/>
    <w:rsid w:val="00785C21"/>
    <w:rsid w:val="00786113"/>
    <w:rsid w:val="00786B3A"/>
    <w:rsid w:val="00786DF2"/>
    <w:rsid w:val="00791507"/>
    <w:rsid w:val="00793003"/>
    <w:rsid w:val="007941B2"/>
    <w:rsid w:val="00794E69"/>
    <w:rsid w:val="00795A69"/>
    <w:rsid w:val="00795FB7"/>
    <w:rsid w:val="0079625E"/>
    <w:rsid w:val="007A1790"/>
    <w:rsid w:val="007A17DA"/>
    <w:rsid w:val="007A3025"/>
    <w:rsid w:val="007A4073"/>
    <w:rsid w:val="007A4E83"/>
    <w:rsid w:val="007A58CB"/>
    <w:rsid w:val="007A5B27"/>
    <w:rsid w:val="007A625F"/>
    <w:rsid w:val="007A6662"/>
    <w:rsid w:val="007A6A06"/>
    <w:rsid w:val="007B0195"/>
    <w:rsid w:val="007B047B"/>
    <w:rsid w:val="007B1F94"/>
    <w:rsid w:val="007B2AC3"/>
    <w:rsid w:val="007B2FD2"/>
    <w:rsid w:val="007B40A8"/>
    <w:rsid w:val="007B5DAF"/>
    <w:rsid w:val="007C3109"/>
    <w:rsid w:val="007C334E"/>
    <w:rsid w:val="007C3B2B"/>
    <w:rsid w:val="007C3D5D"/>
    <w:rsid w:val="007C4930"/>
    <w:rsid w:val="007C496E"/>
    <w:rsid w:val="007C4D48"/>
    <w:rsid w:val="007C574C"/>
    <w:rsid w:val="007C6079"/>
    <w:rsid w:val="007C6A8E"/>
    <w:rsid w:val="007D09AB"/>
    <w:rsid w:val="007D10E1"/>
    <w:rsid w:val="007D1BC6"/>
    <w:rsid w:val="007D2BE6"/>
    <w:rsid w:val="007D2D6B"/>
    <w:rsid w:val="007D3A05"/>
    <w:rsid w:val="007D3FED"/>
    <w:rsid w:val="007D4BA8"/>
    <w:rsid w:val="007D4F78"/>
    <w:rsid w:val="007D7AD5"/>
    <w:rsid w:val="007E0627"/>
    <w:rsid w:val="007E0D27"/>
    <w:rsid w:val="007E1108"/>
    <w:rsid w:val="007E2EDC"/>
    <w:rsid w:val="007E38BA"/>
    <w:rsid w:val="007E3CEF"/>
    <w:rsid w:val="007E4DCE"/>
    <w:rsid w:val="007E50DD"/>
    <w:rsid w:val="007E5204"/>
    <w:rsid w:val="007E54FD"/>
    <w:rsid w:val="007E6158"/>
    <w:rsid w:val="007E622A"/>
    <w:rsid w:val="007E6295"/>
    <w:rsid w:val="007E64F9"/>
    <w:rsid w:val="007F042D"/>
    <w:rsid w:val="007F1399"/>
    <w:rsid w:val="007F1DC2"/>
    <w:rsid w:val="007F2331"/>
    <w:rsid w:val="007F2C2F"/>
    <w:rsid w:val="007F2E7D"/>
    <w:rsid w:val="007F2ECE"/>
    <w:rsid w:val="007F3684"/>
    <w:rsid w:val="007F3769"/>
    <w:rsid w:val="007F3A54"/>
    <w:rsid w:val="007F4385"/>
    <w:rsid w:val="007F73E2"/>
    <w:rsid w:val="007F77DE"/>
    <w:rsid w:val="00800067"/>
    <w:rsid w:val="008006C0"/>
    <w:rsid w:val="008011A2"/>
    <w:rsid w:val="008044F5"/>
    <w:rsid w:val="008046DB"/>
    <w:rsid w:val="00804B98"/>
    <w:rsid w:val="008053E7"/>
    <w:rsid w:val="00805A37"/>
    <w:rsid w:val="00807305"/>
    <w:rsid w:val="00811263"/>
    <w:rsid w:val="00815B34"/>
    <w:rsid w:val="00816987"/>
    <w:rsid w:val="00817B0C"/>
    <w:rsid w:val="0082159A"/>
    <w:rsid w:val="00822AC6"/>
    <w:rsid w:val="00822F3B"/>
    <w:rsid w:val="00823780"/>
    <w:rsid w:val="008247A2"/>
    <w:rsid w:val="00825371"/>
    <w:rsid w:val="00825F48"/>
    <w:rsid w:val="00827DE2"/>
    <w:rsid w:val="00831F44"/>
    <w:rsid w:val="008321B4"/>
    <w:rsid w:val="00833D2A"/>
    <w:rsid w:val="00837064"/>
    <w:rsid w:val="00840A9A"/>
    <w:rsid w:val="008410FE"/>
    <w:rsid w:val="00841142"/>
    <w:rsid w:val="00841794"/>
    <w:rsid w:val="008426DD"/>
    <w:rsid w:val="00843309"/>
    <w:rsid w:val="00843394"/>
    <w:rsid w:val="00843979"/>
    <w:rsid w:val="00843C92"/>
    <w:rsid w:val="00843F54"/>
    <w:rsid w:val="00844334"/>
    <w:rsid w:val="00847DA9"/>
    <w:rsid w:val="00850383"/>
    <w:rsid w:val="00850BD9"/>
    <w:rsid w:val="00851122"/>
    <w:rsid w:val="008527F0"/>
    <w:rsid w:val="00852F80"/>
    <w:rsid w:val="0085389A"/>
    <w:rsid w:val="00855639"/>
    <w:rsid w:val="008560D3"/>
    <w:rsid w:val="00856C07"/>
    <w:rsid w:val="008574E5"/>
    <w:rsid w:val="008615A7"/>
    <w:rsid w:val="00861CFF"/>
    <w:rsid w:val="00863AA4"/>
    <w:rsid w:val="00863F13"/>
    <w:rsid w:val="00864209"/>
    <w:rsid w:val="00864227"/>
    <w:rsid w:val="00864CA9"/>
    <w:rsid w:val="00865617"/>
    <w:rsid w:val="00865DCC"/>
    <w:rsid w:val="008666AF"/>
    <w:rsid w:val="00866940"/>
    <w:rsid w:val="00866971"/>
    <w:rsid w:val="00866E0E"/>
    <w:rsid w:val="00870172"/>
    <w:rsid w:val="008701DD"/>
    <w:rsid w:val="008712B3"/>
    <w:rsid w:val="00871570"/>
    <w:rsid w:val="0087186D"/>
    <w:rsid w:val="00873914"/>
    <w:rsid w:val="0087436D"/>
    <w:rsid w:val="00875CF2"/>
    <w:rsid w:val="00876F11"/>
    <w:rsid w:val="00881AC3"/>
    <w:rsid w:val="00881B91"/>
    <w:rsid w:val="00883D1A"/>
    <w:rsid w:val="00886225"/>
    <w:rsid w:val="00886BE0"/>
    <w:rsid w:val="00887617"/>
    <w:rsid w:val="00887738"/>
    <w:rsid w:val="00890B44"/>
    <w:rsid w:val="008941C1"/>
    <w:rsid w:val="008948B0"/>
    <w:rsid w:val="00894B3F"/>
    <w:rsid w:val="0089559E"/>
    <w:rsid w:val="008977B8"/>
    <w:rsid w:val="008A13AA"/>
    <w:rsid w:val="008A16A1"/>
    <w:rsid w:val="008A3FAA"/>
    <w:rsid w:val="008B0853"/>
    <w:rsid w:val="008B1ED1"/>
    <w:rsid w:val="008B2071"/>
    <w:rsid w:val="008B2971"/>
    <w:rsid w:val="008B3583"/>
    <w:rsid w:val="008B491A"/>
    <w:rsid w:val="008B56CE"/>
    <w:rsid w:val="008B6E07"/>
    <w:rsid w:val="008B6EF5"/>
    <w:rsid w:val="008B7C19"/>
    <w:rsid w:val="008C0DB6"/>
    <w:rsid w:val="008C13B1"/>
    <w:rsid w:val="008C197B"/>
    <w:rsid w:val="008C2186"/>
    <w:rsid w:val="008C275F"/>
    <w:rsid w:val="008C35B0"/>
    <w:rsid w:val="008C4E45"/>
    <w:rsid w:val="008C5862"/>
    <w:rsid w:val="008C6350"/>
    <w:rsid w:val="008D0D73"/>
    <w:rsid w:val="008D0DBA"/>
    <w:rsid w:val="008D1045"/>
    <w:rsid w:val="008D28BA"/>
    <w:rsid w:val="008D2D7B"/>
    <w:rsid w:val="008D7564"/>
    <w:rsid w:val="008D7654"/>
    <w:rsid w:val="008D7B09"/>
    <w:rsid w:val="008D7DDC"/>
    <w:rsid w:val="008D7E2E"/>
    <w:rsid w:val="008E03AB"/>
    <w:rsid w:val="008E0490"/>
    <w:rsid w:val="008E09B0"/>
    <w:rsid w:val="008E0E75"/>
    <w:rsid w:val="008E19F7"/>
    <w:rsid w:val="008E2679"/>
    <w:rsid w:val="008E2FAF"/>
    <w:rsid w:val="008E316F"/>
    <w:rsid w:val="008E56BA"/>
    <w:rsid w:val="008E7152"/>
    <w:rsid w:val="008E71C1"/>
    <w:rsid w:val="008F0DAE"/>
    <w:rsid w:val="008F3B34"/>
    <w:rsid w:val="008F4527"/>
    <w:rsid w:val="008F63E3"/>
    <w:rsid w:val="008F7443"/>
    <w:rsid w:val="00900479"/>
    <w:rsid w:val="009024DC"/>
    <w:rsid w:val="009043BC"/>
    <w:rsid w:val="009045A7"/>
    <w:rsid w:val="00904880"/>
    <w:rsid w:val="00907182"/>
    <w:rsid w:val="00907304"/>
    <w:rsid w:val="009108A5"/>
    <w:rsid w:val="00910A2A"/>
    <w:rsid w:val="009115E2"/>
    <w:rsid w:val="00911BDB"/>
    <w:rsid w:val="009128CE"/>
    <w:rsid w:val="00913B14"/>
    <w:rsid w:val="00916D86"/>
    <w:rsid w:val="0092000E"/>
    <w:rsid w:val="00920B78"/>
    <w:rsid w:val="009237CE"/>
    <w:rsid w:val="00923B41"/>
    <w:rsid w:val="00923C4B"/>
    <w:rsid w:val="0092409B"/>
    <w:rsid w:val="009244A8"/>
    <w:rsid w:val="009245B3"/>
    <w:rsid w:val="009278C1"/>
    <w:rsid w:val="009314E2"/>
    <w:rsid w:val="009359D4"/>
    <w:rsid w:val="00941CD6"/>
    <w:rsid w:val="0094216B"/>
    <w:rsid w:val="00943069"/>
    <w:rsid w:val="009432DB"/>
    <w:rsid w:val="00946BB5"/>
    <w:rsid w:val="00947257"/>
    <w:rsid w:val="0095063E"/>
    <w:rsid w:val="009512D2"/>
    <w:rsid w:val="009517C6"/>
    <w:rsid w:val="00953113"/>
    <w:rsid w:val="009535D9"/>
    <w:rsid w:val="00954EF7"/>
    <w:rsid w:val="0095513D"/>
    <w:rsid w:val="00955B64"/>
    <w:rsid w:val="00955F4E"/>
    <w:rsid w:val="00956FA5"/>
    <w:rsid w:val="009571A2"/>
    <w:rsid w:val="00957402"/>
    <w:rsid w:val="00957915"/>
    <w:rsid w:val="00960676"/>
    <w:rsid w:val="00961F12"/>
    <w:rsid w:val="00962D4E"/>
    <w:rsid w:val="0096319F"/>
    <w:rsid w:val="00963CD9"/>
    <w:rsid w:val="00964729"/>
    <w:rsid w:val="00965290"/>
    <w:rsid w:val="00965294"/>
    <w:rsid w:val="0096573F"/>
    <w:rsid w:val="00965D75"/>
    <w:rsid w:val="00965F6E"/>
    <w:rsid w:val="009661E1"/>
    <w:rsid w:val="009668D2"/>
    <w:rsid w:val="00966946"/>
    <w:rsid w:val="00966B25"/>
    <w:rsid w:val="0097081F"/>
    <w:rsid w:val="009721BF"/>
    <w:rsid w:val="009725E3"/>
    <w:rsid w:val="00973EE9"/>
    <w:rsid w:val="00974980"/>
    <w:rsid w:val="00974AD9"/>
    <w:rsid w:val="009759FF"/>
    <w:rsid w:val="00976706"/>
    <w:rsid w:val="00983004"/>
    <w:rsid w:val="0098397D"/>
    <w:rsid w:val="00983EE0"/>
    <w:rsid w:val="009900D5"/>
    <w:rsid w:val="00991926"/>
    <w:rsid w:val="00992595"/>
    <w:rsid w:val="00992CC4"/>
    <w:rsid w:val="00992F20"/>
    <w:rsid w:val="00993F86"/>
    <w:rsid w:val="009952F5"/>
    <w:rsid w:val="00995947"/>
    <w:rsid w:val="00995952"/>
    <w:rsid w:val="0099628D"/>
    <w:rsid w:val="009A1A1D"/>
    <w:rsid w:val="009A1ADE"/>
    <w:rsid w:val="009A2747"/>
    <w:rsid w:val="009A341C"/>
    <w:rsid w:val="009A4ABF"/>
    <w:rsid w:val="009A4FE9"/>
    <w:rsid w:val="009B0A90"/>
    <w:rsid w:val="009B1A90"/>
    <w:rsid w:val="009B1AC2"/>
    <w:rsid w:val="009B2C48"/>
    <w:rsid w:val="009B3728"/>
    <w:rsid w:val="009B573F"/>
    <w:rsid w:val="009B6F45"/>
    <w:rsid w:val="009C01AD"/>
    <w:rsid w:val="009C275F"/>
    <w:rsid w:val="009C29F1"/>
    <w:rsid w:val="009C6704"/>
    <w:rsid w:val="009C67DC"/>
    <w:rsid w:val="009C681A"/>
    <w:rsid w:val="009C7ADB"/>
    <w:rsid w:val="009C7B2F"/>
    <w:rsid w:val="009C7CB5"/>
    <w:rsid w:val="009C7F1F"/>
    <w:rsid w:val="009D0161"/>
    <w:rsid w:val="009D0ED8"/>
    <w:rsid w:val="009D15C7"/>
    <w:rsid w:val="009D2E2F"/>
    <w:rsid w:val="009D36FA"/>
    <w:rsid w:val="009D4F4B"/>
    <w:rsid w:val="009D5B22"/>
    <w:rsid w:val="009D6A5F"/>
    <w:rsid w:val="009D6FBC"/>
    <w:rsid w:val="009E0341"/>
    <w:rsid w:val="009E24F4"/>
    <w:rsid w:val="009E25CC"/>
    <w:rsid w:val="009E2A53"/>
    <w:rsid w:val="009E2E53"/>
    <w:rsid w:val="009E3C77"/>
    <w:rsid w:val="009E431F"/>
    <w:rsid w:val="009E4371"/>
    <w:rsid w:val="009F1D7F"/>
    <w:rsid w:val="009F298D"/>
    <w:rsid w:val="009F2C89"/>
    <w:rsid w:val="009F3AF9"/>
    <w:rsid w:val="009F40B3"/>
    <w:rsid w:val="009F463B"/>
    <w:rsid w:val="009F4C9B"/>
    <w:rsid w:val="009F5647"/>
    <w:rsid w:val="009F59F5"/>
    <w:rsid w:val="009F6940"/>
    <w:rsid w:val="00A00621"/>
    <w:rsid w:val="00A00C78"/>
    <w:rsid w:val="00A02634"/>
    <w:rsid w:val="00A02E8C"/>
    <w:rsid w:val="00A03A71"/>
    <w:rsid w:val="00A03BA9"/>
    <w:rsid w:val="00A04463"/>
    <w:rsid w:val="00A04803"/>
    <w:rsid w:val="00A04DA5"/>
    <w:rsid w:val="00A0565A"/>
    <w:rsid w:val="00A06523"/>
    <w:rsid w:val="00A06863"/>
    <w:rsid w:val="00A06BC6"/>
    <w:rsid w:val="00A0749E"/>
    <w:rsid w:val="00A108BC"/>
    <w:rsid w:val="00A10986"/>
    <w:rsid w:val="00A1119E"/>
    <w:rsid w:val="00A12604"/>
    <w:rsid w:val="00A12EDB"/>
    <w:rsid w:val="00A13E56"/>
    <w:rsid w:val="00A13F3D"/>
    <w:rsid w:val="00A21C0E"/>
    <w:rsid w:val="00A22B6C"/>
    <w:rsid w:val="00A2490C"/>
    <w:rsid w:val="00A25328"/>
    <w:rsid w:val="00A256DF"/>
    <w:rsid w:val="00A25D65"/>
    <w:rsid w:val="00A30010"/>
    <w:rsid w:val="00A3028B"/>
    <w:rsid w:val="00A30EFA"/>
    <w:rsid w:val="00A3432C"/>
    <w:rsid w:val="00A34C1D"/>
    <w:rsid w:val="00A360A9"/>
    <w:rsid w:val="00A3617B"/>
    <w:rsid w:val="00A3649A"/>
    <w:rsid w:val="00A37035"/>
    <w:rsid w:val="00A37082"/>
    <w:rsid w:val="00A3785F"/>
    <w:rsid w:val="00A415A7"/>
    <w:rsid w:val="00A41A6E"/>
    <w:rsid w:val="00A41B27"/>
    <w:rsid w:val="00A41E2B"/>
    <w:rsid w:val="00A43185"/>
    <w:rsid w:val="00A43ABA"/>
    <w:rsid w:val="00A446BD"/>
    <w:rsid w:val="00A4497A"/>
    <w:rsid w:val="00A44E00"/>
    <w:rsid w:val="00A479A2"/>
    <w:rsid w:val="00A47A19"/>
    <w:rsid w:val="00A523B1"/>
    <w:rsid w:val="00A542BA"/>
    <w:rsid w:val="00A54321"/>
    <w:rsid w:val="00A55FE4"/>
    <w:rsid w:val="00A604DD"/>
    <w:rsid w:val="00A607D0"/>
    <w:rsid w:val="00A622A2"/>
    <w:rsid w:val="00A636FA"/>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6F3"/>
    <w:rsid w:val="00A8374C"/>
    <w:rsid w:val="00A8397D"/>
    <w:rsid w:val="00A85C23"/>
    <w:rsid w:val="00A86E5B"/>
    <w:rsid w:val="00A87A19"/>
    <w:rsid w:val="00A92564"/>
    <w:rsid w:val="00A93DB3"/>
    <w:rsid w:val="00A946CB"/>
    <w:rsid w:val="00A94E5E"/>
    <w:rsid w:val="00A95C1F"/>
    <w:rsid w:val="00A964B5"/>
    <w:rsid w:val="00A96A83"/>
    <w:rsid w:val="00A978BB"/>
    <w:rsid w:val="00AA0678"/>
    <w:rsid w:val="00AA0779"/>
    <w:rsid w:val="00AA10B1"/>
    <w:rsid w:val="00AA146A"/>
    <w:rsid w:val="00AA2E6E"/>
    <w:rsid w:val="00AA61AB"/>
    <w:rsid w:val="00AA67FC"/>
    <w:rsid w:val="00AA6D6C"/>
    <w:rsid w:val="00AB006A"/>
    <w:rsid w:val="00AB159B"/>
    <w:rsid w:val="00AB1A83"/>
    <w:rsid w:val="00AB4595"/>
    <w:rsid w:val="00AB593B"/>
    <w:rsid w:val="00AB60A2"/>
    <w:rsid w:val="00AB66FC"/>
    <w:rsid w:val="00AB720D"/>
    <w:rsid w:val="00AC23BC"/>
    <w:rsid w:val="00AC3037"/>
    <w:rsid w:val="00AC334A"/>
    <w:rsid w:val="00AC446A"/>
    <w:rsid w:val="00AC4927"/>
    <w:rsid w:val="00AC4FF9"/>
    <w:rsid w:val="00AC662B"/>
    <w:rsid w:val="00AC7187"/>
    <w:rsid w:val="00AD06F0"/>
    <w:rsid w:val="00AD1BCC"/>
    <w:rsid w:val="00AD2FF1"/>
    <w:rsid w:val="00AD59CE"/>
    <w:rsid w:val="00AD60DC"/>
    <w:rsid w:val="00AD7E74"/>
    <w:rsid w:val="00AE1010"/>
    <w:rsid w:val="00AE14C9"/>
    <w:rsid w:val="00AE1983"/>
    <w:rsid w:val="00AE4651"/>
    <w:rsid w:val="00AE4E3E"/>
    <w:rsid w:val="00AE75EE"/>
    <w:rsid w:val="00AF00FC"/>
    <w:rsid w:val="00AF01B9"/>
    <w:rsid w:val="00AF0E1F"/>
    <w:rsid w:val="00AF1436"/>
    <w:rsid w:val="00AF17DE"/>
    <w:rsid w:val="00AF1DCB"/>
    <w:rsid w:val="00AF4981"/>
    <w:rsid w:val="00AF55E2"/>
    <w:rsid w:val="00AF6E66"/>
    <w:rsid w:val="00AF7A9C"/>
    <w:rsid w:val="00AF7D78"/>
    <w:rsid w:val="00B00326"/>
    <w:rsid w:val="00B0209B"/>
    <w:rsid w:val="00B06525"/>
    <w:rsid w:val="00B12F14"/>
    <w:rsid w:val="00B138FB"/>
    <w:rsid w:val="00B14869"/>
    <w:rsid w:val="00B175D0"/>
    <w:rsid w:val="00B20BB0"/>
    <w:rsid w:val="00B214B9"/>
    <w:rsid w:val="00B21C6C"/>
    <w:rsid w:val="00B2430D"/>
    <w:rsid w:val="00B26243"/>
    <w:rsid w:val="00B26360"/>
    <w:rsid w:val="00B31346"/>
    <w:rsid w:val="00B31CC6"/>
    <w:rsid w:val="00B339C5"/>
    <w:rsid w:val="00B357B6"/>
    <w:rsid w:val="00B35945"/>
    <w:rsid w:val="00B361F6"/>
    <w:rsid w:val="00B36511"/>
    <w:rsid w:val="00B36B67"/>
    <w:rsid w:val="00B3757A"/>
    <w:rsid w:val="00B378AE"/>
    <w:rsid w:val="00B4095C"/>
    <w:rsid w:val="00B40FF2"/>
    <w:rsid w:val="00B4244D"/>
    <w:rsid w:val="00B42C85"/>
    <w:rsid w:val="00B44894"/>
    <w:rsid w:val="00B44C6E"/>
    <w:rsid w:val="00B4558D"/>
    <w:rsid w:val="00B45D8C"/>
    <w:rsid w:val="00B46D1D"/>
    <w:rsid w:val="00B46F72"/>
    <w:rsid w:val="00B47EB9"/>
    <w:rsid w:val="00B53939"/>
    <w:rsid w:val="00B552BF"/>
    <w:rsid w:val="00B6129E"/>
    <w:rsid w:val="00B61FDE"/>
    <w:rsid w:val="00B622D4"/>
    <w:rsid w:val="00B64173"/>
    <w:rsid w:val="00B65699"/>
    <w:rsid w:val="00B66CB8"/>
    <w:rsid w:val="00B670FD"/>
    <w:rsid w:val="00B70239"/>
    <w:rsid w:val="00B71C5E"/>
    <w:rsid w:val="00B72321"/>
    <w:rsid w:val="00B768F4"/>
    <w:rsid w:val="00B77DA3"/>
    <w:rsid w:val="00B8067B"/>
    <w:rsid w:val="00B818C8"/>
    <w:rsid w:val="00B826AB"/>
    <w:rsid w:val="00B827D5"/>
    <w:rsid w:val="00B82F20"/>
    <w:rsid w:val="00B831FB"/>
    <w:rsid w:val="00B86FC7"/>
    <w:rsid w:val="00B9053E"/>
    <w:rsid w:val="00B90B10"/>
    <w:rsid w:val="00B90C77"/>
    <w:rsid w:val="00B91A2A"/>
    <w:rsid w:val="00B91F4B"/>
    <w:rsid w:val="00B92961"/>
    <w:rsid w:val="00B932EE"/>
    <w:rsid w:val="00B9403B"/>
    <w:rsid w:val="00B9493B"/>
    <w:rsid w:val="00B95F3B"/>
    <w:rsid w:val="00B96A21"/>
    <w:rsid w:val="00BA05F0"/>
    <w:rsid w:val="00BA066B"/>
    <w:rsid w:val="00BA2349"/>
    <w:rsid w:val="00BA2AC1"/>
    <w:rsid w:val="00BA3096"/>
    <w:rsid w:val="00BA5C2B"/>
    <w:rsid w:val="00BA6228"/>
    <w:rsid w:val="00BA6404"/>
    <w:rsid w:val="00BA689D"/>
    <w:rsid w:val="00BA73E1"/>
    <w:rsid w:val="00BA7B42"/>
    <w:rsid w:val="00BB2E7F"/>
    <w:rsid w:val="00BB3B95"/>
    <w:rsid w:val="00BB4A4F"/>
    <w:rsid w:val="00BB5898"/>
    <w:rsid w:val="00BB6F3D"/>
    <w:rsid w:val="00BB79F6"/>
    <w:rsid w:val="00BC1A51"/>
    <w:rsid w:val="00BC1AFB"/>
    <w:rsid w:val="00BC3928"/>
    <w:rsid w:val="00BC3999"/>
    <w:rsid w:val="00BC51B5"/>
    <w:rsid w:val="00BC57D0"/>
    <w:rsid w:val="00BC67F8"/>
    <w:rsid w:val="00BC6A12"/>
    <w:rsid w:val="00BD0DF4"/>
    <w:rsid w:val="00BD17FD"/>
    <w:rsid w:val="00BD2731"/>
    <w:rsid w:val="00BD45B8"/>
    <w:rsid w:val="00BD48FE"/>
    <w:rsid w:val="00BD5A1C"/>
    <w:rsid w:val="00BD66C9"/>
    <w:rsid w:val="00BD67B7"/>
    <w:rsid w:val="00BD7C26"/>
    <w:rsid w:val="00BD7C79"/>
    <w:rsid w:val="00BE06AE"/>
    <w:rsid w:val="00BE1C4F"/>
    <w:rsid w:val="00BE2D8D"/>
    <w:rsid w:val="00BE3F4F"/>
    <w:rsid w:val="00BE4F6D"/>
    <w:rsid w:val="00BE5382"/>
    <w:rsid w:val="00BE53BF"/>
    <w:rsid w:val="00BE669C"/>
    <w:rsid w:val="00BE6CD1"/>
    <w:rsid w:val="00BE73A3"/>
    <w:rsid w:val="00BE7A48"/>
    <w:rsid w:val="00BE7D8E"/>
    <w:rsid w:val="00BF1E0E"/>
    <w:rsid w:val="00BF1F72"/>
    <w:rsid w:val="00BF2182"/>
    <w:rsid w:val="00BF2211"/>
    <w:rsid w:val="00BF2BD0"/>
    <w:rsid w:val="00BF3029"/>
    <w:rsid w:val="00BF6FD3"/>
    <w:rsid w:val="00BF730F"/>
    <w:rsid w:val="00BF785A"/>
    <w:rsid w:val="00BF7C60"/>
    <w:rsid w:val="00BF7CEF"/>
    <w:rsid w:val="00C00FF4"/>
    <w:rsid w:val="00C02C6A"/>
    <w:rsid w:val="00C030F5"/>
    <w:rsid w:val="00C04129"/>
    <w:rsid w:val="00C0434F"/>
    <w:rsid w:val="00C04CFE"/>
    <w:rsid w:val="00C05B21"/>
    <w:rsid w:val="00C077BA"/>
    <w:rsid w:val="00C11F54"/>
    <w:rsid w:val="00C1486F"/>
    <w:rsid w:val="00C1550E"/>
    <w:rsid w:val="00C166FA"/>
    <w:rsid w:val="00C20CA8"/>
    <w:rsid w:val="00C212BD"/>
    <w:rsid w:val="00C22714"/>
    <w:rsid w:val="00C22E08"/>
    <w:rsid w:val="00C233EC"/>
    <w:rsid w:val="00C234D0"/>
    <w:rsid w:val="00C23E23"/>
    <w:rsid w:val="00C242AA"/>
    <w:rsid w:val="00C242C1"/>
    <w:rsid w:val="00C268B1"/>
    <w:rsid w:val="00C26CF1"/>
    <w:rsid w:val="00C26FDA"/>
    <w:rsid w:val="00C270CE"/>
    <w:rsid w:val="00C30A18"/>
    <w:rsid w:val="00C30F51"/>
    <w:rsid w:val="00C3131A"/>
    <w:rsid w:val="00C32535"/>
    <w:rsid w:val="00C33218"/>
    <w:rsid w:val="00C34C06"/>
    <w:rsid w:val="00C35095"/>
    <w:rsid w:val="00C36ED0"/>
    <w:rsid w:val="00C40410"/>
    <w:rsid w:val="00C40DAC"/>
    <w:rsid w:val="00C410D6"/>
    <w:rsid w:val="00C42D05"/>
    <w:rsid w:val="00C43144"/>
    <w:rsid w:val="00C44361"/>
    <w:rsid w:val="00C45728"/>
    <w:rsid w:val="00C46C9C"/>
    <w:rsid w:val="00C46E66"/>
    <w:rsid w:val="00C52761"/>
    <w:rsid w:val="00C534F3"/>
    <w:rsid w:val="00C5421F"/>
    <w:rsid w:val="00C542C3"/>
    <w:rsid w:val="00C54C36"/>
    <w:rsid w:val="00C55504"/>
    <w:rsid w:val="00C55B26"/>
    <w:rsid w:val="00C573C0"/>
    <w:rsid w:val="00C612BD"/>
    <w:rsid w:val="00C6138C"/>
    <w:rsid w:val="00C617CC"/>
    <w:rsid w:val="00C651C4"/>
    <w:rsid w:val="00C65BB5"/>
    <w:rsid w:val="00C700A6"/>
    <w:rsid w:val="00C705F6"/>
    <w:rsid w:val="00C70755"/>
    <w:rsid w:val="00C736D8"/>
    <w:rsid w:val="00C73D1C"/>
    <w:rsid w:val="00C73F1D"/>
    <w:rsid w:val="00C73F3E"/>
    <w:rsid w:val="00C73F6B"/>
    <w:rsid w:val="00C756A8"/>
    <w:rsid w:val="00C75F7A"/>
    <w:rsid w:val="00C76B57"/>
    <w:rsid w:val="00C77A71"/>
    <w:rsid w:val="00C801A3"/>
    <w:rsid w:val="00C803AE"/>
    <w:rsid w:val="00C81B5F"/>
    <w:rsid w:val="00C81BBC"/>
    <w:rsid w:val="00C81C2D"/>
    <w:rsid w:val="00C8235E"/>
    <w:rsid w:val="00C831E0"/>
    <w:rsid w:val="00C83253"/>
    <w:rsid w:val="00C832DA"/>
    <w:rsid w:val="00C83354"/>
    <w:rsid w:val="00C834DD"/>
    <w:rsid w:val="00C84BF0"/>
    <w:rsid w:val="00C8764F"/>
    <w:rsid w:val="00C90279"/>
    <w:rsid w:val="00C9143F"/>
    <w:rsid w:val="00C9216B"/>
    <w:rsid w:val="00C943A3"/>
    <w:rsid w:val="00C946DD"/>
    <w:rsid w:val="00C97693"/>
    <w:rsid w:val="00CA00B2"/>
    <w:rsid w:val="00CA199C"/>
    <w:rsid w:val="00CA41D3"/>
    <w:rsid w:val="00CA544E"/>
    <w:rsid w:val="00CA7017"/>
    <w:rsid w:val="00CA7119"/>
    <w:rsid w:val="00CA7665"/>
    <w:rsid w:val="00CB05E9"/>
    <w:rsid w:val="00CB1642"/>
    <w:rsid w:val="00CB22F4"/>
    <w:rsid w:val="00CB3078"/>
    <w:rsid w:val="00CB3480"/>
    <w:rsid w:val="00CB406C"/>
    <w:rsid w:val="00CB4483"/>
    <w:rsid w:val="00CB4F5B"/>
    <w:rsid w:val="00CB5548"/>
    <w:rsid w:val="00CB6F6A"/>
    <w:rsid w:val="00CC17A0"/>
    <w:rsid w:val="00CC26CF"/>
    <w:rsid w:val="00CC346E"/>
    <w:rsid w:val="00CC3E3C"/>
    <w:rsid w:val="00CC4111"/>
    <w:rsid w:val="00CC46BE"/>
    <w:rsid w:val="00CD034C"/>
    <w:rsid w:val="00CD0A38"/>
    <w:rsid w:val="00CD2938"/>
    <w:rsid w:val="00CD2FCF"/>
    <w:rsid w:val="00CD3DF4"/>
    <w:rsid w:val="00CD514C"/>
    <w:rsid w:val="00CD5E94"/>
    <w:rsid w:val="00CD73D8"/>
    <w:rsid w:val="00CE00A0"/>
    <w:rsid w:val="00CE0F86"/>
    <w:rsid w:val="00CE146D"/>
    <w:rsid w:val="00CE16BB"/>
    <w:rsid w:val="00CE1CDE"/>
    <w:rsid w:val="00CE1FC1"/>
    <w:rsid w:val="00CE23D3"/>
    <w:rsid w:val="00CE33D2"/>
    <w:rsid w:val="00CE36A6"/>
    <w:rsid w:val="00CE3D7A"/>
    <w:rsid w:val="00CE3FC6"/>
    <w:rsid w:val="00CE4A76"/>
    <w:rsid w:val="00CE5258"/>
    <w:rsid w:val="00CE69F6"/>
    <w:rsid w:val="00CE6DFC"/>
    <w:rsid w:val="00CE70E0"/>
    <w:rsid w:val="00CE7562"/>
    <w:rsid w:val="00CF1A06"/>
    <w:rsid w:val="00CF446B"/>
    <w:rsid w:val="00CF46EF"/>
    <w:rsid w:val="00CF4770"/>
    <w:rsid w:val="00CF4B40"/>
    <w:rsid w:val="00CF5DB4"/>
    <w:rsid w:val="00CF7719"/>
    <w:rsid w:val="00D007BA"/>
    <w:rsid w:val="00D00B0C"/>
    <w:rsid w:val="00D0110A"/>
    <w:rsid w:val="00D014CD"/>
    <w:rsid w:val="00D014F4"/>
    <w:rsid w:val="00D03D55"/>
    <w:rsid w:val="00D04E03"/>
    <w:rsid w:val="00D07191"/>
    <w:rsid w:val="00D07D07"/>
    <w:rsid w:val="00D10AE4"/>
    <w:rsid w:val="00D11180"/>
    <w:rsid w:val="00D114A6"/>
    <w:rsid w:val="00D164F4"/>
    <w:rsid w:val="00D17558"/>
    <w:rsid w:val="00D20F0F"/>
    <w:rsid w:val="00D22CA2"/>
    <w:rsid w:val="00D24632"/>
    <w:rsid w:val="00D2488C"/>
    <w:rsid w:val="00D254E7"/>
    <w:rsid w:val="00D27304"/>
    <w:rsid w:val="00D30B17"/>
    <w:rsid w:val="00D3105C"/>
    <w:rsid w:val="00D316CD"/>
    <w:rsid w:val="00D3339C"/>
    <w:rsid w:val="00D33DA9"/>
    <w:rsid w:val="00D35351"/>
    <w:rsid w:val="00D35A00"/>
    <w:rsid w:val="00D36941"/>
    <w:rsid w:val="00D40E08"/>
    <w:rsid w:val="00D41CCE"/>
    <w:rsid w:val="00D450DF"/>
    <w:rsid w:val="00D45A85"/>
    <w:rsid w:val="00D461AA"/>
    <w:rsid w:val="00D4769C"/>
    <w:rsid w:val="00D503D4"/>
    <w:rsid w:val="00D5084F"/>
    <w:rsid w:val="00D508B9"/>
    <w:rsid w:val="00D50FD0"/>
    <w:rsid w:val="00D51A75"/>
    <w:rsid w:val="00D51CEB"/>
    <w:rsid w:val="00D52309"/>
    <w:rsid w:val="00D54684"/>
    <w:rsid w:val="00D551C2"/>
    <w:rsid w:val="00D55C45"/>
    <w:rsid w:val="00D56C59"/>
    <w:rsid w:val="00D5775F"/>
    <w:rsid w:val="00D60858"/>
    <w:rsid w:val="00D60944"/>
    <w:rsid w:val="00D61725"/>
    <w:rsid w:val="00D62CF4"/>
    <w:rsid w:val="00D62D18"/>
    <w:rsid w:val="00D63891"/>
    <w:rsid w:val="00D63B9F"/>
    <w:rsid w:val="00D645F1"/>
    <w:rsid w:val="00D64C88"/>
    <w:rsid w:val="00D66FFE"/>
    <w:rsid w:val="00D7296B"/>
    <w:rsid w:val="00D732AB"/>
    <w:rsid w:val="00D73AE0"/>
    <w:rsid w:val="00D745F0"/>
    <w:rsid w:val="00D747C6"/>
    <w:rsid w:val="00D74D2F"/>
    <w:rsid w:val="00D74F8D"/>
    <w:rsid w:val="00D755E3"/>
    <w:rsid w:val="00D7675F"/>
    <w:rsid w:val="00D76FDC"/>
    <w:rsid w:val="00D80487"/>
    <w:rsid w:val="00D81240"/>
    <w:rsid w:val="00D839DF"/>
    <w:rsid w:val="00D83B47"/>
    <w:rsid w:val="00D8498F"/>
    <w:rsid w:val="00D85DB7"/>
    <w:rsid w:val="00D90DFF"/>
    <w:rsid w:val="00D9187F"/>
    <w:rsid w:val="00D925C6"/>
    <w:rsid w:val="00D932E4"/>
    <w:rsid w:val="00D93F41"/>
    <w:rsid w:val="00D94840"/>
    <w:rsid w:val="00D94A69"/>
    <w:rsid w:val="00D961D4"/>
    <w:rsid w:val="00D96C9A"/>
    <w:rsid w:val="00D96FB3"/>
    <w:rsid w:val="00DA1D19"/>
    <w:rsid w:val="00DA1EA3"/>
    <w:rsid w:val="00DA2998"/>
    <w:rsid w:val="00DA2A31"/>
    <w:rsid w:val="00DA3F8D"/>
    <w:rsid w:val="00DA4312"/>
    <w:rsid w:val="00DA5BAA"/>
    <w:rsid w:val="00DA629A"/>
    <w:rsid w:val="00DA6D81"/>
    <w:rsid w:val="00DA749B"/>
    <w:rsid w:val="00DB03C6"/>
    <w:rsid w:val="00DB0CAD"/>
    <w:rsid w:val="00DB1E9A"/>
    <w:rsid w:val="00DB38A4"/>
    <w:rsid w:val="00DB57EB"/>
    <w:rsid w:val="00DB7CD0"/>
    <w:rsid w:val="00DC07BF"/>
    <w:rsid w:val="00DC184E"/>
    <w:rsid w:val="00DC1D6F"/>
    <w:rsid w:val="00DC243F"/>
    <w:rsid w:val="00DC4134"/>
    <w:rsid w:val="00DC4A5B"/>
    <w:rsid w:val="00DC5914"/>
    <w:rsid w:val="00DC7241"/>
    <w:rsid w:val="00DC74DE"/>
    <w:rsid w:val="00DD041B"/>
    <w:rsid w:val="00DD3461"/>
    <w:rsid w:val="00DD5105"/>
    <w:rsid w:val="00DD55CC"/>
    <w:rsid w:val="00DD6FD5"/>
    <w:rsid w:val="00DD7234"/>
    <w:rsid w:val="00DD7B13"/>
    <w:rsid w:val="00DD7DBE"/>
    <w:rsid w:val="00DD7ECA"/>
    <w:rsid w:val="00DE1E2A"/>
    <w:rsid w:val="00DE34F8"/>
    <w:rsid w:val="00DE38B9"/>
    <w:rsid w:val="00DE4A00"/>
    <w:rsid w:val="00DE52AF"/>
    <w:rsid w:val="00DE639A"/>
    <w:rsid w:val="00DF0A6D"/>
    <w:rsid w:val="00DF31EB"/>
    <w:rsid w:val="00DF3ACF"/>
    <w:rsid w:val="00DF47E6"/>
    <w:rsid w:val="00DF51B5"/>
    <w:rsid w:val="00DF5756"/>
    <w:rsid w:val="00DF5B8F"/>
    <w:rsid w:val="00DF66D6"/>
    <w:rsid w:val="00DF72CF"/>
    <w:rsid w:val="00E00A37"/>
    <w:rsid w:val="00E023E1"/>
    <w:rsid w:val="00E04773"/>
    <w:rsid w:val="00E05011"/>
    <w:rsid w:val="00E0579C"/>
    <w:rsid w:val="00E05B77"/>
    <w:rsid w:val="00E078F5"/>
    <w:rsid w:val="00E10820"/>
    <w:rsid w:val="00E11208"/>
    <w:rsid w:val="00E11B37"/>
    <w:rsid w:val="00E11EB2"/>
    <w:rsid w:val="00E13714"/>
    <w:rsid w:val="00E137A9"/>
    <w:rsid w:val="00E13B0B"/>
    <w:rsid w:val="00E13E6A"/>
    <w:rsid w:val="00E201D2"/>
    <w:rsid w:val="00E214B7"/>
    <w:rsid w:val="00E22A15"/>
    <w:rsid w:val="00E23241"/>
    <w:rsid w:val="00E238D7"/>
    <w:rsid w:val="00E23E9F"/>
    <w:rsid w:val="00E24784"/>
    <w:rsid w:val="00E24BC8"/>
    <w:rsid w:val="00E26219"/>
    <w:rsid w:val="00E3102A"/>
    <w:rsid w:val="00E31A6C"/>
    <w:rsid w:val="00E325FE"/>
    <w:rsid w:val="00E34577"/>
    <w:rsid w:val="00E351DA"/>
    <w:rsid w:val="00E37913"/>
    <w:rsid w:val="00E41013"/>
    <w:rsid w:val="00E41B3B"/>
    <w:rsid w:val="00E4243A"/>
    <w:rsid w:val="00E426A1"/>
    <w:rsid w:val="00E42BCE"/>
    <w:rsid w:val="00E45931"/>
    <w:rsid w:val="00E45FD0"/>
    <w:rsid w:val="00E479BC"/>
    <w:rsid w:val="00E50A72"/>
    <w:rsid w:val="00E53343"/>
    <w:rsid w:val="00E557CA"/>
    <w:rsid w:val="00E55E18"/>
    <w:rsid w:val="00E55F11"/>
    <w:rsid w:val="00E5623A"/>
    <w:rsid w:val="00E56521"/>
    <w:rsid w:val="00E57093"/>
    <w:rsid w:val="00E61855"/>
    <w:rsid w:val="00E639DE"/>
    <w:rsid w:val="00E64E17"/>
    <w:rsid w:val="00E65148"/>
    <w:rsid w:val="00E6653A"/>
    <w:rsid w:val="00E6694F"/>
    <w:rsid w:val="00E70105"/>
    <w:rsid w:val="00E71382"/>
    <w:rsid w:val="00E72E65"/>
    <w:rsid w:val="00E73E3B"/>
    <w:rsid w:val="00E75026"/>
    <w:rsid w:val="00E75998"/>
    <w:rsid w:val="00E75F98"/>
    <w:rsid w:val="00E7628E"/>
    <w:rsid w:val="00E76D4E"/>
    <w:rsid w:val="00E77457"/>
    <w:rsid w:val="00E776CA"/>
    <w:rsid w:val="00E814EB"/>
    <w:rsid w:val="00E81DFD"/>
    <w:rsid w:val="00E8272F"/>
    <w:rsid w:val="00E842E9"/>
    <w:rsid w:val="00E84387"/>
    <w:rsid w:val="00E856B5"/>
    <w:rsid w:val="00E85CE3"/>
    <w:rsid w:val="00E86D27"/>
    <w:rsid w:val="00E86D98"/>
    <w:rsid w:val="00E8766A"/>
    <w:rsid w:val="00E90C30"/>
    <w:rsid w:val="00E92F15"/>
    <w:rsid w:val="00E93CEB"/>
    <w:rsid w:val="00E93E6B"/>
    <w:rsid w:val="00E95C9C"/>
    <w:rsid w:val="00E9604D"/>
    <w:rsid w:val="00E97405"/>
    <w:rsid w:val="00E9755F"/>
    <w:rsid w:val="00E9797B"/>
    <w:rsid w:val="00E97D89"/>
    <w:rsid w:val="00E97F02"/>
    <w:rsid w:val="00EA2317"/>
    <w:rsid w:val="00EA2FCE"/>
    <w:rsid w:val="00EA366D"/>
    <w:rsid w:val="00EA37AB"/>
    <w:rsid w:val="00EA3BED"/>
    <w:rsid w:val="00EA3C50"/>
    <w:rsid w:val="00EA417B"/>
    <w:rsid w:val="00EA7539"/>
    <w:rsid w:val="00EB3073"/>
    <w:rsid w:val="00EB3307"/>
    <w:rsid w:val="00EB3603"/>
    <w:rsid w:val="00EB400D"/>
    <w:rsid w:val="00EB46E0"/>
    <w:rsid w:val="00EB4C47"/>
    <w:rsid w:val="00EB4D97"/>
    <w:rsid w:val="00EB546A"/>
    <w:rsid w:val="00EB54C1"/>
    <w:rsid w:val="00EB5DAD"/>
    <w:rsid w:val="00EB6A12"/>
    <w:rsid w:val="00EB6C87"/>
    <w:rsid w:val="00EB784F"/>
    <w:rsid w:val="00EB79A0"/>
    <w:rsid w:val="00EB7E00"/>
    <w:rsid w:val="00EC0D2C"/>
    <w:rsid w:val="00EC269B"/>
    <w:rsid w:val="00EC323B"/>
    <w:rsid w:val="00EC3A12"/>
    <w:rsid w:val="00EC4533"/>
    <w:rsid w:val="00EC4BA4"/>
    <w:rsid w:val="00EC5606"/>
    <w:rsid w:val="00EC5BB6"/>
    <w:rsid w:val="00EC6033"/>
    <w:rsid w:val="00EC649C"/>
    <w:rsid w:val="00EC65CD"/>
    <w:rsid w:val="00EC71D0"/>
    <w:rsid w:val="00EC72C8"/>
    <w:rsid w:val="00EC779A"/>
    <w:rsid w:val="00ED00E1"/>
    <w:rsid w:val="00ED07A0"/>
    <w:rsid w:val="00ED0CB7"/>
    <w:rsid w:val="00ED47A3"/>
    <w:rsid w:val="00ED5C10"/>
    <w:rsid w:val="00ED6D16"/>
    <w:rsid w:val="00ED79C0"/>
    <w:rsid w:val="00EE12F3"/>
    <w:rsid w:val="00EE1499"/>
    <w:rsid w:val="00EE215F"/>
    <w:rsid w:val="00EE21A1"/>
    <w:rsid w:val="00EE2AA2"/>
    <w:rsid w:val="00EE3759"/>
    <w:rsid w:val="00EE461E"/>
    <w:rsid w:val="00EE4FFB"/>
    <w:rsid w:val="00EE5E16"/>
    <w:rsid w:val="00EE60C1"/>
    <w:rsid w:val="00EE64D7"/>
    <w:rsid w:val="00EE6A0B"/>
    <w:rsid w:val="00EE7E6B"/>
    <w:rsid w:val="00EF0C08"/>
    <w:rsid w:val="00EF0E47"/>
    <w:rsid w:val="00EF234C"/>
    <w:rsid w:val="00EF3B14"/>
    <w:rsid w:val="00EF42B7"/>
    <w:rsid w:val="00EF51F9"/>
    <w:rsid w:val="00EF57C1"/>
    <w:rsid w:val="00EF6986"/>
    <w:rsid w:val="00F00CFB"/>
    <w:rsid w:val="00F0175F"/>
    <w:rsid w:val="00F01E7C"/>
    <w:rsid w:val="00F01EE4"/>
    <w:rsid w:val="00F0216C"/>
    <w:rsid w:val="00F05C41"/>
    <w:rsid w:val="00F06187"/>
    <w:rsid w:val="00F105E2"/>
    <w:rsid w:val="00F106C5"/>
    <w:rsid w:val="00F107F9"/>
    <w:rsid w:val="00F113BD"/>
    <w:rsid w:val="00F1224A"/>
    <w:rsid w:val="00F12382"/>
    <w:rsid w:val="00F13FB8"/>
    <w:rsid w:val="00F14EF3"/>
    <w:rsid w:val="00F16620"/>
    <w:rsid w:val="00F166E4"/>
    <w:rsid w:val="00F16839"/>
    <w:rsid w:val="00F16A7D"/>
    <w:rsid w:val="00F20BB0"/>
    <w:rsid w:val="00F21BC3"/>
    <w:rsid w:val="00F22208"/>
    <w:rsid w:val="00F242E5"/>
    <w:rsid w:val="00F249EF"/>
    <w:rsid w:val="00F24ABE"/>
    <w:rsid w:val="00F2633F"/>
    <w:rsid w:val="00F2646D"/>
    <w:rsid w:val="00F264E0"/>
    <w:rsid w:val="00F26C4A"/>
    <w:rsid w:val="00F27401"/>
    <w:rsid w:val="00F27FE2"/>
    <w:rsid w:val="00F30202"/>
    <w:rsid w:val="00F314F5"/>
    <w:rsid w:val="00F31AAD"/>
    <w:rsid w:val="00F31DAE"/>
    <w:rsid w:val="00F34B59"/>
    <w:rsid w:val="00F37064"/>
    <w:rsid w:val="00F4138A"/>
    <w:rsid w:val="00F42379"/>
    <w:rsid w:val="00F42CF9"/>
    <w:rsid w:val="00F42DD8"/>
    <w:rsid w:val="00F433F1"/>
    <w:rsid w:val="00F46A5A"/>
    <w:rsid w:val="00F46ACC"/>
    <w:rsid w:val="00F50C30"/>
    <w:rsid w:val="00F51313"/>
    <w:rsid w:val="00F51C8D"/>
    <w:rsid w:val="00F52D5D"/>
    <w:rsid w:val="00F53478"/>
    <w:rsid w:val="00F53701"/>
    <w:rsid w:val="00F53E95"/>
    <w:rsid w:val="00F54BEF"/>
    <w:rsid w:val="00F56F41"/>
    <w:rsid w:val="00F6166A"/>
    <w:rsid w:val="00F61EF6"/>
    <w:rsid w:val="00F62D5E"/>
    <w:rsid w:val="00F64069"/>
    <w:rsid w:val="00F648BF"/>
    <w:rsid w:val="00F6613F"/>
    <w:rsid w:val="00F66CC4"/>
    <w:rsid w:val="00F729A5"/>
    <w:rsid w:val="00F729F6"/>
    <w:rsid w:val="00F72F63"/>
    <w:rsid w:val="00F73BBD"/>
    <w:rsid w:val="00F75C79"/>
    <w:rsid w:val="00F768C2"/>
    <w:rsid w:val="00F76E15"/>
    <w:rsid w:val="00F7787D"/>
    <w:rsid w:val="00F80812"/>
    <w:rsid w:val="00F815B9"/>
    <w:rsid w:val="00F81FA3"/>
    <w:rsid w:val="00F843FF"/>
    <w:rsid w:val="00F84643"/>
    <w:rsid w:val="00F8476F"/>
    <w:rsid w:val="00F858D9"/>
    <w:rsid w:val="00F85DCC"/>
    <w:rsid w:val="00F8729A"/>
    <w:rsid w:val="00F903B8"/>
    <w:rsid w:val="00F90657"/>
    <w:rsid w:val="00F92FC1"/>
    <w:rsid w:val="00F9350E"/>
    <w:rsid w:val="00F948F4"/>
    <w:rsid w:val="00F95FFF"/>
    <w:rsid w:val="00FA01FA"/>
    <w:rsid w:val="00FA19AC"/>
    <w:rsid w:val="00FA1F36"/>
    <w:rsid w:val="00FA3004"/>
    <w:rsid w:val="00FA4C62"/>
    <w:rsid w:val="00FA57AA"/>
    <w:rsid w:val="00FA6550"/>
    <w:rsid w:val="00FB0D83"/>
    <w:rsid w:val="00FB2A84"/>
    <w:rsid w:val="00FB41B0"/>
    <w:rsid w:val="00FB44CD"/>
    <w:rsid w:val="00FB5536"/>
    <w:rsid w:val="00FB6CBE"/>
    <w:rsid w:val="00FB7008"/>
    <w:rsid w:val="00FB7AC0"/>
    <w:rsid w:val="00FC19D1"/>
    <w:rsid w:val="00FC1AE3"/>
    <w:rsid w:val="00FC34C9"/>
    <w:rsid w:val="00FC3885"/>
    <w:rsid w:val="00FC6146"/>
    <w:rsid w:val="00FC66A6"/>
    <w:rsid w:val="00FD064D"/>
    <w:rsid w:val="00FD3817"/>
    <w:rsid w:val="00FD3A46"/>
    <w:rsid w:val="00FD5F57"/>
    <w:rsid w:val="00FD6313"/>
    <w:rsid w:val="00FD6A41"/>
    <w:rsid w:val="00FD6A8F"/>
    <w:rsid w:val="00FD76C3"/>
    <w:rsid w:val="00FE0A74"/>
    <w:rsid w:val="00FE1005"/>
    <w:rsid w:val="00FE3CDE"/>
    <w:rsid w:val="00FE490B"/>
    <w:rsid w:val="00FE7B70"/>
    <w:rsid w:val="00FF2F4B"/>
    <w:rsid w:val="00FF53E5"/>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82E36C-4780-419D-86F6-2D5BC26D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aliases w:val="F1 Char,Footnote Text2 Char,F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mailto:Allison.magness@fns.usda.gov"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nbeyler@mathematica-mpr.com" TargetMode="External"/><Relationship Id="rId2" Type="http://schemas.openxmlformats.org/officeDocument/2006/relationships/numbering" Target="numbering.xml"/><Relationship Id="rId16" Type="http://schemas.openxmlformats.org/officeDocument/2006/relationships/hyperlink" Target="mailto:agordon@mathematica-mpr.co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rharrison@2mresearchservices.com"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Jennifer_rhorer@nass.usd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murdoch@2mresearchservice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7014C-F3F6-445C-B169-11D9D196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4649</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Jim Murdoch</cp:lastModifiedBy>
  <cp:revision>4</cp:revision>
  <cp:lastPrinted>2014-01-23T19:37:00Z</cp:lastPrinted>
  <dcterms:created xsi:type="dcterms:W3CDTF">2014-02-07T13:02:00Z</dcterms:created>
  <dcterms:modified xsi:type="dcterms:W3CDTF">2014-02-07T13:07:00Z</dcterms:modified>
</cp:coreProperties>
</file>