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43E97" w14:textId="610AAF64" w:rsidR="006F2518" w:rsidRPr="006F2518" w:rsidRDefault="006F2518" w:rsidP="000F24AF">
      <w:pPr>
        <w:pStyle w:val="Heading5"/>
        <w:ind w:left="0"/>
        <w:jc w:val="center"/>
        <w:rPr>
          <w:rFonts w:ascii="Times New Roman" w:hAnsi="Times New Roman" w:cs="Times New Roman"/>
          <w:b/>
        </w:rPr>
      </w:pPr>
      <w:r w:rsidRPr="006F2518">
        <w:rPr>
          <w:rFonts w:ascii="Times New Roman" w:hAnsi="Times New Roman" w:cs="Times New Roman"/>
          <w:b/>
        </w:rPr>
        <w:t>Supporting Statement for</w:t>
      </w:r>
    </w:p>
    <w:p w14:paraId="44920B09" w14:textId="4625260D" w:rsidR="006F2518" w:rsidRPr="006F2518" w:rsidRDefault="006F2518" w:rsidP="000F24AF">
      <w:pPr>
        <w:pStyle w:val="Heading5"/>
        <w:jc w:val="center"/>
        <w:rPr>
          <w:rFonts w:ascii="Times New Roman" w:hAnsi="Times New Roman" w:cs="Times New Roman"/>
          <w:b/>
        </w:rPr>
      </w:pPr>
      <w:proofErr w:type="gramStart"/>
      <w:r w:rsidRPr="006F2518">
        <w:rPr>
          <w:rFonts w:ascii="Times New Roman" w:hAnsi="Times New Roman" w:cs="Times New Roman"/>
          <w:b/>
        </w:rPr>
        <w:t>the</w:t>
      </w:r>
      <w:proofErr w:type="gramEnd"/>
      <w:r w:rsidRPr="006F2518">
        <w:rPr>
          <w:rFonts w:ascii="Times New Roman" w:hAnsi="Times New Roman" w:cs="Times New Roman"/>
          <w:b/>
        </w:rPr>
        <w:t xml:space="preserve"> Savings Association Holding Company Report</w:t>
      </w:r>
    </w:p>
    <w:p w14:paraId="31BE2C7D" w14:textId="610B39EC" w:rsidR="006F2518" w:rsidRPr="006F2518" w:rsidRDefault="006F2518" w:rsidP="000F24AF">
      <w:pPr>
        <w:pStyle w:val="Heading5"/>
        <w:jc w:val="center"/>
        <w:rPr>
          <w:rFonts w:ascii="Times New Roman" w:hAnsi="Times New Roman" w:cs="Times New Roman"/>
          <w:b/>
        </w:rPr>
      </w:pPr>
      <w:r w:rsidRPr="006F2518">
        <w:rPr>
          <w:rFonts w:ascii="Times New Roman" w:hAnsi="Times New Roman" w:cs="Times New Roman"/>
          <w:b/>
        </w:rPr>
        <w:t>(FR </w:t>
      </w:r>
      <w:proofErr w:type="gramStart"/>
      <w:r w:rsidRPr="006F2518">
        <w:rPr>
          <w:rFonts w:ascii="Times New Roman" w:hAnsi="Times New Roman" w:cs="Times New Roman"/>
          <w:b/>
        </w:rPr>
        <w:t>H(</w:t>
      </w:r>
      <w:proofErr w:type="gramEnd"/>
      <w:r w:rsidRPr="006F2518">
        <w:rPr>
          <w:rFonts w:ascii="Times New Roman" w:hAnsi="Times New Roman" w:cs="Times New Roman"/>
          <w:b/>
        </w:rPr>
        <w:t>b)11; OMB No. 7100-0334)</w:t>
      </w:r>
    </w:p>
    <w:p w14:paraId="67BD978B" w14:textId="77777777" w:rsidR="006F2518" w:rsidRPr="006F2518" w:rsidRDefault="006F2518" w:rsidP="006F2518">
      <w:pPr>
        <w:jc w:val="center"/>
        <w:rPr>
          <w:rFonts w:ascii="Times New Roman" w:hAnsi="Times New Roman" w:cs="Times New Roman"/>
          <w:b/>
          <w:sz w:val="24"/>
          <w:szCs w:val="24"/>
        </w:rPr>
      </w:pPr>
    </w:p>
    <w:p w14:paraId="6F6B8B0E" w14:textId="77777777" w:rsidR="006F2518" w:rsidRPr="000F24AF" w:rsidRDefault="006F2518" w:rsidP="006F2518">
      <w:pPr>
        <w:pStyle w:val="Header"/>
        <w:tabs>
          <w:tab w:val="clear" w:pos="4320"/>
          <w:tab w:val="clear" w:pos="8640"/>
        </w:tabs>
        <w:rPr>
          <w:rFonts w:ascii="Times New Roman" w:hAnsi="Times New Roman" w:cs="Times New Roman"/>
          <w:b/>
          <w:sz w:val="24"/>
          <w:szCs w:val="24"/>
        </w:rPr>
      </w:pPr>
      <w:r w:rsidRPr="000F24AF">
        <w:rPr>
          <w:rFonts w:ascii="Times New Roman" w:hAnsi="Times New Roman" w:cs="Times New Roman"/>
          <w:b/>
          <w:sz w:val="24"/>
          <w:szCs w:val="24"/>
        </w:rPr>
        <w:t>Summary</w:t>
      </w:r>
    </w:p>
    <w:p w14:paraId="6D5EC67A" w14:textId="77777777" w:rsidR="006F2518" w:rsidRPr="000F24AF" w:rsidRDefault="006F2518" w:rsidP="006F2518">
      <w:pPr>
        <w:widowControl/>
        <w:tabs>
          <w:tab w:val="center" w:pos="4680"/>
        </w:tabs>
        <w:rPr>
          <w:rFonts w:ascii="Times New Roman" w:hAnsi="Times New Roman" w:cs="Times New Roman"/>
          <w:b/>
          <w:sz w:val="24"/>
          <w:szCs w:val="24"/>
        </w:rPr>
      </w:pPr>
    </w:p>
    <w:p w14:paraId="2FE55E14" w14:textId="35949361" w:rsidR="00607489" w:rsidRPr="000F24AF" w:rsidRDefault="006F2518" w:rsidP="006F2518">
      <w:pPr>
        <w:widowControl/>
        <w:tabs>
          <w:tab w:val="center" w:pos="4680"/>
        </w:tabs>
        <w:rPr>
          <w:rFonts w:ascii="Times New Roman" w:hAnsi="Times New Roman" w:cs="Times New Roman"/>
          <w:sz w:val="24"/>
          <w:szCs w:val="24"/>
        </w:rPr>
      </w:pPr>
      <w:r w:rsidRPr="000F24AF">
        <w:rPr>
          <w:rFonts w:ascii="Times New Roman" w:hAnsi="Times New Roman" w:cs="Times New Roman"/>
          <w:b/>
          <w:sz w:val="24"/>
          <w:szCs w:val="24"/>
        </w:rPr>
        <w:tab/>
        <w:t xml:space="preserve">         </w:t>
      </w:r>
      <w:r w:rsidRPr="000F24AF">
        <w:rPr>
          <w:rFonts w:ascii="Times New Roman" w:hAnsi="Times New Roman" w:cs="Times New Roman"/>
          <w:sz w:val="24"/>
          <w:szCs w:val="24"/>
        </w:rPr>
        <w:t xml:space="preserve">The Board of Governors of the Federal Reserve System (Board), under delegated authority </w:t>
      </w:r>
      <w:bookmarkStart w:id="0" w:name="_GoBack"/>
      <w:bookmarkEnd w:id="0"/>
      <w:r w:rsidRPr="000F24AF">
        <w:rPr>
          <w:rFonts w:ascii="Times New Roman" w:hAnsi="Times New Roman" w:cs="Times New Roman"/>
          <w:sz w:val="24"/>
          <w:szCs w:val="24"/>
        </w:rPr>
        <w:t xml:space="preserve">from the Office of Management and Budget (OMB), proposes to </w:t>
      </w:r>
      <w:r w:rsidR="00BD5D39" w:rsidRPr="000F24AF">
        <w:rPr>
          <w:rFonts w:ascii="Times New Roman" w:hAnsi="Times New Roman" w:cs="Times New Roman"/>
          <w:sz w:val="24"/>
          <w:szCs w:val="24"/>
        </w:rPr>
        <w:t>extend for three years</w:t>
      </w:r>
      <w:r w:rsidR="00AE6AC1" w:rsidRPr="000F24AF">
        <w:rPr>
          <w:rFonts w:ascii="Times New Roman" w:hAnsi="Times New Roman" w:cs="Times New Roman"/>
          <w:sz w:val="24"/>
          <w:szCs w:val="24"/>
        </w:rPr>
        <w:t xml:space="preserve">, with </w:t>
      </w:r>
      <w:r w:rsidR="00BD5D39" w:rsidRPr="000F24AF">
        <w:rPr>
          <w:rFonts w:ascii="Times New Roman" w:hAnsi="Times New Roman" w:cs="Times New Roman"/>
          <w:sz w:val="24"/>
          <w:szCs w:val="24"/>
        </w:rPr>
        <w:t>revision</w:t>
      </w:r>
      <w:r w:rsidR="00C77932" w:rsidRPr="000F24AF">
        <w:rPr>
          <w:rFonts w:ascii="Times New Roman" w:hAnsi="Times New Roman" w:cs="Times New Roman"/>
          <w:sz w:val="24"/>
          <w:szCs w:val="24"/>
        </w:rPr>
        <w:t>,</w:t>
      </w:r>
      <w:r w:rsidR="00AE6AC1" w:rsidRPr="000F24AF">
        <w:rPr>
          <w:rFonts w:ascii="Times New Roman" w:hAnsi="Times New Roman" w:cs="Times New Roman"/>
          <w:sz w:val="24"/>
          <w:szCs w:val="24"/>
        </w:rPr>
        <w:t xml:space="preserve"> </w:t>
      </w:r>
      <w:r w:rsidR="00CC2280" w:rsidRPr="000F24AF">
        <w:rPr>
          <w:rFonts w:ascii="Times New Roman" w:hAnsi="Times New Roman" w:cs="Times New Roman"/>
          <w:sz w:val="24"/>
          <w:szCs w:val="24"/>
        </w:rPr>
        <w:t xml:space="preserve">the </w:t>
      </w:r>
      <w:r w:rsidR="008D6D36" w:rsidRPr="000F24AF">
        <w:rPr>
          <w:rFonts w:ascii="Times New Roman" w:hAnsi="Times New Roman" w:cs="Times New Roman"/>
          <w:sz w:val="24"/>
          <w:szCs w:val="24"/>
        </w:rPr>
        <w:t xml:space="preserve">mandatory </w:t>
      </w:r>
      <w:r w:rsidR="00AE6AC1" w:rsidRPr="000F24AF">
        <w:rPr>
          <w:rFonts w:ascii="Times New Roman" w:hAnsi="Times New Roman" w:cs="Times New Roman"/>
          <w:sz w:val="24"/>
          <w:szCs w:val="24"/>
        </w:rPr>
        <w:t>Savings Association Holding Company Report (FR H-(b</w:t>
      </w:r>
      <w:proofErr w:type="gramStart"/>
      <w:r w:rsidR="00AE6AC1" w:rsidRPr="000F24AF">
        <w:rPr>
          <w:rFonts w:ascii="Times New Roman" w:hAnsi="Times New Roman" w:cs="Times New Roman"/>
          <w:sz w:val="24"/>
          <w:szCs w:val="24"/>
        </w:rPr>
        <w:t>)11</w:t>
      </w:r>
      <w:proofErr w:type="gramEnd"/>
      <w:r w:rsidR="00CC2280" w:rsidRPr="000F24AF">
        <w:rPr>
          <w:rFonts w:ascii="Times New Roman" w:hAnsi="Times New Roman" w:cs="Times New Roman"/>
          <w:color w:val="000000"/>
          <w:sz w:val="24"/>
          <w:szCs w:val="24"/>
        </w:rPr>
        <w:t>; OMB No. 7100-</w:t>
      </w:r>
      <w:r w:rsidR="00AE6AC1" w:rsidRPr="000F24AF">
        <w:rPr>
          <w:rFonts w:ascii="Times New Roman" w:hAnsi="Times New Roman" w:cs="Times New Roman"/>
          <w:color w:val="000000"/>
          <w:sz w:val="24"/>
          <w:szCs w:val="24"/>
        </w:rPr>
        <w:t>0334</w:t>
      </w:r>
      <w:r w:rsidR="00CC2280" w:rsidRPr="000F24AF">
        <w:rPr>
          <w:rFonts w:ascii="Times New Roman" w:hAnsi="Times New Roman" w:cs="Times New Roman"/>
          <w:color w:val="000000"/>
          <w:sz w:val="24"/>
          <w:szCs w:val="24"/>
        </w:rPr>
        <w:t>)</w:t>
      </w:r>
      <w:r w:rsidR="00AE6AC1" w:rsidRPr="000F24AF">
        <w:rPr>
          <w:rFonts w:ascii="Times New Roman" w:hAnsi="Times New Roman" w:cs="Times New Roman"/>
          <w:color w:val="000000"/>
          <w:sz w:val="24"/>
          <w:szCs w:val="24"/>
        </w:rPr>
        <w:t>.</w:t>
      </w:r>
      <w:r w:rsidR="00607489" w:rsidRPr="000F24AF">
        <w:rPr>
          <w:rFonts w:ascii="Times New Roman" w:hAnsi="Times New Roman" w:cs="Times New Roman"/>
          <w:color w:val="000000"/>
          <w:sz w:val="24"/>
          <w:szCs w:val="24"/>
        </w:rPr>
        <w:t xml:space="preserve">  </w:t>
      </w:r>
      <w:r w:rsidR="00607489" w:rsidRPr="000F24AF">
        <w:rPr>
          <w:rFonts w:ascii="Times New Roman" w:hAnsi="Times New Roman" w:cs="Times New Roman"/>
          <w:sz w:val="24"/>
          <w:szCs w:val="24"/>
        </w:rPr>
        <w:t>The FR H</w:t>
      </w:r>
      <w:r w:rsidR="00DD3499" w:rsidRPr="000F24AF">
        <w:rPr>
          <w:rFonts w:ascii="Times New Roman" w:hAnsi="Times New Roman" w:cs="Times New Roman"/>
          <w:sz w:val="24"/>
          <w:szCs w:val="24"/>
        </w:rPr>
        <w:t>-</w:t>
      </w:r>
      <w:r w:rsidR="00607489" w:rsidRPr="000F24AF">
        <w:rPr>
          <w:rFonts w:ascii="Times New Roman" w:hAnsi="Times New Roman" w:cs="Times New Roman"/>
          <w:sz w:val="24"/>
          <w:szCs w:val="24"/>
        </w:rPr>
        <w:t>(b</w:t>
      </w:r>
      <w:proofErr w:type="gramStart"/>
      <w:r w:rsidR="00607489" w:rsidRPr="000F24AF">
        <w:rPr>
          <w:rFonts w:ascii="Times New Roman" w:hAnsi="Times New Roman" w:cs="Times New Roman"/>
          <w:sz w:val="24"/>
          <w:szCs w:val="24"/>
        </w:rPr>
        <w:t>)11</w:t>
      </w:r>
      <w:proofErr w:type="gramEnd"/>
      <w:r w:rsidR="00607489" w:rsidRPr="000F24AF">
        <w:rPr>
          <w:rFonts w:ascii="Times New Roman" w:hAnsi="Times New Roman" w:cs="Times New Roman"/>
          <w:sz w:val="24"/>
          <w:szCs w:val="24"/>
        </w:rPr>
        <w:t xml:space="preserve"> collects </w:t>
      </w:r>
      <w:r w:rsidR="00CE67DC" w:rsidRPr="000F24AF">
        <w:rPr>
          <w:rFonts w:ascii="Times New Roman" w:hAnsi="Times New Roman" w:cs="Times New Roman"/>
          <w:sz w:val="24"/>
          <w:szCs w:val="24"/>
        </w:rPr>
        <w:t>from most top-tier</w:t>
      </w:r>
      <w:r w:rsidR="00C77932" w:rsidRPr="000F24AF">
        <w:rPr>
          <w:rFonts w:ascii="Times New Roman" w:hAnsi="Times New Roman" w:cs="Times New Roman"/>
          <w:sz w:val="24"/>
          <w:szCs w:val="24"/>
        </w:rPr>
        <w:t xml:space="preserve"> savings and loan holding companies (SLHCs)</w:t>
      </w:r>
      <w:r w:rsidR="00CE67DC" w:rsidRPr="000F24AF">
        <w:rPr>
          <w:rFonts w:ascii="Times New Roman" w:hAnsi="Times New Roman" w:cs="Times New Roman"/>
          <w:sz w:val="24"/>
          <w:szCs w:val="24"/>
        </w:rPr>
        <w:t xml:space="preserve"> information on filings </w:t>
      </w:r>
      <w:r w:rsidR="00C77932" w:rsidRPr="000F24AF">
        <w:rPr>
          <w:rFonts w:ascii="Times New Roman" w:hAnsi="Times New Roman" w:cs="Times New Roman"/>
          <w:sz w:val="24"/>
          <w:szCs w:val="24"/>
        </w:rPr>
        <w:t>with</w:t>
      </w:r>
      <w:r w:rsidR="003D05F1" w:rsidRPr="000F24AF">
        <w:rPr>
          <w:rFonts w:ascii="Times New Roman" w:hAnsi="Times New Roman" w:cs="Times New Roman"/>
          <w:sz w:val="24"/>
          <w:szCs w:val="24"/>
        </w:rPr>
        <w:t xml:space="preserve"> </w:t>
      </w:r>
      <w:r w:rsidR="00607489" w:rsidRPr="000F24AF">
        <w:rPr>
          <w:rFonts w:ascii="Times New Roman" w:hAnsi="Times New Roman" w:cs="Times New Roman"/>
          <w:sz w:val="24"/>
          <w:szCs w:val="24"/>
        </w:rPr>
        <w:t>the Securities and Exchange Commission</w:t>
      </w:r>
      <w:r w:rsidR="00085983" w:rsidRPr="000F24AF">
        <w:rPr>
          <w:rFonts w:ascii="Times New Roman" w:hAnsi="Times New Roman" w:cs="Times New Roman"/>
          <w:sz w:val="24"/>
          <w:szCs w:val="24"/>
        </w:rPr>
        <w:t xml:space="preserve"> (SEC)</w:t>
      </w:r>
      <w:r w:rsidR="00607489" w:rsidRPr="000F24AF">
        <w:rPr>
          <w:rFonts w:ascii="Times New Roman" w:hAnsi="Times New Roman" w:cs="Times New Roman"/>
          <w:sz w:val="24"/>
          <w:szCs w:val="24"/>
        </w:rPr>
        <w:t xml:space="preserve">, reports provided by the nationally recognized statistical rating organizations and securities analysts, supplemental information for select questions from the </w:t>
      </w:r>
      <w:r w:rsidR="00607489" w:rsidRPr="00B82F7F">
        <w:rPr>
          <w:rFonts w:ascii="Times New Roman" w:hAnsi="Times New Roman" w:cs="Times New Roman"/>
          <w:iCs/>
          <w:sz w:val="24"/>
          <w:szCs w:val="24"/>
        </w:rPr>
        <w:t>Quarterly Savings and Loan Holding Company Report</w:t>
      </w:r>
      <w:r w:rsidR="00607489" w:rsidRPr="000F24AF">
        <w:rPr>
          <w:rFonts w:ascii="Times New Roman" w:hAnsi="Times New Roman" w:cs="Times New Roman"/>
          <w:sz w:val="24"/>
          <w:szCs w:val="24"/>
        </w:rPr>
        <w:t xml:space="preserve"> (FR 2320; OMB No. </w:t>
      </w:r>
      <w:r w:rsidR="00CE67DC" w:rsidRPr="000F24AF">
        <w:rPr>
          <w:rFonts w:ascii="Times New Roman" w:hAnsi="Times New Roman" w:cs="Times New Roman"/>
          <w:sz w:val="24"/>
          <w:szCs w:val="24"/>
        </w:rPr>
        <w:t>7100-</w:t>
      </w:r>
      <w:r w:rsidR="00607489" w:rsidRPr="000F24AF">
        <w:rPr>
          <w:rFonts w:ascii="Times New Roman" w:hAnsi="Times New Roman" w:cs="Times New Roman"/>
          <w:sz w:val="24"/>
          <w:szCs w:val="24"/>
        </w:rPr>
        <w:t xml:space="preserve">0345), financial statements, and other materially important events and exhibits.  </w:t>
      </w:r>
      <w:r w:rsidR="00CE67DC" w:rsidRPr="000F24AF">
        <w:rPr>
          <w:rFonts w:ascii="Times New Roman" w:hAnsi="Times New Roman" w:cs="Times New Roman"/>
          <w:sz w:val="24"/>
          <w:szCs w:val="24"/>
        </w:rPr>
        <w:t>The Federal Reserve uses the FR H-(b</w:t>
      </w:r>
      <w:proofErr w:type="gramStart"/>
      <w:r w:rsidR="00CE67DC" w:rsidRPr="000F24AF">
        <w:rPr>
          <w:rFonts w:ascii="Times New Roman" w:hAnsi="Times New Roman" w:cs="Times New Roman"/>
          <w:sz w:val="24"/>
          <w:szCs w:val="24"/>
        </w:rPr>
        <w:t>)11</w:t>
      </w:r>
      <w:proofErr w:type="gramEnd"/>
      <w:r w:rsidR="00CE67DC" w:rsidRPr="000F24AF">
        <w:rPr>
          <w:rFonts w:ascii="Times New Roman" w:hAnsi="Times New Roman" w:cs="Times New Roman"/>
          <w:sz w:val="24"/>
          <w:szCs w:val="24"/>
        </w:rPr>
        <w:t xml:space="preserve"> data to analyze the overall financial condition of SLHCs to ensure safe and sound operations.</w:t>
      </w:r>
    </w:p>
    <w:p w14:paraId="0D56F6F1" w14:textId="77777777" w:rsidR="00790AB5" w:rsidRPr="000F24AF" w:rsidRDefault="0060230C" w:rsidP="00AC409C">
      <w:pPr>
        <w:widowControl/>
        <w:tabs>
          <w:tab w:val="left" w:pos="360"/>
        </w:tabs>
        <w:ind w:firstLine="360"/>
        <w:rPr>
          <w:rFonts w:ascii="Times New Roman" w:hAnsi="Times New Roman" w:cs="Times New Roman"/>
          <w:sz w:val="24"/>
          <w:szCs w:val="24"/>
        </w:rPr>
      </w:pPr>
      <w:r w:rsidRPr="000F24AF">
        <w:rPr>
          <w:rFonts w:ascii="Times New Roman" w:hAnsi="Times New Roman" w:cs="Times New Roman"/>
          <w:sz w:val="24"/>
          <w:szCs w:val="24"/>
        </w:rPr>
        <w:tab/>
      </w:r>
    </w:p>
    <w:p w14:paraId="5C4C2E93" w14:textId="746FCF8C" w:rsidR="00AE6AC1" w:rsidRPr="000F24AF" w:rsidRDefault="00790AB5" w:rsidP="00085983">
      <w:pPr>
        <w:rPr>
          <w:rFonts w:ascii="Times New Roman" w:hAnsi="Times New Roman" w:cs="Times New Roman"/>
          <w:sz w:val="24"/>
          <w:szCs w:val="24"/>
        </w:rPr>
      </w:pPr>
      <w:r w:rsidRPr="000F24AF">
        <w:rPr>
          <w:rFonts w:ascii="Times New Roman" w:hAnsi="Times New Roman" w:cs="Times New Roman"/>
          <w:sz w:val="24"/>
          <w:szCs w:val="24"/>
        </w:rPr>
        <w:tab/>
      </w:r>
      <w:r w:rsidR="00946E21" w:rsidRPr="000F24AF">
        <w:rPr>
          <w:rFonts w:ascii="Times New Roman" w:hAnsi="Times New Roman" w:cs="Times New Roman"/>
          <w:sz w:val="24"/>
          <w:szCs w:val="24"/>
        </w:rPr>
        <w:t xml:space="preserve">The Federal Reserve </w:t>
      </w:r>
      <w:r w:rsidR="00DD3499" w:rsidRPr="000F24AF">
        <w:rPr>
          <w:rFonts w:ascii="Times New Roman" w:hAnsi="Times New Roman" w:cs="Times New Roman"/>
          <w:sz w:val="24"/>
          <w:szCs w:val="24"/>
        </w:rPr>
        <w:t xml:space="preserve">proposes to </w:t>
      </w:r>
      <w:r w:rsidR="00502930" w:rsidRPr="000F24AF">
        <w:rPr>
          <w:rFonts w:ascii="Times New Roman" w:hAnsi="Times New Roman" w:cs="Times New Roman"/>
          <w:sz w:val="24"/>
          <w:szCs w:val="24"/>
        </w:rPr>
        <w:t xml:space="preserve">revise </w:t>
      </w:r>
      <w:r w:rsidR="00DD3499" w:rsidRPr="000F24AF">
        <w:rPr>
          <w:rFonts w:ascii="Times New Roman" w:hAnsi="Times New Roman" w:cs="Times New Roman"/>
          <w:sz w:val="24"/>
          <w:szCs w:val="24"/>
        </w:rPr>
        <w:t xml:space="preserve">the </w:t>
      </w:r>
      <w:r w:rsidR="00502930" w:rsidRPr="000F24AF">
        <w:rPr>
          <w:rFonts w:ascii="Times New Roman" w:hAnsi="Times New Roman" w:cs="Times New Roman"/>
          <w:sz w:val="24"/>
          <w:szCs w:val="24"/>
        </w:rPr>
        <w:t>current FR H-(b</w:t>
      </w:r>
      <w:proofErr w:type="gramStart"/>
      <w:r w:rsidR="00502930" w:rsidRPr="000F24AF">
        <w:rPr>
          <w:rFonts w:ascii="Times New Roman" w:hAnsi="Times New Roman" w:cs="Times New Roman"/>
          <w:sz w:val="24"/>
          <w:szCs w:val="24"/>
        </w:rPr>
        <w:t>)11</w:t>
      </w:r>
      <w:proofErr w:type="gramEnd"/>
      <w:r w:rsidR="00502930" w:rsidRPr="000F24AF">
        <w:rPr>
          <w:rFonts w:ascii="Times New Roman" w:hAnsi="Times New Roman" w:cs="Times New Roman"/>
          <w:sz w:val="24"/>
          <w:szCs w:val="24"/>
        </w:rPr>
        <w:t xml:space="preserve"> respondent </w:t>
      </w:r>
      <w:r w:rsidR="00DD3499" w:rsidRPr="000F24AF">
        <w:rPr>
          <w:rFonts w:ascii="Times New Roman" w:hAnsi="Times New Roman" w:cs="Times New Roman"/>
          <w:sz w:val="24"/>
          <w:szCs w:val="24"/>
        </w:rPr>
        <w:t>panel to</w:t>
      </w:r>
      <w:r w:rsidR="00457113" w:rsidRPr="000F24AF">
        <w:rPr>
          <w:rFonts w:ascii="Times New Roman" w:hAnsi="Times New Roman" w:cs="Times New Roman"/>
          <w:sz w:val="24"/>
          <w:szCs w:val="24"/>
        </w:rPr>
        <w:t xml:space="preserve"> include only</w:t>
      </w:r>
      <w:r w:rsidR="00DD3499" w:rsidRPr="000F24AF">
        <w:rPr>
          <w:rFonts w:ascii="Times New Roman" w:hAnsi="Times New Roman" w:cs="Times New Roman"/>
          <w:sz w:val="24"/>
          <w:szCs w:val="24"/>
        </w:rPr>
        <w:t xml:space="preserve"> </w:t>
      </w:r>
      <w:r w:rsidR="007212D6" w:rsidRPr="000F24AF">
        <w:rPr>
          <w:rFonts w:ascii="Times New Roman" w:hAnsi="Times New Roman" w:cs="Times New Roman"/>
          <w:sz w:val="24"/>
          <w:szCs w:val="24"/>
        </w:rPr>
        <w:t xml:space="preserve">those </w:t>
      </w:r>
      <w:r w:rsidR="00502930" w:rsidRPr="000F24AF">
        <w:rPr>
          <w:rFonts w:ascii="Times New Roman" w:hAnsi="Times New Roman" w:cs="Times New Roman"/>
          <w:sz w:val="24"/>
          <w:szCs w:val="24"/>
        </w:rPr>
        <w:t xml:space="preserve">SLHCs </w:t>
      </w:r>
      <w:r w:rsidR="00DD3499" w:rsidRPr="000F24AF">
        <w:rPr>
          <w:rFonts w:ascii="Times New Roman" w:hAnsi="Times New Roman" w:cs="Times New Roman"/>
          <w:sz w:val="24"/>
          <w:szCs w:val="24"/>
        </w:rPr>
        <w:t xml:space="preserve">that are currently exempt </w:t>
      </w:r>
      <w:r w:rsidR="00502930" w:rsidRPr="000F24AF">
        <w:rPr>
          <w:rFonts w:ascii="Times New Roman" w:hAnsi="Times New Roman" w:cs="Times New Roman"/>
          <w:sz w:val="24"/>
          <w:szCs w:val="24"/>
        </w:rPr>
        <w:t>from filing the Federal Reserve’s existing regulatory reports</w:t>
      </w:r>
      <w:r w:rsidR="0033405D" w:rsidRPr="000F24AF">
        <w:rPr>
          <w:rFonts w:ascii="Times New Roman" w:hAnsi="Times New Roman" w:cs="Times New Roman"/>
          <w:sz w:val="24"/>
          <w:szCs w:val="24"/>
        </w:rPr>
        <w:t>, including the nonbank subsidiary reports</w:t>
      </w:r>
      <w:r w:rsidR="00502930" w:rsidRPr="000F24AF">
        <w:rPr>
          <w:rFonts w:ascii="Times New Roman" w:hAnsi="Times New Roman" w:cs="Times New Roman"/>
          <w:sz w:val="24"/>
          <w:szCs w:val="24"/>
        </w:rPr>
        <w:t>.</w:t>
      </w:r>
      <w:r w:rsidR="00DD3499" w:rsidRPr="000F24AF">
        <w:rPr>
          <w:rStyle w:val="FootnoteReference"/>
          <w:rFonts w:ascii="Times New Roman" w:hAnsi="Times New Roman" w:cs="Times New Roman"/>
          <w:sz w:val="24"/>
          <w:szCs w:val="24"/>
          <w:vertAlign w:val="superscript"/>
        </w:rPr>
        <w:footnoteReference w:id="2"/>
      </w:r>
      <w:r w:rsidR="00502930" w:rsidRPr="000F24AF">
        <w:rPr>
          <w:rFonts w:ascii="Times New Roman" w:hAnsi="Times New Roman" w:cs="Times New Roman"/>
          <w:sz w:val="24"/>
          <w:szCs w:val="24"/>
        </w:rPr>
        <w:t xml:space="preserve">  </w:t>
      </w:r>
      <w:r w:rsidR="003D05F1" w:rsidRPr="000F24AF">
        <w:rPr>
          <w:rFonts w:ascii="Times New Roman" w:hAnsi="Times New Roman" w:cs="Times New Roman"/>
          <w:sz w:val="24"/>
          <w:szCs w:val="24"/>
        </w:rPr>
        <w:t>E</w:t>
      </w:r>
      <w:r w:rsidR="00502930" w:rsidRPr="000F24AF">
        <w:rPr>
          <w:rFonts w:ascii="Times New Roman" w:hAnsi="Times New Roman" w:cs="Times New Roman"/>
          <w:sz w:val="24"/>
          <w:szCs w:val="24"/>
        </w:rPr>
        <w:t>xempt SLHC</w:t>
      </w:r>
      <w:r w:rsidR="003D05F1" w:rsidRPr="000F24AF">
        <w:rPr>
          <w:rFonts w:ascii="Times New Roman" w:hAnsi="Times New Roman" w:cs="Times New Roman"/>
          <w:sz w:val="24"/>
          <w:szCs w:val="24"/>
        </w:rPr>
        <w:t>s</w:t>
      </w:r>
      <w:r w:rsidR="00502930" w:rsidRPr="000F24AF">
        <w:rPr>
          <w:rFonts w:ascii="Times New Roman" w:hAnsi="Times New Roman" w:cs="Times New Roman"/>
          <w:sz w:val="24"/>
          <w:szCs w:val="24"/>
        </w:rPr>
        <w:t xml:space="preserve"> include: (1</w:t>
      </w:r>
      <w:r w:rsidR="00BD5D39" w:rsidRPr="000F24AF">
        <w:rPr>
          <w:rFonts w:ascii="Times New Roman" w:hAnsi="Times New Roman" w:cs="Times New Roman"/>
          <w:sz w:val="24"/>
          <w:szCs w:val="24"/>
        </w:rPr>
        <w:t>) grandfathered</w:t>
      </w:r>
      <w:r w:rsidR="00502930" w:rsidRPr="000F24AF">
        <w:rPr>
          <w:rFonts w:ascii="Times New Roman" w:hAnsi="Times New Roman" w:cs="Times New Roman"/>
          <w:sz w:val="24"/>
          <w:szCs w:val="24"/>
        </w:rPr>
        <w:t xml:space="preserve"> unitary SLHC</w:t>
      </w:r>
      <w:r w:rsidR="00CE67DC" w:rsidRPr="000F24AF">
        <w:rPr>
          <w:rFonts w:ascii="Times New Roman" w:hAnsi="Times New Roman" w:cs="Times New Roman"/>
          <w:sz w:val="24"/>
          <w:szCs w:val="24"/>
        </w:rPr>
        <w:t>s</w:t>
      </w:r>
      <w:r w:rsidR="00502930" w:rsidRPr="000F24AF">
        <w:rPr>
          <w:rFonts w:ascii="Times New Roman" w:hAnsi="Times New Roman" w:cs="Times New Roman"/>
          <w:sz w:val="24"/>
          <w:szCs w:val="24"/>
        </w:rPr>
        <w:t xml:space="preserve"> whose assets are primarily commercial and whose thrifts make up less than 5 percent of its consolidated assets; and (2) SLHC</w:t>
      </w:r>
      <w:r w:rsidR="00CE67DC" w:rsidRPr="000F24AF">
        <w:rPr>
          <w:rFonts w:ascii="Times New Roman" w:hAnsi="Times New Roman" w:cs="Times New Roman"/>
          <w:sz w:val="24"/>
          <w:szCs w:val="24"/>
        </w:rPr>
        <w:t>s</w:t>
      </w:r>
      <w:r w:rsidR="00502930" w:rsidRPr="000F24AF">
        <w:rPr>
          <w:rFonts w:ascii="Times New Roman" w:hAnsi="Times New Roman" w:cs="Times New Roman"/>
          <w:sz w:val="24"/>
          <w:szCs w:val="24"/>
        </w:rPr>
        <w:t xml:space="preserve"> whose assets are primarily insurance-related and do not otherwise submit financial reports with the SEC pursuant to Section 13 or 15(d) of the Securities Exchange Act of 1934.  </w:t>
      </w:r>
      <w:r w:rsidR="0033405D" w:rsidRPr="000F24AF">
        <w:rPr>
          <w:rFonts w:ascii="Times New Roman" w:hAnsi="Times New Roman" w:cs="Times New Roman"/>
          <w:sz w:val="24"/>
          <w:szCs w:val="24"/>
        </w:rPr>
        <w:t xml:space="preserve">Exempt SLHCs currently file the FR 2320, Annual Report of Holding Companies (FR Y-6; OMB No. </w:t>
      </w:r>
      <w:r w:rsidR="00CE67DC" w:rsidRPr="000F24AF">
        <w:rPr>
          <w:rFonts w:ascii="Times New Roman" w:hAnsi="Times New Roman" w:cs="Times New Roman"/>
          <w:sz w:val="24"/>
          <w:szCs w:val="24"/>
        </w:rPr>
        <w:t>7100-</w:t>
      </w:r>
      <w:r w:rsidR="0033405D" w:rsidRPr="000F24AF">
        <w:rPr>
          <w:rFonts w:ascii="Times New Roman" w:hAnsi="Times New Roman" w:cs="Times New Roman"/>
          <w:sz w:val="24"/>
          <w:szCs w:val="24"/>
        </w:rPr>
        <w:t>0297), Report of Changes in Organizational Structure (FR Y-10; OMB No.</w:t>
      </w:r>
      <w:r w:rsidR="00CE67DC" w:rsidRPr="000F24AF">
        <w:rPr>
          <w:rFonts w:ascii="Times New Roman" w:hAnsi="Times New Roman" w:cs="Times New Roman"/>
          <w:sz w:val="24"/>
          <w:szCs w:val="24"/>
        </w:rPr>
        <w:t xml:space="preserve"> 7100-</w:t>
      </w:r>
      <w:r w:rsidR="0033405D" w:rsidRPr="000F24AF">
        <w:rPr>
          <w:rFonts w:ascii="Times New Roman" w:hAnsi="Times New Roman" w:cs="Times New Roman"/>
          <w:sz w:val="24"/>
          <w:szCs w:val="24"/>
        </w:rPr>
        <w:t xml:space="preserve">0297) and the FR H-(b)11.  </w:t>
      </w:r>
      <w:r w:rsidR="00DD3499" w:rsidRPr="000F24AF">
        <w:rPr>
          <w:rFonts w:ascii="Times New Roman" w:hAnsi="Times New Roman" w:cs="Times New Roman"/>
          <w:sz w:val="24"/>
          <w:szCs w:val="24"/>
        </w:rPr>
        <w:t xml:space="preserve">The revised </w:t>
      </w:r>
      <w:r w:rsidR="007212D6" w:rsidRPr="000F24AF">
        <w:rPr>
          <w:rFonts w:ascii="Times New Roman" w:hAnsi="Times New Roman" w:cs="Times New Roman"/>
          <w:sz w:val="24"/>
          <w:szCs w:val="24"/>
        </w:rPr>
        <w:t xml:space="preserve">respondent </w:t>
      </w:r>
      <w:r w:rsidR="00DD3499" w:rsidRPr="000F24AF">
        <w:rPr>
          <w:rFonts w:ascii="Times New Roman" w:hAnsi="Times New Roman" w:cs="Times New Roman"/>
          <w:sz w:val="24"/>
          <w:szCs w:val="24"/>
        </w:rPr>
        <w:t xml:space="preserve">panel would consist of approximately </w:t>
      </w:r>
      <w:r w:rsidR="002727FC" w:rsidRPr="000F24AF">
        <w:rPr>
          <w:rFonts w:ascii="Times New Roman" w:hAnsi="Times New Roman" w:cs="Times New Roman"/>
          <w:sz w:val="24"/>
          <w:szCs w:val="24"/>
        </w:rPr>
        <w:t>33</w:t>
      </w:r>
      <w:r w:rsidR="00DD3499" w:rsidRPr="000F24AF">
        <w:rPr>
          <w:rFonts w:ascii="Times New Roman" w:hAnsi="Times New Roman" w:cs="Times New Roman"/>
          <w:sz w:val="24"/>
          <w:szCs w:val="24"/>
        </w:rPr>
        <w:t xml:space="preserve"> reporters</w:t>
      </w:r>
      <w:r w:rsidR="003D05F1" w:rsidRPr="000F24AF">
        <w:rPr>
          <w:rFonts w:ascii="Times New Roman" w:hAnsi="Times New Roman" w:cs="Times New Roman"/>
          <w:sz w:val="24"/>
          <w:szCs w:val="24"/>
        </w:rPr>
        <w:t xml:space="preserve">:  </w:t>
      </w:r>
      <w:r w:rsidR="00F40B1B" w:rsidRPr="000F24AF">
        <w:rPr>
          <w:rFonts w:ascii="Times New Roman" w:hAnsi="Times New Roman" w:cs="Times New Roman"/>
          <w:sz w:val="24"/>
          <w:szCs w:val="24"/>
        </w:rPr>
        <w:t>4</w:t>
      </w:r>
      <w:r w:rsidR="00E01861" w:rsidRPr="000F24AF">
        <w:rPr>
          <w:rFonts w:ascii="Times New Roman" w:hAnsi="Times New Roman" w:cs="Times New Roman"/>
          <w:sz w:val="24"/>
          <w:szCs w:val="24"/>
        </w:rPr>
        <w:t xml:space="preserve"> </w:t>
      </w:r>
      <w:r w:rsidR="00DD3499" w:rsidRPr="000F24AF">
        <w:rPr>
          <w:rFonts w:ascii="Times New Roman" w:hAnsi="Times New Roman" w:cs="Times New Roman"/>
          <w:sz w:val="24"/>
          <w:szCs w:val="24"/>
        </w:rPr>
        <w:t xml:space="preserve">commercial SLHCs and </w:t>
      </w:r>
      <w:r w:rsidR="002727FC" w:rsidRPr="000F24AF">
        <w:rPr>
          <w:rFonts w:ascii="Times New Roman" w:hAnsi="Times New Roman" w:cs="Times New Roman"/>
          <w:sz w:val="24"/>
          <w:szCs w:val="24"/>
        </w:rPr>
        <w:t>29</w:t>
      </w:r>
      <w:r w:rsidR="00E01861" w:rsidRPr="000F24AF">
        <w:rPr>
          <w:rFonts w:ascii="Times New Roman" w:hAnsi="Times New Roman" w:cs="Times New Roman"/>
          <w:sz w:val="24"/>
          <w:szCs w:val="24"/>
        </w:rPr>
        <w:t xml:space="preserve"> </w:t>
      </w:r>
      <w:r w:rsidR="00C036F8" w:rsidRPr="000F24AF">
        <w:rPr>
          <w:rFonts w:ascii="Times New Roman" w:hAnsi="Times New Roman" w:cs="Times New Roman"/>
          <w:sz w:val="24"/>
          <w:szCs w:val="24"/>
        </w:rPr>
        <w:t xml:space="preserve">insurance </w:t>
      </w:r>
      <w:r w:rsidR="00120A2A" w:rsidRPr="000F24AF">
        <w:rPr>
          <w:rFonts w:ascii="Times New Roman" w:hAnsi="Times New Roman" w:cs="Times New Roman"/>
          <w:sz w:val="24"/>
          <w:szCs w:val="24"/>
        </w:rPr>
        <w:t xml:space="preserve">savings and loan holding companies </w:t>
      </w:r>
      <w:r w:rsidR="00C036F8" w:rsidRPr="000F24AF">
        <w:rPr>
          <w:rFonts w:ascii="Times New Roman" w:hAnsi="Times New Roman" w:cs="Times New Roman"/>
          <w:sz w:val="24"/>
          <w:szCs w:val="24"/>
        </w:rPr>
        <w:t>(ISLHCs)</w:t>
      </w:r>
      <w:r w:rsidR="00DD3499" w:rsidRPr="000F24AF">
        <w:rPr>
          <w:rFonts w:ascii="Times New Roman" w:hAnsi="Times New Roman" w:cs="Times New Roman"/>
          <w:sz w:val="24"/>
          <w:szCs w:val="24"/>
        </w:rPr>
        <w:t>.</w:t>
      </w:r>
      <w:r w:rsidR="00955980" w:rsidRPr="000F24AF">
        <w:rPr>
          <w:rFonts w:ascii="Times New Roman" w:hAnsi="Times New Roman" w:cs="Times New Roman"/>
          <w:sz w:val="24"/>
          <w:szCs w:val="24"/>
        </w:rPr>
        <w:t xml:space="preserve"> In addition, </w:t>
      </w:r>
      <w:r w:rsidR="00946E21" w:rsidRPr="000F24AF">
        <w:rPr>
          <w:rFonts w:ascii="Times New Roman" w:hAnsi="Times New Roman" w:cs="Times New Roman"/>
          <w:sz w:val="24"/>
          <w:szCs w:val="24"/>
        </w:rPr>
        <w:t>the Federal Reserve</w:t>
      </w:r>
      <w:r w:rsidR="00955980" w:rsidRPr="000F24AF">
        <w:rPr>
          <w:rFonts w:ascii="Times New Roman" w:hAnsi="Times New Roman" w:cs="Times New Roman"/>
          <w:sz w:val="24"/>
          <w:szCs w:val="24"/>
        </w:rPr>
        <w:t xml:space="preserve"> proposes to remove the </w:t>
      </w:r>
      <w:r w:rsidR="008B22F3" w:rsidRPr="000F24AF">
        <w:rPr>
          <w:rFonts w:ascii="Times New Roman" w:hAnsi="Times New Roman" w:cs="Times New Roman"/>
          <w:sz w:val="24"/>
          <w:szCs w:val="24"/>
        </w:rPr>
        <w:t>d</w:t>
      </w:r>
      <w:r w:rsidR="00955980" w:rsidRPr="000F24AF">
        <w:rPr>
          <w:rFonts w:ascii="Times New Roman" w:hAnsi="Times New Roman" w:cs="Times New Roman"/>
          <w:sz w:val="24"/>
          <w:szCs w:val="24"/>
        </w:rPr>
        <w:t xml:space="preserve">ocket </w:t>
      </w:r>
      <w:r w:rsidR="008B22F3" w:rsidRPr="000F24AF">
        <w:rPr>
          <w:rFonts w:ascii="Times New Roman" w:hAnsi="Times New Roman" w:cs="Times New Roman"/>
          <w:sz w:val="24"/>
          <w:szCs w:val="24"/>
        </w:rPr>
        <w:t>n</w:t>
      </w:r>
      <w:r w:rsidR="00955980" w:rsidRPr="000F24AF">
        <w:rPr>
          <w:rFonts w:ascii="Times New Roman" w:hAnsi="Times New Roman" w:cs="Times New Roman"/>
          <w:sz w:val="24"/>
          <w:szCs w:val="24"/>
        </w:rPr>
        <w:t xml:space="preserve">umber from the reporting form and all references to the docket number </w:t>
      </w:r>
      <w:r w:rsidR="004A73FC" w:rsidRPr="000F24AF">
        <w:rPr>
          <w:rFonts w:ascii="Times New Roman" w:hAnsi="Times New Roman" w:cs="Times New Roman"/>
          <w:sz w:val="24"/>
          <w:szCs w:val="24"/>
        </w:rPr>
        <w:t>in the instructions.</w:t>
      </w:r>
    </w:p>
    <w:p w14:paraId="71A3B1FD" w14:textId="77777777" w:rsidR="00AE6AC1" w:rsidRPr="000F24AF" w:rsidRDefault="00AE6AC1" w:rsidP="00790AB5">
      <w:pPr>
        <w:widowControl/>
        <w:tabs>
          <w:tab w:val="left" w:pos="360"/>
        </w:tabs>
        <w:ind w:firstLine="360"/>
        <w:rPr>
          <w:rFonts w:ascii="Times New Roman" w:hAnsi="Times New Roman" w:cs="Times New Roman"/>
          <w:sz w:val="24"/>
          <w:szCs w:val="24"/>
        </w:rPr>
      </w:pPr>
    </w:p>
    <w:p w14:paraId="2FF02907" w14:textId="77777777" w:rsidR="007212D6" w:rsidRPr="000F24AF" w:rsidRDefault="000C5CEE" w:rsidP="007212D6">
      <w:pPr>
        <w:pStyle w:val="CommentText"/>
        <w:ind w:firstLine="720"/>
        <w:rPr>
          <w:rFonts w:ascii="Times New Roman" w:hAnsi="Times New Roman" w:cs="Times New Roman"/>
          <w:color w:val="000000"/>
          <w:sz w:val="24"/>
          <w:szCs w:val="24"/>
        </w:rPr>
      </w:pPr>
      <w:r w:rsidRPr="000F24AF">
        <w:rPr>
          <w:rFonts w:ascii="Times New Roman" w:hAnsi="Times New Roman" w:cs="Times New Roman"/>
          <w:sz w:val="24"/>
          <w:szCs w:val="24"/>
        </w:rPr>
        <w:t xml:space="preserve">The </w:t>
      </w:r>
      <w:r w:rsidR="00AE6AC1" w:rsidRPr="000F24AF">
        <w:rPr>
          <w:rFonts w:ascii="Times New Roman" w:hAnsi="Times New Roman" w:cs="Times New Roman"/>
          <w:sz w:val="24"/>
          <w:szCs w:val="24"/>
        </w:rPr>
        <w:t>revision</w:t>
      </w:r>
      <w:r w:rsidR="007948FB" w:rsidRPr="000F24AF">
        <w:rPr>
          <w:rFonts w:ascii="Times New Roman" w:hAnsi="Times New Roman" w:cs="Times New Roman"/>
          <w:sz w:val="24"/>
          <w:szCs w:val="24"/>
        </w:rPr>
        <w:t>s</w:t>
      </w:r>
      <w:r w:rsidR="00AE6AC1" w:rsidRPr="000F24AF">
        <w:rPr>
          <w:rFonts w:ascii="Times New Roman" w:hAnsi="Times New Roman" w:cs="Times New Roman"/>
          <w:sz w:val="24"/>
          <w:szCs w:val="24"/>
        </w:rPr>
        <w:t xml:space="preserve"> to the </w:t>
      </w:r>
      <w:r w:rsidR="005B65DD" w:rsidRPr="000F24AF">
        <w:rPr>
          <w:rFonts w:ascii="Times New Roman" w:hAnsi="Times New Roman" w:cs="Times New Roman"/>
          <w:sz w:val="24"/>
          <w:szCs w:val="24"/>
        </w:rPr>
        <w:t xml:space="preserve">FR </w:t>
      </w:r>
      <w:r w:rsidR="00AE6AC1" w:rsidRPr="000F24AF">
        <w:rPr>
          <w:rFonts w:ascii="Times New Roman" w:hAnsi="Times New Roman" w:cs="Times New Roman"/>
          <w:sz w:val="24"/>
          <w:szCs w:val="24"/>
        </w:rPr>
        <w:t>H</w:t>
      </w:r>
      <w:r w:rsidR="005B65DD" w:rsidRPr="000F24AF">
        <w:rPr>
          <w:rFonts w:ascii="Times New Roman" w:hAnsi="Times New Roman" w:cs="Times New Roman"/>
          <w:sz w:val="24"/>
          <w:szCs w:val="24"/>
        </w:rPr>
        <w:t>-</w:t>
      </w:r>
      <w:r w:rsidR="00AE6AC1" w:rsidRPr="000F24AF">
        <w:rPr>
          <w:rFonts w:ascii="Times New Roman" w:hAnsi="Times New Roman" w:cs="Times New Roman"/>
          <w:sz w:val="24"/>
          <w:szCs w:val="24"/>
        </w:rPr>
        <w:t>(b</w:t>
      </w:r>
      <w:proofErr w:type="gramStart"/>
      <w:r w:rsidR="00AE6AC1" w:rsidRPr="000F24AF">
        <w:rPr>
          <w:rFonts w:ascii="Times New Roman" w:hAnsi="Times New Roman" w:cs="Times New Roman"/>
          <w:sz w:val="24"/>
          <w:szCs w:val="24"/>
        </w:rPr>
        <w:t>)11</w:t>
      </w:r>
      <w:proofErr w:type="gramEnd"/>
      <w:r w:rsidR="00AE6AC1" w:rsidRPr="000F24AF">
        <w:rPr>
          <w:rFonts w:ascii="Times New Roman" w:hAnsi="Times New Roman" w:cs="Times New Roman"/>
          <w:sz w:val="24"/>
          <w:szCs w:val="24"/>
        </w:rPr>
        <w:t xml:space="preserve"> </w:t>
      </w:r>
      <w:r w:rsidRPr="000F24AF">
        <w:rPr>
          <w:rFonts w:ascii="Times New Roman" w:hAnsi="Times New Roman" w:cs="Times New Roman"/>
          <w:sz w:val="24"/>
          <w:szCs w:val="24"/>
        </w:rPr>
        <w:t xml:space="preserve">would be effective </w:t>
      </w:r>
      <w:r w:rsidR="00816A61" w:rsidRPr="000F24AF">
        <w:rPr>
          <w:rFonts w:ascii="Times New Roman" w:hAnsi="Times New Roman" w:cs="Times New Roman"/>
          <w:sz w:val="24"/>
          <w:szCs w:val="24"/>
        </w:rPr>
        <w:t xml:space="preserve">as of the </w:t>
      </w:r>
      <w:r w:rsidR="00DD3499" w:rsidRPr="000F24AF">
        <w:rPr>
          <w:rFonts w:ascii="Times New Roman" w:hAnsi="Times New Roman" w:cs="Times New Roman"/>
          <w:sz w:val="24"/>
          <w:szCs w:val="24"/>
        </w:rPr>
        <w:t>September 30,</w:t>
      </w:r>
      <w:r w:rsidRPr="000F24AF">
        <w:rPr>
          <w:rFonts w:ascii="Times New Roman" w:hAnsi="Times New Roman" w:cs="Times New Roman"/>
          <w:sz w:val="24"/>
          <w:szCs w:val="24"/>
        </w:rPr>
        <w:t xml:space="preserve"> 201</w:t>
      </w:r>
      <w:r w:rsidR="00877CF2" w:rsidRPr="000F24AF">
        <w:rPr>
          <w:rFonts w:ascii="Times New Roman" w:hAnsi="Times New Roman" w:cs="Times New Roman"/>
          <w:sz w:val="24"/>
          <w:szCs w:val="24"/>
        </w:rPr>
        <w:t>3</w:t>
      </w:r>
      <w:r w:rsidR="002A188E" w:rsidRPr="000F24AF">
        <w:rPr>
          <w:rFonts w:ascii="Times New Roman" w:hAnsi="Times New Roman" w:cs="Times New Roman"/>
          <w:sz w:val="24"/>
          <w:szCs w:val="24"/>
        </w:rPr>
        <w:t>,</w:t>
      </w:r>
      <w:r w:rsidR="00816A61" w:rsidRPr="000F24AF">
        <w:rPr>
          <w:rFonts w:ascii="Times New Roman" w:hAnsi="Times New Roman" w:cs="Times New Roman"/>
          <w:sz w:val="24"/>
          <w:szCs w:val="24"/>
        </w:rPr>
        <w:t xml:space="preserve"> report date</w:t>
      </w:r>
      <w:r w:rsidRPr="000F24AF">
        <w:rPr>
          <w:rFonts w:ascii="Times New Roman" w:hAnsi="Times New Roman" w:cs="Times New Roman"/>
          <w:sz w:val="24"/>
          <w:szCs w:val="24"/>
        </w:rPr>
        <w:t xml:space="preserve">.  </w:t>
      </w:r>
      <w:r w:rsidR="00A76C67" w:rsidRPr="000F24AF">
        <w:rPr>
          <w:rFonts w:ascii="Times New Roman" w:hAnsi="Times New Roman" w:cs="Times New Roman"/>
          <w:sz w:val="24"/>
          <w:szCs w:val="24"/>
        </w:rPr>
        <w:t>A copy of the reporting form and instructions</w:t>
      </w:r>
      <w:r w:rsidR="007212D6" w:rsidRPr="000F24AF">
        <w:rPr>
          <w:rFonts w:ascii="Times New Roman" w:hAnsi="Times New Roman" w:cs="Times New Roman"/>
          <w:sz w:val="24"/>
          <w:szCs w:val="24"/>
        </w:rPr>
        <w:t>, marked to show the revisions,</w:t>
      </w:r>
      <w:r w:rsidR="00A76C67" w:rsidRPr="000F24AF">
        <w:rPr>
          <w:rFonts w:ascii="Times New Roman" w:hAnsi="Times New Roman" w:cs="Times New Roman"/>
          <w:sz w:val="24"/>
          <w:szCs w:val="24"/>
        </w:rPr>
        <w:t xml:space="preserve"> is </w:t>
      </w:r>
      <w:r w:rsidR="005703E3" w:rsidRPr="000F24AF">
        <w:rPr>
          <w:rFonts w:ascii="Times New Roman" w:hAnsi="Times New Roman" w:cs="Times New Roman"/>
          <w:sz w:val="24"/>
          <w:szCs w:val="24"/>
        </w:rPr>
        <w:t>attach</w:t>
      </w:r>
      <w:r w:rsidR="007212D6" w:rsidRPr="000F24AF">
        <w:rPr>
          <w:rFonts w:ascii="Times New Roman" w:hAnsi="Times New Roman" w:cs="Times New Roman"/>
          <w:sz w:val="24"/>
          <w:szCs w:val="24"/>
        </w:rPr>
        <w:t>ed</w:t>
      </w:r>
      <w:r w:rsidR="00A76C67" w:rsidRPr="000F24AF">
        <w:rPr>
          <w:rFonts w:ascii="Times New Roman" w:hAnsi="Times New Roman" w:cs="Times New Roman"/>
          <w:sz w:val="24"/>
          <w:szCs w:val="24"/>
        </w:rPr>
        <w:t xml:space="preserve">. The </w:t>
      </w:r>
      <w:r w:rsidR="00CE67DC" w:rsidRPr="000F24AF">
        <w:rPr>
          <w:rFonts w:ascii="Times New Roman" w:hAnsi="Times New Roman" w:cs="Times New Roman"/>
          <w:sz w:val="24"/>
          <w:szCs w:val="24"/>
        </w:rPr>
        <w:t xml:space="preserve">current </w:t>
      </w:r>
      <w:r w:rsidR="00A76C67" w:rsidRPr="000F24AF">
        <w:rPr>
          <w:rFonts w:ascii="Times New Roman" w:hAnsi="Times New Roman" w:cs="Times New Roman"/>
          <w:sz w:val="24"/>
          <w:szCs w:val="24"/>
        </w:rPr>
        <w:t xml:space="preserve">annual burden is estimated to be </w:t>
      </w:r>
      <w:r w:rsidR="00CE67DC" w:rsidRPr="000F24AF">
        <w:rPr>
          <w:rFonts w:ascii="Times New Roman" w:hAnsi="Times New Roman" w:cs="Times New Roman"/>
          <w:sz w:val="24"/>
          <w:szCs w:val="24"/>
        </w:rPr>
        <w:t>2,944</w:t>
      </w:r>
      <w:r w:rsidR="005B65DD" w:rsidRPr="000F24AF">
        <w:rPr>
          <w:rFonts w:ascii="Times New Roman" w:hAnsi="Times New Roman" w:cs="Times New Roman"/>
          <w:sz w:val="24"/>
          <w:szCs w:val="24"/>
        </w:rPr>
        <w:t xml:space="preserve"> </w:t>
      </w:r>
      <w:r w:rsidR="00A76C67" w:rsidRPr="000F24AF">
        <w:rPr>
          <w:rFonts w:ascii="Times New Roman" w:hAnsi="Times New Roman" w:cs="Times New Roman"/>
          <w:sz w:val="24"/>
          <w:szCs w:val="24"/>
        </w:rPr>
        <w:t>hours</w:t>
      </w:r>
      <w:r w:rsidR="00CE67DC" w:rsidRPr="000F24AF">
        <w:rPr>
          <w:rFonts w:ascii="Times New Roman" w:hAnsi="Times New Roman" w:cs="Times New Roman"/>
          <w:sz w:val="24"/>
          <w:szCs w:val="24"/>
        </w:rPr>
        <w:t xml:space="preserve"> and would decrease to </w:t>
      </w:r>
      <w:r w:rsidR="00373A43" w:rsidRPr="000F24AF">
        <w:rPr>
          <w:rFonts w:ascii="Times New Roman" w:hAnsi="Times New Roman" w:cs="Times New Roman"/>
          <w:sz w:val="24"/>
          <w:szCs w:val="24"/>
        </w:rPr>
        <w:t xml:space="preserve">264 </w:t>
      </w:r>
      <w:r w:rsidR="00CE67DC" w:rsidRPr="000F24AF">
        <w:rPr>
          <w:rFonts w:ascii="Times New Roman" w:hAnsi="Times New Roman" w:cs="Times New Roman"/>
          <w:sz w:val="24"/>
          <w:szCs w:val="24"/>
        </w:rPr>
        <w:t xml:space="preserve">hours with the </w:t>
      </w:r>
      <w:r w:rsidR="007212D6" w:rsidRPr="000F24AF">
        <w:rPr>
          <w:rFonts w:ascii="Times New Roman" w:hAnsi="Times New Roman" w:cs="Times New Roman"/>
          <w:sz w:val="24"/>
          <w:szCs w:val="24"/>
        </w:rPr>
        <w:t>proposed revision</w:t>
      </w:r>
      <w:r w:rsidR="007948FB" w:rsidRPr="000F24AF">
        <w:rPr>
          <w:rFonts w:ascii="Times New Roman" w:hAnsi="Times New Roman" w:cs="Times New Roman"/>
          <w:sz w:val="24"/>
          <w:szCs w:val="24"/>
        </w:rPr>
        <w:t>s</w:t>
      </w:r>
      <w:r w:rsidR="007212D6" w:rsidRPr="000F24AF">
        <w:rPr>
          <w:rFonts w:ascii="Times New Roman" w:hAnsi="Times New Roman" w:cs="Times New Roman"/>
          <w:sz w:val="24"/>
          <w:szCs w:val="24"/>
        </w:rPr>
        <w:t>.</w:t>
      </w:r>
      <w:r w:rsidR="007212D6" w:rsidRPr="000F24AF">
        <w:rPr>
          <w:rFonts w:ascii="Times New Roman" w:hAnsi="Times New Roman" w:cs="Times New Roman"/>
          <w:color w:val="000000"/>
          <w:sz w:val="24"/>
          <w:szCs w:val="24"/>
        </w:rPr>
        <w:t xml:space="preserve"> </w:t>
      </w:r>
    </w:p>
    <w:p w14:paraId="2B62BD99" w14:textId="77777777" w:rsidR="00E974C5" w:rsidRPr="000F24AF" w:rsidRDefault="00E974C5" w:rsidP="007212D6">
      <w:pPr>
        <w:pStyle w:val="CommentText"/>
        <w:ind w:firstLine="720"/>
        <w:rPr>
          <w:rFonts w:ascii="Times New Roman" w:hAnsi="Times New Roman" w:cs="Times New Roman"/>
          <w:color w:val="000000"/>
          <w:sz w:val="24"/>
          <w:szCs w:val="24"/>
        </w:rPr>
      </w:pPr>
    </w:p>
    <w:p w14:paraId="38EC1F35" w14:textId="77777777" w:rsidR="00FC1E38" w:rsidRPr="000F24AF" w:rsidRDefault="00FC1E38" w:rsidP="00FC1E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s="Times New Roman"/>
          <w:sz w:val="24"/>
          <w:szCs w:val="24"/>
        </w:rPr>
      </w:pPr>
      <w:r w:rsidRPr="000F24AF">
        <w:rPr>
          <w:rFonts w:ascii="Times New Roman" w:hAnsi="Times New Roman" w:cs="Times New Roman"/>
          <w:b/>
          <w:sz w:val="24"/>
          <w:szCs w:val="24"/>
        </w:rPr>
        <w:t>Background and Justification</w:t>
      </w:r>
    </w:p>
    <w:p w14:paraId="5575FBCF" w14:textId="77777777" w:rsidR="00204EB8" w:rsidRPr="000F24AF" w:rsidRDefault="00204EB8" w:rsidP="000C6E50">
      <w:pPr>
        <w:widowControl/>
        <w:ind w:firstLine="720"/>
        <w:rPr>
          <w:rFonts w:ascii="Times New Roman" w:hAnsi="Times New Roman" w:cs="Times New Roman"/>
          <w:sz w:val="24"/>
          <w:szCs w:val="24"/>
        </w:rPr>
      </w:pPr>
    </w:p>
    <w:p w14:paraId="2A4A1FF3" w14:textId="77777777" w:rsidR="00130BDD" w:rsidRPr="000F24AF" w:rsidRDefault="00DD3499" w:rsidP="000C6E50">
      <w:pPr>
        <w:widowControl/>
        <w:ind w:firstLine="720"/>
        <w:rPr>
          <w:rFonts w:ascii="Times New Roman" w:hAnsi="Times New Roman" w:cs="Times New Roman"/>
          <w:sz w:val="24"/>
          <w:szCs w:val="24"/>
        </w:rPr>
      </w:pPr>
      <w:r w:rsidRPr="000F24AF">
        <w:rPr>
          <w:rFonts w:ascii="Times New Roman" w:hAnsi="Times New Roman" w:cs="Times New Roman"/>
          <w:color w:val="000000"/>
          <w:sz w:val="24"/>
          <w:szCs w:val="24"/>
        </w:rPr>
        <w:t xml:space="preserve">The Dodd-Frank Wall Street Reform and Consumer Protection Act (the Dodd-Frank Act) was enacted into law on July 21, 2010.  Title III of the Dodd-Frank Act transferred all former Office of Thrift Supervision (OTS) authorities (including rulemaking) related to SLHCs to the Federal Reserve on July 21, 2011.   </w:t>
      </w:r>
      <w:r w:rsidR="002A2803" w:rsidRPr="000F24AF">
        <w:rPr>
          <w:rFonts w:ascii="Times New Roman" w:hAnsi="Times New Roman" w:cs="Times New Roman"/>
          <w:color w:val="000000"/>
          <w:sz w:val="24"/>
          <w:szCs w:val="24"/>
        </w:rPr>
        <w:t>Consequently, t</w:t>
      </w:r>
      <w:r w:rsidRPr="000F24AF">
        <w:rPr>
          <w:rFonts w:ascii="Times New Roman" w:hAnsi="Times New Roman" w:cs="Times New Roman"/>
          <w:color w:val="000000"/>
          <w:sz w:val="24"/>
          <w:szCs w:val="24"/>
        </w:rPr>
        <w:t xml:space="preserve">he Federal Reserve </w:t>
      </w:r>
      <w:r w:rsidR="003D05F1" w:rsidRPr="000F24AF">
        <w:rPr>
          <w:rFonts w:ascii="Times New Roman" w:hAnsi="Times New Roman" w:cs="Times New Roman"/>
          <w:color w:val="000000"/>
          <w:sz w:val="24"/>
          <w:szCs w:val="24"/>
        </w:rPr>
        <w:t>became</w:t>
      </w:r>
      <w:r w:rsidRPr="000F24AF">
        <w:rPr>
          <w:rFonts w:ascii="Times New Roman" w:hAnsi="Times New Roman" w:cs="Times New Roman"/>
          <w:color w:val="000000"/>
          <w:sz w:val="24"/>
          <w:szCs w:val="24"/>
        </w:rPr>
        <w:t xml:space="preserve"> the consolidated </w:t>
      </w:r>
      <w:r w:rsidR="00373A43" w:rsidRPr="000F24AF">
        <w:rPr>
          <w:rFonts w:ascii="Times New Roman" w:hAnsi="Times New Roman" w:cs="Times New Roman"/>
          <w:color w:val="000000"/>
          <w:sz w:val="24"/>
          <w:szCs w:val="24"/>
        </w:rPr>
        <w:t>supervis</w:t>
      </w:r>
      <w:r w:rsidR="007948FB" w:rsidRPr="000F24AF">
        <w:rPr>
          <w:rFonts w:ascii="Times New Roman" w:hAnsi="Times New Roman" w:cs="Times New Roman"/>
          <w:color w:val="000000"/>
          <w:sz w:val="24"/>
          <w:szCs w:val="24"/>
        </w:rPr>
        <w:t>o</w:t>
      </w:r>
      <w:r w:rsidR="00373A43" w:rsidRPr="000F24AF">
        <w:rPr>
          <w:rFonts w:ascii="Times New Roman" w:hAnsi="Times New Roman" w:cs="Times New Roman"/>
          <w:color w:val="000000"/>
          <w:sz w:val="24"/>
          <w:szCs w:val="24"/>
        </w:rPr>
        <w:t xml:space="preserve">r </w:t>
      </w:r>
      <w:r w:rsidRPr="000F24AF">
        <w:rPr>
          <w:rFonts w:ascii="Times New Roman" w:hAnsi="Times New Roman" w:cs="Times New Roman"/>
          <w:color w:val="000000"/>
          <w:sz w:val="24"/>
          <w:szCs w:val="24"/>
        </w:rPr>
        <w:t>of SLHCs beginning July 21, 2011.</w:t>
      </w:r>
    </w:p>
    <w:p w14:paraId="78B86865" w14:textId="77777777" w:rsidR="00CE67DC" w:rsidRPr="000F24AF" w:rsidRDefault="00CE67DC" w:rsidP="00CE67DC">
      <w:pPr>
        <w:widowControl/>
        <w:tabs>
          <w:tab w:val="left" w:pos="-1440"/>
        </w:tabs>
        <w:ind w:firstLine="720"/>
        <w:rPr>
          <w:rFonts w:ascii="Times New Roman" w:hAnsi="Times New Roman" w:cs="Times New Roman"/>
          <w:snapToGrid w:val="0"/>
          <w:sz w:val="24"/>
          <w:szCs w:val="24"/>
        </w:rPr>
      </w:pPr>
    </w:p>
    <w:p w14:paraId="5589D098" w14:textId="5D4F8D58" w:rsidR="00CE67DC" w:rsidRPr="000F24AF" w:rsidRDefault="00CE67DC" w:rsidP="00CE67DC">
      <w:pPr>
        <w:widowControl/>
        <w:tabs>
          <w:tab w:val="left" w:pos="-1440"/>
        </w:tabs>
        <w:ind w:firstLine="720"/>
        <w:rPr>
          <w:rFonts w:ascii="Times New Roman" w:hAnsi="Times New Roman" w:cs="Times New Roman"/>
          <w:sz w:val="24"/>
          <w:szCs w:val="24"/>
        </w:rPr>
      </w:pPr>
      <w:r w:rsidRPr="000F24AF">
        <w:rPr>
          <w:rFonts w:ascii="Times New Roman" w:hAnsi="Times New Roman" w:cs="Times New Roman"/>
          <w:snapToGrid w:val="0"/>
          <w:sz w:val="24"/>
          <w:szCs w:val="24"/>
        </w:rPr>
        <w:lastRenderedPageBreak/>
        <w:t xml:space="preserve">On September 9, 2011, a joint notice was published in the </w:t>
      </w:r>
      <w:r w:rsidRPr="000F24AF">
        <w:rPr>
          <w:rFonts w:ascii="Times New Roman" w:hAnsi="Times New Roman" w:cs="Times New Roman"/>
          <w:i/>
          <w:snapToGrid w:val="0"/>
          <w:sz w:val="24"/>
          <w:szCs w:val="24"/>
        </w:rPr>
        <w:t>Federal Register</w:t>
      </w:r>
      <w:r w:rsidRPr="000F24AF">
        <w:rPr>
          <w:rFonts w:ascii="Times New Roman" w:hAnsi="Times New Roman" w:cs="Times New Roman"/>
          <w:snapToGrid w:val="0"/>
          <w:sz w:val="24"/>
          <w:szCs w:val="24"/>
        </w:rPr>
        <w:t xml:space="preserve"> which set out the list of the OTS information collections that were transferred to either the Office of the Comptroller of the Currency (OCC) or the Federal Reserve. Among the information </w:t>
      </w:r>
      <w:r w:rsidR="00373A43" w:rsidRPr="000F24AF">
        <w:rPr>
          <w:rFonts w:ascii="Times New Roman" w:hAnsi="Times New Roman" w:cs="Times New Roman"/>
          <w:snapToGrid w:val="0"/>
          <w:sz w:val="24"/>
          <w:szCs w:val="24"/>
        </w:rPr>
        <w:t xml:space="preserve">collections </w:t>
      </w:r>
      <w:r w:rsidRPr="000F24AF">
        <w:rPr>
          <w:rFonts w:ascii="Times New Roman" w:hAnsi="Times New Roman" w:cs="Times New Roman"/>
          <w:snapToGrid w:val="0"/>
          <w:sz w:val="24"/>
          <w:szCs w:val="24"/>
        </w:rPr>
        <w:t xml:space="preserve">transferred to the </w:t>
      </w:r>
      <w:r w:rsidR="00946E21" w:rsidRPr="000F24AF">
        <w:rPr>
          <w:rFonts w:ascii="Times New Roman" w:hAnsi="Times New Roman" w:cs="Times New Roman"/>
          <w:snapToGrid w:val="0"/>
          <w:sz w:val="24"/>
          <w:szCs w:val="24"/>
        </w:rPr>
        <w:t>Federal Reserve</w:t>
      </w:r>
      <w:r w:rsidRPr="000F24AF">
        <w:rPr>
          <w:rFonts w:ascii="Times New Roman" w:hAnsi="Times New Roman" w:cs="Times New Roman"/>
          <w:snapToGrid w:val="0"/>
          <w:sz w:val="24"/>
          <w:szCs w:val="24"/>
        </w:rPr>
        <w:t xml:space="preserve"> was the </w:t>
      </w:r>
      <w:r w:rsidRPr="00B82F7F">
        <w:rPr>
          <w:rFonts w:ascii="Times New Roman" w:hAnsi="Times New Roman" w:cs="Times New Roman"/>
          <w:snapToGrid w:val="0"/>
          <w:sz w:val="24"/>
          <w:szCs w:val="24"/>
        </w:rPr>
        <w:t>Savings Association Holding Company Report (H-(b</w:t>
      </w:r>
      <w:proofErr w:type="gramStart"/>
      <w:r w:rsidRPr="00B82F7F">
        <w:rPr>
          <w:rFonts w:ascii="Times New Roman" w:hAnsi="Times New Roman" w:cs="Times New Roman"/>
          <w:snapToGrid w:val="0"/>
          <w:sz w:val="24"/>
          <w:szCs w:val="24"/>
        </w:rPr>
        <w:t>)11</w:t>
      </w:r>
      <w:proofErr w:type="gramEnd"/>
      <w:r w:rsidRPr="00B82F7F">
        <w:rPr>
          <w:rFonts w:ascii="Times New Roman" w:hAnsi="Times New Roman" w:cs="Times New Roman"/>
          <w:snapToGrid w:val="0"/>
          <w:sz w:val="24"/>
          <w:szCs w:val="24"/>
        </w:rPr>
        <w:t>) known as the Annual/Current Report</w:t>
      </w:r>
      <w:r w:rsidRPr="000F24AF">
        <w:rPr>
          <w:rFonts w:ascii="Times New Roman" w:hAnsi="Times New Roman" w:cs="Times New Roman"/>
          <w:i/>
          <w:snapToGrid w:val="0"/>
          <w:sz w:val="24"/>
          <w:szCs w:val="24"/>
        </w:rPr>
        <w:t>.</w:t>
      </w:r>
      <w:r w:rsidR="00F85ADE" w:rsidRPr="000F24AF">
        <w:rPr>
          <w:rStyle w:val="FootnoteReference"/>
          <w:rFonts w:ascii="Times New Roman" w:hAnsi="Times New Roman" w:cs="Times New Roman"/>
          <w:snapToGrid w:val="0"/>
          <w:sz w:val="24"/>
          <w:szCs w:val="24"/>
          <w:vertAlign w:val="superscript"/>
        </w:rPr>
        <w:footnoteReference w:id="3"/>
      </w:r>
      <w:r w:rsidRPr="000F24AF">
        <w:rPr>
          <w:rFonts w:ascii="Times New Roman" w:hAnsi="Times New Roman" w:cs="Times New Roman"/>
          <w:sz w:val="24"/>
          <w:szCs w:val="24"/>
          <w:vertAlign w:val="superscript"/>
        </w:rPr>
        <w:t xml:space="preserve"> </w:t>
      </w:r>
      <w:r w:rsidRPr="000F24AF">
        <w:rPr>
          <w:rFonts w:ascii="Times New Roman" w:hAnsi="Times New Roman" w:cs="Times New Roman"/>
          <w:sz w:val="24"/>
          <w:szCs w:val="24"/>
        </w:rPr>
        <w:t xml:space="preserve"> </w:t>
      </w:r>
    </w:p>
    <w:p w14:paraId="23143242" w14:textId="77777777" w:rsidR="00130BDD" w:rsidRPr="000F24AF" w:rsidRDefault="00130BDD" w:rsidP="000C6E50">
      <w:pPr>
        <w:widowControl/>
        <w:ind w:firstLine="720"/>
        <w:rPr>
          <w:rFonts w:ascii="Times New Roman" w:hAnsi="Times New Roman" w:cs="Times New Roman"/>
          <w:sz w:val="24"/>
          <w:szCs w:val="24"/>
        </w:rPr>
      </w:pPr>
    </w:p>
    <w:p w14:paraId="58D8DC0D" w14:textId="77777777" w:rsidR="00DD3499" w:rsidRPr="000F24AF" w:rsidRDefault="00DD3499" w:rsidP="000C6E50">
      <w:pPr>
        <w:widowControl/>
        <w:ind w:firstLine="720"/>
        <w:rPr>
          <w:rFonts w:ascii="Times New Roman" w:hAnsi="Times New Roman" w:cs="Times New Roman"/>
          <w:sz w:val="24"/>
          <w:szCs w:val="24"/>
        </w:rPr>
      </w:pPr>
      <w:r w:rsidRPr="000F24AF">
        <w:rPr>
          <w:rFonts w:ascii="Times New Roman" w:hAnsi="Times New Roman" w:cs="Times New Roman"/>
          <w:sz w:val="24"/>
          <w:szCs w:val="24"/>
        </w:rPr>
        <w:t>The Federal Reserve use</w:t>
      </w:r>
      <w:r w:rsidR="00457113" w:rsidRPr="000F24AF">
        <w:rPr>
          <w:rFonts w:ascii="Times New Roman" w:hAnsi="Times New Roman" w:cs="Times New Roman"/>
          <w:sz w:val="24"/>
          <w:szCs w:val="24"/>
        </w:rPr>
        <w:t>s</w:t>
      </w:r>
      <w:r w:rsidRPr="000F24AF">
        <w:rPr>
          <w:rFonts w:ascii="Times New Roman" w:hAnsi="Times New Roman" w:cs="Times New Roman"/>
          <w:sz w:val="24"/>
          <w:szCs w:val="24"/>
        </w:rPr>
        <w:t xml:space="preserve"> the </w:t>
      </w:r>
      <w:r w:rsidR="003D05F1" w:rsidRPr="000F24AF">
        <w:rPr>
          <w:rFonts w:ascii="Times New Roman" w:hAnsi="Times New Roman" w:cs="Times New Roman"/>
          <w:sz w:val="24"/>
          <w:szCs w:val="24"/>
        </w:rPr>
        <w:t xml:space="preserve">FR </w:t>
      </w:r>
      <w:r w:rsidRPr="000F24AF">
        <w:rPr>
          <w:rFonts w:ascii="Times New Roman" w:hAnsi="Times New Roman" w:cs="Times New Roman"/>
          <w:sz w:val="24"/>
          <w:szCs w:val="24"/>
        </w:rPr>
        <w:t>H</w:t>
      </w:r>
      <w:r w:rsidR="00CE67DC" w:rsidRPr="000F24AF">
        <w:rPr>
          <w:rFonts w:ascii="Times New Roman" w:hAnsi="Times New Roman" w:cs="Times New Roman"/>
          <w:sz w:val="24"/>
          <w:szCs w:val="24"/>
        </w:rPr>
        <w:t>-</w:t>
      </w:r>
      <w:r w:rsidRPr="000F24AF">
        <w:rPr>
          <w:rFonts w:ascii="Times New Roman" w:hAnsi="Times New Roman" w:cs="Times New Roman"/>
          <w:sz w:val="24"/>
          <w:szCs w:val="24"/>
        </w:rPr>
        <w:t>(b</w:t>
      </w:r>
      <w:proofErr w:type="gramStart"/>
      <w:r w:rsidRPr="000F24AF">
        <w:rPr>
          <w:rFonts w:ascii="Times New Roman" w:hAnsi="Times New Roman" w:cs="Times New Roman"/>
          <w:sz w:val="24"/>
          <w:szCs w:val="24"/>
        </w:rPr>
        <w:t>)11</w:t>
      </w:r>
      <w:proofErr w:type="gramEnd"/>
      <w:r w:rsidRPr="000F24AF">
        <w:rPr>
          <w:rFonts w:ascii="Times New Roman" w:hAnsi="Times New Roman" w:cs="Times New Roman"/>
          <w:sz w:val="24"/>
          <w:szCs w:val="24"/>
        </w:rPr>
        <w:t xml:space="preserve"> data to analyze the overall financial condition of SLHCs to ensure safe and sound operations. The information is also used to assess the SLHC's ability to be a continuing source of strength to its savings association operations and in </w:t>
      </w:r>
      <w:r w:rsidR="0099199D" w:rsidRPr="000F24AF">
        <w:rPr>
          <w:rFonts w:ascii="Times New Roman" w:hAnsi="Times New Roman" w:cs="Times New Roman"/>
          <w:sz w:val="24"/>
          <w:szCs w:val="24"/>
        </w:rPr>
        <w:t>d</w:t>
      </w:r>
      <w:r w:rsidRPr="000F24AF">
        <w:rPr>
          <w:rFonts w:ascii="Times New Roman" w:hAnsi="Times New Roman" w:cs="Times New Roman"/>
          <w:sz w:val="24"/>
          <w:szCs w:val="24"/>
        </w:rPr>
        <w:t>etermining whether an institution is in compliance with applicable laws and regulations.</w:t>
      </w:r>
      <w:r w:rsidR="00DB53BE" w:rsidRPr="000F24AF">
        <w:rPr>
          <w:rFonts w:ascii="Times New Roman" w:hAnsi="Times New Roman" w:cs="Times New Roman"/>
          <w:sz w:val="24"/>
          <w:szCs w:val="24"/>
        </w:rPr>
        <w:t xml:space="preserve"> </w:t>
      </w:r>
      <w:r w:rsidR="00DB53BE" w:rsidRPr="000F24AF">
        <w:rPr>
          <w:rFonts w:ascii="Times New Roman" w:hAnsi="Times New Roman" w:cs="Times New Roman"/>
          <w:color w:val="000000"/>
          <w:sz w:val="24"/>
          <w:szCs w:val="24"/>
        </w:rPr>
        <w:t>The FR H-(b</w:t>
      </w:r>
      <w:proofErr w:type="gramStart"/>
      <w:r w:rsidR="00DB53BE" w:rsidRPr="000F24AF">
        <w:rPr>
          <w:rFonts w:ascii="Times New Roman" w:hAnsi="Times New Roman" w:cs="Times New Roman"/>
          <w:color w:val="000000"/>
          <w:sz w:val="24"/>
          <w:szCs w:val="24"/>
        </w:rPr>
        <w:t>)11</w:t>
      </w:r>
      <w:proofErr w:type="gramEnd"/>
      <w:r w:rsidR="00DB53BE" w:rsidRPr="000F24AF">
        <w:rPr>
          <w:rFonts w:ascii="Times New Roman" w:hAnsi="Times New Roman" w:cs="Times New Roman"/>
          <w:color w:val="000000"/>
          <w:sz w:val="24"/>
          <w:szCs w:val="24"/>
        </w:rPr>
        <w:t xml:space="preserve"> data collection contribute</w:t>
      </w:r>
      <w:r w:rsidR="002A2803" w:rsidRPr="000F24AF">
        <w:rPr>
          <w:rFonts w:ascii="Times New Roman" w:hAnsi="Times New Roman" w:cs="Times New Roman"/>
          <w:color w:val="000000"/>
          <w:sz w:val="24"/>
          <w:szCs w:val="24"/>
        </w:rPr>
        <w:t>s</w:t>
      </w:r>
      <w:r w:rsidR="00DB53BE" w:rsidRPr="000F24AF">
        <w:rPr>
          <w:rFonts w:ascii="Times New Roman" w:hAnsi="Times New Roman" w:cs="Times New Roman"/>
          <w:color w:val="000000"/>
          <w:sz w:val="24"/>
          <w:szCs w:val="24"/>
        </w:rPr>
        <w:t xml:space="preserve"> to the analyses of the overall financial condition of exempt SLHCs to ensure safe and sound operations.</w:t>
      </w:r>
    </w:p>
    <w:p w14:paraId="127EC2E8" w14:textId="77777777" w:rsidR="00130BDD" w:rsidRPr="000F24AF" w:rsidRDefault="00130BDD" w:rsidP="000C6E50">
      <w:pPr>
        <w:widowControl/>
        <w:ind w:firstLine="720"/>
        <w:rPr>
          <w:rFonts w:ascii="Times New Roman" w:hAnsi="Times New Roman" w:cs="Times New Roman"/>
          <w:sz w:val="24"/>
          <w:szCs w:val="24"/>
        </w:rPr>
      </w:pPr>
    </w:p>
    <w:p w14:paraId="2407EC24" w14:textId="77777777" w:rsidR="00021D5D" w:rsidRPr="000F24AF" w:rsidRDefault="00021D5D" w:rsidP="00021D5D">
      <w:pPr>
        <w:rPr>
          <w:rFonts w:ascii="Times New Roman" w:hAnsi="Times New Roman" w:cs="Times New Roman"/>
          <w:sz w:val="24"/>
          <w:szCs w:val="24"/>
        </w:rPr>
      </w:pPr>
      <w:r w:rsidRPr="000F24AF">
        <w:rPr>
          <w:rFonts w:ascii="Times New Roman" w:hAnsi="Times New Roman" w:cs="Times New Roman"/>
          <w:b/>
          <w:bCs/>
          <w:sz w:val="24"/>
          <w:szCs w:val="24"/>
        </w:rPr>
        <w:t>Description of Information Collection</w:t>
      </w:r>
    </w:p>
    <w:p w14:paraId="5EFADAD9" w14:textId="77777777" w:rsidR="006A6B67" w:rsidRPr="000F24AF" w:rsidRDefault="00C744F3" w:rsidP="006A6B67">
      <w:pPr>
        <w:pStyle w:val="Heading1"/>
        <w:rPr>
          <w:rFonts w:ascii="Times New Roman" w:hAnsi="Times New Roman" w:cs="Times New Roman"/>
          <w:bCs/>
        </w:rPr>
      </w:pPr>
      <w:r w:rsidRPr="000F24AF">
        <w:rPr>
          <w:rFonts w:ascii="Times New Roman" w:hAnsi="Times New Roman" w:cs="Times New Roman"/>
          <w:bCs/>
        </w:rPr>
        <w:tab/>
      </w:r>
    </w:p>
    <w:p w14:paraId="58AA9265" w14:textId="77777777" w:rsidR="00CE67DC" w:rsidRPr="000F24AF" w:rsidRDefault="00CE67DC" w:rsidP="00CE67DC">
      <w:pPr>
        <w:widowControl/>
        <w:tabs>
          <w:tab w:val="left" w:pos="-1440"/>
        </w:tabs>
        <w:ind w:firstLine="720"/>
        <w:rPr>
          <w:rFonts w:ascii="Times New Roman" w:hAnsi="Times New Roman" w:cs="Times New Roman"/>
          <w:sz w:val="24"/>
          <w:szCs w:val="24"/>
        </w:rPr>
      </w:pPr>
      <w:r w:rsidRPr="000F24AF">
        <w:rPr>
          <w:rFonts w:ascii="Times New Roman" w:hAnsi="Times New Roman" w:cs="Times New Roman"/>
          <w:sz w:val="24"/>
          <w:szCs w:val="24"/>
        </w:rPr>
        <w:t>As mentioned above, t</w:t>
      </w:r>
      <w:r w:rsidR="00DB53BE" w:rsidRPr="000F24AF">
        <w:rPr>
          <w:rFonts w:ascii="Times New Roman" w:hAnsi="Times New Roman" w:cs="Times New Roman"/>
          <w:sz w:val="24"/>
          <w:szCs w:val="24"/>
        </w:rPr>
        <w:t xml:space="preserve">he FR H-(b)11 collects </w:t>
      </w:r>
      <w:r w:rsidR="00CF0B31" w:rsidRPr="000F24AF">
        <w:rPr>
          <w:rFonts w:ascii="Times New Roman" w:hAnsi="Times New Roman" w:cs="Times New Roman"/>
          <w:sz w:val="24"/>
          <w:szCs w:val="24"/>
        </w:rPr>
        <w:t xml:space="preserve">quarterly from most top-tier SLHCs information on </w:t>
      </w:r>
      <w:r w:rsidR="00DB53BE" w:rsidRPr="000F24AF">
        <w:rPr>
          <w:rFonts w:ascii="Times New Roman" w:hAnsi="Times New Roman" w:cs="Times New Roman"/>
          <w:sz w:val="24"/>
          <w:szCs w:val="24"/>
        </w:rPr>
        <w:t xml:space="preserve">filings with the </w:t>
      </w:r>
      <w:r w:rsidR="00C036F8" w:rsidRPr="000F24AF">
        <w:rPr>
          <w:rFonts w:ascii="Times New Roman" w:hAnsi="Times New Roman" w:cs="Times New Roman"/>
          <w:sz w:val="24"/>
          <w:szCs w:val="24"/>
        </w:rPr>
        <w:t>SEC</w:t>
      </w:r>
      <w:r w:rsidR="00DB53BE" w:rsidRPr="000F24AF">
        <w:rPr>
          <w:rFonts w:ascii="Times New Roman" w:hAnsi="Times New Roman" w:cs="Times New Roman"/>
          <w:sz w:val="24"/>
          <w:szCs w:val="24"/>
        </w:rPr>
        <w:t>, reports provided by the nationally recognized statistical rating organizations and securities analysts, supplemental information for select questions from the FR 2320, financial statements, and other materially important events and exhibits.</w:t>
      </w:r>
      <w:r w:rsidRPr="000F24AF">
        <w:rPr>
          <w:rFonts w:ascii="Times New Roman" w:hAnsi="Times New Roman" w:cs="Times New Roman"/>
          <w:sz w:val="24"/>
          <w:szCs w:val="24"/>
        </w:rPr>
        <w:t xml:space="preserve">  The majority of SLHCs also file either the Consolidated Financial Statements for Holding Companies (FR Y-9C; OMB No. 7100-0128) or the Parent Company Only Financial Statements for Small Holding Companies (FR Y-9SP; OMB No. 7100-0128).  </w:t>
      </w:r>
    </w:p>
    <w:p w14:paraId="22BF052F" w14:textId="77777777" w:rsidR="00085983" w:rsidRPr="000F24AF" w:rsidRDefault="00085983" w:rsidP="00DB53BE">
      <w:pPr>
        <w:ind w:firstLine="720"/>
        <w:rPr>
          <w:rFonts w:ascii="Times New Roman" w:hAnsi="Times New Roman" w:cs="Times New Roman"/>
          <w:sz w:val="24"/>
          <w:szCs w:val="24"/>
        </w:rPr>
      </w:pPr>
    </w:p>
    <w:p w14:paraId="1536A369" w14:textId="77777777" w:rsidR="00877CF2" w:rsidRPr="000F24AF" w:rsidRDefault="006A6B67" w:rsidP="00757687">
      <w:pPr>
        <w:widowControl/>
        <w:rPr>
          <w:rFonts w:ascii="Times New Roman" w:hAnsi="Times New Roman" w:cs="Times New Roman"/>
          <w:b/>
          <w:color w:val="000000"/>
          <w:sz w:val="24"/>
          <w:szCs w:val="24"/>
        </w:rPr>
      </w:pPr>
      <w:r w:rsidRPr="000F24AF">
        <w:rPr>
          <w:rFonts w:ascii="Times New Roman" w:hAnsi="Times New Roman" w:cs="Times New Roman"/>
          <w:bCs/>
          <w:sz w:val="24"/>
          <w:szCs w:val="24"/>
        </w:rPr>
        <w:tab/>
      </w:r>
      <w:r w:rsidR="00877CF2" w:rsidRPr="000F24AF">
        <w:rPr>
          <w:rFonts w:ascii="Times New Roman" w:hAnsi="Times New Roman" w:cs="Times New Roman"/>
          <w:b/>
          <w:color w:val="000000"/>
          <w:sz w:val="24"/>
          <w:szCs w:val="24"/>
        </w:rPr>
        <w:t>Proposed Revisions</w:t>
      </w:r>
    </w:p>
    <w:p w14:paraId="6C27A39F" w14:textId="77777777" w:rsidR="00020F41" w:rsidRPr="000F24AF" w:rsidRDefault="00020F41" w:rsidP="00757687">
      <w:pPr>
        <w:widowControl/>
        <w:tabs>
          <w:tab w:val="left" w:pos="2925"/>
        </w:tabs>
        <w:rPr>
          <w:rFonts w:ascii="Times New Roman" w:hAnsi="Times New Roman" w:cs="Times New Roman"/>
          <w:sz w:val="24"/>
          <w:szCs w:val="24"/>
        </w:rPr>
      </w:pPr>
      <w:r w:rsidRPr="000F24AF">
        <w:rPr>
          <w:rFonts w:ascii="Times New Roman" w:hAnsi="Times New Roman" w:cs="Times New Roman"/>
          <w:sz w:val="24"/>
          <w:szCs w:val="24"/>
        </w:rPr>
        <w:t xml:space="preserve"> </w:t>
      </w:r>
    </w:p>
    <w:p w14:paraId="47BCF89B" w14:textId="3205BBAC" w:rsidR="00B93059" w:rsidRPr="000F24AF" w:rsidRDefault="001633F8" w:rsidP="00757687">
      <w:pPr>
        <w:widowControl/>
        <w:ind w:firstLine="720"/>
        <w:rPr>
          <w:rFonts w:ascii="Times New Roman" w:hAnsi="Times New Roman" w:cs="Times New Roman"/>
          <w:sz w:val="24"/>
          <w:szCs w:val="24"/>
        </w:rPr>
      </w:pPr>
      <w:r w:rsidRPr="000F24AF">
        <w:rPr>
          <w:rFonts w:ascii="Times New Roman" w:hAnsi="Times New Roman" w:cs="Times New Roman"/>
          <w:sz w:val="24"/>
          <w:szCs w:val="24"/>
        </w:rPr>
        <w:t>Currently all SLHCs must file the FR H-(b</w:t>
      </w:r>
      <w:proofErr w:type="gramStart"/>
      <w:r w:rsidRPr="000F24AF">
        <w:rPr>
          <w:rFonts w:ascii="Times New Roman" w:hAnsi="Times New Roman" w:cs="Times New Roman"/>
          <w:sz w:val="24"/>
          <w:szCs w:val="24"/>
        </w:rPr>
        <w:t>)11</w:t>
      </w:r>
      <w:proofErr w:type="gramEnd"/>
      <w:r w:rsidRPr="000F24AF">
        <w:rPr>
          <w:rFonts w:ascii="Times New Roman" w:hAnsi="Times New Roman" w:cs="Times New Roman"/>
          <w:sz w:val="24"/>
          <w:szCs w:val="24"/>
        </w:rPr>
        <w:t>.  However, the majority of SLHCs file other Federal Reserve regulatory reports such as the FR Y-9C or the FR Y-9SP; therefore, the FR H-(b)11 is no longer need</w:t>
      </w:r>
      <w:r w:rsidR="006E14A3" w:rsidRPr="000F24AF">
        <w:rPr>
          <w:rFonts w:ascii="Times New Roman" w:hAnsi="Times New Roman" w:cs="Times New Roman"/>
          <w:sz w:val="24"/>
          <w:szCs w:val="24"/>
        </w:rPr>
        <w:t>ed</w:t>
      </w:r>
      <w:r w:rsidRPr="000F24AF">
        <w:rPr>
          <w:rFonts w:ascii="Times New Roman" w:hAnsi="Times New Roman" w:cs="Times New Roman"/>
          <w:sz w:val="24"/>
          <w:szCs w:val="24"/>
        </w:rPr>
        <w:t xml:space="preserve"> from these SLHCs for supervision purposes.  </w:t>
      </w:r>
      <w:r w:rsidR="00946E21" w:rsidRPr="000F24AF">
        <w:rPr>
          <w:rFonts w:ascii="Times New Roman" w:hAnsi="Times New Roman" w:cs="Times New Roman"/>
          <w:sz w:val="24"/>
          <w:szCs w:val="24"/>
        </w:rPr>
        <w:t>The Federal Reserve</w:t>
      </w:r>
      <w:r w:rsidR="00B93059" w:rsidRPr="000F24AF">
        <w:rPr>
          <w:rFonts w:ascii="Times New Roman" w:hAnsi="Times New Roman" w:cs="Times New Roman"/>
          <w:sz w:val="24"/>
          <w:szCs w:val="24"/>
        </w:rPr>
        <w:t xml:space="preserve"> proposes to revise the current FR H-(b</w:t>
      </w:r>
      <w:proofErr w:type="gramStart"/>
      <w:r w:rsidR="00B93059" w:rsidRPr="000F24AF">
        <w:rPr>
          <w:rFonts w:ascii="Times New Roman" w:hAnsi="Times New Roman" w:cs="Times New Roman"/>
          <w:sz w:val="24"/>
          <w:szCs w:val="24"/>
        </w:rPr>
        <w:t>)11</w:t>
      </w:r>
      <w:proofErr w:type="gramEnd"/>
      <w:r w:rsidR="00B93059" w:rsidRPr="000F24AF">
        <w:rPr>
          <w:rFonts w:ascii="Times New Roman" w:hAnsi="Times New Roman" w:cs="Times New Roman"/>
          <w:sz w:val="24"/>
          <w:szCs w:val="24"/>
        </w:rPr>
        <w:t xml:space="preserve"> respondent panel to include only </w:t>
      </w:r>
      <w:r w:rsidR="0023383F" w:rsidRPr="000F24AF">
        <w:rPr>
          <w:rFonts w:ascii="Times New Roman" w:hAnsi="Times New Roman" w:cs="Times New Roman"/>
          <w:sz w:val="24"/>
          <w:szCs w:val="24"/>
        </w:rPr>
        <w:t xml:space="preserve">exempt </w:t>
      </w:r>
      <w:r w:rsidR="00B93059" w:rsidRPr="000F24AF">
        <w:rPr>
          <w:rFonts w:ascii="Times New Roman" w:hAnsi="Times New Roman" w:cs="Times New Roman"/>
          <w:sz w:val="24"/>
          <w:szCs w:val="24"/>
        </w:rPr>
        <w:t xml:space="preserve">SLHCs. </w:t>
      </w:r>
      <w:r w:rsidR="00EA0428" w:rsidRPr="000F24AF">
        <w:rPr>
          <w:rFonts w:ascii="Times New Roman" w:hAnsi="Times New Roman" w:cs="Times New Roman"/>
          <w:sz w:val="24"/>
          <w:szCs w:val="24"/>
        </w:rPr>
        <w:t xml:space="preserve">The </w:t>
      </w:r>
      <w:r w:rsidR="00B93059" w:rsidRPr="000F24AF">
        <w:rPr>
          <w:rFonts w:ascii="Times New Roman" w:hAnsi="Times New Roman" w:cs="Times New Roman"/>
          <w:sz w:val="24"/>
          <w:szCs w:val="24"/>
        </w:rPr>
        <w:t>FR H-(b</w:t>
      </w:r>
      <w:proofErr w:type="gramStart"/>
      <w:r w:rsidR="00B93059" w:rsidRPr="000F24AF">
        <w:rPr>
          <w:rFonts w:ascii="Times New Roman" w:hAnsi="Times New Roman" w:cs="Times New Roman"/>
          <w:sz w:val="24"/>
          <w:szCs w:val="24"/>
        </w:rPr>
        <w:t>)11</w:t>
      </w:r>
      <w:proofErr w:type="gramEnd"/>
      <w:r w:rsidR="00B93059" w:rsidRPr="000F24AF">
        <w:rPr>
          <w:rFonts w:ascii="Times New Roman" w:hAnsi="Times New Roman" w:cs="Times New Roman"/>
          <w:sz w:val="24"/>
          <w:szCs w:val="24"/>
        </w:rPr>
        <w:t xml:space="preserve"> report provides consolidat</w:t>
      </w:r>
      <w:r w:rsidR="00CE67DC" w:rsidRPr="000F24AF">
        <w:rPr>
          <w:rFonts w:ascii="Times New Roman" w:hAnsi="Times New Roman" w:cs="Times New Roman"/>
          <w:sz w:val="24"/>
          <w:szCs w:val="24"/>
        </w:rPr>
        <w:t>ed</w:t>
      </w:r>
      <w:r w:rsidR="00B93059" w:rsidRPr="000F24AF">
        <w:rPr>
          <w:rFonts w:ascii="Times New Roman" w:hAnsi="Times New Roman" w:cs="Times New Roman"/>
          <w:sz w:val="24"/>
          <w:szCs w:val="24"/>
        </w:rPr>
        <w:t xml:space="preserve"> financial statements </w:t>
      </w:r>
      <w:r w:rsidR="00CF0B31" w:rsidRPr="000F24AF">
        <w:rPr>
          <w:rFonts w:ascii="Times New Roman" w:hAnsi="Times New Roman" w:cs="Times New Roman"/>
          <w:sz w:val="24"/>
          <w:szCs w:val="24"/>
        </w:rPr>
        <w:t>that</w:t>
      </w:r>
      <w:r w:rsidR="00B93059" w:rsidRPr="000F24AF">
        <w:rPr>
          <w:rFonts w:ascii="Times New Roman" w:hAnsi="Times New Roman" w:cs="Times New Roman"/>
          <w:sz w:val="24"/>
          <w:szCs w:val="24"/>
        </w:rPr>
        <w:t xml:space="preserve"> show detailed information by business unit.  </w:t>
      </w:r>
      <w:r w:rsidR="00CF0B31" w:rsidRPr="000F24AF">
        <w:rPr>
          <w:rFonts w:ascii="Times New Roman" w:hAnsi="Times New Roman" w:cs="Times New Roman"/>
          <w:sz w:val="24"/>
          <w:szCs w:val="24"/>
        </w:rPr>
        <w:t>These c</w:t>
      </w:r>
      <w:r w:rsidR="00B93059" w:rsidRPr="000F24AF">
        <w:rPr>
          <w:rFonts w:ascii="Times New Roman" w:hAnsi="Times New Roman" w:cs="Times New Roman"/>
          <w:sz w:val="24"/>
          <w:szCs w:val="24"/>
        </w:rPr>
        <w:t>onsolidat</w:t>
      </w:r>
      <w:r w:rsidR="00CF0B31" w:rsidRPr="000F24AF">
        <w:rPr>
          <w:rFonts w:ascii="Times New Roman" w:hAnsi="Times New Roman" w:cs="Times New Roman"/>
          <w:sz w:val="24"/>
          <w:szCs w:val="24"/>
        </w:rPr>
        <w:t>ed</w:t>
      </w:r>
      <w:r w:rsidR="00B93059" w:rsidRPr="000F24AF">
        <w:rPr>
          <w:rFonts w:ascii="Times New Roman" w:hAnsi="Times New Roman" w:cs="Times New Roman"/>
          <w:sz w:val="24"/>
          <w:szCs w:val="24"/>
        </w:rPr>
        <w:t xml:space="preserve"> statements provide information about the individual entities and the eliminating entries that tie into the consolidated statements.  These types of financial statements are particularly useful for larger complex companies with multiple entities.  A number of the large ISLHCs are private and do not file with the SEC, therefore, the level of detail that would be provided in those filings is not available (</w:t>
      </w:r>
      <w:r w:rsidR="00CF0B31" w:rsidRPr="000F24AF">
        <w:rPr>
          <w:rFonts w:ascii="Times New Roman" w:hAnsi="Times New Roman" w:cs="Times New Roman"/>
          <w:sz w:val="24"/>
          <w:szCs w:val="24"/>
        </w:rPr>
        <w:t xml:space="preserve">also </w:t>
      </w:r>
      <w:r w:rsidR="00B93059" w:rsidRPr="000F24AF">
        <w:rPr>
          <w:rFonts w:ascii="Times New Roman" w:hAnsi="Times New Roman" w:cs="Times New Roman"/>
          <w:sz w:val="24"/>
          <w:szCs w:val="24"/>
        </w:rPr>
        <w:t>information on company websites provide very limited insight).  Additionally, the “Other Materially Important Events” section of the FR H-(b</w:t>
      </w:r>
      <w:proofErr w:type="gramStart"/>
      <w:r w:rsidR="00B93059" w:rsidRPr="000F24AF">
        <w:rPr>
          <w:rFonts w:ascii="Times New Roman" w:hAnsi="Times New Roman" w:cs="Times New Roman"/>
          <w:sz w:val="24"/>
          <w:szCs w:val="24"/>
        </w:rPr>
        <w:t>)11</w:t>
      </w:r>
      <w:proofErr w:type="gramEnd"/>
      <w:r w:rsidR="00B93059" w:rsidRPr="000F24AF">
        <w:rPr>
          <w:rFonts w:ascii="Times New Roman" w:hAnsi="Times New Roman" w:cs="Times New Roman"/>
          <w:sz w:val="24"/>
          <w:szCs w:val="24"/>
        </w:rPr>
        <w:t xml:space="preserve"> informs </w:t>
      </w:r>
      <w:r w:rsidR="00827626" w:rsidRPr="000F24AF">
        <w:rPr>
          <w:rFonts w:ascii="Times New Roman" w:hAnsi="Times New Roman" w:cs="Times New Roman"/>
          <w:sz w:val="24"/>
          <w:szCs w:val="24"/>
        </w:rPr>
        <w:t>the Federal Reserve</w:t>
      </w:r>
      <w:r w:rsidR="00B93059" w:rsidRPr="000F24AF">
        <w:rPr>
          <w:rFonts w:ascii="Times New Roman" w:hAnsi="Times New Roman" w:cs="Times New Roman"/>
          <w:sz w:val="24"/>
          <w:szCs w:val="24"/>
        </w:rPr>
        <w:t xml:space="preserve"> of material litigation or other contingent liabilities, key management changes, unexpected economic events, and other information that may be of material importance.  This information is particularly useful in assisting with off-site reviews. </w:t>
      </w:r>
    </w:p>
    <w:p w14:paraId="379A3717" w14:textId="77777777" w:rsidR="00CF0B31" w:rsidRPr="000F24AF" w:rsidRDefault="00CF0B31" w:rsidP="00757687">
      <w:pPr>
        <w:widowControl/>
        <w:ind w:firstLine="720"/>
        <w:rPr>
          <w:rFonts w:ascii="Times New Roman" w:hAnsi="Times New Roman" w:cs="Times New Roman"/>
          <w:sz w:val="24"/>
          <w:szCs w:val="24"/>
        </w:rPr>
      </w:pPr>
    </w:p>
    <w:p w14:paraId="32402C99" w14:textId="4DF994F7" w:rsidR="00DB53BE" w:rsidRPr="000F24AF" w:rsidRDefault="00B93059" w:rsidP="00366120">
      <w:pPr>
        <w:widowControl/>
        <w:ind w:firstLine="720"/>
        <w:rPr>
          <w:rFonts w:ascii="Times New Roman" w:hAnsi="Times New Roman" w:cs="Times New Roman"/>
          <w:sz w:val="24"/>
          <w:szCs w:val="24"/>
        </w:rPr>
      </w:pPr>
      <w:r w:rsidRPr="000F24AF">
        <w:rPr>
          <w:rFonts w:ascii="Times New Roman" w:hAnsi="Times New Roman" w:cs="Times New Roman"/>
          <w:sz w:val="24"/>
          <w:szCs w:val="24"/>
        </w:rPr>
        <w:t xml:space="preserve">In contrast, </w:t>
      </w:r>
      <w:r w:rsidR="00946E21" w:rsidRPr="000F24AF">
        <w:rPr>
          <w:rFonts w:ascii="Times New Roman" w:hAnsi="Times New Roman" w:cs="Times New Roman"/>
          <w:sz w:val="24"/>
          <w:szCs w:val="24"/>
        </w:rPr>
        <w:t>the Federal Reserve</w:t>
      </w:r>
      <w:r w:rsidR="00F85ADE" w:rsidRPr="000F24AF">
        <w:rPr>
          <w:rFonts w:ascii="Times New Roman" w:hAnsi="Times New Roman" w:cs="Times New Roman"/>
          <w:sz w:val="24"/>
          <w:szCs w:val="24"/>
        </w:rPr>
        <w:t xml:space="preserve"> believes</w:t>
      </w:r>
      <w:r w:rsidRPr="000F24AF">
        <w:rPr>
          <w:rFonts w:ascii="Times New Roman" w:hAnsi="Times New Roman" w:cs="Times New Roman"/>
          <w:sz w:val="24"/>
          <w:szCs w:val="24"/>
        </w:rPr>
        <w:t xml:space="preserve"> that the FR 2320</w:t>
      </w:r>
      <w:r w:rsidR="00DB53BE" w:rsidRPr="000F24AF">
        <w:rPr>
          <w:rFonts w:ascii="Times New Roman" w:hAnsi="Times New Roman" w:cs="Times New Roman"/>
          <w:sz w:val="24"/>
          <w:szCs w:val="24"/>
        </w:rPr>
        <w:t xml:space="preserve"> data provides </w:t>
      </w:r>
      <w:r w:rsidR="002A3037" w:rsidRPr="000F24AF">
        <w:rPr>
          <w:rFonts w:ascii="Times New Roman" w:hAnsi="Times New Roman" w:cs="Times New Roman"/>
          <w:sz w:val="24"/>
          <w:szCs w:val="24"/>
        </w:rPr>
        <w:t>limited</w:t>
      </w:r>
      <w:r w:rsidR="00DB53BE" w:rsidRPr="000F24AF">
        <w:rPr>
          <w:rFonts w:ascii="Times New Roman" w:hAnsi="Times New Roman" w:cs="Times New Roman"/>
          <w:sz w:val="24"/>
          <w:szCs w:val="24"/>
        </w:rPr>
        <w:t xml:space="preserve"> detail </w:t>
      </w:r>
      <w:r w:rsidR="002A3037" w:rsidRPr="000F24AF">
        <w:rPr>
          <w:rFonts w:ascii="Times New Roman" w:hAnsi="Times New Roman" w:cs="Times New Roman"/>
          <w:sz w:val="24"/>
          <w:szCs w:val="24"/>
        </w:rPr>
        <w:t xml:space="preserve">on its own </w:t>
      </w:r>
      <w:r w:rsidR="00DB53BE" w:rsidRPr="000F24AF">
        <w:rPr>
          <w:rFonts w:ascii="Times New Roman" w:hAnsi="Times New Roman" w:cs="Times New Roman"/>
          <w:sz w:val="24"/>
          <w:szCs w:val="24"/>
        </w:rPr>
        <w:t xml:space="preserve">for </w:t>
      </w:r>
      <w:r w:rsidR="0033405D" w:rsidRPr="000F24AF">
        <w:rPr>
          <w:rFonts w:ascii="Times New Roman" w:hAnsi="Times New Roman" w:cs="Times New Roman"/>
          <w:sz w:val="24"/>
          <w:szCs w:val="24"/>
        </w:rPr>
        <w:t xml:space="preserve">Federal Reserve </w:t>
      </w:r>
      <w:r w:rsidR="00DB53BE" w:rsidRPr="000F24AF">
        <w:rPr>
          <w:rFonts w:ascii="Times New Roman" w:hAnsi="Times New Roman" w:cs="Times New Roman"/>
          <w:sz w:val="24"/>
          <w:szCs w:val="24"/>
        </w:rPr>
        <w:t>off-site surveillance and pre-examination planning</w:t>
      </w:r>
      <w:r w:rsidR="002A3037" w:rsidRPr="000F24AF">
        <w:rPr>
          <w:rFonts w:ascii="Times New Roman" w:hAnsi="Times New Roman" w:cs="Times New Roman"/>
          <w:sz w:val="24"/>
          <w:szCs w:val="24"/>
        </w:rPr>
        <w:t xml:space="preserve"> and its use would be augmented by the continued collection of the FR H-(b</w:t>
      </w:r>
      <w:proofErr w:type="gramStart"/>
      <w:r w:rsidR="002A3037" w:rsidRPr="000F24AF">
        <w:rPr>
          <w:rFonts w:ascii="Times New Roman" w:hAnsi="Times New Roman" w:cs="Times New Roman"/>
          <w:sz w:val="24"/>
          <w:szCs w:val="24"/>
        </w:rPr>
        <w:t>)11</w:t>
      </w:r>
      <w:proofErr w:type="gramEnd"/>
      <w:r w:rsidR="00DB53BE" w:rsidRPr="000F24AF">
        <w:rPr>
          <w:rFonts w:ascii="Times New Roman" w:hAnsi="Times New Roman" w:cs="Times New Roman"/>
          <w:sz w:val="24"/>
          <w:szCs w:val="24"/>
        </w:rPr>
        <w:t xml:space="preserve">. </w:t>
      </w:r>
      <w:r w:rsidRPr="000F24AF">
        <w:rPr>
          <w:rFonts w:ascii="Times New Roman" w:hAnsi="Times New Roman" w:cs="Times New Roman"/>
          <w:sz w:val="24"/>
          <w:szCs w:val="24"/>
        </w:rPr>
        <w:t xml:space="preserve"> M</w:t>
      </w:r>
      <w:r w:rsidR="00DB53BE" w:rsidRPr="000F24AF">
        <w:rPr>
          <w:rFonts w:ascii="Times New Roman" w:hAnsi="Times New Roman" w:cs="Times New Roman"/>
          <w:sz w:val="24"/>
          <w:szCs w:val="24"/>
        </w:rPr>
        <w:t xml:space="preserve">ost ISLHCs only provide parent </w:t>
      </w:r>
      <w:r w:rsidR="00DB53BE" w:rsidRPr="000F24AF">
        <w:rPr>
          <w:rFonts w:ascii="Times New Roman" w:hAnsi="Times New Roman" w:cs="Times New Roman"/>
          <w:sz w:val="24"/>
          <w:szCs w:val="24"/>
        </w:rPr>
        <w:lastRenderedPageBreak/>
        <w:t xml:space="preserve">company data.  These </w:t>
      </w:r>
      <w:r w:rsidR="0033405D" w:rsidRPr="000F24AF">
        <w:rPr>
          <w:rFonts w:ascii="Times New Roman" w:hAnsi="Times New Roman" w:cs="Times New Roman"/>
          <w:sz w:val="24"/>
          <w:szCs w:val="24"/>
        </w:rPr>
        <w:t xml:space="preserve">ISLHCs </w:t>
      </w:r>
      <w:r w:rsidR="00DB53BE" w:rsidRPr="000F24AF">
        <w:rPr>
          <w:rFonts w:ascii="Times New Roman" w:hAnsi="Times New Roman" w:cs="Times New Roman"/>
          <w:sz w:val="24"/>
          <w:szCs w:val="24"/>
        </w:rPr>
        <w:t xml:space="preserve">are generally quite large and privately </w:t>
      </w:r>
      <w:r w:rsidR="00F85ADE" w:rsidRPr="000F24AF">
        <w:rPr>
          <w:rFonts w:ascii="Times New Roman" w:hAnsi="Times New Roman" w:cs="Times New Roman"/>
          <w:sz w:val="24"/>
          <w:szCs w:val="24"/>
        </w:rPr>
        <w:t>held;</w:t>
      </w:r>
      <w:r w:rsidR="00DB53BE" w:rsidRPr="000F24AF">
        <w:rPr>
          <w:rFonts w:ascii="Times New Roman" w:hAnsi="Times New Roman" w:cs="Times New Roman"/>
          <w:sz w:val="24"/>
          <w:szCs w:val="24"/>
        </w:rPr>
        <w:t xml:space="preserve"> therefore, the data collected on the FR 2320 is limited in scope and </w:t>
      </w:r>
      <w:r w:rsidR="003D05F1" w:rsidRPr="000F24AF">
        <w:rPr>
          <w:rFonts w:ascii="Times New Roman" w:hAnsi="Times New Roman" w:cs="Times New Roman"/>
          <w:sz w:val="24"/>
          <w:szCs w:val="24"/>
        </w:rPr>
        <w:t xml:space="preserve">is </w:t>
      </w:r>
      <w:r w:rsidR="00DB53BE" w:rsidRPr="000F24AF">
        <w:rPr>
          <w:rFonts w:ascii="Times New Roman" w:hAnsi="Times New Roman" w:cs="Times New Roman"/>
          <w:sz w:val="24"/>
          <w:szCs w:val="24"/>
        </w:rPr>
        <w:t xml:space="preserve">not conducive to consolidated supervision.  </w:t>
      </w:r>
      <w:r w:rsidR="00125B01" w:rsidRPr="000F24AF">
        <w:rPr>
          <w:rFonts w:ascii="Times New Roman" w:hAnsi="Times New Roman" w:cs="Times New Roman"/>
          <w:sz w:val="24"/>
          <w:szCs w:val="24"/>
        </w:rPr>
        <w:t>Additionally, as part of the FR Y-6, the Federal Reserve requires that top-tier holding companies with total consolidated assets of $500 million or more must have an annual audit of its consolidated financial statements by an independent public accountant.</w:t>
      </w:r>
      <w:r w:rsidR="00DB53BE" w:rsidRPr="000F24AF">
        <w:rPr>
          <w:rFonts w:ascii="Times New Roman" w:hAnsi="Times New Roman" w:cs="Times New Roman"/>
          <w:sz w:val="24"/>
          <w:szCs w:val="24"/>
        </w:rPr>
        <w:t xml:space="preserve">  However, </w:t>
      </w:r>
      <w:r w:rsidR="00125B01" w:rsidRPr="000F24AF">
        <w:rPr>
          <w:rFonts w:ascii="Times New Roman" w:hAnsi="Times New Roman" w:cs="Times New Roman"/>
          <w:sz w:val="24"/>
          <w:szCs w:val="24"/>
        </w:rPr>
        <w:t>the FR Y-6</w:t>
      </w:r>
      <w:r w:rsidR="00DB53BE" w:rsidRPr="000F24AF">
        <w:rPr>
          <w:rFonts w:ascii="Times New Roman" w:hAnsi="Times New Roman" w:cs="Times New Roman"/>
          <w:sz w:val="24"/>
          <w:szCs w:val="24"/>
        </w:rPr>
        <w:t xml:space="preserve"> does not require detailed quarterly financial statements which give a more timely representation of the financial condition of a company. </w:t>
      </w:r>
    </w:p>
    <w:p w14:paraId="62FBA8BF" w14:textId="77777777" w:rsidR="00BC46C4" w:rsidRPr="000F24AF" w:rsidRDefault="00BC46C4" w:rsidP="00366120">
      <w:pPr>
        <w:widowControl/>
        <w:ind w:firstLine="720"/>
        <w:rPr>
          <w:rFonts w:ascii="Times New Roman" w:hAnsi="Times New Roman" w:cs="Times New Roman"/>
          <w:sz w:val="24"/>
          <w:szCs w:val="24"/>
        </w:rPr>
      </w:pPr>
    </w:p>
    <w:p w14:paraId="6B8585F2" w14:textId="0E6AD202" w:rsidR="00F40B1B" w:rsidRPr="000F24AF" w:rsidRDefault="00BC46C4" w:rsidP="00F40B1B">
      <w:pPr>
        <w:widowControl/>
        <w:rPr>
          <w:rFonts w:ascii="Times New Roman" w:hAnsi="Times New Roman" w:cs="Times New Roman"/>
          <w:sz w:val="24"/>
          <w:szCs w:val="24"/>
        </w:rPr>
      </w:pPr>
      <w:r w:rsidRPr="000F24AF">
        <w:rPr>
          <w:rFonts w:ascii="Times New Roman" w:hAnsi="Times New Roman" w:cs="Times New Roman"/>
          <w:sz w:val="24"/>
          <w:szCs w:val="24"/>
        </w:rPr>
        <w:tab/>
      </w:r>
      <w:r w:rsidR="00F40B1B" w:rsidRPr="000F24AF">
        <w:rPr>
          <w:rFonts w:ascii="Times New Roman" w:hAnsi="Times New Roman" w:cs="Times New Roman"/>
          <w:sz w:val="24"/>
          <w:szCs w:val="24"/>
        </w:rPr>
        <w:t xml:space="preserve">In addition, </w:t>
      </w:r>
      <w:r w:rsidR="00946E21" w:rsidRPr="000F24AF">
        <w:rPr>
          <w:rFonts w:ascii="Times New Roman" w:hAnsi="Times New Roman" w:cs="Times New Roman"/>
          <w:sz w:val="24"/>
          <w:szCs w:val="24"/>
        </w:rPr>
        <w:t>the Federal Reserve</w:t>
      </w:r>
      <w:r w:rsidR="00F40B1B" w:rsidRPr="000F24AF">
        <w:rPr>
          <w:rFonts w:ascii="Times New Roman" w:hAnsi="Times New Roman" w:cs="Times New Roman"/>
          <w:sz w:val="24"/>
          <w:szCs w:val="24"/>
        </w:rPr>
        <w:t xml:space="preserve"> proposes to remove the docket number f</w:t>
      </w:r>
      <w:r w:rsidR="007516EA" w:rsidRPr="000F24AF">
        <w:rPr>
          <w:rFonts w:ascii="Times New Roman" w:hAnsi="Times New Roman" w:cs="Times New Roman"/>
          <w:sz w:val="24"/>
          <w:szCs w:val="24"/>
        </w:rPr>
        <w:t>rom</w:t>
      </w:r>
      <w:r w:rsidR="00F40B1B" w:rsidRPr="000F24AF">
        <w:rPr>
          <w:rFonts w:ascii="Times New Roman" w:hAnsi="Times New Roman" w:cs="Times New Roman"/>
          <w:sz w:val="24"/>
          <w:szCs w:val="24"/>
        </w:rPr>
        <w:t xml:space="preserve"> the FR H-(b</w:t>
      </w:r>
      <w:proofErr w:type="gramStart"/>
      <w:r w:rsidR="00F40B1B" w:rsidRPr="000F24AF">
        <w:rPr>
          <w:rFonts w:ascii="Times New Roman" w:hAnsi="Times New Roman" w:cs="Times New Roman"/>
          <w:sz w:val="24"/>
          <w:szCs w:val="24"/>
        </w:rPr>
        <w:t>)11</w:t>
      </w:r>
      <w:proofErr w:type="gramEnd"/>
      <w:r w:rsidR="00F40B1B" w:rsidRPr="000F24AF">
        <w:rPr>
          <w:rFonts w:ascii="Times New Roman" w:hAnsi="Times New Roman" w:cs="Times New Roman"/>
          <w:sz w:val="24"/>
          <w:szCs w:val="24"/>
        </w:rPr>
        <w:t xml:space="preserve"> reporting form and all references to the docket number in the instructions. The docket number is no longer used as the SLHC identifier.  The RSSD number is now the universal identifier used by all the regulatory agencies. </w:t>
      </w:r>
    </w:p>
    <w:p w14:paraId="7C707797" w14:textId="77777777" w:rsidR="00E01861" w:rsidRPr="000F24AF" w:rsidRDefault="00E01861" w:rsidP="00757687">
      <w:pPr>
        <w:widowControl/>
        <w:ind w:firstLine="720"/>
        <w:rPr>
          <w:rFonts w:ascii="Times New Roman" w:hAnsi="Times New Roman" w:cs="Times New Roman"/>
          <w:sz w:val="24"/>
          <w:szCs w:val="24"/>
        </w:rPr>
      </w:pPr>
    </w:p>
    <w:p w14:paraId="01A8E49B" w14:textId="77777777" w:rsidR="00E01861" w:rsidRPr="000F24AF" w:rsidRDefault="002A3037" w:rsidP="00757687">
      <w:pPr>
        <w:widowControl/>
        <w:ind w:firstLine="720"/>
        <w:rPr>
          <w:rFonts w:ascii="Times New Roman" w:hAnsi="Times New Roman" w:cs="Times New Roman"/>
          <w:sz w:val="24"/>
          <w:szCs w:val="24"/>
        </w:rPr>
      </w:pPr>
      <w:r w:rsidRPr="000F24AF">
        <w:rPr>
          <w:rFonts w:ascii="Times New Roman" w:hAnsi="Times New Roman" w:cs="Times New Roman"/>
          <w:sz w:val="24"/>
          <w:szCs w:val="24"/>
        </w:rPr>
        <w:t>Finally, t</w:t>
      </w:r>
      <w:r w:rsidR="00E01861" w:rsidRPr="000F24AF">
        <w:rPr>
          <w:rFonts w:ascii="Times New Roman" w:hAnsi="Times New Roman" w:cs="Times New Roman"/>
          <w:sz w:val="24"/>
          <w:szCs w:val="24"/>
        </w:rPr>
        <w:t xml:space="preserve">he continued reporting of the </w:t>
      </w:r>
      <w:r w:rsidRPr="000F24AF">
        <w:rPr>
          <w:rFonts w:ascii="Times New Roman" w:hAnsi="Times New Roman" w:cs="Times New Roman"/>
          <w:sz w:val="24"/>
          <w:szCs w:val="24"/>
        </w:rPr>
        <w:t xml:space="preserve">FR </w:t>
      </w:r>
      <w:r w:rsidR="00E01861" w:rsidRPr="000F24AF">
        <w:rPr>
          <w:rFonts w:ascii="Times New Roman" w:hAnsi="Times New Roman" w:cs="Times New Roman"/>
          <w:sz w:val="24"/>
          <w:szCs w:val="24"/>
        </w:rPr>
        <w:t>H-(b</w:t>
      </w:r>
      <w:proofErr w:type="gramStart"/>
      <w:r w:rsidR="00E01861" w:rsidRPr="000F24AF">
        <w:rPr>
          <w:rFonts w:ascii="Times New Roman" w:hAnsi="Times New Roman" w:cs="Times New Roman"/>
          <w:sz w:val="24"/>
          <w:szCs w:val="24"/>
        </w:rPr>
        <w:t>)11</w:t>
      </w:r>
      <w:proofErr w:type="gramEnd"/>
      <w:r w:rsidR="00E01861" w:rsidRPr="000F24AF">
        <w:rPr>
          <w:rFonts w:ascii="Times New Roman" w:hAnsi="Times New Roman" w:cs="Times New Roman"/>
          <w:sz w:val="24"/>
          <w:szCs w:val="24"/>
        </w:rPr>
        <w:t xml:space="preserve"> report by exempt SLHCs would</w:t>
      </w:r>
      <w:r w:rsidR="00D61713" w:rsidRPr="000F24AF">
        <w:rPr>
          <w:rFonts w:ascii="Times New Roman" w:hAnsi="Times New Roman" w:cs="Times New Roman"/>
          <w:sz w:val="24"/>
          <w:szCs w:val="24"/>
        </w:rPr>
        <w:t xml:space="preserve"> assist the Federal Reserve in the evaluation of a diversified holding company and in determining whether an institution is in compliance with applicable laws and regulations</w:t>
      </w:r>
      <w:r w:rsidR="00E01861" w:rsidRPr="000F24AF">
        <w:rPr>
          <w:rFonts w:ascii="Times New Roman" w:hAnsi="Times New Roman" w:cs="Times New Roman"/>
          <w:sz w:val="24"/>
          <w:szCs w:val="24"/>
        </w:rPr>
        <w:t xml:space="preserve">. </w:t>
      </w:r>
    </w:p>
    <w:p w14:paraId="4756AE74" w14:textId="77777777" w:rsidR="008B22F3" w:rsidRPr="000F24AF" w:rsidRDefault="008B22F3" w:rsidP="008B22F3">
      <w:pPr>
        <w:widowControl/>
        <w:rPr>
          <w:rFonts w:ascii="Times New Roman" w:hAnsi="Times New Roman" w:cs="Times New Roman"/>
          <w:sz w:val="24"/>
          <w:szCs w:val="24"/>
        </w:rPr>
      </w:pPr>
      <w:r w:rsidRPr="000F24AF">
        <w:rPr>
          <w:rFonts w:ascii="Times New Roman" w:hAnsi="Times New Roman" w:cs="Times New Roman"/>
          <w:sz w:val="24"/>
          <w:szCs w:val="24"/>
        </w:rPr>
        <w:t xml:space="preserve"> </w:t>
      </w:r>
    </w:p>
    <w:p w14:paraId="636F6F0F" w14:textId="77777777" w:rsidR="00877CF2" w:rsidRPr="000F24AF" w:rsidRDefault="00CF0B31" w:rsidP="00877CF2">
      <w:pPr>
        <w:pStyle w:val="Heading1"/>
        <w:ind w:firstLine="720"/>
        <w:rPr>
          <w:rFonts w:ascii="Times New Roman" w:hAnsi="Times New Roman" w:cs="Times New Roman"/>
          <w:b/>
          <w:bCs/>
        </w:rPr>
      </w:pPr>
      <w:r w:rsidRPr="000F24AF">
        <w:rPr>
          <w:rFonts w:ascii="Times New Roman" w:hAnsi="Times New Roman" w:cs="Times New Roman"/>
          <w:b/>
          <w:bCs/>
        </w:rPr>
        <w:t xml:space="preserve">Current </w:t>
      </w:r>
      <w:r w:rsidR="00877CF2" w:rsidRPr="000F24AF">
        <w:rPr>
          <w:rFonts w:ascii="Times New Roman" w:hAnsi="Times New Roman" w:cs="Times New Roman"/>
          <w:b/>
          <w:bCs/>
        </w:rPr>
        <w:t>Respondent Panel</w:t>
      </w:r>
    </w:p>
    <w:p w14:paraId="45046C5D" w14:textId="77777777" w:rsidR="00877CF2" w:rsidRPr="000F24AF" w:rsidRDefault="00877CF2" w:rsidP="00B36D48">
      <w:pPr>
        <w:pStyle w:val="Heading1"/>
        <w:ind w:firstLine="0"/>
        <w:rPr>
          <w:rFonts w:ascii="Times New Roman" w:hAnsi="Times New Roman" w:cs="Times New Roman"/>
          <w:b/>
          <w:bCs/>
        </w:rPr>
      </w:pPr>
    </w:p>
    <w:p w14:paraId="55BE046D" w14:textId="77777777" w:rsidR="000C5CEE" w:rsidRPr="000F24AF" w:rsidRDefault="00463E86" w:rsidP="00B36D48">
      <w:pPr>
        <w:pStyle w:val="Heading1"/>
        <w:ind w:firstLine="0"/>
        <w:rPr>
          <w:rFonts w:ascii="Times New Roman" w:hAnsi="Times New Roman" w:cs="Times New Roman"/>
        </w:rPr>
      </w:pPr>
      <w:r w:rsidRPr="000F24AF">
        <w:rPr>
          <w:rFonts w:ascii="Times New Roman" w:hAnsi="Times New Roman" w:cs="Times New Roman"/>
          <w:bCs/>
        </w:rPr>
        <w:tab/>
      </w:r>
      <w:r w:rsidR="00877CF2" w:rsidRPr="000F24AF">
        <w:rPr>
          <w:rFonts w:ascii="Times New Roman" w:hAnsi="Times New Roman" w:cs="Times New Roman"/>
        </w:rPr>
        <w:t>The FR H-(b</w:t>
      </w:r>
      <w:proofErr w:type="gramStart"/>
      <w:r w:rsidR="00877CF2" w:rsidRPr="000F24AF">
        <w:rPr>
          <w:rFonts w:ascii="Times New Roman" w:hAnsi="Times New Roman" w:cs="Times New Roman"/>
        </w:rPr>
        <w:t>)11</w:t>
      </w:r>
      <w:proofErr w:type="gramEnd"/>
      <w:r w:rsidR="00877CF2" w:rsidRPr="000F24AF">
        <w:rPr>
          <w:rFonts w:ascii="Times New Roman" w:hAnsi="Times New Roman" w:cs="Times New Roman"/>
        </w:rPr>
        <w:t xml:space="preserve"> is generally filed by top-tier SLHC</w:t>
      </w:r>
      <w:r w:rsidR="00CF0B31" w:rsidRPr="000F24AF">
        <w:rPr>
          <w:rFonts w:ascii="Times New Roman" w:hAnsi="Times New Roman" w:cs="Times New Roman"/>
        </w:rPr>
        <w:t>s</w:t>
      </w:r>
      <w:r w:rsidR="00877CF2" w:rsidRPr="000F24AF">
        <w:rPr>
          <w:rFonts w:ascii="Times New Roman" w:hAnsi="Times New Roman" w:cs="Times New Roman"/>
        </w:rPr>
        <w:t xml:space="preserve">. For a multi-tier SLHC, the top-tier SLHC may file combined reports, however, the required information for each SLHC must be provided. If a combined report is filed, the name, </w:t>
      </w:r>
      <w:r w:rsidR="001069F8" w:rsidRPr="000F24AF">
        <w:rPr>
          <w:rFonts w:ascii="Times New Roman" w:hAnsi="Times New Roman" w:cs="Times New Roman"/>
        </w:rPr>
        <w:t>ID_RSSD</w:t>
      </w:r>
      <w:r w:rsidR="00877CF2" w:rsidRPr="000F24AF">
        <w:rPr>
          <w:rFonts w:ascii="Times New Roman" w:hAnsi="Times New Roman" w:cs="Times New Roman"/>
        </w:rPr>
        <w:t xml:space="preserve"> number and address for each SLHC included in the combined report must be listed separately. </w:t>
      </w:r>
      <w:r w:rsidR="00CF0B31" w:rsidRPr="000F24AF">
        <w:rPr>
          <w:rFonts w:ascii="Times New Roman" w:hAnsi="Times New Roman" w:cs="Times New Roman"/>
        </w:rPr>
        <w:t xml:space="preserve"> </w:t>
      </w:r>
      <w:r w:rsidR="00877CF2" w:rsidRPr="000F24AF">
        <w:rPr>
          <w:rFonts w:ascii="Times New Roman" w:hAnsi="Times New Roman" w:cs="Times New Roman"/>
        </w:rPr>
        <w:t>In addition, each SLHC should execute a separate certification.</w:t>
      </w:r>
    </w:p>
    <w:p w14:paraId="75BC9EDD" w14:textId="77777777" w:rsidR="00877CF2" w:rsidRPr="000F24AF" w:rsidRDefault="00877CF2" w:rsidP="00877CF2">
      <w:pPr>
        <w:rPr>
          <w:rFonts w:ascii="Times New Roman" w:hAnsi="Times New Roman" w:cs="Times New Roman"/>
          <w:sz w:val="24"/>
          <w:szCs w:val="24"/>
        </w:rPr>
      </w:pPr>
    </w:p>
    <w:p w14:paraId="6027793F" w14:textId="77777777" w:rsidR="00FC1E38" w:rsidRPr="000F24AF" w:rsidRDefault="00FC1E38" w:rsidP="00FC1E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s="Times New Roman"/>
          <w:sz w:val="24"/>
          <w:szCs w:val="24"/>
        </w:rPr>
      </w:pPr>
      <w:r w:rsidRPr="000F24AF">
        <w:rPr>
          <w:rFonts w:ascii="Times New Roman" w:hAnsi="Times New Roman" w:cs="Times New Roman"/>
          <w:b/>
          <w:sz w:val="24"/>
          <w:szCs w:val="24"/>
        </w:rPr>
        <w:t xml:space="preserve">Time Schedule for Information Collection and Publication </w:t>
      </w:r>
    </w:p>
    <w:p w14:paraId="6563548E" w14:textId="77777777" w:rsidR="00FC1E38" w:rsidRPr="000F24AF" w:rsidRDefault="00FC1E38" w:rsidP="00FC1E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s="Times New Roman"/>
          <w:sz w:val="24"/>
          <w:szCs w:val="24"/>
        </w:rPr>
      </w:pPr>
      <w:r w:rsidRPr="000F24AF">
        <w:rPr>
          <w:rFonts w:ascii="Times New Roman" w:hAnsi="Times New Roman" w:cs="Times New Roman"/>
          <w:sz w:val="24"/>
          <w:szCs w:val="24"/>
        </w:rPr>
        <w:tab/>
      </w:r>
    </w:p>
    <w:p w14:paraId="2EAFB04A" w14:textId="288CE146" w:rsidR="005713A9" w:rsidRPr="000F24AF" w:rsidRDefault="00FC1E38" w:rsidP="002C13B2">
      <w:pPr>
        <w:pStyle w:val="Heading1"/>
        <w:rPr>
          <w:rFonts w:ascii="Times New Roman" w:hAnsi="Times New Roman" w:cs="Times New Roman"/>
        </w:rPr>
      </w:pPr>
      <w:r w:rsidRPr="000F24AF">
        <w:rPr>
          <w:rFonts w:ascii="Times New Roman" w:hAnsi="Times New Roman" w:cs="Times New Roman"/>
        </w:rPr>
        <w:tab/>
        <w:t xml:space="preserve">The </w:t>
      </w:r>
      <w:r w:rsidR="005713A9" w:rsidRPr="000F24AF">
        <w:rPr>
          <w:rFonts w:ascii="Times New Roman" w:hAnsi="Times New Roman" w:cs="Times New Roman"/>
        </w:rPr>
        <w:t>FR H</w:t>
      </w:r>
      <w:r w:rsidR="00DB53BE" w:rsidRPr="000F24AF">
        <w:rPr>
          <w:rFonts w:ascii="Times New Roman" w:hAnsi="Times New Roman" w:cs="Times New Roman"/>
        </w:rPr>
        <w:t>-</w:t>
      </w:r>
      <w:r w:rsidR="005713A9" w:rsidRPr="000F24AF">
        <w:rPr>
          <w:rFonts w:ascii="Times New Roman" w:hAnsi="Times New Roman" w:cs="Times New Roman"/>
        </w:rPr>
        <w:t>(b</w:t>
      </w:r>
      <w:proofErr w:type="gramStart"/>
      <w:r w:rsidR="005713A9" w:rsidRPr="000F24AF">
        <w:rPr>
          <w:rFonts w:ascii="Times New Roman" w:hAnsi="Times New Roman" w:cs="Times New Roman"/>
        </w:rPr>
        <w:t>)11</w:t>
      </w:r>
      <w:proofErr w:type="gramEnd"/>
      <w:r w:rsidR="00BE4786" w:rsidRPr="000F24AF">
        <w:rPr>
          <w:rFonts w:ascii="Times New Roman" w:hAnsi="Times New Roman" w:cs="Times New Roman"/>
        </w:rPr>
        <w:t xml:space="preserve"> </w:t>
      </w:r>
      <w:r w:rsidR="002A3037" w:rsidRPr="000F24AF">
        <w:rPr>
          <w:rFonts w:ascii="Times New Roman" w:hAnsi="Times New Roman" w:cs="Times New Roman"/>
        </w:rPr>
        <w:t xml:space="preserve">Current Report </w:t>
      </w:r>
      <w:r w:rsidR="005713A9" w:rsidRPr="000F24AF">
        <w:rPr>
          <w:rFonts w:ascii="Times New Roman" w:hAnsi="Times New Roman" w:cs="Times New Roman"/>
        </w:rPr>
        <w:t xml:space="preserve">is required to be </w:t>
      </w:r>
      <w:r w:rsidR="00BE4786" w:rsidRPr="000F24AF">
        <w:rPr>
          <w:rFonts w:ascii="Times New Roman" w:hAnsi="Times New Roman" w:cs="Times New Roman"/>
        </w:rPr>
        <w:t>submitted quarterly</w:t>
      </w:r>
      <w:r w:rsidR="00C23012" w:rsidRPr="000F24AF">
        <w:rPr>
          <w:rFonts w:ascii="Times New Roman" w:hAnsi="Times New Roman" w:cs="Times New Roman"/>
        </w:rPr>
        <w:t xml:space="preserve"> </w:t>
      </w:r>
      <w:r w:rsidR="00CF0B31" w:rsidRPr="000F24AF">
        <w:rPr>
          <w:rFonts w:ascii="Times New Roman" w:hAnsi="Times New Roman" w:cs="Times New Roman"/>
        </w:rPr>
        <w:t xml:space="preserve">45 </w:t>
      </w:r>
      <w:r w:rsidR="002A3037" w:rsidRPr="000F24AF">
        <w:rPr>
          <w:rFonts w:ascii="Times New Roman" w:hAnsi="Times New Roman" w:cs="Times New Roman"/>
        </w:rPr>
        <w:t xml:space="preserve">calendar </w:t>
      </w:r>
      <w:r w:rsidR="00CF0B31" w:rsidRPr="000F24AF">
        <w:rPr>
          <w:rFonts w:ascii="Times New Roman" w:hAnsi="Times New Roman" w:cs="Times New Roman"/>
        </w:rPr>
        <w:t xml:space="preserve">days after the end of the quarter </w:t>
      </w:r>
      <w:r w:rsidR="005713A9" w:rsidRPr="000F24AF">
        <w:rPr>
          <w:rFonts w:ascii="Times New Roman" w:hAnsi="Times New Roman" w:cs="Times New Roman"/>
        </w:rPr>
        <w:t>(except the fourth quarter of the SLHC's fiscal year</w:t>
      </w:r>
      <w:r w:rsidR="002A3037" w:rsidRPr="000F24AF">
        <w:rPr>
          <w:rFonts w:ascii="Times New Roman" w:hAnsi="Times New Roman" w:cs="Times New Roman"/>
        </w:rPr>
        <w:t>)</w:t>
      </w:r>
      <w:r w:rsidR="00292F3D" w:rsidRPr="000F24AF">
        <w:rPr>
          <w:rFonts w:ascii="Times New Roman" w:hAnsi="Times New Roman" w:cs="Times New Roman"/>
        </w:rPr>
        <w:t>. A Current Report is also due</w:t>
      </w:r>
      <w:r w:rsidR="006C7DEC" w:rsidRPr="000F24AF">
        <w:rPr>
          <w:rFonts w:ascii="Times New Roman" w:hAnsi="Times New Roman" w:cs="Times New Roman"/>
        </w:rPr>
        <w:t xml:space="preserve"> when there has been a material change</w:t>
      </w:r>
      <w:r w:rsidR="00292F3D" w:rsidRPr="000F24AF">
        <w:rPr>
          <w:rFonts w:ascii="Times New Roman" w:hAnsi="Times New Roman" w:cs="Times New Roman"/>
        </w:rPr>
        <w:t xml:space="preserve"> within a few days after the event</w:t>
      </w:r>
      <w:r w:rsidR="00C23012" w:rsidRPr="000F24AF">
        <w:rPr>
          <w:rFonts w:ascii="Times New Roman" w:hAnsi="Times New Roman" w:cs="Times New Roman"/>
        </w:rPr>
        <w:t xml:space="preserve">.  The filing deadline </w:t>
      </w:r>
      <w:r w:rsidR="002A3037" w:rsidRPr="000F24AF">
        <w:rPr>
          <w:rFonts w:ascii="Times New Roman" w:hAnsi="Times New Roman" w:cs="Times New Roman"/>
        </w:rPr>
        <w:t>for the FR H-(b</w:t>
      </w:r>
      <w:proofErr w:type="gramStart"/>
      <w:r w:rsidR="002A3037" w:rsidRPr="000F24AF">
        <w:rPr>
          <w:rFonts w:ascii="Times New Roman" w:hAnsi="Times New Roman" w:cs="Times New Roman"/>
        </w:rPr>
        <w:t>)11</w:t>
      </w:r>
      <w:proofErr w:type="gramEnd"/>
      <w:r w:rsidR="002A3037" w:rsidRPr="000F24AF">
        <w:rPr>
          <w:rFonts w:ascii="Times New Roman" w:hAnsi="Times New Roman" w:cs="Times New Roman"/>
        </w:rPr>
        <w:t xml:space="preserve"> Annual Report </w:t>
      </w:r>
      <w:r w:rsidR="005713A9" w:rsidRPr="000F24AF">
        <w:rPr>
          <w:rFonts w:ascii="Times New Roman" w:hAnsi="Times New Roman" w:cs="Times New Roman"/>
        </w:rPr>
        <w:t xml:space="preserve">is 90 </w:t>
      </w:r>
      <w:r w:rsidR="002A3037" w:rsidRPr="000F24AF">
        <w:rPr>
          <w:rFonts w:ascii="Times New Roman" w:hAnsi="Times New Roman" w:cs="Times New Roman"/>
        </w:rPr>
        <w:t xml:space="preserve">calendar </w:t>
      </w:r>
      <w:r w:rsidR="005713A9" w:rsidRPr="000F24AF">
        <w:rPr>
          <w:rFonts w:ascii="Times New Roman" w:hAnsi="Times New Roman" w:cs="Times New Roman"/>
        </w:rPr>
        <w:t xml:space="preserve">days </w:t>
      </w:r>
      <w:r w:rsidR="00CF0B31" w:rsidRPr="000F24AF">
        <w:rPr>
          <w:rFonts w:ascii="Times New Roman" w:hAnsi="Times New Roman" w:cs="Times New Roman"/>
        </w:rPr>
        <w:t xml:space="preserve">after </w:t>
      </w:r>
      <w:r w:rsidR="005713A9" w:rsidRPr="000F24AF">
        <w:rPr>
          <w:rFonts w:ascii="Times New Roman" w:hAnsi="Times New Roman" w:cs="Times New Roman"/>
        </w:rPr>
        <w:t>the end of the SLHC's fiscal year</w:t>
      </w:r>
      <w:r w:rsidR="002A3037" w:rsidRPr="000F24AF">
        <w:rPr>
          <w:rFonts w:ascii="Times New Roman" w:hAnsi="Times New Roman" w:cs="Times New Roman"/>
        </w:rPr>
        <w:t>.</w:t>
      </w:r>
      <w:r w:rsidR="00085983" w:rsidRPr="000F24AF">
        <w:rPr>
          <w:rFonts w:ascii="Times New Roman" w:hAnsi="Times New Roman" w:cs="Times New Roman"/>
        </w:rPr>
        <w:t xml:space="preserve">  </w:t>
      </w:r>
    </w:p>
    <w:p w14:paraId="250AE585" w14:textId="77777777" w:rsidR="005713A9" w:rsidRPr="000F24AF" w:rsidRDefault="005713A9" w:rsidP="005713A9">
      <w:pPr>
        <w:rPr>
          <w:rFonts w:ascii="Times New Roman" w:hAnsi="Times New Roman" w:cs="Times New Roman"/>
          <w:sz w:val="24"/>
          <w:szCs w:val="24"/>
        </w:rPr>
      </w:pPr>
    </w:p>
    <w:p w14:paraId="2E13E29A" w14:textId="77777777" w:rsidR="005713A9" w:rsidRPr="000F24AF" w:rsidRDefault="005713A9" w:rsidP="006E14A3">
      <w:pPr>
        <w:ind w:firstLine="720"/>
        <w:rPr>
          <w:rFonts w:ascii="Times New Roman" w:hAnsi="Times New Roman" w:cs="Times New Roman"/>
          <w:sz w:val="24"/>
          <w:szCs w:val="24"/>
        </w:rPr>
      </w:pPr>
      <w:r w:rsidRPr="000F24AF">
        <w:rPr>
          <w:rFonts w:ascii="Times New Roman" w:hAnsi="Times New Roman" w:cs="Times New Roman"/>
          <w:sz w:val="24"/>
          <w:szCs w:val="24"/>
        </w:rPr>
        <w:t>Respondents are required to submit the report electronically using one of the Federal Reserve’s standard electronic submission applications.  The Federal Reserve believes this to be the most efficient and least burdensome method of submission.  The application provides the reporting institution with a confirmation of receipt of its submission</w:t>
      </w:r>
      <w:r w:rsidR="007948FB" w:rsidRPr="000F24AF">
        <w:rPr>
          <w:rFonts w:ascii="Times New Roman" w:hAnsi="Times New Roman" w:cs="Times New Roman"/>
          <w:sz w:val="24"/>
          <w:szCs w:val="24"/>
        </w:rPr>
        <w:t xml:space="preserve"> </w:t>
      </w:r>
      <w:r w:rsidR="002A3037" w:rsidRPr="000F24AF">
        <w:rPr>
          <w:rFonts w:ascii="Times New Roman" w:hAnsi="Times New Roman" w:cs="Times New Roman"/>
          <w:sz w:val="24"/>
          <w:szCs w:val="24"/>
        </w:rPr>
        <w:t>and</w:t>
      </w:r>
      <w:r w:rsidRPr="000F24AF">
        <w:rPr>
          <w:rFonts w:ascii="Times New Roman" w:hAnsi="Times New Roman" w:cs="Times New Roman"/>
          <w:sz w:val="24"/>
          <w:szCs w:val="24"/>
        </w:rPr>
        <w:t xml:space="preserve"> also allows institutions to provide written comments, if needed.</w:t>
      </w:r>
    </w:p>
    <w:p w14:paraId="4BE90C21" w14:textId="77777777" w:rsidR="002C13B2" w:rsidRPr="000F24AF" w:rsidRDefault="002C13B2" w:rsidP="00A825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46833431" w14:textId="77777777" w:rsidR="005713A9" w:rsidRPr="000F24AF" w:rsidRDefault="002C13B2" w:rsidP="00A825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0F24AF">
        <w:rPr>
          <w:rFonts w:ascii="Times New Roman" w:hAnsi="Times New Roman" w:cs="Times New Roman"/>
          <w:sz w:val="24"/>
          <w:szCs w:val="24"/>
        </w:rPr>
        <w:tab/>
      </w:r>
      <w:r w:rsidR="005713A9" w:rsidRPr="000F24AF">
        <w:rPr>
          <w:rFonts w:ascii="Times New Roman" w:hAnsi="Times New Roman" w:cs="Times New Roman"/>
          <w:sz w:val="24"/>
          <w:szCs w:val="24"/>
        </w:rPr>
        <w:t xml:space="preserve">Individual respondent data are available to the public upon request through the appropriate Federal Reserve Bank. </w:t>
      </w:r>
      <w:r w:rsidR="00373A43" w:rsidRPr="000F24AF">
        <w:rPr>
          <w:rFonts w:ascii="Times New Roman" w:hAnsi="Times New Roman" w:cs="Times New Roman"/>
          <w:sz w:val="24"/>
          <w:szCs w:val="24"/>
        </w:rPr>
        <w:t xml:space="preserve"> </w:t>
      </w:r>
      <w:r w:rsidR="005713A9" w:rsidRPr="000F24AF">
        <w:rPr>
          <w:rFonts w:ascii="Times New Roman" w:hAnsi="Times New Roman" w:cs="Times New Roman"/>
          <w:sz w:val="24"/>
          <w:szCs w:val="24"/>
        </w:rPr>
        <w:t xml:space="preserve">Under certain circumstances, however, respondents may request confidential treatment. </w:t>
      </w:r>
      <w:r w:rsidR="006C7DEC" w:rsidRPr="000F24AF">
        <w:rPr>
          <w:rFonts w:ascii="Times New Roman" w:hAnsi="Times New Roman" w:cs="Times New Roman"/>
          <w:sz w:val="24"/>
          <w:szCs w:val="24"/>
        </w:rPr>
        <w:t xml:space="preserve"> </w:t>
      </w:r>
      <w:r w:rsidR="005713A9" w:rsidRPr="000F24AF">
        <w:rPr>
          <w:rFonts w:ascii="Times New Roman" w:hAnsi="Times New Roman" w:cs="Times New Roman"/>
          <w:sz w:val="24"/>
          <w:szCs w:val="24"/>
        </w:rPr>
        <w:t>Data from the FR H-(b</w:t>
      </w:r>
      <w:proofErr w:type="gramStart"/>
      <w:r w:rsidR="005713A9" w:rsidRPr="000F24AF">
        <w:rPr>
          <w:rFonts w:ascii="Times New Roman" w:hAnsi="Times New Roman" w:cs="Times New Roman"/>
          <w:sz w:val="24"/>
          <w:szCs w:val="24"/>
        </w:rPr>
        <w:t>)11</w:t>
      </w:r>
      <w:proofErr w:type="gramEnd"/>
      <w:r w:rsidR="005713A9" w:rsidRPr="000F24AF">
        <w:rPr>
          <w:rFonts w:ascii="Times New Roman" w:hAnsi="Times New Roman" w:cs="Times New Roman"/>
          <w:sz w:val="24"/>
          <w:szCs w:val="24"/>
        </w:rPr>
        <w:t xml:space="preserve"> are not published.</w:t>
      </w:r>
    </w:p>
    <w:p w14:paraId="32760C5A" w14:textId="77777777" w:rsidR="005713A9" w:rsidRPr="000F24AF" w:rsidRDefault="005713A9" w:rsidP="00A825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sz w:val="24"/>
          <w:szCs w:val="24"/>
        </w:rPr>
      </w:pPr>
    </w:p>
    <w:p w14:paraId="121DF30C" w14:textId="77777777" w:rsidR="005237E7" w:rsidRPr="000F24AF" w:rsidRDefault="005237E7" w:rsidP="00A825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sz w:val="24"/>
          <w:szCs w:val="24"/>
        </w:rPr>
      </w:pPr>
    </w:p>
    <w:p w14:paraId="2201C7F6" w14:textId="77777777" w:rsidR="005237E7" w:rsidRPr="000F24AF" w:rsidRDefault="005237E7" w:rsidP="00A825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sz w:val="24"/>
          <w:szCs w:val="24"/>
        </w:rPr>
      </w:pPr>
    </w:p>
    <w:p w14:paraId="3960EF7A" w14:textId="77777777" w:rsidR="005237E7" w:rsidRPr="000F24AF" w:rsidRDefault="005237E7" w:rsidP="00A825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color w:val="000000"/>
          <w:sz w:val="24"/>
          <w:szCs w:val="24"/>
        </w:rPr>
      </w:pPr>
    </w:p>
    <w:p w14:paraId="0098EEBD" w14:textId="77777777" w:rsidR="00FC1E38" w:rsidRPr="000F24AF" w:rsidRDefault="00FC1E38" w:rsidP="00FC1E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sz w:val="24"/>
          <w:szCs w:val="24"/>
        </w:rPr>
      </w:pPr>
      <w:r w:rsidRPr="000F24AF">
        <w:rPr>
          <w:rFonts w:ascii="Times New Roman" w:hAnsi="Times New Roman" w:cs="Times New Roman"/>
          <w:b/>
          <w:sz w:val="24"/>
          <w:szCs w:val="24"/>
        </w:rPr>
        <w:lastRenderedPageBreak/>
        <w:t>Legal Status</w:t>
      </w:r>
    </w:p>
    <w:p w14:paraId="060B83B5" w14:textId="77777777" w:rsidR="005703E3" w:rsidRPr="000F24AF" w:rsidRDefault="005703E3" w:rsidP="00FC1E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6D1A6622" w14:textId="43E0D56F" w:rsidR="00845AA4" w:rsidRDefault="005703E3" w:rsidP="007516EA">
      <w:pPr>
        <w:ind w:firstLine="720"/>
        <w:rPr>
          <w:rFonts w:ascii="Times New Roman" w:hAnsi="Times New Roman" w:cs="Times New Roman"/>
          <w:sz w:val="24"/>
          <w:szCs w:val="24"/>
        </w:rPr>
      </w:pPr>
      <w:r w:rsidRPr="000F24AF">
        <w:rPr>
          <w:rFonts w:ascii="Times New Roman" w:hAnsi="Times New Roman" w:cs="Times New Roman"/>
          <w:sz w:val="24"/>
          <w:szCs w:val="24"/>
        </w:rPr>
        <w:t xml:space="preserve">The Board’s Legal Division </w:t>
      </w:r>
      <w:r w:rsidR="00D5617C" w:rsidRPr="000F24AF">
        <w:rPr>
          <w:rFonts w:ascii="Times New Roman" w:hAnsi="Times New Roman" w:cs="Times New Roman"/>
          <w:sz w:val="24"/>
          <w:szCs w:val="24"/>
        </w:rPr>
        <w:t>has determined that the FR H</w:t>
      </w:r>
      <w:r w:rsidR="00A900C5" w:rsidRPr="000F24AF">
        <w:rPr>
          <w:rFonts w:ascii="Times New Roman" w:hAnsi="Times New Roman" w:cs="Times New Roman"/>
          <w:sz w:val="24"/>
          <w:szCs w:val="24"/>
        </w:rPr>
        <w:t>-</w:t>
      </w:r>
      <w:r w:rsidR="00D5617C" w:rsidRPr="000F24AF">
        <w:rPr>
          <w:rFonts w:ascii="Times New Roman" w:hAnsi="Times New Roman" w:cs="Times New Roman"/>
          <w:sz w:val="24"/>
          <w:szCs w:val="24"/>
        </w:rPr>
        <w:t>(b</w:t>
      </w:r>
      <w:proofErr w:type="gramStart"/>
      <w:r w:rsidR="00D5617C" w:rsidRPr="000F24AF">
        <w:rPr>
          <w:rFonts w:ascii="Times New Roman" w:hAnsi="Times New Roman" w:cs="Times New Roman"/>
          <w:sz w:val="24"/>
          <w:szCs w:val="24"/>
        </w:rPr>
        <w:t>)11</w:t>
      </w:r>
      <w:proofErr w:type="gramEnd"/>
      <w:r w:rsidR="00D5617C" w:rsidRPr="000F24AF">
        <w:rPr>
          <w:rFonts w:ascii="Times New Roman" w:hAnsi="Times New Roman" w:cs="Times New Roman"/>
          <w:sz w:val="24"/>
          <w:szCs w:val="24"/>
        </w:rPr>
        <w:t xml:space="preserve"> is authorized by Section 10 of the Home Owners’ Loan Act, which requires SLHCs to file “such reports as may be required by the Board” and provides that such reports “shall contain such information concerning the operations of such SLHC and its subsidiaries as the Board may require” (12 U.S.C. §1467a(b)(2)(A).</w:t>
      </w:r>
      <w:r w:rsidR="00845AA4">
        <w:rPr>
          <w:rFonts w:ascii="Times New Roman" w:hAnsi="Times New Roman" w:cs="Times New Roman"/>
          <w:sz w:val="24"/>
          <w:szCs w:val="24"/>
        </w:rPr>
        <w:t xml:space="preserve">  </w:t>
      </w:r>
      <w:r w:rsidR="00D5617C" w:rsidRPr="000F24AF">
        <w:rPr>
          <w:rFonts w:ascii="Times New Roman" w:hAnsi="Times New Roman" w:cs="Times New Roman"/>
          <w:sz w:val="24"/>
          <w:szCs w:val="24"/>
        </w:rPr>
        <w:t xml:space="preserve">The obligation to respond to the FR </w:t>
      </w:r>
      <w:proofErr w:type="gramStart"/>
      <w:r w:rsidR="00D5617C" w:rsidRPr="000F24AF">
        <w:rPr>
          <w:rFonts w:ascii="Times New Roman" w:hAnsi="Times New Roman" w:cs="Times New Roman"/>
          <w:sz w:val="24"/>
          <w:szCs w:val="24"/>
        </w:rPr>
        <w:t>H(</w:t>
      </w:r>
      <w:proofErr w:type="gramEnd"/>
      <w:r w:rsidR="00D5617C" w:rsidRPr="000F24AF">
        <w:rPr>
          <w:rFonts w:ascii="Times New Roman" w:hAnsi="Times New Roman" w:cs="Times New Roman"/>
          <w:sz w:val="24"/>
          <w:szCs w:val="24"/>
        </w:rPr>
        <w:t xml:space="preserve">b)11 is mandatory. </w:t>
      </w:r>
    </w:p>
    <w:p w14:paraId="5C679FB8" w14:textId="77777777" w:rsidR="00845AA4" w:rsidRDefault="00845AA4" w:rsidP="007516EA">
      <w:pPr>
        <w:ind w:firstLine="720"/>
        <w:rPr>
          <w:rFonts w:ascii="Times New Roman" w:hAnsi="Times New Roman" w:cs="Times New Roman"/>
          <w:sz w:val="24"/>
          <w:szCs w:val="24"/>
        </w:rPr>
      </w:pPr>
    </w:p>
    <w:p w14:paraId="310FE0EA" w14:textId="28CD05E3" w:rsidR="007516EA" w:rsidRPr="000F24AF" w:rsidRDefault="00891334" w:rsidP="007516EA">
      <w:pPr>
        <w:ind w:firstLine="720"/>
        <w:rPr>
          <w:rFonts w:ascii="Times New Roman" w:hAnsi="Times New Roman" w:cs="Times New Roman"/>
          <w:sz w:val="24"/>
          <w:szCs w:val="24"/>
        </w:rPr>
      </w:pPr>
      <w:r w:rsidRPr="000F24AF">
        <w:rPr>
          <w:rFonts w:ascii="Times New Roman" w:hAnsi="Times New Roman" w:cs="Times New Roman"/>
          <w:sz w:val="24"/>
          <w:szCs w:val="24"/>
        </w:rPr>
        <w:t xml:space="preserve">The FR </w:t>
      </w:r>
      <w:r w:rsidR="00A900C5" w:rsidRPr="000F24AF">
        <w:rPr>
          <w:rFonts w:ascii="Times New Roman" w:hAnsi="Times New Roman" w:cs="Times New Roman"/>
          <w:sz w:val="24"/>
          <w:szCs w:val="24"/>
        </w:rPr>
        <w:t>H-(b</w:t>
      </w:r>
      <w:proofErr w:type="gramStart"/>
      <w:r w:rsidR="00A900C5" w:rsidRPr="000F24AF">
        <w:rPr>
          <w:rFonts w:ascii="Times New Roman" w:hAnsi="Times New Roman" w:cs="Times New Roman"/>
          <w:sz w:val="24"/>
          <w:szCs w:val="24"/>
        </w:rPr>
        <w:t>)11</w:t>
      </w:r>
      <w:proofErr w:type="gramEnd"/>
      <w:r w:rsidRPr="000F24AF">
        <w:rPr>
          <w:rFonts w:ascii="Times New Roman" w:hAnsi="Times New Roman" w:cs="Times New Roman"/>
          <w:sz w:val="24"/>
          <w:szCs w:val="24"/>
        </w:rPr>
        <w:t xml:space="preserve"> covers 6 different items.  Item 1 consists of filings made by the SLHC with the SEC and item 2 consists of reports provided by nationally recognized statistical rating organizations and securities analysts on any company in the SLHC’s consolidated organization.  </w:t>
      </w:r>
      <w:r w:rsidR="00B43DE4" w:rsidRPr="000F24AF">
        <w:rPr>
          <w:rFonts w:ascii="Times New Roman" w:hAnsi="Times New Roman" w:cs="Times New Roman"/>
          <w:sz w:val="24"/>
          <w:szCs w:val="24"/>
        </w:rPr>
        <w:t>The Board’s Legal Division has determined that n</w:t>
      </w:r>
      <w:r w:rsidRPr="000F24AF">
        <w:rPr>
          <w:rFonts w:ascii="Times New Roman" w:hAnsi="Times New Roman" w:cs="Times New Roman"/>
          <w:sz w:val="24"/>
          <w:szCs w:val="24"/>
        </w:rPr>
        <w:t xml:space="preserve">either of these items should raise any issue of confidentiality.  </w:t>
      </w:r>
    </w:p>
    <w:p w14:paraId="493449B9" w14:textId="77777777" w:rsidR="007516EA" w:rsidRPr="000F24AF" w:rsidRDefault="007516EA" w:rsidP="007516EA">
      <w:pPr>
        <w:ind w:firstLine="720"/>
        <w:rPr>
          <w:rFonts w:ascii="Times New Roman" w:hAnsi="Times New Roman" w:cs="Times New Roman"/>
          <w:sz w:val="24"/>
          <w:szCs w:val="24"/>
        </w:rPr>
      </w:pPr>
    </w:p>
    <w:p w14:paraId="75FD1A71" w14:textId="1D76A069" w:rsidR="00891334" w:rsidRPr="000F24AF" w:rsidRDefault="00891334" w:rsidP="008B793F">
      <w:pPr>
        <w:ind w:firstLine="720"/>
        <w:rPr>
          <w:rFonts w:ascii="Times New Roman" w:hAnsi="Times New Roman" w:cs="Times New Roman"/>
          <w:sz w:val="24"/>
          <w:szCs w:val="24"/>
        </w:rPr>
      </w:pPr>
      <w:r w:rsidRPr="000F24AF">
        <w:rPr>
          <w:rFonts w:ascii="Times New Roman" w:hAnsi="Times New Roman" w:cs="Times New Roman"/>
          <w:sz w:val="24"/>
          <w:szCs w:val="24"/>
        </w:rPr>
        <w:t xml:space="preserve">Item 3 consists of supplemental information for any questions on the FR 2320 to which the SLHC answered “yes.”  </w:t>
      </w:r>
      <w:r w:rsidR="00B43DE4" w:rsidRPr="000F24AF">
        <w:rPr>
          <w:rFonts w:ascii="Times New Roman" w:hAnsi="Times New Roman" w:cs="Times New Roman"/>
          <w:sz w:val="24"/>
          <w:szCs w:val="24"/>
        </w:rPr>
        <w:t>Furthermore, Board Legal has determined that s</w:t>
      </w:r>
      <w:r w:rsidRPr="000F24AF">
        <w:rPr>
          <w:rFonts w:ascii="Times New Roman" w:hAnsi="Times New Roman" w:cs="Times New Roman"/>
          <w:sz w:val="24"/>
          <w:szCs w:val="24"/>
        </w:rPr>
        <w:t xml:space="preserve">upplemental information in response to a yes answer for the FR 2320’s questions 24, 25, and 26 </w:t>
      </w:r>
      <w:r w:rsidR="00151BC3" w:rsidRPr="000F24AF">
        <w:rPr>
          <w:rFonts w:ascii="Times New Roman" w:hAnsi="Times New Roman" w:cs="Times New Roman"/>
          <w:sz w:val="24"/>
          <w:szCs w:val="24"/>
        </w:rPr>
        <w:t xml:space="preserve">may be </w:t>
      </w:r>
      <w:r w:rsidRPr="000F24AF">
        <w:rPr>
          <w:rFonts w:ascii="Times New Roman" w:hAnsi="Times New Roman" w:cs="Times New Roman"/>
          <w:sz w:val="24"/>
          <w:szCs w:val="24"/>
        </w:rPr>
        <w:t>protected from disclosure under exemption 4 of the Freedom of Information Act (FOIA), which covers “trade secrets and commercial or financial information obtained from a person [that is] privileged or confidential”</w:t>
      </w:r>
      <w:r w:rsidR="00B43DE4" w:rsidRPr="000F24AF">
        <w:rPr>
          <w:rFonts w:ascii="Times New Roman" w:hAnsi="Times New Roman" w:cs="Times New Roman"/>
          <w:sz w:val="24"/>
          <w:szCs w:val="24"/>
        </w:rPr>
        <w:t xml:space="preserve"> (5 U.S.C. §§522(b</w:t>
      </w:r>
      <w:proofErr w:type="gramStart"/>
      <w:r w:rsidR="00B43DE4" w:rsidRPr="000F24AF">
        <w:rPr>
          <w:rFonts w:ascii="Times New Roman" w:hAnsi="Times New Roman" w:cs="Times New Roman"/>
          <w:sz w:val="24"/>
          <w:szCs w:val="24"/>
        </w:rPr>
        <w:t>)(</w:t>
      </w:r>
      <w:proofErr w:type="gramEnd"/>
      <w:r w:rsidR="00B43DE4" w:rsidRPr="000F24AF">
        <w:rPr>
          <w:rFonts w:ascii="Times New Roman" w:hAnsi="Times New Roman" w:cs="Times New Roman"/>
          <w:sz w:val="24"/>
          <w:szCs w:val="24"/>
        </w:rPr>
        <w:t>4))</w:t>
      </w:r>
      <w:r w:rsidR="00A900C5" w:rsidRPr="000F24AF">
        <w:rPr>
          <w:rFonts w:ascii="Times New Roman" w:hAnsi="Times New Roman" w:cs="Times New Roman"/>
          <w:sz w:val="24"/>
          <w:szCs w:val="24"/>
        </w:rPr>
        <w:t>.</w:t>
      </w:r>
      <w:r w:rsidRPr="000F24AF">
        <w:rPr>
          <w:rFonts w:ascii="Times New Roman" w:hAnsi="Times New Roman" w:cs="Times New Roman"/>
          <w:sz w:val="24"/>
          <w:szCs w:val="24"/>
        </w:rPr>
        <w:t xml:space="preserve">  These questions concern any new or changed pledges of capital stock of any subsidiary savings association that secures short-term or long-term debt or other borrowings of the SLHC; changes to any class of securities of the SLHC or any of its subsidiaries that would negatively impact investors; and any default of the SLHC or any of its subsidiaries during the quarter.  Disclosure of this type of information is likely to cause substantial competitive harm to the SLHC providing the information and thus this information may be protected from disclosure under FOIA exemption 4</w:t>
      </w:r>
      <w:r w:rsidR="00B43DE4" w:rsidRPr="000F24AF">
        <w:rPr>
          <w:rFonts w:ascii="Times New Roman" w:hAnsi="Times New Roman" w:cs="Times New Roman"/>
          <w:sz w:val="24"/>
          <w:szCs w:val="24"/>
        </w:rPr>
        <w:t xml:space="preserve"> (5 U.S.C. §§522(b</w:t>
      </w:r>
      <w:proofErr w:type="gramStart"/>
      <w:r w:rsidR="00B43DE4" w:rsidRPr="000F24AF">
        <w:rPr>
          <w:rFonts w:ascii="Times New Roman" w:hAnsi="Times New Roman" w:cs="Times New Roman"/>
          <w:sz w:val="24"/>
          <w:szCs w:val="24"/>
        </w:rPr>
        <w:t>)(</w:t>
      </w:r>
      <w:proofErr w:type="gramEnd"/>
      <w:r w:rsidR="00B43DE4" w:rsidRPr="000F24AF">
        <w:rPr>
          <w:rFonts w:ascii="Times New Roman" w:hAnsi="Times New Roman" w:cs="Times New Roman"/>
          <w:sz w:val="24"/>
          <w:szCs w:val="24"/>
        </w:rPr>
        <w:t>4))</w:t>
      </w:r>
      <w:r w:rsidRPr="000F24AF">
        <w:rPr>
          <w:rFonts w:ascii="Times New Roman" w:hAnsi="Times New Roman" w:cs="Times New Roman"/>
          <w:sz w:val="24"/>
          <w:szCs w:val="24"/>
        </w:rPr>
        <w:t xml:space="preserve">. </w:t>
      </w:r>
    </w:p>
    <w:p w14:paraId="09EC51E5" w14:textId="77777777" w:rsidR="00891334" w:rsidRPr="000F24AF" w:rsidRDefault="00891334" w:rsidP="00891334">
      <w:pPr>
        <w:rPr>
          <w:rFonts w:ascii="Times New Roman" w:hAnsi="Times New Roman" w:cs="Times New Roman"/>
          <w:sz w:val="24"/>
          <w:szCs w:val="24"/>
        </w:rPr>
      </w:pPr>
    </w:p>
    <w:p w14:paraId="4A0E86CC" w14:textId="77777777" w:rsidR="00891334" w:rsidRPr="000F24AF" w:rsidRDefault="00891334" w:rsidP="00B43DE4">
      <w:pPr>
        <w:ind w:firstLine="720"/>
        <w:rPr>
          <w:rFonts w:ascii="Times New Roman" w:hAnsi="Times New Roman" w:cs="Times New Roman"/>
          <w:sz w:val="24"/>
          <w:szCs w:val="24"/>
        </w:rPr>
      </w:pPr>
      <w:r w:rsidRPr="000F24AF">
        <w:rPr>
          <w:rFonts w:ascii="Times New Roman" w:hAnsi="Times New Roman" w:cs="Times New Roman"/>
          <w:sz w:val="24"/>
          <w:szCs w:val="24"/>
        </w:rPr>
        <w:t xml:space="preserve">With regard to the supplemental information for other FR 2320 questions that would be provided in item 3 of the FR </w:t>
      </w:r>
      <w:r w:rsidR="00A900C5" w:rsidRPr="000F24AF">
        <w:rPr>
          <w:rFonts w:ascii="Times New Roman" w:hAnsi="Times New Roman" w:cs="Times New Roman"/>
          <w:sz w:val="24"/>
          <w:szCs w:val="24"/>
        </w:rPr>
        <w:t>H-(b</w:t>
      </w:r>
      <w:proofErr w:type="gramStart"/>
      <w:r w:rsidR="00A900C5" w:rsidRPr="000F24AF">
        <w:rPr>
          <w:rFonts w:ascii="Times New Roman" w:hAnsi="Times New Roman" w:cs="Times New Roman"/>
          <w:sz w:val="24"/>
          <w:szCs w:val="24"/>
        </w:rPr>
        <w:t>)11</w:t>
      </w:r>
      <w:proofErr w:type="gramEnd"/>
      <w:r w:rsidRPr="000F24AF">
        <w:rPr>
          <w:rFonts w:ascii="Times New Roman" w:hAnsi="Times New Roman" w:cs="Times New Roman"/>
          <w:sz w:val="24"/>
          <w:szCs w:val="24"/>
        </w:rPr>
        <w:t>, as well as item 4 (Other Materially Important Events), item 5 (Financial Statements) and item 6 (Exhibits – essentially copies not previously filed of its charter or bylaws), the respondent may request confidential treatment of such information under one or more of the exemptions in the FOIA.  The most likely case for confidential treatment will be exemption 4</w:t>
      </w:r>
      <w:r w:rsidR="00B43DE4" w:rsidRPr="000F24AF">
        <w:rPr>
          <w:rFonts w:ascii="Times New Roman" w:hAnsi="Times New Roman" w:cs="Times New Roman"/>
          <w:sz w:val="24"/>
          <w:szCs w:val="24"/>
        </w:rPr>
        <w:t xml:space="preserve"> (</w:t>
      </w:r>
      <w:r w:rsidR="00B43DE4" w:rsidRPr="000F24AF">
        <w:rPr>
          <w:rFonts w:ascii="Times New Roman" w:hAnsi="Times New Roman" w:cs="Times New Roman"/>
          <w:color w:val="000000"/>
          <w:sz w:val="24"/>
          <w:szCs w:val="24"/>
        </w:rPr>
        <w:t>5 U.S.C. §§522(b</w:t>
      </w:r>
      <w:proofErr w:type="gramStart"/>
      <w:r w:rsidR="00B43DE4" w:rsidRPr="000F24AF">
        <w:rPr>
          <w:rFonts w:ascii="Times New Roman" w:hAnsi="Times New Roman" w:cs="Times New Roman"/>
          <w:color w:val="000000"/>
          <w:sz w:val="24"/>
          <w:szCs w:val="24"/>
        </w:rPr>
        <w:t>)(</w:t>
      </w:r>
      <w:proofErr w:type="gramEnd"/>
      <w:r w:rsidR="00B43DE4" w:rsidRPr="000F24AF">
        <w:rPr>
          <w:rFonts w:ascii="Times New Roman" w:hAnsi="Times New Roman" w:cs="Times New Roman"/>
          <w:color w:val="000000"/>
          <w:sz w:val="24"/>
          <w:szCs w:val="24"/>
        </w:rPr>
        <w:t>4)</w:t>
      </w:r>
      <w:r w:rsidR="00B43DE4" w:rsidRPr="000F24AF">
        <w:rPr>
          <w:rFonts w:ascii="Times New Roman" w:hAnsi="Times New Roman" w:cs="Times New Roman"/>
          <w:sz w:val="24"/>
          <w:szCs w:val="24"/>
        </w:rPr>
        <w:t>).</w:t>
      </w:r>
      <w:r w:rsidRPr="000F24AF">
        <w:rPr>
          <w:rFonts w:ascii="Times New Roman" w:hAnsi="Times New Roman" w:cs="Times New Roman"/>
          <w:sz w:val="24"/>
          <w:szCs w:val="24"/>
        </w:rPr>
        <w:t xml:space="preserve">  However, all such requests for confidential treatment would need to be reviewed on a case-by-case basis and in response to a specific request for disclosure.</w:t>
      </w:r>
    </w:p>
    <w:p w14:paraId="2A561A53" w14:textId="77777777" w:rsidR="00D5617C" w:rsidRPr="000F24AF" w:rsidRDefault="00D5617C" w:rsidP="008B793F">
      <w:pPr>
        <w:ind w:firstLine="720"/>
        <w:rPr>
          <w:rFonts w:ascii="Times New Roman" w:hAnsi="Times New Roman" w:cs="Times New Roman"/>
          <w:sz w:val="24"/>
          <w:szCs w:val="24"/>
        </w:rPr>
      </w:pPr>
      <w:r w:rsidRPr="000F24AF">
        <w:rPr>
          <w:rFonts w:ascii="Times New Roman" w:hAnsi="Times New Roman" w:cs="Times New Roman"/>
          <w:sz w:val="24"/>
          <w:szCs w:val="24"/>
        </w:rPr>
        <w:t xml:space="preserve">   </w:t>
      </w:r>
    </w:p>
    <w:p w14:paraId="443CB04D" w14:textId="77777777" w:rsidR="00C23012" w:rsidRPr="000F24AF" w:rsidRDefault="00C23012" w:rsidP="008B793F">
      <w:pPr>
        <w:pStyle w:val="BodyText"/>
        <w:tabs>
          <w:tab w:val="left" w:pos="-1440"/>
        </w:tabs>
        <w:spacing w:after="0"/>
        <w:rPr>
          <w:rFonts w:ascii="Times New Roman" w:hAnsi="Times New Roman" w:cs="Times New Roman"/>
          <w:sz w:val="24"/>
          <w:szCs w:val="24"/>
        </w:rPr>
      </w:pPr>
      <w:r w:rsidRPr="000F24AF">
        <w:rPr>
          <w:rFonts w:ascii="Times New Roman" w:hAnsi="Times New Roman" w:cs="Times New Roman"/>
          <w:b/>
          <w:sz w:val="24"/>
          <w:szCs w:val="24"/>
        </w:rPr>
        <w:t xml:space="preserve">Consultation </w:t>
      </w:r>
      <w:proofErr w:type="gramStart"/>
      <w:r w:rsidRPr="000F24AF">
        <w:rPr>
          <w:rFonts w:ascii="Times New Roman" w:hAnsi="Times New Roman" w:cs="Times New Roman"/>
          <w:b/>
          <w:sz w:val="24"/>
          <w:szCs w:val="24"/>
        </w:rPr>
        <w:t>Outside</w:t>
      </w:r>
      <w:proofErr w:type="gramEnd"/>
      <w:r w:rsidRPr="000F24AF">
        <w:rPr>
          <w:rFonts w:ascii="Times New Roman" w:hAnsi="Times New Roman" w:cs="Times New Roman"/>
          <w:b/>
          <w:sz w:val="24"/>
          <w:szCs w:val="24"/>
        </w:rPr>
        <w:t xml:space="preserve"> the Agency</w:t>
      </w:r>
    </w:p>
    <w:p w14:paraId="6744651E" w14:textId="77777777" w:rsidR="00C23012" w:rsidRPr="000F24AF" w:rsidRDefault="00C23012" w:rsidP="00C23012">
      <w:pPr>
        <w:keepNext/>
        <w:keepLines/>
        <w:widowControl/>
        <w:rPr>
          <w:rFonts w:ascii="Times New Roman" w:hAnsi="Times New Roman" w:cs="Times New Roman"/>
          <w:sz w:val="24"/>
          <w:szCs w:val="24"/>
        </w:rPr>
      </w:pPr>
    </w:p>
    <w:p w14:paraId="09A03F39" w14:textId="27A5BDDC" w:rsidR="006F2518" w:rsidRPr="000F24AF" w:rsidRDefault="006F2518" w:rsidP="009677F3">
      <w:pPr>
        <w:pStyle w:val="Header"/>
        <w:tabs>
          <w:tab w:val="clear" w:pos="4320"/>
          <w:tab w:val="clear" w:pos="8640"/>
        </w:tabs>
        <w:ind w:firstLine="720"/>
        <w:rPr>
          <w:rFonts w:ascii="Times New Roman" w:hAnsi="Times New Roman" w:cs="Times New Roman"/>
          <w:sz w:val="24"/>
          <w:szCs w:val="24"/>
        </w:rPr>
      </w:pPr>
      <w:r w:rsidRPr="000F24AF">
        <w:rPr>
          <w:rFonts w:ascii="Times New Roman" w:hAnsi="Times New Roman" w:cs="Times New Roman"/>
          <w:sz w:val="24"/>
          <w:szCs w:val="24"/>
        </w:rPr>
        <w:t xml:space="preserve">On </w:t>
      </w:r>
      <w:r w:rsidR="009677F3" w:rsidRPr="000F24AF">
        <w:rPr>
          <w:rFonts w:ascii="Times New Roman" w:hAnsi="Times New Roman" w:cs="Times New Roman"/>
          <w:sz w:val="24"/>
          <w:szCs w:val="24"/>
        </w:rPr>
        <w:t>July 29</w:t>
      </w:r>
      <w:r w:rsidRPr="000F24AF">
        <w:rPr>
          <w:rFonts w:ascii="Times New Roman" w:hAnsi="Times New Roman" w:cs="Times New Roman"/>
          <w:sz w:val="24"/>
          <w:szCs w:val="24"/>
        </w:rPr>
        <w:t xml:space="preserve">, 2013, the Federal Reserve published a notice in the </w:t>
      </w:r>
      <w:r w:rsidRPr="000F24AF">
        <w:rPr>
          <w:rFonts w:ascii="Times New Roman" w:hAnsi="Times New Roman" w:cs="Times New Roman"/>
          <w:i/>
          <w:sz w:val="24"/>
          <w:szCs w:val="24"/>
        </w:rPr>
        <w:t>Federal Register</w:t>
      </w:r>
      <w:r w:rsidRPr="000F24AF">
        <w:rPr>
          <w:rFonts w:ascii="Times New Roman" w:hAnsi="Times New Roman" w:cs="Times New Roman"/>
          <w:sz w:val="24"/>
          <w:szCs w:val="24"/>
        </w:rPr>
        <w:t xml:space="preserve"> (</w:t>
      </w:r>
      <w:r w:rsidR="009677F3" w:rsidRPr="000F24AF">
        <w:rPr>
          <w:rFonts w:ascii="Times New Roman" w:hAnsi="Times New Roman" w:cs="Times New Roman"/>
          <w:sz w:val="24"/>
          <w:szCs w:val="24"/>
        </w:rPr>
        <w:t>78</w:t>
      </w:r>
      <w:r w:rsidRPr="000F24AF">
        <w:rPr>
          <w:rFonts w:ascii="Times New Roman" w:hAnsi="Times New Roman" w:cs="Times New Roman"/>
          <w:sz w:val="24"/>
          <w:szCs w:val="24"/>
        </w:rPr>
        <w:t xml:space="preserve"> FR </w:t>
      </w:r>
      <w:r w:rsidR="009677F3" w:rsidRPr="000F24AF">
        <w:rPr>
          <w:rFonts w:ascii="Times New Roman" w:hAnsi="Times New Roman" w:cs="Times New Roman"/>
          <w:sz w:val="24"/>
          <w:szCs w:val="24"/>
        </w:rPr>
        <w:t>45534</w:t>
      </w:r>
      <w:r w:rsidRPr="000F24AF">
        <w:rPr>
          <w:rFonts w:ascii="Times New Roman" w:hAnsi="Times New Roman" w:cs="Times New Roman"/>
          <w:sz w:val="24"/>
          <w:szCs w:val="24"/>
        </w:rPr>
        <w:t>) requesting public comment for 60 days o</w:t>
      </w:r>
      <w:r w:rsidR="00317AA3">
        <w:rPr>
          <w:rFonts w:ascii="Times New Roman" w:hAnsi="Times New Roman" w:cs="Times New Roman"/>
          <w:sz w:val="24"/>
          <w:szCs w:val="24"/>
        </w:rPr>
        <w:t>n</w:t>
      </w:r>
      <w:r w:rsidRPr="000F24AF">
        <w:rPr>
          <w:rFonts w:ascii="Times New Roman" w:hAnsi="Times New Roman" w:cs="Times New Roman"/>
          <w:sz w:val="24"/>
          <w:szCs w:val="24"/>
        </w:rPr>
        <w:t xml:space="preserve"> the </w:t>
      </w:r>
      <w:r w:rsidR="00317AA3">
        <w:rPr>
          <w:rFonts w:ascii="Times New Roman" w:hAnsi="Times New Roman" w:cs="Times New Roman"/>
          <w:sz w:val="24"/>
          <w:szCs w:val="24"/>
        </w:rPr>
        <w:t xml:space="preserve">proposal to renew, with revision, the </w:t>
      </w:r>
      <w:r w:rsidR="00317AA3" w:rsidRPr="000F24AF">
        <w:rPr>
          <w:rFonts w:ascii="Times New Roman" w:hAnsi="Times New Roman" w:cs="Times New Roman"/>
          <w:sz w:val="24"/>
          <w:szCs w:val="24"/>
        </w:rPr>
        <w:t>Savings Association Holding Company Report</w:t>
      </w:r>
      <w:r w:rsidRPr="000F24AF">
        <w:rPr>
          <w:rFonts w:ascii="Times New Roman" w:hAnsi="Times New Roman" w:cs="Times New Roman"/>
          <w:sz w:val="24"/>
          <w:szCs w:val="24"/>
        </w:rPr>
        <w:t>.  The comment period for this notice expire</w:t>
      </w:r>
      <w:r w:rsidR="00A15D2A">
        <w:rPr>
          <w:rFonts w:ascii="Times New Roman" w:hAnsi="Times New Roman" w:cs="Times New Roman"/>
          <w:sz w:val="24"/>
          <w:szCs w:val="24"/>
        </w:rPr>
        <w:t>d</w:t>
      </w:r>
      <w:r w:rsidRPr="000F24AF">
        <w:rPr>
          <w:rFonts w:ascii="Times New Roman" w:hAnsi="Times New Roman" w:cs="Times New Roman"/>
          <w:sz w:val="24"/>
          <w:szCs w:val="24"/>
        </w:rPr>
        <w:t xml:space="preserve"> on </w:t>
      </w:r>
      <w:r w:rsidR="009677F3" w:rsidRPr="000F24AF">
        <w:rPr>
          <w:rFonts w:ascii="Times New Roman" w:hAnsi="Times New Roman" w:cs="Times New Roman"/>
          <w:sz w:val="24"/>
          <w:szCs w:val="24"/>
        </w:rPr>
        <w:t>September 27,</w:t>
      </w:r>
      <w:r w:rsidRPr="000F24AF">
        <w:rPr>
          <w:rFonts w:ascii="Times New Roman" w:hAnsi="Times New Roman" w:cs="Times New Roman"/>
          <w:sz w:val="24"/>
          <w:szCs w:val="24"/>
        </w:rPr>
        <w:t xml:space="preserve"> 2013.  </w:t>
      </w:r>
      <w:r w:rsidR="00A15D2A">
        <w:rPr>
          <w:rFonts w:ascii="Times New Roman" w:hAnsi="Times New Roman" w:cs="Times New Roman"/>
          <w:sz w:val="24"/>
          <w:szCs w:val="24"/>
        </w:rPr>
        <w:t>The Federal Reserve received one comment letter of support from an SLHC.</w:t>
      </w:r>
      <w:r w:rsidR="009679A5">
        <w:rPr>
          <w:rFonts w:ascii="Times New Roman" w:hAnsi="Times New Roman" w:cs="Times New Roman"/>
          <w:sz w:val="24"/>
          <w:szCs w:val="24"/>
        </w:rPr>
        <w:t xml:space="preserve">  On October 8, 2013, the Federal Reserve published a final notice in the </w:t>
      </w:r>
      <w:r w:rsidR="009679A5" w:rsidRPr="009679A5">
        <w:rPr>
          <w:rFonts w:ascii="Times New Roman" w:hAnsi="Times New Roman" w:cs="Times New Roman"/>
          <w:i/>
          <w:sz w:val="24"/>
          <w:szCs w:val="24"/>
        </w:rPr>
        <w:t>Federal Register</w:t>
      </w:r>
      <w:r w:rsidR="009679A5">
        <w:rPr>
          <w:rFonts w:ascii="Times New Roman" w:hAnsi="Times New Roman" w:cs="Times New Roman"/>
          <w:sz w:val="24"/>
          <w:szCs w:val="24"/>
        </w:rPr>
        <w:t xml:space="preserve"> (78 FR 61959)</w:t>
      </w:r>
      <w:r w:rsidR="00845AA4">
        <w:rPr>
          <w:rFonts w:ascii="Times New Roman" w:hAnsi="Times New Roman" w:cs="Times New Roman"/>
          <w:sz w:val="24"/>
          <w:szCs w:val="24"/>
        </w:rPr>
        <w:t xml:space="preserve"> implementing the revisions as proposed, effective September 30, 2013</w:t>
      </w:r>
      <w:r w:rsidR="009679A5">
        <w:rPr>
          <w:rFonts w:ascii="Times New Roman" w:hAnsi="Times New Roman" w:cs="Times New Roman"/>
          <w:sz w:val="24"/>
          <w:szCs w:val="24"/>
        </w:rPr>
        <w:t xml:space="preserve">. </w:t>
      </w:r>
    </w:p>
    <w:p w14:paraId="761477ED" w14:textId="77777777" w:rsidR="00C23012" w:rsidRPr="000F24AF" w:rsidRDefault="00C23012" w:rsidP="00C23012">
      <w:pPr>
        <w:keepLines/>
        <w:widowControl/>
        <w:rPr>
          <w:rFonts w:ascii="Times New Roman" w:hAnsi="Times New Roman" w:cs="Times New Roman"/>
          <w:sz w:val="24"/>
          <w:szCs w:val="24"/>
        </w:rPr>
      </w:pPr>
    </w:p>
    <w:p w14:paraId="0A49BD81" w14:textId="77777777" w:rsidR="00C23012" w:rsidRPr="000F24AF" w:rsidRDefault="00C23012" w:rsidP="00C23012">
      <w:pPr>
        <w:keepNext/>
        <w:keepLines/>
        <w:widowControl/>
        <w:rPr>
          <w:rFonts w:ascii="Times New Roman" w:hAnsi="Times New Roman" w:cs="Times New Roman"/>
          <w:sz w:val="24"/>
          <w:szCs w:val="24"/>
        </w:rPr>
      </w:pPr>
      <w:r w:rsidRPr="000F24AF">
        <w:rPr>
          <w:rFonts w:ascii="Times New Roman" w:hAnsi="Times New Roman" w:cs="Times New Roman"/>
          <w:b/>
          <w:sz w:val="24"/>
          <w:szCs w:val="24"/>
        </w:rPr>
        <w:lastRenderedPageBreak/>
        <w:t>Sensitive Questions</w:t>
      </w:r>
    </w:p>
    <w:p w14:paraId="49F7C1D3" w14:textId="77777777" w:rsidR="00C23012" w:rsidRPr="000F24AF" w:rsidRDefault="00C23012" w:rsidP="00C23012">
      <w:pPr>
        <w:keepNext/>
        <w:keepLines/>
        <w:widowControl/>
        <w:rPr>
          <w:rFonts w:ascii="Times New Roman" w:hAnsi="Times New Roman" w:cs="Times New Roman"/>
          <w:sz w:val="24"/>
          <w:szCs w:val="24"/>
        </w:rPr>
      </w:pPr>
    </w:p>
    <w:p w14:paraId="40D38BD3" w14:textId="77777777" w:rsidR="00FC1E38" w:rsidRPr="000F24AF" w:rsidRDefault="009E1B63" w:rsidP="00C23012">
      <w:pPr>
        <w:widowControl/>
        <w:rPr>
          <w:rFonts w:ascii="Times New Roman" w:hAnsi="Times New Roman" w:cs="Times New Roman"/>
          <w:sz w:val="24"/>
          <w:szCs w:val="24"/>
        </w:rPr>
      </w:pPr>
      <w:r w:rsidRPr="000F24AF">
        <w:rPr>
          <w:rFonts w:ascii="Times New Roman" w:hAnsi="Times New Roman" w:cs="Times New Roman"/>
          <w:sz w:val="24"/>
          <w:szCs w:val="24"/>
        </w:rPr>
        <w:tab/>
      </w:r>
      <w:r w:rsidR="00C23012" w:rsidRPr="000F24AF">
        <w:rPr>
          <w:rFonts w:ascii="Times New Roman" w:hAnsi="Times New Roman" w:cs="Times New Roman"/>
          <w:sz w:val="24"/>
          <w:szCs w:val="24"/>
        </w:rPr>
        <w:t>This collection of information contains no questions of a sensitive nature, as defined by OMB guidelines.</w:t>
      </w:r>
    </w:p>
    <w:p w14:paraId="0EA80522" w14:textId="77777777" w:rsidR="00B36D48" w:rsidRPr="000F24AF" w:rsidRDefault="00B36D48" w:rsidP="00C23012">
      <w:pPr>
        <w:widowControl/>
        <w:rPr>
          <w:rFonts w:ascii="Times New Roman" w:hAnsi="Times New Roman" w:cs="Times New Roman"/>
          <w:sz w:val="24"/>
          <w:szCs w:val="24"/>
        </w:rPr>
      </w:pPr>
    </w:p>
    <w:p w14:paraId="5ED996E8" w14:textId="77777777" w:rsidR="00FC1E38" w:rsidRPr="000F24AF" w:rsidRDefault="00FC1E38" w:rsidP="00FC1E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s="Times New Roman"/>
          <w:sz w:val="24"/>
          <w:szCs w:val="24"/>
        </w:rPr>
      </w:pPr>
      <w:r w:rsidRPr="000F24AF">
        <w:rPr>
          <w:rFonts w:ascii="Times New Roman" w:hAnsi="Times New Roman" w:cs="Times New Roman"/>
          <w:b/>
          <w:sz w:val="24"/>
          <w:szCs w:val="24"/>
        </w:rPr>
        <w:t>Estimate of Respondent Burden</w:t>
      </w:r>
    </w:p>
    <w:p w14:paraId="5C7F2CE7" w14:textId="77777777" w:rsidR="00FC1E38" w:rsidRPr="000F24AF" w:rsidRDefault="00FC1E38" w:rsidP="00FC1E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15EA85F8" w14:textId="259CBEB8" w:rsidR="00E974C5" w:rsidRPr="000F24AF" w:rsidRDefault="009E1B63" w:rsidP="00085983">
      <w:pPr>
        <w:ind w:firstLine="720"/>
        <w:rPr>
          <w:rFonts w:ascii="Times New Roman" w:hAnsi="Times New Roman" w:cs="Times New Roman"/>
          <w:sz w:val="24"/>
          <w:szCs w:val="24"/>
        </w:rPr>
      </w:pPr>
      <w:r w:rsidRPr="000F24AF">
        <w:rPr>
          <w:rFonts w:ascii="Times New Roman" w:hAnsi="Times New Roman" w:cs="Times New Roman"/>
          <w:sz w:val="24"/>
          <w:szCs w:val="24"/>
        </w:rPr>
        <w:t xml:space="preserve">The </w:t>
      </w:r>
      <w:r w:rsidR="006C7DEC" w:rsidRPr="000F24AF">
        <w:rPr>
          <w:rFonts w:ascii="Times New Roman" w:hAnsi="Times New Roman" w:cs="Times New Roman"/>
          <w:sz w:val="24"/>
          <w:szCs w:val="24"/>
        </w:rPr>
        <w:t xml:space="preserve">current </w:t>
      </w:r>
      <w:r w:rsidRPr="000F24AF">
        <w:rPr>
          <w:rFonts w:ascii="Times New Roman" w:hAnsi="Times New Roman" w:cs="Times New Roman"/>
          <w:sz w:val="24"/>
          <w:szCs w:val="24"/>
        </w:rPr>
        <w:t xml:space="preserve">annual burden for the </w:t>
      </w:r>
      <w:r w:rsidR="002C13B2" w:rsidRPr="000F24AF">
        <w:rPr>
          <w:rFonts w:ascii="Times New Roman" w:hAnsi="Times New Roman" w:cs="Times New Roman"/>
          <w:sz w:val="24"/>
          <w:szCs w:val="24"/>
        </w:rPr>
        <w:t xml:space="preserve">FR </w:t>
      </w:r>
      <w:r w:rsidR="00877CF2" w:rsidRPr="000F24AF">
        <w:rPr>
          <w:rFonts w:ascii="Times New Roman" w:hAnsi="Times New Roman" w:cs="Times New Roman"/>
          <w:sz w:val="24"/>
          <w:szCs w:val="24"/>
        </w:rPr>
        <w:t>H</w:t>
      </w:r>
      <w:r w:rsidR="00DB53BE" w:rsidRPr="000F24AF">
        <w:rPr>
          <w:rFonts w:ascii="Times New Roman" w:hAnsi="Times New Roman" w:cs="Times New Roman"/>
          <w:sz w:val="24"/>
          <w:szCs w:val="24"/>
        </w:rPr>
        <w:t>-</w:t>
      </w:r>
      <w:r w:rsidR="00877CF2" w:rsidRPr="000F24AF">
        <w:rPr>
          <w:rFonts w:ascii="Times New Roman" w:hAnsi="Times New Roman" w:cs="Times New Roman"/>
          <w:sz w:val="24"/>
          <w:szCs w:val="24"/>
        </w:rPr>
        <w:t>(b</w:t>
      </w:r>
      <w:proofErr w:type="gramStart"/>
      <w:r w:rsidR="00877CF2" w:rsidRPr="000F24AF">
        <w:rPr>
          <w:rFonts w:ascii="Times New Roman" w:hAnsi="Times New Roman" w:cs="Times New Roman"/>
          <w:sz w:val="24"/>
          <w:szCs w:val="24"/>
        </w:rPr>
        <w:t>)11</w:t>
      </w:r>
      <w:proofErr w:type="gramEnd"/>
      <w:r w:rsidRPr="000F24AF">
        <w:rPr>
          <w:rFonts w:ascii="Times New Roman" w:hAnsi="Times New Roman" w:cs="Times New Roman"/>
          <w:sz w:val="24"/>
          <w:szCs w:val="24"/>
        </w:rPr>
        <w:t xml:space="preserve"> is estimated to be </w:t>
      </w:r>
      <w:r w:rsidR="006C7DEC" w:rsidRPr="000F24AF">
        <w:rPr>
          <w:rFonts w:ascii="Times New Roman" w:hAnsi="Times New Roman" w:cs="Times New Roman"/>
          <w:sz w:val="24"/>
          <w:szCs w:val="24"/>
        </w:rPr>
        <w:t xml:space="preserve">2,944 </w:t>
      </w:r>
      <w:r w:rsidRPr="000F24AF">
        <w:rPr>
          <w:rFonts w:ascii="Times New Roman" w:hAnsi="Times New Roman" w:cs="Times New Roman"/>
          <w:sz w:val="24"/>
          <w:szCs w:val="24"/>
        </w:rPr>
        <w:t>hours as shown in the following table</w:t>
      </w:r>
      <w:r w:rsidR="004E55CA" w:rsidRPr="000F24AF">
        <w:rPr>
          <w:rFonts w:ascii="Times New Roman" w:hAnsi="Times New Roman" w:cs="Times New Roman"/>
          <w:sz w:val="24"/>
          <w:szCs w:val="24"/>
        </w:rPr>
        <w:t xml:space="preserve"> and would decrease by </w:t>
      </w:r>
      <w:r w:rsidR="002A3037" w:rsidRPr="000F24AF">
        <w:rPr>
          <w:rFonts w:ascii="Times New Roman" w:hAnsi="Times New Roman" w:cs="Times New Roman"/>
          <w:sz w:val="24"/>
          <w:szCs w:val="24"/>
        </w:rPr>
        <w:t>2,680</w:t>
      </w:r>
      <w:r w:rsidR="004E55CA" w:rsidRPr="000F24AF">
        <w:rPr>
          <w:rFonts w:ascii="Times New Roman" w:hAnsi="Times New Roman" w:cs="Times New Roman"/>
          <w:sz w:val="24"/>
          <w:szCs w:val="24"/>
        </w:rPr>
        <w:t xml:space="preserve"> hours</w:t>
      </w:r>
      <w:r w:rsidR="006C7DEC" w:rsidRPr="000F24AF">
        <w:rPr>
          <w:rFonts w:ascii="Times New Roman" w:hAnsi="Times New Roman" w:cs="Times New Roman"/>
          <w:sz w:val="24"/>
          <w:szCs w:val="24"/>
        </w:rPr>
        <w:t xml:space="preserve">, to </w:t>
      </w:r>
      <w:r w:rsidR="002A3037" w:rsidRPr="000F24AF">
        <w:rPr>
          <w:rFonts w:ascii="Times New Roman" w:hAnsi="Times New Roman" w:cs="Times New Roman"/>
          <w:sz w:val="24"/>
          <w:szCs w:val="24"/>
        </w:rPr>
        <w:t xml:space="preserve">264 </w:t>
      </w:r>
      <w:r w:rsidR="006C7DEC" w:rsidRPr="000F24AF">
        <w:rPr>
          <w:rFonts w:ascii="Times New Roman" w:hAnsi="Times New Roman" w:cs="Times New Roman"/>
          <w:sz w:val="24"/>
          <w:szCs w:val="24"/>
        </w:rPr>
        <w:t>hours,</w:t>
      </w:r>
      <w:r w:rsidR="0045494A" w:rsidRPr="000F24AF">
        <w:rPr>
          <w:rFonts w:ascii="Times New Roman" w:hAnsi="Times New Roman" w:cs="Times New Roman"/>
          <w:sz w:val="24"/>
          <w:szCs w:val="24"/>
        </w:rPr>
        <w:t xml:space="preserve"> as a result of the proposed revision</w:t>
      </w:r>
      <w:r w:rsidR="00B6362B" w:rsidRPr="000F24AF">
        <w:rPr>
          <w:rFonts w:ascii="Times New Roman" w:hAnsi="Times New Roman" w:cs="Times New Roman"/>
          <w:sz w:val="24"/>
          <w:szCs w:val="24"/>
        </w:rPr>
        <w:t>s</w:t>
      </w:r>
      <w:r w:rsidRPr="000F24AF">
        <w:rPr>
          <w:rFonts w:ascii="Times New Roman" w:hAnsi="Times New Roman" w:cs="Times New Roman"/>
          <w:sz w:val="24"/>
          <w:szCs w:val="24"/>
        </w:rPr>
        <w:t xml:space="preserve">.  The </w:t>
      </w:r>
      <w:r w:rsidR="00DB29BF" w:rsidRPr="000F24AF">
        <w:rPr>
          <w:rFonts w:ascii="Times New Roman" w:hAnsi="Times New Roman" w:cs="Times New Roman"/>
          <w:sz w:val="24"/>
          <w:szCs w:val="24"/>
        </w:rPr>
        <w:t xml:space="preserve">estimated </w:t>
      </w:r>
      <w:r w:rsidRPr="000F24AF">
        <w:rPr>
          <w:rFonts w:ascii="Times New Roman" w:hAnsi="Times New Roman" w:cs="Times New Roman"/>
          <w:sz w:val="24"/>
          <w:szCs w:val="24"/>
        </w:rPr>
        <w:t xml:space="preserve">number of </w:t>
      </w:r>
      <w:r w:rsidR="006C7DEC" w:rsidRPr="000F24AF">
        <w:rPr>
          <w:rFonts w:ascii="Times New Roman" w:hAnsi="Times New Roman" w:cs="Times New Roman"/>
          <w:sz w:val="24"/>
          <w:szCs w:val="24"/>
        </w:rPr>
        <w:t xml:space="preserve">proposed </w:t>
      </w:r>
      <w:r w:rsidRPr="000F24AF">
        <w:rPr>
          <w:rFonts w:ascii="Times New Roman" w:hAnsi="Times New Roman" w:cs="Times New Roman"/>
          <w:sz w:val="24"/>
          <w:szCs w:val="24"/>
        </w:rPr>
        <w:t xml:space="preserve">respondents </w:t>
      </w:r>
      <w:r w:rsidR="002A188E" w:rsidRPr="000F24AF">
        <w:rPr>
          <w:rFonts w:ascii="Times New Roman" w:hAnsi="Times New Roman" w:cs="Times New Roman"/>
          <w:sz w:val="24"/>
          <w:szCs w:val="24"/>
        </w:rPr>
        <w:t>includes</w:t>
      </w:r>
      <w:r w:rsidR="003D05F1" w:rsidRPr="000F24AF">
        <w:rPr>
          <w:rFonts w:ascii="Times New Roman" w:hAnsi="Times New Roman" w:cs="Times New Roman"/>
          <w:sz w:val="24"/>
          <w:szCs w:val="24"/>
        </w:rPr>
        <w:t>:</w:t>
      </w:r>
      <w:r w:rsidRPr="000F24AF">
        <w:rPr>
          <w:rFonts w:ascii="Times New Roman" w:hAnsi="Times New Roman" w:cs="Times New Roman"/>
          <w:sz w:val="24"/>
          <w:szCs w:val="24"/>
        </w:rPr>
        <w:t xml:space="preserve"> </w:t>
      </w:r>
      <w:r w:rsidR="00CE3C7D" w:rsidRPr="000F24AF">
        <w:rPr>
          <w:rFonts w:ascii="Times New Roman" w:hAnsi="Times New Roman" w:cs="Times New Roman"/>
          <w:sz w:val="24"/>
          <w:szCs w:val="24"/>
        </w:rPr>
        <w:t>(1) grandfathered unitary SLHC</w:t>
      </w:r>
      <w:r w:rsidR="006C7DEC" w:rsidRPr="000F24AF">
        <w:rPr>
          <w:rFonts w:ascii="Times New Roman" w:hAnsi="Times New Roman" w:cs="Times New Roman"/>
          <w:sz w:val="24"/>
          <w:szCs w:val="24"/>
        </w:rPr>
        <w:t>s</w:t>
      </w:r>
      <w:r w:rsidR="00CE3C7D" w:rsidRPr="000F24AF">
        <w:rPr>
          <w:rFonts w:ascii="Times New Roman" w:hAnsi="Times New Roman" w:cs="Times New Roman"/>
          <w:sz w:val="24"/>
          <w:szCs w:val="24"/>
        </w:rPr>
        <w:t xml:space="preserve"> whose assets are primarily commercial and whose thrifts make up less than 5 percent of its consolidated assets; and (2) SLHC</w:t>
      </w:r>
      <w:r w:rsidR="006C7DEC" w:rsidRPr="000F24AF">
        <w:rPr>
          <w:rFonts w:ascii="Times New Roman" w:hAnsi="Times New Roman" w:cs="Times New Roman"/>
          <w:sz w:val="24"/>
          <w:szCs w:val="24"/>
        </w:rPr>
        <w:t>s</w:t>
      </w:r>
      <w:r w:rsidR="00CE3C7D" w:rsidRPr="000F24AF">
        <w:rPr>
          <w:rFonts w:ascii="Times New Roman" w:hAnsi="Times New Roman" w:cs="Times New Roman"/>
          <w:sz w:val="24"/>
          <w:szCs w:val="24"/>
        </w:rPr>
        <w:t xml:space="preserve"> whose assets are primarily insurance-related and who do not otherwise submit financial reports with the SEC pursuant to Section 13 or 15(d) of the Securities Exchange Act of 1934</w:t>
      </w:r>
      <w:r w:rsidR="00520C0A" w:rsidRPr="000F24AF">
        <w:rPr>
          <w:rFonts w:ascii="Times New Roman" w:hAnsi="Times New Roman" w:cs="Times New Roman"/>
          <w:sz w:val="24"/>
          <w:szCs w:val="24"/>
        </w:rPr>
        <w:t xml:space="preserve">.  </w:t>
      </w:r>
      <w:r w:rsidR="008845DE" w:rsidRPr="000F24AF">
        <w:rPr>
          <w:rFonts w:ascii="Times New Roman" w:hAnsi="Times New Roman" w:cs="Times New Roman"/>
          <w:sz w:val="24"/>
          <w:szCs w:val="24"/>
        </w:rPr>
        <w:t>The estimated hours per response is based on</w:t>
      </w:r>
      <w:r w:rsidR="001771C9" w:rsidRPr="000F24AF">
        <w:rPr>
          <w:rFonts w:ascii="Times New Roman" w:hAnsi="Times New Roman" w:cs="Times New Roman"/>
          <w:sz w:val="24"/>
          <w:szCs w:val="24"/>
        </w:rPr>
        <w:t xml:space="preserve"> the hourly estimate currently associated with the FR H-(b</w:t>
      </w:r>
      <w:proofErr w:type="gramStart"/>
      <w:r w:rsidR="001771C9" w:rsidRPr="000F24AF">
        <w:rPr>
          <w:rFonts w:ascii="Times New Roman" w:hAnsi="Times New Roman" w:cs="Times New Roman"/>
          <w:sz w:val="24"/>
          <w:szCs w:val="24"/>
        </w:rPr>
        <w:t>)11</w:t>
      </w:r>
      <w:proofErr w:type="gramEnd"/>
      <w:r w:rsidR="006C7DEC" w:rsidRPr="000F24AF">
        <w:rPr>
          <w:rFonts w:ascii="Times New Roman" w:hAnsi="Times New Roman" w:cs="Times New Roman"/>
          <w:sz w:val="24"/>
          <w:szCs w:val="24"/>
        </w:rPr>
        <w:t xml:space="preserve"> and would not change</w:t>
      </w:r>
      <w:r w:rsidR="001771C9" w:rsidRPr="000F24AF">
        <w:rPr>
          <w:rFonts w:ascii="Times New Roman" w:hAnsi="Times New Roman" w:cs="Times New Roman"/>
          <w:sz w:val="24"/>
          <w:szCs w:val="24"/>
        </w:rPr>
        <w:t xml:space="preserve">.  </w:t>
      </w:r>
      <w:r w:rsidR="00946E21" w:rsidRPr="000F24AF">
        <w:rPr>
          <w:rFonts w:ascii="Times New Roman" w:hAnsi="Times New Roman" w:cs="Times New Roman"/>
          <w:sz w:val="24"/>
          <w:szCs w:val="24"/>
        </w:rPr>
        <w:t>The Federal Reserve</w:t>
      </w:r>
      <w:r w:rsidR="001771C9" w:rsidRPr="000F24AF">
        <w:rPr>
          <w:rFonts w:ascii="Times New Roman" w:hAnsi="Times New Roman" w:cs="Times New Roman"/>
          <w:sz w:val="24"/>
          <w:szCs w:val="24"/>
        </w:rPr>
        <w:t xml:space="preserve"> believes </w:t>
      </w:r>
      <w:r w:rsidR="00085983" w:rsidRPr="000F24AF">
        <w:rPr>
          <w:rFonts w:ascii="Times New Roman" w:hAnsi="Times New Roman" w:cs="Times New Roman"/>
          <w:sz w:val="24"/>
          <w:szCs w:val="24"/>
        </w:rPr>
        <w:t>that no additional burden would be required since the exempt SLHCs currently report the FR H-(b</w:t>
      </w:r>
      <w:proofErr w:type="gramStart"/>
      <w:r w:rsidR="00085983" w:rsidRPr="000F24AF">
        <w:rPr>
          <w:rFonts w:ascii="Times New Roman" w:hAnsi="Times New Roman" w:cs="Times New Roman"/>
          <w:sz w:val="24"/>
          <w:szCs w:val="24"/>
        </w:rPr>
        <w:t>)11</w:t>
      </w:r>
      <w:proofErr w:type="gramEnd"/>
      <w:r w:rsidR="00085983" w:rsidRPr="000F24AF">
        <w:rPr>
          <w:rFonts w:ascii="Times New Roman" w:hAnsi="Times New Roman" w:cs="Times New Roman"/>
          <w:sz w:val="24"/>
          <w:szCs w:val="24"/>
        </w:rPr>
        <w:t xml:space="preserve"> and are familiar with the requirements</w:t>
      </w:r>
      <w:r w:rsidR="006C7DEC" w:rsidRPr="000F24AF">
        <w:rPr>
          <w:rFonts w:ascii="Times New Roman" w:hAnsi="Times New Roman" w:cs="Times New Roman"/>
          <w:sz w:val="24"/>
          <w:szCs w:val="24"/>
        </w:rPr>
        <w:t xml:space="preserve">. </w:t>
      </w:r>
      <w:r w:rsidR="007516EA" w:rsidRPr="000F24AF">
        <w:rPr>
          <w:rFonts w:ascii="Times New Roman" w:hAnsi="Times New Roman" w:cs="Times New Roman"/>
          <w:sz w:val="24"/>
          <w:szCs w:val="24"/>
        </w:rPr>
        <w:t xml:space="preserve"> </w:t>
      </w:r>
      <w:r w:rsidR="00946E21" w:rsidRPr="000F24AF">
        <w:rPr>
          <w:rFonts w:ascii="Times New Roman" w:hAnsi="Times New Roman" w:cs="Times New Roman"/>
          <w:sz w:val="24"/>
          <w:szCs w:val="24"/>
        </w:rPr>
        <w:t>The Federal Reserves</w:t>
      </w:r>
      <w:r w:rsidR="007516EA" w:rsidRPr="000F24AF">
        <w:rPr>
          <w:rFonts w:ascii="Times New Roman" w:hAnsi="Times New Roman" w:cs="Times New Roman"/>
          <w:sz w:val="24"/>
          <w:szCs w:val="24"/>
        </w:rPr>
        <w:t xml:space="preserve"> also believe</w:t>
      </w:r>
      <w:r w:rsidR="00946E21" w:rsidRPr="000F24AF">
        <w:rPr>
          <w:rFonts w:ascii="Times New Roman" w:hAnsi="Times New Roman" w:cs="Times New Roman"/>
          <w:sz w:val="24"/>
          <w:szCs w:val="24"/>
        </w:rPr>
        <w:t>s</w:t>
      </w:r>
      <w:r w:rsidR="00E26567" w:rsidRPr="000F24AF">
        <w:rPr>
          <w:rFonts w:ascii="Times New Roman" w:hAnsi="Times New Roman" w:cs="Times New Roman"/>
          <w:sz w:val="24"/>
          <w:szCs w:val="24"/>
        </w:rPr>
        <w:t xml:space="preserve"> that the removal of the docket number would not affect the respondent burden.</w:t>
      </w:r>
      <w:r w:rsidR="006C7DEC" w:rsidRPr="000F24AF">
        <w:rPr>
          <w:rFonts w:ascii="Times New Roman" w:hAnsi="Times New Roman" w:cs="Times New Roman"/>
          <w:sz w:val="24"/>
          <w:szCs w:val="24"/>
        </w:rPr>
        <w:t xml:space="preserve"> O</w:t>
      </w:r>
      <w:r w:rsidR="00085983" w:rsidRPr="000F24AF">
        <w:rPr>
          <w:rFonts w:ascii="Times New Roman" w:hAnsi="Times New Roman" w:cs="Times New Roman"/>
          <w:sz w:val="24"/>
          <w:szCs w:val="24"/>
        </w:rPr>
        <w:t xml:space="preserve">verall reporting burden </w:t>
      </w:r>
      <w:r w:rsidR="006C7DEC" w:rsidRPr="000F24AF">
        <w:rPr>
          <w:rFonts w:ascii="Times New Roman" w:hAnsi="Times New Roman" w:cs="Times New Roman"/>
          <w:sz w:val="24"/>
          <w:szCs w:val="24"/>
        </w:rPr>
        <w:t>would</w:t>
      </w:r>
      <w:r w:rsidR="00085983" w:rsidRPr="000F24AF">
        <w:rPr>
          <w:rFonts w:ascii="Times New Roman" w:hAnsi="Times New Roman" w:cs="Times New Roman"/>
          <w:sz w:val="24"/>
          <w:szCs w:val="24"/>
        </w:rPr>
        <w:t xml:space="preserve"> be decreased because of the downward shift in the size of the reporting panel.  </w:t>
      </w:r>
      <w:r w:rsidR="00520C0A" w:rsidRPr="000F24AF">
        <w:rPr>
          <w:rFonts w:ascii="Times New Roman" w:hAnsi="Times New Roman" w:cs="Times New Roman"/>
          <w:sz w:val="24"/>
          <w:szCs w:val="24"/>
        </w:rPr>
        <w:t xml:space="preserve">The estimated proposed annual burden for all these reporting forms is </w:t>
      </w:r>
      <w:r w:rsidR="00E0783E" w:rsidRPr="000F24AF">
        <w:rPr>
          <w:rFonts w:ascii="Times New Roman" w:hAnsi="Times New Roman" w:cs="Times New Roman"/>
          <w:sz w:val="24"/>
          <w:szCs w:val="24"/>
        </w:rPr>
        <w:t xml:space="preserve">less than 1 </w:t>
      </w:r>
      <w:r w:rsidR="00520C0A" w:rsidRPr="000F24AF">
        <w:rPr>
          <w:rFonts w:ascii="Times New Roman" w:hAnsi="Times New Roman" w:cs="Times New Roman"/>
          <w:sz w:val="24"/>
          <w:szCs w:val="24"/>
        </w:rPr>
        <w:t>percent of the total Federal Reserve System burden.</w:t>
      </w:r>
    </w:p>
    <w:p w14:paraId="10872FAA" w14:textId="77777777" w:rsidR="00FC1E38" w:rsidRPr="000F24AF" w:rsidRDefault="00FC1E38" w:rsidP="00FC1E38">
      <w:pPr>
        <w:tabs>
          <w:tab w:val="left" w:pos="360"/>
        </w:tabs>
        <w:rPr>
          <w:rFonts w:ascii="Times New Roman" w:hAnsi="Times New Roman" w:cs="Times New Roman"/>
          <w:color w:val="000000"/>
          <w:sz w:val="24"/>
          <w:szCs w:val="24"/>
        </w:rPr>
      </w:pPr>
    </w:p>
    <w:tbl>
      <w:tblPr>
        <w:tblW w:w="9444" w:type="dxa"/>
        <w:tblInd w:w="18" w:type="dxa"/>
        <w:tblBorders>
          <w:top w:val="single" w:sz="4" w:space="0" w:color="auto"/>
          <w:bottom w:val="single" w:sz="4" w:space="0" w:color="auto"/>
        </w:tblBorders>
        <w:tblLayout w:type="fixed"/>
        <w:tblLook w:val="0000" w:firstRow="0" w:lastRow="0" w:firstColumn="0" w:lastColumn="0" w:noHBand="0" w:noVBand="0"/>
      </w:tblPr>
      <w:tblGrid>
        <w:gridCol w:w="2430"/>
        <w:gridCol w:w="1753"/>
        <w:gridCol w:w="1754"/>
        <w:gridCol w:w="1753"/>
        <w:gridCol w:w="1754"/>
      </w:tblGrid>
      <w:tr w:rsidR="00FC1E38" w:rsidRPr="000F24AF" w14:paraId="03A144FF" w14:textId="77777777" w:rsidTr="0099199D">
        <w:tc>
          <w:tcPr>
            <w:tcW w:w="2430" w:type="dxa"/>
            <w:vAlign w:val="bottom"/>
          </w:tcPr>
          <w:p w14:paraId="2D3C4CD3" w14:textId="77777777" w:rsidR="00FC1E38" w:rsidRPr="000F24AF" w:rsidRDefault="00FC1E38" w:rsidP="0099199D">
            <w:pPr>
              <w:widowControl/>
              <w:tabs>
                <w:tab w:val="left" w:pos="720"/>
              </w:tabs>
              <w:snapToGrid w:val="0"/>
              <w:rPr>
                <w:rFonts w:ascii="Times New Roman" w:hAnsi="Times New Roman" w:cs="Times New Roman"/>
                <w:sz w:val="24"/>
                <w:szCs w:val="24"/>
              </w:rPr>
            </w:pPr>
          </w:p>
        </w:tc>
        <w:tc>
          <w:tcPr>
            <w:tcW w:w="1753" w:type="dxa"/>
            <w:vAlign w:val="bottom"/>
          </w:tcPr>
          <w:p w14:paraId="7D5BF9BD" w14:textId="77777777" w:rsidR="0099199D" w:rsidRPr="000F24AF" w:rsidRDefault="00FC1E38" w:rsidP="0099199D">
            <w:pPr>
              <w:widowControl/>
              <w:tabs>
                <w:tab w:val="left" w:pos="720"/>
              </w:tabs>
              <w:snapToGrid w:val="0"/>
              <w:jc w:val="center"/>
              <w:rPr>
                <w:rFonts w:ascii="Times New Roman" w:hAnsi="Times New Roman" w:cs="Times New Roman"/>
                <w:i/>
                <w:sz w:val="24"/>
                <w:szCs w:val="24"/>
              </w:rPr>
            </w:pPr>
            <w:r w:rsidRPr="000F24AF">
              <w:rPr>
                <w:rFonts w:ascii="Times New Roman" w:hAnsi="Times New Roman" w:cs="Times New Roman"/>
                <w:i/>
                <w:sz w:val="24"/>
                <w:szCs w:val="24"/>
              </w:rPr>
              <w:t>Number</w:t>
            </w:r>
          </w:p>
          <w:p w14:paraId="4C88C59D" w14:textId="77777777" w:rsidR="0099199D" w:rsidRPr="000F24AF" w:rsidRDefault="0099199D" w:rsidP="0099199D">
            <w:pPr>
              <w:widowControl/>
              <w:tabs>
                <w:tab w:val="left" w:pos="720"/>
              </w:tabs>
              <w:snapToGrid w:val="0"/>
              <w:jc w:val="center"/>
              <w:rPr>
                <w:rFonts w:ascii="Times New Roman" w:hAnsi="Times New Roman" w:cs="Times New Roman"/>
                <w:i/>
                <w:sz w:val="24"/>
                <w:szCs w:val="24"/>
              </w:rPr>
            </w:pPr>
            <w:r w:rsidRPr="000F24AF">
              <w:rPr>
                <w:rFonts w:ascii="Times New Roman" w:hAnsi="Times New Roman" w:cs="Times New Roman"/>
                <w:i/>
                <w:sz w:val="24"/>
                <w:szCs w:val="24"/>
              </w:rPr>
              <w:t>o</w:t>
            </w:r>
            <w:r w:rsidR="00FC1E38" w:rsidRPr="000F24AF">
              <w:rPr>
                <w:rFonts w:ascii="Times New Roman" w:hAnsi="Times New Roman" w:cs="Times New Roman"/>
                <w:i/>
                <w:sz w:val="24"/>
                <w:szCs w:val="24"/>
              </w:rPr>
              <w:t>f</w:t>
            </w:r>
          </w:p>
          <w:p w14:paraId="3611FEEA" w14:textId="77777777" w:rsidR="00FC1E38" w:rsidRPr="000F24AF" w:rsidRDefault="00FC1E38" w:rsidP="0099199D">
            <w:pPr>
              <w:widowControl/>
              <w:tabs>
                <w:tab w:val="left" w:pos="720"/>
              </w:tabs>
              <w:snapToGrid w:val="0"/>
              <w:jc w:val="center"/>
              <w:rPr>
                <w:rFonts w:ascii="Times New Roman" w:hAnsi="Times New Roman" w:cs="Times New Roman"/>
                <w:i/>
                <w:sz w:val="24"/>
                <w:szCs w:val="24"/>
              </w:rPr>
            </w:pPr>
            <w:r w:rsidRPr="000F24AF">
              <w:rPr>
                <w:rFonts w:ascii="Times New Roman" w:hAnsi="Times New Roman" w:cs="Times New Roman"/>
                <w:i/>
                <w:sz w:val="24"/>
                <w:szCs w:val="24"/>
              </w:rPr>
              <w:t>respondents</w:t>
            </w:r>
            <w:r w:rsidR="00CF13EB" w:rsidRPr="000F24AF">
              <w:rPr>
                <w:rStyle w:val="FootnoteReference"/>
                <w:rFonts w:ascii="Times New Roman" w:hAnsi="Times New Roman" w:cs="Times New Roman"/>
                <w:i/>
                <w:sz w:val="24"/>
                <w:szCs w:val="24"/>
                <w:vertAlign w:val="superscript"/>
              </w:rPr>
              <w:footnoteReference w:id="4"/>
            </w:r>
          </w:p>
        </w:tc>
        <w:tc>
          <w:tcPr>
            <w:tcW w:w="1754" w:type="dxa"/>
            <w:vAlign w:val="bottom"/>
          </w:tcPr>
          <w:p w14:paraId="6B6D198B" w14:textId="77777777" w:rsidR="00FC1E38" w:rsidRPr="000F24AF" w:rsidRDefault="00FC1E38" w:rsidP="0099199D">
            <w:pPr>
              <w:widowControl/>
              <w:tabs>
                <w:tab w:val="left" w:pos="720"/>
              </w:tabs>
              <w:snapToGrid w:val="0"/>
              <w:jc w:val="center"/>
              <w:rPr>
                <w:rFonts w:ascii="Times New Roman" w:hAnsi="Times New Roman" w:cs="Times New Roman"/>
                <w:i/>
                <w:sz w:val="24"/>
                <w:szCs w:val="24"/>
              </w:rPr>
            </w:pPr>
            <w:r w:rsidRPr="000F24AF">
              <w:rPr>
                <w:rFonts w:ascii="Times New Roman" w:hAnsi="Times New Roman" w:cs="Times New Roman"/>
                <w:i/>
                <w:sz w:val="24"/>
                <w:szCs w:val="24"/>
              </w:rPr>
              <w:t>Estimated annual frequency</w:t>
            </w:r>
          </w:p>
        </w:tc>
        <w:tc>
          <w:tcPr>
            <w:tcW w:w="1753" w:type="dxa"/>
            <w:vAlign w:val="bottom"/>
          </w:tcPr>
          <w:p w14:paraId="5379CEB9" w14:textId="77777777" w:rsidR="00FC1E38" w:rsidRPr="000F24AF" w:rsidRDefault="00FC1E38" w:rsidP="0099199D">
            <w:pPr>
              <w:widowControl/>
              <w:tabs>
                <w:tab w:val="left" w:pos="720"/>
              </w:tabs>
              <w:snapToGrid w:val="0"/>
              <w:jc w:val="center"/>
              <w:rPr>
                <w:rFonts w:ascii="Times New Roman" w:hAnsi="Times New Roman" w:cs="Times New Roman"/>
                <w:i/>
                <w:sz w:val="24"/>
                <w:szCs w:val="24"/>
              </w:rPr>
            </w:pPr>
            <w:r w:rsidRPr="000F24AF">
              <w:rPr>
                <w:rFonts w:ascii="Times New Roman" w:hAnsi="Times New Roman" w:cs="Times New Roman"/>
                <w:i/>
                <w:sz w:val="24"/>
                <w:szCs w:val="24"/>
              </w:rPr>
              <w:t>Estimated average hours per response</w:t>
            </w:r>
          </w:p>
        </w:tc>
        <w:tc>
          <w:tcPr>
            <w:tcW w:w="1754" w:type="dxa"/>
            <w:vAlign w:val="center"/>
          </w:tcPr>
          <w:p w14:paraId="02FC7856" w14:textId="77777777" w:rsidR="00FC1E38" w:rsidRPr="000F24AF" w:rsidRDefault="00FC1E38" w:rsidP="00FC1E38">
            <w:pPr>
              <w:widowControl/>
              <w:tabs>
                <w:tab w:val="left" w:pos="720"/>
              </w:tabs>
              <w:snapToGrid w:val="0"/>
              <w:jc w:val="center"/>
              <w:rPr>
                <w:rFonts w:ascii="Times New Roman" w:hAnsi="Times New Roman" w:cs="Times New Roman"/>
                <w:i/>
                <w:sz w:val="24"/>
                <w:szCs w:val="24"/>
              </w:rPr>
            </w:pPr>
            <w:r w:rsidRPr="000F24AF">
              <w:rPr>
                <w:rFonts w:ascii="Times New Roman" w:hAnsi="Times New Roman" w:cs="Times New Roman"/>
                <w:i/>
                <w:sz w:val="24"/>
                <w:szCs w:val="24"/>
              </w:rPr>
              <w:t>Estimated annual</w:t>
            </w:r>
          </w:p>
          <w:p w14:paraId="2AA128A6" w14:textId="77777777" w:rsidR="00FC1E38" w:rsidRPr="000F24AF" w:rsidRDefault="00FC1E38" w:rsidP="00FC1E38">
            <w:pPr>
              <w:widowControl/>
              <w:tabs>
                <w:tab w:val="left" w:pos="720"/>
              </w:tabs>
              <w:snapToGrid w:val="0"/>
              <w:jc w:val="center"/>
              <w:rPr>
                <w:rFonts w:ascii="Times New Roman" w:hAnsi="Times New Roman" w:cs="Times New Roman"/>
                <w:i/>
                <w:sz w:val="24"/>
                <w:szCs w:val="24"/>
              </w:rPr>
            </w:pPr>
            <w:r w:rsidRPr="000F24AF">
              <w:rPr>
                <w:rFonts w:ascii="Times New Roman" w:hAnsi="Times New Roman" w:cs="Times New Roman"/>
                <w:i/>
                <w:sz w:val="24"/>
                <w:szCs w:val="24"/>
              </w:rPr>
              <w:t>burden hours</w:t>
            </w:r>
          </w:p>
        </w:tc>
      </w:tr>
      <w:tr w:rsidR="00A642FE" w:rsidRPr="000F24AF" w14:paraId="7D405001" w14:textId="77777777" w:rsidTr="00F85ADE">
        <w:trPr>
          <w:trHeight w:val="284"/>
        </w:trPr>
        <w:tc>
          <w:tcPr>
            <w:tcW w:w="2430" w:type="dxa"/>
            <w:vAlign w:val="bottom"/>
          </w:tcPr>
          <w:p w14:paraId="5CE0A933" w14:textId="77777777" w:rsidR="001069F8" w:rsidRPr="000F24AF" w:rsidRDefault="001069F8" w:rsidP="0099199D">
            <w:pPr>
              <w:widowControl/>
              <w:tabs>
                <w:tab w:val="left" w:pos="720"/>
              </w:tabs>
              <w:snapToGrid w:val="0"/>
              <w:rPr>
                <w:rFonts w:ascii="Times New Roman" w:hAnsi="Times New Roman" w:cs="Times New Roman"/>
                <w:sz w:val="24"/>
                <w:szCs w:val="24"/>
              </w:rPr>
            </w:pPr>
            <w:r w:rsidRPr="000F24AF">
              <w:rPr>
                <w:rFonts w:ascii="Times New Roman" w:hAnsi="Times New Roman" w:cs="Times New Roman"/>
                <w:i/>
                <w:sz w:val="24"/>
                <w:szCs w:val="24"/>
                <w:u w:val="single"/>
              </w:rPr>
              <w:t>Current</w:t>
            </w:r>
          </w:p>
        </w:tc>
        <w:tc>
          <w:tcPr>
            <w:tcW w:w="1753" w:type="dxa"/>
            <w:vAlign w:val="bottom"/>
          </w:tcPr>
          <w:p w14:paraId="31C7FD11" w14:textId="77777777" w:rsidR="00A642FE" w:rsidRPr="000F24AF" w:rsidRDefault="00A642FE" w:rsidP="0099199D">
            <w:pPr>
              <w:widowControl/>
              <w:tabs>
                <w:tab w:val="left" w:pos="720"/>
              </w:tabs>
              <w:snapToGrid w:val="0"/>
              <w:jc w:val="center"/>
              <w:rPr>
                <w:rFonts w:ascii="Times New Roman" w:hAnsi="Times New Roman" w:cs="Times New Roman"/>
                <w:i/>
                <w:sz w:val="24"/>
                <w:szCs w:val="24"/>
              </w:rPr>
            </w:pPr>
          </w:p>
        </w:tc>
        <w:tc>
          <w:tcPr>
            <w:tcW w:w="1754" w:type="dxa"/>
            <w:vAlign w:val="bottom"/>
          </w:tcPr>
          <w:p w14:paraId="60445276" w14:textId="77777777" w:rsidR="00A642FE" w:rsidRPr="000F24AF" w:rsidRDefault="00A642FE" w:rsidP="0099199D">
            <w:pPr>
              <w:widowControl/>
              <w:tabs>
                <w:tab w:val="left" w:pos="720"/>
              </w:tabs>
              <w:snapToGrid w:val="0"/>
              <w:jc w:val="center"/>
              <w:rPr>
                <w:rFonts w:ascii="Times New Roman" w:hAnsi="Times New Roman" w:cs="Times New Roman"/>
                <w:i/>
                <w:sz w:val="24"/>
                <w:szCs w:val="24"/>
              </w:rPr>
            </w:pPr>
          </w:p>
        </w:tc>
        <w:tc>
          <w:tcPr>
            <w:tcW w:w="1753" w:type="dxa"/>
            <w:vAlign w:val="bottom"/>
          </w:tcPr>
          <w:p w14:paraId="381C582D" w14:textId="77777777" w:rsidR="00A642FE" w:rsidRPr="000F24AF" w:rsidRDefault="00A642FE" w:rsidP="0099199D">
            <w:pPr>
              <w:widowControl/>
              <w:tabs>
                <w:tab w:val="left" w:pos="720"/>
              </w:tabs>
              <w:snapToGrid w:val="0"/>
              <w:jc w:val="center"/>
              <w:rPr>
                <w:rFonts w:ascii="Times New Roman" w:hAnsi="Times New Roman" w:cs="Times New Roman"/>
                <w:i/>
                <w:sz w:val="24"/>
                <w:szCs w:val="24"/>
              </w:rPr>
            </w:pPr>
          </w:p>
        </w:tc>
        <w:tc>
          <w:tcPr>
            <w:tcW w:w="1754" w:type="dxa"/>
            <w:vAlign w:val="bottom"/>
          </w:tcPr>
          <w:p w14:paraId="326F91FC" w14:textId="77777777" w:rsidR="00A642FE" w:rsidRPr="000F24AF" w:rsidRDefault="00A642FE" w:rsidP="00F85ADE">
            <w:pPr>
              <w:widowControl/>
              <w:tabs>
                <w:tab w:val="left" w:pos="720"/>
              </w:tabs>
              <w:snapToGrid w:val="0"/>
              <w:jc w:val="right"/>
              <w:rPr>
                <w:rFonts w:ascii="Times New Roman" w:hAnsi="Times New Roman" w:cs="Times New Roman"/>
                <w:i/>
                <w:sz w:val="24"/>
                <w:szCs w:val="24"/>
              </w:rPr>
            </w:pPr>
          </w:p>
        </w:tc>
      </w:tr>
      <w:tr w:rsidR="00FC1E38" w:rsidRPr="000F24AF" w14:paraId="42B1BEBD" w14:textId="77777777" w:rsidTr="00F85ADE">
        <w:trPr>
          <w:trHeight w:val="284"/>
        </w:trPr>
        <w:tc>
          <w:tcPr>
            <w:tcW w:w="2430" w:type="dxa"/>
            <w:vAlign w:val="bottom"/>
          </w:tcPr>
          <w:p w14:paraId="274A1FF0" w14:textId="77777777" w:rsidR="00FC1E38" w:rsidRPr="000F24AF" w:rsidRDefault="00DB53BE" w:rsidP="0099199D">
            <w:pPr>
              <w:widowControl/>
              <w:tabs>
                <w:tab w:val="left" w:pos="720"/>
              </w:tabs>
              <w:snapToGrid w:val="0"/>
              <w:rPr>
                <w:rFonts w:ascii="Times New Roman" w:hAnsi="Times New Roman" w:cs="Times New Roman"/>
                <w:sz w:val="24"/>
                <w:szCs w:val="24"/>
              </w:rPr>
            </w:pPr>
            <w:r w:rsidRPr="000F24AF">
              <w:rPr>
                <w:rFonts w:ascii="Times New Roman" w:hAnsi="Times New Roman" w:cs="Times New Roman"/>
                <w:sz w:val="24"/>
                <w:szCs w:val="24"/>
              </w:rPr>
              <w:t xml:space="preserve">FR </w:t>
            </w:r>
            <w:r w:rsidR="004779E7" w:rsidRPr="000F24AF">
              <w:rPr>
                <w:rFonts w:ascii="Times New Roman" w:hAnsi="Times New Roman" w:cs="Times New Roman"/>
                <w:sz w:val="24"/>
                <w:szCs w:val="24"/>
              </w:rPr>
              <w:t>H</w:t>
            </w:r>
            <w:r w:rsidRPr="000F24AF">
              <w:rPr>
                <w:rFonts w:ascii="Times New Roman" w:hAnsi="Times New Roman" w:cs="Times New Roman"/>
                <w:sz w:val="24"/>
                <w:szCs w:val="24"/>
              </w:rPr>
              <w:t>-</w:t>
            </w:r>
            <w:r w:rsidR="004779E7" w:rsidRPr="000F24AF">
              <w:rPr>
                <w:rFonts w:ascii="Times New Roman" w:hAnsi="Times New Roman" w:cs="Times New Roman"/>
                <w:sz w:val="24"/>
                <w:szCs w:val="24"/>
              </w:rPr>
              <w:t>(b)11</w:t>
            </w:r>
          </w:p>
        </w:tc>
        <w:tc>
          <w:tcPr>
            <w:tcW w:w="1753" w:type="dxa"/>
            <w:vAlign w:val="bottom"/>
          </w:tcPr>
          <w:p w14:paraId="61B8117A" w14:textId="77777777" w:rsidR="00FC1E38" w:rsidRPr="000F24AF" w:rsidRDefault="001069F8" w:rsidP="0099199D">
            <w:pPr>
              <w:widowControl/>
              <w:tabs>
                <w:tab w:val="left" w:pos="720"/>
              </w:tabs>
              <w:snapToGrid w:val="0"/>
              <w:jc w:val="center"/>
              <w:rPr>
                <w:rFonts w:ascii="Times New Roman" w:hAnsi="Times New Roman" w:cs="Times New Roman"/>
                <w:sz w:val="24"/>
                <w:szCs w:val="24"/>
              </w:rPr>
            </w:pPr>
            <w:r w:rsidRPr="000F24AF">
              <w:rPr>
                <w:rFonts w:ascii="Times New Roman" w:hAnsi="Times New Roman" w:cs="Times New Roman"/>
                <w:sz w:val="24"/>
                <w:szCs w:val="24"/>
              </w:rPr>
              <w:t>368</w:t>
            </w:r>
          </w:p>
        </w:tc>
        <w:tc>
          <w:tcPr>
            <w:tcW w:w="1754" w:type="dxa"/>
            <w:vAlign w:val="bottom"/>
          </w:tcPr>
          <w:p w14:paraId="6D83669C" w14:textId="77777777" w:rsidR="00FC1E38" w:rsidRPr="000F24AF" w:rsidRDefault="004E55CA" w:rsidP="0099199D">
            <w:pPr>
              <w:widowControl/>
              <w:tabs>
                <w:tab w:val="left" w:pos="720"/>
              </w:tabs>
              <w:snapToGrid w:val="0"/>
              <w:jc w:val="center"/>
              <w:rPr>
                <w:rFonts w:ascii="Times New Roman" w:hAnsi="Times New Roman" w:cs="Times New Roman"/>
                <w:color w:val="000000"/>
                <w:sz w:val="24"/>
                <w:szCs w:val="24"/>
              </w:rPr>
            </w:pPr>
            <w:r w:rsidRPr="000F24AF">
              <w:rPr>
                <w:rFonts w:ascii="Times New Roman" w:hAnsi="Times New Roman" w:cs="Times New Roman"/>
                <w:color w:val="000000"/>
                <w:sz w:val="24"/>
                <w:szCs w:val="24"/>
              </w:rPr>
              <w:t>4</w:t>
            </w:r>
          </w:p>
        </w:tc>
        <w:tc>
          <w:tcPr>
            <w:tcW w:w="1753" w:type="dxa"/>
            <w:vAlign w:val="bottom"/>
          </w:tcPr>
          <w:p w14:paraId="65046116" w14:textId="77777777" w:rsidR="00FC1E38" w:rsidRPr="000F24AF" w:rsidRDefault="004E55CA" w:rsidP="0099199D">
            <w:pPr>
              <w:widowControl/>
              <w:tabs>
                <w:tab w:val="left" w:pos="720"/>
              </w:tabs>
              <w:snapToGrid w:val="0"/>
              <w:jc w:val="center"/>
              <w:rPr>
                <w:rFonts w:ascii="Times New Roman" w:hAnsi="Times New Roman" w:cs="Times New Roman"/>
                <w:sz w:val="24"/>
                <w:szCs w:val="24"/>
              </w:rPr>
            </w:pPr>
            <w:r w:rsidRPr="000F24AF">
              <w:rPr>
                <w:rFonts w:ascii="Times New Roman" w:hAnsi="Times New Roman" w:cs="Times New Roman"/>
                <w:sz w:val="24"/>
                <w:szCs w:val="24"/>
              </w:rPr>
              <w:t>2</w:t>
            </w:r>
          </w:p>
        </w:tc>
        <w:tc>
          <w:tcPr>
            <w:tcW w:w="1754" w:type="dxa"/>
            <w:vAlign w:val="bottom"/>
          </w:tcPr>
          <w:p w14:paraId="740D70EA" w14:textId="77777777" w:rsidR="00FC1E38" w:rsidRPr="000F24AF" w:rsidRDefault="001C0965" w:rsidP="00F85ADE">
            <w:pPr>
              <w:widowControl/>
              <w:tabs>
                <w:tab w:val="left" w:pos="720"/>
              </w:tabs>
              <w:snapToGrid w:val="0"/>
              <w:jc w:val="right"/>
              <w:rPr>
                <w:rFonts w:ascii="Times New Roman" w:hAnsi="Times New Roman" w:cs="Times New Roman"/>
                <w:sz w:val="24"/>
                <w:szCs w:val="24"/>
              </w:rPr>
            </w:pPr>
            <w:r w:rsidRPr="000F24AF">
              <w:rPr>
                <w:rFonts w:ascii="Times New Roman" w:hAnsi="Times New Roman" w:cs="Times New Roman"/>
                <w:sz w:val="24"/>
                <w:szCs w:val="24"/>
              </w:rPr>
              <w:t xml:space="preserve">        </w:t>
            </w:r>
            <w:r w:rsidR="004E55CA" w:rsidRPr="000F24AF">
              <w:rPr>
                <w:rFonts w:ascii="Times New Roman" w:hAnsi="Times New Roman" w:cs="Times New Roman"/>
                <w:sz w:val="24"/>
                <w:szCs w:val="24"/>
              </w:rPr>
              <w:t>2,944</w:t>
            </w:r>
          </w:p>
        </w:tc>
      </w:tr>
      <w:tr w:rsidR="0099199D" w:rsidRPr="000F24AF" w14:paraId="15D26B51" w14:textId="77777777" w:rsidTr="00F85ADE">
        <w:trPr>
          <w:trHeight w:val="284"/>
        </w:trPr>
        <w:tc>
          <w:tcPr>
            <w:tcW w:w="2430" w:type="dxa"/>
            <w:vAlign w:val="bottom"/>
          </w:tcPr>
          <w:p w14:paraId="37EF2A8F" w14:textId="77777777" w:rsidR="0099199D" w:rsidRPr="000F24AF" w:rsidRDefault="0099199D" w:rsidP="0099199D">
            <w:pPr>
              <w:widowControl/>
              <w:tabs>
                <w:tab w:val="left" w:pos="720"/>
              </w:tabs>
              <w:snapToGrid w:val="0"/>
              <w:rPr>
                <w:rFonts w:ascii="Times New Roman" w:hAnsi="Times New Roman" w:cs="Times New Roman"/>
                <w:i/>
                <w:sz w:val="24"/>
                <w:szCs w:val="24"/>
                <w:u w:val="single"/>
              </w:rPr>
            </w:pPr>
          </w:p>
        </w:tc>
        <w:tc>
          <w:tcPr>
            <w:tcW w:w="1753" w:type="dxa"/>
            <w:vAlign w:val="bottom"/>
          </w:tcPr>
          <w:p w14:paraId="6D4077E1" w14:textId="77777777" w:rsidR="0099199D" w:rsidRPr="000F24AF" w:rsidRDefault="0099199D" w:rsidP="0099199D">
            <w:pPr>
              <w:widowControl/>
              <w:tabs>
                <w:tab w:val="left" w:pos="720"/>
              </w:tabs>
              <w:snapToGrid w:val="0"/>
              <w:jc w:val="center"/>
              <w:rPr>
                <w:rFonts w:ascii="Times New Roman" w:hAnsi="Times New Roman" w:cs="Times New Roman"/>
                <w:i/>
                <w:sz w:val="24"/>
                <w:szCs w:val="24"/>
              </w:rPr>
            </w:pPr>
          </w:p>
        </w:tc>
        <w:tc>
          <w:tcPr>
            <w:tcW w:w="1754" w:type="dxa"/>
            <w:vAlign w:val="bottom"/>
          </w:tcPr>
          <w:p w14:paraId="5D43DAF6" w14:textId="77777777" w:rsidR="0099199D" w:rsidRPr="000F24AF" w:rsidRDefault="0099199D" w:rsidP="0099199D">
            <w:pPr>
              <w:widowControl/>
              <w:tabs>
                <w:tab w:val="left" w:pos="720"/>
              </w:tabs>
              <w:snapToGrid w:val="0"/>
              <w:jc w:val="center"/>
              <w:rPr>
                <w:rFonts w:ascii="Times New Roman" w:hAnsi="Times New Roman" w:cs="Times New Roman"/>
                <w:i/>
                <w:sz w:val="24"/>
                <w:szCs w:val="24"/>
              </w:rPr>
            </w:pPr>
          </w:p>
        </w:tc>
        <w:tc>
          <w:tcPr>
            <w:tcW w:w="1753" w:type="dxa"/>
            <w:vAlign w:val="bottom"/>
          </w:tcPr>
          <w:p w14:paraId="0F3402AF" w14:textId="77777777" w:rsidR="0099199D" w:rsidRPr="000F24AF" w:rsidRDefault="0099199D" w:rsidP="0099199D">
            <w:pPr>
              <w:widowControl/>
              <w:tabs>
                <w:tab w:val="left" w:pos="720"/>
              </w:tabs>
              <w:snapToGrid w:val="0"/>
              <w:jc w:val="center"/>
              <w:rPr>
                <w:rFonts w:ascii="Times New Roman" w:hAnsi="Times New Roman" w:cs="Times New Roman"/>
                <w:i/>
                <w:sz w:val="24"/>
                <w:szCs w:val="24"/>
              </w:rPr>
            </w:pPr>
          </w:p>
        </w:tc>
        <w:tc>
          <w:tcPr>
            <w:tcW w:w="1754" w:type="dxa"/>
            <w:vAlign w:val="bottom"/>
          </w:tcPr>
          <w:p w14:paraId="5957BBF4" w14:textId="77777777" w:rsidR="0099199D" w:rsidRPr="000F24AF" w:rsidRDefault="0099199D" w:rsidP="00F85ADE">
            <w:pPr>
              <w:widowControl/>
              <w:tabs>
                <w:tab w:val="left" w:pos="720"/>
              </w:tabs>
              <w:snapToGrid w:val="0"/>
              <w:jc w:val="right"/>
              <w:rPr>
                <w:rFonts w:ascii="Times New Roman" w:hAnsi="Times New Roman" w:cs="Times New Roman"/>
                <w:i/>
                <w:sz w:val="24"/>
                <w:szCs w:val="24"/>
              </w:rPr>
            </w:pPr>
          </w:p>
        </w:tc>
      </w:tr>
      <w:tr w:rsidR="001069F8" w:rsidRPr="000F24AF" w14:paraId="24435A05" w14:textId="77777777" w:rsidTr="00F85ADE">
        <w:trPr>
          <w:trHeight w:val="284"/>
        </w:trPr>
        <w:tc>
          <w:tcPr>
            <w:tcW w:w="2430" w:type="dxa"/>
            <w:vAlign w:val="bottom"/>
          </w:tcPr>
          <w:p w14:paraId="446BB693" w14:textId="77777777" w:rsidR="001069F8" w:rsidRPr="000F24AF" w:rsidRDefault="001069F8" w:rsidP="0099199D">
            <w:pPr>
              <w:widowControl/>
              <w:tabs>
                <w:tab w:val="left" w:pos="720"/>
              </w:tabs>
              <w:snapToGrid w:val="0"/>
              <w:rPr>
                <w:rFonts w:ascii="Times New Roman" w:hAnsi="Times New Roman" w:cs="Times New Roman"/>
                <w:sz w:val="24"/>
                <w:szCs w:val="24"/>
              </w:rPr>
            </w:pPr>
            <w:r w:rsidRPr="000F24AF">
              <w:rPr>
                <w:rFonts w:ascii="Times New Roman" w:hAnsi="Times New Roman" w:cs="Times New Roman"/>
                <w:i/>
                <w:sz w:val="24"/>
                <w:szCs w:val="24"/>
                <w:u w:val="single"/>
              </w:rPr>
              <w:t>Proposed</w:t>
            </w:r>
          </w:p>
        </w:tc>
        <w:tc>
          <w:tcPr>
            <w:tcW w:w="1753" w:type="dxa"/>
            <w:vAlign w:val="bottom"/>
          </w:tcPr>
          <w:p w14:paraId="73480F6C" w14:textId="77777777" w:rsidR="001069F8" w:rsidRPr="000F24AF" w:rsidRDefault="001069F8" w:rsidP="0099199D">
            <w:pPr>
              <w:widowControl/>
              <w:tabs>
                <w:tab w:val="left" w:pos="720"/>
              </w:tabs>
              <w:snapToGrid w:val="0"/>
              <w:jc w:val="center"/>
              <w:rPr>
                <w:rFonts w:ascii="Times New Roman" w:hAnsi="Times New Roman" w:cs="Times New Roman"/>
                <w:i/>
                <w:sz w:val="24"/>
                <w:szCs w:val="24"/>
              </w:rPr>
            </w:pPr>
          </w:p>
        </w:tc>
        <w:tc>
          <w:tcPr>
            <w:tcW w:w="1754" w:type="dxa"/>
            <w:vAlign w:val="bottom"/>
          </w:tcPr>
          <w:p w14:paraId="2E84A343" w14:textId="77777777" w:rsidR="001069F8" w:rsidRPr="000F24AF" w:rsidRDefault="001069F8" w:rsidP="0099199D">
            <w:pPr>
              <w:widowControl/>
              <w:tabs>
                <w:tab w:val="left" w:pos="720"/>
              </w:tabs>
              <w:snapToGrid w:val="0"/>
              <w:jc w:val="center"/>
              <w:rPr>
                <w:rFonts w:ascii="Times New Roman" w:hAnsi="Times New Roman" w:cs="Times New Roman"/>
                <w:i/>
                <w:sz w:val="24"/>
                <w:szCs w:val="24"/>
              </w:rPr>
            </w:pPr>
          </w:p>
        </w:tc>
        <w:tc>
          <w:tcPr>
            <w:tcW w:w="1753" w:type="dxa"/>
            <w:vAlign w:val="bottom"/>
          </w:tcPr>
          <w:p w14:paraId="317812F0" w14:textId="77777777" w:rsidR="001069F8" w:rsidRPr="000F24AF" w:rsidRDefault="001069F8" w:rsidP="0099199D">
            <w:pPr>
              <w:widowControl/>
              <w:tabs>
                <w:tab w:val="left" w:pos="720"/>
              </w:tabs>
              <w:snapToGrid w:val="0"/>
              <w:jc w:val="center"/>
              <w:rPr>
                <w:rFonts w:ascii="Times New Roman" w:hAnsi="Times New Roman" w:cs="Times New Roman"/>
                <w:i/>
                <w:sz w:val="24"/>
                <w:szCs w:val="24"/>
              </w:rPr>
            </w:pPr>
          </w:p>
        </w:tc>
        <w:tc>
          <w:tcPr>
            <w:tcW w:w="1754" w:type="dxa"/>
            <w:vAlign w:val="bottom"/>
          </w:tcPr>
          <w:p w14:paraId="667B539B" w14:textId="77777777" w:rsidR="001069F8" w:rsidRPr="000F24AF" w:rsidRDefault="001069F8" w:rsidP="00F85ADE">
            <w:pPr>
              <w:widowControl/>
              <w:tabs>
                <w:tab w:val="left" w:pos="720"/>
              </w:tabs>
              <w:snapToGrid w:val="0"/>
              <w:jc w:val="right"/>
              <w:rPr>
                <w:rFonts w:ascii="Times New Roman" w:hAnsi="Times New Roman" w:cs="Times New Roman"/>
                <w:i/>
                <w:sz w:val="24"/>
                <w:szCs w:val="24"/>
              </w:rPr>
            </w:pPr>
          </w:p>
        </w:tc>
      </w:tr>
      <w:tr w:rsidR="001069F8" w:rsidRPr="000F24AF" w14:paraId="6E95EE97" w14:textId="77777777" w:rsidTr="00F85ADE">
        <w:trPr>
          <w:trHeight w:val="284"/>
        </w:trPr>
        <w:tc>
          <w:tcPr>
            <w:tcW w:w="2430" w:type="dxa"/>
            <w:vAlign w:val="bottom"/>
          </w:tcPr>
          <w:p w14:paraId="46E13D32" w14:textId="77777777" w:rsidR="001069F8" w:rsidRPr="000F24AF" w:rsidRDefault="001069F8" w:rsidP="0099199D">
            <w:pPr>
              <w:widowControl/>
              <w:tabs>
                <w:tab w:val="left" w:pos="720"/>
              </w:tabs>
              <w:snapToGrid w:val="0"/>
              <w:rPr>
                <w:rFonts w:ascii="Times New Roman" w:hAnsi="Times New Roman" w:cs="Times New Roman"/>
                <w:sz w:val="24"/>
                <w:szCs w:val="24"/>
              </w:rPr>
            </w:pPr>
            <w:r w:rsidRPr="000F24AF">
              <w:rPr>
                <w:rFonts w:ascii="Times New Roman" w:hAnsi="Times New Roman" w:cs="Times New Roman"/>
                <w:sz w:val="24"/>
                <w:szCs w:val="24"/>
              </w:rPr>
              <w:t>FR H-(b)11</w:t>
            </w:r>
          </w:p>
        </w:tc>
        <w:tc>
          <w:tcPr>
            <w:tcW w:w="1753" w:type="dxa"/>
            <w:vAlign w:val="bottom"/>
          </w:tcPr>
          <w:p w14:paraId="49F576AA" w14:textId="77777777" w:rsidR="001069F8" w:rsidRPr="000F24AF" w:rsidRDefault="002A3037" w:rsidP="002A3037">
            <w:pPr>
              <w:widowControl/>
              <w:tabs>
                <w:tab w:val="left" w:pos="720"/>
              </w:tabs>
              <w:snapToGrid w:val="0"/>
              <w:jc w:val="center"/>
              <w:rPr>
                <w:rFonts w:ascii="Times New Roman" w:hAnsi="Times New Roman" w:cs="Times New Roman"/>
                <w:sz w:val="24"/>
                <w:szCs w:val="24"/>
              </w:rPr>
            </w:pPr>
            <w:r w:rsidRPr="000F24AF">
              <w:rPr>
                <w:rFonts w:ascii="Times New Roman" w:hAnsi="Times New Roman" w:cs="Times New Roman"/>
                <w:sz w:val="24"/>
                <w:szCs w:val="24"/>
              </w:rPr>
              <w:t>33</w:t>
            </w:r>
          </w:p>
        </w:tc>
        <w:tc>
          <w:tcPr>
            <w:tcW w:w="1754" w:type="dxa"/>
            <w:vAlign w:val="bottom"/>
          </w:tcPr>
          <w:p w14:paraId="68D626E1" w14:textId="77777777" w:rsidR="001069F8" w:rsidRPr="000F24AF" w:rsidRDefault="004E55CA" w:rsidP="0099199D">
            <w:pPr>
              <w:widowControl/>
              <w:tabs>
                <w:tab w:val="left" w:pos="720"/>
              </w:tabs>
              <w:snapToGrid w:val="0"/>
              <w:jc w:val="center"/>
              <w:rPr>
                <w:rFonts w:ascii="Times New Roman" w:hAnsi="Times New Roman" w:cs="Times New Roman"/>
                <w:color w:val="000000"/>
                <w:sz w:val="24"/>
                <w:szCs w:val="24"/>
              </w:rPr>
            </w:pPr>
            <w:r w:rsidRPr="000F24AF">
              <w:rPr>
                <w:rFonts w:ascii="Times New Roman" w:hAnsi="Times New Roman" w:cs="Times New Roman"/>
                <w:color w:val="000000"/>
                <w:sz w:val="24"/>
                <w:szCs w:val="24"/>
              </w:rPr>
              <w:t>4</w:t>
            </w:r>
          </w:p>
        </w:tc>
        <w:tc>
          <w:tcPr>
            <w:tcW w:w="1753" w:type="dxa"/>
            <w:vAlign w:val="bottom"/>
          </w:tcPr>
          <w:p w14:paraId="7A9E7EBF" w14:textId="77777777" w:rsidR="001069F8" w:rsidRPr="000F24AF" w:rsidRDefault="004E55CA" w:rsidP="0099199D">
            <w:pPr>
              <w:widowControl/>
              <w:tabs>
                <w:tab w:val="left" w:pos="720"/>
              </w:tabs>
              <w:snapToGrid w:val="0"/>
              <w:jc w:val="center"/>
              <w:rPr>
                <w:rFonts w:ascii="Times New Roman" w:hAnsi="Times New Roman" w:cs="Times New Roman"/>
                <w:sz w:val="24"/>
                <w:szCs w:val="24"/>
              </w:rPr>
            </w:pPr>
            <w:r w:rsidRPr="000F24AF">
              <w:rPr>
                <w:rFonts w:ascii="Times New Roman" w:hAnsi="Times New Roman" w:cs="Times New Roman"/>
                <w:sz w:val="24"/>
                <w:szCs w:val="24"/>
              </w:rPr>
              <w:t>2</w:t>
            </w:r>
          </w:p>
        </w:tc>
        <w:tc>
          <w:tcPr>
            <w:tcW w:w="1754" w:type="dxa"/>
            <w:vAlign w:val="bottom"/>
          </w:tcPr>
          <w:p w14:paraId="2D714CA4" w14:textId="77777777" w:rsidR="001069F8" w:rsidRPr="000F24AF" w:rsidRDefault="001069F8" w:rsidP="002A3037">
            <w:pPr>
              <w:widowControl/>
              <w:tabs>
                <w:tab w:val="left" w:pos="720"/>
              </w:tabs>
              <w:snapToGrid w:val="0"/>
              <w:jc w:val="right"/>
              <w:rPr>
                <w:rFonts w:ascii="Times New Roman" w:hAnsi="Times New Roman" w:cs="Times New Roman"/>
                <w:sz w:val="24"/>
                <w:szCs w:val="24"/>
              </w:rPr>
            </w:pPr>
            <w:r w:rsidRPr="000F24AF">
              <w:rPr>
                <w:rFonts w:ascii="Times New Roman" w:hAnsi="Times New Roman" w:cs="Times New Roman"/>
                <w:sz w:val="24"/>
                <w:szCs w:val="24"/>
              </w:rPr>
              <w:t xml:space="preserve">        </w:t>
            </w:r>
            <w:r w:rsidR="002A3037" w:rsidRPr="000F24AF">
              <w:rPr>
                <w:rFonts w:ascii="Times New Roman" w:hAnsi="Times New Roman" w:cs="Times New Roman"/>
                <w:sz w:val="24"/>
                <w:szCs w:val="24"/>
              </w:rPr>
              <w:t>264</w:t>
            </w:r>
          </w:p>
        </w:tc>
      </w:tr>
      <w:tr w:rsidR="001069F8" w:rsidRPr="000F24AF" w14:paraId="69B32C66" w14:textId="77777777" w:rsidTr="00F85ADE">
        <w:trPr>
          <w:trHeight w:val="284"/>
        </w:trPr>
        <w:tc>
          <w:tcPr>
            <w:tcW w:w="2430" w:type="dxa"/>
            <w:vAlign w:val="bottom"/>
          </w:tcPr>
          <w:p w14:paraId="08EF0DD8" w14:textId="77777777" w:rsidR="001069F8" w:rsidRPr="000F24AF" w:rsidRDefault="001069F8" w:rsidP="0099199D">
            <w:pPr>
              <w:widowControl/>
              <w:tabs>
                <w:tab w:val="left" w:pos="720"/>
              </w:tabs>
              <w:snapToGrid w:val="0"/>
              <w:rPr>
                <w:rFonts w:ascii="Times New Roman" w:hAnsi="Times New Roman" w:cs="Times New Roman"/>
                <w:i/>
                <w:sz w:val="24"/>
                <w:szCs w:val="24"/>
              </w:rPr>
            </w:pPr>
          </w:p>
        </w:tc>
        <w:tc>
          <w:tcPr>
            <w:tcW w:w="1753" w:type="dxa"/>
            <w:vAlign w:val="bottom"/>
          </w:tcPr>
          <w:p w14:paraId="55F2DC07" w14:textId="77777777" w:rsidR="001069F8" w:rsidRPr="000F24AF" w:rsidRDefault="001069F8" w:rsidP="0099199D">
            <w:pPr>
              <w:widowControl/>
              <w:tabs>
                <w:tab w:val="left" w:pos="720"/>
              </w:tabs>
              <w:snapToGrid w:val="0"/>
              <w:jc w:val="center"/>
              <w:rPr>
                <w:rFonts w:ascii="Times New Roman" w:hAnsi="Times New Roman" w:cs="Times New Roman"/>
                <w:sz w:val="24"/>
                <w:szCs w:val="24"/>
              </w:rPr>
            </w:pPr>
          </w:p>
        </w:tc>
        <w:tc>
          <w:tcPr>
            <w:tcW w:w="1754" w:type="dxa"/>
            <w:vAlign w:val="bottom"/>
          </w:tcPr>
          <w:p w14:paraId="60EFDA19" w14:textId="77777777" w:rsidR="001069F8" w:rsidRPr="000F24AF" w:rsidRDefault="001069F8" w:rsidP="0099199D">
            <w:pPr>
              <w:widowControl/>
              <w:tabs>
                <w:tab w:val="left" w:pos="720"/>
              </w:tabs>
              <w:snapToGrid w:val="0"/>
              <w:jc w:val="center"/>
              <w:rPr>
                <w:rFonts w:ascii="Times New Roman" w:hAnsi="Times New Roman" w:cs="Times New Roman"/>
                <w:color w:val="000000"/>
                <w:sz w:val="24"/>
                <w:szCs w:val="24"/>
              </w:rPr>
            </w:pPr>
          </w:p>
        </w:tc>
        <w:tc>
          <w:tcPr>
            <w:tcW w:w="1753" w:type="dxa"/>
            <w:vAlign w:val="bottom"/>
          </w:tcPr>
          <w:p w14:paraId="6C8EDDF3" w14:textId="77777777" w:rsidR="001069F8" w:rsidRPr="000F24AF" w:rsidRDefault="001069F8" w:rsidP="0099199D">
            <w:pPr>
              <w:widowControl/>
              <w:tabs>
                <w:tab w:val="left" w:pos="720"/>
              </w:tabs>
              <w:snapToGrid w:val="0"/>
              <w:jc w:val="center"/>
              <w:rPr>
                <w:rFonts w:ascii="Times New Roman" w:hAnsi="Times New Roman" w:cs="Times New Roman"/>
                <w:sz w:val="24"/>
                <w:szCs w:val="24"/>
              </w:rPr>
            </w:pPr>
          </w:p>
        </w:tc>
        <w:tc>
          <w:tcPr>
            <w:tcW w:w="1754" w:type="dxa"/>
            <w:vAlign w:val="bottom"/>
          </w:tcPr>
          <w:p w14:paraId="3FE5B08F" w14:textId="77777777" w:rsidR="001069F8" w:rsidRPr="000F24AF" w:rsidRDefault="001069F8" w:rsidP="00F85ADE">
            <w:pPr>
              <w:widowControl/>
              <w:tabs>
                <w:tab w:val="left" w:pos="720"/>
              </w:tabs>
              <w:snapToGrid w:val="0"/>
              <w:jc w:val="right"/>
              <w:rPr>
                <w:rFonts w:ascii="Times New Roman" w:hAnsi="Times New Roman" w:cs="Times New Roman"/>
                <w:sz w:val="24"/>
                <w:szCs w:val="24"/>
              </w:rPr>
            </w:pPr>
          </w:p>
        </w:tc>
      </w:tr>
      <w:tr w:rsidR="00FC1E38" w:rsidRPr="000F24AF" w14:paraId="7B47837E" w14:textId="77777777" w:rsidTr="00F85ADE">
        <w:trPr>
          <w:trHeight w:val="284"/>
        </w:trPr>
        <w:tc>
          <w:tcPr>
            <w:tcW w:w="2430" w:type="dxa"/>
            <w:vAlign w:val="bottom"/>
          </w:tcPr>
          <w:p w14:paraId="19BB25B7" w14:textId="77777777" w:rsidR="00FC1E38" w:rsidRPr="000F24AF" w:rsidRDefault="0099199D" w:rsidP="0099199D">
            <w:pPr>
              <w:widowControl/>
              <w:tabs>
                <w:tab w:val="left" w:pos="720"/>
              </w:tabs>
              <w:snapToGrid w:val="0"/>
              <w:jc w:val="right"/>
              <w:rPr>
                <w:rFonts w:ascii="Times New Roman" w:hAnsi="Times New Roman" w:cs="Times New Roman"/>
                <w:i/>
                <w:sz w:val="24"/>
                <w:szCs w:val="24"/>
              </w:rPr>
            </w:pPr>
            <w:r w:rsidRPr="000F24AF">
              <w:rPr>
                <w:rFonts w:ascii="Times New Roman" w:hAnsi="Times New Roman" w:cs="Times New Roman"/>
                <w:i/>
                <w:sz w:val="24"/>
                <w:szCs w:val="24"/>
              </w:rPr>
              <w:t>Change</w:t>
            </w:r>
          </w:p>
        </w:tc>
        <w:tc>
          <w:tcPr>
            <w:tcW w:w="1753" w:type="dxa"/>
            <w:vAlign w:val="bottom"/>
          </w:tcPr>
          <w:p w14:paraId="3BA29D18" w14:textId="77777777" w:rsidR="00FC1E38" w:rsidRPr="000F24AF" w:rsidRDefault="00FC1E38" w:rsidP="0099199D">
            <w:pPr>
              <w:widowControl/>
              <w:tabs>
                <w:tab w:val="left" w:pos="720"/>
              </w:tabs>
              <w:snapToGrid w:val="0"/>
              <w:jc w:val="center"/>
              <w:rPr>
                <w:rFonts w:ascii="Times New Roman" w:hAnsi="Times New Roman" w:cs="Times New Roman"/>
                <w:i/>
                <w:sz w:val="24"/>
                <w:szCs w:val="24"/>
              </w:rPr>
            </w:pPr>
          </w:p>
        </w:tc>
        <w:tc>
          <w:tcPr>
            <w:tcW w:w="1754" w:type="dxa"/>
            <w:vAlign w:val="bottom"/>
          </w:tcPr>
          <w:p w14:paraId="687183B9" w14:textId="77777777" w:rsidR="00FC1E38" w:rsidRPr="000F24AF" w:rsidRDefault="00FC1E38" w:rsidP="0099199D">
            <w:pPr>
              <w:widowControl/>
              <w:tabs>
                <w:tab w:val="left" w:pos="720"/>
              </w:tabs>
              <w:snapToGrid w:val="0"/>
              <w:jc w:val="center"/>
              <w:rPr>
                <w:rFonts w:ascii="Times New Roman" w:hAnsi="Times New Roman" w:cs="Times New Roman"/>
                <w:sz w:val="24"/>
                <w:szCs w:val="24"/>
              </w:rPr>
            </w:pPr>
          </w:p>
        </w:tc>
        <w:tc>
          <w:tcPr>
            <w:tcW w:w="1753" w:type="dxa"/>
            <w:vAlign w:val="bottom"/>
          </w:tcPr>
          <w:p w14:paraId="65D74086" w14:textId="77777777" w:rsidR="00FC1E38" w:rsidRPr="000F24AF" w:rsidRDefault="00FC1E38" w:rsidP="0099199D">
            <w:pPr>
              <w:widowControl/>
              <w:tabs>
                <w:tab w:val="left" w:pos="720"/>
              </w:tabs>
              <w:snapToGrid w:val="0"/>
              <w:jc w:val="center"/>
              <w:rPr>
                <w:rFonts w:ascii="Times New Roman" w:hAnsi="Times New Roman" w:cs="Times New Roman"/>
                <w:sz w:val="24"/>
                <w:szCs w:val="24"/>
              </w:rPr>
            </w:pPr>
          </w:p>
        </w:tc>
        <w:tc>
          <w:tcPr>
            <w:tcW w:w="1754" w:type="dxa"/>
            <w:vAlign w:val="bottom"/>
          </w:tcPr>
          <w:p w14:paraId="0DD3393D" w14:textId="77777777" w:rsidR="00FC1E38" w:rsidRPr="000F24AF" w:rsidRDefault="0099199D" w:rsidP="002A3037">
            <w:pPr>
              <w:widowControl/>
              <w:tabs>
                <w:tab w:val="left" w:pos="720"/>
              </w:tabs>
              <w:snapToGrid w:val="0"/>
              <w:jc w:val="right"/>
              <w:rPr>
                <w:rFonts w:ascii="Times New Roman" w:hAnsi="Times New Roman" w:cs="Times New Roman"/>
                <w:sz w:val="24"/>
                <w:szCs w:val="24"/>
              </w:rPr>
            </w:pPr>
            <w:r w:rsidRPr="000F24AF">
              <w:rPr>
                <w:rFonts w:ascii="Times New Roman" w:hAnsi="Times New Roman" w:cs="Times New Roman"/>
                <w:sz w:val="24"/>
                <w:szCs w:val="24"/>
              </w:rPr>
              <w:t xml:space="preserve">    (</w:t>
            </w:r>
            <w:r w:rsidR="002A3037" w:rsidRPr="000F24AF">
              <w:rPr>
                <w:rFonts w:ascii="Times New Roman" w:hAnsi="Times New Roman" w:cs="Times New Roman"/>
                <w:sz w:val="24"/>
                <w:szCs w:val="24"/>
              </w:rPr>
              <w:t>2,680</w:t>
            </w:r>
            <w:r w:rsidRPr="000F24AF">
              <w:rPr>
                <w:rFonts w:ascii="Times New Roman" w:hAnsi="Times New Roman" w:cs="Times New Roman"/>
                <w:sz w:val="24"/>
                <w:szCs w:val="24"/>
              </w:rPr>
              <w:t>)</w:t>
            </w:r>
          </w:p>
        </w:tc>
      </w:tr>
    </w:tbl>
    <w:p w14:paraId="76D823E6" w14:textId="77777777" w:rsidR="000F24AF" w:rsidRDefault="000F24AF" w:rsidP="002B6495">
      <w:pPr>
        <w:tabs>
          <w:tab w:val="left" w:pos="-1080"/>
          <w:tab w:val="left" w:pos="-90"/>
          <w:tab w:val="left" w:pos="1440"/>
          <w:tab w:val="left" w:pos="1980"/>
          <w:tab w:val="left" w:pos="3960"/>
          <w:tab w:val="left" w:pos="5760"/>
          <w:tab w:val="left" w:pos="7921"/>
        </w:tabs>
        <w:snapToGrid w:val="0"/>
        <w:jc w:val="both"/>
        <w:rPr>
          <w:rFonts w:ascii="Times New Roman" w:hAnsi="Times New Roman" w:cs="Times New Roman"/>
          <w:color w:val="000000"/>
          <w:sz w:val="24"/>
          <w:szCs w:val="24"/>
        </w:rPr>
      </w:pPr>
    </w:p>
    <w:p w14:paraId="02E4D933" w14:textId="49785A70" w:rsidR="00FC1E38" w:rsidRPr="000F24AF" w:rsidRDefault="00A642FE" w:rsidP="002B6495">
      <w:pPr>
        <w:tabs>
          <w:tab w:val="left" w:pos="-1080"/>
          <w:tab w:val="left" w:pos="-90"/>
          <w:tab w:val="left" w:pos="1440"/>
          <w:tab w:val="left" w:pos="1980"/>
          <w:tab w:val="left" w:pos="3960"/>
          <w:tab w:val="left" w:pos="5760"/>
          <w:tab w:val="left" w:pos="7921"/>
        </w:tabs>
        <w:snapToGrid w:val="0"/>
        <w:jc w:val="both"/>
        <w:rPr>
          <w:rFonts w:ascii="Times New Roman" w:hAnsi="Times New Roman" w:cs="Times New Roman"/>
          <w:color w:val="000000"/>
          <w:sz w:val="24"/>
          <w:szCs w:val="24"/>
        </w:rPr>
      </w:pPr>
      <w:r w:rsidRPr="000F24AF">
        <w:rPr>
          <w:rFonts w:ascii="Times New Roman" w:hAnsi="Times New Roman" w:cs="Times New Roman"/>
          <w:color w:val="000000"/>
          <w:sz w:val="24"/>
          <w:szCs w:val="24"/>
        </w:rPr>
        <w:t xml:space="preserve">The current annual cost to the public of these reports is estimated to be </w:t>
      </w:r>
      <w:r w:rsidR="006C7DEC" w:rsidRPr="000F24AF">
        <w:rPr>
          <w:rFonts w:ascii="Times New Roman" w:hAnsi="Times New Roman" w:cs="Times New Roman"/>
          <w:color w:val="000000"/>
          <w:sz w:val="24"/>
          <w:szCs w:val="24"/>
        </w:rPr>
        <w:t xml:space="preserve">$146,906, and would decrease to </w:t>
      </w:r>
      <w:r w:rsidRPr="000F24AF">
        <w:rPr>
          <w:rFonts w:ascii="Times New Roman" w:hAnsi="Times New Roman" w:cs="Times New Roman"/>
          <w:color w:val="000000"/>
          <w:sz w:val="24"/>
          <w:szCs w:val="24"/>
        </w:rPr>
        <w:t>$</w:t>
      </w:r>
      <w:r w:rsidR="004A73FC" w:rsidRPr="000F24AF">
        <w:rPr>
          <w:rFonts w:ascii="Times New Roman" w:hAnsi="Times New Roman" w:cs="Times New Roman"/>
          <w:color w:val="000000"/>
          <w:sz w:val="24"/>
          <w:szCs w:val="24"/>
        </w:rPr>
        <w:t>13,174</w:t>
      </w:r>
      <w:r w:rsidR="00D6634F" w:rsidRPr="000F24AF">
        <w:rPr>
          <w:rFonts w:ascii="Times New Roman" w:hAnsi="Times New Roman" w:cs="Times New Roman"/>
          <w:color w:val="000000"/>
          <w:sz w:val="24"/>
          <w:szCs w:val="24"/>
        </w:rPr>
        <w:t xml:space="preserve"> </w:t>
      </w:r>
      <w:r w:rsidR="006C7DEC" w:rsidRPr="000F24AF">
        <w:rPr>
          <w:rFonts w:ascii="Times New Roman" w:hAnsi="Times New Roman" w:cs="Times New Roman"/>
          <w:color w:val="000000"/>
          <w:sz w:val="24"/>
          <w:szCs w:val="24"/>
        </w:rPr>
        <w:t>with the proposed changes</w:t>
      </w:r>
      <w:r w:rsidR="00FC1E38" w:rsidRPr="000F24AF">
        <w:rPr>
          <w:rFonts w:ascii="Times New Roman" w:hAnsi="Times New Roman" w:cs="Times New Roman"/>
          <w:color w:val="000000"/>
          <w:sz w:val="24"/>
          <w:szCs w:val="24"/>
        </w:rPr>
        <w:t>.</w:t>
      </w:r>
      <w:r w:rsidR="002B6495" w:rsidRPr="000F24AF">
        <w:rPr>
          <w:rStyle w:val="FootnoteReference"/>
          <w:rFonts w:ascii="Times New Roman" w:hAnsi="Times New Roman" w:cs="Times New Roman"/>
          <w:color w:val="000000"/>
          <w:sz w:val="24"/>
          <w:szCs w:val="24"/>
          <w:vertAlign w:val="superscript"/>
        </w:rPr>
        <w:footnoteReference w:id="5"/>
      </w:r>
    </w:p>
    <w:p w14:paraId="2481EDC8" w14:textId="77777777" w:rsidR="006F2518" w:rsidRPr="000F24AF" w:rsidRDefault="006F2518" w:rsidP="002B6495">
      <w:pPr>
        <w:tabs>
          <w:tab w:val="left" w:pos="-1080"/>
          <w:tab w:val="left" w:pos="-90"/>
          <w:tab w:val="left" w:pos="1440"/>
          <w:tab w:val="left" w:pos="1980"/>
          <w:tab w:val="left" w:pos="3960"/>
          <w:tab w:val="left" w:pos="5760"/>
          <w:tab w:val="left" w:pos="7921"/>
        </w:tabs>
        <w:snapToGrid w:val="0"/>
        <w:jc w:val="both"/>
        <w:rPr>
          <w:rFonts w:ascii="Times New Roman" w:hAnsi="Times New Roman" w:cs="Times New Roman"/>
          <w:b/>
          <w:sz w:val="24"/>
          <w:szCs w:val="24"/>
        </w:rPr>
      </w:pPr>
    </w:p>
    <w:p w14:paraId="6D85CDE9" w14:textId="77777777" w:rsidR="00B82F7F" w:rsidRDefault="00B82F7F">
      <w:pPr>
        <w:widowControl/>
        <w:autoSpaceDE/>
        <w:autoSpaceDN/>
        <w:adjustRightInd/>
        <w:rPr>
          <w:rFonts w:ascii="Times New Roman" w:hAnsi="Times New Roman" w:cs="Times New Roman"/>
          <w:b/>
          <w:sz w:val="24"/>
          <w:szCs w:val="24"/>
        </w:rPr>
      </w:pPr>
      <w:r>
        <w:rPr>
          <w:rFonts w:ascii="Times New Roman" w:hAnsi="Times New Roman" w:cs="Times New Roman"/>
          <w:b/>
          <w:sz w:val="24"/>
          <w:szCs w:val="24"/>
        </w:rPr>
        <w:br w:type="page"/>
      </w:r>
    </w:p>
    <w:p w14:paraId="148D1D42" w14:textId="268593DA" w:rsidR="00FC1E38" w:rsidRPr="000F24AF" w:rsidRDefault="00FC1E38" w:rsidP="00FC1E38">
      <w:pPr>
        <w:widowControl/>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outlineLvl w:val="0"/>
        <w:rPr>
          <w:rFonts w:ascii="Times New Roman" w:hAnsi="Times New Roman" w:cs="Times New Roman"/>
          <w:b/>
          <w:sz w:val="24"/>
          <w:szCs w:val="24"/>
        </w:rPr>
      </w:pPr>
      <w:r w:rsidRPr="000F24AF">
        <w:rPr>
          <w:rFonts w:ascii="Times New Roman" w:hAnsi="Times New Roman" w:cs="Times New Roman"/>
          <w:b/>
          <w:sz w:val="24"/>
          <w:szCs w:val="24"/>
        </w:rPr>
        <w:lastRenderedPageBreak/>
        <w:t>Estimate of Cost to the Federal Reserve System</w:t>
      </w:r>
    </w:p>
    <w:p w14:paraId="04A81E78" w14:textId="77777777" w:rsidR="00FC1E38" w:rsidRPr="000F24AF" w:rsidRDefault="00FC1E38" w:rsidP="00FC1E38">
      <w:pPr>
        <w:pStyle w:val="MemoHeader"/>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rPr>
          <w:rFonts w:ascii="Times New Roman" w:hAnsi="Times New Roman" w:cs="Times New Roman"/>
          <w:smallCaps w:val="0"/>
          <w:snapToGrid w:val="0"/>
        </w:rPr>
      </w:pPr>
    </w:p>
    <w:p w14:paraId="1176319E" w14:textId="47C0B67F" w:rsidR="009D18E0" w:rsidRPr="009D18E0" w:rsidRDefault="009D18E0" w:rsidP="009D18E0">
      <w:pPr>
        <w:tabs>
          <w:tab w:val="left" w:pos="720"/>
        </w:tabs>
        <w:rPr>
          <w:rFonts w:ascii="Times New Roman" w:hAnsi="Times New Roman" w:cs="Times New Roman"/>
          <w:sz w:val="24"/>
          <w:szCs w:val="24"/>
        </w:rPr>
      </w:pPr>
      <w:r w:rsidRPr="009D18E0">
        <w:rPr>
          <w:rFonts w:ascii="Times New Roman" w:hAnsi="Times New Roman" w:cs="Times New Roman"/>
          <w:sz w:val="24"/>
          <w:szCs w:val="24"/>
        </w:rPr>
        <w:tab/>
        <w:t xml:space="preserve">Costs associated with the processing of this information collection are minimal.  The </w:t>
      </w:r>
      <w:r>
        <w:rPr>
          <w:rFonts w:ascii="Times New Roman" w:hAnsi="Times New Roman" w:cs="Times New Roman"/>
          <w:sz w:val="24"/>
          <w:szCs w:val="24"/>
        </w:rPr>
        <w:t>reporting form</w:t>
      </w:r>
      <w:r w:rsidRPr="009D18E0">
        <w:rPr>
          <w:rFonts w:ascii="Times New Roman" w:hAnsi="Times New Roman" w:cs="Times New Roman"/>
          <w:sz w:val="24"/>
          <w:szCs w:val="24"/>
        </w:rPr>
        <w:t xml:space="preserve"> and </w:t>
      </w:r>
      <w:r>
        <w:rPr>
          <w:rFonts w:ascii="Times New Roman" w:hAnsi="Times New Roman" w:cs="Times New Roman"/>
          <w:sz w:val="24"/>
          <w:szCs w:val="24"/>
        </w:rPr>
        <w:t xml:space="preserve">instructions </w:t>
      </w:r>
      <w:r w:rsidRPr="009D18E0">
        <w:rPr>
          <w:rFonts w:ascii="Times New Roman" w:hAnsi="Times New Roman" w:cs="Times New Roman"/>
          <w:sz w:val="24"/>
          <w:szCs w:val="24"/>
        </w:rPr>
        <w:t xml:space="preserve">are available on the Board’s website or are otherwise distributed to potential filers only upon request. </w:t>
      </w:r>
    </w:p>
    <w:p w14:paraId="5F063087" w14:textId="77777777" w:rsidR="00FC1E38" w:rsidRPr="000F24AF" w:rsidRDefault="00FC1E38" w:rsidP="00FC1E38">
      <w:pPr>
        <w:widowControl/>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ind w:firstLine="721"/>
        <w:rPr>
          <w:rFonts w:ascii="Times New Roman" w:hAnsi="Times New Roman" w:cs="Times New Roman"/>
          <w:sz w:val="24"/>
          <w:szCs w:val="24"/>
        </w:rPr>
      </w:pPr>
    </w:p>
    <w:sectPr w:rsidR="00FC1E38" w:rsidRPr="000F24AF" w:rsidSect="00512AF1">
      <w:headerReference w:type="default" r:id="rId10"/>
      <w:footerReference w:type="even" r:id="rId11"/>
      <w:footerReference w:type="default" r:id="rId12"/>
      <w:headerReference w:type="first" r:id="rId13"/>
      <w:endnotePr>
        <w:numFmt w:val="decimal"/>
      </w:endnotePr>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9BFF1" w14:textId="77777777" w:rsidR="00052C41" w:rsidRDefault="00052C41">
      <w:r>
        <w:separator/>
      </w:r>
    </w:p>
  </w:endnote>
  <w:endnote w:type="continuationSeparator" w:id="0">
    <w:p w14:paraId="0C20A454" w14:textId="77777777" w:rsidR="00052C41" w:rsidRDefault="00052C41">
      <w:r>
        <w:continuationSeparator/>
      </w:r>
    </w:p>
  </w:endnote>
  <w:endnote w:type="continuationNotice" w:id="1">
    <w:p w14:paraId="63F7A42E" w14:textId="77777777" w:rsidR="00052C41" w:rsidRDefault="00052C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CFA D+ Bembo">
    <w:altName w:val="Bemb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D4C8A" w14:textId="77777777" w:rsidR="00052C41" w:rsidRDefault="00052C41" w:rsidP="00FE3E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5E2D90" w14:textId="77777777" w:rsidR="00052C41" w:rsidRDefault="00052C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99262" w14:textId="77777777" w:rsidR="00052C41" w:rsidRPr="003E5B70" w:rsidRDefault="00052C41" w:rsidP="00FE3ED0">
    <w:pPr>
      <w:pStyle w:val="Footer"/>
      <w:framePr w:wrap="around" w:vAnchor="text" w:hAnchor="margin" w:xAlign="center" w:y="1"/>
      <w:rPr>
        <w:rStyle w:val="PageNumber"/>
        <w:rFonts w:ascii="Times New Roman" w:hAnsi="Times New Roman" w:cs="Times New Roman"/>
        <w:sz w:val="24"/>
        <w:szCs w:val="24"/>
      </w:rPr>
    </w:pPr>
    <w:r w:rsidRPr="003E5B70">
      <w:rPr>
        <w:rStyle w:val="PageNumber"/>
        <w:rFonts w:ascii="Times New Roman" w:hAnsi="Times New Roman" w:cs="Times New Roman"/>
        <w:sz w:val="24"/>
        <w:szCs w:val="24"/>
      </w:rPr>
      <w:fldChar w:fldCharType="begin"/>
    </w:r>
    <w:r w:rsidRPr="003E5B70">
      <w:rPr>
        <w:rStyle w:val="PageNumber"/>
        <w:rFonts w:ascii="Times New Roman" w:hAnsi="Times New Roman" w:cs="Times New Roman"/>
        <w:sz w:val="24"/>
        <w:szCs w:val="24"/>
      </w:rPr>
      <w:instrText xml:space="preserve">PAGE  </w:instrText>
    </w:r>
    <w:r w:rsidRPr="003E5B70">
      <w:rPr>
        <w:rStyle w:val="PageNumber"/>
        <w:rFonts w:ascii="Times New Roman" w:hAnsi="Times New Roman" w:cs="Times New Roman"/>
        <w:sz w:val="24"/>
        <w:szCs w:val="24"/>
      </w:rPr>
      <w:fldChar w:fldCharType="separate"/>
    </w:r>
    <w:r w:rsidR="00823CF1">
      <w:rPr>
        <w:rStyle w:val="PageNumber"/>
        <w:rFonts w:ascii="Times New Roman" w:hAnsi="Times New Roman" w:cs="Times New Roman"/>
        <w:noProof/>
        <w:sz w:val="24"/>
        <w:szCs w:val="24"/>
      </w:rPr>
      <w:t>4</w:t>
    </w:r>
    <w:r w:rsidRPr="003E5B70">
      <w:rPr>
        <w:rStyle w:val="PageNumber"/>
        <w:rFonts w:ascii="Times New Roman" w:hAnsi="Times New Roman" w:cs="Times New Roman"/>
        <w:sz w:val="24"/>
        <w:szCs w:val="24"/>
      </w:rPr>
      <w:fldChar w:fldCharType="end"/>
    </w:r>
  </w:p>
  <w:p w14:paraId="7981917D" w14:textId="77777777" w:rsidR="00052C41" w:rsidRDefault="00052C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360A4" w14:textId="77777777" w:rsidR="00052C41" w:rsidRDefault="00052C41">
      <w:r>
        <w:separator/>
      </w:r>
    </w:p>
  </w:footnote>
  <w:footnote w:type="continuationSeparator" w:id="0">
    <w:p w14:paraId="52F1B676" w14:textId="77777777" w:rsidR="00052C41" w:rsidRDefault="00052C41">
      <w:r>
        <w:continuationSeparator/>
      </w:r>
    </w:p>
  </w:footnote>
  <w:footnote w:type="continuationNotice" w:id="1">
    <w:p w14:paraId="6E6460EB" w14:textId="77777777" w:rsidR="00052C41" w:rsidRDefault="00052C41"/>
  </w:footnote>
  <w:footnote w:id="2">
    <w:p w14:paraId="1EC0C2CC" w14:textId="77777777" w:rsidR="00052C41" w:rsidRPr="00F85ADE" w:rsidRDefault="00052C41" w:rsidP="00DD3499">
      <w:pPr>
        <w:rPr>
          <w:rFonts w:ascii="Times New Roman" w:hAnsi="Times New Roman" w:cs="Times New Roman"/>
        </w:rPr>
      </w:pPr>
      <w:r w:rsidRPr="00F85ADE">
        <w:rPr>
          <w:rStyle w:val="FootnoteReference"/>
          <w:rFonts w:ascii="Times New Roman" w:hAnsi="Times New Roman" w:cs="Times New Roman"/>
          <w:vertAlign w:val="superscript"/>
        </w:rPr>
        <w:footnoteRef/>
      </w:r>
      <w:r w:rsidRPr="00F85ADE">
        <w:rPr>
          <w:rFonts w:ascii="Times New Roman" w:hAnsi="Times New Roman" w:cs="Times New Roman"/>
          <w:sz w:val="24"/>
          <w:szCs w:val="24"/>
        </w:rPr>
        <w:t xml:space="preserve"> </w:t>
      </w:r>
      <w:proofErr w:type="gramStart"/>
      <w:r w:rsidRPr="00F85ADE">
        <w:rPr>
          <w:rFonts w:ascii="Times New Roman" w:hAnsi="Times New Roman" w:cs="Times New Roman"/>
        </w:rPr>
        <w:t>76 FR 81933.</w:t>
      </w:r>
      <w:proofErr w:type="gramEnd"/>
    </w:p>
  </w:footnote>
  <w:footnote w:id="3">
    <w:p w14:paraId="63FDD636" w14:textId="77777777" w:rsidR="00052C41" w:rsidRPr="00F85ADE" w:rsidRDefault="00052C41">
      <w:pPr>
        <w:pStyle w:val="FootnoteText"/>
        <w:rPr>
          <w:rFonts w:ascii="Times New Roman" w:hAnsi="Times New Roman" w:cs="Times New Roman"/>
        </w:rPr>
      </w:pPr>
      <w:r w:rsidRPr="00F85ADE">
        <w:rPr>
          <w:rStyle w:val="FootnoteReference"/>
          <w:rFonts w:ascii="Times New Roman" w:hAnsi="Times New Roman" w:cs="Times New Roman"/>
          <w:vertAlign w:val="superscript"/>
        </w:rPr>
        <w:footnoteRef/>
      </w:r>
      <w:r w:rsidRPr="00F85ADE">
        <w:rPr>
          <w:rFonts w:ascii="Times New Roman" w:hAnsi="Times New Roman" w:cs="Times New Roman"/>
        </w:rPr>
        <w:t xml:space="preserve"> </w:t>
      </w:r>
      <w:r w:rsidRPr="00F85ADE">
        <w:rPr>
          <w:rFonts w:ascii="Times New Roman" w:hAnsi="Times New Roman" w:cs="Times New Roman"/>
          <w:snapToGrid w:val="0"/>
          <w:szCs w:val="24"/>
        </w:rPr>
        <w:t>76 FR 56005</w:t>
      </w:r>
    </w:p>
  </w:footnote>
  <w:footnote w:id="4">
    <w:p w14:paraId="1C0FC81C" w14:textId="6C0420D0" w:rsidR="00052C41" w:rsidRDefault="00052C41">
      <w:pPr>
        <w:pStyle w:val="FootnoteText"/>
      </w:pPr>
      <w:r w:rsidRPr="00CF13EB">
        <w:rPr>
          <w:rStyle w:val="FootnoteReference"/>
          <w:rFonts w:ascii="Times New Roman" w:hAnsi="Times New Roman" w:cs="Times New Roman"/>
          <w:vertAlign w:val="superscript"/>
        </w:rPr>
        <w:footnoteRef/>
      </w:r>
      <w:r>
        <w:t xml:space="preserve"> </w:t>
      </w:r>
      <w:r w:rsidRPr="00EB3729">
        <w:rPr>
          <w:rFonts w:ascii="Times New Roman" w:hAnsi="Times New Roman" w:cs="Times New Roman"/>
        </w:rPr>
        <w:t xml:space="preserve">Of the </w:t>
      </w:r>
      <w:r>
        <w:rPr>
          <w:rFonts w:ascii="Times New Roman" w:hAnsi="Times New Roman" w:cs="Times New Roman"/>
        </w:rPr>
        <w:t>33</w:t>
      </w:r>
      <w:r w:rsidRPr="00EB3729">
        <w:rPr>
          <w:rFonts w:ascii="Times New Roman" w:hAnsi="Times New Roman" w:cs="Times New Roman"/>
        </w:rPr>
        <w:t xml:space="preserve"> respondents required to comply with this information collection, </w:t>
      </w:r>
      <w:r>
        <w:rPr>
          <w:rFonts w:ascii="Times New Roman" w:hAnsi="Times New Roman" w:cs="Times New Roman"/>
        </w:rPr>
        <w:t xml:space="preserve">4 respondents are considered small entities </w:t>
      </w:r>
      <w:r w:rsidRPr="00EB3729">
        <w:rPr>
          <w:rFonts w:ascii="Times New Roman" w:hAnsi="Times New Roman" w:cs="Times New Roman"/>
        </w:rPr>
        <w:t>as defined by the Small Business Administration (i.e., entities with less than $</w:t>
      </w:r>
      <w:r>
        <w:rPr>
          <w:rFonts w:ascii="Times New Roman" w:hAnsi="Times New Roman" w:cs="Times New Roman"/>
        </w:rPr>
        <w:t>500</w:t>
      </w:r>
      <w:r w:rsidRPr="00EB3729">
        <w:rPr>
          <w:rFonts w:ascii="Times New Roman" w:hAnsi="Times New Roman" w:cs="Times New Roman"/>
        </w:rPr>
        <w:t xml:space="preserve"> million in total assets).</w:t>
      </w:r>
    </w:p>
  </w:footnote>
  <w:footnote w:id="5">
    <w:p w14:paraId="247CA2A1" w14:textId="77777777" w:rsidR="00052C41" w:rsidRPr="0088614D" w:rsidRDefault="00052C41" w:rsidP="006E14A3">
      <w:pPr>
        <w:rPr>
          <w:rFonts w:ascii="Times New Roman" w:hAnsi="Times New Roman"/>
        </w:rPr>
      </w:pPr>
      <w:r w:rsidRPr="002B6495">
        <w:rPr>
          <w:rStyle w:val="FootnoteReference"/>
          <w:rFonts w:ascii="Times New Roman" w:hAnsi="Times New Roman" w:cs="Times New Roman"/>
          <w:vertAlign w:val="superscript"/>
        </w:rPr>
        <w:footnoteRef/>
      </w:r>
      <w:r>
        <w:t xml:space="preserve"> </w:t>
      </w:r>
      <w:r w:rsidRPr="006E14A3">
        <w:rPr>
          <w:rFonts w:ascii="Times New Roman" w:hAnsi="Times New Roman"/>
        </w:rPr>
        <w:t xml:space="preserve">Total cost to the public was estimated using the following formula: percent of staff time, multiplied by annual burden hours, multiplied by hourly rate (30% Office &amp; Administrative Support at $18, 45% Financial Managers at $59, 15% Lawyers at $63, and 10% Chief Executives at $85).  Hourly rate for each occupational group are the (rounded) mean hourly wages from the Bureau of Labor and Statistics (BLS), Occupational Employment and Wages 2012, </w:t>
      </w:r>
      <w:hyperlink r:id="rId1" w:history="1">
        <w:r w:rsidRPr="00FF3289">
          <w:rPr>
            <w:rStyle w:val="Hyperlink"/>
            <w:rFonts w:ascii="Times New Roman" w:hAnsi="Times New Roman"/>
          </w:rPr>
          <w:t>www.bls.gov/news.release/ocwage.nr0.htm</w:t>
        </w:r>
      </w:hyperlink>
      <w:r w:rsidRPr="006E14A3">
        <w:rPr>
          <w:rFonts w:ascii="Times New Roman" w:hAnsi="Times New Roman"/>
        </w:rPr>
        <w:t>.</w:t>
      </w:r>
      <w:r>
        <w:rPr>
          <w:rFonts w:ascii="Times New Roman" w:hAnsi="Times New Roman"/>
        </w:rPr>
        <w:t xml:space="preserve">  </w:t>
      </w:r>
      <w:r w:rsidRPr="006E14A3">
        <w:rPr>
          <w:rFonts w:ascii="Times New Roman" w:hAnsi="Times New Roman"/>
        </w:rPr>
        <w:t xml:space="preserve">Occupations are defined using the BLS Occupational Classification System, </w:t>
      </w:r>
      <w:hyperlink r:id="rId2" w:history="1">
        <w:r w:rsidRPr="00FF3289">
          <w:rPr>
            <w:rStyle w:val="Hyperlink"/>
            <w:rFonts w:ascii="Times New Roman" w:hAnsi="Times New Roman"/>
          </w:rPr>
          <w:t>www.bls.gov/soc/</w:t>
        </w:r>
      </w:hyperlink>
      <w:r>
        <w:rPr>
          <w:rFonts w:ascii="Times New Roman" w:hAnsi="Times New Roman"/>
        </w:rPr>
        <w:t xml:space="preserve"> </w:t>
      </w:r>
      <w:r w:rsidRPr="006E14A3">
        <w:rPr>
          <w:rFonts w:ascii="Times New Roman" w:hAnsi="Times New Roman"/>
        </w:rPr>
        <w:t xml:space="preserve"> </w:t>
      </w:r>
      <w:r w:rsidRPr="00FC06FA">
        <w:rPr>
          <w:rFonts w:ascii="Times New Roman" w:hAnsi="Times New Roman"/>
        </w:rPr>
        <w:t xml:space="preserve">  </w:t>
      </w:r>
    </w:p>
    <w:p w14:paraId="5C77C6C4" w14:textId="77777777" w:rsidR="00052C41" w:rsidRPr="00E0783E" w:rsidRDefault="00052C41">
      <w:pPr>
        <w:pStyle w:val="FootnoteText"/>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12398" w14:textId="3AD69BD2" w:rsidR="00052C41" w:rsidRPr="007257CA" w:rsidRDefault="00052C41" w:rsidP="007257CA">
    <w:pPr>
      <w:pStyle w:val="Header"/>
      <w:rPr>
        <w:rFonts w:ascii="Times New Roman" w:hAnsi="Times New Roman" w:cs="Times New Roman"/>
        <w:b/>
        <w:bCs/>
        <w:sz w:val="24"/>
        <w:szCs w:val="24"/>
      </w:rPr>
    </w:pPr>
    <w:r>
      <w:rPr>
        <w:rFonts w:ascii="Times New Roman" w:hAnsi="Times New Roman" w:cs="Times New Roman"/>
        <w:b/>
        <w:bCs/>
        <w:sz w:val="24"/>
        <w:szCs w:val="24"/>
      </w:rPr>
      <w:tab/>
    </w:r>
    <w:r w:rsidRPr="00C91EA5">
      <w:rPr>
        <w:rFonts w:ascii="Times New Roman" w:hAnsi="Times New Roman" w:cs="Times New Roman"/>
        <w:b/>
        <w:bC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83F9C" w14:textId="77777777" w:rsidR="00052C41" w:rsidRPr="00C91EA5" w:rsidRDefault="00052C41" w:rsidP="00F153E4">
    <w:pPr>
      <w:pStyle w:val="Header"/>
      <w:jc w:val="right"/>
      <w:rPr>
        <w:rFonts w:ascii="Times New Roman" w:hAnsi="Times New Roman" w:cs="Times New Roman"/>
        <w:b/>
        <w:bCs/>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1D90"/>
    <w:multiLevelType w:val="multilevel"/>
    <w:tmpl w:val="AA82B350"/>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C4F561E"/>
    <w:multiLevelType w:val="multilevel"/>
    <w:tmpl w:val="0F6CEC0C"/>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13E1E54"/>
    <w:multiLevelType w:val="hybridMultilevel"/>
    <w:tmpl w:val="6AFA84F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16CE1CC3"/>
    <w:multiLevelType w:val="hybridMultilevel"/>
    <w:tmpl w:val="3E3C0B62"/>
    <w:lvl w:ilvl="0" w:tplc="C5EA5934">
      <w:start w:val="1"/>
      <w:numFmt w:val="bullet"/>
      <w:lvlText w:val=""/>
      <w:lvlJc w:val="left"/>
      <w:pPr>
        <w:tabs>
          <w:tab w:val="num" w:pos="1080"/>
        </w:tabs>
        <w:ind w:left="1080" w:hanging="360"/>
      </w:pPr>
      <w:rPr>
        <w:rFonts w:ascii="Symbol" w:hAnsi="Symbol" w:cs="Symbol" w:hint="default"/>
        <w:color w:val="auto"/>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4">
    <w:nsid w:val="1EDBB6FB"/>
    <w:multiLevelType w:val="hybridMultilevel"/>
    <w:tmpl w:val="553642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FA41B39"/>
    <w:multiLevelType w:val="hybridMultilevel"/>
    <w:tmpl w:val="3C2E0B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1707BB0"/>
    <w:multiLevelType w:val="hybridMultilevel"/>
    <w:tmpl w:val="AE9AD12A"/>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36B56EF7"/>
    <w:multiLevelType w:val="hybridMultilevel"/>
    <w:tmpl w:val="A8E01502"/>
    <w:lvl w:ilvl="0" w:tplc="C5EA5934">
      <w:start w:val="1"/>
      <w:numFmt w:val="bullet"/>
      <w:lvlText w:val=""/>
      <w:lvlJc w:val="left"/>
      <w:pPr>
        <w:tabs>
          <w:tab w:val="num" w:pos="720"/>
        </w:tabs>
        <w:ind w:left="720" w:hanging="360"/>
      </w:pPr>
      <w:rPr>
        <w:rFonts w:ascii="Symbol" w:hAnsi="Symbol" w:cs="Symbol" w:hint="default"/>
        <w:color w:val="auto"/>
        <w:sz w:val="16"/>
        <w:szCs w:val="16"/>
      </w:rPr>
    </w:lvl>
    <w:lvl w:ilvl="1" w:tplc="04090001">
      <w:start w:val="1"/>
      <w:numFmt w:val="bullet"/>
      <w:lvlText w:val=""/>
      <w:lvlJc w:val="left"/>
      <w:pPr>
        <w:tabs>
          <w:tab w:val="num" w:pos="1800"/>
        </w:tabs>
        <w:ind w:left="1800" w:hanging="360"/>
      </w:pPr>
      <w:rPr>
        <w:rFonts w:ascii="Symbol" w:hAnsi="Symbol" w:cs="Symbol" w:hint="default"/>
        <w:color w:val="auto"/>
        <w:sz w:val="16"/>
        <w:szCs w:val="16"/>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8">
    <w:nsid w:val="5D7C1ACF"/>
    <w:multiLevelType w:val="hybridMultilevel"/>
    <w:tmpl w:val="466CF0E0"/>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nsid w:val="5E3F6B37"/>
    <w:multiLevelType w:val="hybridMultilevel"/>
    <w:tmpl w:val="F8EC167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nsid w:val="6C6F2A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05378CC"/>
    <w:multiLevelType w:val="hybridMultilevel"/>
    <w:tmpl w:val="E7A67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3DF7FF0"/>
    <w:multiLevelType w:val="hybridMultilevel"/>
    <w:tmpl w:val="B7FCC1DC"/>
    <w:lvl w:ilvl="0" w:tplc="04090001">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13">
    <w:nsid w:val="74E07E18"/>
    <w:multiLevelType w:val="hybridMultilevel"/>
    <w:tmpl w:val="6A9AF80A"/>
    <w:lvl w:ilvl="0" w:tplc="C5EA5934">
      <w:start w:val="1"/>
      <w:numFmt w:val="bullet"/>
      <w:lvlText w:val=""/>
      <w:lvlJc w:val="left"/>
      <w:pPr>
        <w:tabs>
          <w:tab w:val="num" w:pos="1080"/>
        </w:tabs>
        <w:ind w:left="1080" w:hanging="360"/>
      </w:pPr>
      <w:rPr>
        <w:rFonts w:ascii="Symbol" w:hAnsi="Symbol" w:cs="Symbol" w:hint="default"/>
        <w:color w:val="auto"/>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14">
    <w:nsid w:val="774B4D73"/>
    <w:multiLevelType w:val="hybridMultilevel"/>
    <w:tmpl w:val="F1D2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
  </w:num>
  <w:num w:numId="4">
    <w:abstractNumId w:val="4"/>
  </w:num>
  <w:num w:numId="5">
    <w:abstractNumId w:val="6"/>
  </w:num>
  <w:num w:numId="6">
    <w:abstractNumId w:val="7"/>
  </w:num>
  <w:num w:numId="7">
    <w:abstractNumId w:val="3"/>
  </w:num>
  <w:num w:numId="8">
    <w:abstractNumId w:val="13"/>
  </w:num>
  <w:num w:numId="9">
    <w:abstractNumId w:val="0"/>
  </w:num>
  <w:num w:numId="10">
    <w:abstractNumId w:val="12"/>
  </w:num>
  <w:num w:numId="11">
    <w:abstractNumId w:val="2"/>
  </w:num>
  <w:num w:numId="12">
    <w:abstractNumId w:val="14"/>
  </w:num>
  <w:num w:numId="13">
    <w:abstractNumId w:val="11"/>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ED0"/>
    <w:rsid w:val="00007545"/>
    <w:rsid w:val="000113FC"/>
    <w:rsid w:val="00012634"/>
    <w:rsid w:val="00020F41"/>
    <w:rsid w:val="00021D5D"/>
    <w:rsid w:val="000332E8"/>
    <w:rsid w:val="00035C8C"/>
    <w:rsid w:val="0005237D"/>
    <w:rsid w:val="00052C41"/>
    <w:rsid w:val="00054358"/>
    <w:rsid w:val="0005541A"/>
    <w:rsid w:val="000625A5"/>
    <w:rsid w:val="00062792"/>
    <w:rsid w:val="00064E1E"/>
    <w:rsid w:val="000674A6"/>
    <w:rsid w:val="00076D9D"/>
    <w:rsid w:val="00080676"/>
    <w:rsid w:val="0008166C"/>
    <w:rsid w:val="0008380E"/>
    <w:rsid w:val="00083D6A"/>
    <w:rsid w:val="00085983"/>
    <w:rsid w:val="00096160"/>
    <w:rsid w:val="000970B5"/>
    <w:rsid w:val="000A65A1"/>
    <w:rsid w:val="000B042D"/>
    <w:rsid w:val="000B39EA"/>
    <w:rsid w:val="000C2FFE"/>
    <w:rsid w:val="000C5CEE"/>
    <w:rsid w:val="000C6E50"/>
    <w:rsid w:val="000C7B84"/>
    <w:rsid w:val="000F24AF"/>
    <w:rsid w:val="000F66F7"/>
    <w:rsid w:val="00100455"/>
    <w:rsid w:val="001069F8"/>
    <w:rsid w:val="00110DD1"/>
    <w:rsid w:val="00120A2A"/>
    <w:rsid w:val="00120D4D"/>
    <w:rsid w:val="00125B01"/>
    <w:rsid w:val="00126347"/>
    <w:rsid w:val="00130BDD"/>
    <w:rsid w:val="001330F1"/>
    <w:rsid w:val="00137051"/>
    <w:rsid w:val="00147C2F"/>
    <w:rsid w:val="00151BC3"/>
    <w:rsid w:val="00160B87"/>
    <w:rsid w:val="001633F8"/>
    <w:rsid w:val="00164BBB"/>
    <w:rsid w:val="00167ED1"/>
    <w:rsid w:val="001758BE"/>
    <w:rsid w:val="001771C9"/>
    <w:rsid w:val="00177553"/>
    <w:rsid w:val="001778FD"/>
    <w:rsid w:val="001A225A"/>
    <w:rsid w:val="001C0965"/>
    <w:rsid w:val="001D2156"/>
    <w:rsid w:val="001F0C71"/>
    <w:rsid w:val="0020037D"/>
    <w:rsid w:val="00204EB8"/>
    <w:rsid w:val="00207C5D"/>
    <w:rsid w:val="00210DF0"/>
    <w:rsid w:val="00222253"/>
    <w:rsid w:val="00222A9D"/>
    <w:rsid w:val="0023001D"/>
    <w:rsid w:val="0023046A"/>
    <w:rsid w:val="0023383F"/>
    <w:rsid w:val="002459E7"/>
    <w:rsid w:val="002472BD"/>
    <w:rsid w:val="002617FB"/>
    <w:rsid w:val="002727FC"/>
    <w:rsid w:val="002763C7"/>
    <w:rsid w:val="00283435"/>
    <w:rsid w:val="00292F3D"/>
    <w:rsid w:val="00294FF7"/>
    <w:rsid w:val="002A188E"/>
    <w:rsid w:val="002A2271"/>
    <w:rsid w:val="002A2803"/>
    <w:rsid w:val="002A3037"/>
    <w:rsid w:val="002A3706"/>
    <w:rsid w:val="002B6495"/>
    <w:rsid w:val="002C0524"/>
    <w:rsid w:val="002C062D"/>
    <w:rsid w:val="002C13B2"/>
    <w:rsid w:val="002C2C1D"/>
    <w:rsid w:val="002D1255"/>
    <w:rsid w:val="002D236A"/>
    <w:rsid w:val="002D3E50"/>
    <w:rsid w:val="002E3ED6"/>
    <w:rsid w:val="002E4D42"/>
    <w:rsid w:val="0031295C"/>
    <w:rsid w:val="00314A47"/>
    <w:rsid w:val="003159FD"/>
    <w:rsid w:val="00317AA3"/>
    <w:rsid w:val="00317B85"/>
    <w:rsid w:val="003278E1"/>
    <w:rsid w:val="00331E30"/>
    <w:rsid w:val="003339AF"/>
    <w:rsid w:val="0033405D"/>
    <w:rsid w:val="003524CF"/>
    <w:rsid w:val="003563DD"/>
    <w:rsid w:val="003653C8"/>
    <w:rsid w:val="00366120"/>
    <w:rsid w:val="0036656E"/>
    <w:rsid w:val="00371CE9"/>
    <w:rsid w:val="00372029"/>
    <w:rsid w:val="00373A43"/>
    <w:rsid w:val="0038481F"/>
    <w:rsid w:val="00385E94"/>
    <w:rsid w:val="003A4405"/>
    <w:rsid w:val="003A4FD3"/>
    <w:rsid w:val="003B0F5A"/>
    <w:rsid w:val="003B78B5"/>
    <w:rsid w:val="003D05F1"/>
    <w:rsid w:val="003D0DD2"/>
    <w:rsid w:val="003D1684"/>
    <w:rsid w:val="003D1894"/>
    <w:rsid w:val="003D4A25"/>
    <w:rsid w:val="003D5556"/>
    <w:rsid w:val="003E5B70"/>
    <w:rsid w:val="003F3575"/>
    <w:rsid w:val="003F4B6C"/>
    <w:rsid w:val="004036FD"/>
    <w:rsid w:val="004037A9"/>
    <w:rsid w:val="004054E1"/>
    <w:rsid w:val="00410D9B"/>
    <w:rsid w:val="00414AF2"/>
    <w:rsid w:val="004170C6"/>
    <w:rsid w:val="00427A28"/>
    <w:rsid w:val="004310C2"/>
    <w:rsid w:val="00442F22"/>
    <w:rsid w:val="0045134C"/>
    <w:rsid w:val="00453222"/>
    <w:rsid w:val="004543FA"/>
    <w:rsid w:val="0045494A"/>
    <w:rsid w:val="0045637D"/>
    <w:rsid w:val="00457113"/>
    <w:rsid w:val="00463E86"/>
    <w:rsid w:val="0046442D"/>
    <w:rsid w:val="0047151A"/>
    <w:rsid w:val="00473245"/>
    <w:rsid w:val="00476CE8"/>
    <w:rsid w:val="004779E7"/>
    <w:rsid w:val="00481EE3"/>
    <w:rsid w:val="00482ABF"/>
    <w:rsid w:val="00487DAF"/>
    <w:rsid w:val="0049314A"/>
    <w:rsid w:val="004A26AE"/>
    <w:rsid w:val="004A73FC"/>
    <w:rsid w:val="004C2DCA"/>
    <w:rsid w:val="004C3687"/>
    <w:rsid w:val="004D41F3"/>
    <w:rsid w:val="004D6734"/>
    <w:rsid w:val="004D6FDD"/>
    <w:rsid w:val="004E4671"/>
    <w:rsid w:val="004E55CA"/>
    <w:rsid w:val="004F6088"/>
    <w:rsid w:val="00502930"/>
    <w:rsid w:val="0050665C"/>
    <w:rsid w:val="005128FB"/>
    <w:rsid w:val="00512AF1"/>
    <w:rsid w:val="00520C0A"/>
    <w:rsid w:val="005237E7"/>
    <w:rsid w:val="00532C4C"/>
    <w:rsid w:val="00542581"/>
    <w:rsid w:val="00546222"/>
    <w:rsid w:val="005534EC"/>
    <w:rsid w:val="0057016E"/>
    <w:rsid w:val="005702DB"/>
    <w:rsid w:val="005703E3"/>
    <w:rsid w:val="00570CF6"/>
    <w:rsid w:val="005713A9"/>
    <w:rsid w:val="00573453"/>
    <w:rsid w:val="00595269"/>
    <w:rsid w:val="005A0A80"/>
    <w:rsid w:val="005A19FA"/>
    <w:rsid w:val="005B2C5D"/>
    <w:rsid w:val="005B3319"/>
    <w:rsid w:val="005B5021"/>
    <w:rsid w:val="005B65DD"/>
    <w:rsid w:val="005D16E1"/>
    <w:rsid w:val="005D1D2C"/>
    <w:rsid w:val="005E0AD4"/>
    <w:rsid w:val="005E18C8"/>
    <w:rsid w:val="005E234C"/>
    <w:rsid w:val="00601563"/>
    <w:rsid w:val="0060230C"/>
    <w:rsid w:val="00602ECA"/>
    <w:rsid w:val="0060497F"/>
    <w:rsid w:val="006068E1"/>
    <w:rsid w:val="00606B52"/>
    <w:rsid w:val="00607489"/>
    <w:rsid w:val="00613808"/>
    <w:rsid w:val="0061423A"/>
    <w:rsid w:val="00615783"/>
    <w:rsid w:val="00620F2E"/>
    <w:rsid w:val="00621656"/>
    <w:rsid w:val="00622547"/>
    <w:rsid w:val="0063548D"/>
    <w:rsid w:val="00651D97"/>
    <w:rsid w:val="00661E54"/>
    <w:rsid w:val="006645A6"/>
    <w:rsid w:val="00665865"/>
    <w:rsid w:val="006676EA"/>
    <w:rsid w:val="00676DAD"/>
    <w:rsid w:val="00680305"/>
    <w:rsid w:val="00685492"/>
    <w:rsid w:val="00685856"/>
    <w:rsid w:val="006866FF"/>
    <w:rsid w:val="00690D3F"/>
    <w:rsid w:val="006917B5"/>
    <w:rsid w:val="006921AB"/>
    <w:rsid w:val="0069319C"/>
    <w:rsid w:val="006A6B67"/>
    <w:rsid w:val="006B142E"/>
    <w:rsid w:val="006B19B3"/>
    <w:rsid w:val="006B7382"/>
    <w:rsid w:val="006C2AF2"/>
    <w:rsid w:val="006C634B"/>
    <w:rsid w:val="006C7DEC"/>
    <w:rsid w:val="006D0BE5"/>
    <w:rsid w:val="006D30AB"/>
    <w:rsid w:val="006D7F85"/>
    <w:rsid w:val="006E14A3"/>
    <w:rsid w:val="006E63B4"/>
    <w:rsid w:val="006E7ED1"/>
    <w:rsid w:val="006F2518"/>
    <w:rsid w:val="007000A9"/>
    <w:rsid w:val="00706D4A"/>
    <w:rsid w:val="00720F22"/>
    <w:rsid w:val="007212D6"/>
    <w:rsid w:val="00722FD8"/>
    <w:rsid w:val="007257CA"/>
    <w:rsid w:val="0072710C"/>
    <w:rsid w:val="00734524"/>
    <w:rsid w:val="00735659"/>
    <w:rsid w:val="00741203"/>
    <w:rsid w:val="00747310"/>
    <w:rsid w:val="007512F9"/>
    <w:rsid w:val="0075152E"/>
    <w:rsid w:val="007516EA"/>
    <w:rsid w:val="007563F3"/>
    <w:rsid w:val="00756C87"/>
    <w:rsid w:val="00757687"/>
    <w:rsid w:val="00765291"/>
    <w:rsid w:val="00767CDF"/>
    <w:rsid w:val="00771C6E"/>
    <w:rsid w:val="00774D36"/>
    <w:rsid w:val="00790AB5"/>
    <w:rsid w:val="007938F3"/>
    <w:rsid w:val="00793C66"/>
    <w:rsid w:val="007948FB"/>
    <w:rsid w:val="007A238B"/>
    <w:rsid w:val="007A3B50"/>
    <w:rsid w:val="007B2C34"/>
    <w:rsid w:val="007B6A2D"/>
    <w:rsid w:val="007C0BC1"/>
    <w:rsid w:val="007C0BF6"/>
    <w:rsid w:val="007C7D81"/>
    <w:rsid w:val="007E0C03"/>
    <w:rsid w:val="007E4BC1"/>
    <w:rsid w:val="007E59B7"/>
    <w:rsid w:val="007E7286"/>
    <w:rsid w:val="007F2D19"/>
    <w:rsid w:val="007F59DE"/>
    <w:rsid w:val="008029C5"/>
    <w:rsid w:val="00807856"/>
    <w:rsid w:val="00816A61"/>
    <w:rsid w:val="00822385"/>
    <w:rsid w:val="00823CF1"/>
    <w:rsid w:val="00827626"/>
    <w:rsid w:val="008326AE"/>
    <w:rsid w:val="00840823"/>
    <w:rsid w:val="00845AA4"/>
    <w:rsid w:val="00850D4B"/>
    <w:rsid w:val="00862A46"/>
    <w:rsid w:val="00871218"/>
    <w:rsid w:val="00877CF2"/>
    <w:rsid w:val="0088090B"/>
    <w:rsid w:val="008845DE"/>
    <w:rsid w:val="00891334"/>
    <w:rsid w:val="008A6FBE"/>
    <w:rsid w:val="008B22F3"/>
    <w:rsid w:val="008B793F"/>
    <w:rsid w:val="008C2904"/>
    <w:rsid w:val="008C7CA3"/>
    <w:rsid w:val="008D1031"/>
    <w:rsid w:val="008D336D"/>
    <w:rsid w:val="008D4BFB"/>
    <w:rsid w:val="008D6D36"/>
    <w:rsid w:val="008F1D43"/>
    <w:rsid w:val="0090357D"/>
    <w:rsid w:val="00905D15"/>
    <w:rsid w:val="009226DE"/>
    <w:rsid w:val="009274E2"/>
    <w:rsid w:val="00935555"/>
    <w:rsid w:val="00946E21"/>
    <w:rsid w:val="00953BB4"/>
    <w:rsid w:val="00955980"/>
    <w:rsid w:val="009677F3"/>
    <w:rsid w:val="009679A5"/>
    <w:rsid w:val="00972C6C"/>
    <w:rsid w:val="00977D17"/>
    <w:rsid w:val="0099199D"/>
    <w:rsid w:val="00995892"/>
    <w:rsid w:val="009A14AC"/>
    <w:rsid w:val="009A3F6C"/>
    <w:rsid w:val="009A5143"/>
    <w:rsid w:val="009C1707"/>
    <w:rsid w:val="009C6CA8"/>
    <w:rsid w:val="009D18E0"/>
    <w:rsid w:val="009D3F8A"/>
    <w:rsid w:val="009D62FE"/>
    <w:rsid w:val="009E0B9B"/>
    <w:rsid w:val="009E1B63"/>
    <w:rsid w:val="009F2566"/>
    <w:rsid w:val="009F6E4E"/>
    <w:rsid w:val="00A07E3C"/>
    <w:rsid w:val="00A07E59"/>
    <w:rsid w:val="00A1499E"/>
    <w:rsid w:val="00A15D2A"/>
    <w:rsid w:val="00A17F0C"/>
    <w:rsid w:val="00A216DE"/>
    <w:rsid w:val="00A218C8"/>
    <w:rsid w:val="00A25ED5"/>
    <w:rsid w:val="00A337C8"/>
    <w:rsid w:val="00A35675"/>
    <w:rsid w:val="00A50380"/>
    <w:rsid w:val="00A52210"/>
    <w:rsid w:val="00A53304"/>
    <w:rsid w:val="00A54295"/>
    <w:rsid w:val="00A556ED"/>
    <w:rsid w:val="00A60E89"/>
    <w:rsid w:val="00A642FE"/>
    <w:rsid w:val="00A73E40"/>
    <w:rsid w:val="00A755CE"/>
    <w:rsid w:val="00A76549"/>
    <w:rsid w:val="00A76C67"/>
    <w:rsid w:val="00A82586"/>
    <w:rsid w:val="00A900C5"/>
    <w:rsid w:val="00A91E53"/>
    <w:rsid w:val="00AA2683"/>
    <w:rsid w:val="00AA4A77"/>
    <w:rsid w:val="00AC222E"/>
    <w:rsid w:val="00AC409C"/>
    <w:rsid w:val="00AC5F94"/>
    <w:rsid w:val="00AC6792"/>
    <w:rsid w:val="00AD710A"/>
    <w:rsid w:val="00AE01CF"/>
    <w:rsid w:val="00AE0795"/>
    <w:rsid w:val="00AE1E2A"/>
    <w:rsid w:val="00AE6AC1"/>
    <w:rsid w:val="00AF047A"/>
    <w:rsid w:val="00AF3A29"/>
    <w:rsid w:val="00AF59B0"/>
    <w:rsid w:val="00AF7D10"/>
    <w:rsid w:val="00B00041"/>
    <w:rsid w:val="00B05FD0"/>
    <w:rsid w:val="00B128C3"/>
    <w:rsid w:val="00B1436A"/>
    <w:rsid w:val="00B149B7"/>
    <w:rsid w:val="00B16C19"/>
    <w:rsid w:val="00B17195"/>
    <w:rsid w:val="00B24F50"/>
    <w:rsid w:val="00B35461"/>
    <w:rsid w:val="00B36D48"/>
    <w:rsid w:val="00B372BC"/>
    <w:rsid w:val="00B43DE4"/>
    <w:rsid w:val="00B458D4"/>
    <w:rsid w:val="00B55CC5"/>
    <w:rsid w:val="00B56040"/>
    <w:rsid w:val="00B6362B"/>
    <w:rsid w:val="00B718AF"/>
    <w:rsid w:val="00B7373E"/>
    <w:rsid w:val="00B76D11"/>
    <w:rsid w:val="00B82F7F"/>
    <w:rsid w:val="00B86552"/>
    <w:rsid w:val="00B87144"/>
    <w:rsid w:val="00B925F3"/>
    <w:rsid w:val="00B93059"/>
    <w:rsid w:val="00B93BA3"/>
    <w:rsid w:val="00BA7D1F"/>
    <w:rsid w:val="00BB4E77"/>
    <w:rsid w:val="00BC0037"/>
    <w:rsid w:val="00BC46C4"/>
    <w:rsid w:val="00BD5D39"/>
    <w:rsid w:val="00BE28B4"/>
    <w:rsid w:val="00BE4786"/>
    <w:rsid w:val="00C01C23"/>
    <w:rsid w:val="00C036F8"/>
    <w:rsid w:val="00C13135"/>
    <w:rsid w:val="00C13FB9"/>
    <w:rsid w:val="00C16BE8"/>
    <w:rsid w:val="00C23012"/>
    <w:rsid w:val="00C23E3B"/>
    <w:rsid w:val="00C32E3F"/>
    <w:rsid w:val="00C41EE7"/>
    <w:rsid w:val="00C5085B"/>
    <w:rsid w:val="00C53816"/>
    <w:rsid w:val="00C64493"/>
    <w:rsid w:val="00C72DB7"/>
    <w:rsid w:val="00C744F3"/>
    <w:rsid w:val="00C77932"/>
    <w:rsid w:val="00C86F3E"/>
    <w:rsid w:val="00C91EA5"/>
    <w:rsid w:val="00CA1496"/>
    <w:rsid w:val="00CB71B8"/>
    <w:rsid w:val="00CC001B"/>
    <w:rsid w:val="00CC2280"/>
    <w:rsid w:val="00CC6048"/>
    <w:rsid w:val="00CC6C13"/>
    <w:rsid w:val="00CD1FCC"/>
    <w:rsid w:val="00CD5730"/>
    <w:rsid w:val="00CE3C7D"/>
    <w:rsid w:val="00CE423A"/>
    <w:rsid w:val="00CE67DC"/>
    <w:rsid w:val="00CF0B31"/>
    <w:rsid w:val="00CF13EB"/>
    <w:rsid w:val="00CF2FFB"/>
    <w:rsid w:val="00CF765D"/>
    <w:rsid w:val="00D1239A"/>
    <w:rsid w:val="00D1407C"/>
    <w:rsid w:val="00D2385E"/>
    <w:rsid w:val="00D25009"/>
    <w:rsid w:val="00D264B8"/>
    <w:rsid w:val="00D308F2"/>
    <w:rsid w:val="00D5617C"/>
    <w:rsid w:val="00D60B02"/>
    <w:rsid w:val="00D61713"/>
    <w:rsid w:val="00D6634F"/>
    <w:rsid w:val="00D67703"/>
    <w:rsid w:val="00D82309"/>
    <w:rsid w:val="00D83F8F"/>
    <w:rsid w:val="00D86F90"/>
    <w:rsid w:val="00D92EAC"/>
    <w:rsid w:val="00D9324A"/>
    <w:rsid w:val="00D97C56"/>
    <w:rsid w:val="00DA164F"/>
    <w:rsid w:val="00DA518B"/>
    <w:rsid w:val="00DB29BF"/>
    <w:rsid w:val="00DB53BE"/>
    <w:rsid w:val="00DC50B1"/>
    <w:rsid w:val="00DC742D"/>
    <w:rsid w:val="00DC7BDD"/>
    <w:rsid w:val="00DD187C"/>
    <w:rsid w:val="00DD3499"/>
    <w:rsid w:val="00DF0907"/>
    <w:rsid w:val="00DF34CB"/>
    <w:rsid w:val="00DF5144"/>
    <w:rsid w:val="00E01861"/>
    <w:rsid w:val="00E0783E"/>
    <w:rsid w:val="00E12649"/>
    <w:rsid w:val="00E1523F"/>
    <w:rsid w:val="00E1702C"/>
    <w:rsid w:val="00E17A42"/>
    <w:rsid w:val="00E26567"/>
    <w:rsid w:val="00E401C3"/>
    <w:rsid w:val="00E60211"/>
    <w:rsid w:val="00E60806"/>
    <w:rsid w:val="00E65BC2"/>
    <w:rsid w:val="00E66F5C"/>
    <w:rsid w:val="00E673AB"/>
    <w:rsid w:val="00E7208E"/>
    <w:rsid w:val="00E7624E"/>
    <w:rsid w:val="00E82F70"/>
    <w:rsid w:val="00E95566"/>
    <w:rsid w:val="00E974C5"/>
    <w:rsid w:val="00EA0428"/>
    <w:rsid w:val="00EB26FB"/>
    <w:rsid w:val="00EB3729"/>
    <w:rsid w:val="00EB424C"/>
    <w:rsid w:val="00EC4AF2"/>
    <w:rsid w:val="00EC7500"/>
    <w:rsid w:val="00ED4B4F"/>
    <w:rsid w:val="00EE4AAB"/>
    <w:rsid w:val="00F031D8"/>
    <w:rsid w:val="00F05C42"/>
    <w:rsid w:val="00F153E4"/>
    <w:rsid w:val="00F234C8"/>
    <w:rsid w:val="00F341A9"/>
    <w:rsid w:val="00F40B1B"/>
    <w:rsid w:val="00F4177A"/>
    <w:rsid w:val="00F41F68"/>
    <w:rsid w:val="00F42788"/>
    <w:rsid w:val="00F57C64"/>
    <w:rsid w:val="00F756BD"/>
    <w:rsid w:val="00F85ADE"/>
    <w:rsid w:val="00F86DEC"/>
    <w:rsid w:val="00F91601"/>
    <w:rsid w:val="00F962A9"/>
    <w:rsid w:val="00F963FB"/>
    <w:rsid w:val="00FA3071"/>
    <w:rsid w:val="00FA3FF2"/>
    <w:rsid w:val="00FA69DA"/>
    <w:rsid w:val="00FA70CA"/>
    <w:rsid w:val="00FB772D"/>
    <w:rsid w:val="00FB7789"/>
    <w:rsid w:val="00FC01AA"/>
    <w:rsid w:val="00FC1E38"/>
    <w:rsid w:val="00FC5384"/>
    <w:rsid w:val="00FD4DE6"/>
    <w:rsid w:val="00FE1E4D"/>
    <w:rsid w:val="00FE32E2"/>
    <w:rsid w:val="00FE3AEE"/>
    <w:rsid w:val="00FE3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iPriority="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149B7"/>
    <w:pPr>
      <w:widowControl w:val="0"/>
      <w:autoSpaceDE w:val="0"/>
      <w:autoSpaceDN w:val="0"/>
      <w:adjustRightInd w:val="0"/>
    </w:pPr>
    <w:rPr>
      <w:rFonts w:ascii="Courier" w:hAnsi="Courier" w:cs="Courier"/>
    </w:rPr>
  </w:style>
  <w:style w:type="paragraph" w:styleId="Heading1">
    <w:name w:val="heading 1"/>
    <w:basedOn w:val="Normal"/>
    <w:next w:val="Normal"/>
    <w:link w:val="Heading1Char"/>
    <w:uiPriority w:val="99"/>
    <w:qFormat/>
    <w:rsid w:val="00B149B7"/>
    <w:pPr>
      <w:keepNext/>
      <w:widowControl/>
      <w:ind w:firstLine="360"/>
      <w:outlineLvl w:val="0"/>
    </w:pPr>
    <w:rPr>
      <w:rFonts w:ascii="Times" w:hAnsi="Times" w:cs="Times"/>
      <w:sz w:val="24"/>
      <w:szCs w:val="24"/>
    </w:rPr>
  </w:style>
  <w:style w:type="paragraph" w:styleId="Heading2">
    <w:name w:val="heading 2"/>
    <w:basedOn w:val="Normal"/>
    <w:next w:val="Normal"/>
    <w:link w:val="Heading2Char"/>
    <w:uiPriority w:val="99"/>
    <w:qFormat/>
    <w:rsid w:val="00B149B7"/>
    <w:pPr>
      <w:keepNext/>
      <w:widowControl/>
      <w:outlineLvl w:val="1"/>
    </w:pPr>
    <w:rPr>
      <w:rFonts w:ascii="Times" w:hAnsi="Times" w:cs="Times"/>
      <w:sz w:val="24"/>
      <w:szCs w:val="24"/>
    </w:rPr>
  </w:style>
  <w:style w:type="paragraph" w:styleId="Heading3">
    <w:name w:val="heading 3"/>
    <w:basedOn w:val="Normal"/>
    <w:next w:val="Normal"/>
    <w:link w:val="Heading3Char"/>
    <w:uiPriority w:val="99"/>
    <w:qFormat/>
    <w:rsid w:val="00B149B7"/>
    <w:pPr>
      <w:keepNext/>
      <w:widowControl/>
      <w:ind w:firstLine="360"/>
      <w:outlineLvl w:val="2"/>
    </w:pPr>
    <w:rPr>
      <w:rFonts w:ascii="Times" w:hAnsi="Times" w:cs="Times"/>
      <w:b/>
      <w:bCs/>
      <w:sz w:val="24"/>
      <w:szCs w:val="24"/>
      <w:u w:val="single"/>
    </w:rPr>
  </w:style>
  <w:style w:type="paragraph" w:styleId="Heading4">
    <w:name w:val="heading 4"/>
    <w:basedOn w:val="Normal"/>
    <w:next w:val="Normal"/>
    <w:link w:val="Heading4Char"/>
    <w:uiPriority w:val="99"/>
    <w:qFormat/>
    <w:rsid w:val="00B149B7"/>
    <w:pPr>
      <w:keepNext/>
      <w:widowControl/>
      <w:ind w:left="360"/>
      <w:outlineLvl w:val="3"/>
    </w:pPr>
    <w:rPr>
      <w:rFonts w:ascii="Times" w:hAnsi="Times" w:cs="Times"/>
      <w:b/>
      <w:bCs/>
      <w:sz w:val="24"/>
      <w:szCs w:val="24"/>
      <w:u w:val="single"/>
    </w:rPr>
  </w:style>
  <w:style w:type="paragraph" w:styleId="Heading5">
    <w:name w:val="heading 5"/>
    <w:basedOn w:val="Normal"/>
    <w:next w:val="Normal"/>
    <w:link w:val="Heading5Char"/>
    <w:uiPriority w:val="99"/>
    <w:qFormat/>
    <w:rsid w:val="00B149B7"/>
    <w:pPr>
      <w:keepNext/>
      <w:widowControl/>
      <w:ind w:left="360"/>
      <w:outlineLvl w:val="4"/>
    </w:pPr>
    <w:rPr>
      <w:rFonts w:ascii="Times" w:hAnsi="Times" w:cs="Times"/>
      <w:sz w:val="24"/>
      <w:szCs w:val="24"/>
    </w:rPr>
  </w:style>
  <w:style w:type="paragraph" w:styleId="Heading6">
    <w:name w:val="heading 6"/>
    <w:basedOn w:val="Normal"/>
    <w:next w:val="Normal"/>
    <w:link w:val="Heading6Char"/>
    <w:uiPriority w:val="99"/>
    <w:qFormat/>
    <w:rsid w:val="00B149B7"/>
    <w:pPr>
      <w:keepNext/>
      <w:widowControl/>
      <w:jc w:val="center"/>
      <w:outlineLvl w:val="5"/>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758BE"/>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1758BE"/>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1758BE"/>
    <w:rPr>
      <w:rFonts w:ascii="Cambria" w:hAnsi="Cambria" w:cs="Cambria"/>
      <w:b/>
      <w:bCs/>
      <w:sz w:val="26"/>
      <w:szCs w:val="26"/>
    </w:rPr>
  </w:style>
  <w:style w:type="character" w:customStyle="1" w:styleId="Heading4Char">
    <w:name w:val="Heading 4 Char"/>
    <w:basedOn w:val="DefaultParagraphFont"/>
    <w:link w:val="Heading4"/>
    <w:uiPriority w:val="99"/>
    <w:semiHidden/>
    <w:rsid w:val="001758BE"/>
    <w:rPr>
      <w:rFonts w:ascii="Calibri" w:hAnsi="Calibri" w:cs="Calibri"/>
      <w:b/>
      <w:bCs/>
      <w:sz w:val="28"/>
      <w:szCs w:val="28"/>
    </w:rPr>
  </w:style>
  <w:style w:type="character" w:customStyle="1" w:styleId="Heading5Char">
    <w:name w:val="Heading 5 Char"/>
    <w:basedOn w:val="DefaultParagraphFont"/>
    <w:link w:val="Heading5"/>
    <w:uiPriority w:val="99"/>
    <w:semiHidden/>
    <w:rsid w:val="001758BE"/>
    <w:rPr>
      <w:rFonts w:ascii="Calibri" w:hAnsi="Calibri" w:cs="Calibri"/>
      <w:b/>
      <w:bCs/>
      <w:i/>
      <w:iCs/>
      <w:sz w:val="26"/>
      <w:szCs w:val="26"/>
    </w:rPr>
  </w:style>
  <w:style w:type="character" w:customStyle="1" w:styleId="Heading6Char">
    <w:name w:val="Heading 6 Char"/>
    <w:basedOn w:val="DefaultParagraphFont"/>
    <w:link w:val="Heading6"/>
    <w:uiPriority w:val="99"/>
    <w:semiHidden/>
    <w:rsid w:val="001758BE"/>
    <w:rPr>
      <w:rFonts w:ascii="Calibri" w:hAnsi="Calibri" w:cs="Calibri"/>
      <w:b/>
      <w:bCs/>
    </w:rPr>
  </w:style>
  <w:style w:type="character" w:styleId="FootnoteReference">
    <w:name w:val="footnote reference"/>
    <w:basedOn w:val="DefaultParagraphFont"/>
    <w:semiHidden/>
    <w:rsid w:val="00B149B7"/>
  </w:style>
  <w:style w:type="paragraph" w:styleId="Header">
    <w:name w:val="header"/>
    <w:basedOn w:val="Normal"/>
    <w:link w:val="HeaderChar"/>
    <w:uiPriority w:val="99"/>
    <w:rsid w:val="00B149B7"/>
    <w:pPr>
      <w:tabs>
        <w:tab w:val="center" w:pos="4320"/>
        <w:tab w:val="right" w:pos="8640"/>
      </w:tabs>
    </w:pPr>
  </w:style>
  <w:style w:type="character" w:customStyle="1" w:styleId="HeaderChar">
    <w:name w:val="Header Char"/>
    <w:basedOn w:val="DefaultParagraphFont"/>
    <w:link w:val="Header"/>
    <w:uiPriority w:val="99"/>
    <w:rsid w:val="001758BE"/>
    <w:rPr>
      <w:rFonts w:ascii="Courier" w:hAnsi="Courier" w:cs="Courier"/>
      <w:sz w:val="20"/>
      <w:szCs w:val="20"/>
    </w:rPr>
  </w:style>
  <w:style w:type="paragraph" w:styleId="Footer">
    <w:name w:val="footer"/>
    <w:basedOn w:val="Normal"/>
    <w:link w:val="FooterChar"/>
    <w:uiPriority w:val="99"/>
    <w:rsid w:val="00B149B7"/>
    <w:pPr>
      <w:tabs>
        <w:tab w:val="center" w:pos="4320"/>
        <w:tab w:val="right" w:pos="8640"/>
      </w:tabs>
    </w:pPr>
  </w:style>
  <w:style w:type="character" w:customStyle="1" w:styleId="FooterChar">
    <w:name w:val="Footer Char"/>
    <w:basedOn w:val="DefaultParagraphFont"/>
    <w:link w:val="Footer"/>
    <w:uiPriority w:val="99"/>
    <w:semiHidden/>
    <w:rsid w:val="001758BE"/>
    <w:rPr>
      <w:rFonts w:ascii="Courier" w:hAnsi="Courier" w:cs="Courier"/>
      <w:sz w:val="20"/>
      <w:szCs w:val="20"/>
    </w:rPr>
  </w:style>
  <w:style w:type="paragraph" w:styleId="BodyText2">
    <w:name w:val="Body Text 2"/>
    <w:basedOn w:val="Normal"/>
    <w:link w:val="BodyText2Char"/>
    <w:uiPriority w:val="99"/>
    <w:rsid w:val="00B149B7"/>
    <w:pPr>
      <w:widowControl/>
      <w:ind w:firstLine="360"/>
    </w:pPr>
    <w:rPr>
      <w:rFonts w:ascii="Times" w:hAnsi="Times" w:cs="Times"/>
      <w:sz w:val="24"/>
      <w:szCs w:val="24"/>
    </w:rPr>
  </w:style>
  <w:style w:type="character" w:customStyle="1" w:styleId="BodyText2Char">
    <w:name w:val="Body Text 2 Char"/>
    <w:basedOn w:val="DefaultParagraphFont"/>
    <w:link w:val="BodyText2"/>
    <w:uiPriority w:val="99"/>
    <w:semiHidden/>
    <w:rsid w:val="001758BE"/>
    <w:rPr>
      <w:rFonts w:ascii="Courier" w:hAnsi="Courier" w:cs="Courier"/>
      <w:sz w:val="20"/>
      <w:szCs w:val="20"/>
    </w:rPr>
  </w:style>
  <w:style w:type="character" w:styleId="Hyperlink">
    <w:name w:val="Hyperlink"/>
    <w:basedOn w:val="DefaultParagraphFont"/>
    <w:uiPriority w:val="99"/>
    <w:rsid w:val="00B149B7"/>
    <w:rPr>
      <w:color w:val="0000FF"/>
      <w:u w:val="single"/>
    </w:rPr>
  </w:style>
  <w:style w:type="paragraph" w:customStyle="1" w:styleId="MemoAddress">
    <w:name w:val="Memo Address"/>
    <w:basedOn w:val="Normal"/>
    <w:next w:val="Normal"/>
    <w:uiPriority w:val="99"/>
    <w:rsid w:val="00FE3ED0"/>
    <w:pPr>
      <w:widowControl/>
      <w:autoSpaceDE/>
      <w:autoSpaceDN/>
      <w:adjustRightInd/>
      <w:spacing w:line="220" w:lineRule="exact"/>
      <w:ind w:left="1152" w:hanging="1152"/>
    </w:pPr>
    <w:rPr>
      <w:rFonts w:ascii="Arial" w:hAnsi="Arial" w:cs="Arial"/>
      <w:sz w:val="24"/>
      <w:szCs w:val="24"/>
    </w:rPr>
  </w:style>
  <w:style w:type="character" w:styleId="PageNumber">
    <w:name w:val="page number"/>
    <w:basedOn w:val="DefaultParagraphFont"/>
    <w:uiPriority w:val="99"/>
    <w:rsid w:val="00FE3ED0"/>
  </w:style>
  <w:style w:type="paragraph" w:styleId="BodyText">
    <w:name w:val="Body Text"/>
    <w:basedOn w:val="Normal"/>
    <w:link w:val="BodyTextChar"/>
    <w:uiPriority w:val="99"/>
    <w:rsid w:val="00E7624E"/>
    <w:pPr>
      <w:spacing w:after="120"/>
    </w:pPr>
  </w:style>
  <w:style w:type="character" w:customStyle="1" w:styleId="BodyTextChar">
    <w:name w:val="Body Text Char"/>
    <w:basedOn w:val="DefaultParagraphFont"/>
    <w:link w:val="BodyText"/>
    <w:uiPriority w:val="99"/>
    <w:semiHidden/>
    <w:rsid w:val="001758BE"/>
    <w:rPr>
      <w:rFonts w:ascii="Courier" w:hAnsi="Courier" w:cs="Courier"/>
      <w:sz w:val="20"/>
      <w:szCs w:val="20"/>
    </w:rPr>
  </w:style>
  <w:style w:type="paragraph" w:styleId="FootnoteText">
    <w:name w:val="footnote text"/>
    <w:basedOn w:val="Normal"/>
    <w:link w:val="FootnoteTextChar"/>
    <w:semiHidden/>
    <w:rsid w:val="00E7624E"/>
    <w:pPr>
      <w:autoSpaceDE/>
      <w:autoSpaceDN/>
      <w:adjustRightInd/>
    </w:pPr>
  </w:style>
  <w:style w:type="character" w:customStyle="1" w:styleId="FootnoteTextChar">
    <w:name w:val="Footnote Text Char"/>
    <w:basedOn w:val="DefaultParagraphFont"/>
    <w:link w:val="FootnoteText"/>
    <w:rsid w:val="001758BE"/>
    <w:rPr>
      <w:rFonts w:ascii="Courier" w:hAnsi="Courier" w:cs="Courier"/>
      <w:sz w:val="20"/>
      <w:szCs w:val="20"/>
    </w:rPr>
  </w:style>
  <w:style w:type="paragraph" w:customStyle="1" w:styleId="MemoHeader">
    <w:name w:val="Memo Header"/>
    <w:basedOn w:val="Normal"/>
    <w:next w:val="Normal"/>
    <w:rsid w:val="00E7624E"/>
    <w:pPr>
      <w:widowControl/>
      <w:autoSpaceDE/>
      <w:autoSpaceDN/>
      <w:adjustRightInd/>
    </w:pPr>
    <w:rPr>
      <w:rFonts w:ascii="Arial" w:hAnsi="Arial" w:cs="Arial"/>
      <w:smallCaps/>
      <w:sz w:val="24"/>
      <w:szCs w:val="24"/>
    </w:rPr>
  </w:style>
  <w:style w:type="paragraph" w:customStyle="1" w:styleId="p5">
    <w:name w:val="p5"/>
    <w:basedOn w:val="Normal"/>
    <w:uiPriority w:val="99"/>
    <w:rsid w:val="00E7624E"/>
    <w:pPr>
      <w:tabs>
        <w:tab w:val="left" w:pos="725"/>
      </w:tabs>
      <w:ind w:firstLine="725"/>
    </w:pPr>
    <w:rPr>
      <w:sz w:val="24"/>
      <w:szCs w:val="24"/>
    </w:rPr>
  </w:style>
  <w:style w:type="character" w:styleId="CommentReference">
    <w:name w:val="annotation reference"/>
    <w:basedOn w:val="DefaultParagraphFont"/>
    <w:semiHidden/>
    <w:rsid w:val="00F963FB"/>
    <w:rPr>
      <w:sz w:val="16"/>
      <w:szCs w:val="16"/>
    </w:rPr>
  </w:style>
  <w:style w:type="paragraph" w:styleId="CommentText">
    <w:name w:val="annotation text"/>
    <w:basedOn w:val="Normal"/>
    <w:link w:val="CommentTextChar"/>
    <w:rsid w:val="00F963FB"/>
  </w:style>
  <w:style w:type="character" w:customStyle="1" w:styleId="CommentTextChar">
    <w:name w:val="Comment Text Char"/>
    <w:basedOn w:val="DefaultParagraphFont"/>
    <w:link w:val="CommentText"/>
    <w:rsid w:val="001758BE"/>
    <w:rPr>
      <w:rFonts w:ascii="Courier" w:hAnsi="Courier" w:cs="Courier"/>
      <w:sz w:val="20"/>
      <w:szCs w:val="20"/>
    </w:rPr>
  </w:style>
  <w:style w:type="paragraph" w:styleId="BalloonText">
    <w:name w:val="Balloon Text"/>
    <w:basedOn w:val="Normal"/>
    <w:link w:val="BalloonTextChar"/>
    <w:uiPriority w:val="99"/>
    <w:semiHidden/>
    <w:rsid w:val="00F963FB"/>
    <w:rPr>
      <w:rFonts w:ascii="Tahoma" w:hAnsi="Tahoma" w:cs="Tahoma"/>
      <w:sz w:val="16"/>
      <w:szCs w:val="16"/>
    </w:rPr>
  </w:style>
  <w:style w:type="character" w:customStyle="1" w:styleId="BalloonTextChar">
    <w:name w:val="Balloon Text Char"/>
    <w:basedOn w:val="DefaultParagraphFont"/>
    <w:link w:val="BalloonText"/>
    <w:uiPriority w:val="99"/>
    <w:semiHidden/>
    <w:rsid w:val="001758BE"/>
    <w:rPr>
      <w:sz w:val="2"/>
      <w:szCs w:val="2"/>
    </w:rPr>
  </w:style>
  <w:style w:type="paragraph" w:styleId="NormalWeb">
    <w:name w:val="Normal (Web)"/>
    <w:basedOn w:val="Normal"/>
    <w:uiPriority w:val="99"/>
    <w:rsid w:val="00DD187C"/>
    <w:pPr>
      <w:widowControl/>
      <w:autoSpaceDE/>
      <w:autoSpaceDN/>
      <w:adjustRightInd/>
      <w:spacing w:after="240"/>
    </w:pPr>
    <w:rPr>
      <w:sz w:val="24"/>
      <w:szCs w:val="24"/>
    </w:rPr>
  </w:style>
  <w:style w:type="paragraph" w:customStyle="1" w:styleId="Default">
    <w:name w:val="Default"/>
    <w:uiPriority w:val="99"/>
    <w:rsid w:val="00DD187C"/>
    <w:pPr>
      <w:autoSpaceDE w:val="0"/>
      <w:autoSpaceDN w:val="0"/>
      <w:adjustRightInd w:val="0"/>
    </w:pPr>
    <w:rPr>
      <w:rFonts w:ascii="MACFA D+ Bembo" w:hAnsi="MACFA D+ Bembo" w:cs="MACFA D+ Bembo"/>
      <w:color w:val="000000"/>
      <w:sz w:val="24"/>
      <w:szCs w:val="24"/>
    </w:rPr>
  </w:style>
  <w:style w:type="paragraph" w:customStyle="1" w:styleId="CM61">
    <w:name w:val="CM61"/>
    <w:basedOn w:val="Default"/>
    <w:next w:val="Default"/>
    <w:uiPriority w:val="99"/>
    <w:rsid w:val="00DD187C"/>
    <w:rPr>
      <w:color w:val="auto"/>
    </w:rPr>
  </w:style>
  <w:style w:type="paragraph" w:styleId="CommentSubject">
    <w:name w:val="annotation subject"/>
    <w:basedOn w:val="CommentText"/>
    <w:next w:val="CommentText"/>
    <w:link w:val="CommentSubjectChar"/>
    <w:uiPriority w:val="99"/>
    <w:semiHidden/>
    <w:rsid w:val="007C7D81"/>
    <w:rPr>
      <w:b/>
      <w:bCs/>
    </w:rPr>
  </w:style>
  <w:style w:type="character" w:customStyle="1" w:styleId="CommentSubjectChar">
    <w:name w:val="Comment Subject Char"/>
    <w:basedOn w:val="CommentTextChar"/>
    <w:link w:val="CommentSubject"/>
    <w:uiPriority w:val="99"/>
    <w:semiHidden/>
    <w:rsid w:val="001758BE"/>
    <w:rPr>
      <w:rFonts w:ascii="Courier" w:hAnsi="Courier" w:cs="Courier"/>
      <w:b/>
      <w:bCs/>
      <w:sz w:val="20"/>
      <w:szCs w:val="20"/>
    </w:rPr>
  </w:style>
  <w:style w:type="character" w:styleId="FollowedHyperlink">
    <w:name w:val="FollowedHyperlink"/>
    <w:basedOn w:val="DefaultParagraphFont"/>
    <w:uiPriority w:val="99"/>
    <w:semiHidden/>
    <w:unhideWhenUsed/>
    <w:rsid w:val="00AC5F94"/>
    <w:rPr>
      <w:color w:val="800080"/>
      <w:u w:val="single"/>
    </w:rPr>
  </w:style>
  <w:style w:type="paragraph" w:styleId="ListParagraph">
    <w:name w:val="List Paragraph"/>
    <w:basedOn w:val="Normal"/>
    <w:uiPriority w:val="34"/>
    <w:qFormat/>
    <w:rsid w:val="00B1436A"/>
    <w:pPr>
      <w:ind w:left="720"/>
      <w:contextualSpacing/>
    </w:pPr>
  </w:style>
  <w:style w:type="paragraph" w:styleId="BodyTextIndent">
    <w:name w:val="Body Text Indent"/>
    <w:basedOn w:val="Normal"/>
    <w:link w:val="BodyTextIndentChar"/>
    <w:uiPriority w:val="99"/>
    <w:semiHidden/>
    <w:unhideWhenUsed/>
    <w:rsid w:val="00FC1E38"/>
    <w:pPr>
      <w:spacing w:after="120"/>
      <w:ind w:left="360"/>
    </w:pPr>
  </w:style>
  <w:style w:type="character" w:customStyle="1" w:styleId="BodyTextIndentChar">
    <w:name w:val="Body Text Indent Char"/>
    <w:basedOn w:val="DefaultParagraphFont"/>
    <w:link w:val="BodyTextIndent"/>
    <w:uiPriority w:val="99"/>
    <w:semiHidden/>
    <w:rsid w:val="00FC1E38"/>
    <w:rPr>
      <w:rFonts w:ascii="Courier" w:hAnsi="Courier" w:cs="Courier"/>
    </w:rPr>
  </w:style>
  <w:style w:type="paragraph" w:customStyle="1" w:styleId="a">
    <w:name w:val="_"/>
    <w:basedOn w:val="Normal"/>
    <w:rsid w:val="00FC1E38"/>
    <w:pPr>
      <w:autoSpaceDE/>
      <w:autoSpaceDN/>
      <w:adjustRightInd/>
      <w:ind w:left="720" w:hanging="720"/>
    </w:pPr>
    <w:rPr>
      <w:rFonts w:cs="Times New Roman"/>
      <w:snapToGrid w:val="0"/>
      <w:sz w:val="24"/>
    </w:rPr>
  </w:style>
  <w:style w:type="paragraph" w:styleId="EndnoteText">
    <w:name w:val="endnote text"/>
    <w:basedOn w:val="Normal"/>
    <w:link w:val="EndnoteTextChar"/>
    <w:uiPriority w:val="99"/>
    <w:semiHidden/>
    <w:unhideWhenUsed/>
    <w:rsid w:val="00020F41"/>
  </w:style>
  <w:style w:type="character" w:customStyle="1" w:styleId="EndnoteTextChar">
    <w:name w:val="Endnote Text Char"/>
    <w:basedOn w:val="DefaultParagraphFont"/>
    <w:link w:val="EndnoteText"/>
    <w:uiPriority w:val="99"/>
    <w:semiHidden/>
    <w:rsid w:val="00020F41"/>
    <w:rPr>
      <w:rFonts w:ascii="Courier" w:hAnsi="Courier" w:cs="Courier"/>
    </w:rPr>
  </w:style>
  <w:style w:type="character" w:styleId="EndnoteReference">
    <w:name w:val="endnote reference"/>
    <w:basedOn w:val="DefaultParagraphFont"/>
    <w:uiPriority w:val="99"/>
    <w:semiHidden/>
    <w:unhideWhenUsed/>
    <w:rsid w:val="00020F41"/>
    <w:rPr>
      <w:vertAlign w:val="superscript"/>
    </w:rPr>
  </w:style>
  <w:style w:type="character" w:customStyle="1" w:styleId="st">
    <w:name w:val="st"/>
    <w:basedOn w:val="DefaultParagraphFont"/>
    <w:rsid w:val="007257CA"/>
  </w:style>
  <w:style w:type="paragraph" w:styleId="HTMLPreformatted">
    <w:name w:val="HTML Preformatted"/>
    <w:basedOn w:val="Normal"/>
    <w:link w:val="HTMLPreformattedChar"/>
    <w:rsid w:val="0005237D"/>
    <w:pPr>
      <w:autoSpaceDE/>
      <w:autoSpaceDN/>
      <w:adjustRightInd/>
    </w:pPr>
    <w:rPr>
      <w:rFonts w:ascii="Courier New" w:hAnsi="Courier New" w:cs="Courier New"/>
      <w:snapToGrid w:val="0"/>
    </w:rPr>
  </w:style>
  <w:style w:type="character" w:customStyle="1" w:styleId="HTMLPreformattedChar">
    <w:name w:val="HTML Preformatted Char"/>
    <w:basedOn w:val="DefaultParagraphFont"/>
    <w:link w:val="HTMLPreformatted"/>
    <w:rsid w:val="0005237D"/>
    <w:rPr>
      <w:rFonts w:ascii="Courier New" w:hAnsi="Courier New" w:cs="Courier New"/>
      <w:snapToGrid w:val="0"/>
    </w:rPr>
  </w:style>
  <w:style w:type="paragraph" w:styleId="Revision">
    <w:name w:val="Revision"/>
    <w:hidden/>
    <w:uiPriority w:val="99"/>
    <w:semiHidden/>
    <w:rsid w:val="008D1031"/>
    <w:rPr>
      <w:rFonts w:ascii="Courier" w:hAnsi="Courier" w:cs="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iPriority="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149B7"/>
    <w:pPr>
      <w:widowControl w:val="0"/>
      <w:autoSpaceDE w:val="0"/>
      <w:autoSpaceDN w:val="0"/>
      <w:adjustRightInd w:val="0"/>
    </w:pPr>
    <w:rPr>
      <w:rFonts w:ascii="Courier" w:hAnsi="Courier" w:cs="Courier"/>
    </w:rPr>
  </w:style>
  <w:style w:type="paragraph" w:styleId="Heading1">
    <w:name w:val="heading 1"/>
    <w:basedOn w:val="Normal"/>
    <w:next w:val="Normal"/>
    <w:link w:val="Heading1Char"/>
    <w:uiPriority w:val="99"/>
    <w:qFormat/>
    <w:rsid w:val="00B149B7"/>
    <w:pPr>
      <w:keepNext/>
      <w:widowControl/>
      <w:ind w:firstLine="360"/>
      <w:outlineLvl w:val="0"/>
    </w:pPr>
    <w:rPr>
      <w:rFonts w:ascii="Times" w:hAnsi="Times" w:cs="Times"/>
      <w:sz w:val="24"/>
      <w:szCs w:val="24"/>
    </w:rPr>
  </w:style>
  <w:style w:type="paragraph" w:styleId="Heading2">
    <w:name w:val="heading 2"/>
    <w:basedOn w:val="Normal"/>
    <w:next w:val="Normal"/>
    <w:link w:val="Heading2Char"/>
    <w:uiPriority w:val="99"/>
    <w:qFormat/>
    <w:rsid w:val="00B149B7"/>
    <w:pPr>
      <w:keepNext/>
      <w:widowControl/>
      <w:outlineLvl w:val="1"/>
    </w:pPr>
    <w:rPr>
      <w:rFonts w:ascii="Times" w:hAnsi="Times" w:cs="Times"/>
      <w:sz w:val="24"/>
      <w:szCs w:val="24"/>
    </w:rPr>
  </w:style>
  <w:style w:type="paragraph" w:styleId="Heading3">
    <w:name w:val="heading 3"/>
    <w:basedOn w:val="Normal"/>
    <w:next w:val="Normal"/>
    <w:link w:val="Heading3Char"/>
    <w:uiPriority w:val="99"/>
    <w:qFormat/>
    <w:rsid w:val="00B149B7"/>
    <w:pPr>
      <w:keepNext/>
      <w:widowControl/>
      <w:ind w:firstLine="360"/>
      <w:outlineLvl w:val="2"/>
    </w:pPr>
    <w:rPr>
      <w:rFonts w:ascii="Times" w:hAnsi="Times" w:cs="Times"/>
      <w:b/>
      <w:bCs/>
      <w:sz w:val="24"/>
      <w:szCs w:val="24"/>
      <w:u w:val="single"/>
    </w:rPr>
  </w:style>
  <w:style w:type="paragraph" w:styleId="Heading4">
    <w:name w:val="heading 4"/>
    <w:basedOn w:val="Normal"/>
    <w:next w:val="Normal"/>
    <w:link w:val="Heading4Char"/>
    <w:uiPriority w:val="99"/>
    <w:qFormat/>
    <w:rsid w:val="00B149B7"/>
    <w:pPr>
      <w:keepNext/>
      <w:widowControl/>
      <w:ind w:left="360"/>
      <w:outlineLvl w:val="3"/>
    </w:pPr>
    <w:rPr>
      <w:rFonts w:ascii="Times" w:hAnsi="Times" w:cs="Times"/>
      <w:b/>
      <w:bCs/>
      <w:sz w:val="24"/>
      <w:szCs w:val="24"/>
      <w:u w:val="single"/>
    </w:rPr>
  </w:style>
  <w:style w:type="paragraph" w:styleId="Heading5">
    <w:name w:val="heading 5"/>
    <w:basedOn w:val="Normal"/>
    <w:next w:val="Normal"/>
    <w:link w:val="Heading5Char"/>
    <w:uiPriority w:val="99"/>
    <w:qFormat/>
    <w:rsid w:val="00B149B7"/>
    <w:pPr>
      <w:keepNext/>
      <w:widowControl/>
      <w:ind w:left="360"/>
      <w:outlineLvl w:val="4"/>
    </w:pPr>
    <w:rPr>
      <w:rFonts w:ascii="Times" w:hAnsi="Times" w:cs="Times"/>
      <w:sz w:val="24"/>
      <w:szCs w:val="24"/>
    </w:rPr>
  </w:style>
  <w:style w:type="paragraph" w:styleId="Heading6">
    <w:name w:val="heading 6"/>
    <w:basedOn w:val="Normal"/>
    <w:next w:val="Normal"/>
    <w:link w:val="Heading6Char"/>
    <w:uiPriority w:val="99"/>
    <w:qFormat/>
    <w:rsid w:val="00B149B7"/>
    <w:pPr>
      <w:keepNext/>
      <w:widowControl/>
      <w:jc w:val="center"/>
      <w:outlineLvl w:val="5"/>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758BE"/>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1758BE"/>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1758BE"/>
    <w:rPr>
      <w:rFonts w:ascii="Cambria" w:hAnsi="Cambria" w:cs="Cambria"/>
      <w:b/>
      <w:bCs/>
      <w:sz w:val="26"/>
      <w:szCs w:val="26"/>
    </w:rPr>
  </w:style>
  <w:style w:type="character" w:customStyle="1" w:styleId="Heading4Char">
    <w:name w:val="Heading 4 Char"/>
    <w:basedOn w:val="DefaultParagraphFont"/>
    <w:link w:val="Heading4"/>
    <w:uiPriority w:val="99"/>
    <w:semiHidden/>
    <w:rsid w:val="001758BE"/>
    <w:rPr>
      <w:rFonts w:ascii="Calibri" w:hAnsi="Calibri" w:cs="Calibri"/>
      <w:b/>
      <w:bCs/>
      <w:sz w:val="28"/>
      <w:szCs w:val="28"/>
    </w:rPr>
  </w:style>
  <w:style w:type="character" w:customStyle="1" w:styleId="Heading5Char">
    <w:name w:val="Heading 5 Char"/>
    <w:basedOn w:val="DefaultParagraphFont"/>
    <w:link w:val="Heading5"/>
    <w:uiPriority w:val="99"/>
    <w:semiHidden/>
    <w:rsid w:val="001758BE"/>
    <w:rPr>
      <w:rFonts w:ascii="Calibri" w:hAnsi="Calibri" w:cs="Calibri"/>
      <w:b/>
      <w:bCs/>
      <w:i/>
      <w:iCs/>
      <w:sz w:val="26"/>
      <w:szCs w:val="26"/>
    </w:rPr>
  </w:style>
  <w:style w:type="character" w:customStyle="1" w:styleId="Heading6Char">
    <w:name w:val="Heading 6 Char"/>
    <w:basedOn w:val="DefaultParagraphFont"/>
    <w:link w:val="Heading6"/>
    <w:uiPriority w:val="99"/>
    <w:semiHidden/>
    <w:rsid w:val="001758BE"/>
    <w:rPr>
      <w:rFonts w:ascii="Calibri" w:hAnsi="Calibri" w:cs="Calibri"/>
      <w:b/>
      <w:bCs/>
    </w:rPr>
  </w:style>
  <w:style w:type="character" w:styleId="FootnoteReference">
    <w:name w:val="footnote reference"/>
    <w:basedOn w:val="DefaultParagraphFont"/>
    <w:semiHidden/>
    <w:rsid w:val="00B149B7"/>
  </w:style>
  <w:style w:type="paragraph" w:styleId="Header">
    <w:name w:val="header"/>
    <w:basedOn w:val="Normal"/>
    <w:link w:val="HeaderChar"/>
    <w:uiPriority w:val="99"/>
    <w:rsid w:val="00B149B7"/>
    <w:pPr>
      <w:tabs>
        <w:tab w:val="center" w:pos="4320"/>
        <w:tab w:val="right" w:pos="8640"/>
      </w:tabs>
    </w:pPr>
  </w:style>
  <w:style w:type="character" w:customStyle="1" w:styleId="HeaderChar">
    <w:name w:val="Header Char"/>
    <w:basedOn w:val="DefaultParagraphFont"/>
    <w:link w:val="Header"/>
    <w:uiPriority w:val="99"/>
    <w:rsid w:val="001758BE"/>
    <w:rPr>
      <w:rFonts w:ascii="Courier" w:hAnsi="Courier" w:cs="Courier"/>
      <w:sz w:val="20"/>
      <w:szCs w:val="20"/>
    </w:rPr>
  </w:style>
  <w:style w:type="paragraph" w:styleId="Footer">
    <w:name w:val="footer"/>
    <w:basedOn w:val="Normal"/>
    <w:link w:val="FooterChar"/>
    <w:uiPriority w:val="99"/>
    <w:rsid w:val="00B149B7"/>
    <w:pPr>
      <w:tabs>
        <w:tab w:val="center" w:pos="4320"/>
        <w:tab w:val="right" w:pos="8640"/>
      </w:tabs>
    </w:pPr>
  </w:style>
  <w:style w:type="character" w:customStyle="1" w:styleId="FooterChar">
    <w:name w:val="Footer Char"/>
    <w:basedOn w:val="DefaultParagraphFont"/>
    <w:link w:val="Footer"/>
    <w:uiPriority w:val="99"/>
    <w:semiHidden/>
    <w:rsid w:val="001758BE"/>
    <w:rPr>
      <w:rFonts w:ascii="Courier" w:hAnsi="Courier" w:cs="Courier"/>
      <w:sz w:val="20"/>
      <w:szCs w:val="20"/>
    </w:rPr>
  </w:style>
  <w:style w:type="paragraph" w:styleId="BodyText2">
    <w:name w:val="Body Text 2"/>
    <w:basedOn w:val="Normal"/>
    <w:link w:val="BodyText2Char"/>
    <w:uiPriority w:val="99"/>
    <w:rsid w:val="00B149B7"/>
    <w:pPr>
      <w:widowControl/>
      <w:ind w:firstLine="360"/>
    </w:pPr>
    <w:rPr>
      <w:rFonts w:ascii="Times" w:hAnsi="Times" w:cs="Times"/>
      <w:sz w:val="24"/>
      <w:szCs w:val="24"/>
    </w:rPr>
  </w:style>
  <w:style w:type="character" w:customStyle="1" w:styleId="BodyText2Char">
    <w:name w:val="Body Text 2 Char"/>
    <w:basedOn w:val="DefaultParagraphFont"/>
    <w:link w:val="BodyText2"/>
    <w:uiPriority w:val="99"/>
    <w:semiHidden/>
    <w:rsid w:val="001758BE"/>
    <w:rPr>
      <w:rFonts w:ascii="Courier" w:hAnsi="Courier" w:cs="Courier"/>
      <w:sz w:val="20"/>
      <w:szCs w:val="20"/>
    </w:rPr>
  </w:style>
  <w:style w:type="character" w:styleId="Hyperlink">
    <w:name w:val="Hyperlink"/>
    <w:basedOn w:val="DefaultParagraphFont"/>
    <w:uiPriority w:val="99"/>
    <w:rsid w:val="00B149B7"/>
    <w:rPr>
      <w:color w:val="0000FF"/>
      <w:u w:val="single"/>
    </w:rPr>
  </w:style>
  <w:style w:type="paragraph" w:customStyle="1" w:styleId="MemoAddress">
    <w:name w:val="Memo Address"/>
    <w:basedOn w:val="Normal"/>
    <w:next w:val="Normal"/>
    <w:uiPriority w:val="99"/>
    <w:rsid w:val="00FE3ED0"/>
    <w:pPr>
      <w:widowControl/>
      <w:autoSpaceDE/>
      <w:autoSpaceDN/>
      <w:adjustRightInd/>
      <w:spacing w:line="220" w:lineRule="exact"/>
      <w:ind w:left="1152" w:hanging="1152"/>
    </w:pPr>
    <w:rPr>
      <w:rFonts w:ascii="Arial" w:hAnsi="Arial" w:cs="Arial"/>
      <w:sz w:val="24"/>
      <w:szCs w:val="24"/>
    </w:rPr>
  </w:style>
  <w:style w:type="character" w:styleId="PageNumber">
    <w:name w:val="page number"/>
    <w:basedOn w:val="DefaultParagraphFont"/>
    <w:uiPriority w:val="99"/>
    <w:rsid w:val="00FE3ED0"/>
  </w:style>
  <w:style w:type="paragraph" w:styleId="BodyText">
    <w:name w:val="Body Text"/>
    <w:basedOn w:val="Normal"/>
    <w:link w:val="BodyTextChar"/>
    <w:uiPriority w:val="99"/>
    <w:rsid w:val="00E7624E"/>
    <w:pPr>
      <w:spacing w:after="120"/>
    </w:pPr>
  </w:style>
  <w:style w:type="character" w:customStyle="1" w:styleId="BodyTextChar">
    <w:name w:val="Body Text Char"/>
    <w:basedOn w:val="DefaultParagraphFont"/>
    <w:link w:val="BodyText"/>
    <w:uiPriority w:val="99"/>
    <w:semiHidden/>
    <w:rsid w:val="001758BE"/>
    <w:rPr>
      <w:rFonts w:ascii="Courier" w:hAnsi="Courier" w:cs="Courier"/>
      <w:sz w:val="20"/>
      <w:szCs w:val="20"/>
    </w:rPr>
  </w:style>
  <w:style w:type="paragraph" w:styleId="FootnoteText">
    <w:name w:val="footnote text"/>
    <w:basedOn w:val="Normal"/>
    <w:link w:val="FootnoteTextChar"/>
    <w:semiHidden/>
    <w:rsid w:val="00E7624E"/>
    <w:pPr>
      <w:autoSpaceDE/>
      <w:autoSpaceDN/>
      <w:adjustRightInd/>
    </w:pPr>
  </w:style>
  <w:style w:type="character" w:customStyle="1" w:styleId="FootnoteTextChar">
    <w:name w:val="Footnote Text Char"/>
    <w:basedOn w:val="DefaultParagraphFont"/>
    <w:link w:val="FootnoteText"/>
    <w:rsid w:val="001758BE"/>
    <w:rPr>
      <w:rFonts w:ascii="Courier" w:hAnsi="Courier" w:cs="Courier"/>
      <w:sz w:val="20"/>
      <w:szCs w:val="20"/>
    </w:rPr>
  </w:style>
  <w:style w:type="paragraph" w:customStyle="1" w:styleId="MemoHeader">
    <w:name w:val="Memo Header"/>
    <w:basedOn w:val="Normal"/>
    <w:next w:val="Normal"/>
    <w:rsid w:val="00E7624E"/>
    <w:pPr>
      <w:widowControl/>
      <w:autoSpaceDE/>
      <w:autoSpaceDN/>
      <w:adjustRightInd/>
    </w:pPr>
    <w:rPr>
      <w:rFonts w:ascii="Arial" w:hAnsi="Arial" w:cs="Arial"/>
      <w:smallCaps/>
      <w:sz w:val="24"/>
      <w:szCs w:val="24"/>
    </w:rPr>
  </w:style>
  <w:style w:type="paragraph" w:customStyle="1" w:styleId="p5">
    <w:name w:val="p5"/>
    <w:basedOn w:val="Normal"/>
    <w:uiPriority w:val="99"/>
    <w:rsid w:val="00E7624E"/>
    <w:pPr>
      <w:tabs>
        <w:tab w:val="left" w:pos="725"/>
      </w:tabs>
      <w:ind w:firstLine="725"/>
    </w:pPr>
    <w:rPr>
      <w:sz w:val="24"/>
      <w:szCs w:val="24"/>
    </w:rPr>
  </w:style>
  <w:style w:type="character" w:styleId="CommentReference">
    <w:name w:val="annotation reference"/>
    <w:basedOn w:val="DefaultParagraphFont"/>
    <w:semiHidden/>
    <w:rsid w:val="00F963FB"/>
    <w:rPr>
      <w:sz w:val="16"/>
      <w:szCs w:val="16"/>
    </w:rPr>
  </w:style>
  <w:style w:type="paragraph" w:styleId="CommentText">
    <w:name w:val="annotation text"/>
    <w:basedOn w:val="Normal"/>
    <w:link w:val="CommentTextChar"/>
    <w:rsid w:val="00F963FB"/>
  </w:style>
  <w:style w:type="character" w:customStyle="1" w:styleId="CommentTextChar">
    <w:name w:val="Comment Text Char"/>
    <w:basedOn w:val="DefaultParagraphFont"/>
    <w:link w:val="CommentText"/>
    <w:rsid w:val="001758BE"/>
    <w:rPr>
      <w:rFonts w:ascii="Courier" w:hAnsi="Courier" w:cs="Courier"/>
      <w:sz w:val="20"/>
      <w:szCs w:val="20"/>
    </w:rPr>
  </w:style>
  <w:style w:type="paragraph" w:styleId="BalloonText">
    <w:name w:val="Balloon Text"/>
    <w:basedOn w:val="Normal"/>
    <w:link w:val="BalloonTextChar"/>
    <w:uiPriority w:val="99"/>
    <w:semiHidden/>
    <w:rsid w:val="00F963FB"/>
    <w:rPr>
      <w:rFonts w:ascii="Tahoma" w:hAnsi="Tahoma" w:cs="Tahoma"/>
      <w:sz w:val="16"/>
      <w:szCs w:val="16"/>
    </w:rPr>
  </w:style>
  <w:style w:type="character" w:customStyle="1" w:styleId="BalloonTextChar">
    <w:name w:val="Balloon Text Char"/>
    <w:basedOn w:val="DefaultParagraphFont"/>
    <w:link w:val="BalloonText"/>
    <w:uiPriority w:val="99"/>
    <w:semiHidden/>
    <w:rsid w:val="001758BE"/>
    <w:rPr>
      <w:sz w:val="2"/>
      <w:szCs w:val="2"/>
    </w:rPr>
  </w:style>
  <w:style w:type="paragraph" w:styleId="NormalWeb">
    <w:name w:val="Normal (Web)"/>
    <w:basedOn w:val="Normal"/>
    <w:uiPriority w:val="99"/>
    <w:rsid w:val="00DD187C"/>
    <w:pPr>
      <w:widowControl/>
      <w:autoSpaceDE/>
      <w:autoSpaceDN/>
      <w:adjustRightInd/>
      <w:spacing w:after="240"/>
    </w:pPr>
    <w:rPr>
      <w:sz w:val="24"/>
      <w:szCs w:val="24"/>
    </w:rPr>
  </w:style>
  <w:style w:type="paragraph" w:customStyle="1" w:styleId="Default">
    <w:name w:val="Default"/>
    <w:uiPriority w:val="99"/>
    <w:rsid w:val="00DD187C"/>
    <w:pPr>
      <w:autoSpaceDE w:val="0"/>
      <w:autoSpaceDN w:val="0"/>
      <w:adjustRightInd w:val="0"/>
    </w:pPr>
    <w:rPr>
      <w:rFonts w:ascii="MACFA D+ Bembo" w:hAnsi="MACFA D+ Bembo" w:cs="MACFA D+ Bembo"/>
      <w:color w:val="000000"/>
      <w:sz w:val="24"/>
      <w:szCs w:val="24"/>
    </w:rPr>
  </w:style>
  <w:style w:type="paragraph" w:customStyle="1" w:styleId="CM61">
    <w:name w:val="CM61"/>
    <w:basedOn w:val="Default"/>
    <w:next w:val="Default"/>
    <w:uiPriority w:val="99"/>
    <w:rsid w:val="00DD187C"/>
    <w:rPr>
      <w:color w:val="auto"/>
    </w:rPr>
  </w:style>
  <w:style w:type="paragraph" w:styleId="CommentSubject">
    <w:name w:val="annotation subject"/>
    <w:basedOn w:val="CommentText"/>
    <w:next w:val="CommentText"/>
    <w:link w:val="CommentSubjectChar"/>
    <w:uiPriority w:val="99"/>
    <w:semiHidden/>
    <w:rsid w:val="007C7D81"/>
    <w:rPr>
      <w:b/>
      <w:bCs/>
    </w:rPr>
  </w:style>
  <w:style w:type="character" w:customStyle="1" w:styleId="CommentSubjectChar">
    <w:name w:val="Comment Subject Char"/>
    <w:basedOn w:val="CommentTextChar"/>
    <w:link w:val="CommentSubject"/>
    <w:uiPriority w:val="99"/>
    <w:semiHidden/>
    <w:rsid w:val="001758BE"/>
    <w:rPr>
      <w:rFonts w:ascii="Courier" w:hAnsi="Courier" w:cs="Courier"/>
      <w:b/>
      <w:bCs/>
      <w:sz w:val="20"/>
      <w:szCs w:val="20"/>
    </w:rPr>
  </w:style>
  <w:style w:type="character" w:styleId="FollowedHyperlink">
    <w:name w:val="FollowedHyperlink"/>
    <w:basedOn w:val="DefaultParagraphFont"/>
    <w:uiPriority w:val="99"/>
    <w:semiHidden/>
    <w:unhideWhenUsed/>
    <w:rsid w:val="00AC5F94"/>
    <w:rPr>
      <w:color w:val="800080"/>
      <w:u w:val="single"/>
    </w:rPr>
  </w:style>
  <w:style w:type="paragraph" w:styleId="ListParagraph">
    <w:name w:val="List Paragraph"/>
    <w:basedOn w:val="Normal"/>
    <w:uiPriority w:val="34"/>
    <w:qFormat/>
    <w:rsid w:val="00B1436A"/>
    <w:pPr>
      <w:ind w:left="720"/>
      <w:contextualSpacing/>
    </w:pPr>
  </w:style>
  <w:style w:type="paragraph" w:styleId="BodyTextIndent">
    <w:name w:val="Body Text Indent"/>
    <w:basedOn w:val="Normal"/>
    <w:link w:val="BodyTextIndentChar"/>
    <w:uiPriority w:val="99"/>
    <w:semiHidden/>
    <w:unhideWhenUsed/>
    <w:rsid w:val="00FC1E38"/>
    <w:pPr>
      <w:spacing w:after="120"/>
      <w:ind w:left="360"/>
    </w:pPr>
  </w:style>
  <w:style w:type="character" w:customStyle="1" w:styleId="BodyTextIndentChar">
    <w:name w:val="Body Text Indent Char"/>
    <w:basedOn w:val="DefaultParagraphFont"/>
    <w:link w:val="BodyTextIndent"/>
    <w:uiPriority w:val="99"/>
    <w:semiHidden/>
    <w:rsid w:val="00FC1E38"/>
    <w:rPr>
      <w:rFonts w:ascii="Courier" w:hAnsi="Courier" w:cs="Courier"/>
    </w:rPr>
  </w:style>
  <w:style w:type="paragraph" w:customStyle="1" w:styleId="a">
    <w:name w:val="_"/>
    <w:basedOn w:val="Normal"/>
    <w:rsid w:val="00FC1E38"/>
    <w:pPr>
      <w:autoSpaceDE/>
      <w:autoSpaceDN/>
      <w:adjustRightInd/>
      <w:ind w:left="720" w:hanging="720"/>
    </w:pPr>
    <w:rPr>
      <w:rFonts w:cs="Times New Roman"/>
      <w:snapToGrid w:val="0"/>
      <w:sz w:val="24"/>
    </w:rPr>
  </w:style>
  <w:style w:type="paragraph" w:styleId="EndnoteText">
    <w:name w:val="endnote text"/>
    <w:basedOn w:val="Normal"/>
    <w:link w:val="EndnoteTextChar"/>
    <w:uiPriority w:val="99"/>
    <w:semiHidden/>
    <w:unhideWhenUsed/>
    <w:rsid w:val="00020F41"/>
  </w:style>
  <w:style w:type="character" w:customStyle="1" w:styleId="EndnoteTextChar">
    <w:name w:val="Endnote Text Char"/>
    <w:basedOn w:val="DefaultParagraphFont"/>
    <w:link w:val="EndnoteText"/>
    <w:uiPriority w:val="99"/>
    <w:semiHidden/>
    <w:rsid w:val="00020F41"/>
    <w:rPr>
      <w:rFonts w:ascii="Courier" w:hAnsi="Courier" w:cs="Courier"/>
    </w:rPr>
  </w:style>
  <w:style w:type="character" w:styleId="EndnoteReference">
    <w:name w:val="endnote reference"/>
    <w:basedOn w:val="DefaultParagraphFont"/>
    <w:uiPriority w:val="99"/>
    <w:semiHidden/>
    <w:unhideWhenUsed/>
    <w:rsid w:val="00020F41"/>
    <w:rPr>
      <w:vertAlign w:val="superscript"/>
    </w:rPr>
  </w:style>
  <w:style w:type="character" w:customStyle="1" w:styleId="st">
    <w:name w:val="st"/>
    <w:basedOn w:val="DefaultParagraphFont"/>
    <w:rsid w:val="007257CA"/>
  </w:style>
  <w:style w:type="paragraph" w:styleId="HTMLPreformatted">
    <w:name w:val="HTML Preformatted"/>
    <w:basedOn w:val="Normal"/>
    <w:link w:val="HTMLPreformattedChar"/>
    <w:rsid w:val="0005237D"/>
    <w:pPr>
      <w:autoSpaceDE/>
      <w:autoSpaceDN/>
      <w:adjustRightInd/>
    </w:pPr>
    <w:rPr>
      <w:rFonts w:ascii="Courier New" w:hAnsi="Courier New" w:cs="Courier New"/>
      <w:snapToGrid w:val="0"/>
    </w:rPr>
  </w:style>
  <w:style w:type="character" w:customStyle="1" w:styleId="HTMLPreformattedChar">
    <w:name w:val="HTML Preformatted Char"/>
    <w:basedOn w:val="DefaultParagraphFont"/>
    <w:link w:val="HTMLPreformatted"/>
    <w:rsid w:val="0005237D"/>
    <w:rPr>
      <w:rFonts w:ascii="Courier New" w:hAnsi="Courier New" w:cs="Courier New"/>
      <w:snapToGrid w:val="0"/>
    </w:rPr>
  </w:style>
  <w:style w:type="paragraph" w:styleId="Revision">
    <w:name w:val="Revision"/>
    <w:hidden/>
    <w:uiPriority w:val="99"/>
    <w:semiHidden/>
    <w:rsid w:val="008D1031"/>
    <w:rPr>
      <w:rFonts w:ascii="Courier" w:hAnsi="Courier" w:cs="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380825">
      <w:bodyDiv w:val="1"/>
      <w:marLeft w:val="0"/>
      <w:marRight w:val="0"/>
      <w:marTop w:val="0"/>
      <w:marBottom w:val="0"/>
      <w:divBdr>
        <w:top w:val="none" w:sz="0" w:space="0" w:color="auto"/>
        <w:left w:val="none" w:sz="0" w:space="0" w:color="auto"/>
        <w:bottom w:val="none" w:sz="0" w:space="0" w:color="auto"/>
        <w:right w:val="none" w:sz="0" w:space="0" w:color="auto"/>
      </w:divBdr>
    </w:div>
    <w:div w:id="1421026967">
      <w:marLeft w:val="0"/>
      <w:marRight w:val="0"/>
      <w:marTop w:val="0"/>
      <w:marBottom w:val="0"/>
      <w:divBdr>
        <w:top w:val="none" w:sz="0" w:space="0" w:color="auto"/>
        <w:left w:val="none" w:sz="0" w:space="0" w:color="auto"/>
        <w:bottom w:val="none" w:sz="0" w:space="0" w:color="auto"/>
        <w:right w:val="none" w:sz="0" w:space="0" w:color="auto"/>
      </w:divBdr>
      <w:divsChild>
        <w:div w:id="1421026971">
          <w:marLeft w:val="0"/>
          <w:marRight w:val="0"/>
          <w:marTop w:val="0"/>
          <w:marBottom w:val="0"/>
          <w:divBdr>
            <w:top w:val="none" w:sz="0" w:space="0" w:color="auto"/>
            <w:left w:val="none" w:sz="0" w:space="0" w:color="auto"/>
            <w:bottom w:val="none" w:sz="0" w:space="0" w:color="auto"/>
            <w:right w:val="none" w:sz="0" w:space="0" w:color="auto"/>
          </w:divBdr>
          <w:divsChild>
            <w:div w:id="1421026966">
              <w:marLeft w:val="0"/>
              <w:marRight w:val="0"/>
              <w:marTop w:val="0"/>
              <w:marBottom w:val="0"/>
              <w:divBdr>
                <w:top w:val="none" w:sz="0" w:space="0" w:color="auto"/>
                <w:left w:val="none" w:sz="0" w:space="0" w:color="auto"/>
                <w:bottom w:val="none" w:sz="0" w:space="0" w:color="auto"/>
                <w:right w:val="none" w:sz="0" w:space="0" w:color="auto"/>
              </w:divBdr>
              <w:divsChild>
                <w:div w:id="1421026962">
                  <w:marLeft w:val="0"/>
                  <w:marRight w:val="0"/>
                  <w:marTop w:val="0"/>
                  <w:marBottom w:val="0"/>
                  <w:divBdr>
                    <w:top w:val="none" w:sz="0" w:space="0" w:color="auto"/>
                    <w:left w:val="none" w:sz="0" w:space="0" w:color="auto"/>
                    <w:bottom w:val="none" w:sz="0" w:space="0" w:color="auto"/>
                    <w:right w:val="none" w:sz="0" w:space="0" w:color="auto"/>
                  </w:divBdr>
                  <w:divsChild>
                    <w:div w:id="1421026963">
                      <w:marLeft w:val="0"/>
                      <w:marRight w:val="0"/>
                      <w:marTop w:val="0"/>
                      <w:marBottom w:val="0"/>
                      <w:divBdr>
                        <w:top w:val="none" w:sz="0" w:space="0" w:color="auto"/>
                        <w:left w:val="none" w:sz="0" w:space="0" w:color="auto"/>
                        <w:bottom w:val="none" w:sz="0" w:space="0" w:color="auto"/>
                        <w:right w:val="none" w:sz="0" w:space="0" w:color="auto"/>
                      </w:divBdr>
                      <w:divsChild>
                        <w:div w:id="142102696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421026970">
      <w:marLeft w:val="0"/>
      <w:marRight w:val="0"/>
      <w:marTop w:val="0"/>
      <w:marBottom w:val="0"/>
      <w:divBdr>
        <w:top w:val="none" w:sz="0" w:space="0" w:color="auto"/>
        <w:left w:val="none" w:sz="0" w:space="0" w:color="auto"/>
        <w:bottom w:val="none" w:sz="0" w:space="0" w:color="auto"/>
        <w:right w:val="none" w:sz="0" w:space="0" w:color="auto"/>
      </w:divBdr>
      <w:divsChild>
        <w:div w:id="1421026973">
          <w:marLeft w:val="0"/>
          <w:marRight w:val="0"/>
          <w:marTop w:val="0"/>
          <w:marBottom w:val="0"/>
          <w:divBdr>
            <w:top w:val="none" w:sz="0" w:space="0" w:color="auto"/>
            <w:left w:val="none" w:sz="0" w:space="0" w:color="auto"/>
            <w:bottom w:val="none" w:sz="0" w:space="0" w:color="auto"/>
            <w:right w:val="none" w:sz="0" w:space="0" w:color="auto"/>
          </w:divBdr>
          <w:divsChild>
            <w:div w:id="1421026965">
              <w:marLeft w:val="0"/>
              <w:marRight w:val="0"/>
              <w:marTop w:val="0"/>
              <w:marBottom w:val="0"/>
              <w:divBdr>
                <w:top w:val="none" w:sz="0" w:space="0" w:color="auto"/>
                <w:left w:val="none" w:sz="0" w:space="0" w:color="auto"/>
                <w:bottom w:val="none" w:sz="0" w:space="0" w:color="auto"/>
                <w:right w:val="none" w:sz="0" w:space="0" w:color="auto"/>
              </w:divBdr>
              <w:divsChild>
                <w:div w:id="1421026972">
                  <w:marLeft w:val="0"/>
                  <w:marRight w:val="0"/>
                  <w:marTop w:val="0"/>
                  <w:marBottom w:val="0"/>
                  <w:divBdr>
                    <w:top w:val="none" w:sz="0" w:space="0" w:color="auto"/>
                    <w:left w:val="none" w:sz="0" w:space="0" w:color="auto"/>
                    <w:bottom w:val="none" w:sz="0" w:space="0" w:color="auto"/>
                    <w:right w:val="none" w:sz="0" w:space="0" w:color="auto"/>
                  </w:divBdr>
                  <w:divsChild>
                    <w:div w:id="1421026969">
                      <w:marLeft w:val="0"/>
                      <w:marRight w:val="0"/>
                      <w:marTop w:val="0"/>
                      <w:marBottom w:val="0"/>
                      <w:divBdr>
                        <w:top w:val="none" w:sz="0" w:space="0" w:color="auto"/>
                        <w:left w:val="none" w:sz="0" w:space="0" w:color="auto"/>
                        <w:bottom w:val="none" w:sz="0" w:space="0" w:color="auto"/>
                        <w:right w:val="none" w:sz="0" w:space="0" w:color="auto"/>
                      </w:divBdr>
                      <w:divsChild>
                        <w:div w:id="142102696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soc/" TargetMode="External"/><Relationship Id="rId1" Type="http://schemas.openxmlformats.org/officeDocument/2006/relationships/hyperlink" Target="http://www.bls.gov/news.release/ocwage.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7517A-C2A0-4330-87FE-CB2041EDE4D3}">
  <ds:schemaRefs>
    <ds:schemaRef ds:uri="http://schemas.openxmlformats.org/officeDocument/2006/bibliography"/>
  </ds:schemaRefs>
</ds:datastoreItem>
</file>

<file path=customXml/itemProps2.xml><?xml version="1.0" encoding="utf-8"?>
<ds:datastoreItem xmlns:ds="http://schemas.openxmlformats.org/officeDocument/2006/customXml" ds:itemID="{9FCC3CFE-1EFA-4482-B4CA-97773055B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AD62CA15.dotm</Template>
  <TotalTime>138</TotalTime>
  <Pages>6</Pages>
  <Words>2139</Words>
  <Characters>11900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FRB</Company>
  <LinksUpToDate>false</LinksUpToDate>
  <CharactersWithSpaces>14011</CharactersWithSpaces>
  <SharedDoc>false</SharedDoc>
  <HLinks>
    <vt:vector size="12" baseType="variant">
      <vt:variant>
        <vt:i4>3866685</vt:i4>
      </vt:variant>
      <vt:variant>
        <vt:i4>3</vt:i4>
      </vt:variant>
      <vt:variant>
        <vt:i4>0</vt:i4>
      </vt:variant>
      <vt:variant>
        <vt:i4>5</vt:i4>
      </vt:variant>
      <vt:variant>
        <vt:lpwstr>http://www.bls.gov/soc/</vt:lpwstr>
      </vt:variant>
      <vt:variant>
        <vt:lpwstr/>
      </vt:variant>
      <vt:variant>
        <vt:i4>8126503</vt:i4>
      </vt:variant>
      <vt:variant>
        <vt:i4>0</vt:i4>
      </vt:variant>
      <vt:variant>
        <vt:i4>0</vt:i4>
      </vt:variant>
      <vt:variant>
        <vt:i4>5</vt:i4>
      </vt:variant>
      <vt:variant>
        <vt:lpwstr>http://www.bls.gov/news.release/ocwage.nr0.htm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m1mel00</dc:creator>
  <cp:lastModifiedBy>Scott W. Farmer</cp:lastModifiedBy>
  <cp:revision>4</cp:revision>
  <cp:lastPrinted>2013-08-06T19:48:00Z</cp:lastPrinted>
  <dcterms:created xsi:type="dcterms:W3CDTF">2013-11-13T15:56:00Z</dcterms:created>
  <dcterms:modified xsi:type="dcterms:W3CDTF">2013-11-14T21:14:00Z</dcterms:modified>
</cp:coreProperties>
</file>