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902" w:rsidRPr="00EE7902" w:rsidRDefault="00EE7902" w:rsidP="00EE7902">
      <w:pPr>
        <w:tabs>
          <w:tab w:val="left" w:pos="9360"/>
        </w:tabs>
        <w:spacing w:after="0" w:line="240" w:lineRule="auto"/>
        <w:jc w:val="center"/>
        <w:rPr>
          <w:rFonts w:ascii="Arial" w:hAnsi="Arial" w:cs="Arial"/>
          <w:b/>
          <w:sz w:val="36"/>
          <w:szCs w:val="36"/>
        </w:rPr>
      </w:pPr>
      <w:bookmarkStart w:id="0" w:name="_GoBack"/>
      <w:bookmarkEnd w:id="0"/>
      <w:r w:rsidRPr="00EE7902">
        <w:rPr>
          <w:rFonts w:ascii="Arial" w:hAnsi="Arial" w:cs="Arial"/>
          <w:b/>
          <w:sz w:val="36"/>
          <w:szCs w:val="36"/>
        </w:rPr>
        <w:t>CFTC FORM 704</w:t>
      </w:r>
    </w:p>
    <w:p w:rsidR="00EE7902" w:rsidRPr="00EE7902" w:rsidRDefault="00EE7902" w:rsidP="00EE7902">
      <w:pPr>
        <w:spacing w:after="0" w:line="240" w:lineRule="auto"/>
        <w:jc w:val="center"/>
        <w:rPr>
          <w:rFonts w:ascii="Arial" w:hAnsi="Arial" w:cs="Arial"/>
          <w:b/>
          <w:sz w:val="36"/>
          <w:szCs w:val="36"/>
        </w:rPr>
      </w:pPr>
      <w:r w:rsidRPr="00EE7902">
        <w:rPr>
          <w:rFonts w:ascii="Arial" w:hAnsi="Arial" w:cs="Arial"/>
          <w:b/>
          <w:sz w:val="36"/>
          <w:szCs w:val="36"/>
        </w:rPr>
        <w:t>Statement of Anticipatory</w:t>
      </w:r>
    </w:p>
    <w:p w:rsidR="00EE7902" w:rsidRPr="00EE7902" w:rsidRDefault="00EE7902" w:rsidP="00EE7902">
      <w:pPr>
        <w:spacing w:after="0" w:line="240" w:lineRule="auto"/>
        <w:jc w:val="center"/>
        <w:rPr>
          <w:rFonts w:ascii="Arial" w:hAnsi="Arial" w:cs="Arial"/>
          <w:b/>
          <w:sz w:val="36"/>
          <w:szCs w:val="36"/>
        </w:rPr>
      </w:pPr>
      <w:r w:rsidRPr="00EE7902">
        <w:rPr>
          <w:rFonts w:ascii="Arial" w:hAnsi="Arial" w:cs="Arial"/>
          <w:b/>
          <w:sz w:val="36"/>
          <w:szCs w:val="36"/>
        </w:rPr>
        <w:t>Bona Fide Hedge Exemptions</w:t>
      </w:r>
    </w:p>
    <w:p w:rsidR="00EE7902" w:rsidRPr="00EE7902" w:rsidRDefault="00EE7902" w:rsidP="00EE7902">
      <w:pPr>
        <w:spacing w:after="0" w:line="240" w:lineRule="auto"/>
        <w:jc w:val="center"/>
        <w:rPr>
          <w:rFonts w:ascii="Arial" w:hAnsi="Arial" w:cs="Arial"/>
          <w:b/>
          <w:sz w:val="24"/>
          <w:szCs w:val="36"/>
        </w:rPr>
      </w:pPr>
      <w:r w:rsidRPr="00EE7902">
        <w:rPr>
          <w:rFonts w:ascii="Arial" w:hAnsi="Arial" w:cs="Arial"/>
          <w:noProof/>
          <w:sz w:val="24"/>
        </w:rPr>
        <w:drawing>
          <wp:inline distT="0" distB="0" distL="0" distR="0" wp14:anchorId="05602871" wp14:editId="54FC1EC3">
            <wp:extent cx="1066800" cy="9620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6800" cy="962025"/>
                    </a:xfrm>
                    <a:prstGeom prst="rect">
                      <a:avLst/>
                    </a:prstGeom>
                    <a:noFill/>
                    <a:ln>
                      <a:noFill/>
                    </a:ln>
                  </pic:spPr>
                </pic:pic>
              </a:graphicData>
            </a:graphic>
          </wp:inline>
        </w:drawing>
      </w:r>
    </w:p>
    <w:p w:rsidR="00EE7902" w:rsidRPr="00EE7902" w:rsidRDefault="00EE7902" w:rsidP="00EE7902">
      <w:pPr>
        <w:spacing w:after="0" w:line="240" w:lineRule="auto"/>
        <w:rPr>
          <w:rFonts w:ascii="Arial" w:hAnsi="Arial" w:cs="Arial"/>
          <w:sz w:val="20"/>
          <w:szCs w:val="20"/>
        </w:rPr>
      </w:pPr>
      <w:r w:rsidRPr="00EE7902">
        <w:rPr>
          <w:rFonts w:ascii="Arial" w:hAnsi="Arial" w:cs="Arial"/>
          <w:b/>
          <w:bCs/>
          <w:sz w:val="20"/>
          <w:szCs w:val="20"/>
        </w:rPr>
        <w:t>NOTICE:</w:t>
      </w:r>
      <w:r w:rsidRPr="00EE7902">
        <w:rPr>
          <w:rFonts w:ascii="Arial" w:hAnsi="Arial" w:cs="Arial"/>
          <w:sz w:val="20"/>
          <w:szCs w:val="20"/>
        </w:rPr>
        <w:t>  Failure to file a report required by the Commodity Exchange Act (“CEA” or the “Act”)</w:t>
      </w:r>
      <w:r w:rsidRPr="00EE7902">
        <w:rPr>
          <w:rFonts w:ascii="Arial" w:hAnsi="Arial" w:cs="Arial"/>
          <w:sz w:val="20"/>
          <w:szCs w:val="20"/>
          <w:vertAlign w:val="superscript"/>
        </w:rPr>
        <w:footnoteReference w:id="1"/>
      </w:r>
      <w:r w:rsidRPr="00EE7902">
        <w:rPr>
          <w:rFonts w:ascii="Arial" w:hAnsi="Arial" w:cs="Arial"/>
          <w:sz w:val="20"/>
          <w:szCs w:val="20"/>
        </w:rPr>
        <w:t xml:space="preserve"> and the regulations thereunder,</w:t>
      </w:r>
      <w:r w:rsidRPr="00EE7902">
        <w:rPr>
          <w:rFonts w:ascii="Arial" w:hAnsi="Arial" w:cs="Arial"/>
          <w:sz w:val="20"/>
          <w:szCs w:val="20"/>
          <w:vertAlign w:val="superscript"/>
        </w:rPr>
        <w:footnoteReference w:id="2"/>
      </w:r>
      <w:r w:rsidRPr="00EE7902">
        <w:rPr>
          <w:rFonts w:ascii="Arial" w:hAnsi="Arial" w:cs="Arial"/>
          <w:sz w:val="20"/>
          <w:szCs w:val="20"/>
        </w:rPr>
        <w:t xml:space="preserve">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USC 9), § 9(a)(3) of the Act (7 U.S.C. 13(a)(3)), and/or § 1001 of Title 18, Crimes and Criminal Procedure (18 U.S.C. 1001) and (b) result in punishment by fine or imprisonment, or both.</w:t>
      </w:r>
    </w:p>
    <w:p w:rsidR="00EE7902" w:rsidRPr="00EE7902" w:rsidRDefault="00EE7902" w:rsidP="00EE7902">
      <w:pPr>
        <w:spacing w:after="0" w:line="240" w:lineRule="auto"/>
        <w:rPr>
          <w:rFonts w:ascii="Arial" w:hAnsi="Arial" w:cs="Arial"/>
          <w:sz w:val="20"/>
          <w:szCs w:val="20"/>
        </w:rPr>
      </w:pPr>
    </w:p>
    <w:p w:rsidR="00EE7902" w:rsidRPr="00EE7902" w:rsidRDefault="00EE7902" w:rsidP="00EE7902">
      <w:pPr>
        <w:spacing w:line="240" w:lineRule="auto"/>
        <w:jc w:val="center"/>
        <w:rPr>
          <w:rFonts w:ascii="Arial" w:hAnsi="Arial" w:cs="Arial"/>
          <w:b/>
          <w:sz w:val="20"/>
          <w:szCs w:val="20"/>
        </w:rPr>
      </w:pPr>
      <w:r w:rsidRPr="00EE7902">
        <w:rPr>
          <w:rFonts w:ascii="Arial" w:hAnsi="Arial" w:cs="Arial"/>
          <w:b/>
          <w:sz w:val="20"/>
          <w:szCs w:val="20"/>
        </w:rPr>
        <w:t>PRIVACY ACT NOTICE</w:t>
      </w:r>
    </w:p>
    <w:p w:rsidR="00EE7902" w:rsidRPr="00EE7902" w:rsidRDefault="00EE7902" w:rsidP="00EE7902">
      <w:pPr>
        <w:spacing w:line="240" w:lineRule="auto"/>
        <w:rPr>
          <w:rFonts w:ascii="Arial" w:hAnsi="Arial" w:cs="Arial"/>
          <w:sz w:val="20"/>
          <w:szCs w:val="20"/>
        </w:rPr>
      </w:pPr>
      <w:r w:rsidRPr="00EE7902">
        <w:rPr>
          <w:rFonts w:ascii="Arial" w:hAnsi="Arial" w:cs="Arial"/>
          <w:sz w:val="20"/>
          <w:szCs w:val="20"/>
        </w:rPr>
        <w:t xml:space="preserve">The Commission’s authority for soliciting this information is granted in sections 4a, </w:t>
      </w:r>
      <w:proofErr w:type="gramStart"/>
      <w:r w:rsidRPr="00EE7902">
        <w:rPr>
          <w:rFonts w:ascii="Arial" w:hAnsi="Arial" w:cs="Arial"/>
          <w:sz w:val="20"/>
          <w:szCs w:val="20"/>
        </w:rPr>
        <w:t>4c(</w:t>
      </w:r>
      <w:proofErr w:type="gramEnd"/>
      <w:r w:rsidRPr="00EE7902">
        <w:rPr>
          <w:rFonts w:ascii="Arial" w:hAnsi="Arial" w:cs="Arial"/>
          <w:sz w:val="20"/>
          <w:szCs w:val="20"/>
        </w:rPr>
        <w:t>b), 4i, 4t and 8a(5) of the CEA and related regulations (</w:t>
      </w:r>
      <w:r w:rsidRPr="00EE7902">
        <w:rPr>
          <w:rFonts w:ascii="Arial" w:hAnsi="Arial" w:cs="Arial"/>
          <w:sz w:val="20"/>
          <w:szCs w:val="20"/>
          <w:u w:val="single"/>
        </w:rPr>
        <w:t>see</w:t>
      </w:r>
      <w:r w:rsidRPr="00EE7902">
        <w:rPr>
          <w:rFonts w:ascii="Arial" w:hAnsi="Arial" w:cs="Arial"/>
          <w:sz w:val="20"/>
          <w:szCs w:val="20"/>
        </w:rPr>
        <w:t xml:space="preserve">, </w:t>
      </w:r>
      <w:r w:rsidRPr="00EE7902">
        <w:rPr>
          <w:rFonts w:ascii="Arial" w:hAnsi="Arial" w:cs="Arial"/>
          <w:sz w:val="20"/>
          <w:szCs w:val="20"/>
          <w:u w:val="single"/>
        </w:rPr>
        <w:t>e.g.</w:t>
      </w:r>
      <w:r w:rsidRPr="00EE7902">
        <w:rPr>
          <w:rFonts w:ascii="Arial" w:hAnsi="Arial" w:cs="Arial"/>
          <w:sz w:val="20"/>
          <w:szCs w:val="20"/>
        </w:rPr>
        <w:t>, 17 CFR § 19.00). The information solicited from entities and individuals engaged in activities covered by the CEA is required to be provided to the CFTC, and failure to comply may result in the imposition of criminal or administrative sanctions (</w:t>
      </w:r>
      <w:r w:rsidRPr="00EE7902">
        <w:rPr>
          <w:rFonts w:ascii="Arial" w:hAnsi="Arial" w:cs="Arial"/>
          <w:i/>
          <w:iCs/>
          <w:sz w:val="20"/>
          <w:szCs w:val="20"/>
        </w:rPr>
        <w:t>see</w:t>
      </w:r>
      <w:r w:rsidRPr="00EE7902">
        <w:rPr>
          <w:rFonts w:ascii="Arial" w:hAnsi="Arial" w:cs="Arial"/>
          <w:sz w:val="20"/>
          <w:szCs w:val="20"/>
        </w:rPr>
        <w:t>,</w:t>
      </w:r>
      <w:r w:rsidRPr="00EE7902">
        <w:rPr>
          <w:rFonts w:ascii="Arial" w:hAnsi="Arial" w:cs="Arial"/>
          <w:i/>
          <w:iCs/>
          <w:sz w:val="20"/>
          <w:szCs w:val="20"/>
        </w:rPr>
        <w:t xml:space="preserve"> </w:t>
      </w:r>
      <w:r w:rsidRPr="00EE7902">
        <w:rPr>
          <w:rFonts w:ascii="Arial" w:hAnsi="Arial" w:cs="Arial"/>
          <w:iCs/>
          <w:sz w:val="20"/>
          <w:szCs w:val="20"/>
          <w:u w:val="single"/>
        </w:rPr>
        <w:t>e.g.</w:t>
      </w:r>
      <w:r w:rsidRPr="00EE7902">
        <w:rPr>
          <w:rFonts w:ascii="Arial" w:hAnsi="Arial" w:cs="Arial"/>
          <w:sz w:val="20"/>
          <w:szCs w:val="20"/>
        </w:rPr>
        <w:t xml:space="preserve">, 7 U.S.C. §§ 9 and 13a-1, and/or 18 U.S.C. 1001). The information requested is most commonly used in the Commission’s market and trade practice surveillance activities to (a) provide information concerning the size and composition of the commodity derivatives markets, (b) permit the Commission to monitor and enforce speculative position limits and (c) enhance the Commission’s trade surveillance data. The requested information may be used by the Commission in the conduct of investigations and litigation and, in limited circumstances, may be made public in accordance with provisions of the CEA and other applicable laws. It may also be disclosed to other government agencies and to contract markets to meet responsibilities assigned to them by law. The information will be maintained in, and any additional disclosures will be made in accordance with, the CFTC System of Records Notices, available on </w:t>
      </w:r>
      <w:hyperlink r:id="rId8" w:history="1">
        <w:r w:rsidRPr="00EE7902">
          <w:rPr>
            <w:rFonts w:ascii="Arial" w:hAnsi="Arial" w:cs="Arial"/>
            <w:color w:val="0000FF"/>
            <w:sz w:val="20"/>
            <w:szCs w:val="20"/>
            <w:u w:val="single"/>
          </w:rPr>
          <w:t>www.cftc.gov</w:t>
        </w:r>
      </w:hyperlink>
      <w:r w:rsidRPr="00EE7902">
        <w:rPr>
          <w:rFonts w:ascii="Arial" w:hAnsi="Arial" w:cs="Arial"/>
          <w:sz w:val="20"/>
          <w:szCs w:val="20"/>
        </w:rPr>
        <w:t>.</w:t>
      </w:r>
    </w:p>
    <w:p w:rsidR="00EE7902" w:rsidRPr="00EE7902" w:rsidRDefault="00EE7902" w:rsidP="00EE7902">
      <w:pPr>
        <w:rPr>
          <w:rFonts w:ascii="Arial" w:hAnsi="Arial" w:cs="Arial"/>
          <w:b/>
          <w:sz w:val="24"/>
          <w:szCs w:val="20"/>
          <w:u w:val="single"/>
        </w:rPr>
      </w:pPr>
      <w:r w:rsidRPr="00EE7902">
        <w:rPr>
          <w:rFonts w:ascii="Arial" w:hAnsi="Arial" w:cs="Arial"/>
          <w:b/>
          <w:sz w:val="24"/>
          <w:szCs w:val="20"/>
          <w:u w:val="single"/>
        </w:rPr>
        <w:br w:type="page"/>
      </w:r>
    </w:p>
    <w:p w:rsidR="00EE7902" w:rsidRPr="00EE7902" w:rsidRDefault="00EE7902" w:rsidP="00EE7902">
      <w:pPr>
        <w:spacing w:after="0" w:line="240" w:lineRule="auto"/>
        <w:jc w:val="center"/>
        <w:rPr>
          <w:rFonts w:ascii="Arial" w:hAnsi="Arial" w:cs="Arial"/>
          <w:b/>
          <w:sz w:val="24"/>
          <w:szCs w:val="20"/>
          <w:u w:val="single"/>
        </w:rPr>
      </w:pPr>
    </w:p>
    <w:p w:rsidR="00EE7902" w:rsidRPr="00EE7902" w:rsidRDefault="00EE7902" w:rsidP="00EE7902">
      <w:pPr>
        <w:spacing w:after="0" w:line="240" w:lineRule="auto"/>
        <w:jc w:val="center"/>
        <w:rPr>
          <w:rFonts w:ascii="Arial" w:hAnsi="Arial" w:cs="Arial"/>
          <w:b/>
          <w:sz w:val="24"/>
          <w:szCs w:val="20"/>
          <w:u w:val="single"/>
        </w:rPr>
      </w:pPr>
      <w:r w:rsidRPr="00EE7902">
        <w:rPr>
          <w:rFonts w:ascii="Arial" w:hAnsi="Arial" w:cs="Arial"/>
          <w:b/>
          <w:sz w:val="24"/>
          <w:szCs w:val="20"/>
          <w:u w:val="single"/>
        </w:rPr>
        <w:t>BACKGROUND &amp; INSTRUCTIONS</w:t>
      </w:r>
    </w:p>
    <w:p w:rsidR="00EE7902" w:rsidRPr="00EE7902" w:rsidRDefault="00EE7902" w:rsidP="00EE7902">
      <w:pPr>
        <w:spacing w:after="0" w:line="240" w:lineRule="auto"/>
        <w:rPr>
          <w:rFonts w:ascii="Arial" w:hAnsi="Arial" w:cs="Arial"/>
          <w:sz w:val="20"/>
          <w:szCs w:val="20"/>
        </w:rPr>
      </w:pPr>
      <w:r w:rsidRPr="00EE7902">
        <w:rPr>
          <w:rFonts w:ascii="Arial" w:hAnsi="Arial" w:cs="Arial"/>
          <w:sz w:val="20"/>
          <w:szCs w:val="20"/>
        </w:rPr>
        <w:t xml:space="preserve"> </w:t>
      </w:r>
    </w:p>
    <w:p w:rsidR="00EE7902" w:rsidRPr="00EE7902" w:rsidRDefault="00EE7902" w:rsidP="00EE7902">
      <w:pPr>
        <w:spacing w:after="0"/>
        <w:rPr>
          <w:rFonts w:ascii="Arial" w:hAnsi="Arial" w:cs="Arial"/>
          <w:sz w:val="20"/>
          <w:szCs w:val="20"/>
        </w:rPr>
      </w:pPr>
      <w:r w:rsidRPr="00EE7902">
        <w:rPr>
          <w:rFonts w:ascii="Arial" w:hAnsi="Arial" w:cs="Arial"/>
          <w:sz w:val="20"/>
          <w:szCs w:val="20"/>
        </w:rPr>
        <w:t>17 CFR § 19.00(a) requires each person subject to the provisions of this paragraph to report its cash positions</w:t>
      </w:r>
      <w:r w:rsidRPr="00EE7902">
        <w:rPr>
          <w:rFonts w:ascii="Times New Roman" w:hAnsi="Times New Roman"/>
          <w:sz w:val="24"/>
        </w:rPr>
        <w:t xml:space="preserve"> </w:t>
      </w:r>
      <w:r w:rsidRPr="00EE7902">
        <w:rPr>
          <w:rFonts w:ascii="Arial" w:hAnsi="Arial" w:cs="Arial"/>
          <w:sz w:val="20"/>
          <w:szCs w:val="20"/>
        </w:rPr>
        <w:t xml:space="preserve">to the Commission by filing series ’04 reports.  17 CFR § 19.00(b) specifies the manner of reporting on Form ’04 series.  17 CFR § 19.01 (a) (4) specifies the information required on Form 704.  17 CFR § 150.7 specifies that a person shall file Form 704 with the Commission at least ten days in advance of the date such exemption is needed.  As appropriate, please follow the instructions below to generate and submit the required report or filing.  Unless the context requires otherwise, the terms used herein shall have the same meaning as ascribed in parts 15 to 21 of the Commission’s regulations.  </w:t>
      </w:r>
    </w:p>
    <w:p w:rsidR="00EE7902" w:rsidRPr="00EE7902" w:rsidRDefault="00EE7902" w:rsidP="00EE7902">
      <w:pPr>
        <w:spacing w:after="0" w:line="240" w:lineRule="auto"/>
        <w:rPr>
          <w:rFonts w:ascii="Arial" w:hAnsi="Arial" w:cs="Arial"/>
          <w:b/>
          <w:sz w:val="20"/>
          <w:szCs w:val="20"/>
          <w:u w:val="single"/>
        </w:rPr>
      </w:pPr>
      <w:r w:rsidRPr="00EE7902">
        <w:rPr>
          <w:rFonts w:ascii="Arial" w:hAnsi="Arial" w:cs="Arial"/>
          <w:b/>
          <w:sz w:val="20"/>
          <w:szCs w:val="20"/>
          <w:u w:val="single"/>
        </w:rPr>
        <w:t>Complete Form 704 as follows:</w:t>
      </w:r>
    </w:p>
    <w:p w:rsidR="00EE7902" w:rsidRPr="00EE7902" w:rsidRDefault="00EE7902" w:rsidP="00EE7902">
      <w:pPr>
        <w:spacing w:after="0" w:line="240" w:lineRule="auto"/>
        <w:ind w:left="4320" w:hanging="3600"/>
        <w:rPr>
          <w:rFonts w:ascii="Arial" w:hAnsi="Arial" w:cs="Arial"/>
          <w:sz w:val="20"/>
          <w:szCs w:val="20"/>
        </w:rPr>
      </w:pPr>
      <w:proofErr w:type="gramStart"/>
      <w:r w:rsidRPr="00EE7902">
        <w:rPr>
          <w:rFonts w:ascii="Arial" w:hAnsi="Arial" w:cs="Arial"/>
          <w:sz w:val="20"/>
          <w:szCs w:val="20"/>
        </w:rPr>
        <w:t>General &amp;</w:t>
      </w:r>
      <w:proofErr w:type="gramEnd"/>
      <w:r w:rsidRPr="00EE7902">
        <w:rPr>
          <w:rFonts w:ascii="Arial" w:hAnsi="Arial" w:cs="Arial"/>
          <w:sz w:val="20"/>
          <w:szCs w:val="20"/>
        </w:rPr>
        <w:t xml:space="preserve"> Identifying Information:</w:t>
      </w:r>
      <w:r w:rsidRPr="00EE7902">
        <w:rPr>
          <w:rFonts w:ascii="Arial" w:hAnsi="Arial" w:cs="Arial"/>
          <w:sz w:val="20"/>
          <w:szCs w:val="20"/>
        </w:rPr>
        <w:tab/>
        <w:t>All filers.</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Section A:</w:t>
      </w:r>
      <w:r w:rsidRPr="00EE7902">
        <w:rPr>
          <w:rFonts w:ascii="Arial" w:hAnsi="Arial" w:cs="Arial"/>
          <w:sz w:val="20"/>
          <w:szCs w:val="20"/>
        </w:rPr>
        <w:tab/>
        <w:t>Initial anticipatory, § 150.7 (d), and supplemental, § 150.7 (e) for change from initial anticipatory</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Anticipated Activity</w:t>
      </w:r>
      <w:r w:rsidRPr="00EE7902">
        <w:rPr>
          <w:rFonts w:ascii="Arial" w:hAnsi="Arial" w:cs="Arial"/>
          <w:sz w:val="20"/>
          <w:szCs w:val="20"/>
        </w:rPr>
        <w:tab/>
        <w:t>§ 150.1 BFH definition 3(C), 4(A)</w:t>
      </w:r>
      <w:proofErr w:type="gramStart"/>
      <w:r w:rsidRPr="00EE7902">
        <w:rPr>
          <w:rFonts w:ascii="Arial" w:hAnsi="Arial" w:cs="Arial"/>
          <w:sz w:val="20"/>
          <w:szCs w:val="20"/>
        </w:rPr>
        <w:t>,4</w:t>
      </w:r>
      <w:proofErr w:type="gramEnd"/>
      <w:r w:rsidRPr="00EE7902">
        <w:rPr>
          <w:rFonts w:ascii="Arial" w:hAnsi="Arial" w:cs="Arial"/>
          <w:sz w:val="20"/>
          <w:szCs w:val="20"/>
        </w:rPr>
        <w:t>(C), 4(D) or (5)</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Cash Commodity </w:t>
      </w:r>
      <w:r w:rsidRPr="00EE7902">
        <w:rPr>
          <w:rFonts w:ascii="Arial" w:hAnsi="Arial" w:cs="Arial"/>
          <w:sz w:val="20"/>
          <w:szCs w:val="20"/>
        </w:rPr>
        <w:tab/>
        <w:t>§ 150.7 (d</w:t>
      </w:r>
      <w:proofErr w:type="gramStart"/>
      <w:r w:rsidRPr="00EE7902">
        <w:rPr>
          <w:rFonts w:ascii="Arial" w:hAnsi="Arial" w:cs="Arial"/>
          <w:sz w:val="20"/>
          <w:szCs w:val="20"/>
        </w:rPr>
        <w:t>)(</w:t>
      </w:r>
      <w:proofErr w:type="gramEnd"/>
      <w:r w:rsidRPr="00EE7902">
        <w:rPr>
          <w:rFonts w:ascii="Arial" w:hAnsi="Arial" w:cs="Arial"/>
          <w:sz w:val="20"/>
          <w:szCs w:val="20"/>
        </w:rPr>
        <w:t>1)(i)</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Units</w:t>
      </w:r>
      <w:r w:rsidRPr="00EE7902">
        <w:rPr>
          <w:rFonts w:ascii="Arial" w:hAnsi="Arial" w:cs="Arial"/>
          <w:sz w:val="20"/>
          <w:szCs w:val="20"/>
        </w:rPr>
        <w:tab/>
      </w:r>
      <w:proofErr w:type="spellStart"/>
      <w:r w:rsidRPr="00EE7902">
        <w:rPr>
          <w:rFonts w:ascii="Arial" w:hAnsi="Arial" w:cs="Arial"/>
          <w:sz w:val="20"/>
          <w:szCs w:val="20"/>
        </w:rPr>
        <w:t>Units</w:t>
      </w:r>
      <w:proofErr w:type="spellEnd"/>
      <w:r w:rsidRPr="00EE7902">
        <w:rPr>
          <w:rFonts w:ascii="Arial" w:hAnsi="Arial" w:cs="Arial"/>
          <w:sz w:val="20"/>
          <w:szCs w:val="20"/>
        </w:rPr>
        <w:t xml:space="preserve"> of measure for cash commodity being hedged</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CRFC</w:t>
      </w:r>
      <w:r w:rsidRPr="00EE7902">
        <w:rPr>
          <w:rFonts w:ascii="Arial" w:hAnsi="Arial" w:cs="Arial"/>
          <w:sz w:val="20"/>
          <w:szCs w:val="20"/>
        </w:rPr>
        <w:tab/>
        <w:t>Corresponding Core Referenced Futures Contract</w:t>
      </w:r>
      <w:r w:rsidRPr="00EE7902">
        <w:rPr>
          <w:rFonts w:ascii="Arial" w:hAnsi="Arial" w:cs="Arial"/>
          <w:sz w:val="20"/>
          <w:szCs w:val="20"/>
        </w:rPr>
        <w:tab/>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Cash commodity and CRFC </w:t>
      </w:r>
      <w:r w:rsidRPr="00EE7902">
        <w:rPr>
          <w:rFonts w:ascii="Arial" w:hAnsi="Arial" w:cs="Arial"/>
          <w:sz w:val="20"/>
          <w:szCs w:val="20"/>
        </w:rPr>
        <w:tab/>
        <w:t>§ 150.7 (d</w:t>
      </w:r>
      <w:proofErr w:type="gramStart"/>
      <w:r w:rsidRPr="00EE7902">
        <w:rPr>
          <w:rFonts w:ascii="Arial" w:hAnsi="Arial" w:cs="Arial"/>
          <w:sz w:val="20"/>
          <w:szCs w:val="20"/>
        </w:rPr>
        <w:t>)(</w:t>
      </w:r>
      <w:proofErr w:type="gramEnd"/>
      <w:r w:rsidRPr="00EE7902">
        <w:rPr>
          <w:rFonts w:ascii="Arial" w:hAnsi="Arial" w:cs="Arial"/>
          <w:sz w:val="20"/>
          <w:szCs w:val="20"/>
        </w:rPr>
        <w:t>1)(iii) and § 150.2 (d) Table of CRFCs</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Annual Activity last three years</w:t>
      </w:r>
      <w:r w:rsidRPr="00EE7902">
        <w:rPr>
          <w:rFonts w:ascii="Arial" w:hAnsi="Arial" w:cs="Arial"/>
          <w:sz w:val="20"/>
          <w:szCs w:val="20"/>
        </w:rPr>
        <w:tab/>
        <w:t>§ 150.7 (d</w:t>
      </w:r>
      <w:proofErr w:type="gramStart"/>
      <w:r w:rsidRPr="00EE7902">
        <w:rPr>
          <w:rFonts w:ascii="Arial" w:hAnsi="Arial" w:cs="Arial"/>
          <w:sz w:val="20"/>
          <w:szCs w:val="20"/>
        </w:rPr>
        <w:t>)(</w:t>
      </w:r>
      <w:proofErr w:type="gramEnd"/>
      <w:r w:rsidRPr="00EE7902">
        <w:rPr>
          <w:rFonts w:ascii="Arial" w:hAnsi="Arial" w:cs="Arial"/>
          <w:sz w:val="20"/>
          <w:szCs w:val="20"/>
        </w:rPr>
        <w:t>1)(iv)</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Specific Time Period Claimed</w:t>
      </w:r>
      <w:r w:rsidRPr="00EE7902">
        <w:rPr>
          <w:rFonts w:ascii="Arial" w:hAnsi="Arial" w:cs="Arial"/>
          <w:sz w:val="20"/>
          <w:szCs w:val="20"/>
        </w:rPr>
        <w:tab/>
        <w:t>§ 150.7 (d</w:t>
      </w:r>
      <w:proofErr w:type="gramStart"/>
      <w:r w:rsidRPr="00EE7902">
        <w:rPr>
          <w:rFonts w:ascii="Arial" w:hAnsi="Arial" w:cs="Arial"/>
          <w:sz w:val="20"/>
          <w:szCs w:val="20"/>
        </w:rPr>
        <w:t>)(</w:t>
      </w:r>
      <w:proofErr w:type="gramEnd"/>
      <w:r w:rsidRPr="00EE7902">
        <w:rPr>
          <w:rFonts w:ascii="Arial" w:hAnsi="Arial" w:cs="Arial"/>
          <w:sz w:val="20"/>
          <w:szCs w:val="20"/>
        </w:rPr>
        <w:t>1)(v)</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Anticipated for Specified Time</w:t>
      </w:r>
      <w:r w:rsidRPr="00EE7902">
        <w:rPr>
          <w:rFonts w:ascii="Arial" w:hAnsi="Arial" w:cs="Arial"/>
          <w:sz w:val="20"/>
          <w:szCs w:val="20"/>
        </w:rPr>
        <w:tab/>
        <w:t>§ 150.7 (d</w:t>
      </w:r>
      <w:proofErr w:type="gramStart"/>
      <w:r w:rsidRPr="00EE7902">
        <w:rPr>
          <w:rFonts w:ascii="Arial" w:hAnsi="Arial" w:cs="Arial"/>
          <w:sz w:val="20"/>
          <w:szCs w:val="20"/>
        </w:rPr>
        <w:t>)(</w:t>
      </w:r>
      <w:proofErr w:type="gramEnd"/>
      <w:r w:rsidRPr="00EE7902">
        <w:rPr>
          <w:rFonts w:ascii="Arial" w:hAnsi="Arial" w:cs="Arial"/>
          <w:sz w:val="20"/>
          <w:szCs w:val="20"/>
        </w:rPr>
        <w:t xml:space="preserve">1)(vi)    </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Fixed Price Forward Activity</w:t>
      </w:r>
      <w:r w:rsidRPr="00EE7902">
        <w:rPr>
          <w:rFonts w:ascii="Arial" w:hAnsi="Arial" w:cs="Arial"/>
          <w:sz w:val="20"/>
          <w:szCs w:val="20"/>
        </w:rPr>
        <w:tab/>
        <w:t>§ 150.7 (d</w:t>
      </w:r>
      <w:proofErr w:type="gramStart"/>
      <w:r w:rsidRPr="00EE7902">
        <w:rPr>
          <w:rFonts w:ascii="Arial" w:hAnsi="Arial" w:cs="Arial"/>
          <w:sz w:val="20"/>
          <w:szCs w:val="20"/>
        </w:rPr>
        <w:t>)(</w:t>
      </w:r>
      <w:proofErr w:type="gramEnd"/>
      <w:r w:rsidRPr="00EE7902">
        <w:rPr>
          <w:rFonts w:ascii="Arial" w:hAnsi="Arial" w:cs="Arial"/>
          <w:sz w:val="20"/>
          <w:szCs w:val="20"/>
        </w:rPr>
        <w:t>1)(vii)</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Unsold, Unfilled, Anticipated</w:t>
      </w:r>
      <w:r w:rsidRPr="00EE7902">
        <w:rPr>
          <w:rFonts w:ascii="Arial" w:hAnsi="Arial" w:cs="Arial"/>
          <w:sz w:val="20"/>
          <w:szCs w:val="20"/>
        </w:rPr>
        <w:tab/>
        <w:t>§ 150.7 (d</w:t>
      </w:r>
      <w:proofErr w:type="gramStart"/>
      <w:r w:rsidRPr="00EE7902">
        <w:rPr>
          <w:rFonts w:ascii="Arial" w:hAnsi="Arial" w:cs="Arial"/>
          <w:sz w:val="20"/>
          <w:szCs w:val="20"/>
        </w:rPr>
        <w:t>)(</w:t>
      </w:r>
      <w:proofErr w:type="gramEnd"/>
      <w:r w:rsidRPr="00EE7902">
        <w:rPr>
          <w:rFonts w:ascii="Arial" w:hAnsi="Arial" w:cs="Arial"/>
          <w:sz w:val="20"/>
          <w:szCs w:val="20"/>
        </w:rPr>
        <w:t>1)(viii)</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Maximum expected Hedge</w:t>
      </w:r>
      <w:r w:rsidRPr="00EE7902">
        <w:rPr>
          <w:rFonts w:ascii="Arial" w:hAnsi="Arial" w:cs="Arial"/>
          <w:sz w:val="20"/>
          <w:szCs w:val="20"/>
        </w:rPr>
        <w:tab/>
        <w:t>§ 150.7 (d</w:t>
      </w:r>
      <w:proofErr w:type="gramStart"/>
      <w:r w:rsidRPr="00EE7902">
        <w:rPr>
          <w:rFonts w:ascii="Arial" w:hAnsi="Arial" w:cs="Arial"/>
          <w:sz w:val="20"/>
          <w:szCs w:val="20"/>
        </w:rPr>
        <w:t>)(</w:t>
      </w:r>
      <w:proofErr w:type="gramEnd"/>
      <w:r w:rsidRPr="00EE7902">
        <w:rPr>
          <w:rFonts w:ascii="Arial" w:hAnsi="Arial" w:cs="Arial"/>
          <w:sz w:val="20"/>
          <w:szCs w:val="20"/>
        </w:rPr>
        <w:t>1)(ix)</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Section B:</w:t>
      </w:r>
      <w:r w:rsidRPr="00EE7902">
        <w:rPr>
          <w:rFonts w:ascii="Arial" w:hAnsi="Arial" w:cs="Arial"/>
          <w:sz w:val="20"/>
          <w:szCs w:val="20"/>
        </w:rPr>
        <w:tab/>
        <w:t xml:space="preserve">Monthly update of actuals and estimated utilization </w:t>
      </w:r>
      <w:proofErr w:type="gramStart"/>
      <w:r w:rsidRPr="00EE7902">
        <w:rPr>
          <w:rFonts w:ascii="Arial" w:hAnsi="Arial" w:cs="Arial"/>
          <w:sz w:val="20"/>
          <w:szCs w:val="20"/>
        </w:rPr>
        <w:t>of  the</w:t>
      </w:r>
      <w:proofErr w:type="gramEnd"/>
      <w:r w:rsidRPr="00EE7902">
        <w:rPr>
          <w:rFonts w:ascii="Arial" w:hAnsi="Arial" w:cs="Arial"/>
          <w:sz w:val="20"/>
          <w:szCs w:val="20"/>
        </w:rPr>
        <w:t xml:space="preserve"> anticipatory hedge in the initial statement</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Anticipated Activity</w:t>
      </w:r>
      <w:r w:rsidRPr="00EE7902">
        <w:rPr>
          <w:rFonts w:ascii="Arial" w:hAnsi="Arial" w:cs="Arial"/>
          <w:sz w:val="20"/>
          <w:szCs w:val="20"/>
        </w:rPr>
        <w:tab/>
        <w:t>§ 150.1 BFH definition 3(C), 4(A)</w:t>
      </w:r>
      <w:proofErr w:type="gramStart"/>
      <w:r w:rsidRPr="00EE7902">
        <w:rPr>
          <w:rFonts w:ascii="Arial" w:hAnsi="Arial" w:cs="Arial"/>
          <w:sz w:val="20"/>
          <w:szCs w:val="20"/>
        </w:rPr>
        <w:t>,4</w:t>
      </w:r>
      <w:proofErr w:type="gramEnd"/>
      <w:r w:rsidRPr="00EE7902">
        <w:rPr>
          <w:rFonts w:ascii="Arial" w:hAnsi="Arial" w:cs="Arial"/>
          <w:sz w:val="20"/>
          <w:szCs w:val="20"/>
        </w:rPr>
        <w:t>(C), 4(D) or (5)</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Cash Commodity </w:t>
      </w:r>
      <w:r w:rsidRPr="00EE7902">
        <w:rPr>
          <w:rFonts w:ascii="Arial" w:hAnsi="Arial" w:cs="Arial"/>
          <w:sz w:val="20"/>
          <w:szCs w:val="20"/>
        </w:rPr>
        <w:tab/>
        <w:t>§ 150.7 (f</w:t>
      </w:r>
      <w:proofErr w:type="gramStart"/>
      <w:r w:rsidRPr="00EE7902">
        <w:rPr>
          <w:rFonts w:ascii="Arial" w:hAnsi="Arial" w:cs="Arial"/>
          <w:sz w:val="20"/>
          <w:szCs w:val="20"/>
        </w:rPr>
        <w:t>)(</w:t>
      </w:r>
      <w:proofErr w:type="gramEnd"/>
      <w:r w:rsidRPr="00EE7902">
        <w:rPr>
          <w:rFonts w:ascii="Arial" w:hAnsi="Arial" w:cs="Arial"/>
          <w:sz w:val="20"/>
          <w:szCs w:val="20"/>
        </w:rPr>
        <w:t>1)(i)</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Units</w:t>
      </w:r>
      <w:r w:rsidRPr="00EE7902">
        <w:rPr>
          <w:rFonts w:ascii="Arial" w:hAnsi="Arial" w:cs="Arial"/>
          <w:sz w:val="20"/>
          <w:szCs w:val="20"/>
        </w:rPr>
        <w:tab/>
      </w:r>
      <w:proofErr w:type="spellStart"/>
      <w:r w:rsidRPr="00EE7902">
        <w:rPr>
          <w:rFonts w:ascii="Arial" w:hAnsi="Arial" w:cs="Arial"/>
          <w:sz w:val="20"/>
          <w:szCs w:val="20"/>
        </w:rPr>
        <w:t>Units</w:t>
      </w:r>
      <w:proofErr w:type="spellEnd"/>
      <w:r w:rsidRPr="00EE7902">
        <w:rPr>
          <w:rFonts w:ascii="Arial" w:hAnsi="Arial" w:cs="Arial"/>
          <w:sz w:val="20"/>
          <w:szCs w:val="20"/>
        </w:rPr>
        <w:t xml:space="preserve"> of measure for cash commodity being hedged</w:t>
      </w:r>
      <w:r w:rsidRPr="00EE7902">
        <w:rPr>
          <w:rFonts w:ascii="Arial" w:hAnsi="Arial" w:cs="Arial"/>
          <w:sz w:val="20"/>
          <w:szCs w:val="20"/>
        </w:rPr>
        <w:tab/>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Cash commodity and CRFC </w:t>
      </w:r>
      <w:r w:rsidRPr="00EE7902">
        <w:rPr>
          <w:rFonts w:ascii="Arial" w:hAnsi="Arial" w:cs="Arial"/>
          <w:sz w:val="20"/>
          <w:szCs w:val="20"/>
        </w:rPr>
        <w:tab/>
        <w:t>§ 150.7 (f</w:t>
      </w:r>
      <w:proofErr w:type="gramStart"/>
      <w:r w:rsidRPr="00EE7902">
        <w:rPr>
          <w:rFonts w:ascii="Arial" w:hAnsi="Arial" w:cs="Arial"/>
          <w:sz w:val="20"/>
          <w:szCs w:val="20"/>
        </w:rPr>
        <w:t>)(</w:t>
      </w:r>
      <w:proofErr w:type="gramEnd"/>
      <w:r w:rsidRPr="00EE7902">
        <w:rPr>
          <w:rFonts w:ascii="Arial" w:hAnsi="Arial" w:cs="Arial"/>
          <w:sz w:val="20"/>
          <w:szCs w:val="20"/>
        </w:rPr>
        <w:t>1)(iii)</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Activity for the reporting month</w:t>
      </w:r>
      <w:r w:rsidRPr="00EE7902">
        <w:rPr>
          <w:rFonts w:ascii="Arial" w:hAnsi="Arial" w:cs="Arial"/>
          <w:sz w:val="20"/>
          <w:szCs w:val="20"/>
        </w:rPr>
        <w:tab/>
        <w:t>§ 150.7 (f</w:t>
      </w:r>
      <w:proofErr w:type="gramStart"/>
      <w:r w:rsidRPr="00EE7902">
        <w:rPr>
          <w:rFonts w:ascii="Arial" w:hAnsi="Arial" w:cs="Arial"/>
          <w:sz w:val="20"/>
          <w:szCs w:val="20"/>
        </w:rPr>
        <w:t>)(</w:t>
      </w:r>
      <w:proofErr w:type="gramEnd"/>
      <w:r w:rsidRPr="00EE7902">
        <w:rPr>
          <w:rFonts w:ascii="Arial" w:hAnsi="Arial" w:cs="Arial"/>
          <w:sz w:val="20"/>
          <w:szCs w:val="20"/>
        </w:rPr>
        <w:t>1)(iv)</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Cumulative activity</w:t>
      </w:r>
      <w:r w:rsidRPr="00EE7902">
        <w:rPr>
          <w:rFonts w:ascii="Arial" w:hAnsi="Arial" w:cs="Arial"/>
          <w:sz w:val="20"/>
          <w:szCs w:val="20"/>
        </w:rPr>
        <w:tab/>
        <w:t>§ 150.7 (f</w:t>
      </w:r>
      <w:proofErr w:type="gramStart"/>
      <w:r w:rsidRPr="00EE7902">
        <w:rPr>
          <w:rFonts w:ascii="Arial" w:hAnsi="Arial" w:cs="Arial"/>
          <w:sz w:val="20"/>
          <w:szCs w:val="20"/>
        </w:rPr>
        <w:t>)(</w:t>
      </w:r>
      <w:proofErr w:type="gramEnd"/>
      <w:r w:rsidRPr="00EE7902">
        <w:rPr>
          <w:rFonts w:ascii="Arial" w:hAnsi="Arial" w:cs="Arial"/>
          <w:sz w:val="20"/>
          <w:szCs w:val="20"/>
        </w:rPr>
        <w:t>1)(v)</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Estimated remaining activity</w:t>
      </w:r>
      <w:r w:rsidRPr="00EE7902">
        <w:rPr>
          <w:rFonts w:ascii="Arial" w:hAnsi="Arial" w:cs="Arial"/>
          <w:sz w:val="20"/>
          <w:szCs w:val="20"/>
        </w:rPr>
        <w:tab/>
        <w:t xml:space="preserve">§ 150.7 </w:t>
      </w:r>
      <w:proofErr w:type="spellStart"/>
      <w:r w:rsidRPr="00EE7902">
        <w:rPr>
          <w:rFonts w:ascii="Arial" w:hAnsi="Arial" w:cs="Arial"/>
          <w:sz w:val="20"/>
          <w:szCs w:val="20"/>
        </w:rPr>
        <w:t>ff</w:t>
      </w:r>
      <w:proofErr w:type="spellEnd"/>
      <w:proofErr w:type="gramStart"/>
      <w:r w:rsidRPr="00EE7902">
        <w:rPr>
          <w:rFonts w:ascii="Arial" w:hAnsi="Arial" w:cs="Arial"/>
          <w:sz w:val="20"/>
          <w:szCs w:val="20"/>
        </w:rPr>
        <w:t>)(</w:t>
      </w:r>
      <w:proofErr w:type="gramEnd"/>
      <w:r w:rsidRPr="00EE7902">
        <w:rPr>
          <w:rFonts w:ascii="Arial" w:hAnsi="Arial" w:cs="Arial"/>
          <w:sz w:val="20"/>
          <w:szCs w:val="20"/>
        </w:rPr>
        <w:t xml:space="preserve">1)(vi)    </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Fixed Price forward for Month</w:t>
      </w:r>
      <w:r w:rsidRPr="00EE7902">
        <w:rPr>
          <w:rFonts w:ascii="Arial" w:hAnsi="Arial" w:cs="Arial"/>
          <w:sz w:val="20"/>
          <w:szCs w:val="20"/>
        </w:rPr>
        <w:tab/>
        <w:t>§ 150.7 (f</w:t>
      </w:r>
      <w:proofErr w:type="gramStart"/>
      <w:r w:rsidRPr="00EE7902">
        <w:rPr>
          <w:rFonts w:ascii="Arial" w:hAnsi="Arial" w:cs="Arial"/>
          <w:sz w:val="20"/>
          <w:szCs w:val="20"/>
        </w:rPr>
        <w:t>)(</w:t>
      </w:r>
      <w:proofErr w:type="gramEnd"/>
      <w:r w:rsidRPr="00EE7902">
        <w:rPr>
          <w:rFonts w:ascii="Arial" w:hAnsi="Arial" w:cs="Arial"/>
          <w:sz w:val="20"/>
          <w:szCs w:val="20"/>
        </w:rPr>
        <w:t>1)(vii)</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Remaining anticipated</w:t>
      </w:r>
      <w:r w:rsidRPr="00EE7902">
        <w:rPr>
          <w:rFonts w:ascii="Arial" w:hAnsi="Arial" w:cs="Arial"/>
          <w:sz w:val="20"/>
          <w:szCs w:val="20"/>
        </w:rPr>
        <w:tab/>
        <w:t>§ 150.7 (f</w:t>
      </w:r>
      <w:proofErr w:type="gramStart"/>
      <w:r w:rsidRPr="00EE7902">
        <w:rPr>
          <w:rFonts w:ascii="Arial" w:hAnsi="Arial" w:cs="Arial"/>
          <w:sz w:val="20"/>
          <w:szCs w:val="20"/>
        </w:rPr>
        <w:t>)(</w:t>
      </w:r>
      <w:proofErr w:type="gramEnd"/>
      <w:r w:rsidRPr="00EE7902">
        <w:rPr>
          <w:rFonts w:ascii="Arial" w:hAnsi="Arial" w:cs="Arial"/>
          <w:sz w:val="20"/>
          <w:szCs w:val="20"/>
        </w:rPr>
        <w:t>1)(viii)</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 xml:space="preserve">    Remaining maximum Hedge</w:t>
      </w:r>
      <w:r w:rsidRPr="00EE7902">
        <w:rPr>
          <w:rFonts w:ascii="Arial" w:hAnsi="Arial" w:cs="Arial"/>
          <w:sz w:val="20"/>
          <w:szCs w:val="20"/>
        </w:rPr>
        <w:tab/>
        <w:t>§ 150.7 (f</w:t>
      </w:r>
      <w:proofErr w:type="gramStart"/>
      <w:r w:rsidRPr="00EE7902">
        <w:rPr>
          <w:rFonts w:ascii="Arial" w:hAnsi="Arial" w:cs="Arial"/>
          <w:sz w:val="20"/>
          <w:szCs w:val="20"/>
        </w:rPr>
        <w:t>)(</w:t>
      </w:r>
      <w:proofErr w:type="gramEnd"/>
      <w:r w:rsidRPr="00EE7902">
        <w:rPr>
          <w:rFonts w:ascii="Arial" w:hAnsi="Arial" w:cs="Arial"/>
          <w:sz w:val="20"/>
          <w:szCs w:val="20"/>
        </w:rPr>
        <w:t>1)(ix)</w:t>
      </w:r>
    </w:p>
    <w:p w:rsidR="00EE7902" w:rsidRPr="00EE7902" w:rsidRDefault="00EE7902" w:rsidP="00EE7902">
      <w:pPr>
        <w:spacing w:after="0" w:line="240" w:lineRule="auto"/>
        <w:ind w:left="4320" w:hanging="3600"/>
        <w:rPr>
          <w:rFonts w:ascii="Arial" w:hAnsi="Arial" w:cs="Arial"/>
          <w:sz w:val="20"/>
          <w:szCs w:val="20"/>
        </w:rPr>
      </w:pPr>
      <w:r w:rsidRPr="00EE7902">
        <w:rPr>
          <w:rFonts w:ascii="Arial" w:hAnsi="Arial" w:cs="Arial"/>
          <w:sz w:val="20"/>
          <w:szCs w:val="20"/>
        </w:rPr>
        <w:t>Signature/Authentication:</w:t>
      </w:r>
      <w:r w:rsidRPr="00EE7902">
        <w:rPr>
          <w:rFonts w:ascii="Arial" w:hAnsi="Arial" w:cs="Arial"/>
          <w:sz w:val="20"/>
          <w:szCs w:val="20"/>
        </w:rPr>
        <w:tab/>
        <w:t xml:space="preserve">All filers.  </w:t>
      </w:r>
    </w:p>
    <w:p w:rsidR="00EE7902" w:rsidRPr="00EE7902" w:rsidRDefault="00EE7902" w:rsidP="00EE7902">
      <w:pPr>
        <w:tabs>
          <w:tab w:val="left" w:pos="9360"/>
        </w:tabs>
        <w:spacing w:after="0" w:line="240" w:lineRule="auto"/>
        <w:rPr>
          <w:rFonts w:ascii="Arial" w:hAnsi="Arial" w:cs="Arial"/>
          <w:sz w:val="20"/>
          <w:szCs w:val="20"/>
          <w:u w:val="single"/>
        </w:rPr>
      </w:pPr>
    </w:p>
    <w:p w:rsidR="00EE7902" w:rsidRPr="00EE7902" w:rsidRDefault="00EE7902" w:rsidP="00EE7902">
      <w:pPr>
        <w:tabs>
          <w:tab w:val="left" w:pos="9360"/>
        </w:tabs>
        <w:spacing w:after="0" w:line="240" w:lineRule="auto"/>
        <w:rPr>
          <w:rFonts w:ascii="Arial" w:hAnsi="Arial" w:cs="Arial"/>
          <w:sz w:val="20"/>
          <w:szCs w:val="20"/>
          <w:u w:val="single"/>
        </w:rPr>
      </w:pPr>
    </w:p>
    <w:p w:rsidR="00EE7902" w:rsidRPr="00EE7902" w:rsidRDefault="00EE7902" w:rsidP="00EE7902">
      <w:pPr>
        <w:tabs>
          <w:tab w:val="left" w:pos="9360"/>
        </w:tabs>
        <w:spacing w:after="0" w:line="240" w:lineRule="auto"/>
        <w:rPr>
          <w:rFonts w:ascii="Arial" w:hAnsi="Arial" w:cs="Arial"/>
          <w:sz w:val="20"/>
          <w:szCs w:val="20"/>
          <w:u w:val="single"/>
        </w:rPr>
      </w:pPr>
      <w:r w:rsidRPr="00EE7902">
        <w:rPr>
          <w:rFonts w:ascii="Arial" w:hAnsi="Arial" w:cs="Arial"/>
          <w:sz w:val="20"/>
          <w:szCs w:val="20"/>
          <w:u w:val="single"/>
        </w:rPr>
        <w:tab/>
      </w:r>
    </w:p>
    <w:p w:rsidR="00EE7902" w:rsidRPr="00EE7902" w:rsidRDefault="00EE7902" w:rsidP="00EE7902">
      <w:pPr>
        <w:tabs>
          <w:tab w:val="left" w:pos="9360"/>
        </w:tabs>
        <w:spacing w:after="0" w:line="240" w:lineRule="auto"/>
        <w:rPr>
          <w:rFonts w:ascii="Arial" w:hAnsi="Arial" w:cs="Arial"/>
          <w:sz w:val="20"/>
          <w:szCs w:val="20"/>
          <w:u w:val="single"/>
        </w:rPr>
      </w:pPr>
      <w:r w:rsidRPr="00EE7902">
        <w:rPr>
          <w:rFonts w:ascii="Arial" w:hAnsi="Arial" w:cs="Arial"/>
          <w:b/>
          <w:sz w:val="20"/>
          <w:szCs w:val="20"/>
          <w:u w:val="single"/>
        </w:rPr>
        <w:t>Submitting Form 704:</w:t>
      </w:r>
      <w:r w:rsidRPr="00EE7902">
        <w:rPr>
          <w:rFonts w:ascii="Arial" w:hAnsi="Arial" w:cs="Arial"/>
          <w:b/>
          <w:sz w:val="20"/>
          <w:szCs w:val="20"/>
        </w:rPr>
        <w:t xml:space="preserve"> </w:t>
      </w:r>
      <w:r w:rsidRPr="00EE7902">
        <w:rPr>
          <w:rFonts w:ascii="Arial" w:hAnsi="Arial" w:cs="Arial"/>
          <w:sz w:val="20"/>
          <w:szCs w:val="20"/>
        </w:rPr>
        <w:t>Once completed, please submit this form to the Commission pursuant to the instructions on [www.cftc.gov] or as otherwise directed by Commission staff.  If submission attempts fail, the reporting trader shall contact the Commission at [techsupport@cftc.gov] for further technical support.</w:t>
      </w:r>
    </w:p>
    <w:p w:rsidR="00EE7902" w:rsidRPr="00EE7902" w:rsidRDefault="00EE7902" w:rsidP="00EE7902">
      <w:pPr>
        <w:tabs>
          <w:tab w:val="left" w:pos="9360"/>
        </w:tabs>
        <w:spacing w:after="0" w:line="240" w:lineRule="auto"/>
        <w:rPr>
          <w:rFonts w:ascii="Arial" w:hAnsi="Arial" w:cs="Arial"/>
          <w:b/>
          <w:sz w:val="20"/>
          <w:szCs w:val="20"/>
        </w:rPr>
      </w:pPr>
      <w:r w:rsidRPr="00EE7902">
        <w:rPr>
          <w:rFonts w:ascii="Arial" w:hAnsi="Arial" w:cs="Arial"/>
          <w:sz w:val="20"/>
          <w:szCs w:val="20"/>
          <w:u w:val="single"/>
        </w:rPr>
        <w:tab/>
      </w:r>
    </w:p>
    <w:p w:rsidR="00EE7902" w:rsidRPr="00EE7902" w:rsidRDefault="00EE7902" w:rsidP="00EE7902">
      <w:pPr>
        <w:spacing w:after="0" w:line="240" w:lineRule="auto"/>
        <w:rPr>
          <w:rFonts w:ascii="Times New Roman" w:hAnsi="Times New Roman"/>
          <w:b/>
          <w:bCs/>
          <w:color w:val="1F497D"/>
          <w:sz w:val="24"/>
        </w:rPr>
      </w:pPr>
    </w:p>
    <w:p w:rsidR="00EE7902" w:rsidRPr="00EE7902" w:rsidRDefault="00EE7902" w:rsidP="00EE7902">
      <w:pPr>
        <w:tabs>
          <w:tab w:val="left" w:pos="9360"/>
        </w:tabs>
        <w:spacing w:after="0" w:line="240" w:lineRule="auto"/>
        <w:rPr>
          <w:rFonts w:ascii="Arial" w:hAnsi="Arial" w:cs="Arial"/>
          <w:sz w:val="20"/>
          <w:szCs w:val="20"/>
        </w:rPr>
      </w:pPr>
      <w:r w:rsidRPr="00EE7902">
        <w:rPr>
          <w:rFonts w:ascii="Arial" w:hAnsi="Arial" w:cs="Arial"/>
          <w:bCs/>
          <w:sz w:val="20"/>
          <w:szCs w:val="20"/>
        </w:rPr>
        <w:t xml:space="preserve">Please be advised that pursuant to 5 CFR </w:t>
      </w:r>
      <w:r w:rsidRPr="00EE7902">
        <w:rPr>
          <w:rFonts w:ascii="Arial" w:hAnsi="Arial" w:cs="Arial"/>
          <w:sz w:val="20"/>
          <w:szCs w:val="20"/>
        </w:rPr>
        <w:t xml:space="preserve">§ </w:t>
      </w:r>
      <w:r w:rsidRPr="00EE7902">
        <w:rPr>
          <w:rFonts w:ascii="Arial" w:hAnsi="Arial" w:cs="Arial"/>
          <w:bCs/>
          <w:sz w:val="20"/>
          <w:szCs w:val="20"/>
        </w:rPr>
        <w:t>1320.5(b</w:t>
      </w:r>
      <w:proofErr w:type="gramStart"/>
      <w:r w:rsidRPr="00EE7902">
        <w:rPr>
          <w:rFonts w:ascii="Arial" w:hAnsi="Arial" w:cs="Arial"/>
          <w:bCs/>
          <w:sz w:val="20"/>
          <w:szCs w:val="20"/>
        </w:rPr>
        <w:t>)(</w:t>
      </w:r>
      <w:proofErr w:type="gramEnd"/>
      <w:r w:rsidRPr="00EE7902">
        <w:rPr>
          <w:rFonts w:ascii="Arial" w:hAnsi="Arial" w:cs="Arial"/>
          <w:bCs/>
          <w:sz w:val="20"/>
          <w:szCs w:val="20"/>
        </w:rPr>
        <w:t xml:space="preserve">2)(i), you are not required to respond to this collection of </w:t>
      </w:r>
      <w:r w:rsidRPr="00EE7902">
        <w:rPr>
          <w:rFonts w:ascii="Arial" w:hAnsi="Arial" w:cs="Arial"/>
          <w:sz w:val="20"/>
          <w:szCs w:val="20"/>
        </w:rPr>
        <w:t>information</w:t>
      </w:r>
      <w:r w:rsidRPr="00EE7902">
        <w:rPr>
          <w:rFonts w:ascii="Arial" w:hAnsi="Arial" w:cs="Arial"/>
          <w:bCs/>
          <w:sz w:val="20"/>
          <w:szCs w:val="20"/>
        </w:rPr>
        <w:t xml:space="preserve"> unless it displays a currently valid OMB control number</w:t>
      </w:r>
      <w:r w:rsidRPr="00EE7902">
        <w:rPr>
          <w:rFonts w:ascii="Arial" w:hAnsi="Arial" w:cs="Arial"/>
          <w:sz w:val="20"/>
          <w:szCs w:val="20"/>
        </w:rPr>
        <w:t>.</w:t>
      </w:r>
    </w:p>
    <w:p w:rsidR="00EE7902" w:rsidRPr="00EE7902" w:rsidRDefault="00EE7902" w:rsidP="00EE7902">
      <w:pPr>
        <w:spacing w:after="120" w:line="480" w:lineRule="auto"/>
        <w:rPr>
          <w:rFonts w:ascii="Times New Roman" w:hAnsi="Times New Roman"/>
          <w:sz w:val="24"/>
        </w:rPr>
        <w:sectPr w:rsidR="00EE7902" w:rsidRPr="00EE7902">
          <w:footnotePr>
            <w:numRestart w:val="eachSect"/>
          </w:footnotePr>
          <w:pgSz w:w="12240" w:h="15840"/>
          <w:pgMar w:top="1440" w:right="1440" w:bottom="1440" w:left="1440" w:header="720" w:footer="720" w:gutter="0"/>
          <w:cols w:space="720"/>
          <w:docGrid w:linePitch="360"/>
        </w:sectPr>
      </w:pPr>
    </w:p>
    <w:tbl>
      <w:tblPr>
        <w:tblW w:w="5000" w:type="pct"/>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4A0" w:firstRow="1" w:lastRow="0" w:firstColumn="1" w:lastColumn="0" w:noHBand="0" w:noVBand="1"/>
      </w:tblPr>
      <w:tblGrid>
        <w:gridCol w:w="1501"/>
        <w:gridCol w:w="1166"/>
        <w:gridCol w:w="1000"/>
        <w:gridCol w:w="1000"/>
        <w:gridCol w:w="581"/>
        <w:gridCol w:w="585"/>
        <w:gridCol w:w="1174"/>
        <w:gridCol w:w="250"/>
        <w:gridCol w:w="498"/>
        <w:gridCol w:w="669"/>
        <w:gridCol w:w="416"/>
        <w:gridCol w:w="751"/>
        <w:gridCol w:w="82"/>
        <w:gridCol w:w="335"/>
        <w:gridCol w:w="667"/>
        <w:gridCol w:w="250"/>
        <w:gridCol w:w="833"/>
        <w:gridCol w:w="419"/>
        <w:gridCol w:w="999"/>
      </w:tblGrid>
      <w:tr w:rsidR="00EE7902" w:rsidRPr="00EE7902" w:rsidTr="00550BED">
        <w:trPr>
          <w:trHeight w:val="325"/>
          <w:jc w:val="center"/>
        </w:trPr>
        <w:tc>
          <w:tcPr>
            <w:tcW w:w="1994" w:type="pct"/>
            <w:gridSpan w:val="5"/>
            <w:vMerge w:val="restart"/>
            <w:vAlign w:val="center"/>
          </w:tcPr>
          <w:p w:rsidR="00EE7902" w:rsidRPr="00EE7902" w:rsidRDefault="00EE7902" w:rsidP="00EE7902">
            <w:pPr>
              <w:spacing w:after="0" w:line="240" w:lineRule="auto"/>
              <w:jc w:val="center"/>
              <w:rPr>
                <w:rFonts w:ascii="Calibri" w:eastAsia="Times New Roman" w:hAnsi="Calibri" w:cs="Times New Roman"/>
                <w:b/>
                <w:color w:val="000000"/>
                <w:sz w:val="24"/>
              </w:rPr>
            </w:pPr>
            <w:r w:rsidRPr="00EE7902">
              <w:rPr>
                <w:rFonts w:ascii="Calibri" w:eastAsia="Times New Roman" w:hAnsi="Calibri" w:cs="Times New Roman"/>
                <w:b/>
                <w:color w:val="000000"/>
              </w:rPr>
              <w:lastRenderedPageBreak/>
              <w:t>COMMODITY FUTURES TRADING COMMISSION</w:t>
            </w:r>
          </w:p>
          <w:p w:rsidR="00EE7902" w:rsidRPr="00EE7902" w:rsidRDefault="00EE7902" w:rsidP="00EE7902">
            <w:pPr>
              <w:spacing w:after="0" w:line="240" w:lineRule="auto"/>
              <w:jc w:val="center"/>
              <w:rPr>
                <w:rFonts w:ascii="Calibri" w:eastAsia="Times New Roman" w:hAnsi="Calibri" w:cs="Times New Roman"/>
                <w:color w:val="000000"/>
                <w:sz w:val="24"/>
              </w:rPr>
            </w:pPr>
            <w:r w:rsidRPr="00EE7902">
              <w:rPr>
                <w:rFonts w:ascii="Calibri" w:eastAsia="Times New Roman" w:hAnsi="Calibri" w:cs="Times New Roman"/>
                <w:b/>
                <w:color w:val="000000"/>
              </w:rPr>
              <w:t>FORM 704 - STATEMENT OF ANTICIPATORY BONA FIDE HEDGE EXEMPTIONS</w:t>
            </w:r>
          </w:p>
        </w:tc>
        <w:tc>
          <w:tcPr>
            <w:tcW w:w="1677" w:type="pct"/>
            <w:gridSpan w:val="8"/>
            <w:tcBorders>
              <w:bottom w:val="double" w:sz="6" w:space="0" w:color="auto"/>
            </w:tcBorders>
            <w:shd w:val="clear" w:color="auto" w:fill="auto"/>
            <w:noWrap/>
            <w:vAlign w:val="center"/>
            <w:hideMark/>
          </w:tcPr>
          <w:p w:rsidR="00EE7902" w:rsidRPr="00EE7902" w:rsidRDefault="00EE7902" w:rsidP="00EE7902">
            <w:pPr>
              <w:widowControl w:val="0"/>
              <w:autoSpaceDE w:val="0"/>
              <w:autoSpaceDN w:val="0"/>
              <w:adjustRightInd w:val="0"/>
              <w:spacing w:after="0" w:line="240" w:lineRule="auto"/>
              <w:jc w:val="center"/>
              <w:rPr>
                <w:rFonts w:ascii="Calibri" w:eastAsia="Times New Roman" w:hAnsi="Calibri" w:cs="Times New Roman"/>
                <w:color w:val="000000"/>
                <w:sz w:val="24"/>
              </w:rPr>
            </w:pPr>
            <w:r w:rsidRPr="00EE7902">
              <w:rPr>
                <w:rFonts w:ascii="Calibri" w:eastAsia="Times New Roman" w:hAnsi="Calibri" w:cs="Times New Roman"/>
                <w:color w:val="000000"/>
              </w:rPr>
              <w:t>CFTC CODE NO. [INSERT]</w:t>
            </w:r>
          </w:p>
        </w:tc>
        <w:tc>
          <w:tcPr>
            <w:tcW w:w="1329" w:type="pct"/>
            <w:gridSpan w:val="6"/>
            <w:tcBorders>
              <w:bottom w:val="double" w:sz="6" w:space="0" w:color="auto"/>
            </w:tcBorders>
          </w:tcPr>
          <w:p w:rsidR="00EE7902" w:rsidRPr="00EE7902" w:rsidRDefault="00EE7902" w:rsidP="00EE7902">
            <w:pPr>
              <w:widowControl w:val="0"/>
              <w:autoSpaceDE w:val="0"/>
              <w:autoSpaceDN w:val="0"/>
              <w:adjustRightInd w:val="0"/>
              <w:spacing w:after="0" w:line="240" w:lineRule="auto"/>
              <w:jc w:val="center"/>
              <w:rPr>
                <w:rFonts w:ascii="Calibri" w:eastAsia="Times New Roman" w:hAnsi="Calibri" w:cs="Times New Roman"/>
                <w:color w:val="000000"/>
                <w:sz w:val="24"/>
              </w:rPr>
            </w:pPr>
            <w:r w:rsidRPr="00EE7902">
              <w:rPr>
                <w:rFonts w:ascii="Calibri" w:eastAsia="Times New Roman" w:hAnsi="Calibri" w:cs="Times New Roman"/>
                <w:color w:val="000000"/>
              </w:rPr>
              <w:t xml:space="preserve">OMB No. </w:t>
            </w:r>
            <w:r w:rsidRPr="00EE7902">
              <w:rPr>
                <w:rFonts w:ascii="Calibri" w:eastAsia="Calibri" w:hAnsi="Calibri" w:cs="Arial"/>
              </w:rPr>
              <w:t>XXXX-XXXX</w:t>
            </w:r>
          </w:p>
        </w:tc>
      </w:tr>
      <w:tr w:rsidR="00EE7902" w:rsidRPr="00EE7902" w:rsidTr="00550BED">
        <w:trPr>
          <w:trHeight w:val="88"/>
          <w:jc w:val="center"/>
        </w:trPr>
        <w:tc>
          <w:tcPr>
            <w:tcW w:w="1994" w:type="pct"/>
            <w:gridSpan w:val="5"/>
            <w:vMerge/>
          </w:tcPr>
          <w:p w:rsidR="00EE7902" w:rsidRPr="00EE7902" w:rsidRDefault="00EE7902" w:rsidP="00EE7902">
            <w:pPr>
              <w:spacing w:after="0" w:line="240" w:lineRule="auto"/>
              <w:jc w:val="center"/>
              <w:rPr>
                <w:rFonts w:ascii="Calibri" w:eastAsia="Times New Roman" w:hAnsi="Calibri" w:cs="Times New Roman"/>
                <w:color w:val="000000"/>
                <w:sz w:val="24"/>
              </w:rPr>
            </w:pPr>
          </w:p>
        </w:tc>
        <w:tc>
          <w:tcPr>
            <w:tcW w:w="3006" w:type="pct"/>
            <w:gridSpan w:val="14"/>
            <w:shd w:val="clear" w:color="auto" w:fill="D9D9D9" w:themeFill="background1" w:themeFillShade="D9"/>
            <w:vAlign w:val="center"/>
          </w:tcPr>
          <w:p w:rsidR="00EE7902" w:rsidRPr="00EE7902" w:rsidRDefault="00EE7902" w:rsidP="00EE7902">
            <w:pPr>
              <w:spacing w:after="0" w:line="240" w:lineRule="auto"/>
              <w:rPr>
                <w:rFonts w:ascii="Calibri" w:eastAsia="Times New Roman" w:hAnsi="Calibri" w:cs="Times New Roman"/>
                <w:color w:val="000000"/>
              </w:rPr>
            </w:pPr>
            <w:r w:rsidRPr="00EE7902">
              <w:rPr>
                <w:rFonts w:ascii="Calibri" w:eastAsia="Times New Roman" w:hAnsi="Calibri" w:cs="Times New Roman"/>
                <w:color w:val="000000"/>
              </w:rPr>
              <w:t>Identifying Information</w:t>
            </w:r>
          </w:p>
        </w:tc>
      </w:tr>
      <w:tr w:rsidR="00EE7902" w:rsidRPr="00EE7902" w:rsidTr="00550BED">
        <w:trPr>
          <w:trHeight w:val="85"/>
          <w:jc w:val="center"/>
        </w:trPr>
        <w:tc>
          <w:tcPr>
            <w:tcW w:w="1994" w:type="pct"/>
            <w:gridSpan w:val="5"/>
            <w:vMerge/>
          </w:tcPr>
          <w:p w:rsidR="00EE7902" w:rsidRPr="00EE7902" w:rsidRDefault="00EE7902" w:rsidP="00EE7902">
            <w:pPr>
              <w:spacing w:after="0" w:line="240" w:lineRule="auto"/>
              <w:jc w:val="center"/>
              <w:rPr>
                <w:rFonts w:ascii="Calibri" w:eastAsia="Times New Roman" w:hAnsi="Calibri" w:cs="Times New Roman"/>
                <w:color w:val="000000"/>
                <w:sz w:val="24"/>
              </w:rPr>
            </w:pPr>
          </w:p>
        </w:tc>
        <w:tc>
          <w:tcPr>
            <w:tcW w:w="3006" w:type="pct"/>
            <w:gridSpan w:val="14"/>
            <w:vAlign w:val="center"/>
          </w:tcPr>
          <w:p w:rsidR="00EE7902" w:rsidRPr="00EE7902" w:rsidRDefault="00EE7902" w:rsidP="00EE7902">
            <w:pPr>
              <w:spacing w:after="0" w:line="240" w:lineRule="auto"/>
              <w:rPr>
                <w:rFonts w:ascii="Calibri" w:eastAsia="Times New Roman" w:hAnsi="Calibri" w:cs="Times New Roman"/>
                <w:color w:val="000000"/>
              </w:rPr>
            </w:pPr>
            <w:r w:rsidRPr="00EE7902">
              <w:rPr>
                <w:rFonts w:ascii="Calibri" w:eastAsia="Times New Roman" w:hAnsi="Calibri" w:cs="Times New Roman"/>
                <w:color w:val="000000"/>
              </w:rPr>
              <w:t>Identification Codes</w:t>
            </w:r>
          </w:p>
        </w:tc>
      </w:tr>
      <w:tr w:rsidR="00EE7902" w:rsidRPr="00EE7902" w:rsidTr="00550BED">
        <w:trPr>
          <w:trHeight w:val="85"/>
          <w:jc w:val="center"/>
        </w:trPr>
        <w:tc>
          <w:tcPr>
            <w:tcW w:w="1994" w:type="pct"/>
            <w:gridSpan w:val="5"/>
            <w:vMerge/>
          </w:tcPr>
          <w:p w:rsidR="00EE7902" w:rsidRPr="00EE7902" w:rsidRDefault="00EE7902" w:rsidP="00EE7902">
            <w:pPr>
              <w:spacing w:after="0" w:line="240" w:lineRule="auto"/>
              <w:jc w:val="center"/>
              <w:rPr>
                <w:rFonts w:ascii="Calibri" w:eastAsia="Times New Roman" w:hAnsi="Calibri" w:cs="Times New Roman"/>
                <w:color w:val="000000"/>
                <w:sz w:val="24"/>
              </w:rPr>
            </w:pPr>
          </w:p>
        </w:tc>
        <w:tc>
          <w:tcPr>
            <w:tcW w:w="949" w:type="pct"/>
            <w:gridSpan w:val="4"/>
            <w:vAlign w:val="center"/>
          </w:tcPr>
          <w:p w:rsidR="00EE7902" w:rsidRPr="00EE7902" w:rsidRDefault="00EE7902" w:rsidP="00EE7902">
            <w:pPr>
              <w:spacing w:after="0" w:line="240" w:lineRule="auto"/>
              <w:rPr>
                <w:rFonts w:ascii="Calibri" w:eastAsia="Times New Roman" w:hAnsi="Calibri" w:cs="Times New Roman"/>
                <w:color w:val="000000"/>
              </w:rPr>
            </w:pPr>
            <w:r w:rsidRPr="00EE7902">
              <w:rPr>
                <w:rFonts w:ascii="Calibri" w:eastAsia="Times New Roman" w:hAnsi="Calibri" w:cs="Times New Roman"/>
                <w:color w:val="000000"/>
              </w:rPr>
              <w:t>NFA ID</w:t>
            </w:r>
          </w:p>
        </w:tc>
        <w:tc>
          <w:tcPr>
            <w:tcW w:w="1203" w:type="pct"/>
            <w:gridSpan w:val="7"/>
            <w:vAlign w:val="center"/>
          </w:tcPr>
          <w:p w:rsidR="00EE7902" w:rsidRPr="00EE7902" w:rsidRDefault="00EE7902" w:rsidP="00EE7902">
            <w:pPr>
              <w:spacing w:after="0" w:line="240" w:lineRule="auto"/>
              <w:rPr>
                <w:rFonts w:ascii="Calibri" w:eastAsia="Times New Roman" w:hAnsi="Calibri" w:cs="Times New Roman"/>
                <w:color w:val="000000"/>
              </w:rPr>
            </w:pPr>
            <w:r w:rsidRPr="00EE7902">
              <w:rPr>
                <w:rFonts w:ascii="Calibri" w:eastAsia="Times New Roman" w:hAnsi="Calibri" w:cs="Times New Roman"/>
                <w:color w:val="000000"/>
              </w:rPr>
              <w:t>Legal Entity Identifier (LEI)</w:t>
            </w:r>
          </w:p>
        </w:tc>
        <w:tc>
          <w:tcPr>
            <w:tcW w:w="854" w:type="pct"/>
            <w:gridSpan w:val="3"/>
            <w:vAlign w:val="center"/>
          </w:tcPr>
          <w:p w:rsidR="00EE7902" w:rsidRPr="00EE7902" w:rsidRDefault="00EE7902" w:rsidP="00EE7902">
            <w:pPr>
              <w:spacing w:after="0" w:line="240" w:lineRule="auto"/>
              <w:rPr>
                <w:rFonts w:ascii="Calibri" w:eastAsia="Times New Roman" w:hAnsi="Calibri" w:cs="Times New Roman"/>
                <w:color w:val="000000"/>
              </w:rPr>
            </w:pPr>
            <w:r w:rsidRPr="00EE7902">
              <w:rPr>
                <w:rFonts w:ascii="Calibri" w:eastAsia="Times New Roman" w:hAnsi="Calibri" w:cs="Times New Roman"/>
                <w:color w:val="000000"/>
              </w:rPr>
              <w:t>Other CFTC Identifier</w:t>
            </w:r>
          </w:p>
        </w:tc>
      </w:tr>
      <w:tr w:rsidR="00EE7902" w:rsidRPr="00EE7902" w:rsidTr="00550BED">
        <w:trPr>
          <w:trHeight w:val="85"/>
          <w:jc w:val="center"/>
        </w:trPr>
        <w:tc>
          <w:tcPr>
            <w:tcW w:w="1994" w:type="pct"/>
            <w:gridSpan w:val="5"/>
            <w:vMerge/>
          </w:tcPr>
          <w:p w:rsidR="00EE7902" w:rsidRPr="00EE7902" w:rsidRDefault="00EE7902" w:rsidP="00EE7902">
            <w:pPr>
              <w:spacing w:after="0" w:line="240" w:lineRule="auto"/>
              <w:jc w:val="center"/>
              <w:rPr>
                <w:rFonts w:ascii="Calibri" w:eastAsia="Times New Roman" w:hAnsi="Calibri" w:cs="Times New Roman"/>
                <w:color w:val="000000"/>
                <w:sz w:val="24"/>
              </w:rPr>
            </w:pPr>
          </w:p>
        </w:tc>
        <w:tc>
          <w:tcPr>
            <w:tcW w:w="949" w:type="pct"/>
            <w:gridSpan w:val="4"/>
            <w:vAlign w:val="center"/>
          </w:tcPr>
          <w:p w:rsidR="00EE7902" w:rsidRPr="00EE7902" w:rsidRDefault="00EE7902" w:rsidP="00EE7902">
            <w:pPr>
              <w:spacing w:after="0" w:line="240" w:lineRule="auto"/>
              <w:rPr>
                <w:rFonts w:ascii="Calibri" w:eastAsia="Times New Roman" w:hAnsi="Calibri" w:cs="Times New Roman"/>
                <w:color w:val="000000"/>
              </w:rPr>
            </w:pPr>
          </w:p>
        </w:tc>
        <w:tc>
          <w:tcPr>
            <w:tcW w:w="1203" w:type="pct"/>
            <w:gridSpan w:val="7"/>
            <w:vAlign w:val="center"/>
          </w:tcPr>
          <w:p w:rsidR="00EE7902" w:rsidRPr="00EE7902" w:rsidRDefault="00EE7902" w:rsidP="00EE7902">
            <w:pPr>
              <w:spacing w:after="0" w:line="240" w:lineRule="auto"/>
              <w:rPr>
                <w:rFonts w:ascii="Calibri" w:eastAsia="Times New Roman" w:hAnsi="Calibri" w:cs="Times New Roman"/>
                <w:color w:val="000000"/>
              </w:rPr>
            </w:pPr>
          </w:p>
        </w:tc>
        <w:tc>
          <w:tcPr>
            <w:tcW w:w="854" w:type="pct"/>
            <w:gridSpan w:val="3"/>
            <w:vAlign w:val="center"/>
          </w:tcPr>
          <w:p w:rsidR="00EE7902" w:rsidRPr="00EE7902" w:rsidRDefault="00EE7902" w:rsidP="00EE7902">
            <w:pPr>
              <w:spacing w:after="0" w:line="240" w:lineRule="auto"/>
              <w:rPr>
                <w:rFonts w:ascii="Calibri" w:eastAsia="Times New Roman" w:hAnsi="Calibri" w:cs="Times New Roman"/>
                <w:color w:val="000000"/>
              </w:rPr>
            </w:pPr>
          </w:p>
        </w:tc>
      </w:tr>
      <w:tr w:rsidR="00EE7902" w:rsidRPr="00EE7902" w:rsidTr="00550BED">
        <w:trPr>
          <w:trHeight w:val="85"/>
          <w:jc w:val="center"/>
        </w:trPr>
        <w:tc>
          <w:tcPr>
            <w:tcW w:w="1994" w:type="pct"/>
            <w:gridSpan w:val="5"/>
            <w:vMerge/>
          </w:tcPr>
          <w:p w:rsidR="00EE7902" w:rsidRPr="00EE7902" w:rsidRDefault="00EE7902" w:rsidP="00EE7902">
            <w:pPr>
              <w:spacing w:after="0" w:line="240" w:lineRule="auto"/>
              <w:jc w:val="center"/>
              <w:rPr>
                <w:rFonts w:ascii="Calibri" w:eastAsia="Times New Roman" w:hAnsi="Calibri" w:cs="Times New Roman"/>
                <w:color w:val="000000"/>
                <w:sz w:val="24"/>
              </w:rPr>
            </w:pPr>
          </w:p>
        </w:tc>
        <w:tc>
          <w:tcPr>
            <w:tcW w:w="3006" w:type="pct"/>
            <w:gridSpan w:val="14"/>
            <w:vAlign w:val="center"/>
          </w:tcPr>
          <w:p w:rsidR="00EE7902" w:rsidRPr="00EE7902" w:rsidRDefault="00EE7902" w:rsidP="00EE7902">
            <w:pPr>
              <w:spacing w:after="0" w:line="240" w:lineRule="auto"/>
              <w:rPr>
                <w:rFonts w:ascii="Calibri" w:eastAsia="Times New Roman" w:hAnsi="Calibri" w:cs="Times New Roman"/>
                <w:color w:val="000000"/>
              </w:rPr>
            </w:pPr>
            <w:r w:rsidRPr="00EE7902">
              <w:rPr>
                <w:rFonts w:ascii="Calibri" w:eastAsia="Times New Roman" w:hAnsi="Calibri" w:cs="Times New Roman"/>
                <w:color w:val="000000"/>
              </w:rPr>
              <w:t>Name of Non-Natural Person</w:t>
            </w:r>
          </w:p>
        </w:tc>
      </w:tr>
      <w:tr w:rsidR="00EE7902" w:rsidRPr="00EE7902" w:rsidTr="00550BED">
        <w:trPr>
          <w:trHeight w:val="85"/>
          <w:jc w:val="center"/>
        </w:trPr>
        <w:tc>
          <w:tcPr>
            <w:tcW w:w="1994" w:type="pct"/>
            <w:gridSpan w:val="5"/>
            <w:vMerge/>
          </w:tcPr>
          <w:p w:rsidR="00EE7902" w:rsidRPr="00EE7902" w:rsidRDefault="00EE7902" w:rsidP="00EE7902">
            <w:pPr>
              <w:spacing w:after="0" w:line="240" w:lineRule="auto"/>
              <w:jc w:val="center"/>
              <w:rPr>
                <w:rFonts w:ascii="Calibri" w:eastAsia="Times New Roman" w:hAnsi="Calibri" w:cs="Times New Roman"/>
                <w:color w:val="000000"/>
                <w:sz w:val="24"/>
              </w:rPr>
            </w:pPr>
          </w:p>
        </w:tc>
        <w:tc>
          <w:tcPr>
            <w:tcW w:w="3006" w:type="pct"/>
            <w:gridSpan w:val="14"/>
            <w:vAlign w:val="center"/>
          </w:tcPr>
          <w:p w:rsidR="00EE7902" w:rsidRPr="00EE7902" w:rsidRDefault="00EE7902" w:rsidP="00EE7902">
            <w:pPr>
              <w:spacing w:after="0" w:line="240" w:lineRule="auto"/>
              <w:rPr>
                <w:rFonts w:ascii="Calibri" w:eastAsia="Times New Roman" w:hAnsi="Calibri" w:cs="Times New Roman"/>
                <w:color w:val="000000"/>
              </w:rPr>
            </w:pPr>
          </w:p>
        </w:tc>
      </w:tr>
      <w:tr w:rsidR="00EE7902" w:rsidRPr="00EE7902" w:rsidTr="00550BED">
        <w:trPr>
          <w:trHeight w:val="85"/>
          <w:jc w:val="center"/>
        </w:trPr>
        <w:tc>
          <w:tcPr>
            <w:tcW w:w="1994" w:type="pct"/>
            <w:gridSpan w:val="5"/>
            <w:vMerge/>
          </w:tcPr>
          <w:p w:rsidR="00EE7902" w:rsidRPr="00EE7902" w:rsidRDefault="00EE7902" w:rsidP="00EE7902">
            <w:pPr>
              <w:spacing w:after="0" w:line="240" w:lineRule="auto"/>
              <w:jc w:val="center"/>
              <w:rPr>
                <w:rFonts w:ascii="Calibri" w:eastAsia="Times New Roman" w:hAnsi="Calibri" w:cs="Times New Roman"/>
                <w:color w:val="000000"/>
                <w:sz w:val="24"/>
              </w:rPr>
            </w:pPr>
          </w:p>
        </w:tc>
        <w:tc>
          <w:tcPr>
            <w:tcW w:w="3006" w:type="pct"/>
            <w:gridSpan w:val="14"/>
            <w:vAlign w:val="center"/>
          </w:tcPr>
          <w:p w:rsidR="00EE7902" w:rsidRPr="00EE7902" w:rsidRDefault="00EE7902" w:rsidP="00EE7902">
            <w:pPr>
              <w:spacing w:after="0" w:line="240" w:lineRule="auto"/>
              <w:rPr>
                <w:rFonts w:ascii="Calibri" w:eastAsia="Times New Roman" w:hAnsi="Calibri" w:cs="Times New Roman"/>
                <w:color w:val="000000"/>
              </w:rPr>
            </w:pPr>
            <w:r w:rsidRPr="00EE7902">
              <w:rPr>
                <w:rFonts w:ascii="Calibri" w:eastAsia="Times New Roman" w:hAnsi="Calibri" w:cs="Times New Roman"/>
                <w:color w:val="000000"/>
              </w:rPr>
              <w:t>Name of Natural Person</w:t>
            </w:r>
          </w:p>
        </w:tc>
      </w:tr>
      <w:tr w:rsidR="00EE7902" w:rsidRPr="00EE7902" w:rsidTr="00550BED">
        <w:trPr>
          <w:trHeight w:val="297"/>
          <w:jc w:val="center"/>
        </w:trPr>
        <w:tc>
          <w:tcPr>
            <w:tcW w:w="1994" w:type="pct"/>
            <w:gridSpan w:val="5"/>
            <w:vMerge/>
          </w:tcPr>
          <w:p w:rsidR="00EE7902" w:rsidRPr="00EE7902" w:rsidRDefault="00EE7902" w:rsidP="00EE7902">
            <w:pPr>
              <w:spacing w:after="0" w:line="240" w:lineRule="auto"/>
              <w:jc w:val="center"/>
              <w:rPr>
                <w:rFonts w:ascii="Calibri" w:eastAsia="Times New Roman" w:hAnsi="Calibri" w:cs="Times New Roman"/>
                <w:color w:val="000000"/>
                <w:sz w:val="24"/>
              </w:rPr>
            </w:pPr>
          </w:p>
        </w:tc>
        <w:tc>
          <w:tcPr>
            <w:tcW w:w="1361" w:type="pct"/>
            <w:gridSpan w:val="6"/>
            <w:vAlign w:val="center"/>
          </w:tcPr>
          <w:p w:rsidR="00EE7902" w:rsidRPr="00EE7902" w:rsidRDefault="00EE7902" w:rsidP="00EE7902">
            <w:pPr>
              <w:spacing w:after="0" w:line="240" w:lineRule="auto"/>
              <w:rPr>
                <w:rFonts w:ascii="Calibri" w:eastAsia="Times New Roman" w:hAnsi="Calibri" w:cs="Times New Roman"/>
                <w:color w:val="000000"/>
              </w:rPr>
            </w:pPr>
            <w:r w:rsidRPr="00EE7902">
              <w:rPr>
                <w:rFonts w:ascii="Calibri" w:eastAsia="Times New Roman" w:hAnsi="Calibri" w:cs="Times New Roman"/>
                <w:color w:val="000000"/>
              </w:rPr>
              <w:t>First Name</w:t>
            </w:r>
          </w:p>
        </w:tc>
        <w:tc>
          <w:tcPr>
            <w:tcW w:w="443" w:type="pct"/>
            <w:gridSpan w:val="3"/>
            <w:vAlign w:val="center"/>
          </w:tcPr>
          <w:p w:rsidR="00EE7902" w:rsidRPr="00EE7902" w:rsidRDefault="00EE7902" w:rsidP="00EE7902">
            <w:pPr>
              <w:spacing w:after="0" w:line="240" w:lineRule="auto"/>
              <w:rPr>
                <w:rFonts w:ascii="Calibri" w:eastAsia="Times New Roman" w:hAnsi="Calibri" w:cs="Times New Roman"/>
                <w:color w:val="000000"/>
              </w:rPr>
            </w:pPr>
            <w:r w:rsidRPr="00EE7902">
              <w:rPr>
                <w:rFonts w:ascii="Calibri" w:eastAsia="Times New Roman" w:hAnsi="Calibri" w:cs="Times New Roman"/>
                <w:color w:val="000000"/>
              </w:rPr>
              <w:t>Middle Name</w:t>
            </w:r>
          </w:p>
        </w:tc>
        <w:tc>
          <w:tcPr>
            <w:tcW w:w="823" w:type="pct"/>
            <w:gridSpan w:val="4"/>
            <w:vAlign w:val="center"/>
          </w:tcPr>
          <w:p w:rsidR="00EE7902" w:rsidRPr="00EE7902" w:rsidRDefault="00EE7902" w:rsidP="00EE7902">
            <w:pPr>
              <w:spacing w:after="0" w:line="240" w:lineRule="auto"/>
              <w:rPr>
                <w:rFonts w:ascii="Calibri" w:eastAsia="Times New Roman" w:hAnsi="Calibri" w:cs="Times New Roman"/>
                <w:color w:val="000000"/>
              </w:rPr>
            </w:pPr>
            <w:r w:rsidRPr="00EE7902">
              <w:rPr>
                <w:rFonts w:ascii="Calibri" w:eastAsia="Times New Roman" w:hAnsi="Calibri" w:cs="Times New Roman"/>
                <w:color w:val="000000"/>
              </w:rPr>
              <w:t>Last Name</w:t>
            </w:r>
          </w:p>
        </w:tc>
        <w:tc>
          <w:tcPr>
            <w:tcW w:w="380" w:type="pct"/>
            <w:vAlign w:val="center"/>
          </w:tcPr>
          <w:p w:rsidR="00EE7902" w:rsidRPr="00EE7902" w:rsidRDefault="00EE7902" w:rsidP="00EE7902">
            <w:pPr>
              <w:spacing w:after="0" w:line="240" w:lineRule="auto"/>
              <w:rPr>
                <w:rFonts w:ascii="Calibri" w:eastAsia="Times New Roman" w:hAnsi="Calibri" w:cs="Times New Roman"/>
                <w:color w:val="000000"/>
              </w:rPr>
            </w:pPr>
            <w:r w:rsidRPr="00EE7902">
              <w:rPr>
                <w:rFonts w:ascii="Calibri" w:eastAsia="Times New Roman" w:hAnsi="Calibri" w:cs="Times New Roman"/>
                <w:color w:val="000000"/>
              </w:rPr>
              <w:t>Suffix</w:t>
            </w:r>
          </w:p>
        </w:tc>
      </w:tr>
      <w:tr w:rsidR="00EE7902" w:rsidRPr="00EE7902" w:rsidTr="00550BED">
        <w:trPr>
          <w:trHeight w:val="297"/>
          <w:jc w:val="center"/>
        </w:trPr>
        <w:tc>
          <w:tcPr>
            <w:tcW w:w="1994" w:type="pct"/>
            <w:gridSpan w:val="5"/>
            <w:vMerge/>
          </w:tcPr>
          <w:p w:rsidR="00EE7902" w:rsidRPr="00EE7902" w:rsidRDefault="00EE7902" w:rsidP="00EE7902">
            <w:pPr>
              <w:spacing w:after="0" w:line="240" w:lineRule="auto"/>
              <w:jc w:val="center"/>
              <w:rPr>
                <w:rFonts w:ascii="Calibri" w:eastAsia="Times New Roman" w:hAnsi="Calibri" w:cs="Times New Roman"/>
                <w:color w:val="000000"/>
                <w:sz w:val="24"/>
              </w:rPr>
            </w:pPr>
          </w:p>
        </w:tc>
        <w:tc>
          <w:tcPr>
            <w:tcW w:w="1361" w:type="pct"/>
            <w:gridSpan w:val="6"/>
            <w:vAlign w:val="center"/>
          </w:tcPr>
          <w:p w:rsidR="00EE7902" w:rsidRPr="00EE7902" w:rsidRDefault="00EE7902" w:rsidP="00EE7902">
            <w:pPr>
              <w:spacing w:after="0" w:line="240" w:lineRule="auto"/>
              <w:rPr>
                <w:rFonts w:ascii="Calibri" w:eastAsia="Times New Roman" w:hAnsi="Calibri" w:cs="Times New Roman"/>
                <w:color w:val="000000"/>
              </w:rPr>
            </w:pPr>
          </w:p>
        </w:tc>
        <w:tc>
          <w:tcPr>
            <w:tcW w:w="443" w:type="pct"/>
            <w:gridSpan w:val="3"/>
            <w:vAlign w:val="center"/>
          </w:tcPr>
          <w:p w:rsidR="00EE7902" w:rsidRPr="00EE7902" w:rsidRDefault="00EE7902" w:rsidP="00EE7902">
            <w:pPr>
              <w:spacing w:after="0" w:line="240" w:lineRule="auto"/>
              <w:rPr>
                <w:rFonts w:ascii="Calibri" w:eastAsia="Times New Roman" w:hAnsi="Calibri" w:cs="Times New Roman"/>
                <w:color w:val="000000"/>
              </w:rPr>
            </w:pPr>
          </w:p>
        </w:tc>
        <w:tc>
          <w:tcPr>
            <w:tcW w:w="823" w:type="pct"/>
            <w:gridSpan w:val="4"/>
            <w:vAlign w:val="center"/>
          </w:tcPr>
          <w:p w:rsidR="00EE7902" w:rsidRPr="00EE7902" w:rsidRDefault="00EE7902" w:rsidP="00EE7902">
            <w:pPr>
              <w:spacing w:after="0" w:line="240" w:lineRule="auto"/>
              <w:rPr>
                <w:rFonts w:ascii="Calibri" w:eastAsia="Times New Roman" w:hAnsi="Calibri" w:cs="Times New Roman"/>
                <w:color w:val="000000"/>
              </w:rPr>
            </w:pPr>
          </w:p>
        </w:tc>
        <w:tc>
          <w:tcPr>
            <w:tcW w:w="380" w:type="pct"/>
            <w:vAlign w:val="center"/>
          </w:tcPr>
          <w:p w:rsidR="00EE7902" w:rsidRPr="00EE7902" w:rsidRDefault="00EE7902" w:rsidP="00EE7902">
            <w:pPr>
              <w:spacing w:after="0" w:line="240" w:lineRule="auto"/>
              <w:rPr>
                <w:rFonts w:ascii="Calibri" w:eastAsia="Times New Roman" w:hAnsi="Calibri" w:cs="Times New Roman"/>
                <w:color w:val="000000"/>
              </w:rPr>
            </w:pPr>
          </w:p>
        </w:tc>
      </w:tr>
      <w:tr w:rsidR="00EE7902" w:rsidRPr="00EE7902" w:rsidTr="00550BED">
        <w:trPr>
          <w:trHeight w:val="297"/>
          <w:jc w:val="center"/>
        </w:trPr>
        <w:tc>
          <w:tcPr>
            <w:tcW w:w="1994" w:type="pct"/>
            <w:gridSpan w:val="5"/>
            <w:vMerge/>
          </w:tcPr>
          <w:p w:rsidR="00EE7902" w:rsidRPr="00EE7902" w:rsidRDefault="00EE7902" w:rsidP="00EE7902">
            <w:pPr>
              <w:spacing w:after="0" w:line="240" w:lineRule="auto"/>
              <w:jc w:val="center"/>
              <w:rPr>
                <w:rFonts w:ascii="Calibri" w:eastAsia="Times New Roman" w:hAnsi="Calibri" w:cs="Times New Roman"/>
                <w:color w:val="000000"/>
                <w:sz w:val="24"/>
              </w:rPr>
            </w:pPr>
          </w:p>
        </w:tc>
        <w:tc>
          <w:tcPr>
            <w:tcW w:w="3006" w:type="pct"/>
            <w:gridSpan w:val="14"/>
            <w:vAlign w:val="center"/>
          </w:tcPr>
          <w:p w:rsidR="00EE7902" w:rsidRPr="00EE7902" w:rsidRDefault="00EE7902" w:rsidP="00EE7902">
            <w:pPr>
              <w:spacing w:after="0" w:line="240" w:lineRule="auto"/>
              <w:rPr>
                <w:rFonts w:ascii="Calibri" w:eastAsia="Times New Roman" w:hAnsi="Calibri" w:cs="Times New Roman"/>
                <w:color w:val="000000"/>
              </w:rPr>
            </w:pPr>
            <w:r w:rsidRPr="00EE7902">
              <w:rPr>
                <w:rFonts w:ascii="Calibri" w:eastAsia="Times New Roman" w:hAnsi="Calibri" w:cs="Times New Roman"/>
                <w:color w:val="000000"/>
              </w:rPr>
              <w:t>Contact Information</w:t>
            </w:r>
          </w:p>
        </w:tc>
      </w:tr>
      <w:tr w:rsidR="00EE7902" w:rsidRPr="00EE7902" w:rsidTr="00550BED">
        <w:trPr>
          <w:trHeight w:val="297"/>
          <w:jc w:val="center"/>
        </w:trPr>
        <w:tc>
          <w:tcPr>
            <w:tcW w:w="1994" w:type="pct"/>
            <w:gridSpan w:val="5"/>
            <w:vMerge/>
          </w:tcPr>
          <w:p w:rsidR="00EE7902" w:rsidRPr="00EE7902" w:rsidRDefault="00EE7902" w:rsidP="00EE7902">
            <w:pPr>
              <w:spacing w:after="0" w:line="240" w:lineRule="auto"/>
              <w:jc w:val="center"/>
              <w:rPr>
                <w:rFonts w:ascii="Calibri" w:eastAsia="Times New Roman" w:hAnsi="Calibri" w:cs="Times New Roman"/>
                <w:color w:val="000000"/>
                <w:sz w:val="24"/>
              </w:rPr>
            </w:pPr>
          </w:p>
        </w:tc>
        <w:tc>
          <w:tcPr>
            <w:tcW w:w="1361" w:type="pct"/>
            <w:gridSpan w:val="6"/>
            <w:vAlign w:val="center"/>
          </w:tcPr>
          <w:p w:rsidR="00EE7902" w:rsidRPr="00EE7902" w:rsidRDefault="00EE7902" w:rsidP="00EE7902">
            <w:pPr>
              <w:spacing w:after="0" w:line="240" w:lineRule="auto"/>
              <w:rPr>
                <w:rFonts w:ascii="Calibri" w:eastAsia="Times New Roman" w:hAnsi="Calibri" w:cs="Times New Roman"/>
                <w:color w:val="000000"/>
              </w:rPr>
            </w:pPr>
            <w:r w:rsidRPr="00EE7902">
              <w:rPr>
                <w:rFonts w:ascii="Calibri" w:eastAsia="Times New Roman" w:hAnsi="Calibri" w:cs="Times New Roman"/>
                <w:color w:val="000000"/>
              </w:rPr>
              <w:t>Address</w:t>
            </w:r>
          </w:p>
        </w:tc>
        <w:tc>
          <w:tcPr>
            <w:tcW w:w="443" w:type="pct"/>
            <w:gridSpan w:val="3"/>
            <w:vAlign w:val="center"/>
          </w:tcPr>
          <w:p w:rsidR="00EE7902" w:rsidRPr="00EE7902" w:rsidRDefault="00EE7902" w:rsidP="00EE7902">
            <w:pPr>
              <w:spacing w:after="0" w:line="240" w:lineRule="auto"/>
              <w:rPr>
                <w:rFonts w:ascii="Calibri" w:eastAsia="Times New Roman" w:hAnsi="Calibri" w:cs="Times New Roman"/>
                <w:color w:val="000000"/>
              </w:rPr>
            </w:pPr>
            <w:r w:rsidRPr="00EE7902">
              <w:rPr>
                <w:rFonts w:ascii="Calibri" w:eastAsia="Times New Roman" w:hAnsi="Calibri" w:cs="Times New Roman"/>
                <w:color w:val="000000"/>
              </w:rPr>
              <w:t>Phone Number</w:t>
            </w:r>
          </w:p>
        </w:tc>
        <w:tc>
          <w:tcPr>
            <w:tcW w:w="1203" w:type="pct"/>
            <w:gridSpan w:val="5"/>
            <w:vAlign w:val="center"/>
          </w:tcPr>
          <w:p w:rsidR="00EE7902" w:rsidRPr="00EE7902" w:rsidRDefault="00EE7902" w:rsidP="00EE7902">
            <w:pPr>
              <w:spacing w:after="0" w:line="240" w:lineRule="auto"/>
              <w:rPr>
                <w:rFonts w:ascii="Calibri" w:eastAsia="Times New Roman" w:hAnsi="Calibri" w:cs="Times New Roman"/>
                <w:color w:val="000000"/>
              </w:rPr>
            </w:pPr>
            <w:r w:rsidRPr="00EE7902">
              <w:rPr>
                <w:rFonts w:ascii="Calibri" w:eastAsia="Times New Roman" w:hAnsi="Calibri" w:cs="Times New Roman"/>
                <w:color w:val="000000"/>
              </w:rPr>
              <w:t>Email Address</w:t>
            </w:r>
          </w:p>
        </w:tc>
      </w:tr>
      <w:tr w:rsidR="00EE7902" w:rsidRPr="00EE7902" w:rsidTr="00550BED">
        <w:trPr>
          <w:trHeight w:val="85"/>
          <w:jc w:val="center"/>
        </w:trPr>
        <w:tc>
          <w:tcPr>
            <w:tcW w:w="1994" w:type="pct"/>
            <w:gridSpan w:val="5"/>
            <w:vMerge/>
          </w:tcPr>
          <w:p w:rsidR="00EE7902" w:rsidRPr="00EE7902" w:rsidRDefault="00EE7902" w:rsidP="00EE7902">
            <w:pPr>
              <w:spacing w:after="0" w:line="240" w:lineRule="auto"/>
              <w:jc w:val="center"/>
              <w:rPr>
                <w:rFonts w:ascii="Calibri" w:eastAsia="Times New Roman" w:hAnsi="Calibri" w:cs="Times New Roman"/>
                <w:color w:val="000000"/>
                <w:sz w:val="24"/>
              </w:rPr>
            </w:pPr>
          </w:p>
        </w:tc>
        <w:tc>
          <w:tcPr>
            <w:tcW w:w="1361" w:type="pct"/>
            <w:gridSpan w:val="6"/>
            <w:vAlign w:val="center"/>
          </w:tcPr>
          <w:p w:rsidR="00EE7902" w:rsidRPr="00EE7902" w:rsidRDefault="00EE7902" w:rsidP="00EE7902">
            <w:pPr>
              <w:spacing w:after="0" w:line="240" w:lineRule="auto"/>
              <w:rPr>
                <w:rFonts w:ascii="Calibri" w:eastAsia="Times New Roman" w:hAnsi="Calibri" w:cs="Times New Roman"/>
                <w:color w:val="000000"/>
              </w:rPr>
            </w:pPr>
          </w:p>
        </w:tc>
        <w:tc>
          <w:tcPr>
            <w:tcW w:w="443" w:type="pct"/>
            <w:gridSpan w:val="3"/>
            <w:vAlign w:val="center"/>
          </w:tcPr>
          <w:p w:rsidR="00EE7902" w:rsidRPr="00EE7902" w:rsidRDefault="00EE7902" w:rsidP="00EE7902">
            <w:pPr>
              <w:spacing w:after="0" w:line="240" w:lineRule="auto"/>
              <w:rPr>
                <w:rFonts w:ascii="Calibri" w:eastAsia="Times New Roman" w:hAnsi="Calibri" w:cs="Times New Roman"/>
                <w:color w:val="000000"/>
              </w:rPr>
            </w:pPr>
          </w:p>
        </w:tc>
        <w:tc>
          <w:tcPr>
            <w:tcW w:w="1203" w:type="pct"/>
            <w:gridSpan w:val="5"/>
            <w:vAlign w:val="center"/>
          </w:tcPr>
          <w:p w:rsidR="00EE7902" w:rsidRPr="00EE7902" w:rsidRDefault="00EE7902" w:rsidP="00EE7902">
            <w:pPr>
              <w:spacing w:after="0" w:line="240" w:lineRule="auto"/>
              <w:rPr>
                <w:rFonts w:ascii="Calibri" w:eastAsia="Times New Roman" w:hAnsi="Calibri" w:cs="Times New Roman"/>
                <w:color w:val="000000"/>
              </w:rPr>
            </w:pPr>
          </w:p>
        </w:tc>
      </w:tr>
      <w:tr w:rsidR="00EE7902" w:rsidRPr="00EE7902" w:rsidTr="00550BED">
        <w:trPr>
          <w:trHeight w:val="837"/>
          <w:jc w:val="center"/>
        </w:trPr>
        <w:tc>
          <w:tcPr>
            <w:tcW w:w="5000" w:type="pct"/>
            <w:gridSpan w:val="19"/>
            <w:tcBorders>
              <w:bottom w:val="double" w:sz="6" w:space="0" w:color="auto"/>
            </w:tcBorders>
          </w:tcPr>
          <w:p w:rsidR="00EE7902" w:rsidRPr="00EE7902" w:rsidRDefault="00EE7902" w:rsidP="00EE7902">
            <w:pPr>
              <w:spacing w:after="0" w:line="240" w:lineRule="auto"/>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 xml:space="preserve">NOTICE: Failure to file a report required by the Commodity Exchange Act (“CEA” or the “Act”) and the regulations thereunder, or the filing of a report with the Commodity Futures Trading Commission (“CFTC” or “Commission”) that includes a false, misleading or fraudulent statement or omits material facts that are required to be reported therein or are necessary to make the report not misleading, may (a) constitute a violation of § 6(c)(2) of the Act (7 U.S.C. 9), § 9(a)(3) of the Act (7 U.S.C. 13(a)(3)), and/or § 1001 of Title 18, Crimes and Criminal Procedure (18 U.S.C. 1001) and (b) result in punishment by fine or imprisonment, or both. </w:t>
            </w:r>
            <w:r w:rsidRPr="00EE7902">
              <w:rPr>
                <w:rFonts w:ascii="Calibri" w:eastAsia="Times New Roman" w:hAnsi="Calibri" w:cs="Times New Roman"/>
                <w:bCs/>
                <w:color w:val="000000"/>
                <w:sz w:val="16"/>
                <w:szCs w:val="16"/>
              </w:rPr>
              <w:t xml:space="preserve">Please be advised that pursuant to 5 CFR </w:t>
            </w:r>
            <w:r w:rsidRPr="00EE7902">
              <w:rPr>
                <w:rFonts w:ascii="Calibri" w:eastAsia="Times New Roman" w:hAnsi="Calibri" w:cs="Times New Roman"/>
                <w:color w:val="000000"/>
                <w:sz w:val="16"/>
                <w:szCs w:val="16"/>
              </w:rPr>
              <w:t xml:space="preserve">§ </w:t>
            </w:r>
            <w:r w:rsidRPr="00EE7902">
              <w:rPr>
                <w:rFonts w:ascii="Calibri" w:eastAsia="Times New Roman" w:hAnsi="Calibri" w:cs="Times New Roman"/>
                <w:bCs/>
                <w:color w:val="000000"/>
                <w:sz w:val="16"/>
                <w:szCs w:val="16"/>
              </w:rPr>
              <w:t>1320.5(b</w:t>
            </w:r>
            <w:proofErr w:type="gramStart"/>
            <w:r w:rsidRPr="00EE7902">
              <w:rPr>
                <w:rFonts w:ascii="Calibri" w:eastAsia="Times New Roman" w:hAnsi="Calibri" w:cs="Times New Roman"/>
                <w:bCs/>
                <w:color w:val="000000"/>
                <w:sz w:val="16"/>
                <w:szCs w:val="16"/>
              </w:rPr>
              <w:t>)(</w:t>
            </w:r>
            <w:proofErr w:type="gramEnd"/>
            <w:r w:rsidRPr="00EE7902">
              <w:rPr>
                <w:rFonts w:ascii="Calibri" w:eastAsia="Times New Roman" w:hAnsi="Calibri" w:cs="Times New Roman"/>
                <w:bCs/>
                <w:color w:val="000000"/>
                <w:sz w:val="16"/>
                <w:szCs w:val="16"/>
              </w:rPr>
              <w:t xml:space="preserve">2)(i), you are not required to respond to this collection of </w:t>
            </w:r>
            <w:r w:rsidRPr="00EE7902">
              <w:rPr>
                <w:rFonts w:ascii="Calibri" w:eastAsia="Times New Roman" w:hAnsi="Calibri" w:cs="Times New Roman"/>
                <w:color w:val="000000"/>
                <w:sz w:val="16"/>
                <w:szCs w:val="16"/>
              </w:rPr>
              <w:t>information</w:t>
            </w:r>
            <w:r w:rsidRPr="00EE7902">
              <w:rPr>
                <w:rFonts w:ascii="Calibri" w:eastAsia="Times New Roman" w:hAnsi="Calibri" w:cs="Times New Roman"/>
                <w:bCs/>
                <w:color w:val="000000"/>
                <w:sz w:val="16"/>
                <w:szCs w:val="16"/>
              </w:rPr>
              <w:t xml:space="preserve"> unless it displays a currently valid OMB control number</w:t>
            </w:r>
            <w:r w:rsidRPr="00EE7902">
              <w:rPr>
                <w:rFonts w:ascii="Calibri" w:eastAsia="Times New Roman" w:hAnsi="Calibri" w:cs="Times New Roman"/>
                <w:color w:val="000000"/>
                <w:sz w:val="16"/>
                <w:szCs w:val="16"/>
              </w:rPr>
              <w:t>.</w:t>
            </w:r>
          </w:p>
        </w:tc>
      </w:tr>
      <w:tr w:rsidR="00EE7902" w:rsidRPr="00EE7902" w:rsidTr="00550BED">
        <w:trPr>
          <w:trHeight w:val="306"/>
          <w:jc w:val="center"/>
        </w:trPr>
        <w:tc>
          <w:tcPr>
            <w:tcW w:w="5000" w:type="pct"/>
            <w:gridSpan w:val="19"/>
            <w:shd w:val="clear" w:color="auto" w:fill="D9D9D9" w:themeFill="background1" w:themeFillShade="D9"/>
            <w:vAlign w:val="center"/>
          </w:tcPr>
          <w:p w:rsidR="00EE7902" w:rsidRPr="00EE7902" w:rsidRDefault="00EE7902" w:rsidP="00EE7902">
            <w:pPr>
              <w:tabs>
                <w:tab w:val="left" w:pos="630"/>
              </w:tabs>
              <w:spacing w:after="0" w:line="240" w:lineRule="auto"/>
              <w:contextualSpacing/>
              <w:rPr>
                <w:rFonts w:ascii="Calibri" w:eastAsia="Calibri" w:hAnsi="Calibri" w:cs="Times New Roman"/>
                <w:sz w:val="20"/>
                <w:szCs w:val="20"/>
              </w:rPr>
            </w:pPr>
            <w:r w:rsidRPr="00EE7902">
              <w:rPr>
                <w:rFonts w:ascii="Calibri" w:eastAsia="Calibri" w:hAnsi="Calibri" w:cs="Calibri"/>
                <w:color w:val="000000"/>
                <w:sz w:val="20"/>
                <w:szCs w:val="20"/>
              </w:rPr>
              <w:t>A. Initial Anticipatory Exemption Statement and Supplemental Statement for Change in Anticipatory Activity pursuant to § 150.7 (d) and (e)</w:t>
            </w:r>
          </w:p>
        </w:tc>
      </w:tr>
      <w:tr w:rsidR="00EE7902" w:rsidRPr="00EE7902" w:rsidTr="00550BED">
        <w:trPr>
          <w:trHeight w:val="1548"/>
          <w:jc w:val="center"/>
        </w:trPr>
        <w:tc>
          <w:tcPr>
            <w:tcW w:w="570" w:type="pct"/>
            <w:vMerge w:val="restar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Anticipated Activity (Production, Requirements, Royalty Receipts, Service Contract Payments or Receipt)</w:t>
            </w:r>
          </w:p>
        </w:tc>
        <w:tc>
          <w:tcPr>
            <w:tcW w:w="443" w:type="pct"/>
            <w:vMerge w:val="restar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Type and Name of Cash Commodity Underlying Anticipated Activity</w:t>
            </w:r>
          </w:p>
        </w:tc>
        <w:tc>
          <w:tcPr>
            <w:tcW w:w="380" w:type="pct"/>
            <w:vMerge w:val="restar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 xml:space="preserve">Units for Cash Commodity (Specify Tons, CWT, Lbs., Bu., </w:t>
            </w:r>
            <w:proofErr w:type="spellStart"/>
            <w:proofErr w:type="gramStart"/>
            <w:r w:rsidRPr="00EE7902">
              <w:rPr>
                <w:rFonts w:ascii="Calibri" w:eastAsia="Times New Roman" w:hAnsi="Calibri" w:cs="Times New Roman"/>
                <w:color w:val="000000"/>
                <w:sz w:val="16"/>
                <w:szCs w:val="16"/>
              </w:rPr>
              <w:t>Bbls</w:t>
            </w:r>
            <w:proofErr w:type="spellEnd"/>
            <w:r w:rsidRPr="00EE7902">
              <w:rPr>
                <w:rFonts w:ascii="Calibri" w:eastAsia="Times New Roman" w:hAnsi="Calibri" w:cs="Times New Roman"/>
                <w:color w:val="000000"/>
                <w:sz w:val="16"/>
                <w:szCs w:val="16"/>
              </w:rPr>
              <w:t>.,</w:t>
            </w:r>
            <w:proofErr w:type="gramEnd"/>
            <w:r w:rsidRPr="00EE7902">
              <w:rPr>
                <w:rFonts w:ascii="Calibri" w:eastAsia="Times New Roman" w:hAnsi="Calibri" w:cs="Times New Roman"/>
                <w:color w:val="000000"/>
                <w:sz w:val="16"/>
                <w:szCs w:val="16"/>
              </w:rPr>
              <w:t xml:space="preserve"> etc.)</w:t>
            </w:r>
          </w:p>
        </w:tc>
        <w:tc>
          <w:tcPr>
            <w:tcW w:w="380" w:type="pct"/>
            <w:vMerge w:val="restar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Core Referenced Futures contract (CRFC)</w:t>
            </w:r>
          </w:p>
        </w:tc>
        <w:tc>
          <w:tcPr>
            <w:tcW w:w="443" w:type="pct"/>
            <w:gridSpan w:val="2"/>
            <w:vMerge w:val="restart"/>
            <w:vAlign w:val="center"/>
          </w:tcPr>
          <w:p w:rsidR="00EE7902" w:rsidRPr="00EE7902" w:rsidRDefault="00EE7902" w:rsidP="00EE7902">
            <w:pPr>
              <w:spacing w:after="0" w:line="240" w:lineRule="auto"/>
              <w:jc w:val="center"/>
              <w:rPr>
                <w:rFonts w:ascii="Calibri" w:eastAsia="Times New Roman" w:hAnsi="Calibri" w:cs="Times New Roman"/>
                <w:b/>
                <w:color w:val="000000"/>
                <w:sz w:val="16"/>
                <w:szCs w:val="16"/>
              </w:rPr>
            </w:pPr>
            <w:r w:rsidRPr="00EE7902">
              <w:rPr>
                <w:rFonts w:ascii="Calibri" w:eastAsia="Times New Roman" w:hAnsi="Calibri" w:cs="Times New Roman"/>
                <w:color w:val="000000"/>
                <w:sz w:val="16"/>
                <w:szCs w:val="16"/>
              </w:rPr>
              <w:t xml:space="preserve">Cash Commodity Same as (S) or Cross-hedged (C-H) with Core Reference Futures Contract (CRFC)  </w:t>
            </w:r>
          </w:p>
        </w:tc>
        <w:tc>
          <w:tcPr>
            <w:tcW w:w="538" w:type="pct"/>
            <w:gridSpan w:val="2"/>
            <w:vMerge w:val="restart"/>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 xml:space="preserve">Annual Production, Requirements, Royalty Receipts, Service Contract Payments or Receipts for Preceding Three Years </w:t>
            </w:r>
          </w:p>
        </w:tc>
        <w:tc>
          <w:tcPr>
            <w:tcW w:w="443" w:type="pct"/>
            <w:gridSpan w:val="2"/>
            <w:vMerge w:val="restart"/>
            <w:tcBorders>
              <w:bottom w:val="double" w:sz="6" w:space="0" w:color="auto"/>
            </w:tcBorders>
            <w:shd w:val="clear" w:color="auto" w:fill="auto"/>
            <w:vAlign w:val="center"/>
            <w:hideMark/>
          </w:tcPr>
          <w:p w:rsidR="00EE7902" w:rsidRPr="00EE7902" w:rsidRDefault="00EE7902" w:rsidP="00EE7902">
            <w:pPr>
              <w:spacing w:after="0" w:line="240" w:lineRule="auto"/>
              <w:jc w:val="center"/>
              <w:rPr>
                <w:rFonts w:ascii="Calibri" w:eastAsia="Times New Roman" w:hAnsi="Calibri" w:cs="Times New Roman"/>
                <w:color w:val="FF0000"/>
                <w:sz w:val="16"/>
                <w:szCs w:val="16"/>
              </w:rPr>
            </w:pPr>
            <w:r w:rsidRPr="00EE7902">
              <w:rPr>
                <w:rFonts w:ascii="Calibri" w:eastAsia="Times New Roman" w:hAnsi="Calibri" w:cs="Times New Roman"/>
                <w:color w:val="000000"/>
                <w:sz w:val="16"/>
                <w:szCs w:val="16"/>
              </w:rPr>
              <w:t>Specified Time Period for which Anticipatory Hedge Exemption is Claimed</w:t>
            </w:r>
          </w:p>
        </w:tc>
        <w:tc>
          <w:tcPr>
            <w:tcW w:w="443" w:type="pct"/>
            <w:gridSpan w:val="2"/>
            <w:vMerge w:val="restart"/>
            <w:tcBorders>
              <w:bottom w:val="double" w:sz="6" w:space="0" w:color="auto"/>
            </w:tcBorders>
            <w:shd w:val="clear" w:color="auto" w:fill="auto"/>
            <w:vAlign w:val="center"/>
          </w:tcPr>
          <w:p w:rsidR="00EE7902" w:rsidRPr="00EE7902" w:rsidRDefault="00EE7902" w:rsidP="00EE7902">
            <w:pPr>
              <w:spacing w:after="0" w:line="240" w:lineRule="auto"/>
              <w:jc w:val="center"/>
              <w:rPr>
                <w:rFonts w:ascii="Calibri" w:eastAsia="Times New Roman" w:hAnsi="Calibri" w:cs="Times New Roman"/>
                <w:color w:val="FF0000"/>
                <w:sz w:val="16"/>
                <w:szCs w:val="16"/>
              </w:rPr>
            </w:pPr>
            <w:r w:rsidRPr="00EE7902">
              <w:rPr>
                <w:rFonts w:ascii="Calibri" w:eastAsia="Times New Roman" w:hAnsi="Calibri" w:cs="Times New Roman"/>
                <w:color w:val="000000"/>
                <w:sz w:val="16"/>
                <w:szCs w:val="16"/>
              </w:rPr>
              <w:t>Anticipated Activity for Such specified Time Period in Futures Equivalent</w:t>
            </w:r>
          </w:p>
        </w:tc>
        <w:tc>
          <w:tcPr>
            <w:tcW w:w="411" w:type="pct"/>
            <w:gridSpan w:val="3"/>
            <w:vMerge w:val="restart"/>
            <w:tcBorders>
              <w:bottom w:val="double" w:sz="6" w:space="0" w:color="auto"/>
            </w:tcBorders>
            <w:shd w:val="clear" w:color="auto" w:fill="auto"/>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Fixed-Price Forward sales, Inventory, and Fixed Price Forward Purchases</w:t>
            </w:r>
          </w:p>
        </w:tc>
        <w:tc>
          <w:tcPr>
            <w:tcW w:w="411" w:type="pct"/>
            <w:gridSpan w:val="2"/>
            <w:vMerge w:val="restart"/>
            <w:tcBorders>
              <w:bottom w:val="double" w:sz="6" w:space="0" w:color="auto"/>
            </w:tcBorders>
            <w:shd w:val="clear" w:color="auto" w:fill="auto"/>
            <w:vAlign w:val="center"/>
            <w:hideMark/>
          </w:tcPr>
          <w:p w:rsidR="00EE7902" w:rsidRPr="00EE7902" w:rsidRDefault="00EE7902" w:rsidP="00EE7902">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Unsold, Unfilled and Anticipated Activity</w:t>
            </w:r>
          </w:p>
        </w:tc>
        <w:tc>
          <w:tcPr>
            <w:tcW w:w="538" w:type="pct"/>
            <w:gridSpan w:val="2"/>
            <w:vMerge w:val="restart"/>
            <w:tcBorders>
              <w:bottom w:val="double" w:sz="6" w:space="0" w:color="auto"/>
            </w:tcBorders>
            <w:shd w:val="clear" w:color="auto" w:fill="auto"/>
            <w:vAlign w:val="center"/>
            <w:hideMark/>
          </w:tcPr>
          <w:p w:rsidR="00EE7902" w:rsidRPr="00EE7902" w:rsidRDefault="00EE7902" w:rsidP="00EE7902">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Maximum Number of Long or Short Positions in RC expected to be used to offset Anticipated Activity</w:t>
            </w:r>
          </w:p>
        </w:tc>
      </w:tr>
      <w:tr w:rsidR="00EE7902" w:rsidRPr="00EE7902" w:rsidTr="00550BED">
        <w:trPr>
          <w:trHeight w:val="195"/>
          <w:jc w:val="center"/>
        </w:trPr>
        <w:tc>
          <w:tcPr>
            <w:tcW w:w="570" w:type="pct"/>
            <w:vMerge/>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vMerge/>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380" w:type="pct"/>
            <w:vMerge/>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380" w:type="pct"/>
            <w:vMerge/>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gridSpan w:val="2"/>
            <w:vMerge/>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538" w:type="pct"/>
            <w:gridSpan w:val="2"/>
            <w:vMerge/>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gridSpan w:val="2"/>
            <w:vMerge/>
            <w:shd w:val="clear" w:color="auto" w:fill="auto"/>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gridSpan w:val="2"/>
            <w:vMerge/>
            <w:shd w:val="clear" w:color="auto" w:fill="auto"/>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11" w:type="pct"/>
            <w:gridSpan w:val="3"/>
            <w:vMerge/>
            <w:shd w:val="clear" w:color="auto" w:fill="auto"/>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11" w:type="pct"/>
            <w:gridSpan w:val="2"/>
            <w:vMerge/>
            <w:shd w:val="clear" w:color="auto" w:fill="auto"/>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538" w:type="pct"/>
            <w:gridSpan w:val="2"/>
            <w:vMerge/>
            <w:shd w:val="clear" w:color="auto" w:fill="auto"/>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r>
      <w:tr w:rsidR="00EE7902" w:rsidRPr="00EE7902" w:rsidTr="00550BED">
        <w:trPr>
          <w:trHeight w:val="360"/>
          <w:jc w:val="center"/>
        </w:trPr>
        <w:tc>
          <w:tcPr>
            <w:tcW w:w="570" w:type="pc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380" w:type="pc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380" w:type="pc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gridSpan w:val="2"/>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538" w:type="pct"/>
            <w:gridSpan w:val="2"/>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gridSpan w:val="2"/>
            <w:tcBorders>
              <w:bottom w:val="double" w:sz="6" w:space="0" w:color="auto"/>
            </w:tcBorders>
            <w:shd w:val="clear" w:color="auto" w:fill="auto"/>
            <w:noWrap/>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gridSpan w:val="2"/>
            <w:tcBorders>
              <w:bottom w:val="double" w:sz="6" w:space="0" w:color="auto"/>
            </w:tcBorders>
            <w:shd w:val="clear" w:color="auto" w:fill="auto"/>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11" w:type="pct"/>
            <w:gridSpan w:val="3"/>
            <w:tcBorders>
              <w:bottom w:val="double" w:sz="6" w:space="0" w:color="auto"/>
            </w:tcBorders>
            <w:shd w:val="clear" w:color="auto" w:fill="auto"/>
            <w:noWrap/>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11" w:type="pct"/>
            <w:gridSpan w:val="2"/>
            <w:tcBorders>
              <w:bottom w:val="double" w:sz="6" w:space="0" w:color="auto"/>
            </w:tcBorders>
            <w:shd w:val="clear" w:color="auto" w:fill="auto"/>
            <w:noWrap/>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538" w:type="pct"/>
            <w:gridSpan w:val="2"/>
            <w:tcBorders>
              <w:bottom w:val="double" w:sz="6" w:space="0" w:color="auto"/>
            </w:tcBorders>
            <w:shd w:val="clear" w:color="auto" w:fill="auto"/>
            <w:noWrap/>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r>
      <w:tr w:rsidR="00EE7902" w:rsidRPr="00EE7902" w:rsidTr="00550BED">
        <w:trPr>
          <w:trHeight w:val="324"/>
          <w:jc w:val="center"/>
        </w:trPr>
        <w:tc>
          <w:tcPr>
            <w:tcW w:w="5000" w:type="pct"/>
            <w:gridSpan w:val="19"/>
            <w:shd w:val="clear" w:color="auto" w:fill="D9D9D9" w:themeFill="background1" w:themeFillShade="D9"/>
          </w:tcPr>
          <w:p w:rsidR="00EE7902" w:rsidRPr="00EE7902" w:rsidRDefault="00EE7902" w:rsidP="00EE7902">
            <w:pPr>
              <w:spacing w:after="0" w:line="240" w:lineRule="auto"/>
              <w:rPr>
                <w:rFonts w:ascii="Calibri" w:eastAsia="Times New Roman" w:hAnsi="Calibri" w:cs="Times New Roman"/>
                <w:color w:val="000000"/>
                <w:sz w:val="20"/>
                <w:szCs w:val="20"/>
              </w:rPr>
            </w:pPr>
          </w:p>
        </w:tc>
      </w:tr>
      <w:tr w:rsidR="00EE7902" w:rsidRPr="00EE7902" w:rsidTr="00550BED">
        <w:trPr>
          <w:trHeight w:val="378"/>
          <w:jc w:val="center"/>
        </w:trPr>
        <w:tc>
          <w:tcPr>
            <w:tcW w:w="5000" w:type="pct"/>
            <w:gridSpan w:val="19"/>
            <w:vAlign w:val="center"/>
          </w:tcPr>
          <w:p w:rsidR="00EE7902" w:rsidRPr="00EE7902" w:rsidRDefault="00EE7902" w:rsidP="00EE7902">
            <w:pPr>
              <w:spacing w:after="0" w:line="240" w:lineRule="auto"/>
              <w:rPr>
                <w:rFonts w:ascii="Calibri" w:eastAsia="Calibri" w:hAnsi="Calibri" w:cs="Times New Roman"/>
                <w:sz w:val="20"/>
                <w:szCs w:val="20"/>
              </w:rPr>
            </w:pPr>
          </w:p>
          <w:p w:rsidR="00EE7902" w:rsidRPr="00EE7902" w:rsidRDefault="00EE7902" w:rsidP="00EE7902">
            <w:pPr>
              <w:spacing w:after="0" w:line="240" w:lineRule="auto"/>
              <w:rPr>
                <w:rFonts w:ascii="Calibri" w:eastAsia="Calibri" w:hAnsi="Calibri" w:cs="Times New Roman"/>
                <w:sz w:val="20"/>
                <w:szCs w:val="20"/>
              </w:rPr>
            </w:pPr>
          </w:p>
        </w:tc>
      </w:tr>
      <w:tr w:rsidR="00EE7902" w:rsidRPr="00EE7902" w:rsidTr="00550BED">
        <w:trPr>
          <w:trHeight w:val="306"/>
          <w:jc w:val="center"/>
        </w:trPr>
        <w:tc>
          <w:tcPr>
            <w:tcW w:w="5000" w:type="pct"/>
            <w:gridSpan w:val="19"/>
            <w:shd w:val="clear" w:color="auto" w:fill="D9D9D9" w:themeFill="background1" w:themeFillShade="D9"/>
            <w:vAlign w:val="center"/>
          </w:tcPr>
          <w:p w:rsidR="00EE7902" w:rsidRPr="00EE7902" w:rsidRDefault="00EE7902" w:rsidP="00EE7902">
            <w:pPr>
              <w:tabs>
                <w:tab w:val="left" w:pos="630"/>
              </w:tabs>
              <w:spacing w:after="0" w:line="240" w:lineRule="auto"/>
              <w:contextualSpacing/>
              <w:rPr>
                <w:rFonts w:ascii="Calibri" w:eastAsia="Calibri" w:hAnsi="Calibri" w:cs="Times New Roman"/>
                <w:sz w:val="20"/>
                <w:szCs w:val="20"/>
              </w:rPr>
            </w:pPr>
            <w:r w:rsidRPr="00EE7902">
              <w:rPr>
                <w:rFonts w:ascii="Calibri" w:eastAsia="Calibri" w:hAnsi="Calibri" w:cs="Calibri"/>
                <w:color w:val="000000"/>
                <w:sz w:val="20"/>
                <w:szCs w:val="20"/>
              </w:rPr>
              <w:lastRenderedPageBreak/>
              <w:t>B. Annual Update Statement on the Utilization of Anticipatory Exemption pursuant to § 150.7 (f)</w:t>
            </w:r>
          </w:p>
        </w:tc>
      </w:tr>
      <w:tr w:rsidR="00EE7902" w:rsidRPr="00EE7902" w:rsidTr="00550BED">
        <w:trPr>
          <w:trHeight w:val="1548"/>
          <w:jc w:val="center"/>
        </w:trPr>
        <w:tc>
          <w:tcPr>
            <w:tcW w:w="570" w:type="pct"/>
            <w:vMerge w:val="restar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Anticipated Activity (Production, Requirements, Royalty Receipts, Service Contract Payments or Receipt)</w:t>
            </w:r>
          </w:p>
        </w:tc>
        <w:tc>
          <w:tcPr>
            <w:tcW w:w="443" w:type="pct"/>
            <w:vMerge w:val="restar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Type and Name of Cash Commodity Underlying Anticipated Activity</w:t>
            </w:r>
          </w:p>
        </w:tc>
        <w:tc>
          <w:tcPr>
            <w:tcW w:w="380" w:type="pct"/>
            <w:vMerge w:val="restar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 xml:space="preserve">Units for Cash Commodity (Specify Tons, CWT, Lbs., Bu., </w:t>
            </w:r>
            <w:proofErr w:type="spellStart"/>
            <w:proofErr w:type="gramStart"/>
            <w:r w:rsidRPr="00EE7902">
              <w:rPr>
                <w:rFonts w:ascii="Calibri" w:eastAsia="Times New Roman" w:hAnsi="Calibri" w:cs="Times New Roman"/>
                <w:color w:val="000000"/>
                <w:sz w:val="16"/>
                <w:szCs w:val="16"/>
              </w:rPr>
              <w:t>Bbls</w:t>
            </w:r>
            <w:proofErr w:type="spellEnd"/>
            <w:r w:rsidRPr="00EE7902">
              <w:rPr>
                <w:rFonts w:ascii="Calibri" w:eastAsia="Times New Roman" w:hAnsi="Calibri" w:cs="Times New Roman"/>
                <w:color w:val="000000"/>
                <w:sz w:val="16"/>
                <w:szCs w:val="16"/>
              </w:rPr>
              <w:t>.,</w:t>
            </w:r>
            <w:proofErr w:type="gramEnd"/>
            <w:r w:rsidRPr="00EE7902">
              <w:rPr>
                <w:rFonts w:ascii="Calibri" w:eastAsia="Times New Roman" w:hAnsi="Calibri" w:cs="Times New Roman"/>
                <w:color w:val="000000"/>
                <w:sz w:val="16"/>
                <w:szCs w:val="16"/>
              </w:rPr>
              <w:t xml:space="preserve"> etc.)</w:t>
            </w:r>
          </w:p>
        </w:tc>
        <w:tc>
          <w:tcPr>
            <w:tcW w:w="380" w:type="pct"/>
            <w:vMerge w:val="restar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Core Referenced Futures contract (CRFC)</w:t>
            </w:r>
          </w:p>
        </w:tc>
        <w:tc>
          <w:tcPr>
            <w:tcW w:w="443" w:type="pct"/>
            <w:gridSpan w:val="2"/>
            <w:vMerge w:val="restart"/>
            <w:vAlign w:val="center"/>
          </w:tcPr>
          <w:p w:rsidR="00EE7902" w:rsidRPr="00EE7902" w:rsidRDefault="00EE7902" w:rsidP="00EE7902">
            <w:pPr>
              <w:spacing w:after="0" w:line="240" w:lineRule="auto"/>
              <w:jc w:val="center"/>
              <w:rPr>
                <w:rFonts w:ascii="Calibri" w:eastAsia="Times New Roman" w:hAnsi="Calibri" w:cs="Times New Roman"/>
                <w:b/>
                <w:color w:val="000000"/>
                <w:sz w:val="16"/>
                <w:szCs w:val="16"/>
              </w:rPr>
            </w:pPr>
            <w:r w:rsidRPr="00EE7902">
              <w:rPr>
                <w:rFonts w:ascii="Calibri" w:eastAsia="Times New Roman" w:hAnsi="Calibri" w:cs="Times New Roman"/>
                <w:color w:val="000000"/>
                <w:sz w:val="16"/>
                <w:szCs w:val="16"/>
              </w:rPr>
              <w:t xml:space="preserve">Cash Commodity Same as (S) or Cross-hedged (C-H) with Core Reference Futures Contract (CRFC)  </w:t>
            </w:r>
          </w:p>
        </w:tc>
        <w:tc>
          <w:tcPr>
            <w:tcW w:w="443" w:type="pct"/>
            <w:vMerge w:val="restart"/>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 xml:space="preserve">Actual Production, Requirements, Royalty Receipts, Service Contract Payments or Receipts for the Month </w:t>
            </w:r>
          </w:p>
        </w:tc>
        <w:tc>
          <w:tcPr>
            <w:tcW w:w="538" w:type="pct"/>
            <w:gridSpan w:val="3"/>
            <w:vMerge w:val="restart"/>
            <w:tcBorders>
              <w:bottom w:val="double" w:sz="6" w:space="0" w:color="auto"/>
            </w:tcBorders>
            <w:shd w:val="clear" w:color="auto" w:fill="auto"/>
            <w:vAlign w:val="center"/>
            <w:hideMark/>
          </w:tcPr>
          <w:p w:rsidR="00EE7902" w:rsidRPr="00EE7902" w:rsidRDefault="00EE7902" w:rsidP="00EE7902">
            <w:pPr>
              <w:spacing w:after="0" w:line="240" w:lineRule="auto"/>
              <w:jc w:val="center"/>
              <w:rPr>
                <w:rFonts w:ascii="Calibri" w:eastAsia="Times New Roman" w:hAnsi="Calibri" w:cs="Times New Roman"/>
                <w:color w:val="FF0000"/>
                <w:sz w:val="16"/>
                <w:szCs w:val="16"/>
              </w:rPr>
            </w:pPr>
            <w:r w:rsidRPr="00EE7902">
              <w:rPr>
                <w:rFonts w:ascii="Calibri" w:eastAsia="Times New Roman" w:hAnsi="Calibri" w:cs="Times New Roman"/>
                <w:color w:val="000000"/>
                <w:sz w:val="16"/>
                <w:szCs w:val="16"/>
              </w:rPr>
              <w:t>Cumulative Actual Production, Requirements, Royalty Receipts, Service Contract Payments or Receipts for All Months since the Initial Statement</w:t>
            </w:r>
          </w:p>
        </w:tc>
        <w:tc>
          <w:tcPr>
            <w:tcW w:w="443" w:type="pct"/>
            <w:gridSpan w:val="2"/>
            <w:vMerge w:val="restart"/>
            <w:tcBorders>
              <w:bottom w:val="double" w:sz="6" w:space="0" w:color="auto"/>
            </w:tcBorders>
            <w:shd w:val="clear" w:color="auto" w:fill="auto"/>
            <w:vAlign w:val="center"/>
          </w:tcPr>
          <w:p w:rsidR="00EE7902" w:rsidRPr="00EE7902" w:rsidRDefault="00EE7902" w:rsidP="00EE7902">
            <w:pPr>
              <w:spacing w:after="0" w:line="240" w:lineRule="auto"/>
              <w:jc w:val="center"/>
              <w:rPr>
                <w:rFonts w:ascii="Calibri" w:eastAsia="Times New Roman" w:hAnsi="Calibri" w:cs="Times New Roman"/>
                <w:color w:val="FF0000"/>
                <w:sz w:val="16"/>
                <w:szCs w:val="16"/>
              </w:rPr>
            </w:pPr>
            <w:r w:rsidRPr="00EE7902">
              <w:rPr>
                <w:rFonts w:ascii="Calibri" w:eastAsia="Times New Roman" w:hAnsi="Calibri" w:cs="Times New Roman"/>
                <w:color w:val="000000"/>
                <w:sz w:val="16"/>
                <w:szCs w:val="16"/>
              </w:rPr>
              <w:t>Estimated Anticipated Activity for the Remainder of Such specified Time Period in Futures Equivalent</w:t>
            </w:r>
          </w:p>
        </w:tc>
        <w:tc>
          <w:tcPr>
            <w:tcW w:w="411" w:type="pct"/>
            <w:gridSpan w:val="3"/>
            <w:vMerge w:val="restart"/>
            <w:tcBorders>
              <w:bottom w:val="double" w:sz="6" w:space="0" w:color="auto"/>
            </w:tcBorders>
            <w:shd w:val="clear" w:color="auto" w:fill="auto"/>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Fixed-Price Forward sales, Inventory, and Fixed Price Forward Purchases for the Month</w:t>
            </w:r>
          </w:p>
        </w:tc>
        <w:tc>
          <w:tcPr>
            <w:tcW w:w="411" w:type="pct"/>
            <w:gridSpan w:val="2"/>
            <w:vMerge w:val="restart"/>
            <w:tcBorders>
              <w:bottom w:val="double" w:sz="6" w:space="0" w:color="auto"/>
            </w:tcBorders>
            <w:shd w:val="clear" w:color="auto" w:fill="auto"/>
            <w:vAlign w:val="center"/>
            <w:hideMark/>
          </w:tcPr>
          <w:p w:rsidR="00EE7902" w:rsidRPr="00EE7902" w:rsidRDefault="00EE7902" w:rsidP="00EE7902">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Remaining Unsold, Unfilled and Other Anticipated Activity for the Specified Period</w:t>
            </w:r>
          </w:p>
        </w:tc>
        <w:tc>
          <w:tcPr>
            <w:tcW w:w="538" w:type="pct"/>
            <w:gridSpan w:val="2"/>
            <w:vMerge w:val="restart"/>
            <w:tcBorders>
              <w:bottom w:val="double" w:sz="6" w:space="0" w:color="auto"/>
            </w:tcBorders>
            <w:shd w:val="clear" w:color="auto" w:fill="auto"/>
            <w:vAlign w:val="center"/>
            <w:hideMark/>
          </w:tcPr>
          <w:p w:rsidR="00EE7902" w:rsidRPr="00EE7902" w:rsidRDefault="00EE7902" w:rsidP="00EE7902">
            <w:pPr>
              <w:widowControl w:val="0"/>
              <w:autoSpaceDE w:val="0"/>
              <w:autoSpaceDN w:val="0"/>
              <w:adjustRightInd w:val="0"/>
              <w:spacing w:after="0" w:line="240" w:lineRule="auto"/>
              <w:jc w:val="center"/>
              <w:rPr>
                <w:rFonts w:ascii="Calibri" w:eastAsia="Times New Roman" w:hAnsi="Calibri" w:cs="Times New Roman"/>
                <w:color w:val="000000"/>
                <w:sz w:val="16"/>
                <w:szCs w:val="16"/>
              </w:rPr>
            </w:pPr>
            <w:r w:rsidRPr="00EE7902">
              <w:rPr>
                <w:rFonts w:ascii="Calibri" w:eastAsia="Times New Roman" w:hAnsi="Calibri" w:cs="Times New Roman"/>
                <w:color w:val="000000"/>
                <w:sz w:val="16"/>
                <w:szCs w:val="16"/>
              </w:rPr>
              <w:t>Maximum Number of Long or Short Positions in RC expected to be used to offset Anticipated Activity for the Remainder of the Specified Period</w:t>
            </w:r>
          </w:p>
        </w:tc>
      </w:tr>
      <w:tr w:rsidR="00EE7902" w:rsidRPr="00EE7902" w:rsidTr="00550BED">
        <w:trPr>
          <w:trHeight w:val="981"/>
          <w:jc w:val="center"/>
        </w:trPr>
        <w:tc>
          <w:tcPr>
            <w:tcW w:w="570" w:type="pct"/>
            <w:vMerge/>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vMerge/>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380" w:type="pct"/>
            <w:vMerge/>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380" w:type="pct"/>
            <w:vMerge/>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gridSpan w:val="2"/>
            <w:vMerge/>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vMerge/>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538" w:type="pct"/>
            <w:gridSpan w:val="3"/>
            <w:vMerge/>
            <w:shd w:val="clear" w:color="auto" w:fill="auto"/>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gridSpan w:val="2"/>
            <w:vMerge/>
            <w:shd w:val="clear" w:color="auto" w:fill="auto"/>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11" w:type="pct"/>
            <w:gridSpan w:val="3"/>
            <w:vMerge/>
            <w:shd w:val="clear" w:color="auto" w:fill="auto"/>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11" w:type="pct"/>
            <w:gridSpan w:val="2"/>
            <w:vMerge/>
            <w:shd w:val="clear" w:color="auto" w:fill="auto"/>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538" w:type="pct"/>
            <w:gridSpan w:val="2"/>
            <w:vMerge/>
            <w:shd w:val="clear" w:color="auto" w:fill="auto"/>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r>
      <w:tr w:rsidR="00EE7902" w:rsidRPr="00EE7902" w:rsidTr="00550BED">
        <w:trPr>
          <w:trHeight w:val="360"/>
          <w:jc w:val="center"/>
        </w:trPr>
        <w:tc>
          <w:tcPr>
            <w:tcW w:w="570" w:type="pc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380" w:type="pc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380" w:type="pc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gridSpan w:val="2"/>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tcBorders>
              <w:bottom w:val="double" w:sz="6" w:space="0" w:color="auto"/>
            </w:tcBorders>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538" w:type="pct"/>
            <w:gridSpan w:val="3"/>
            <w:tcBorders>
              <w:bottom w:val="double" w:sz="6" w:space="0" w:color="auto"/>
            </w:tcBorders>
            <w:shd w:val="clear" w:color="auto" w:fill="auto"/>
            <w:noWrap/>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43" w:type="pct"/>
            <w:gridSpan w:val="2"/>
            <w:tcBorders>
              <w:bottom w:val="double" w:sz="6" w:space="0" w:color="auto"/>
            </w:tcBorders>
            <w:shd w:val="clear" w:color="auto" w:fill="auto"/>
            <w:vAlign w:val="center"/>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11" w:type="pct"/>
            <w:gridSpan w:val="3"/>
            <w:tcBorders>
              <w:bottom w:val="double" w:sz="6" w:space="0" w:color="auto"/>
            </w:tcBorders>
            <w:shd w:val="clear" w:color="auto" w:fill="auto"/>
            <w:noWrap/>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411" w:type="pct"/>
            <w:gridSpan w:val="2"/>
            <w:tcBorders>
              <w:bottom w:val="double" w:sz="6" w:space="0" w:color="auto"/>
            </w:tcBorders>
            <w:shd w:val="clear" w:color="auto" w:fill="auto"/>
            <w:noWrap/>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c>
          <w:tcPr>
            <w:tcW w:w="538" w:type="pct"/>
            <w:gridSpan w:val="2"/>
            <w:tcBorders>
              <w:bottom w:val="double" w:sz="6" w:space="0" w:color="auto"/>
            </w:tcBorders>
            <w:shd w:val="clear" w:color="auto" w:fill="auto"/>
            <w:noWrap/>
            <w:vAlign w:val="center"/>
            <w:hideMark/>
          </w:tcPr>
          <w:p w:rsidR="00EE7902" w:rsidRPr="00EE7902" w:rsidRDefault="00EE7902" w:rsidP="00EE7902">
            <w:pPr>
              <w:spacing w:after="0" w:line="240" w:lineRule="auto"/>
              <w:jc w:val="center"/>
              <w:rPr>
                <w:rFonts w:ascii="Calibri" w:eastAsia="Times New Roman" w:hAnsi="Calibri" w:cs="Times New Roman"/>
                <w:color w:val="000000"/>
                <w:sz w:val="16"/>
                <w:szCs w:val="16"/>
              </w:rPr>
            </w:pPr>
          </w:p>
        </w:tc>
      </w:tr>
      <w:tr w:rsidR="00EE7902" w:rsidRPr="00EE7902" w:rsidTr="00550BED">
        <w:trPr>
          <w:trHeight w:val="324"/>
          <w:jc w:val="center"/>
        </w:trPr>
        <w:tc>
          <w:tcPr>
            <w:tcW w:w="5000" w:type="pct"/>
            <w:gridSpan w:val="19"/>
            <w:shd w:val="clear" w:color="auto" w:fill="D9D9D9" w:themeFill="background1" w:themeFillShade="D9"/>
          </w:tcPr>
          <w:p w:rsidR="00EE7902" w:rsidRPr="00EE7902" w:rsidRDefault="00EE7902" w:rsidP="00EE7902">
            <w:pPr>
              <w:spacing w:after="0" w:line="240" w:lineRule="auto"/>
              <w:rPr>
                <w:rFonts w:ascii="Calibri" w:eastAsia="Times New Roman" w:hAnsi="Calibri" w:cs="Times New Roman"/>
                <w:color w:val="000000"/>
                <w:sz w:val="20"/>
                <w:szCs w:val="20"/>
              </w:rPr>
            </w:pPr>
          </w:p>
        </w:tc>
      </w:tr>
      <w:tr w:rsidR="00EE7902" w:rsidRPr="00EE7902" w:rsidTr="00550BED">
        <w:trPr>
          <w:trHeight w:val="378"/>
          <w:jc w:val="center"/>
        </w:trPr>
        <w:tc>
          <w:tcPr>
            <w:tcW w:w="5000" w:type="pct"/>
            <w:gridSpan w:val="19"/>
            <w:vAlign w:val="center"/>
          </w:tcPr>
          <w:p w:rsidR="00EE7902" w:rsidRPr="00EE7902" w:rsidRDefault="00EE7902" w:rsidP="00EE7902">
            <w:pPr>
              <w:spacing w:after="0" w:line="240" w:lineRule="auto"/>
              <w:rPr>
                <w:rFonts w:ascii="Calibri" w:eastAsia="Calibri" w:hAnsi="Calibri" w:cs="Times New Roman"/>
                <w:sz w:val="20"/>
                <w:szCs w:val="20"/>
              </w:rPr>
            </w:pPr>
          </w:p>
          <w:p w:rsidR="00EE7902" w:rsidRPr="00EE7902" w:rsidRDefault="00EE7902" w:rsidP="00EE7902">
            <w:pPr>
              <w:spacing w:after="0" w:line="240" w:lineRule="auto"/>
              <w:rPr>
                <w:rFonts w:ascii="Calibri" w:eastAsia="Calibri" w:hAnsi="Calibri" w:cs="Times New Roman"/>
                <w:sz w:val="20"/>
                <w:szCs w:val="20"/>
              </w:rPr>
            </w:pPr>
          </w:p>
        </w:tc>
      </w:tr>
    </w:tbl>
    <w:p w:rsidR="00EE7902" w:rsidRPr="00EE7902" w:rsidRDefault="00EE7902" w:rsidP="00EE7902">
      <w:pPr>
        <w:spacing w:after="0" w:line="240" w:lineRule="auto"/>
        <w:rPr>
          <w:rFonts w:ascii="Arial" w:hAnsi="Arial" w:cs="Arial"/>
          <w:sz w:val="20"/>
          <w:szCs w:val="20"/>
        </w:rPr>
      </w:pPr>
    </w:p>
    <w:p w:rsidR="00EE7902" w:rsidRPr="00EE7902" w:rsidRDefault="00EE7902" w:rsidP="00EE7902">
      <w:pPr>
        <w:spacing w:after="0" w:line="240" w:lineRule="auto"/>
        <w:rPr>
          <w:rFonts w:ascii="Arial" w:hAnsi="Arial" w:cs="Arial"/>
          <w:sz w:val="20"/>
          <w:szCs w:val="20"/>
        </w:rPr>
      </w:pPr>
      <w:r w:rsidRPr="00EE7902">
        <w:rPr>
          <w:rFonts w:ascii="Arial" w:hAnsi="Arial" w:cs="Arial"/>
          <w:sz w:val="20"/>
          <w:szCs w:val="20"/>
        </w:rPr>
        <w:t>Please sign/authenticate the Form 704 prior to submitting.</w:t>
      </w:r>
    </w:p>
    <w:p w:rsidR="00EE7902" w:rsidRPr="00EE7902" w:rsidRDefault="00EE7902" w:rsidP="00EE7902">
      <w:pPr>
        <w:spacing w:after="0" w:line="240" w:lineRule="auto"/>
        <w:rPr>
          <w:rFonts w:ascii="Arial" w:hAnsi="Arial" w:cs="Arial"/>
          <w:sz w:val="20"/>
          <w:szCs w:val="20"/>
        </w:rPr>
      </w:pPr>
    </w:p>
    <w:p w:rsidR="00EE7902" w:rsidRPr="00EE7902" w:rsidRDefault="00EE7902" w:rsidP="00EE7902">
      <w:pPr>
        <w:spacing w:after="0" w:line="240" w:lineRule="auto"/>
        <w:ind w:left="720"/>
        <w:rPr>
          <w:rFonts w:ascii="Arial" w:hAnsi="Arial" w:cs="Arial"/>
          <w:sz w:val="20"/>
          <w:szCs w:val="20"/>
        </w:rPr>
      </w:pPr>
      <w:r w:rsidRPr="00EE7902">
        <w:rPr>
          <w:rFonts w:ascii="Arial" w:hAnsi="Arial" w:cs="Arial"/>
          <w:sz w:val="20"/>
          <w:szCs w:val="20"/>
        </w:rPr>
        <w:t>Signature/ Electronic Authentication:</w:t>
      </w:r>
    </w:p>
    <w:p w:rsidR="00EE7902" w:rsidRPr="00EE7902" w:rsidRDefault="00EE7902" w:rsidP="00EE7902">
      <w:pPr>
        <w:spacing w:after="0" w:line="240" w:lineRule="auto"/>
        <w:ind w:left="720"/>
        <w:rPr>
          <w:rFonts w:ascii="Arial" w:hAnsi="Arial" w:cs="Arial"/>
          <w:sz w:val="20"/>
          <w:szCs w:val="20"/>
        </w:rPr>
      </w:pPr>
    </w:p>
    <w:p w:rsidR="00EE7902" w:rsidRPr="00EE7902" w:rsidRDefault="00EE7902" w:rsidP="00EE7902">
      <w:pPr>
        <w:spacing w:after="0" w:line="240" w:lineRule="auto"/>
        <w:ind w:left="720"/>
        <w:rPr>
          <w:rFonts w:ascii="Arial" w:hAnsi="Arial" w:cs="Arial"/>
          <w:sz w:val="20"/>
          <w:szCs w:val="20"/>
        </w:rPr>
      </w:pPr>
      <w:r w:rsidRPr="00EE7902">
        <w:rPr>
          <w:rFonts w:ascii="Arial" w:hAnsi="Arial" w:cs="Arial"/>
          <w:sz w:val="20"/>
          <w:szCs w:val="20"/>
        </w:rPr>
        <w:t xml:space="preserve">□ By checking this box and submitting this form (or by clicking “submit,” “send,” or any other analogous transmission command if transmitting electronically), I certify that I am duly authorized by the reporting trader identified below to provide the information and representations submitted on this Form 704, and that the information and representations are true and correct.  </w:t>
      </w:r>
    </w:p>
    <w:p w:rsidR="00EE7902" w:rsidRPr="00EE7902" w:rsidRDefault="00EE7902" w:rsidP="00EE7902">
      <w:pPr>
        <w:spacing w:after="0" w:line="240" w:lineRule="auto"/>
        <w:ind w:left="720"/>
        <w:rPr>
          <w:rFonts w:ascii="Arial" w:hAnsi="Arial" w:cs="Arial"/>
          <w:sz w:val="20"/>
          <w:szCs w:val="20"/>
        </w:rPr>
      </w:pPr>
    </w:p>
    <w:p w:rsidR="00EE7902" w:rsidRPr="00EE7902" w:rsidRDefault="00EE7902" w:rsidP="00EE7902">
      <w:pPr>
        <w:spacing w:after="0" w:line="240" w:lineRule="auto"/>
        <w:ind w:left="1440" w:firstLine="720"/>
        <w:rPr>
          <w:rFonts w:ascii="Arial" w:hAnsi="Arial" w:cs="Arial"/>
          <w:sz w:val="20"/>
          <w:szCs w:val="20"/>
        </w:rPr>
      </w:pPr>
    </w:p>
    <w:p w:rsidR="00EE7902" w:rsidRPr="00EE7902" w:rsidRDefault="00EE7902" w:rsidP="00EE7902">
      <w:pPr>
        <w:spacing w:after="0" w:line="240" w:lineRule="auto"/>
        <w:ind w:left="1440" w:firstLine="720"/>
        <w:rPr>
          <w:rFonts w:ascii="Arial" w:hAnsi="Arial" w:cs="Arial"/>
          <w:sz w:val="20"/>
          <w:szCs w:val="20"/>
        </w:rPr>
      </w:pPr>
      <w:r w:rsidRPr="00EE7902">
        <w:rPr>
          <w:rFonts w:ascii="Arial" w:hAnsi="Arial" w:cs="Arial"/>
          <w:sz w:val="20"/>
          <w:szCs w:val="20"/>
        </w:rPr>
        <w:t>Reporting Trader Authorized Representative (Name and Position):</w:t>
      </w:r>
    </w:p>
    <w:p w:rsidR="00EE7902" w:rsidRPr="00EE7902" w:rsidRDefault="00EE7902" w:rsidP="00EE7902">
      <w:pPr>
        <w:spacing w:after="0" w:line="240" w:lineRule="auto"/>
        <w:ind w:left="720"/>
        <w:rPr>
          <w:rFonts w:ascii="Arial" w:hAnsi="Arial" w:cs="Arial"/>
          <w:sz w:val="20"/>
          <w:szCs w:val="20"/>
        </w:rPr>
      </w:pPr>
    </w:p>
    <w:p w:rsidR="00EE7902" w:rsidRPr="00EE7902" w:rsidRDefault="00EE7902" w:rsidP="00EE7902">
      <w:pPr>
        <w:spacing w:after="0" w:line="240" w:lineRule="auto"/>
        <w:ind w:left="2160" w:firstLine="720"/>
        <w:rPr>
          <w:rFonts w:ascii="Arial" w:hAnsi="Arial" w:cs="Arial"/>
          <w:sz w:val="20"/>
          <w:szCs w:val="20"/>
        </w:rPr>
      </w:pPr>
      <w:r w:rsidRPr="00EE7902">
        <w:rPr>
          <w:rFonts w:ascii="Arial" w:hAnsi="Arial" w:cs="Arial"/>
          <w:sz w:val="20"/>
          <w:szCs w:val="20"/>
        </w:rPr>
        <w:t>____________________ (Name)</w:t>
      </w:r>
    </w:p>
    <w:p w:rsidR="00EE7902" w:rsidRPr="00EE7902" w:rsidRDefault="00EE7902" w:rsidP="00EE7902">
      <w:pPr>
        <w:spacing w:after="0" w:line="240" w:lineRule="auto"/>
        <w:ind w:left="720"/>
        <w:rPr>
          <w:rFonts w:ascii="Arial" w:hAnsi="Arial" w:cs="Arial"/>
          <w:sz w:val="20"/>
          <w:szCs w:val="20"/>
        </w:rPr>
      </w:pPr>
    </w:p>
    <w:p w:rsidR="00EE7902" w:rsidRPr="00EE7902" w:rsidRDefault="00EE7902" w:rsidP="00EE7902">
      <w:pPr>
        <w:spacing w:after="0" w:line="240" w:lineRule="auto"/>
        <w:ind w:left="2160" w:firstLine="720"/>
        <w:rPr>
          <w:rFonts w:ascii="Arial" w:hAnsi="Arial" w:cs="Arial"/>
          <w:sz w:val="20"/>
          <w:szCs w:val="20"/>
        </w:rPr>
      </w:pPr>
      <w:r w:rsidRPr="00EE7902">
        <w:rPr>
          <w:rFonts w:ascii="Arial" w:hAnsi="Arial" w:cs="Arial"/>
          <w:sz w:val="20"/>
          <w:szCs w:val="20"/>
        </w:rPr>
        <w:t>____________________ (Position)</w:t>
      </w:r>
    </w:p>
    <w:p w:rsidR="00EE7902" w:rsidRPr="00EE7902" w:rsidRDefault="00EE7902" w:rsidP="00EE7902">
      <w:pPr>
        <w:spacing w:after="0" w:line="240" w:lineRule="auto"/>
        <w:ind w:left="720"/>
        <w:rPr>
          <w:rFonts w:ascii="Arial" w:hAnsi="Arial" w:cs="Arial"/>
          <w:sz w:val="20"/>
          <w:szCs w:val="20"/>
        </w:rPr>
      </w:pPr>
    </w:p>
    <w:p w:rsidR="00EE7902" w:rsidRPr="00EE7902" w:rsidRDefault="00EE7902" w:rsidP="00EE7902">
      <w:pPr>
        <w:spacing w:after="0" w:line="240" w:lineRule="auto"/>
        <w:ind w:left="1440" w:firstLine="720"/>
        <w:rPr>
          <w:rFonts w:ascii="Arial" w:hAnsi="Arial" w:cs="Arial"/>
          <w:sz w:val="20"/>
          <w:szCs w:val="20"/>
        </w:rPr>
      </w:pPr>
    </w:p>
    <w:p w:rsidR="00EE7902" w:rsidRPr="00EE7902" w:rsidRDefault="00EE7902" w:rsidP="00EE7902">
      <w:pPr>
        <w:spacing w:after="0" w:line="240" w:lineRule="auto"/>
        <w:ind w:left="1440" w:firstLine="720"/>
        <w:rPr>
          <w:rFonts w:ascii="Arial" w:hAnsi="Arial" w:cs="Arial"/>
          <w:sz w:val="20"/>
          <w:szCs w:val="20"/>
        </w:rPr>
      </w:pPr>
      <w:r w:rsidRPr="00EE7902">
        <w:rPr>
          <w:rFonts w:ascii="Arial" w:hAnsi="Arial" w:cs="Arial"/>
          <w:sz w:val="20"/>
          <w:szCs w:val="20"/>
        </w:rPr>
        <w:t>Submitted on behalf of:</w:t>
      </w:r>
    </w:p>
    <w:p w:rsidR="00EE7902" w:rsidRPr="00EE7902" w:rsidRDefault="00EE7902" w:rsidP="00EE7902">
      <w:pPr>
        <w:spacing w:after="0" w:line="240" w:lineRule="auto"/>
        <w:ind w:left="720"/>
        <w:rPr>
          <w:rFonts w:ascii="Arial" w:hAnsi="Arial" w:cs="Arial"/>
          <w:sz w:val="20"/>
          <w:szCs w:val="20"/>
        </w:rPr>
      </w:pPr>
    </w:p>
    <w:p w:rsidR="00EE7902" w:rsidRPr="00EE7902" w:rsidRDefault="00EE7902" w:rsidP="00EE7902">
      <w:pPr>
        <w:spacing w:after="0" w:line="240" w:lineRule="auto"/>
        <w:ind w:left="2160" w:firstLine="720"/>
        <w:rPr>
          <w:rFonts w:ascii="Arial" w:hAnsi="Arial" w:cs="Arial"/>
          <w:sz w:val="20"/>
          <w:szCs w:val="20"/>
        </w:rPr>
      </w:pPr>
      <w:r w:rsidRPr="00EE7902">
        <w:rPr>
          <w:rFonts w:ascii="Arial" w:hAnsi="Arial" w:cs="Arial"/>
          <w:sz w:val="20"/>
          <w:szCs w:val="20"/>
        </w:rPr>
        <w:t>____________________ (Reporting Trader Name)</w:t>
      </w:r>
    </w:p>
    <w:p w:rsidR="00EE7902" w:rsidRPr="00EE7902" w:rsidRDefault="00EE7902" w:rsidP="00EE7902">
      <w:pPr>
        <w:spacing w:after="0" w:line="240" w:lineRule="auto"/>
        <w:ind w:left="1440" w:firstLine="720"/>
        <w:rPr>
          <w:rFonts w:ascii="Arial" w:hAnsi="Arial" w:cs="Arial"/>
          <w:sz w:val="20"/>
          <w:szCs w:val="20"/>
        </w:rPr>
      </w:pPr>
    </w:p>
    <w:p w:rsidR="00EE7902" w:rsidRPr="00EE7902" w:rsidRDefault="00EE7902" w:rsidP="00EE7902">
      <w:pPr>
        <w:spacing w:after="0" w:line="240" w:lineRule="auto"/>
        <w:ind w:left="1440" w:firstLine="720"/>
        <w:rPr>
          <w:rFonts w:ascii="Arial" w:hAnsi="Arial" w:cs="Arial"/>
          <w:sz w:val="20"/>
          <w:szCs w:val="20"/>
        </w:rPr>
      </w:pPr>
      <w:r w:rsidRPr="00EE7902">
        <w:rPr>
          <w:rFonts w:ascii="Arial" w:hAnsi="Arial" w:cs="Arial"/>
          <w:sz w:val="20"/>
          <w:szCs w:val="20"/>
        </w:rPr>
        <w:t>Date of Submission:</w:t>
      </w:r>
    </w:p>
    <w:p w:rsidR="00EE7902" w:rsidRPr="00EE7902" w:rsidRDefault="00EE7902" w:rsidP="00EE7902">
      <w:pPr>
        <w:spacing w:after="0" w:line="240" w:lineRule="auto"/>
        <w:ind w:left="2160" w:firstLine="720"/>
        <w:rPr>
          <w:rFonts w:ascii="Arial" w:hAnsi="Arial" w:cs="Arial"/>
          <w:sz w:val="20"/>
          <w:szCs w:val="20"/>
        </w:rPr>
      </w:pPr>
    </w:p>
    <w:p w:rsidR="00EE7902" w:rsidRPr="00EE7902" w:rsidRDefault="00EE7902" w:rsidP="00EE7902">
      <w:pPr>
        <w:spacing w:after="0" w:line="240" w:lineRule="auto"/>
        <w:jc w:val="center"/>
        <w:rPr>
          <w:rFonts w:ascii="Calibri" w:eastAsia="Calibri" w:hAnsi="Calibri" w:cs="Times New Roman"/>
          <w:sz w:val="24"/>
        </w:rPr>
      </w:pPr>
      <w:r w:rsidRPr="00EE7902">
        <w:rPr>
          <w:rFonts w:ascii="Arial" w:hAnsi="Arial" w:cs="Arial"/>
          <w:sz w:val="20"/>
          <w:szCs w:val="20"/>
        </w:rPr>
        <w:t>____________________</w:t>
      </w:r>
    </w:p>
    <w:p w:rsidR="00EE7902" w:rsidRPr="00EE7902" w:rsidRDefault="00EE7902" w:rsidP="00EE7902">
      <w:pPr>
        <w:spacing w:after="120" w:line="480" w:lineRule="auto"/>
        <w:rPr>
          <w:rFonts w:ascii="Times New Roman" w:hAnsi="Times New Roman"/>
          <w:sz w:val="24"/>
        </w:rPr>
      </w:pPr>
    </w:p>
    <w:p w:rsidR="00FB4F88" w:rsidRDefault="00FB4F88"/>
    <w:sectPr w:rsidR="00FB4F88" w:rsidSect="00EE790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7902" w:rsidRDefault="00EE7902" w:rsidP="00EE7902">
      <w:pPr>
        <w:spacing w:after="0" w:line="240" w:lineRule="auto"/>
      </w:pPr>
      <w:r>
        <w:separator/>
      </w:r>
    </w:p>
  </w:endnote>
  <w:endnote w:type="continuationSeparator" w:id="0">
    <w:p w:rsidR="00EE7902" w:rsidRDefault="00EE7902" w:rsidP="00EE7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7902" w:rsidRDefault="00EE7902" w:rsidP="00EE7902">
      <w:pPr>
        <w:spacing w:after="0" w:line="240" w:lineRule="auto"/>
      </w:pPr>
      <w:r>
        <w:separator/>
      </w:r>
    </w:p>
  </w:footnote>
  <w:footnote w:type="continuationSeparator" w:id="0">
    <w:p w:rsidR="00EE7902" w:rsidRDefault="00EE7902" w:rsidP="00EE7902">
      <w:pPr>
        <w:spacing w:after="0" w:line="240" w:lineRule="auto"/>
      </w:pPr>
      <w:r>
        <w:continuationSeparator/>
      </w:r>
    </w:p>
  </w:footnote>
  <w:footnote w:id="1">
    <w:p w:rsidR="00EE7902" w:rsidRPr="00984BE5" w:rsidRDefault="00EE7902" w:rsidP="00EE7902">
      <w:pPr>
        <w:pStyle w:val="FootnoteText"/>
        <w:rPr>
          <w:rFonts w:ascii="Arial" w:hAnsi="Arial" w:cs="Arial"/>
        </w:rPr>
      </w:pPr>
      <w:r w:rsidRPr="00984BE5">
        <w:rPr>
          <w:rStyle w:val="FootnoteReference"/>
          <w:rFonts w:ascii="Arial" w:eastAsia="Calibri" w:hAnsi="Arial" w:cs="Arial"/>
        </w:rPr>
        <w:footnoteRef/>
      </w:r>
      <w:r w:rsidRPr="00984BE5">
        <w:rPr>
          <w:rFonts w:ascii="Arial" w:hAnsi="Arial" w:cs="Arial"/>
        </w:rPr>
        <w:t xml:space="preserve"> </w:t>
      </w:r>
      <w:proofErr w:type="gramStart"/>
      <w:r w:rsidRPr="00984BE5">
        <w:rPr>
          <w:rFonts w:ascii="Arial" w:hAnsi="Arial" w:cs="Arial"/>
        </w:rPr>
        <w:t xml:space="preserve">7 U.S.C. section 1, </w:t>
      </w:r>
      <w:r w:rsidRPr="0081708E">
        <w:rPr>
          <w:rFonts w:ascii="Arial" w:hAnsi="Arial" w:cs="Arial"/>
          <w:u w:val="single"/>
        </w:rPr>
        <w:t>et seq</w:t>
      </w:r>
      <w:r w:rsidRPr="00984BE5">
        <w:rPr>
          <w:rFonts w:ascii="Arial" w:hAnsi="Arial" w:cs="Arial"/>
        </w:rPr>
        <w:t>.</w:t>
      </w:r>
      <w:proofErr w:type="gramEnd"/>
    </w:p>
  </w:footnote>
  <w:footnote w:id="2">
    <w:p w:rsidR="00EE7902" w:rsidRPr="00B6424B" w:rsidRDefault="00EE7902" w:rsidP="00EE7902">
      <w:pPr>
        <w:pStyle w:val="FootnoteText"/>
        <w:rPr>
          <w:sz w:val="28"/>
          <w:szCs w:val="28"/>
        </w:rPr>
      </w:pPr>
      <w:r w:rsidRPr="00984BE5">
        <w:rPr>
          <w:rStyle w:val="FootnoteReference"/>
          <w:rFonts w:ascii="Arial" w:eastAsia="Calibri" w:hAnsi="Arial" w:cs="Arial"/>
        </w:rPr>
        <w:footnoteRef/>
      </w:r>
      <w:r w:rsidRPr="00984BE5">
        <w:rPr>
          <w:rFonts w:ascii="Arial" w:hAnsi="Arial" w:cs="Arial"/>
        </w:rPr>
        <w:t xml:space="preserve"> Unless otherwise noted, the rules and regulations referenced in this notice are found in chapter 1 of title 17 of the Code of Federal Regulations; 17 CFR Chapter 1 </w:t>
      </w:r>
      <w:r w:rsidRPr="0081708E">
        <w:rPr>
          <w:rFonts w:ascii="Arial" w:hAnsi="Arial" w:cs="Arial"/>
          <w:u w:val="single"/>
        </w:rPr>
        <w:t>et seq</w:t>
      </w:r>
      <w:r w:rsidRPr="00984BE5">
        <w:rPr>
          <w:rFonts w:ascii="Arial" w:hAnsi="Arial" w:cs="Aria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902"/>
    <w:rsid w:val="00EE7902"/>
    <w:rsid w:val="00FB4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EE79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EE7902"/>
    <w:rPr>
      <w:rFonts w:ascii="Times New Roman" w:eastAsia="Times New Roman" w:hAnsi="Times New Roman" w:cs="Times New Roman"/>
      <w:sz w:val="20"/>
      <w:szCs w:val="20"/>
    </w:rPr>
  </w:style>
  <w:style w:type="character" w:styleId="FootnoteReference">
    <w:name w:val="footnote reference"/>
    <w:aliases w:val="fr,Style 35,Style 19,Style 16"/>
    <w:uiPriority w:val="99"/>
    <w:rsid w:val="00EE7902"/>
    <w:rPr>
      <w:rFonts w:cs="Times New Roman"/>
      <w:vertAlign w:val="superscript"/>
    </w:rPr>
  </w:style>
  <w:style w:type="paragraph" w:styleId="BalloonText">
    <w:name w:val="Balloon Text"/>
    <w:basedOn w:val="Normal"/>
    <w:link w:val="BalloonTextChar"/>
    <w:uiPriority w:val="99"/>
    <w:semiHidden/>
    <w:unhideWhenUsed/>
    <w:rsid w:val="00EE7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90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n,Footnote Text Char Char Char Char Char Char Char Char Char Char Char Char Char Char Char Char Char,Footnote Text Char Char Char Char Char Char Char Char Char Char Char Char Char Char Char Char Char Char Char Char,Footnote Text Char1,ft"/>
    <w:basedOn w:val="Normal"/>
    <w:link w:val="FootnoteTextChar"/>
    <w:uiPriority w:val="99"/>
    <w:rsid w:val="00EE7902"/>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n Char,Footnote Text Char Char Char Char Char Char Char Char Char Char Char Char Char Char Char Char Char Char,Footnote Text Char Char Char Char Char Char Char Char Char Char Char Char Char Char Char Char Char Char Char Char Char"/>
    <w:basedOn w:val="DefaultParagraphFont"/>
    <w:link w:val="FootnoteText"/>
    <w:uiPriority w:val="99"/>
    <w:rsid w:val="00EE7902"/>
    <w:rPr>
      <w:rFonts w:ascii="Times New Roman" w:eastAsia="Times New Roman" w:hAnsi="Times New Roman" w:cs="Times New Roman"/>
      <w:sz w:val="20"/>
      <w:szCs w:val="20"/>
    </w:rPr>
  </w:style>
  <w:style w:type="character" w:styleId="FootnoteReference">
    <w:name w:val="footnote reference"/>
    <w:aliases w:val="fr,Style 35,Style 19,Style 16"/>
    <w:uiPriority w:val="99"/>
    <w:rsid w:val="00EE7902"/>
    <w:rPr>
      <w:rFonts w:cs="Times New Roman"/>
      <w:vertAlign w:val="superscript"/>
    </w:rPr>
  </w:style>
  <w:style w:type="paragraph" w:styleId="BalloonText">
    <w:name w:val="Balloon Text"/>
    <w:basedOn w:val="Normal"/>
    <w:link w:val="BalloonTextChar"/>
    <w:uiPriority w:val="99"/>
    <w:semiHidden/>
    <w:unhideWhenUsed/>
    <w:rsid w:val="00EE7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90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ftc.gov" TargetMode="External"/><Relationship Id="rId3" Type="http://schemas.openxmlformats.org/officeDocument/2006/relationships/settings" Target="settings.xml"/><Relationship Id="rId7" Type="http://schemas.openxmlformats.org/officeDocument/2006/relationships/image" Target="media/image1.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1344</Words>
  <Characters>7661</Characters>
  <Application>Microsoft Office Word</Application>
  <DocSecurity>0</DocSecurity>
  <Lines>63</Lines>
  <Paragraphs>17</Paragraphs>
  <ScaleCrop>false</ScaleCrop>
  <Company>CFTC</Company>
  <LinksUpToDate>false</LinksUpToDate>
  <CharactersWithSpaces>8988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VHill</dc:creator>
  <cp:lastModifiedBy>VHill</cp:lastModifiedBy>
  <cp:revision>1</cp:revision>
  <dcterms:created xsi:type="dcterms:W3CDTF">2013-11-12T18:36:00Z</dcterms:created>
  <dcterms:modified xsi:type="dcterms:W3CDTF">2013-11-12T18:38:00Z</dcterms:modified>
</cp:coreProperties>
</file>