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28" w:rsidRDefault="00CB3528" w:rsidP="00425578">
      <w:pPr>
        <w:jc w:val="center"/>
        <w:outlineLvl w:val="0"/>
        <w:rPr>
          <w:b/>
          <w:sz w:val="36"/>
          <w:szCs w:val="36"/>
        </w:rPr>
      </w:pPr>
      <w:r>
        <w:rPr>
          <w:b/>
          <w:sz w:val="36"/>
          <w:szCs w:val="36"/>
        </w:rPr>
        <w:t>Information Collection Request</w:t>
      </w:r>
    </w:p>
    <w:p w:rsidR="00CB3528" w:rsidRDefault="00CB3528">
      <w:pPr>
        <w:jc w:val="center"/>
        <w:rPr>
          <w:b/>
          <w:sz w:val="36"/>
          <w:szCs w:val="36"/>
        </w:rPr>
      </w:pPr>
      <w:r>
        <w:rPr>
          <w:b/>
          <w:sz w:val="36"/>
          <w:szCs w:val="36"/>
        </w:rPr>
        <w:t>Supporting Statement for the</w:t>
      </w:r>
    </w:p>
    <w:p w:rsidR="00CB3528" w:rsidRDefault="00CB3528">
      <w:pPr>
        <w:jc w:val="center"/>
        <w:rPr>
          <w:b/>
          <w:sz w:val="36"/>
          <w:szCs w:val="36"/>
        </w:rPr>
      </w:pPr>
      <w:r>
        <w:rPr>
          <w:b/>
          <w:sz w:val="36"/>
          <w:szCs w:val="36"/>
        </w:rPr>
        <w:t>8-hour Ozone National Ambient Air Quality Standard Implementation Rule</w:t>
      </w:r>
      <w:r w:rsidR="000F6A4C">
        <w:rPr>
          <w:b/>
          <w:sz w:val="36"/>
          <w:szCs w:val="36"/>
        </w:rPr>
        <w:t xml:space="preserve"> (Renewal)</w:t>
      </w:r>
    </w:p>
    <w:p w:rsidR="00CB3528" w:rsidRDefault="00CB3528" w:rsidP="00425578">
      <w:pPr>
        <w:jc w:val="center"/>
        <w:outlineLvl w:val="0"/>
        <w:rPr>
          <w:b/>
          <w:sz w:val="36"/>
          <w:szCs w:val="36"/>
        </w:rPr>
      </w:pPr>
      <w:r>
        <w:rPr>
          <w:b/>
          <w:sz w:val="36"/>
          <w:szCs w:val="36"/>
        </w:rPr>
        <w:t xml:space="preserve">EPA ICR </w:t>
      </w:r>
      <w:r w:rsidR="008356E0">
        <w:rPr>
          <w:b/>
          <w:sz w:val="36"/>
          <w:szCs w:val="36"/>
        </w:rPr>
        <w:t># 2236.0</w:t>
      </w:r>
      <w:r w:rsidR="006429BA">
        <w:rPr>
          <w:b/>
          <w:sz w:val="36"/>
          <w:szCs w:val="36"/>
        </w:rPr>
        <w:t>4</w:t>
      </w: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6"/>
          <w:szCs w:val="36"/>
        </w:rPr>
      </w:pPr>
    </w:p>
    <w:p w:rsidR="00CB3528" w:rsidRDefault="00CB3528" w:rsidP="00425578">
      <w:pPr>
        <w:jc w:val="center"/>
        <w:outlineLvl w:val="0"/>
        <w:rPr>
          <w:b/>
          <w:sz w:val="32"/>
          <w:szCs w:val="32"/>
        </w:rPr>
      </w:pPr>
      <w:r>
        <w:rPr>
          <w:b/>
          <w:sz w:val="32"/>
          <w:szCs w:val="32"/>
        </w:rPr>
        <w:t>Prepared by:</w:t>
      </w:r>
    </w:p>
    <w:p w:rsidR="00CB3528" w:rsidRDefault="00CB3528">
      <w:pPr>
        <w:jc w:val="center"/>
        <w:rPr>
          <w:b/>
          <w:sz w:val="32"/>
          <w:szCs w:val="32"/>
        </w:rPr>
      </w:pPr>
    </w:p>
    <w:p w:rsidR="00CB3528" w:rsidRDefault="00CB3528" w:rsidP="00425578">
      <w:pPr>
        <w:jc w:val="center"/>
        <w:outlineLvl w:val="0"/>
        <w:rPr>
          <w:b/>
          <w:sz w:val="32"/>
          <w:szCs w:val="32"/>
        </w:rPr>
      </w:pPr>
      <w:r>
        <w:rPr>
          <w:b/>
          <w:sz w:val="32"/>
          <w:szCs w:val="32"/>
        </w:rPr>
        <w:t xml:space="preserve">Office of Air Quality Planning and Standards </w:t>
      </w:r>
    </w:p>
    <w:p w:rsidR="00CB3528" w:rsidRDefault="00CB3528">
      <w:pPr>
        <w:jc w:val="center"/>
        <w:rPr>
          <w:b/>
          <w:sz w:val="32"/>
          <w:szCs w:val="32"/>
        </w:rPr>
      </w:pPr>
      <w:r>
        <w:rPr>
          <w:b/>
          <w:sz w:val="32"/>
          <w:szCs w:val="32"/>
        </w:rPr>
        <w:t>Office of Air and Radiation</w:t>
      </w:r>
    </w:p>
    <w:p w:rsidR="00CB3528" w:rsidRDefault="00CB3528">
      <w:pPr>
        <w:jc w:val="center"/>
        <w:rPr>
          <w:b/>
          <w:sz w:val="32"/>
          <w:szCs w:val="32"/>
        </w:rPr>
      </w:pPr>
      <w:smartTag w:uri="urn:schemas-microsoft-com:office:smarttags" w:element="place">
        <w:smartTag w:uri="urn:schemas-microsoft-com:office:smarttags" w:element="country-region">
          <w:r>
            <w:rPr>
              <w:b/>
              <w:sz w:val="32"/>
              <w:szCs w:val="32"/>
            </w:rPr>
            <w:t>U.S.</w:t>
          </w:r>
        </w:smartTag>
      </w:smartTag>
      <w:r>
        <w:rPr>
          <w:b/>
          <w:sz w:val="32"/>
          <w:szCs w:val="32"/>
        </w:rPr>
        <w:t xml:space="preserve"> Environmental Protection Agency</w:t>
      </w:r>
    </w:p>
    <w:p w:rsidR="00CB3528" w:rsidRDefault="00CB3528">
      <w:pPr>
        <w:jc w:val="center"/>
        <w:rPr>
          <w:b/>
          <w:sz w:val="32"/>
          <w:szCs w:val="32"/>
        </w:rPr>
      </w:pPr>
      <w:smartTag w:uri="urn:schemas-microsoft-com:office:smarttags" w:element="plac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PostalCode">
          <w:r>
            <w:rPr>
              <w:b/>
              <w:sz w:val="32"/>
              <w:szCs w:val="32"/>
            </w:rPr>
            <w:t>27711</w:t>
          </w:r>
        </w:smartTag>
      </w:smartTag>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6"/>
          <w:szCs w:val="36"/>
        </w:rPr>
      </w:pPr>
    </w:p>
    <w:p w:rsidR="00CB3528" w:rsidRDefault="00CB3528">
      <w:pPr>
        <w:jc w:val="center"/>
        <w:rPr>
          <w:b/>
          <w:sz w:val="36"/>
          <w:szCs w:val="36"/>
        </w:rPr>
      </w:pPr>
    </w:p>
    <w:p w:rsidR="00CB3528" w:rsidRDefault="00CB3528">
      <w:pPr>
        <w:jc w:val="center"/>
        <w:rPr>
          <w:b/>
          <w:sz w:val="32"/>
          <w:szCs w:val="32"/>
        </w:rPr>
      </w:pPr>
    </w:p>
    <w:p w:rsidR="003C20A6" w:rsidRDefault="003C20A6">
      <w:pPr>
        <w:jc w:val="center"/>
        <w:rPr>
          <w:b/>
          <w:sz w:val="32"/>
          <w:szCs w:val="32"/>
        </w:rPr>
      </w:pPr>
    </w:p>
    <w:p w:rsidR="003C20A6" w:rsidRDefault="003C20A6">
      <w:pPr>
        <w:jc w:val="center"/>
        <w:rPr>
          <w:b/>
          <w:sz w:val="32"/>
          <w:szCs w:val="32"/>
        </w:rPr>
      </w:pPr>
    </w:p>
    <w:p w:rsidR="003C20A6" w:rsidRDefault="003C20A6">
      <w:pPr>
        <w:jc w:val="center"/>
        <w:rPr>
          <w:b/>
          <w:sz w:val="32"/>
          <w:szCs w:val="32"/>
        </w:rPr>
      </w:pPr>
    </w:p>
    <w:p w:rsidR="003C20A6" w:rsidRDefault="003C20A6">
      <w:pPr>
        <w:jc w:val="center"/>
        <w:rPr>
          <w:b/>
          <w:sz w:val="32"/>
          <w:szCs w:val="32"/>
        </w:rPr>
      </w:pPr>
    </w:p>
    <w:p w:rsidR="003C20A6" w:rsidRDefault="003C20A6">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pPr>
        <w:jc w:val="center"/>
        <w:rPr>
          <w:b/>
          <w:sz w:val="32"/>
          <w:szCs w:val="32"/>
        </w:rPr>
      </w:pPr>
    </w:p>
    <w:p w:rsidR="00CB3528" w:rsidRDefault="00CB3528" w:rsidP="00425578">
      <w:pPr>
        <w:jc w:val="center"/>
        <w:outlineLvl w:val="0"/>
        <w:rPr>
          <w:b/>
          <w:sz w:val="32"/>
          <w:szCs w:val="32"/>
        </w:rPr>
      </w:pPr>
      <w:r>
        <w:rPr>
          <w:b/>
          <w:sz w:val="32"/>
          <w:szCs w:val="32"/>
        </w:rPr>
        <w:lastRenderedPageBreak/>
        <w:t>Table of Contents</w:t>
      </w:r>
    </w:p>
    <w:p w:rsidR="00CB3528" w:rsidRDefault="00CB3528">
      <w:pPr>
        <w:jc w:val="center"/>
        <w:rPr>
          <w:b/>
          <w:sz w:val="32"/>
          <w:szCs w:val="32"/>
        </w:rPr>
      </w:pPr>
    </w:p>
    <w:p w:rsidR="00CB3528" w:rsidRDefault="00CB3528">
      <w:pPr>
        <w:jc w:val="center"/>
        <w:rPr>
          <w:b/>
          <w:sz w:val="32"/>
          <w:szCs w:val="32"/>
        </w:rPr>
      </w:pPr>
    </w:p>
    <w:p w:rsidR="00CB3528" w:rsidRDefault="00CB3528" w:rsidP="00756E81">
      <w:pPr>
        <w:numPr>
          <w:ilvl w:val="0"/>
          <w:numId w:val="3"/>
        </w:numPr>
        <w:tabs>
          <w:tab w:val="clear" w:pos="1080"/>
          <w:tab w:val="num" w:pos="360"/>
        </w:tabs>
      </w:pPr>
      <w:r>
        <w:t xml:space="preserve">Identification of the Renewal Information Collection Request………page </w:t>
      </w:r>
      <w:r w:rsidR="000F6A4C">
        <w:t>1</w:t>
      </w:r>
    </w:p>
    <w:p w:rsidR="00CB3528" w:rsidRDefault="00CB3528"/>
    <w:p w:rsidR="00CB3528" w:rsidRDefault="00CB3528"/>
    <w:p w:rsidR="00CB3528" w:rsidRDefault="00CB3528"/>
    <w:p w:rsidR="00CB3528" w:rsidRDefault="00CB3528" w:rsidP="00756E81">
      <w:pPr>
        <w:numPr>
          <w:ilvl w:val="0"/>
          <w:numId w:val="3"/>
        </w:numPr>
        <w:tabs>
          <w:tab w:val="clear" w:pos="1080"/>
          <w:tab w:val="num" w:pos="720"/>
        </w:tabs>
      </w:pPr>
      <w:r>
        <w:t xml:space="preserve">Need for and Use of the </w:t>
      </w:r>
      <w:r w:rsidR="00EA41D4">
        <w:t xml:space="preserve">Collection…………………………………...page </w:t>
      </w:r>
      <w:r w:rsidR="00F13A11">
        <w:t>3</w:t>
      </w:r>
    </w:p>
    <w:p w:rsidR="00CB3528" w:rsidRDefault="00CB3528"/>
    <w:p w:rsidR="00CB3528" w:rsidRDefault="00CB3528"/>
    <w:p w:rsidR="00CB3528" w:rsidRDefault="00CB3528"/>
    <w:p w:rsidR="00CB3528" w:rsidRDefault="00CB3528" w:rsidP="00756E81">
      <w:pPr>
        <w:numPr>
          <w:ilvl w:val="0"/>
          <w:numId w:val="3"/>
        </w:numPr>
        <w:tabs>
          <w:tab w:val="clear" w:pos="1080"/>
          <w:tab w:val="num" w:pos="720"/>
        </w:tabs>
      </w:pPr>
      <w:r>
        <w:t>Non-Duplication, Consultation, and other Collection Criteria……… page</w:t>
      </w:r>
      <w:r w:rsidR="000F6A4C">
        <w:t xml:space="preserve"> </w:t>
      </w:r>
      <w:r w:rsidR="00FD744A">
        <w:t>5</w:t>
      </w:r>
    </w:p>
    <w:p w:rsidR="00CB3528" w:rsidRDefault="00CB3528"/>
    <w:p w:rsidR="00CB3528" w:rsidRDefault="00CB3528"/>
    <w:p w:rsidR="00CB3528" w:rsidRDefault="00CB3528"/>
    <w:p w:rsidR="00CB3528" w:rsidRDefault="00CB3528" w:rsidP="00756E81">
      <w:pPr>
        <w:numPr>
          <w:ilvl w:val="0"/>
          <w:numId w:val="3"/>
        </w:numPr>
        <w:tabs>
          <w:tab w:val="clear" w:pos="1080"/>
          <w:tab w:val="num" w:pos="720"/>
        </w:tabs>
      </w:pPr>
      <w:r>
        <w:t xml:space="preserve">Respondents and the Information Requested…………………………page </w:t>
      </w:r>
      <w:r w:rsidR="007F511B">
        <w:t>10</w:t>
      </w:r>
    </w:p>
    <w:p w:rsidR="00CB3528" w:rsidRDefault="00CB3528"/>
    <w:p w:rsidR="00CB3528" w:rsidRDefault="00CB3528"/>
    <w:p w:rsidR="00CB3528" w:rsidRDefault="00CB3528"/>
    <w:p w:rsidR="00CB3528" w:rsidRDefault="00CB3528" w:rsidP="00756E81">
      <w:pPr>
        <w:numPr>
          <w:ilvl w:val="0"/>
          <w:numId w:val="3"/>
        </w:numPr>
        <w:tabs>
          <w:tab w:val="clear" w:pos="1080"/>
          <w:tab w:val="num" w:pos="720"/>
        </w:tabs>
      </w:pPr>
      <w:r>
        <w:t>Information Collected—Agency Activities, Collection Methodology and Information Mana</w:t>
      </w:r>
      <w:r w:rsidR="00EA41D4">
        <w:t>gement…………………………………………</w:t>
      </w:r>
      <w:r w:rsidR="009E2F0A">
        <w:t>…………...</w:t>
      </w:r>
      <w:r w:rsidR="00EA41D4">
        <w:t>…..page 1</w:t>
      </w:r>
      <w:r w:rsidR="00DE3971">
        <w:t>4</w:t>
      </w:r>
    </w:p>
    <w:p w:rsidR="00CB3528" w:rsidRDefault="00CB3528"/>
    <w:p w:rsidR="00CB3528" w:rsidRDefault="00CB3528"/>
    <w:p w:rsidR="00CB3528" w:rsidRDefault="00CB3528"/>
    <w:p w:rsidR="00CB3528" w:rsidRDefault="00CB3528" w:rsidP="00756E81">
      <w:pPr>
        <w:numPr>
          <w:ilvl w:val="0"/>
          <w:numId w:val="3"/>
        </w:numPr>
        <w:tabs>
          <w:tab w:val="clear" w:pos="1080"/>
          <w:tab w:val="num" w:pos="720"/>
        </w:tabs>
      </w:pPr>
      <w:r>
        <w:t xml:space="preserve">Estimating the Burden and Cost of the Collection……………………page </w:t>
      </w:r>
      <w:r w:rsidR="000F6A4C">
        <w:t>1</w:t>
      </w:r>
      <w:r w:rsidR="00957036">
        <w:t>5</w:t>
      </w:r>
    </w:p>
    <w:p w:rsidR="00CB3528" w:rsidRDefault="00CB3528">
      <w:pPr>
        <w:ind w:left="360"/>
      </w:pPr>
    </w:p>
    <w:p w:rsidR="001E3008" w:rsidRDefault="001E3008">
      <w:pPr>
        <w:ind w:left="360"/>
        <w:sectPr w:rsidR="001E3008" w:rsidSect="009E2F0A">
          <w:footerReference w:type="even" r:id="rId8"/>
          <w:footerReference w:type="default" r:id="rId9"/>
          <w:pgSz w:w="12240" w:h="15840"/>
          <w:pgMar w:top="1440" w:right="1440" w:bottom="1440" w:left="1440" w:header="720" w:footer="720" w:gutter="0"/>
          <w:cols w:space="720"/>
          <w:docGrid w:linePitch="360"/>
        </w:sectPr>
      </w:pPr>
    </w:p>
    <w:p w:rsidR="00CB3528" w:rsidRDefault="00CB3528" w:rsidP="00756E81">
      <w:pPr>
        <w:numPr>
          <w:ilvl w:val="0"/>
          <w:numId w:val="4"/>
        </w:numPr>
        <w:tabs>
          <w:tab w:val="clear" w:pos="1440"/>
          <w:tab w:val="num" w:pos="1080"/>
        </w:tabs>
        <w:rPr>
          <w:b/>
          <w:sz w:val="28"/>
          <w:szCs w:val="28"/>
        </w:rPr>
      </w:pPr>
      <w:r>
        <w:rPr>
          <w:b/>
          <w:sz w:val="28"/>
          <w:szCs w:val="28"/>
        </w:rPr>
        <w:lastRenderedPageBreak/>
        <w:t>Identification of the Information Collection Request</w:t>
      </w:r>
    </w:p>
    <w:p w:rsidR="00CB3528" w:rsidRDefault="00CB3528">
      <w:pPr>
        <w:ind w:left="360"/>
        <w:rPr>
          <w:b/>
          <w:sz w:val="28"/>
          <w:szCs w:val="28"/>
        </w:rPr>
      </w:pPr>
    </w:p>
    <w:p w:rsidR="00CB3528" w:rsidRDefault="00CB3528">
      <w:pPr>
        <w:ind w:left="360"/>
        <w:rPr>
          <w:b/>
        </w:rPr>
      </w:pPr>
      <w:r>
        <w:rPr>
          <w:b/>
        </w:rPr>
        <w:t>1(a)</w:t>
      </w:r>
      <w:r>
        <w:rPr>
          <w:b/>
        </w:rPr>
        <w:tab/>
        <w:t>Title of the Information Collection</w:t>
      </w:r>
    </w:p>
    <w:p w:rsidR="00CB3528" w:rsidRDefault="00CB3528">
      <w:pPr>
        <w:ind w:left="360"/>
        <w:rPr>
          <w:b/>
        </w:rPr>
      </w:pPr>
    </w:p>
    <w:p w:rsidR="00CB3528" w:rsidRDefault="00CB3528">
      <w:pPr>
        <w:ind w:left="360"/>
      </w:pPr>
      <w:r>
        <w:rPr>
          <w:b/>
        </w:rPr>
        <w:tab/>
      </w:r>
      <w:r>
        <w:t>The title of the Information Collection Request is 8-hour Ozone National Ambient Air Quality Standard Implementation R</w:t>
      </w:r>
      <w:r w:rsidR="000F6A4C">
        <w:t>ule (Renewal)</w:t>
      </w:r>
      <w:r>
        <w:t xml:space="preserve">, </w:t>
      </w:r>
      <w:r w:rsidR="00EE3452">
        <w:t xml:space="preserve">Environmental Protection Agency (EPA) </w:t>
      </w:r>
      <w:r w:rsidR="003C20A6">
        <w:t xml:space="preserve">ICR </w:t>
      </w:r>
      <w:r>
        <w:t xml:space="preserve">number </w:t>
      </w:r>
      <w:r w:rsidR="008356E0">
        <w:t>2236.0</w:t>
      </w:r>
      <w:r w:rsidR="00BA705E">
        <w:t>4</w:t>
      </w:r>
      <w:r w:rsidR="00EE3452">
        <w:t xml:space="preserve">, Office of Management and Budget (OMB) </w:t>
      </w:r>
      <w:r w:rsidR="003C20A6">
        <w:t xml:space="preserve">Control </w:t>
      </w:r>
      <w:r w:rsidR="00EE3452">
        <w:t>number 2060-0594</w:t>
      </w:r>
      <w:r w:rsidR="0006111D">
        <w:t>.</w:t>
      </w:r>
    </w:p>
    <w:p w:rsidR="00CB3528" w:rsidRDefault="00CB3528">
      <w:pPr>
        <w:ind w:left="360"/>
      </w:pPr>
    </w:p>
    <w:p w:rsidR="00CB3528" w:rsidRDefault="00CB3528">
      <w:pPr>
        <w:ind w:left="360"/>
        <w:rPr>
          <w:b/>
        </w:rPr>
      </w:pPr>
      <w:r>
        <w:rPr>
          <w:b/>
        </w:rPr>
        <w:t>1(b)</w:t>
      </w:r>
      <w:r>
        <w:rPr>
          <w:b/>
        </w:rPr>
        <w:tab/>
        <w:t>Abstract/Executive Summary</w:t>
      </w:r>
    </w:p>
    <w:p w:rsidR="00CB3528" w:rsidRDefault="00CB3528">
      <w:pPr>
        <w:ind w:left="360"/>
        <w:rPr>
          <w:b/>
        </w:rPr>
      </w:pPr>
    </w:p>
    <w:p w:rsidR="00ED7E06" w:rsidRDefault="00CB3528" w:rsidP="00ED7E06">
      <w:pPr>
        <w:ind w:left="360"/>
      </w:pPr>
      <w:r>
        <w:tab/>
        <w:t xml:space="preserve">The Paperwork Reduction Act requires the information found in this Information Collection Request (ICR) </w:t>
      </w:r>
      <w:r w:rsidR="0006111D">
        <w:t xml:space="preserve">number </w:t>
      </w:r>
      <w:r w:rsidR="008356E0" w:rsidRPr="00E841AF">
        <w:t>2236.</w:t>
      </w:r>
      <w:r w:rsidR="00E841AF" w:rsidRPr="00E841AF">
        <w:t>0</w:t>
      </w:r>
      <w:r w:rsidR="002A5DB6">
        <w:t>4</w:t>
      </w:r>
      <w:r w:rsidR="0006111D">
        <w:t xml:space="preserve">, </w:t>
      </w:r>
      <w:r>
        <w:t xml:space="preserve">to assess the burden (in hours and dollars) of the </w:t>
      </w:r>
      <w:r w:rsidR="00D61E08">
        <w:t xml:space="preserve">renewal of the </w:t>
      </w:r>
      <w:r>
        <w:t>8-hour Ozone National</w:t>
      </w:r>
      <w:r w:rsidR="002A5DB6">
        <w:t xml:space="preserve"> </w:t>
      </w:r>
      <w:r>
        <w:t>Ambient Air Quality Standard</w:t>
      </w:r>
      <w:r w:rsidR="00BA705E">
        <w:t xml:space="preserve"> (NAAQS)</w:t>
      </w:r>
      <w:r>
        <w:t xml:space="preserve"> Implementation Rule as well as the periodic reporting and record keeping necessary to maintain the rule. </w:t>
      </w:r>
      <w:r w:rsidR="00ED7E06">
        <w:t xml:space="preserve">The rule was proposed </w:t>
      </w:r>
      <w:r w:rsidR="00ED7E06" w:rsidRPr="00EE3452">
        <w:t xml:space="preserve">June 2, 2003 (68 </w:t>
      </w:r>
      <w:r w:rsidR="00ED7E06" w:rsidRPr="00C122E7">
        <w:t xml:space="preserve">FR </w:t>
      </w:r>
      <w:r w:rsidR="00ED7E06" w:rsidRPr="00EE3452">
        <w:t xml:space="preserve">32802) and promulgated in two Phases: Phase 1 published April 30, 2004 (69 FR 23951) and Phase 2 published November 29, 2005 (70 </w:t>
      </w:r>
      <w:r w:rsidR="00ED7E06" w:rsidRPr="00C122E7">
        <w:t>FR</w:t>
      </w:r>
      <w:r w:rsidR="00ED7E06" w:rsidRPr="00EE3452">
        <w:t xml:space="preserve"> 71612)</w:t>
      </w:r>
      <w:r w:rsidR="00ED7E06">
        <w:t xml:space="preserve">. The preamble to the proposed and final regulation addressed the administrative burden in general terms. The preamble to the final Phase 2 rule stated that an ICR would be prepared (70 </w:t>
      </w:r>
      <w:r w:rsidR="00ED7E06" w:rsidRPr="00D07D40">
        <w:t>FR</w:t>
      </w:r>
      <w:r w:rsidR="00ED7E06">
        <w:t xml:space="preserve"> at 71692).</w:t>
      </w:r>
      <w:r w:rsidR="002F3235">
        <w:t xml:space="preserve"> In 2007</w:t>
      </w:r>
      <w:r w:rsidR="00BA705E">
        <w:t>, certain limited portions of the</w:t>
      </w:r>
      <w:r w:rsidR="002F3235">
        <w:t xml:space="preserve"> Phase 1 </w:t>
      </w:r>
      <w:r w:rsidR="00BA705E">
        <w:t>rule were</w:t>
      </w:r>
      <w:r w:rsidR="002F3235">
        <w:t xml:space="preserve"> vacated </w:t>
      </w:r>
      <w:r w:rsidR="00BA705E">
        <w:t xml:space="preserve">by the U.S. Court of Appeals for the District of Columbia Circuit. The EPA addressed a portion of the </w:t>
      </w:r>
      <w:proofErr w:type="spellStart"/>
      <w:r w:rsidR="00BA705E">
        <w:t>vacatur</w:t>
      </w:r>
      <w:proofErr w:type="spellEnd"/>
      <w:r w:rsidR="00BA705E">
        <w:t xml:space="preserve"> by</w:t>
      </w:r>
      <w:r w:rsidR="002F3235">
        <w:t xml:space="preserve"> </w:t>
      </w:r>
      <w:r w:rsidR="00BA705E">
        <w:t xml:space="preserve">assigning </w:t>
      </w:r>
      <w:r w:rsidR="002F3235">
        <w:t xml:space="preserve">areas </w:t>
      </w:r>
      <w:r w:rsidR="00BA705E">
        <w:t xml:space="preserve">originally designated under </w:t>
      </w:r>
      <w:r w:rsidR="002F3235">
        <w:t xml:space="preserve">subpart 1, part D, title I of the CAA </w:t>
      </w:r>
      <w:r w:rsidR="00BA705E">
        <w:t xml:space="preserve">to be </w:t>
      </w:r>
      <w:r w:rsidR="002F3235">
        <w:t>subject to subpart 2.</w:t>
      </w:r>
      <w:r w:rsidR="00FA5F1B">
        <w:t xml:space="preserve"> </w:t>
      </w:r>
      <w:r w:rsidR="00BA705E">
        <w:t>The f</w:t>
      </w:r>
      <w:r w:rsidR="002F3235">
        <w:t xml:space="preserve">ormer </w:t>
      </w:r>
      <w:r w:rsidR="00A26988">
        <w:t>s</w:t>
      </w:r>
      <w:r w:rsidR="002F3235">
        <w:t>ubpart 1</w:t>
      </w:r>
      <w:r w:rsidR="000F6A4C">
        <w:t xml:space="preserve"> </w:t>
      </w:r>
      <w:r w:rsidR="002F3235">
        <w:t xml:space="preserve">areas </w:t>
      </w:r>
      <w:r w:rsidR="00BA705E">
        <w:t xml:space="preserve">with non-attainment designation status were assigned </w:t>
      </w:r>
      <w:r w:rsidR="002F3235">
        <w:t xml:space="preserve">to </w:t>
      </w:r>
      <w:r w:rsidR="00A26988">
        <w:t>s</w:t>
      </w:r>
      <w:r w:rsidR="002F3235">
        <w:t>ubpart 2 Marginal</w:t>
      </w:r>
      <w:r w:rsidR="00BA705E">
        <w:t xml:space="preserve"> or</w:t>
      </w:r>
      <w:r w:rsidR="002F3235">
        <w:t xml:space="preserve"> Moderate classifications</w:t>
      </w:r>
      <w:r w:rsidR="00BA705E">
        <w:t xml:space="preserve">. The </w:t>
      </w:r>
      <w:r w:rsidR="00A26988">
        <w:t>s</w:t>
      </w:r>
      <w:r w:rsidR="00BA705E">
        <w:t>ubpart 2 classifications</w:t>
      </w:r>
      <w:r w:rsidR="002F3235">
        <w:t xml:space="preserve"> were </w:t>
      </w:r>
      <w:r w:rsidR="0064637A">
        <w:t xml:space="preserve">published in the in the EPA’s Final Rule to Implement the 1997 8-Hour Ozone NAAQS: Classification of Areas That Were Initially Classified Under </w:t>
      </w:r>
      <w:r w:rsidR="009F652A">
        <w:t>S</w:t>
      </w:r>
      <w:r w:rsidR="0064637A">
        <w:t>ubpart 1; Revision of the Anti-Backsliding Provisions To Address 1-Hour Contingency Measure Requirements; Deletion of Obsolete 1-Hour Ozone Standard Provision.</w:t>
      </w:r>
      <w:r w:rsidR="00821502">
        <w:t xml:space="preserve"> </w:t>
      </w:r>
      <w:r w:rsidR="0064637A">
        <w:t xml:space="preserve">See 77 FR </w:t>
      </w:r>
      <w:r w:rsidR="008E0ACE">
        <w:t>28</w:t>
      </w:r>
      <w:r w:rsidR="0064637A">
        <w:t>4</w:t>
      </w:r>
      <w:r w:rsidR="008E0ACE">
        <w:t>2</w:t>
      </w:r>
      <w:r w:rsidR="0064637A">
        <w:t xml:space="preserve">3, </w:t>
      </w:r>
      <w:r w:rsidR="008E0ACE">
        <w:t>May 14</w:t>
      </w:r>
      <w:r w:rsidR="0064637A">
        <w:t>, 2012</w:t>
      </w:r>
      <w:r w:rsidR="002F3235">
        <w:t>.</w:t>
      </w:r>
      <w:r w:rsidR="00AF1B00">
        <w:rPr>
          <w:rStyle w:val="FootnoteReference"/>
        </w:rPr>
        <w:footnoteReference w:id="1"/>
      </w:r>
    </w:p>
    <w:p w:rsidR="00CB3528" w:rsidRDefault="00CB3528">
      <w:pPr>
        <w:ind w:left="360"/>
      </w:pPr>
    </w:p>
    <w:p w:rsidR="00842E43" w:rsidRDefault="00CB3528">
      <w:pPr>
        <w:ind w:left="360"/>
      </w:pPr>
      <w:r>
        <w:tab/>
        <w:t xml:space="preserve">The time period covered in this ICR is a three year period from </w:t>
      </w:r>
      <w:r w:rsidR="00EE3452">
        <w:t>August</w:t>
      </w:r>
      <w:r>
        <w:t xml:space="preserve"> 1, </w:t>
      </w:r>
      <w:r w:rsidR="003B5801">
        <w:t>201</w:t>
      </w:r>
      <w:r w:rsidR="00F80C8C">
        <w:t>3</w:t>
      </w:r>
      <w:r w:rsidR="003B5801">
        <w:t xml:space="preserve"> </w:t>
      </w:r>
      <w:r>
        <w:t xml:space="preserve">through </w:t>
      </w:r>
      <w:r w:rsidR="00EE3452">
        <w:t>July</w:t>
      </w:r>
      <w:r>
        <w:t xml:space="preserve"> 3</w:t>
      </w:r>
      <w:r w:rsidR="00EE3452">
        <w:t>1</w:t>
      </w:r>
      <w:r>
        <w:t>, 20</w:t>
      </w:r>
      <w:r w:rsidR="00D7356D">
        <w:t>1</w:t>
      </w:r>
      <w:r w:rsidR="00F80C8C">
        <w:t>6</w:t>
      </w:r>
      <w:r>
        <w:t>.</w:t>
      </w:r>
      <w:r w:rsidR="00FA5F1B">
        <w:t xml:space="preserve"> </w:t>
      </w:r>
      <w:r>
        <w:t xml:space="preserve">The milestones include the attainment demonstration, Reasonable Further Progress (RFP) State Implementation Plan (SIP) submission, and the Reasonable Available Control Technology (RACT) SIP submission. However, not all of the milestones and associated burden and administrative cost estimates apply to </w:t>
      </w:r>
      <w:r w:rsidR="002A5DB6">
        <w:t xml:space="preserve">the remaining </w:t>
      </w:r>
      <w:r w:rsidR="00D07D40">
        <w:t>non</w:t>
      </w:r>
      <w:r w:rsidR="002A5DB6">
        <w:t xml:space="preserve">attainment </w:t>
      </w:r>
      <w:r>
        <w:t xml:space="preserve">areas </w:t>
      </w:r>
      <w:r w:rsidR="002A5DB6">
        <w:t>for the 1997</w:t>
      </w:r>
      <w:r>
        <w:t xml:space="preserve"> 8-hour </w:t>
      </w:r>
      <w:r w:rsidR="00D07D40">
        <w:t>o</w:t>
      </w:r>
      <w:r>
        <w:t>zone NAAQS.</w:t>
      </w:r>
      <w:r w:rsidR="00F01EB8">
        <w:t xml:space="preserve"> There are 3</w:t>
      </w:r>
      <w:r w:rsidR="00204BE1">
        <w:t>8</w:t>
      </w:r>
      <w:r w:rsidR="00F01EB8">
        <w:t xml:space="preserve"> non-attainment areas within </w:t>
      </w:r>
      <w:r w:rsidR="0067123D">
        <w:t>16</w:t>
      </w:r>
      <w:r w:rsidR="006C6906">
        <w:t xml:space="preserve"> </w:t>
      </w:r>
      <w:r w:rsidR="00F01EB8">
        <w:t>states</w:t>
      </w:r>
      <w:r w:rsidR="0067123D">
        <w:t xml:space="preserve"> and the District of Columbia</w:t>
      </w:r>
      <w:r w:rsidR="00F01EB8">
        <w:t>.</w:t>
      </w:r>
    </w:p>
    <w:p w:rsidR="00842E43" w:rsidRDefault="00842E43">
      <w:pPr>
        <w:ind w:left="360"/>
      </w:pPr>
    </w:p>
    <w:p w:rsidR="00CB3528" w:rsidRDefault="00442CCD" w:rsidP="00842E43">
      <w:pPr>
        <w:ind w:left="360" w:firstLine="360"/>
      </w:pPr>
      <w:r>
        <w:t xml:space="preserve">Thirty-two of the non-attainment areas </w:t>
      </w:r>
      <w:r w:rsidR="003A31B7">
        <w:t xml:space="preserve">that </w:t>
      </w:r>
      <w:r>
        <w:t xml:space="preserve">have completed their SIP requirements </w:t>
      </w:r>
      <w:r w:rsidR="00BA705E">
        <w:t>or the SIP requirement</w:t>
      </w:r>
      <w:r w:rsidR="00437B6B">
        <w:t>s</w:t>
      </w:r>
      <w:r w:rsidR="00BA705E">
        <w:t xml:space="preserve"> ha</w:t>
      </w:r>
      <w:r w:rsidR="00437B6B">
        <w:t>ve</w:t>
      </w:r>
      <w:r w:rsidR="00BA705E">
        <w:t xml:space="preserve"> been suspended </w:t>
      </w:r>
      <w:r w:rsidR="003A31B7">
        <w:t>and as a result</w:t>
      </w:r>
      <w:r>
        <w:t xml:space="preserve"> have no additional burden. The following paragraphs explain</w:t>
      </w:r>
      <w:r w:rsidR="00242EAD">
        <w:t>s the status of certain affected non-attainment areas and either</w:t>
      </w:r>
      <w:r w:rsidR="006B6696">
        <w:t xml:space="preserve"> </w:t>
      </w:r>
      <w:r>
        <w:t xml:space="preserve">the estimated additional burdens </w:t>
      </w:r>
      <w:r w:rsidR="00242EAD">
        <w:t>or the absence of additional burdens for certa</w:t>
      </w:r>
      <w:r w:rsidR="006B6696">
        <w:t>i</w:t>
      </w:r>
      <w:r w:rsidR="00242EAD">
        <w:t xml:space="preserve">n </w:t>
      </w:r>
      <w:r>
        <w:t>non-attainment areas.</w:t>
      </w:r>
    </w:p>
    <w:p w:rsidR="0021779A" w:rsidRDefault="0021779A">
      <w:pPr>
        <w:ind w:left="360"/>
      </w:pPr>
    </w:p>
    <w:p w:rsidR="00807AC0" w:rsidRDefault="00807AC0" w:rsidP="00807AC0">
      <w:pPr>
        <w:numPr>
          <w:ilvl w:val="0"/>
          <w:numId w:val="5"/>
        </w:numPr>
        <w:tabs>
          <w:tab w:val="num" w:pos="720"/>
        </w:tabs>
      </w:pPr>
      <w:r>
        <w:rPr>
          <w:b/>
        </w:rPr>
        <w:lastRenderedPageBreak/>
        <w:t>Status of ozone non-attainment areas anticipated to have no additional burden</w:t>
      </w:r>
      <w:r>
        <w:t xml:space="preserve">. </w:t>
      </w:r>
      <w:r w:rsidR="00242EAD">
        <w:t xml:space="preserve">The </w:t>
      </w:r>
      <w:r>
        <w:t xml:space="preserve">EPA recognizes that there are certain categories of ozone non-attainment areas that will have no additional burden in this ICR and this will include states that have areas that have met </w:t>
      </w:r>
      <w:r w:rsidR="002A5DB6">
        <w:t xml:space="preserve">their 1997 ozone </w:t>
      </w:r>
      <w:r>
        <w:t xml:space="preserve">NAAQS </w:t>
      </w:r>
      <w:r w:rsidR="002A5DB6">
        <w:t xml:space="preserve">SIP </w:t>
      </w:r>
      <w:r>
        <w:t xml:space="preserve">requirements </w:t>
      </w:r>
      <w:r w:rsidR="002A5DB6">
        <w:t xml:space="preserve">and areas where </w:t>
      </w:r>
      <w:r>
        <w:t xml:space="preserve">SIP actions </w:t>
      </w:r>
      <w:r w:rsidR="002A5DB6">
        <w:t xml:space="preserve">are </w:t>
      </w:r>
      <w:r>
        <w:t xml:space="preserve">satisfied by a Determination of Attainment or SIP actions that have been suspended by a Clean Data Determination issued by </w:t>
      </w:r>
      <w:r w:rsidR="00242EAD">
        <w:t xml:space="preserve">the </w:t>
      </w:r>
      <w:r>
        <w:t>EPA.</w:t>
      </w:r>
    </w:p>
    <w:p w:rsidR="00807AC0" w:rsidRPr="00807AC0" w:rsidRDefault="00807AC0" w:rsidP="00807AC0"/>
    <w:p w:rsidR="00CB3528" w:rsidRDefault="00807AC0" w:rsidP="00204BE1">
      <w:pPr>
        <w:numPr>
          <w:ilvl w:val="0"/>
          <w:numId w:val="5"/>
        </w:numPr>
      </w:pPr>
      <w:r>
        <w:rPr>
          <w:b/>
        </w:rPr>
        <w:t xml:space="preserve">Status of ozone non-attainment areas </w:t>
      </w:r>
      <w:r w:rsidR="00640107">
        <w:rPr>
          <w:b/>
        </w:rPr>
        <w:t>ini</w:t>
      </w:r>
      <w:r w:rsidR="00204BE1">
        <w:rPr>
          <w:b/>
        </w:rPr>
        <w:t>ti</w:t>
      </w:r>
      <w:r w:rsidR="00640107">
        <w:rPr>
          <w:b/>
        </w:rPr>
        <w:t xml:space="preserve">ally </w:t>
      </w:r>
      <w:r w:rsidR="002A5DB6">
        <w:rPr>
          <w:b/>
        </w:rPr>
        <w:t>designated</w:t>
      </w:r>
      <w:r w:rsidR="00640107">
        <w:rPr>
          <w:b/>
        </w:rPr>
        <w:t xml:space="preserve"> under </w:t>
      </w:r>
      <w:r w:rsidR="00A26988">
        <w:rPr>
          <w:b/>
        </w:rPr>
        <w:t>s</w:t>
      </w:r>
      <w:r w:rsidR="00640107">
        <w:rPr>
          <w:b/>
        </w:rPr>
        <w:t xml:space="preserve">ubpart 1 and that have been </w:t>
      </w:r>
      <w:proofErr w:type="spellStart"/>
      <w:r w:rsidR="00640107">
        <w:rPr>
          <w:b/>
        </w:rPr>
        <w:t>redesignated</w:t>
      </w:r>
      <w:proofErr w:type="spellEnd"/>
      <w:r w:rsidR="00640107">
        <w:rPr>
          <w:b/>
        </w:rPr>
        <w:t xml:space="preserve"> as Moderate under </w:t>
      </w:r>
      <w:r w:rsidR="00A26988">
        <w:rPr>
          <w:b/>
        </w:rPr>
        <w:t>s</w:t>
      </w:r>
      <w:r w:rsidR="00640107">
        <w:rPr>
          <w:b/>
        </w:rPr>
        <w:t xml:space="preserve">ubpart 2 in the 2010 </w:t>
      </w:r>
      <w:proofErr w:type="spellStart"/>
      <w:r w:rsidR="00640107">
        <w:rPr>
          <w:b/>
        </w:rPr>
        <w:t>redesignation</w:t>
      </w:r>
      <w:proofErr w:type="spellEnd"/>
      <w:r w:rsidR="00640107">
        <w:rPr>
          <w:b/>
        </w:rPr>
        <w:t xml:space="preserve"> action that are estimated to have no additional burden.</w:t>
      </w:r>
      <w:r w:rsidR="00FA5F1B">
        <w:t xml:space="preserve"> </w:t>
      </w:r>
      <w:r w:rsidR="0064637A">
        <w:t xml:space="preserve">The EPA’s final rule of </w:t>
      </w:r>
      <w:r w:rsidR="005040F6">
        <w:t>May 14, 2012, (77 FR 28423)</w:t>
      </w:r>
      <w:r w:rsidR="0064637A">
        <w:t xml:space="preserve">, mentioned above, </w:t>
      </w:r>
      <w:r w:rsidR="002A5DB6">
        <w:t>designated</w:t>
      </w:r>
      <w:r w:rsidR="0064637A">
        <w:t xml:space="preserve"> 16 non-attainment areas u</w:t>
      </w:r>
      <w:r w:rsidR="002A5DB6">
        <w:t>nder</w:t>
      </w:r>
      <w:r w:rsidR="0064637A">
        <w:t xml:space="preserve"> </w:t>
      </w:r>
      <w:r w:rsidR="00A26988">
        <w:t>s</w:t>
      </w:r>
      <w:r w:rsidR="0064637A">
        <w:t xml:space="preserve">ubpart 2. </w:t>
      </w:r>
      <w:r w:rsidR="00817608">
        <w:t>Nine</w:t>
      </w:r>
      <w:r w:rsidR="0064637A">
        <w:t xml:space="preserve"> of the</w:t>
      </w:r>
      <w:r w:rsidR="002A5DB6">
        <w:t xml:space="preserve"> former subpart 1 </w:t>
      </w:r>
      <w:proofErr w:type="gramStart"/>
      <w:r w:rsidR="002A5DB6">
        <w:t>areas</w:t>
      </w:r>
      <w:proofErr w:type="gramEnd"/>
      <w:r w:rsidR="002A5DB6">
        <w:t xml:space="preserve"> were</w:t>
      </w:r>
      <w:r w:rsidR="0064637A">
        <w:t xml:space="preserve"> classified </w:t>
      </w:r>
      <w:r w:rsidR="002A5DB6">
        <w:t xml:space="preserve">as Marginal </w:t>
      </w:r>
      <w:r w:rsidR="00817608">
        <w:t xml:space="preserve">non-attainment </w:t>
      </w:r>
      <w:r w:rsidR="0064637A">
        <w:t>areas</w:t>
      </w:r>
      <w:r w:rsidR="002A5DB6">
        <w:t>. These nine Marginal areas</w:t>
      </w:r>
      <w:r w:rsidR="0064637A">
        <w:t xml:space="preserve"> have</w:t>
      </w:r>
      <w:r w:rsidR="00817608">
        <w:t xml:space="preserve"> </w:t>
      </w:r>
      <w:r w:rsidR="00817608">
        <w:rPr>
          <w:bCs/>
        </w:rPr>
        <w:t xml:space="preserve">either met </w:t>
      </w:r>
      <w:r w:rsidR="00242EAD">
        <w:rPr>
          <w:bCs/>
        </w:rPr>
        <w:t>the NAAQS standard</w:t>
      </w:r>
      <w:r w:rsidR="00F3252C">
        <w:rPr>
          <w:bCs/>
        </w:rPr>
        <w:t xml:space="preserve"> </w:t>
      </w:r>
      <w:r w:rsidR="00817608">
        <w:rPr>
          <w:bCs/>
        </w:rPr>
        <w:t xml:space="preserve">or </w:t>
      </w:r>
      <w:r w:rsidR="00242EAD">
        <w:rPr>
          <w:bCs/>
        </w:rPr>
        <w:t xml:space="preserve">have </w:t>
      </w:r>
      <w:r w:rsidR="00817608">
        <w:rPr>
          <w:bCs/>
        </w:rPr>
        <w:t xml:space="preserve">suspended </w:t>
      </w:r>
      <w:r w:rsidR="002A5DB6">
        <w:rPr>
          <w:bCs/>
        </w:rPr>
        <w:t xml:space="preserve">the SIP </w:t>
      </w:r>
      <w:r w:rsidR="00817608">
        <w:rPr>
          <w:bCs/>
        </w:rPr>
        <w:t>requirements</w:t>
      </w:r>
      <w:r w:rsidR="002A5DB6">
        <w:rPr>
          <w:bCs/>
        </w:rPr>
        <w:t xml:space="preserve"> for a Marginal area</w:t>
      </w:r>
      <w:r w:rsidR="0064637A">
        <w:t xml:space="preserve">. </w:t>
      </w:r>
      <w:r w:rsidR="00BA5CAE">
        <w:t xml:space="preserve">There are </w:t>
      </w:r>
      <w:r w:rsidR="00E83DD6">
        <w:t>s</w:t>
      </w:r>
      <w:r w:rsidR="00817608">
        <w:t>even</w:t>
      </w:r>
      <w:r w:rsidR="00BA5CAE">
        <w:t xml:space="preserve"> </w:t>
      </w:r>
      <w:r w:rsidR="002A5DB6">
        <w:t xml:space="preserve">former subpart 1 areas </w:t>
      </w:r>
      <w:r w:rsidR="00640107">
        <w:t xml:space="preserve">classified </w:t>
      </w:r>
      <w:r w:rsidR="002A5DB6">
        <w:t xml:space="preserve">as </w:t>
      </w:r>
      <w:r w:rsidR="00640107">
        <w:t xml:space="preserve">Moderate </w:t>
      </w:r>
      <w:r w:rsidR="00817608">
        <w:t xml:space="preserve">that </w:t>
      </w:r>
      <w:r w:rsidR="002A5DB6">
        <w:t xml:space="preserve">require the state </w:t>
      </w:r>
      <w:r w:rsidR="00CB3528" w:rsidRPr="00BA3462">
        <w:t xml:space="preserve">to prepare </w:t>
      </w:r>
      <w:r w:rsidR="00E83DD6">
        <w:t xml:space="preserve">and submit to </w:t>
      </w:r>
      <w:r w:rsidR="00242EAD">
        <w:t xml:space="preserve">the </w:t>
      </w:r>
      <w:r w:rsidR="00E83DD6">
        <w:t xml:space="preserve">EPA </w:t>
      </w:r>
      <w:r w:rsidR="00CB3528" w:rsidRPr="00BA3462">
        <w:t xml:space="preserve">an </w:t>
      </w:r>
      <w:r w:rsidR="002A5DB6">
        <w:t xml:space="preserve">attainment demonstration, </w:t>
      </w:r>
      <w:r w:rsidR="00CB3528" w:rsidRPr="00BA3462">
        <w:t>RFP</w:t>
      </w:r>
      <w:r w:rsidR="002A5DB6">
        <w:t>,</w:t>
      </w:r>
      <w:r w:rsidR="00CB3528" w:rsidRPr="00BA3462">
        <w:t xml:space="preserve"> and RACT SIP submission</w:t>
      </w:r>
      <w:r w:rsidR="002A5DB6">
        <w:t>s</w:t>
      </w:r>
      <w:r w:rsidR="00BA5CAE">
        <w:t xml:space="preserve"> between </w:t>
      </w:r>
      <w:r w:rsidR="00E83DD6">
        <w:t xml:space="preserve">the calendar years of </w:t>
      </w:r>
      <w:r w:rsidR="00BA5CAE">
        <w:t xml:space="preserve">2013 to 2016. </w:t>
      </w:r>
      <w:r w:rsidR="00242EAD">
        <w:t xml:space="preserve">The </w:t>
      </w:r>
      <w:r w:rsidR="00E83DD6">
        <w:t xml:space="preserve">EPA has determined that three </w:t>
      </w:r>
      <w:r w:rsidR="002A5DB6">
        <w:t xml:space="preserve">of the seven </w:t>
      </w:r>
      <w:r w:rsidR="00E83DD6">
        <w:t>non-attainment areas within t</w:t>
      </w:r>
      <w:r w:rsidR="00BA5CAE">
        <w:t xml:space="preserve">he </w:t>
      </w:r>
      <w:r w:rsidR="00E83DD6">
        <w:t>two s</w:t>
      </w:r>
      <w:r w:rsidR="00BA5CAE">
        <w:t>tates of Pennsylvania and New York</w:t>
      </w:r>
      <w:r w:rsidR="00817608">
        <w:t>,</w:t>
      </w:r>
      <w:r w:rsidR="00E83DD6">
        <w:t xml:space="preserve"> which are in the Ozone Transport Region (OTR)</w:t>
      </w:r>
      <w:r w:rsidR="00817608">
        <w:t>,</w:t>
      </w:r>
      <w:r w:rsidR="00BA5CAE">
        <w:t xml:space="preserve"> would have no </w:t>
      </w:r>
      <w:r w:rsidR="00E83DD6">
        <w:t xml:space="preserve">additional </w:t>
      </w:r>
      <w:r w:rsidR="00BA5CAE">
        <w:t>new burden</w:t>
      </w:r>
      <w:r w:rsidR="00E83DD6">
        <w:t xml:space="preserve">. The </w:t>
      </w:r>
      <w:r w:rsidR="00BA5CAE">
        <w:t xml:space="preserve">3 </w:t>
      </w:r>
      <w:r w:rsidR="00E83DD6">
        <w:t xml:space="preserve">ozone non-attainment </w:t>
      </w:r>
      <w:r w:rsidR="00BA5CAE">
        <w:t xml:space="preserve">areas </w:t>
      </w:r>
      <w:r w:rsidR="00E83DD6">
        <w:t xml:space="preserve">within </w:t>
      </w:r>
      <w:r w:rsidR="00BA5CAE">
        <w:t>the OTR</w:t>
      </w:r>
      <w:r w:rsidR="00E83DD6">
        <w:t xml:space="preserve"> are</w:t>
      </w:r>
      <w:r w:rsidR="00BA5CAE">
        <w:t xml:space="preserve"> </w:t>
      </w:r>
      <w:r w:rsidR="009F652A">
        <w:t xml:space="preserve">the </w:t>
      </w:r>
      <w:r w:rsidR="00BA5CAE">
        <w:t>Pittsburgh</w:t>
      </w:r>
      <w:r w:rsidR="00E83DD6">
        <w:t xml:space="preserve"> area</w:t>
      </w:r>
      <w:r w:rsidR="00BA5CAE">
        <w:t>, PA</w:t>
      </w:r>
      <w:r w:rsidR="00E83DD6">
        <w:t xml:space="preserve">, the </w:t>
      </w:r>
      <w:r w:rsidR="00BA5CAE">
        <w:t>Buffalo</w:t>
      </w:r>
      <w:r w:rsidR="00E83DD6">
        <w:t xml:space="preserve"> area, NY</w:t>
      </w:r>
      <w:r w:rsidR="00BA5CAE">
        <w:t xml:space="preserve"> and </w:t>
      </w:r>
      <w:r w:rsidR="00E83DD6">
        <w:t xml:space="preserve">the </w:t>
      </w:r>
      <w:r w:rsidR="00BA5CAE">
        <w:t>Jamestown</w:t>
      </w:r>
      <w:r w:rsidR="00E83DD6">
        <w:t xml:space="preserve"> area</w:t>
      </w:r>
      <w:r w:rsidR="00BA5CAE">
        <w:t>, NY</w:t>
      </w:r>
      <w:r w:rsidR="00E83DD6">
        <w:t>. Because of OTR requirements, these state</w:t>
      </w:r>
      <w:r w:rsidR="009F652A">
        <w:t>s</w:t>
      </w:r>
      <w:r w:rsidR="00E83DD6">
        <w:t xml:space="preserve"> have </w:t>
      </w:r>
      <w:r w:rsidR="00BA5CAE">
        <w:t xml:space="preserve">already submitted </w:t>
      </w:r>
      <w:r w:rsidR="002A5DB6">
        <w:t>state-wide</w:t>
      </w:r>
      <w:r w:rsidR="00E83DD6">
        <w:t xml:space="preserve"> </w:t>
      </w:r>
      <w:r w:rsidR="00BA5CAE">
        <w:t xml:space="preserve">RACT </w:t>
      </w:r>
      <w:r w:rsidR="00E83DD6">
        <w:t xml:space="preserve">SIP </w:t>
      </w:r>
      <w:r w:rsidR="00BA5CAE">
        <w:t>requirement</w:t>
      </w:r>
      <w:r w:rsidR="00E83DD6">
        <w:t>s to fulfill that requirement</w:t>
      </w:r>
      <w:r w:rsidR="002A5DB6">
        <w:t xml:space="preserve">. The three areas have EPA-approved Clean Data Determinations that suspend the attainment demonstration and RFP planning requirement resulting in </w:t>
      </w:r>
      <w:r w:rsidR="00817608">
        <w:t>no additional burden estimated</w:t>
      </w:r>
      <w:r w:rsidR="002A5DB6">
        <w:t xml:space="preserve"> for these three Moderate areas</w:t>
      </w:r>
      <w:r w:rsidR="00E83DD6">
        <w:t>.</w:t>
      </w:r>
      <w:r w:rsidR="00242EAD">
        <w:t xml:space="preserve"> </w:t>
      </w:r>
    </w:p>
    <w:p w:rsidR="00204BE1" w:rsidRDefault="00204BE1" w:rsidP="00204BE1"/>
    <w:p w:rsidR="00640107" w:rsidRDefault="00640107" w:rsidP="00640107">
      <w:pPr>
        <w:numPr>
          <w:ilvl w:val="0"/>
          <w:numId w:val="5"/>
        </w:numPr>
        <w:tabs>
          <w:tab w:val="num" w:pos="720"/>
        </w:tabs>
      </w:pPr>
      <w:r>
        <w:rPr>
          <w:b/>
        </w:rPr>
        <w:t>Status of ozone non-attainment areas anticipated to have additional burden.</w:t>
      </w:r>
      <w:r w:rsidR="00821502">
        <w:rPr>
          <w:b/>
        </w:rPr>
        <w:t xml:space="preserve"> </w:t>
      </w:r>
      <w:r w:rsidR="00242EAD" w:rsidRPr="00D07D40">
        <w:t xml:space="preserve">The </w:t>
      </w:r>
      <w:r w:rsidRPr="00D07D40">
        <w:t xml:space="preserve">EPA has determined that ozone non-attainment areas that were initially designated under </w:t>
      </w:r>
      <w:r w:rsidR="00A26988" w:rsidRPr="00D07D40">
        <w:t>s</w:t>
      </w:r>
      <w:r w:rsidRPr="00D07D40">
        <w:t xml:space="preserve">ubpart 1 and that have been </w:t>
      </w:r>
      <w:proofErr w:type="spellStart"/>
      <w:r w:rsidRPr="00D07D40">
        <w:t>redesignated</w:t>
      </w:r>
      <w:proofErr w:type="spellEnd"/>
      <w:r w:rsidRPr="00D07D40">
        <w:t xml:space="preserve"> under </w:t>
      </w:r>
      <w:r w:rsidR="00A26988" w:rsidRPr="00D07D40">
        <w:t>s</w:t>
      </w:r>
      <w:r w:rsidRPr="00D07D40">
        <w:t xml:space="preserve">ubpart 2 </w:t>
      </w:r>
      <w:r w:rsidR="002A5DB6" w:rsidRPr="00D07D40">
        <w:t xml:space="preserve">with a Moderate classification </w:t>
      </w:r>
      <w:r w:rsidRPr="00D07D40">
        <w:t>in the 201</w:t>
      </w:r>
      <w:r w:rsidR="005040F6" w:rsidRPr="00D07D40">
        <w:t>2</w:t>
      </w:r>
      <w:r w:rsidRPr="00D07D40">
        <w:t xml:space="preserve"> </w:t>
      </w:r>
      <w:proofErr w:type="spellStart"/>
      <w:r w:rsidRPr="00D07D40">
        <w:t>redesignation</w:t>
      </w:r>
      <w:proofErr w:type="spellEnd"/>
      <w:r w:rsidRPr="00D07D40">
        <w:t xml:space="preserve"> action will have an increase in burden.</w:t>
      </w:r>
      <w:r>
        <w:t xml:space="preserve"> As stated in the previous item, there are s</w:t>
      </w:r>
      <w:r w:rsidR="00817608">
        <w:t>even</w:t>
      </w:r>
      <w:r>
        <w:t xml:space="preserve"> 8-hour ozone </w:t>
      </w:r>
      <w:r w:rsidRPr="00BA3462">
        <w:t xml:space="preserve">non-attainment areas </w:t>
      </w:r>
      <w:r>
        <w:t xml:space="preserve">that </w:t>
      </w:r>
      <w:r w:rsidRPr="00BA3462">
        <w:t xml:space="preserve">would </w:t>
      </w:r>
      <w:r>
        <w:t xml:space="preserve">normally </w:t>
      </w:r>
      <w:r w:rsidRPr="00BA3462">
        <w:t xml:space="preserve">have to prepare </w:t>
      </w:r>
      <w:r>
        <w:t xml:space="preserve">and submit to </w:t>
      </w:r>
      <w:r w:rsidR="00242EAD">
        <w:t xml:space="preserve">the </w:t>
      </w:r>
      <w:r>
        <w:t xml:space="preserve">EPA </w:t>
      </w:r>
      <w:r w:rsidRPr="00BA3462">
        <w:t xml:space="preserve">an </w:t>
      </w:r>
      <w:r w:rsidR="000B4541">
        <w:t xml:space="preserve">attainment demonstration and </w:t>
      </w:r>
      <w:r w:rsidRPr="00BA3462">
        <w:t xml:space="preserve">RFP </w:t>
      </w:r>
      <w:r w:rsidR="000B4541">
        <w:t xml:space="preserve">planning requirement resulting in no additional burden. The additional burden is for the areas to address the additional </w:t>
      </w:r>
      <w:r w:rsidRPr="00BA3462">
        <w:t xml:space="preserve">RACT SIP </w:t>
      </w:r>
      <w:r w:rsidR="000B4541">
        <w:t xml:space="preserve">requirement </w:t>
      </w:r>
      <w:r w:rsidRPr="00BA3462">
        <w:t>submission</w:t>
      </w:r>
      <w:r w:rsidR="005040F6">
        <w:t>s</w:t>
      </w:r>
      <w:r>
        <w:t xml:space="preserve"> between the calendar years of 2013 to 2016, with the exception of </w:t>
      </w:r>
      <w:r w:rsidR="00F75D75">
        <w:t xml:space="preserve">the </w:t>
      </w:r>
      <w:r w:rsidR="00817608">
        <w:t>3</w:t>
      </w:r>
      <w:r>
        <w:t xml:space="preserve"> areas</w:t>
      </w:r>
      <w:r w:rsidR="00F75D75">
        <w:t xml:space="preserve"> </w:t>
      </w:r>
      <w:r w:rsidR="009F652A">
        <w:t xml:space="preserve">in the OTR </w:t>
      </w:r>
      <w:r w:rsidR="00F75D75">
        <w:t>discussed above</w:t>
      </w:r>
      <w:r>
        <w:t xml:space="preserve">. Accounting for the remaining four non-attainment areas, </w:t>
      </w:r>
      <w:r w:rsidR="00F75D75">
        <w:t>t</w:t>
      </w:r>
      <w:r w:rsidR="00242EAD">
        <w:t xml:space="preserve">he </w:t>
      </w:r>
      <w:r>
        <w:t xml:space="preserve">EPA has determined that an increase in the burden estimate </w:t>
      </w:r>
      <w:r w:rsidR="00437B6B">
        <w:t xml:space="preserve">is warranted </w:t>
      </w:r>
      <w:r>
        <w:t xml:space="preserve">for </w:t>
      </w:r>
      <w:r w:rsidR="00817608">
        <w:t xml:space="preserve">these </w:t>
      </w:r>
      <w:r>
        <w:t xml:space="preserve">four ozone non-attainment areas </w:t>
      </w:r>
      <w:r w:rsidR="00F75D75">
        <w:t>because they</w:t>
      </w:r>
      <w:r w:rsidR="001F7DEE">
        <w:t xml:space="preserve"> </w:t>
      </w:r>
      <w:r>
        <w:t xml:space="preserve">must provide RACT SIP submissions to </w:t>
      </w:r>
      <w:r w:rsidR="00242EAD">
        <w:t xml:space="preserve">the </w:t>
      </w:r>
      <w:r>
        <w:t xml:space="preserve">EPA. </w:t>
      </w:r>
      <w:r w:rsidR="001F7DEE">
        <w:t>T</w:t>
      </w:r>
      <w:r>
        <w:t xml:space="preserve">hese areas have completed a majority of the </w:t>
      </w:r>
      <w:r w:rsidR="001F7DEE">
        <w:t xml:space="preserve">SIP </w:t>
      </w:r>
      <w:r>
        <w:t>requirements</w:t>
      </w:r>
      <w:r w:rsidR="00817608">
        <w:t xml:space="preserve"> but </w:t>
      </w:r>
      <w:r w:rsidR="001F7DEE">
        <w:t xml:space="preserve">due to the </w:t>
      </w:r>
      <w:r w:rsidR="00A26988">
        <w:t>s</w:t>
      </w:r>
      <w:r w:rsidR="001F7DEE">
        <w:t>ubpart 2 reclassification, the areas</w:t>
      </w:r>
      <w:r w:rsidR="00817608">
        <w:t xml:space="preserve"> must address additional SIP </w:t>
      </w:r>
      <w:r w:rsidR="001F7DEE">
        <w:t>requirements.</w:t>
      </w:r>
      <w:r>
        <w:t xml:space="preserve"> </w:t>
      </w:r>
      <w:r w:rsidR="00242EAD">
        <w:t xml:space="preserve">The </w:t>
      </w:r>
      <w:r>
        <w:t xml:space="preserve">EPA has estimated that </w:t>
      </w:r>
      <w:r w:rsidR="00242EAD">
        <w:t>t</w:t>
      </w:r>
      <w:r>
        <w:t xml:space="preserve">he </w:t>
      </w:r>
      <w:r w:rsidR="00817608">
        <w:t>additional</w:t>
      </w:r>
      <w:r>
        <w:t xml:space="preserve"> burden is 2,500 hours, approximately half of the required 5,000 hours</w:t>
      </w:r>
      <w:r w:rsidR="00242EAD">
        <w:t xml:space="preserve"> the</w:t>
      </w:r>
      <w:r>
        <w:t xml:space="preserve"> EPA has estimated for areas submitting complete Moderate SIP requirements. The four ozone nonattainment areas are in California and are as follows:</w:t>
      </w:r>
    </w:p>
    <w:p w:rsidR="00640107" w:rsidRPr="009777F2" w:rsidRDefault="00640107" w:rsidP="00640107">
      <w:pPr>
        <w:numPr>
          <w:ilvl w:val="1"/>
          <w:numId w:val="5"/>
        </w:numPr>
      </w:pPr>
      <w:r w:rsidRPr="009777F2">
        <w:t>Calaveras County (formerly part of Central Mountain Counties)</w:t>
      </w:r>
    </w:p>
    <w:p w:rsidR="00640107" w:rsidRDefault="00640107" w:rsidP="00640107">
      <w:pPr>
        <w:numPr>
          <w:ilvl w:val="1"/>
          <w:numId w:val="5"/>
        </w:numPr>
      </w:pPr>
      <w:r>
        <w:lastRenderedPageBreak/>
        <w:t>Kern County (Eastern Kern)</w:t>
      </w:r>
    </w:p>
    <w:p w:rsidR="00640107" w:rsidRDefault="00640107" w:rsidP="00640107">
      <w:pPr>
        <w:numPr>
          <w:ilvl w:val="1"/>
          <w:numId w:val="5"/>
        </w:numPr>
      </w:pPr>
      <w:r>
        <w:t>Mariposa County (formerly part of Southern Mountain Counties)</w:t>
      </w:r>
    </w:p>
    <w:p w:rsidR="00640107" w:rsidRDefault="00640107" w:rsidP="005B5A5B">
      <w:pPr>
        <w:numPr>
          <w:ilvl w:val="1"/>
          <w:numId w:val="5"/>
        </w:numPr>
      </w:pPr>
      <w:r>
        <w:t>Western Nevada</w:t>
      </w:r>
      <w:r w:rsidR="00242EAD">
        <w:t xml:space="preserve"> County</w:t>
      </w:r>
    </w:p>
    <w:p w:rsidR="00640107" w:rsidRDefault="00640107">
      <w:pPr>
        <w:ind w:left="720"/>
      </w:pPr>
    </w:p>
    <w:p w:rsidR="00CF3E40" w:rsidRPr="00C3197D" w:rsidRDefault="000274A8" w:rsidP="00D55C77">
      <w:pPr>
        <w:numPr>
          <w:ilvl w:val="0"/>
          <w:numId w:val="31"/>
        </w:numPr>
        <w:ind w:left="1170"/>
      </w:pPr>
      <w:r>
        <w:rPr>
          <w:b/>
        </w:rPr>
        <w:t>Areas that may be anticipated to or have missed their attainment date</w:t>
      </w:r>
      <w:r w:rsidRPr="00BA3462">
        <w:rPr>
          <w:b/>
        </w:rPr>
        <w:t>.</w:t>
      </w:r>
      <w:r>
        <w:rPr>
          <w:b/>
        </w:rPr>
        <w:t xml:space="preserve"> </w:t>
      </w:r>
      <w:r>
        <w:t xml:space="preserve">There are two areas that are anticipated to miss their </w:t>
      </w:r>
      <w:r w:rsidR="000B4541">
        <w:t xml:space="preserve">June 15, 2013 </w:t>
      </w:r>
      <w:proofErr w:type="gramStart"/>
      <w:r>
        <w:t>Serious</w:t>
      </w:r>
      <w:proofErr w:type="gramEnd"/>
      <w:r>
        <w:t xml:space="preserve"> </w:t>
      </w:r>
      <w:r w:rsidR="000B4541">
        <w:t xml:space="preserve">classification </w:t>
      </w:r>
      <w:r>
        <w:t>attainment date.</w:t>
      </w:r>
      <w:r w:rsidR="008064E7">
        <w:t xml:space="preserve"> </w:t>
      </w:r>
      <w:r w:rsidR="00242EAD">
        <w:t xml:space="preserve">The </w:t>
      </w:r>
      <w:r w:rsidR="008064E7">
        <w:t>EPA believes it is essential to estimate the burden these two areas may encounter.</w:t>
      </w:r>
      <w:r>
        <w:t xml:space="preserve"> Typically, </w:t>
      </w:r>
      <w:r w:rsidR="00242EAD">
        <w:t xml:space="preserve">the </w:t>
      </w:r>
      <w:r>
        <w:t>EPA has</w:t>
      </w:r>
      <w:r w:rsidR="008064E7">
        <w:t xml:space="preserve"> provided</w:t>
      </w:r>
      <w:r>
        <w:t xml:space="preserve"> </w:t>
      </w:r>
      <w:r w:rsidR="008064E7">
        <w:t xml:space="preserve">an </w:t>
      </w:r>
      <w:r>
        <w:t xml:space="preserve">estimated 20,000 burden hours for </w:t>
      </w:r>
      <w:r w:rsidR="008948E0">
        <w:t xml:space="preserve">new </w:t>
      </w:r>
      <w:proofErr w:type="gramStart"/>
      <w:r w:rsidR="008948E0">
        <w:t>Severe</w:t>
      </w:r>
      <w:proofErr w:type="gramEnd"/>
      <w:r w:rsidR="008948E0">
        <w:t xml:space="preserve"> </w:t>
      </w:r>
      <w:r>
        <w:t>areas to develop the</w:t>
      </w:r>
      <w:r w:rsidR="008064E7">
        <w:t xml:space="preserve"> </w:t>
      </w:r>
      <w:r w:rsidR="000B4541">
        <w:t xml:space="preserve">complete </w:t>
      </w:r>
      <w:r w:rsidR="008064E7">
        <w:t>necessary</w:t>
      </w:r>
      <w:r>
        <w:t xml:space="preserve"> </w:t>
      </w:r>
      <w:r w:rsidR="005040F6">
        <w:t>Se</w:t>
      </w:r>
      <w:r w:rsidR="008948E0">
        <w:t>vere</w:t>
      </w:r>
      <w:r w:rsidR="005040F6">
        <w:t xml:space="preserve"> area </w:t>
      </w:r>
      <w:r>
        <w:t xml:space="preserve">SIP submissions. </w:t>
      </w:r>
      <w:r w:rsidR="006F478B">
        <w:t>In this case, t</w:t>
      </w:r>
      <w:r w:rsidR="00242EAD">
        <w:t xml:space="preserve">he </w:t>
      </w:r>
      <w:r w:rsidR="008064E7">
        <w:t>EPA recognize</w:t>
      </w:r>
      <w:r w:rsidR="006F478B">
        <w:t>s</w:t>
      </w:r>
      <w:r w:rsidR="008064E7">
        <w:t xml:space="preserve"> that the burden </w:t>
      </w:r>
      <w:r w:rsidR="006F478B">
        <w:t>may remain the same</w:t>
      </w:r>
      <w:r w:rsidR="008948E0">
        <w:t xml:space="preserve"> if these areas are reclassified from Serious to Severe classification</w:t>
      </w:r>
      <w:r w:rsidR="006F478B">
        <w:t xml:space="preserve"> since the state must reevaluate the universe of sources, amend rules and hold public hearings to </w:t>
      </w:r>
      <w:r w:rsidR="00EA5238">
        <w:t xml:space="preserve">complete </w:t>
      </w:r>
      <w:r w:rsidR="006F478B">
        <w:t>required</w:t>
      </w:r>
      <w:r w:rsidR="008064E7">
        <w:t xml:space="preserve"> SIP submissions. Accordingly, </w:t>
      </w:r>
      <w:r w:rsidR="00242EAD">
        <w:t xml:space="preserve">the </w:t>
      </w:r>
      <w:r w:rsidR="008064E7">
        <w:t xml:space="preserve">EPA </w:t>
      </w:r>
      <w:r w:rsidR="006F478B">
        <w:t>will maintain</w:t>
      </w:r>
      <w:r w:rsidR="008064E7">
        <w:t xml:space="preserve"> the </w:t>
      </w:r>
      <w:r w:rsidR="00D55C77">
        <w:t>proposed burden estimate of 5,000 hours for Baltimore, Maryland area</w:t>
      </w:r>
      <w:r w:rsidR="00CF3E40">
        <w:t xml:space="preserve">. Baltimore is in the Ozone Transport Region which requires SIP elements that satisfy </w:t>
      </w:r>
      <w:r w:rsidR="00705C2B">
        <w:t>Moderate</w:t>
      </w:r>
      <w:r w:rsidR="00CF3E40">
        <w:t xml:space="preserve"> area requirements and as such, the area anticipates </w:t>
      </w:r>
      <w:r w:rsidR="00705C2B">
        <w:t>the additional 5,000 hours account</w:t>
      </w:r>
      <w:r w:rsidR="00FD744A">
        <w:t>ing</w:t>
      </w:r>
      <w:r w:rsidR="00705C2B">
        <w:t xml:space="preserve"> for work </w:t>
      </w:r>
      <w:r w:rsidR="00CF3E40">
        <w:t xml:space="preserve">in completing SIP revisions, if necessary. We are providing </w:t>
      </w:r>
      <w:r w:rsidR="00D55C77">
        <w:t xml:space="preserve">a </w:t>
      </w:r>
      <w:r w:rsidR="008064E7">
        <w:t xml:space="preserve">burden </w:t>
      </w:r>
      <w:r w:rsidR="009842B8">
        <w:t xml:space="preserve">estimate </w:t>
      </w:r>
      <w:r w:rsidR="00C3197D">
        <w:t xml:space="preserve">of </w:t>
      </w:r>
      <w:r w:rsidR="006F478B">
        <w:t>20</w:t>
      </w:r>
      <w:r w:rsidR="008064E7">
        <w:t>,000 hours</w:t>
      </w:r>
      <w:r w:rsidR="00D55C77">
        <w:t xml:space="preserve"> for the Dallas-Forth </w:t>
      </w:r>
      <w:proofErr w:type="gramStart"/>
      <w:r w:rsidR="00D55C77">
        <w:t>Worth</w:t>
      </w:r>
      <w:proofErr w:type="gramEnd"/>
      <w:r w:rsidR="00D55C77">
        <w:t xml:space="preserve"> Area, Texas,</w:t>
      </w:r>
      <w:r w:rsidR="008064E7">
        <w:t xml:space="preserve"> </w:t>
      </w:r>
      <w:r w:rsidR="00C3197D">
        <w:t xml:space="preserve">as </w:t>
      </w:r>
      <w:r w:rsidR="00CF3E40">
        <w:t xml:space="preserve">a </w:t>
      </w:r>
      <w:r w:rsidR="00C3197D">
        <w:t xml:space="preserve">necessary </w:t>
      </w:r>
      <w:r w:rsidR="00705C2B">
        <w:t>burden, accounting for</w:t>
      </w:r>
      <w:r w:rsidR="00821502">
        <w:t xml:space="preserve"> </w:t>
      </w:r>
      <w:r w:rsidR="00CF3E40">
        <w:t>hours</w:t>
      </w:r>
      <w:r w:rsidR="00D55C77">
        <w:t xml:space="preserve"> </w:t>
      </w:r>
      <w:r w:rsidR="00C3197D">
        <w:t xml:space="preserve">to complete their </w:t>
      </w:r>
      <w:r w:rsidR="000B4541">
        <w:t xml:space="preserve">SIP </w:t>
      </w:r>
      <w:r w:rsidR="00D55C77">
        <w:t xml:space="preserve">respective </w:t>
      </w:r>
      <w:r w:rsidR="00D07D40">
        <w:t>planning SIP</w:t>
      </w:r>
      <w:r w:rsidR="00C3197D">
        <w:t>.</w:t>
      </w:r>
    </w:p>
    <w:p w:rsidR="00CF3E40" w:rsidRDefault="00CF3E40" w:rsidP="000F6A4C">
      <w:pPr>
        <w:ind w:left="360"/>
      </w:pPr>
    </w:p>
    <w:p w:rsidR="00CB3528" w:rsidRDefault="00CB3528" w:rsidP="000F6A4C">
      <w:pPr>
        <w:ind w:left="360"/>
      </w:pPr>
      <w:r>
        <w:tab/>
      </w:r>
      <w:r w:rsidR="000B4541">
        <w:t xml:space="preserve">The EPA has estimated that six non-attainment areas will have additional burden in fulfilling their obligations during the time period covered by this ICR renewal. </w:t>
      </w:r>
      <w:r w:rsidRPr="00F64829">
        <w:t xml:space="preserve">The </w:t>
      </w:r>
      <w:r w:rsidR="00F75D75">
        <w:t>EPA</w:t>
      </w:r>
      <w:r w:rsidRPr="00F64829">
        <w:t xml:space="preserve"> anticipates additional administrative </w:t>
      </w:r>
      <w:r w:rsidR="003A31B7">
        <w:t xml:space="preserve">3-year </w:t>
      </w:r>
      <w:r w:rsidRPr="00F64829">
        <w:t xml:space="preserve">burden for state governments and the </w:t>
      </w:r>
      <w:r w:rsidR="00F75D75">
        <w:t>EPA</w:t>
      </w:r>
      <w:r w:rsidRPr="00F64829">
        <w:t xml:space="preserve"> of </w:t>
      </w:r>
      <w:r w:rsidR="00D55C77">
        <w:t>3</w:t>
      </w:r>
      <w:r w:rsidR="006F478B">
        <w:t>5</w:t>
      </w:r>
      <w:r w:rsidR="00202007" w:rsidRPr="00F64829">
        <w:t>,000</w:t>
      </w:r>
      <w:r w:rsidRPr="00F64829">
        <w:t xml:space="preserve"> hours and </w:t>
      </w:r>
      <w:r w:rsidR="00D55C77">
        <w:t>3,850</w:t>
      </w:r>
      <w:r w:rsidRPr="00F64829">
        <w:t xml:space="preserve"> hours, respectively. Fifty percent of the hours are expended in the 1</w:t>
      </w:r>
      <w:r w:rsidRPr="00F64829">
        <w:rPr>
          <w:vertAlign w:val="superscript"/>
        </w:rPr>
        <w:t>st</w:t>
      </w:r>
      <w:r w:rsidRPr="00F64829">
        <w:t xml:space="preserve"> year with the remainder evenly divided between the 2</w:t>
      </w:r>
      <w:r w:rsidRPr="00F64829">
        <w:rPr>
          <w:vertAlign w:val="superscript"/>
        </w:rPr>
        <w:t>nd</w:t>
      </w:r>
      <w:r w:rsidRPr="00F64829">
        <w:t xml:space="preserve"> and 3</w:t>
      </w:r>
      <w:r w:rsidRPr="00F64829">
        <w:rPr>
          <w:vertAlign w:val="superscript"/>
        </w:rPr>
        <w:t>rd</w:t>
      </w:r>
      <w:r w:rsidRPr="00F64829">
        <w:t xml:space="preserve"> years of the ICR period. Tribes are not required to conduct attainment demonstrations or submit RFP or RACT SIPs.</w:t>
      </w:r>
    </w:p>
    <w:p w:rsidR="00CB3528" w:rsidRDefault="00CB3528" w:rsidP="000F6A4C">
      <w:pPr>
        <w:ind w:left="360"/>
      </w:pPr>
    </w:p>
    <w:p w:rsidR="00CB3528" w:rsidRDefault="00CB3528" w:rsidP="000F6A4C">
      <w:pPr>
        <w:ind w:left="360"/>
      </w:pPr>
      <w:r>
        <w:tab/>
        <w:t>The present value of the total additional costs for state governments</w:t>
      </w:r>
      <w:r w:rsidR="003A31B7">
        <w:t xml:space="preserve"> (respondents)</w:t>
      </w:r>
      <w:r w:rsidR="009F652A">
        <w:t xml:space="preserve"> is</w:t>
      </w:r>
      <w:r>
        <w:t xml:space="preserve"> estimated at $</w:t>
      </w:r>
      <w:r w:rsidR="003A31B7">
        <w:t>2,278,500</w:t>
      </w:r>
      <w:r w:rsidRPr="004762FA">
        <w:t xml:space="preserve"> for the 3 year period</w:t>
      </w:r>
      <w:r>
        <w:t>. On an equivalent annual basis that is $</w:t>
      </w:r>
      <w:r w:rsidR="00FA3EC7">
        <w:t>759,500</w:t>
      </w:r>
      <w:r w:rsidRPr="004762FA">
        <w:t xml:space="preserve"> per year</w:t>
      </w:r>
      <w:r>
        <w:t xml:space="preserve"> during the 3 year period of the ICR.</w:t>
      </w:r>
    </w:p>
    <w:p w:rsidR="00CB3528" w:rsidRDefault="00CB3528" w:rsidP="000F6A4C">
      <w:pPr>
        <w:ind w:left="360"/>
      </w:pPr>
    </w:p>
    <w:p w:rsidR="00CB3528" w:rsidRDefault="00CB3528" w:rsidP="000F6A4C">
      <w:pPr>
        <w:ind w:left="360"/>
      </w:pPr>
      <w:r>
        <w:tab/>
        <w:t xml:space="preserve">The present value of the </w:t>
      </w:r>
      <w:r w:rsidR="00DA35E4">
        <w:t>EPA’s</w:t>
      </w:r>
      <w:r>
        <w:t xml:space="preserve"> administrative cost burden is estimated at $</w:t>
      </w:r>
      <w:r w:rsidR="00FA3EC7">
        <w:t>250,636</w:t>
      </w:r>
      <w:r>
        <w:t xml:space="preserve"> dollars. This is equivalent to an equal annual stream of costs of $</w:t>
      </w:r>
      <w:r w:rsidR="00FA3EC7">
        <w:t>83,545</w:t>
      </w:r>
      <w:r>
        <w:t xml:space="preserve"> per year during the three year period.</w:t>
      </w:r>
    </w:p>
    <w:p w:rsidR="009E2F0A" w:rsidRDefault="009E2F0A" w:rsidP="000F6A4C">
      <w:pPr>
        <w:ind w:left="360"/>
      </w:pPr>
    </w:p>
    <w:p w:rsidR="00191AC6" w:rsidRDefault="00191AC6" w:rsidP="000F6A4C">
      <w:pPr>
        <w:ind w:left="360"/>
      </w:pPr>
    </w:p>
    <w:p w:rsidR="00CB3528" w:rsidRPr="00432F8C" w:rsidRDefault="00CB3528" w:rsidP="00756E81">
      <w:pPr>
        <w:numPr>
          <w:ilvl w:val="0"/>
          <w:numId w:val="4"/>
        </w:numPr>
        <w:tabs>
          <w:tab w:val="clear" w:pos="1440"/>
          <w:tab w:val="num" w:pos="1080"/>
        </w:tabs>
        <w:rPr>
          <w:b/>
          <w:sz w:val="28"/>
          <w:szCs w:val="28"/>
        </w:rPr>
      </w:pPr>
      <w:r w:rsidRPr="00432F8C">
        <w:rPr>
          <w:b/>
          <w:sz w:val="28"/>
          <w:szCs w:val="28"/>
        </w:rPr>
        <w:t>Need For and Use of the Collection</w:t>
      </w:r>
    </w:p>
    <w:p w:rsidR="00CB3528" w:rsidRDefault="00CB3528" w:rsidP="000F6A4C">
      <w:pPr>
        <w:ind w:left="360"/>
        <w:rPr>
          <w:b/>
        </w:rPr>
      </w:pPr>
      <w:r>
        <w:rPr>
          <w:b/>
        </w:rPr>
        <w:t>2(a)</w:t>
      </w:r>
      <w:r>
        <w:rPr>
          <w:b/>
        </w:rPr>
        <w:tab/>
        <w:t>Need/Authority for the Collection</w:t>
      </w:r>
    </w:p>
    <w:p w:rsidR="00CB3528" w:rsidRDefault="00CB3528" w:rsidP="000F6A4C">
      <w:pPr>
        <w:ind w:left="360"/>
        <w:rPr>
          <w:b/>
        </w:rPr>
      </w:pPr>
    </w:p>
    <w:p w:rsidR="00CB3528" w:rsidRDefault="00821502" w:rsidP="00A26988">
      <w:pPr>
        <w:tabs>
          <w:tab w:val="left" w:pos="7560"/>
        </w:tabs>
        <w:ind w:left="360"/>
      </w:pPr>
      <w:r>
        <w:t xml:space="preserve">   </w:t>
      </w:r>
      <w:r w:rsidR="00CB3528">
        <w:t xml:space="preserve">Part D of Title I of the Clean Air Act sets forth the plan (implementation) requirements for areas designated non-attainment with a promulgated National Ambient Air Quality Standard. When the Clean Air Act amendments of 1990 were enacted, the </w:t>
      </w:r>
      <w:r w:rsidR="00A26988">
        <w:t>s</w:t>
      </w:r>
      <w:r w:rsidR="00CB3528">
        <w:t xml:space="preserve">ubpart 2 provisions were specific to designated non-attainment areas for the 1-hour </w:t>
      </w:r>
      <w:r w:rsidR="00F75D75">
        <w:t>o</w:t>
      </w:r>
      <w:r w:rsidR="00CB3528">
        <w:t xml:space="preserve">zone NAAQS, but that standard was revised in 1997. As a result of litigation and subsequent court decisions, an </w:t>
      </w:r>
      <w:r w:rsidR="00CB3528">
        <w:lastRenderedPageBreak/>
        <w:t xml:space="preserve">implementation framework was developed for the 8-hour </w:t>
      </w:r>
      <w:r w:rsidR="00F75D75">
        <w:t>o</w:t>
      </w:r>
      <w:r w:rsidR="00CB3528">
        <w:t>zone NAAQS, promulgated in 1997.</w:t>
      </w:r>
      <w:r w:rsidR="00FA5F1B">
        <w:t xml:space="preserve"> </w:t>
      </w:r>
    </w:p>
    <w:p w:rsidR="00CB3528" w:rsidRDefault="00CB3528" w:rsidP="000F6A4C">
      <w:pPr>
        <w:ind w:left="360"/>
      </w:pPr>
    </w:p>
    <w:p w:rsidR="00694352" w:rsidRDefault="00CB3528" w:rsidP="000F6A4C">
      <w:pPr>
        <w:ind w:left="360"/>
      </w:pPr>
      <w:r>
        <w:tab/>
        <w:t xml:space="preserve">The </w:t>
      </w:r>
      <w:r w:rsidR="00F75D75">
        <w:t>implementation r</w:t>
      </w:r>
      <w:r>
        <w:t xml:space="preserve">ule </w:t>
      </w:r>
      <w:r w:rsidR="00F75D75">
        <w:t xml:space="preserve">for the 1997 8-hour ozone NAAQS </w:t>
      </w:r>
      <w:r>
        <w:t>was issued in two phases: Phase 1 was published April 30, 2004 and Phase 2 was published November 29, 2005. When the review and comment periods on the draft and final federal implementation rules closed, the affected parties could begin to assess the milestones and begin the planning process</w:t>
      </w:r>
      <w:r w:rsidR="00B46D71">
        <w:t>.</w:t>
      </w:r>
      <w:r w:rsidR="00202007">
        <w:t xml:space="preserve"> In 2007 Phase I was vacated and all areas designated </w:t>
      </w:r>
      <w:r w:rsidR="009F652A">
        <w:t>under</w:t>
      </w:r>
      <w:r w:rsidR="00202007">
        <w:t xml:space="preserve"> “</w:t>
      </w:r>
      <w:r w:rsidR="00A26988">
        <w:t>s</w:t>
      </w:r>
      <w:r w:rsidR="00202007">
        <w:t xml:space="preserve">ubpart 1” areas were </w:t>
      </w:r>
      <w:proofErr w:type="spellStart"/>
      <w:r w:rsidR="00202007">
        <w:t>redesignated</w:t>
      </w:r>
      <w:proofErr w:type="spellEnd"/>
      <w:r w:rsidR="00202007">
        <w:t xml:space="preserve"> in 2009 as either </w:t>
      </w:r>
      <w:r w:rsidR="00A26988">
        <w:t>s</w:t>
      </w:r>
      <w:r w:rsidR="00202007">
        <w:t xml:space="preserve">ubpart 2 Marginal or </w:t>
      </w:r>
      <w:r w:rsidR="00A26988">
        <w:t>s</w:t>
      </w:r>
      <w:r w:rsidR="00202007">
        <w:t>ubpart 2 Moderate areas.</w:t>
      </w:r>
    </w:p>
    <w:p w:rsidR="00694352" w:rsidRDefault="00694352" w:rsidP="000F6A4C">
      <w:pPr>
        <w:ind w:left="360"/>
      </w:pPr>
    </w:p>
    <w:p w:rsidR="00CB3528" w:rsidRDefault="00CB3528" w:rsidP="000F6A4C">
      <w:pPr>
        <w:ind w:left="360"/>
      </w:pPr>
      <w:r>
        <w:tab/>
        <w:t xml:space="preserve">This ICR is </w:t>
      </w:r>
      <w:r w:rsidR="000B4541">
        <w:t xml:space="preserve">the second 3-year </w:t>
      </w:r>
      <w:r w:rsidR="00395668">
        <w:t xml:space="preserve">renewal of the original ICR </w:t>
      </w:r>
      <w:r>
        <w:t>developed in response to the implementation framework to fulfill requirements of the Paperwork Reduction Act.</w:t>
      </w:r>
    </w:p>
    <w:p w:rsidR="00CB3528" w:rsidRDefault="00CB3528" w:rsidP="000F6A4C">
      <w:pPr>
        <w:ind w:left="360"/>
      </w:pPr>
    </w:p>
    <w:p w:rsidR="00F13A11" w:rsidRDefault="00F13A11" w:rsidP="000F6A4C">
      <w:pPr>
        <w:ind w:left="360"/>
      </w:pPr>
    </w:p>
    <w:p w:rsidR="00CB3528" w:rsidRDefault="00CB3528" w:rsidP="000F6A4C">
      <w:pPr>
        <w:ind w:left="360"/>
        <w:rPr>
          <w:b/>
        </w:rPr>
      </w:pPr>
      <w:r>
        <w:rPr>
          <w:b/>
        </w:rPr>
        <w:t>2(</w:t>
      </w:r>
      <w:r w:rsidR="00BD10CD">
        <w:rPr>
          <w:b/>
        </w:rPr>
        <w:t>b</w:t>
      </w:r>
      <w:r>
        <w:rPr>
          <w:b/>
        </w:rPr>
        <w:t>)</w:t>
      </w:r>
      <w:r>
        <w:rPr>
          <w:b/>
        </w:rPr>
        <w:tab/>
        <w:t>User/Users of the Data</w:t>
      </w:r>
      <w:r>
        <w:rPr>
          <w:rStyle w:val="FootnoteReference"/>
          <w:b/>
        </w:rPr>
        <w:footnoteReference w:id="2"/>
      </w:r>
      <w:r>
        <w:rPr>
          <w:b/>
        </w:rPr>
        <w:t xml:space="preserve"> </w:t>
      </w:r>
    </w:p>
    <w:p w:rsidR="00A079DD" w:rsidRDefault="00A079DD" w:rsidP="000F6A4C">
      <w:pPr>
        <w:ind w:left="360"/>
        <w:rPr>
          <w:b/>
        </w:rPr>
      </w:pPr>
    </w:p>
    <w:p w:rsidR="00CB3528" w:rsidRDefault="00CB3528" w:rsidP="000F6A4C">
      <w:pPr>
        <w:ind w:left="360"/>
      </w:pPr>
      <w:r>
        <w:rPr>
          <w:b/>
        </w:rPr>
        <w:tab/>
      </w:r>
      <w:r>
        <w:t xml:space="preserve">The data collected from respondents include attainment demonstrations, RFP SIP submissions, and RACT SIP submissions. The attainment demonstrations indicate what emission reductions are necessary to attain and maintain the </w:t>
      </w:r>
      <w:r w:rsidR="00F75D75">
        <w:t>1997 o</w:t>
      </w:r>
      <w:r>
        <w:t>zone NAAQS.</w:t>
      </w:r>
      <w:r w:rsidR="00FA5F1B">
        <w:t xml:space="preserve"> </w:t>
      </w:r>
      <w:r>
        <w:t>The RFP SIP describes how the RFP obligation will be met by the affected non-attainment areas as emission reductions are phased in over time. The RACT SIP identifies the assessment of present controls on affected sources of emissions to see if they meet RACT requirements and identifies where additional measures and emission reduction requirements are required.</w:t>
      </w:r>
      <w:r w:rsidR="00FA5F1B">
        <w:t xml:space="preserve"> </w:t>
      </w:r>
      <w:r>
        <w:t xml:space="preserve">The RACT requirements can be used to meet RFP requirements. </w:t>
      </w:r>
      <w:r w:rsidR="00C56687">
        <w:t>T</w:t>
      </w:r>
      <w:r>
        <w:t xml:space="preserve">he RACT and RFP requirements </w:t>
      </w:r>
      <w:r w:rsidR="009F652A">
        <w:t xml:space="preserve">also </w:t>
      </w:r>
      <w:r>
        <w:t xml:space="preserve">can be used to satisfy the emission reduction requirements to attain and maintain the </w:t>
      </w:r>
      <w:r w:rsidR="00F75D75">
        <w:t>1997 o</w:t>
      </w:r>
      <w:r>
        <w:t>zone NAAQS. The similarities between the RACT and RFP requirements may be reflected in the attainment demonstration.</w:t>
      </w:r>
    </w:p>
    <w:p w:rsidR="00CB3528" w:rsidRDefault="00CB3528" w:rsidP="000F6A4C">
      <w:pPr>
        <w:ind w:left="360"/>
      </w:pPr>
    </w:p>
    <w:p w:rsidR="00CB3528" w:rsidRDefault="00CB3528" w:rsidP="000F6A4C">
      <w:pPr>
        <w:ind w:left="360"/>
      </w:pPr>
      <w:r>
        <w:tab/>
        <w:t xml:space="preserve">The states use the attainment demonstrations, RFP SIP submissions, and RACT SIP submissions to inform their citizenry, including potentially regulated entities. They also use this information and analysis to fulfill federal obligations under Title I, </w:t>
      </w:r>
      <w:r w:rsidR="00A26988">
        <w:t>s</w:t>
      </w:r>
      <w:r>
        <w:t xml:space="preserve">ubpart D of the Clean Air Act and </w:t>
      </w:r>
      <w:r w:rsidR="00F75D75">
        <w:t xml:space="preserve">Phase 1 and Phase 2 of </w:t>
      </w:r>
      <w:r>
        <w:t xml:space="preserve">the </w:t>
      </w:r>
      <w:r w:rsidR="00F75D75">
        <w:t xml:space="preserve">1997 </w:t>
      </w:r>
      <w:r>
        <w:t>8-hour Ozone Implementation Rule.</w:t>
      </w:r>
      <w:r w:rsidR="00821502">
        <w:t xml:space="preserve"> </w:t>
      </w:r>
    </w:p>
    <w:p w:rsidR="00CB3528" w:rsidRDefault="00CB3528" w:rsidP="000F6A4C">
      <w:pPr>
        <w:ind w:left="360"/>
      </w:pPr>
    </w:p>
    <w:p w:rsidR="00CB3528" w:rsidRDefault="00CB3528" w:rsidP="000F6A4C">
      <w:pPr>
        <w:ind w:left="360"/>
      </w:pPr>
      <w:r>
        <w:tab/>
        <w:t>The potentially regulated entities use this information in assessing future emission reduction requirements.</w:t>
      </w:r>
    </w:p>
    <w:p w:rsidR="00CB3528" w:rsidRDefault="00CB3528" w:rsidP="000F6A4C">
      <w:pPr>
        <w:ind w:left="360"/>
      </w:pPr>
    </w:p>
    <w:p w:rsidR="00CB3528" w:rsidRDefault="00CB3528" w:rsidP="000F6A4C">
      <w:pPr>
        <w:ind w:left="360"/>
      </w:pPr>
      <w:r>
        <w:tab/>
        <w:t>The regional and headquarters EPA use the information as part of their review of attainment demonstration, RFP SIP, and RACT SIP adequacy. Emission reducing regulations developed by the states and approved by the EPA are federally enforceable.</w:t>
      </w:r>
      <w:r w:rsidR="00821502">
        <w:t xml:space="preserve"> </w:t>
      </w:r>
    </w:p>
    <w:p w:rsidR="00CB3528" w:rsidRDefault="00CB3528" w:rsidP="000F6A4C">
      <w:pPr>
        <w:ind w:left="360"/>
      </w:pPr>
    </w:p>
    <w:p w:rsidR="00CB3528" w:rsidRDefault="00FD744A" w:rsidP="000F6A4C">
      <w:pPr>
        <w:ind w:left="360"/>
      </w:pPr>
      <w:r>
        <w:br w:type="page"/>
      </w:r>
    </w:p>
    <w:p w:rsidR="00CB3528" w:rsidRDefault="00CB3528" w:rsidP="00756E81">
      <w:pPr>
        <w:numPr>
          <w:ilvl w:val="0"/>
          <w:numId w:val="4"/>
        </w:numPr>
        <w:tabs>
          <w:tab w:val="clear" w:pos="1440"/>
          <w:tab w:val="num" w:pos="1080"/>
        </w:tabs>
        <w:rPr>
          <w:b/>
          <w:sz w:val="28"/>
          <w:szCs w:val="28"/>
        </w:rPr>
      </w:pPr>
      <w:r>
        <w:rPr>
          <w:b/>
          <w:sz w:val="28"/>
          <w:szCs w:val="28"/>
        </w:rPr>
        <w:lastRenderedPageBreak/>
        <w:t>Non-Duplication, Consultation, and Other Collection Criteria</w:t>
      </w:r>
    </w:p>
    <w:p w:rsidR="00CB3528" w:rsidRDefault="00CB3528" w:rsidP="000F6A4C">
      <w:pPr>
        <w:ind w:left="360"/>
      </w:pPr>
    </w:p>
    <w:p w:rsidR="00CB3528" w:rsidRDefault="00CB3528" w:rsidP="000F6A4C">
      <w:pPr>
        <w:ind w:left="360"/>
        <w:rPr>
          <w:b/>
        </w:rPr>
      </w:pPr>
      <w:r>
        <w:rPr>
          <w:b/>
        </w:rPr>
        <w:t>3(a)</w:t>
      </w:r>
      <w:r>
        <w:rPr>
          <w:b/>
        </w:rPr>
        <w:tab/>
        <w:t>Non-Duplication</w:t>
      </w:r>
    </w:p>
    <w:p w:rsidR="00CB3528" w:rsidRDefault="00CB3528" w:rsidP="000F6A4C">
      <w:pPr>
        <w:ind w:left="360"/>
        <w:rPr>
          <w:b/>
        </w:rPr>
      </w:pPr>
    </w:p>
    <w:p w:rsidR="00CB3528" w:rsidRDefault="00CB3528" w:rsidP="000F6A4C">
      <w:pPr>
        <w:ind w:left="360"/>
      </w:pPr>
      <w:r>
        <w:rPr>
          <w:b/>
        </w:rPr>
        <w:tab/>
      </w:r>
      <w:r>
        <w:t>There are 3 parts to the information collection for this ICR: the attainment demonstration, the RFP SIP submission, and the RACT SIP submission.</w:t>
      </w:r>
    </w:p>
    <w:p w:rsidR="00CB3528" w:rsidRDefault="00CB3528" w:rsidP="000F6A4C">
      <w:pPr>
        <w:ind w:left="360"/>
      </w:pPr>
    </w:p>
    <w:p w:rsidR="00CB3528" w:rsidRDefault="00CB3528" w:rsidP="000F6A4C">
      <w:pPr>
        <w:ind w:left="360"/>
      </w:pPr>
      <w:r>
        <w:tab/>
        <w:t>There are other activities covered by existing ICRs which complement the activities required for the attainment demonstration, RFP SIP submission, and RACT SIP submission.</w:t>
      </w:r>
      <w:r w:rsidR="00FA5F1B">
        <w:t xml:space="preserve"> </w:t>
      </w:r>
      <w:r>
        <w:t>One example is the Consolidated Emissions Reporting Rule. Salient ICRs and their titles are identified below.</w:t>
      </w:r>
      <w:r w:rsidR="00821502">
        <w:t xml:space="preserve"> </w:t>
      </w:r>
    </w:p>
    <w:p w:rsidR="00CB3528" w:rsidRDefault="00CB3528" w:rsidP="000F6A4C">
      <w:pPr>
        <w:ind w:left="360"/>
      </w:pPr>
    </w:p>
    <w:p w:rsidR="00CB3528" w:rsidRDefault="00CB3528" w:rsidP="00756E81">
      <w:pPr>
        <w:numPr>
          <w:ilvl w:val="0"/>
          <w:numId w:val="18"/>
        </w:numPr>
        <w:tabs>
          <w:tab w:val="clear" w:pos="1080"/>
          <w:tab w:val="num" w:pos="720"/>
        </w:tabs>
      </w:pPr>
      <w:r>
        <w:t>Requirements for Preparation, Adoption, and Submittal of Implementation Plans</w:t>
      </w:r>
    </w:p>
    <w:p w:rsidR="00CB3528" w:rsidRDefault="00CB3528" w:rsidP="00756E81">
      <w:pPr>
        <w:numPr>
          <w:ilvl w:val="1"/>
          <w:numId w:val="18"/>
        </w:numPr>
        <w:tabs>
          <w:tab w:val="clear" w:pos="1800"/>
          <w:tab w:val="num" w:pos="1440"/>
        </w:tabs>
      </w:pPr>
      <w:r>
        <w:t>51.121-51.122</w:t>
      </w:r>
      <w:r w:rsidR="00821502">
        <w:t xml:space="preserve"> </w:t>
      </w:r>
      <w:proofErr w:type="spellStart"/>
      <w:r>
        <w:t>NOx</w:t>
      </w:r>
      <w:proofErr w:type="spellEnd"/>
      <w:r>
        <w:t xml:space="preserve"> SIP Call……………………………</w:t>
      </w:r>
      <w:r w:rsidR="00F75D75">
        <w:t xml:space="preserve">.. </w:t>
      </w:r>
      <w:r w:rsidR="00BD10CD">
        <w:t>2</w:t>
      </w:r>
      <w:r>
        <w:t>060-0445</w:t>
      </w:r>
    </w:p>
    <w:p w:rsidR="00CB3528" w:rsidRDefault="00CB3528" w:rsidP="00756E81">
      <w:pPr>
        <w:numPr>
          <w:ilvl w:val="1"/>
          <w:numId w:val="18"/>
        </w:numPr>
        <w:tabs>
          <w:tab w:val="clear" w:pos="1800"/>
          <w:tab w:val="num" w:pos="1440"/>
        </w:tabs>
      </w:pPr>
      <w:r>
        <w:t>51.160-51.166</w:t>
      </w:r>
      <w:r w:rsidR="00821502">
        <w:t xml:space="preserve"> </w:t>
      </w:r>
      <w:r>
        <w:t>New Source Review.......................………</w:t>
      </w:r>
      <w:r w:rsidR="00BD10CD">
        <w:t>.</w:t>
      </w:r>
      <w:r>
        <w:t>2060-0003</w:t>
      </w:r>
    </w:p>
    <w:p w:rsidR="00CB3528" w:rsidRDefault="00CB3528" w:rsidP="00756E81">
      <w:pPr>
        <w:numPr>
          <w:ilvl w:val="1"/>
          <w:numId w:val="18"/>
        </w:numPr>
        <w:tabs>
          <w:tab w:val="clear" w:pos="1800"/>
          <w:tab w:val="num" w:pos="1440"/>
        </w:tabs>
      </w:pPr>
      <w:r>
        <w:t>51.321-51.323</w:t>
      </w:r>
      <w:r w:rsidR="00821502">
        <w:t xml:space="preserve"> </w:t>
      </w:r>
      <w:r>
        <w:t>Air Quality Data Reporting………………</w:t>
      </w:r>
      <w:r w:rsidR="00BD10CD">
        <w:t>..</w:t>
      </w:r>
      <w:r>
        <w:t>2060-0088</w:t>
      </w:r>
    </w:p>
    <w:p w:rsidR="00CB3528" w:rsidRDefault="00CB3528" w:rsidP="00756E81">
      <w:pPr>
        <w:numPr>
          <w:ilvl w:val="1"/>
          <w:numId w:val="18"/>
        </w:numPr>
        <w:tabs>
          <w:tab w:val="clear" w:pos="1800"/>
          <w:tab w:val="num" w:pos="1440"/>
        </w:tabs>
      </w:pPr>
      <w:r>
        <w:t>51.353-51.354</w:t>
      </w:r>
      <w:r w:rsidR="00821502">
        <w:t xml:space="preserve"> </w:t>
      </w:r>
      <w:r>
        <w:t>Inspection/Maintenance…………………</w:t>
      </w:r>
      <w:r w:rsidR="00BD10CD">
        <w:t>…</w:t>
      </w:r>
      <w:r>
        <w:t>2060-0252</w:t>
      </w:r>
    </w:p>
    <w:p w:rsidR="00CB3528" w:rsidRDefault="00CB3528" w:rsidP="00756E81">
      <w:pPr>
        <w:numPr>
          <w:ilvl w:val="1"/>
          <w:numId w:val="18"/>
        </w:numPr>
        <w:tabs>
          <w:tab w:val="clear" w:pos="1800"/>
          <w:tab w:val="num" w:pos="1440"/>
        </w:tabs>
      </w:pPr>
      <w:r>
        <w:t>51.365-51.366</w:t>
      </w:r>
      <w:r w:rsidR="00821502">
        <w:t xml:space="preserve"> </w:t>
      </w:r>
      <w:r>
        <w:t>Inspection/Maintenance…………………</w:t>
      </w:r>
      <w:r w:rsidR="00BD10CD">
        <w:t>…</w:t>
      </w:r>
      <w:r>
        <w:t>2060-0252</w:t>
      </w:r>
    </w:p>
    <w:p w:rsidR="00CB3528" w:rsidRDefault="00CB3528" w:rsidP="00756E81">
      <w:pPr>
        <w:numPr>
          <w:ilvl w:val="0"/>
          <w:numId w:val="18"/>
        </w:numPr>
        <w:tabs>
          <w:tab w:val="clear" w:pos="1080"/>
          <w:tab w:val="num" w:pos="720"/>
        </w:tabs>
      </w:pPr>
      <w:r>
        <w:t>Approval and Promulgation of Implementation Plans</w:t>
      </w:r>
    </w:p>
    <w:p w:rsidR="00CB3528" w:rsidRDefault="00CB3528" w:rsidP="00756E81">
      <w:pPr>
        <w:numPr>
          <w:ilvl w:val="1"/>
          <w:numId w:val="18"/>
        </w:numPr>
        <w:tabs>
          <w:tab w:val="clear" w:pos="1800"/>
          <w:tab w:val="num" w:pos="1440"/>
        </w:tabs>
      </w:pPr>
      <w:r>
        <w:t>52.21 Prevention of Significant Deterioration…..………</w:t>
      </w:r>
      <w:r w:rsidR="00BD10CD">
        <w:t>….</w:t>
      </w:r>
      <w:r>
        <w:t>2060-0003</w:t>
      </w:r>
    </w:p>
    <w:p w:rsidR="00CB3528" w:rsidRDefault="00CB3528" w:rsidP="00756E81">
      <w:pPr>
        <w:numPr>
          <w:ilvl w:val="0"/>
          <w:numId w:val="18"/>
        </w:numPr>
        <w:tabs>
          <w:tab w:val="clear" w:pos="1080"/>
          <w:tab w:val="num" w:pos="720"/>
        </w:tabs>
      </w:pPr>
      <w:r>
        <w:t>Ambient Air Monitoring Reference and Equivalent Methods</w:t>
      </w:r>
    </w:p>
    <w:p w:rsidR="00CB3528" w:rsidRDefault="00CB3528" w:rsidP="00756E81">
      <w:pPr>
        <w:numPr>
          <w:ilvl w:val="1"/>
          <w:numId w:val="18"/>
        </w:numPr>
        <w:tabs>
          <w:tab w:val="clear" w:pos="1800"/>
          <w:tab w:val="num" w:pos="1440"/>
        </w:tabs>
      </w:pPr>
      <w:r>
        <w:t>53.4 ………………………………………………………</w:t>
      </w:r>
      <w:r w:rsidR="00BD10CD">
        <w:t>…</w:t>
      </w:r>
      <w:r>
        <w:t>2080-0005</w:t>
      </w:r>
    </w:p>
    <w:p w:rsidR="00CB3528" w:rsidRDefault="00CB3528" w:rsidP="00756E81">
      <w:pPr>
        <w:numPr>
          <w:ilvl w:val="1"/>
          <w:numId w:val="18"/>
        </w:numPr>
        <w:tabs>
          <w:tab w:val="clear" w:pos="1800"/>
          <w:tab w:val="num" w:pos="1440"/>
        </w:tabs>
      </w:pPr>
      <w:r>
        <w:t>53.9(f),(h),(</w:t>
      </w:r>
      <w:proofErr w:type="spellStart"/>
      <w:r>
        <w:t>i</w:t>
      </w:r>
      <w:proofErr w:type="spellEnd"/>
      <w:r>
        <w:t>)……………………………………………….</w:t>
      </w:r>
      <w:r w:rsidR="00BD10CD">
        <w:t>.</w:t>
      </w:r>
      <w:r>
        <w:t>2080-0005</w:t>
      </w:r>
    </w:p>
    <w:p w:rsidR="00CB3528" w:rsidRDefault="00CB3528" w:rsidP="00756E81">
      <w:pPr>
        <w:numPr>
          <w:ilvl w:val="1"/>
          <w:numId w:val="18"/>
        </w:numPr>
        <w:tabs>
          <w:tab w:val="clear" w:pos="1800"/>
          <w:tab w:val="num" w:pos="1440"/>
        </w:tabs>
      </w:pPr>
      <w:r>
        <w:t>53.14………………………………………………………</w:t>
      </w:r>
      <w:r w:rsidR="00BD10CD">
        <w:t>...</w:t>
      </w:r>
      <w:r>
        <w:t>2080-0005</w:t>
      </w:r>
    </w:p>
    <w:p w:rsidR="00CB3528" w:rsidRDefault="00CB3528" w:rsidP="00756E81">
      <w:pPr>
        <w:numPr>
          <w:ilvl w:val="1"/>
          <w:numId w:val="18"/>
        </w:numPr>
        <w:tabs>
          <w:tab w:val="clear" w:pos="1800"/>
          <w:tab w:val="num" w:pos="1440"/>
        </w:tabs>
      </w:pPr>
      <w:r>
        <w:t>53.15 ………………………………………………………</w:t>
      </w:r>
      <w:r w:rsidR="00BD10CD">
        <w:t>..</w:t>
      </w:r>
      <w:r>
        <w:t>2080-0005</w:t>
      </w:r>
    </w:p>
    <w:p w:rsidR="00CB3528" w:rsidRDefault="00CB3528" w:rsidP="00756E81">
      <w:pPr>
        <w:numPr>
          <w:ilvl w:val="1"/>
          <w:numId w:val="18"/>
        </w:numPr>
        <w:tabs>
          <w:tab w:val="clear" w:pos="1800"/>
          <w:tab w:val="num" w:pos="1440"/>
        </w:tabs>
      </w:pPr>
      <w:r>
        <w:t>53.16(a)-(d),(f)……………………………………………</w:t>
      </w:r>
      <w:r w:rsidR="00BD10CD">
        <w:t>…</w:t>
      </w:r>
      <w:r>
        <w:t>2080-0005</w:t>
      </w:r>
    </w:p>
    <w:p w:rsidR="00CB3528" w:rsidRDefault="00CB3528" w:rsidP="00756E81">
      <w:pPr>
        <w:numPr>
          <w:ilvl w:val="0"/>
          <w:numId w:val="18"/>
        </w:numPr>
        <w:tabs>
          <w:tab w:val="clear" w:pos="1080"/>
          <w:tab w:val="num" w:pos="720"/>
        </w:tabs>
      </w:pPr>
      <w:r>
        <w:t>Outer Continental Shelf Air Regulations</w:t>
      </w:r>
    </w:p>
    <w:p w:rsidR="00CB3528" w:rsidRDefault="00CB3528" w:rsidP="00756E81">
      <w:pPr>
        <w:numPr>
          <w:ilvl w:val="1"/>
          <w:numId w:val="18"/>
        </w:numPr>
        <w:tabs>
          <w:tab w:val="clear" w:pos="1800"/>
          <w:tab w:val="num" w:pos="1440"/>
        </w:tabs>
      </w:pPr>
      <w:r>
        <w:t>55.4-55.8 …………………………………………………</w:t>
      </w:r>
      <w:r w:rsidR="00BD10CD">
        <w:t>.</w:t>
      </w:r>
      <w:r>
        <w:t>..2060-0249</w:t>
      </w:r>
    </w:p>
    <w:p w:rsidR="00CB3528" w:rsidRDefault="00CB3528" w:rsidP="00756E81">
      <w:pPr>
        <w:numPr>
          <w:ilvl w:val="1"/>
          <w:numId w:val="18"/>
        </w:numPr>
        <w:tabs>
          <w:tab w:val="clear" w:pos="1800"/>
          <w:tab w:val="num" w:pos="1440"/>
        </w:tabs>
      </w:pPr>
      <w:r>
        <w:t>55.11-55.14 ………………………………………………</w:t>
      </w:r>
      <w:r w:rsidR="00BD10CD">
        <w:t>.</w:t>
      </w:r>
      <w:r>
        <w:t>..2060-0249</w:t>
      </w:r>
    </w:p>
    <w:p w:rsidR="00CB3528" w:rsidRDefault="00CB3528" w:rsidP="00756E81">
      <w:pPr>
        <w:numPr>
          <w:ilvl w:val="0"/>
          <w:numId w:val="18"/>
        </w:numPr>
        <w:tabs>
          <w:tab w:val="clear" w:pos="1080"/>
          <w:tab w:val="num" w:pos="720"/>
        </w:tabs>
      </w:pPr>
      <w:r>
        <w:t>Ambient Air Quality Surveillance</w:t>
      </w:r>
    </w:p>
    <w:p w:rsidR="00CB3528" w:rsidRDefault="00CB3528" w:rsidP="00756E81">
      <w:pPr>
        <w:numPr>
          <w:ilvl w:val="1"/>
          <w:numId w:val="18"/>
        </w:numPr>
        <w:tabs>
          <w:tab w:val="clear" w:pos="1800"/>
          <w:tab w:val="num" w:pos="1440"/>
        </w:tabs>
      </w:pPr>
      <w:r>
        <w:t>58.11-58.14 ………………………………………………</w:t>
      </w:r>
      <w:r w:rsidR="00BD10CD">
        <w:t>.</w:t>
      </w:r>
      <w:r>
        <w:t>..2060-0084</w:t>
      </w:r>
    </w:p>
    <w:p w:rsidR="00CB3528" w:rsidRDefault="00CB3528" w:rsidP="00756E81">
      <w:pPr>
        <w:numPr>
          <w:ilvl w:val="1"/>
          <w:numId w:val="18"/>
        </w:numPr>
        <w:tabs>
          <w:tab w:val="clear" w:pos="1800"/>
          <w:tab w:val="num" w:pos="1440"/>
        </w:tabs>
      </w:pPr>
      <w:r>
        <w:t>58.20-58.23 ………………………………………………</w:t>
      </w:r>
      <w:r w:rsidR="00BD10CD">
        <w:t>.</w:t>
      </w:r>
      <w:r>
        <w:t>..2060-0084</w:t>
      </w:r>
    </w:p>
    <w:p w:rsidR="00CB3528" w:rsidRDefault="00CB3528" w:rsidP="00756E81">
      <w:pPr>
        <w:numPr>
          <w:ilvl w:val="1"/>
          <w:numId w:val="18"/>
        </w:numPr>
        <w:tabs>
          <w:tab w:val="clear" w:pos="1800"/>
          <w:tab w:val="num" w:pos="1440"/>
        </w:tabs>
      </w:pPr>
      <w:r>
        <w:t>58.25-58.28 ………………………………………………</w:t>
      </w:r>
      <w:r w:rsidR="00BD10CD">
        <w:t>.</w:t>
      </w:r>
      <w:r>
        <w:t>..2060-0084</w:t>
      </w:r>
    </w:p>
    <w:p w:rsidR="00CB3528" w:rsidRDefault="00CB3528" w:rsidP="00756E81">
      <w:pPr>
        <w:numPr>
          <w:ilvl w:val="1"/>
          <w:numId w:val="18"/>
        </w:numPr>
        <w:tabs>
          <w:tab w:val="clear" w:pos="1800"/>
          <w:tab w:val="num" w:pos="1440"/>
        </w:tabs>
      </w:pPr>
      <w:r>
        <w:t>58.30-58.31 ……………………………………………</w:t>
      </w:r>
      <w:r w:rsidR="00BD10CD">
        <w:t>.</w:t>
      </w:r>
      <w:r>
        <w:t>…..2060-0084</w:t>
      </w:r>
    </w:p>
    <w:p w:rsidR="00CB3528" w:rsidRDefault="00CB3528" w:rsidP="00756E81">
      <w:pPr>
        <w:numPr>
          <w:ilvl w:val="1"/>
          <w:numId w:val="18"/>
        </w:numPr>
        <w:tabs>
          <w:tab w:val="clear" w:pos="1800"/>
          <w:tab w:val="num" w:pos="1440"/>
        </w:tabs>
      </w:pPr>
      <w:r>
        <w:t>58.33 ……………………………………………………….</w:t>
      </w:r>
      <w:r w:rsidR="00BD10CD">
        <w:t>.</w:t>
      </w:r>
      <w:r>
        <w:t>2060-0084</w:t>
      </w:r>
    </w:p>
    <w:p w:rsidR="00CB3528" w:rsidRDefault="00CB3528" w:rsidP="00756E81">
      <w:pPr>
        <w:numPr>
          <w:ilvl w:val="1"/>
          <w:numId w:val="18"/>
        </w:numPr>
        <w:tabs>
          <w:tab w:val="clear" w:pos="1800"/>
          <w:tab w:val="num" w:pos="1440"/>
        </w:tabs>
      </w:pPr>
      <w:r>
        <w:t>58.35 ……………………………………………………….</w:t>
      </w:r>
      <w:r w:rsidR="00BD10CD">
        <w:t>.</w:t>
      </w:r>
      <w:r>
        <w:t>2060-0084</w:t>
      </w:r>
    </w:p>
    <w:p w:rsidR="00CB3528" w:rsidRDefault="00CB3528" w:rsidP="00756E81">
      <w:pPr>
        <w:numPr>
          <w:ilvl w:val="1"/>
          <w:numId w:val="18"/>
        </w:numPr>
        <w:tabs>
          <w:tab w:val="clear" w:pos="1800"/>
          <w:tab w:val="num" w:pos="1440"/>
        </w:tabs>
      </w:pPr>
      <w:r>
        <w:t>58.40-58.41 ………………………………………………...2060-0084</w:t>
      </w:r>
    </w:p>
    <w:p w:rsidR="00CB3528" w:rsidRDefault="00CB3528" w:rsidP="00756E81">
      <w:pPr>
        <w:numPr>
          <w:ilvl w:val="1"/>
          <w:numId w:val="18"/>
        </w:numPr>
        <w:tabs>
          <w:tab w:val="clear" w:pos="1800"/>
          <w:tab w:val="num" w:pos="1440"/>
        </w:tabs>
      </w:pPr>
      <w:r>
        <w:t>58.43 ……………………………………………………….</w:t>
      </w:r>
      <w:r w:rsidR="00BD10CD">
        <w:t>.</w:t>
      </w:r>
      <w:r>
        <w:t>2060-0084</w:t>
      </w:r>
    </w:p>
    <w:p w:rsidR="00CB3528" w:rsidRDefault="00CB3528" w:rsidP="00756E81">
      <w:pPr>
        <w:numPr>
          <w:ilvl w:val="1"/>
          <w:numId w:val="18"/>
        </w:numPr>
        <w:tabs>
          <w:tab w:val="clear" w:pos="1800"/>
          <w:tab w:val="num" w:pos="1440"/>
        </w:tabs>
      </w:pPr>
      <w:r>
        <w:t>58.45 ……………………………………………………….</w:t>
      </w:r>
      <w:r w:rsidR="00BD10CD">
        <w:t>.</w:t>
      </w:r>
      <w:r>
        <w:t>2060-0084</w:t>
      </w:r>
    </w:p>
    <w:p w:rsidR="00CB3528" w:rsidRDefault="00CB3528" w:rsidP="00756E81">
      <w:pPr>
        <w:numPr>
          <w:ilvl w:val="1"/>
          <w:numId w:val="18"/>
        </w:numPr>
        <w:tabs>
          <w:tab w:val="clear" w:pos="1800"/>
          <w:tab w:val="num" w:pos="1440"/>
        </w:tabs>
      </w:pPr>
      <w:r>
        <w:t>58.50 ……………………………………………………….</w:t>
      </w:r>
      <w:r w:rsidR="00BD10CD">
        <w:t>.</w:t>
      </w:r>
      <w:r>
        <w:t>2060-0084</w:t>
      </w:r>
    </w:p>
    <w:p w:rsidR="00CB3528" w:rsidRDefault="00CB3528" w:rsidP="00756E81">
      <w:pPr>
        <w:numPr>
          <w:ilvl w:val="0"/>
          <w:numId w:val="18"/>
        </w:numPr>
        <w:tabs>
          <w:tab w:val="clear" w:pos="1080"/>
          <w:tab w:val="num" w:pos="720"/>
        </w:tabs>
      </w:pPr>
      <w:r>
        <w:t>Determining Conformity of Federal Actions to State or Federal Implementation Plans</w:t>
      </w:r>
    </w:p>
    <w:p w:rsidR="00CB3528" w:rsidRDefault="00CB3528" w:rsidP="00756E81">
      <w:pPr>
        <w:numPr>
          <w:ilvl w:val="1"/>
          <w:numId w:val="18"/>
        </w:numPr>
        <w:tabs>
          <w:tab w:val="clear" w:pos="1800"/>
          <w:tab w:val="num" w:pos="1440"/>
        </w:tabs>
      </w:pPr>
      <w:r>
        <w:t>91.150-93.160 ……………………………………………</w:t>
      </w:r>
      <w:r w:rsidR="00BD10CD">
        <w:t>…</w:t>
      </w:r>
      <w:r>
        <w:t>2060-0279</w:t>
      </w:r>
    </w:p>
    <w:p w:rsidR="00BD10CD" w:rsidRDefault="00BD10CD" w:rsidP="00756E81">
      <w:pPr>
        <w:numPr>
          <w:ilvl w:val="1"/>
          <w:numId w:val="18"/>
        </w:numPr>
        <w:tabs>
          <w:tab w:val="clear" w:pos="1800"/>
          <w:tab w:val="num" w:pos="1440"/>
        </w:tabs>
      </w:pPr>
    </w:p>
    <w:p w:rsidR="00CB3528" w:rsidRDefault="00CB3528" w:rsidP="006C7D8C">
      <w:pPr>
        <w:ind w:left="360"/>
      </w:pPr>
      <w:r>
        <w:rPr>
          <w:color w:val="FF0000"/>
        </w:rPr>
        <w:tab/>
      </w:r>
      <w:proofErr w:type="gramStart"/>
      <w:r>
        <w:rPr>
          <w:b/>
        </w:rPr>
        <w:t>Attainment Demonstration.</w:t>
      </w:r>
      <w:proofErr w:type="gramEnd"/>
      <w:r w:rsidR="00821502">
        <w:rPr>
          <w:b/>
        </w:rPr>
        <w:t xml:space="preserve"> </w:t>
      </w:r>
      <w:r>
        <w:t>The attainment demonstration requirement appears as 40 CFR 51.908 which implements Clean Air Act subsections 172(c)(1), 182(b)(1)(A), and 182(c)(2)(B).</w:t>
      </w:r>
      <w:r w:rsidR="00FA5F1B">
        <w:t xml:space="preserve"> </w:t>
      </w:r>
      <w:r>
        <w:t xml:space="preserve">The attainment demonstration for the 8-hour Ozone NAAQS is unique and </w:t>
      </w:r>
      <w:r>
        <w:lastRenderedPageBreak/>
        <w:t>does not duplicate other implementation plan requirements.</w:t>
      </w:r>
      <w:r w:rsidR="00FA5F1B">
        <w:t xml:space="preserve"> </w:t>
      </w:r>
      <w:r>
        <w:t>However, the states are encouraged to build upon related implementation planning processes they used for the 1-hour Ozone NAAQS, regional haze rule, and/or PM</w:t>
      </w:r>
      <w:r w:rsidR="00F75D75" w:rsidRPr="00F75D75">
        <w:rPr>
          <w:vertAlign w:val="subscript"/>
        </w:rPr>
        <w:t>2.5</w:t>
      </w:r>
      <w:r w:rsidRPr="00F75D75">
        <w:rPr>
          <w:vertAlign w:val="subscript"/>
        </w:rPr>
        <w:t xml:space="preserve"> </w:t>
      </w:r>
      <w:r>
        <w:t>NAAQS.</w:t>
      </w:r>
      <w:r w:rsidR="00FA5F1B">
        <w:t xml:space="preserve"> </w:t>
      </w:r>
      <w:r>
        <w:t>Taking such steps, where appropriate, may reduce the incremental administrative burden and enable identification of control strategies that achieve requisite multi-pollutant environmental progress at a lower cost.</w:t>
      </w:r>
    </w:p>
    <w:p w:rsidR="00BD10CD" w:rsidRDefault="00BD10CD" w:rsidP="006C7D8C">
      <w:pPr>
        <w:ind w:left="360"/>
      </w:pPr>
    </w:p>
    <w:p w:rsidR="00CB3528" w:rsidRDefault="00CB3528" w:rsidP="006C7D8C">
      <w:pPr>
        <w:ind w:left="360"/>
      </w:pPr>
      <w:r>
        <w:tab/>
      </w:r>
      <w:proofErr w:type="gramStart"/>
      <w:r>
        <w:rPr>
          <w:b/>
        </w:rPr>
        <w:t>RFP SIP Submission.</w:t>
      </w:r>
      <w:proofErr w:type="gramEnd"/>
      <w:r w:rsidR="00FA5F1B">
        <w:rPr>
          <w:b/>
        </w:rPr>
        <w:t xml:space="preserve"> </w:t>
      </w:r>
      <w:r>
        <w:t>This unique requirement is described in 40 CFR</w:t>
      </w:r>
      <w:r w:rsidR="00C122E7">
        <w:t> </w:t>
      </w:r>
      <w:r>
        <w:t>51.910.</w:t>
      </w:r>
      <w:r w:rsidR="00FA5F1B">
        <w:rPr>
          <w:color w:val="FF0000"/>
        </w:rPr>
        <w:t xml:space="preserve"> </w:t>
      </w:r>
      <w:r>
        <w:t>Although the RFP submission does not duplicate other plan requirements, the RFP submission may complement them.</w:t>
      </w:r>
      <w:r w:rsidR="00FA5F1B">
        <w:t xml:space="preserve"> </w:t>
      </w:r>
      <w:r>
        <w:t xml:space="preserve">For example, the emission reductions associated with the RFP SIP may </w:t>
      </w:r>
      <w:r w:rsidR="00597B08">
        <w:t>be sufficient to bring the area into attainment</w:t>
      </w:r>
      <w:r>
        <w:t>.</w:t>
      </w:r>
      <w:r w:rsidR="00FA5F1B">
        <w:t xml:space="preserve"> </w:t>
      </w:r>
    </w:p>
    <w:p w:rsidR="00CB3528" w:rsidRDefault="00CB3528" w:rsidP="006C7D8C">
      <w:pPr>
        <w:ind w:left="360"/>
      </w:pPr>
    </w:p>
    <w:p w:rsidR="00CB3528" w:rsidRDefault="00CB3528" w:rsidP="006C7D8C">
      <w:pPr>
        <w:ind w:left="360"/>
      </w:pPr>
      <w:r>
        <w:tab/>
        <w:t>The states are encouraged to build upon related analyses for federal emission reducing rules as well as salient PM NAAQS and regional haze implementation requirements where appropriate. Taking such steps may reduce the incremental administrative burden. For example, the temporal and spatial nature of emission reductions associated with the federal rules may be sufficient to meet the RFP requirements. Hence, the need to identify additional emission reductions to meet RFP requirements may be mitigated in some instances.</w:t>
      </w:r>
      <w:r w:rsidR="00FA5F1B">
        <w:t xml:space="preserve"> </w:t>
      </w:r>
    </w:p>
    <w:p w:rsidR="00CB3528" w:rsidRDefault="00CB3528" w:rsidP="006C7D8C">
      <w:pPr>
        <w:ind w:left="360"/>
      </w:pPr>
    </w:p>
    <w:p w:rsidR="00CB3528" w:rsidRDefault="00CB3528" w:rsidP="006C7D8C">
      <w:pPr>
        <w:ind w:left="360"/>
      </w:pPr>
      <w:r>
        <w:tab/>
        <w:t>In addition, states are encouraged, where appropriate, to take into account similar analyses and planning efforts to meet certain PM NAAQS and regional haze implementation requirements. Such actions may result in RFP plans which achieve requisite multi-pollutant environmental progress at a lower cost.</w:t>
      </w:r>
      <w:r w:rsidR="00FA5F1B">
        <w:t xml:space="preserve"> </w:t>
      </w:r>
    </w:p>
    <w:p w:rsidR="00CB3528" w:rsidRDefault="00CB3528" w:rsidP="000F6A4C">
      <w:pPr>
        <w:ind w:left="360"/>
      </w:pPr>
    </w:p>
    <w:p w:rsidR="00CB3528" w:rsidRDefault="00CB3528" w:rsidP="000F6A4C">
      <w:pPr>
        <w:ind w:left="360"/>
      </w:pPr>
      <w:r>
        <w:tab/>
      </w:r>
      <w:proofErr w:type="gramStart"/>
      <w:r>
        <w:rPr>
          <w:b/>
        </w:rPr>
        <w:t>RACT SIP Submission.</w:t>
      </w:r>
      <w:proofErr w:type="gramEnd"/>
      <w:r w:rsidR="00FA5F1B">
        <w:rPr>
          <w:b/>
        </w:rPr>
        <w:t xml:space="preserve"> </w:t>
      </w:r>
      <w:r>
        <w:t>This unique requirement is described in 40 CFR</w:t>
      </w:r>
      <w:r w:rsidR="00C122E7">
        <w:t> </w:t>
      </w:r>
      <w:r w:rsidRPr="00C122E7">
        <w:t>5</w:t>
      </w:r>
      <w:r>
        <w:t>1.912 which implements CAA subsections 172(c</w:t>
      </w:r>
      <w:proofErr w:type="gramStart"/>
      <w:r>
        <w:t>)(</w:t>
      </w:r>
      <w:proofErr w:type="gramEnd"/>
      <w:r>
        <w:t>1)</w:t>
      </w:r>
      <w:r w:rsidR="00C122E7">
        <w:t>,</w:t>
      </w:r>
      <w:r>
        <w:t xml:space="preserve"> 182(b)(2),(c),(d), and (e).</w:t>
      </w:r>
      <w:r w:rsidR="00FA5F1B">
        <w:t xml:space="preserve"> </w:t>
      </w:r>
      <w:r>
        <w:t xml:space="preserve">But, it is related to the Best Available Retrofit Technology (BART) requirement for the regional haze rule and RACT requirements for the </w:t>
      </w:r>
      <w:r w:rsidR="00597B08">
        <w:t>PM</w:t>
      </w:r>
      <w:r w:rsidR="00597B08" w:rsidRPr="00F75D75">
        <w:rPr>
          <w:vertAlign w:val="subscript"/>
        </w:rPr>
        <w:t>2.5</w:t>
      </w:r>
      <w:r w:rsidR="00821502">
        <w:rPr>
          <w:vertAlign w:val="subscript"/>
        </w:rPr>
        <w:t xml:space="preserve"> </w:t>
      </w:r>
      <w:r>
        <w:t>NAAQS implementation rule. The states are encouraged to take into account these related requirements and analyses where appropriate. Taking such steps can reduce administrative burden and foster achievement of multi-pollutant environmental progress at a lower cost.</w:t>
      </w:r>
    </w:p>
    <w:p w:rsidR="00CB3528" w:rsidRDefault="00CB3528" w:rsidP="000F6A4C">
      <w:pPr>
        <w:ind w:left="360"/>
      </w:pPr>
    </w:p>
    <w:p w:rsidR="00CB3528" w:rsidRDefault="00CB3528" w:rsidP="000F6A4C">
      <w:pPr>
        <w:ind w:left="1440" w:hanging="1080"/>
        <w:rPr>
          <w:b/>
        </w:rPr>
      </w:pPr>
      <w:r>
        <w:rPr>
          <w:b/>
        </w:rPr>
        <w:t>3(b)</w:t>
      </w:r>
      <w:r w:rsidR="00A80A5F">
        <w:rPr>
          <w:b/>
        </w:rPr>
        <w:tab/>
      </w:r>
      <w:r>
        <w:rPr>
          <w:b/>
        </w:rPr>
        <w:t>Public Notice Required Prior to ICR Submission to the Office of Management and Budget (OMB)</w:t>
      </w:r>
    </w:p>
    <w:p w:rsidR="00756E81" w:rsidRDefault="00756E81" w:rsidP="000F6A4C">
      <w:pPr>
        <w:ind w:left="1440" w:hanging="1080"/>
        <w:rPr>
          <w:b/>
        </w:rPr>
      </w:pPr>
    </w:p>
    <w:p w:rsidR="00976E1C" w:rsidRDefault="00756E81" w:rsidP="00976E1C">
      <w:pPr>
        <w:ind w:left="360"/>
        <w:rPr>
          <w:color w:val="000000"/>
        </w:rPr>
      </w:pPr>
      <w:r>
        <w:tab/>
      </w:r>
      <w:r w:rsidR="00976E1C">
        <w:t xml:space="preserve"> T</w:t>
      </w:r>
      <w:r w:rsidR="00976E1C">
        <w:rPr>
          <w:color w:val="000000"/>
        </w:rPr>
        <w:t xml:space="preserve">he EPA published a Federal Register notice on July 26, 2013 (78 FR 45188) that solicited comment on the 8-Hour Ozone NAAQS Rule  EPA received one comment from the Texas Commission on Environmental Quality (TCEQ). </w:t>
      </w:r>
    </w:p>
    <w:p w:rsidR="00976E1C" w:rsidRPr="00C60E84" w:rsidRDefault="00976E1C" w:rsidP="005C0110">
      <w:pPr>
        <w:ind w:left="360"/>
      </w:pPr>
    </w:p>
    <w:p w:rsidR="00CB3528" w:rsidRDefault="00CB3528" w:rsidP="000F6A4C">
      <w:pPr>
        <w:ind w:left="360"/>
        <w:rPr>
          <w:b/>
        </w:rPr>
      </w:pPr>
    </w:p>
    <w:p w:rsidR="00756E81" w:rsidRPr="00756E81" w:rsidRDefault="00756E81" w:rsidP="000F6A4C">
      <w:pPr>
        <w:ind w:left="360"/>
        <w:rPr>
          <w:b/>
        </w:rPr>
      </w:pPr>
      <w:proofErr w:type="gramStart"/>
      <w:r>
        <w:rPr>
          <w:b/>
        </w:rPr>
        <w:t>3(c)</w:t>
      </w:r>
      <w:r>
        <w:rPr>
          <w:b/>
        </w:rPr>
        <w:tab/>
        <w:t>Consultation</w:t>
      </w:r>
      <w:proofErr w:type="gramEnd"/>
    </w:p>
    <w:p w:rsidR="00756E81" w:rsidRDefault="00756E81" w:rsidP="000F6A4C">
      <w:pPr>
        <w:ind w:left="360"/>
      </w:pPr>
    </w:p>
    <w:p w:rsidR="00212F76" w:rsidRDefault="00756E81" w:rsidP="00212F76">
      <w:pPr>
        <w:autoSpaceDE w:val="0"/>
        <w:autoSpaceDN w:val="0"/>
        <w:adjustRightInd w:val="0"/>
        <w:ind w:left="360"/>
        <w:rPr>
          <w:color w:val="000000"/>
        </w:rPr>
      </w:pPr>
      <w:r>
        <w:tab/>
      </w:r>
      <w:r w:rsidR="00212F76">
        <w:rPr>
          <w:color w:val="000000"/>
        </w:rPr>
        <w:t xml:space="preserve">The preamble for the final </w:t>
      </w:r>
      <w:r w:rsidR="00597B08">
        <w:rPr>
          <w:color w:val="000000"/>
        </w:rPr>
        <w:t xml:space="preserve">1997 </w:t>
      </w:r>
      <w:r w:rsidR="00212F76">
        <w:rPr>
          <w:color w:val="000000"/>
        </w:rPr>
        <w:t xml:space="preserve">8-hour </w:t>
      </w:r>
      <w:r w:rsidR="00597B08">
        <w:rPr>
          <w:color w:val="000000"/>
        </w:rPr>
        <w:t>o</w:t>
      </w:r>
      <w:r w:rsidR="00212F76">
        <w:rPr>
          <w:color w:val="000000"/>
        </w:rPr>
        <w:t xml:space="preserve">zone NAAQS Phase 2 implementation rule stated that an ICR would be prepared. The EPA published a Federal Register notice on November 15, 2006 (Volume 71, Number 220 Page 66515) that solicited comment on the Agency Information Collection Activities: Proposed Collection; Comment Request; 8-Hour </w:t>
      </w:r>
      <w:r w:rsidR="00212F76">
        <w:rPr>
          <w:color w:val="000000"/>
        </w:rPr>
        <w:lastRenderedPageBreak/>
        <w:t>Ozone National Ambient Air Quality Standard Implementation Rule; EPA ICR No.</w:t>
      </w:r>
      <w:r w:rsidR="00C122E7">
        <w:rPr>
          <w:color w:val="000000"/>
        </w:rPr>
        <w:t> </w:t>
      </w:r>
      <w:r w:rsidR="00212F76">
        <w:rPr>
          <w:color w:val="000000"/>
        </w:rPr>
        <w:t>2236.02, OMB Control No. 2060–0594.</w:t>
      </w:r>
      <w:r w:rsidR="00FA5F1B">
        <w:rPr>
          <w:color w:val="000000"/>
        </w:rPr>
        <w:t xml:space="preserve"> </w:t>
      </w:r>
      <w:r w:rsidR="00212F76">
        <w:rPr>
          <w:color w:val="000000"/>
        </w:rPr>
        <w:t xml:space="preserve">At this time, a </w:t>
      </w:r>
      <w:r w:rsidR="000B4541">
        <w:rPr>
          <w:color w:val="000000"/>
        </w:rPr>
        <w:t xml:space="preserve">second 3-year </w:t>
      </w:r>
      <w:r w:rsidR="00212F76">
        <w:rPr>
          <w:color w:val="000000"/>
        </w:rPr>
        <w:t>renewal of the ICR is required.</w:t>
      </w:r>
      <w:r w:rsidR="00FA5F1B">
        <w:rPr>
          <w:color w:val="000000"/>
        </w:rPr>
        <w:t xml:space="preserve"> </w:t>
      </w:r>
    </w:p>
    <w:p w:rsidR="00212F76" w:rsidRDefault="00B623B6" w:rsidP="00B623B6">
      <w:pPr>
        <w:tabs>
          <w:tab w:val="left" w:pos="3165"/>
        </w:tabs>
        <w:autoSpaceDE w:val="0"/>
        <w:autoSpaceDN w:val="0"/>
        <w:adjustRightInd w:val="0"/>
        <w:ind w:left="360"/>
        <w:rPr>
          <w:color w:val="000000"/>
        </w:rPr>
      </w:pPr>
      <w:r>
        <w:rPr>
          <w:color w:val="000000"/>
        </w:rPr>
        <w:tab/>
      </w:r>
    </w:p>
    <w:p w:rsidR="004633AB" w:rsidRDefault="00212F76" w:rsidP="00212F76">
      <w:pPr>
        <w:autoSpaceDE w:val="0"/>
        <w:autoSpaceDN w:val="0"/>
        <w:adjustRightInd w:val="0"/>
        <w:ind w:left="360" w:firstLine="360"/>
        <w:rPr>
          <w:color w:val="000000"/>
        </w:rPr>
      </w:pPr>
      <w:r>
        <w:rPr>
          <w:color w:val="000000"/>
        </w:rPr>
        <w:t xml:space="preserve">To renew the information collection activities, </w:t>
      </w:r>
      <w:r w:rsidR="00242EAD">
        <w:rPr>
          <w:color w:val="000000"/>
        </w:rPr>
        <w:t xml:space="preserve">the </w:t>
      </w:r>
      <w:r>
        <w:rPr>
          <w:color w:val="000000"/>
        </w:rPr>
        <w:t xml:space="preserve">EPA published a Federal Register notice on </w:t>
      </w:r>
      <w:r w:rsidR="00FD3EF7">
        <w:rPr>
          <w:color w:val="000000"/>
        </w:rPr>
        <w:t>July 26, 2013 (78 FR 45188)</w:t>
      </w:r>
      <w:r>
        <w:rPr>
          <w:color w:val="000000"/>
        </w:rPr>
        <w:t xml:space="preserve"> that solicited comment on the Agency Information Collection Activities, Renewal, Comment Request; </w:t>
      </w:r>
      <w:r w:rsidR="000B4541">
        <w:rPr>
          <w:color w:val="000000"/>
        </w:rPr>
        <w:t xml:space="preserve">1997 </w:t>
      </w:r>
      <w:r>
        <w:rPr>
          <w:color w:val="000000"/>
        </w:rPr>
        <w:t>8-Hour Ozone NAAQS Rule, EPA ICR 2236.0</w:t>
      </w:r>
      <w:r w:rsidR="000F3B6E">
        <w:rPr>
          <w:color w:val="000000"/>
        </w:rPr>
        <w:t>4</w:t>
      </w:r>
      <w:r>
        <w:rPr>
          <w:color w:val="000000"/>
        </w:rPr>
        <w:t>, OMB Control no. 2060-0594.</w:t>
      </w:r>
      <w:r w:rsidR="00FA5F1B">
        <w:rPr>
          <w:color w:val="000000"/>
        </w:rPr>
        <w:t xml:space="preserve"> </w:t>
      </w:r>
      <w:r>
        <w:rPr>
          <w:color w:val="000000"/>
        </w:rPr>
        <w:t xml:space="preserve">The comment period closed on </w:t>
      </w:r>
      <w:r w:rsidR="00FD3EF7">
        <w:rPr>
          <w:color w:val="000000"/>
        </w:rPr>
        <w:t>August 26, 2013</w:t>
      </w:r>
      <w:r w:rsidR="000F3B6E">
        <w:rPr>
          <w:color w:val="000000"/>
        </w:rPr>
        <w:t xml:space="preserve"> </w:t>
      </w:r>
      <w:r>
        <w:rPr>
          <w:color w:val="000000"/>
        </w:rPr>
        <w:t xml:space="preserve">with </w:t>
      </w:r>
      <w:r w:rsidR="00242EAD">
        <w:rPr>
          <w:color w:val="000000"/>
        </w:rPr>
        <w:t xml:space="preserve">the </w:t>
      </w:r>
      <w:r>
        <w:rPr>
          <w:color w:val="000000"/>
        </w:rPr>
        <w:t xml:space="preserve">EPA receiving </w:t>
      </w:r>
      <w:r w:rsidR="00FD3EF7">
        <w:rPr>
          <w:color w:val="000000"/>
        </w:rPr>
        <w:t>one comment from the Texas Commission on Environmental Quality (TCEQ)</w:t>
      </w:r>
      <w:r>
        <w:rPr>
          <w:color w:val="000000"/>
        </w:rPr>
        <w:t xml:space="preserve">. </w:t>
      </w:r>
    </w:p>
    <w:p w:rsidR="004633AB" w:rsidRDefault="004633AB" w:rsidP="00B623B6">
      <w:pPr>
        <w:autoSpaceDE w:val="0"/>
        <w:autoSpaceDN w:val="0"/>
        <w:adjustRightInd w:val="0"/>
        <w:ind w:left="360" w:firstLine="360"/>
        <w:jc w:val="center"/>
        <w:rPr>
          <w:color w:val="000000"/>
        </w:rPr>
      </w:pPr>
    </w:p>
    <w:p w:rsidR="00212F76" w:rsidRDefault="004633AB" w:rsidP="00212F76">
      <w:pPr>
        <w:autoSpaceDE w:val="0"/>
        <w:autoSpaceDN w:val="0"/>
        <w:adjustRightInd w:val="0"/>
        <w:ind w:left="360" w:firstLine="360"/>
        <w:rPr>
          <w:color w:val="000000"/>
        </w:rPr>
      </w:pPr>
      <w:r w:rsidRPr="004633AB">
        <w:rPr>
          <w:color w:val="000000"/>
          <w:u w:val="single"/>
        </w:rPr>
        <w:t>COMMENT</w:t>
      </w:r>
      <w:r>
        <w:rPr>
          <w:color w:val="000000"/>
        </w:rPr>
        <w:t xml:space="preserve">: </w:t>
      </w:r>
      <w:r w:rsidR="00FD3EF7">
        <w:rPr>
          <w:color w:val="000000"/>
        </w:rPr>
        <w:t xml:space="preserve">The TCEQ </w:t>
      </w:r>
      <w:r w:rsidR="008F522B">
        <w:rPr>
          <w:color w:val="000000"/>
        </w:rPr>
        <w:t>acknowledge</w:t>
      </w:r>
      <w:r w:rsidR="005B411E">
        <w:rPr>
          <w:color w:val="000000"/>
        </w:rPr>
        <w:t>d</w:t>
      </w:r>
      <w:r w:rsidR="008F522B">
        <w:rPr>
          <w:color w:val="000000"/>
        </w:rPr>
        <w:t xml:space="preserve"> that the EPA will revoke the 1997 8-hour ozone NAAQS upon finalization of the </w:t>
      </w:r>
      <w:r w:rsidR="000A6240">
        <w:rPr>
          <w:color w:val="000000"/>
        </w:rPr>
        <w:t xml:space="preserve">implementation rule for the </w:t>
      </w:r>
      <w:r w:rsidR="008F522B">
        <w:rPr>
          <w:color w:val="000000"/>
        </w:rPr>
        <w:t>2008 8-hour ozone NAAQS and, as a result, there would be no addition</w:t>
      </w:r>
      <w:r w:rsidR="00800C90">
        <w:rPr>
          <w:color w:val="000000"/>
        </w:rPr>
        <w:t>al</w:t>
      </w:r>
      <w:r w:rsidR="008F522B">
        <w:rPr>
          <w:color w:val="000000"/>
        </w:rPr>
        <w:t xml:space="preserve"> burden to states in developing SIP submittals for the 1997 8-hour ozone NAAQS. However, TCEQ </w:t>
      </w:r>
      <w:r w:rsidR="005B411E">
        <w:rPr>
          <w:color w:val="000000"/>
        </w:rPr>
        <w:t xml:space="preserve">maintained </w:t>
      </w:r>
      <w:r w:rsidR="008F522B">
        <w:rPr>
          <w:color w:val="000000"/>
        </w:rPr>
        <w:t xml:space="preserve">that there could be responsibilities and costs for activities that remain applicable for the revoked standard for which the TCEQ believes the EPA has under estimated the burden and costs. The TCEQ recommends that the burden for the State of Texas should range between 45,000 and 55,000 hours with an estimated cost of $1,248,735 for work associated with implementing the 1997 ozone standard in the Dallas-Fort Worth area. </w:t>
      </w:r>
    </w:p>
    <w:p w:rsidR="00821502" w:rsidRDefault="00821502" w:rsidP="00212F76">
      <w:pPr>
        <w:autoSpaceDE w:val="0"/>
        <w:autoSpaceDN w:val="0"/>
        <w:adjustRightInd w:val="0"/>
        <w:ind w:left="360" w:firstLine="360"/>
        <w:rPr>
          <w:color w:val="000000"/>
        </w:rPr>
      </w:pPr>
    </w:p>
    <w:p w:rsidR="0093748C" w:rsidRPr="0093748C" w:rsidRDefault="0093748C" w:rsidP="0093748C">
      <w:pPr>
        <w:autoSpaceDE w:val="0"/>
        <w:autoSpaceDN w:val="0"/>
        <w:adjustRightInd w:val="0"/>
        <w:ind w:left="360" w:firstLine="360"/>
      </w:pPr>
      <w:r>
        <w:t>The commenter acknowledge</w:t>
      </w:r>
      <w:r w:rsidR="00CF3E40">
        <w:t>d</w:t>
      </w:r>
      <w:r>
        <w:t xml:space="preserve"> that some RACT requirements ha</w:t>
      </w:r>
      <w:r w:rsidR="00CF3E40">
        <w:t>d</w:t>
      </w:r>
      <w:r>
        <w:t xml:space="preserve"> already been fulfilled through prior SIP submissions, however the higher classification would lower the RACT threshold from 50 tons per year (TPY) to 25 </w:t>
      </w:r>
      <w:proofErr w:type="spellStart"/>
      <w:r>
        <w:t>tpy</w:t>
      </w:r>
      <w:proofErr w:type="spellEnd"/>
      <w:r>
        <w:t xml:space="preserve"> and previously classified minor sources may potentially become major sources and burden the commenter indicates could potentially reach 1,400 hours of burden to develop RACT rules. The commenter also state</w:t>
      </w:r>
      <w:r w:rsidR="00CF3E40">
        <w:t>d</w:t>
      </w:r>
      <w:r>
        <w:t xml:space="preserve"> that RFP SIP revisions would potentially require the state to update emissions inventory projected to 2018 and estimates a potential 7,000 hours burden. The commenter also point</w:t>
      </w:r>
      <w:r w:rsidR="00CF3E40">
        <w:t>ed</w:t>
      </w:r>
      <w:r>
        <w:t xml:space="preserve"> out that along with the updated emissions inventory for the RFP SIP revision, the commenter believe</w:t>
      </w:r>
      <w:r w:rsidR="00CF3E40">
        <w:t>d</w:t>
      </w:r>
      <w:r>
        <w:t xml:space="preserve"> that an attainment demonstration submittal to the EPA is mandated, which would potentially involve 40,000 hours burden. The commenter also state</w:t>
      </w:r>
      <w:r w:rsidR="00CF3E40">
        <w:t>d</w:t>
      </w:r>
      <w:r>
        <w:t xml:space="preserve"> that </w:t>
      </w:r>
      <w:r w:rsidR="00CF3E40">
        <w:t>c</w:t>
      </w:r>
      <w:r>
        <w:t>onformity and transportation conformity requirement</w:t>
      </w:r>
      <w:r w:rsidR="00CF3E40">
        <w:t>s</w:t>
      </w:r>
      <w:r>
        <w:t xml:space="preserve"> would remain in effect and potentially involve 570 burden hours. The commenter further state</w:t>
      </w:r>
      <w:r w:rsidR="00CF3E40">
        <w:t>d</w:t>
      </w:r>
      <w:r>
        <w:t xml:space="preserve"> that the Dallas-Fort Worth area has the potential burden of over 4,000 hours to develop and implement the Section 185 fee program.</w:t>
      </w:r>
    </w:p>
    <w:p w:rsidR="008F522B" w:rsidRDefault="008F522B" w:rsidP="00212F76">
      <w:pPr>
        <w:autoSpaceDE w:val="0"/>
        <w:autoSpaceDN w:val="0"/>
        <w:adjustRightInd w:val="0"/>
        <w:ind w:left="360" w:firstLine="360"/>
        <w:rPr>
          <w:color w:val="000000"/>
        </w:rPr>
      </w:pPr>
    </w:p>
    <w:p w:rsidR="004F7A1C" w:rsidRDefault="004633AB" w:rsidP="00982D20">
      <w:pPr>
        <w:autoSpaceDE w:val="0"/>
        <w:autoSpaceDN w:val="0"/>
        <w:adjustRightInd w:val="0"/>
        <w:ind w:left="360" w:firstLine="360"/>
        <w:rPr>
          <w:color w:val="000000"/>
        </w:rPr>
      </w:pPr>
      <w:r w:rsidRPr="004633AB">
        <w:rPr>
          <w:color w:val="000000"/>
          <w:u w:val="single"/>
        </w:rPr>
        <w:t>RESPONSE</w:t>
      </w:r>
      <w:r>
        <w:rPr>
          <w:color w:val="000000"/>
        </w:rPr>
        <w:t xml:space="preserve">: </w:t>
      </w:r>
      <w:r w:rsidR="008F522B">
        <w:rPr>
          <w:color w:val="000000"/>
        </w:rPr>
        <w:t>The EPA stated in its Notice for Comments (78 FR 45188, July 26, 2013) that the agency anticipated that the Dallas-Fort Worth area may miss their June 15, 201</w:t>
      </w:r>
      <w:r w:rsidR="00A05C57">
        <w:rPr>
          <w:color w:val="000000"/>
        </w:rPr>
        <w:t>3</w:t>
      </w:r>
      <w:r w:rsidR="008F522B">
        <w:rPr>
          <w:color w:val="000000"/>
        </w:rPr>
        <w:t xml:space="preserve"> </w:t>
      </w:r>
      <w:proofErr w:type="gramStart"/>
      <w:r w:rsidR="008F522B">
        <w:rPr>
          <w:color w:val="000000"/>
        </w:rPr>
        <w:t>Serious</w:t>
      </w:r>
      <w:proofErr w:type="gramEnd"/>
      <w:r w:rsidR="008F522B">
        <w:rPr>
          <w:color w:val="000000"/>
        </w:rPr>
        <w:t xml:space="preserve"> classification attainment date. </w:t>
      </w:r>
      <w:r w:rsidR="00A05C57">
        <w:rPr>
          <w:color w:val="000000"/>
        </w:rPr>
        <w:t xml:space="preserve">Section 179(c) requires the EPA </w:t>
      </w:r>
      <w:r w:rsidR="004F7A1C">
        <w:rPr>
          <w:color w:val="000000"/>
        </w:rPr>
        <w:t xml:space="preserve">to determine if the area failed to attain by their attainment date and the area should be reclassified to Severe </w:t>
      </w:r>
      <w:r w:rsidR="00A05C57">
        <w:rPr>
          <w:color w:val="000000"/>
        </w:rPr>
        <w:t>by December 15, 2013</w:t>
      </w:r>
      <w:proofErr w:type="gramStart"/>
      <w:r w:rsidR="00A05C57">
        <w:rPr>
          <w:color w:val="000000"/>
        </w:rPr>
        <w:t>,.</w:t>
      </w:r>
      <w:proofErr w:type="gramEnd"/>
      <w:r w:rsidR="00A05C57">
        <w:rPr>
          <w:color w:val="000000"/>
        </w:rPr>
        <w:t xml:space="preserve"> </w:t>
      </w:r>
      <w:r w:rsidR="004F7A1C">
        <w:rPr>
          <w:color w:val="000000"/>
        </w:rPr>
        <w:t xml:space="preserve">The commenter recognized that the 1997 8-hour ozone NAAQS could soon be revoked. It should be noted that </w:t>
      </w:r>
      <w:r w:rsidR="004F7A1C">
        <w:t xml:space="preserve">the EPA could have chosen not to include this area in this analysis considering both a pending revocation of the NAAQS standard and its current status as a </w:t>
      </w:r>
      <w:proofErr w:type="gramStart"/>
      <w:r w:rsidR="004F7A1C">
        <w:t>Serious</w:t>
      </w:r>
      <w:proofErr w:type="gramEnd"/>
      <w:r w:rsidR="004F7A1C">
        <w:t xml:space="preserve"> ozone nonattainment area that has completed a majority of the required SIP submissions for that classification. </w:t>
      </w:r>
      <w:r w:rsidR="00A05C57">
        <w:rPr>
          <w:color w:val="000000"/>
        </w:rPr>
        <w:t>H</w:t>
      </w:r>
      <w:r w:rsidR="00585A42">
        <w:rPr>
          <w:color w:val="000000"/>
        </w:rPr>
        <w:t>owever, the EPA decided to include an estimate of burden and cost that this area may encounter</w:t>
      </w:r>
      <w:r w:rsidR="00A05C57">
        <w:rPr>
          <w:color w:val="000000"/>
        </w:rPr>
        <w:t xml:space="preserve"> if the reclassification is required</w:t>
      </w:r>
      <w:r w:rsidR="00585A42">
        <w:rPr>
          <w:color w:val="000000"/>
        </w:rPr>
        <w:t xml:space="preserve">. </w:t>
      </w:r>
    </w:p>
    <w:p w:rsidR="00982D20" w:rsidRDefault="00B2591C" w:rsidP="00982D20">
      <w:pPr>
        <w:autoSpaceDE w:val="0"/>
        <w:autoSpaceDN w:val="0"/>
        <w:adjustRightInd w:val="0"/>
        <w:ind w:left="360" w:firstLine="360"/>
      </w:pPr>
      <w:r>
        <w:t>At the onset of the 1997 8-hour ozone NAAQS, we</w:t>
      </w:r>
      <w:r w:rsidR="00585A42">
        <w:t xml:space="preserve"> </w:t>
      </w:r>
      <w:r w:rsidR="008F522B">
        <w:t xml:space="preserve">estimated 20,000 burden hours </w:t>
      </w:r>
      <w:r w:rsidR="00585A42">
        <w:t xml:space="preserve">would be expended </w:t>
      </w:r>
      <w:r w:rsidR="008F522B">
        <w:t>for Serious</w:t>
      </w:r>
      <w:r w:rsidR="00171AC8">
        <w:t xml:space="preserve"> and above</w:t>
      </w:r>
      <w:r w:rsidR="008F522B">
        <w:t xml:space="preserve"> areas to develop the </w:t>
      </w:r>
      <w:r w:rsidR="002A6179">
        <w:t xml:space="preserve">initial required programs and to </w:t>
      </w:r>
      <w:r w:rsidR="008F522B">
        <w:lastRenderedPageBreak/>
        <w:t xml:space="preserve">complete necessary Serious </w:t>
      </w:r>
      <w:r w:rsidR="00171AC8">
        <w:t xml:space="preserve">and above </w:t>
      </w:r>
      <w:r w:rsidR="008F522B">
        <w:t>area SIP submissions</w:t>
      </w:r>
      <w:r w:rsidR="002A6179">
        <w:t xml:space="preserve"> to the EPA. This burden </w:t>
      </w:r>
      <w:r w:rsidR="00C629BF">
        <w:t xml:space="preserve">estimate </w:t>
      </w:r>
      <w:r w:rsidR="004F7A1C">
        <w:t>was</w:t>
      </w:r>
      <w:r w:rsidR="00FE1E69">
        <w:t xml:space="preserve"> previously subjected to notice comment and approved by the Office of Management and Budget</w:t>
      </w:r>
      <w:r w:rsidR="000A6240">
        <w:t>. This number has been used to</w:t>
      </w:r>
      <w:r w:rsidR="002A6179">
        <w:t xml:space="preserve"> estimate the entire burden for initiating the </w:t>
      </w:r>
      <w:r w:rsidR="00AE552B">
        <w:t xml:space="preserve">8-hour </w:t>
      </w:r>
      <w:r w:rsidR="002A6179">
        <w:t>NAAQS programs</w:t>
      </w:r>
      <w:r w:rsidR="008F522B">
        <w:t xml:space="preserve">. </w:t>
      </w:r>
      <w:r w:rsidR="000A6240">
        <w:t>Regarding the Dallas-Fort Worth area, t</w:t>
      </w:r>
      <w:r w:rsidR="007D2EA6">
        <w:t xml:space="preserve">he additional planning and emission control requirements that accompany a </w:t>
      </w:r>
      <w:r w:rsidR="000A6240">
        <w:t xml:space="preserve">mandatory reclassification to </w:t>
      </w:r>
      <w:r w:rsidR="007D2EA6">
        <w:t>Severe would require the state to lower the major source threshold from 50 tons per year (</w:t>
      </w:r>
      <w:proofErr w:type="spellStart"/>
      <w:r w:rsidR="007D2EA6">
        <w:t>tpy</w:t>
      </w:r>
      <w:proofErr w:type="spellEnd"/>
      <w:r w:rsidR="007D2EA6">
        <w:t xml:space="preserve">) for a Serious area to 25 </w:t>
      </w:r>
      <w:proofErr w:type="spellStart"/>
      <w:r w:rsidR="007D2EA6">
        <w:t>tpy</w:t>
      </w:r>
      <w:proofErr w:type="spellEnd"/>
      <w:r w:rsidR="007D2EA6">
        <w:t xml:space="preserve"> for a Severe nonattainment area and the New Source Review (NSR) offset ratio goes from 1.2 to 1 for a Serious area to 1.3 to 1 for a Severe area. The state would need to develop requirements for low volatile organic compound (VOC) reformulated gasoline to be distributed in the nonattainment area. The state would also need to evaluate and develop a vehicle miles traveled growth offset that would go to the year 2018. The </w:t>
      </w:r>
      <w:r w:rsidR="00982D20">
        <w:t>EPA’s metho</w:t>
      </w:r>
      <w:r w:rsidR="00513F99">
        <w:t>dol</w:t>
      </w:r>
      <w:r w:rsidR="00982D20">
        <w:t xml:space="preserve">ogy for estimating the burden hours of an area experiencing a bump-up in classification </w:t>
      </w:r>
      <w:r w:rsidR="004F7A1C">
        <w:t xml:space="preserve">to Severe is incremental from a </w:t>
      </w:r>
      <w:r w:rsidR="00982D20">
        <w:t xml:space="preserve">nonattainment area </w:t>
      </w:r>
      <w:r w:rsidR="004F7A1C">
        <w:t xml:space="preserve">that </w:t>
      </w:r>
      <w:r w:rsidR="00982D20">
        <w:t>has completed a majority of the required SIP submissions</w:t>
      </w:r>
      <w:r w:rsidR="004F7A1C">
        <w:t xml:space="preserve"> for the </w:t>
      </w:r>
      <w:proofErr w:type="gramStart"/>
      <w:r w:rsidR="004F7A1C">
        <w:t>Serious</w:t>
      </w:r>
      <w:proofErr w:type="gramEnd"/>
      <w:r w:rsidR="004F7A1C">
        <w:t xml:space="preserve"> classification. The burden hours would be smaller than </w:t>
      </w:r>
      <w:r w:rsidR="005D1FE4">
        <w:t>the f</w:t>
      </w:r>
      <w:r w:rsidR="004F7A1C">
        <w:t xml:space="preserve">ull 20000 hours </w:t>
      </w:r>
      <w:r w:rsidR="005D1FE4">
        <w:t xml:space="preserve">estimated </w:t>
      </w:r>
      <w:r w:rsidR="004F7A1C">
        <w:t xml:space="preserve">for a newly classified </w:t>
      </w:r>
      <w:proofErr w:type="gramStart"/>
      <w:r w:rsidR="004F7A1C">
        <w:t>Serious</w:t>
      </w:r>
      <w:proofErr w:type="gramEnd"/>
      <w:r w:rsidR="004F7A1C">
        <w:t xml:space="preserve"> area </w:t>
      </w:r>
      <w:r w:rsidR="00982D20">
        <w:t xml:space="preserve">since the requirement is to potentially revise their previous SIP </w:t>
      </w:r>
      <w:r w:rsidR="005D1FE4">
        <w:t xml:space="preserve">Serious area </w:t>
      </w:r>
      <w:r w:rsidR="00982D20">
        <w:t xml:space="preserve">submittal. Accordingly, the EPA reduced the estimated burden from 20,000 total hours to initiate a SIP, to 5,000 hours to revise an existing SIP after a </w:t>
      </w:r>
      <w:r w:rsidR="000A6240">
        <w:t>mandatory reclassification</w:t>
      </w:r>
      <w:r w:rsidR="00982D20">
        <w:t xml:space="preserve"> which would average about 1,667 hours annually over the three year period of this renewal. That would be equivalent to about one full time employee per year. The EPA set forth its assumptions and methodology for calculating the routine information collection burden in the </w:t>
      </w:r>
      <w:r w:rsidR="00D84A73">
        <w:t xml:space="preserve">proposed supporting statement </w:t>
      </w:r>
      <w:r w:rsidR="00982D20">
        <w:t xml:space="preserve">and the EPA believes that they are straight forward and clear. </w:t>
      </w:r>
    </w:p>
    <w:p w:rsidR="0093748C" w:rsidRDefault="0093748C" w:rsidP="0093748C">
      <w:pPr>
        <w:ind w:left="360"/>
      </w:pPr>
    </w:p>
    <w:p w:rsidR="00E831A1" w:rsidRDefault="00585A42" w:rsidP="009A2291">
      <w:pPr>
        <w:ind w:left="360" w:firstLine="360"/>
      </w:pPr>
      <w:r>
        <w:t xml:space="preserve">However, TCEQ’s estimates </w:t>
      </w:r>
      <w:r w:rsidR="00D84A73">
        <w:t>ranging between 45,000 to 55,000</w:t>
      </w:r>
      <w:r w:rsidR="00513F99">
        <w:t xml:space="preserve"> burden hours</w:t>
      </w:r>
      <w:r w:rsidR="00D84A73">
        <w:t xml:space="preserve"> </w:t>
      </w:r>
      <w:r>
        <w:t>for completing SIP revisions alone far exceed the EPA’s previously accepted burden estimate</w:t>
      </w:r>
      <w:r w:rsidR="00D84A73">
        <w:t xml:space="preserve">s. </w:t>
      </w:r>
      <w:r w:rsidR="00E831A1">
        <w:t>T</w:t>
      </w:r>
      <w:r w:rsidR="002A6179">
        <w:t xml:space="preserve">he </w:t>
      </w:r>
      <w:r w:rsidR="004633AB">
        <w:t xml:space="preserve">EPA </w:t>
      </w:r>
      <w:r w:rsidR="00E831A1">
        <w:t xml:space="preserve">has no reason to challenge </w:t>
      </w:r>
      <w:r w:rsidR="004633AB">
        <w:t>the commenter</w:t>
      </w:r>
      <w:r w:rsidR="00E831A1">
        <w:t>’s</w:t>
      </w:r>
      <w:r w:rsidR="004633AB">
        <w:t xml:space="preserve"> </w:t>
      </w:r>
      <w:r w:rsidR="00E831A1">
        <w:t xml:space="preserve">statement </w:t>
      </w:r>
      <w:r w:rsidR="004633AB">
        <w:t xml:space="preserve">that </w:t>
      </w:r>
      <w:r w:rsidR="00E831A1">
        <w:t>the EPA’s</w:t>
      </w:r>
      <w:r w:rsidR="00655332">
        <w:t xml:space="preserve"> assumptions may have </w:t>
      </w:r>
      <w:r w:rsidR="00D84A73">
        <w:t xml:space="preserve">partially </w:t>
      </w:r>
      <w:r w:rsidR="004633AB">
        <w:t>under</w:t>
      </w:r>
      <w:r w:rsidR="00655332">
        <w:t>-</w:t>
      </w:r>
      <w:r w:rsidR="004633AB">
        <w:t>estimate</w:t>
      </w:r>
      <w:r w:rsidR="002A6179">
        <w:t>d</w:t>
      </w:r>
      <w:r w:rsidR="004633AB">
        <w:t xml:space="preserve"> the </w:t>
      </w:r>
      <w:r w:rsidR="00E831A1">
        <w:t xml:space="preserve">state’s </w:t>
      </w:r>
      <w:r w:rsidR="004633AB">
        <w:t>burden</w:t>
      </w:r>
      <w:r w:rsidR="00E831A1">
        <w:t xml:space="preserve"> </w:t>
      </w:r>
      <w:r w:rsidR="00214928">
        <w:t xml:space="preserve">it may encounter </w:t>
      </w:r>
      <w:r w:rsidR="00E831A1">
        <w:t>when</w:t>
      </w:r>
      <w:r w:rsidR="00214928">
        <w:t xml:space="preserve"> submitting the necessary SIP revisions</w:t>
      </w:r>
      <w:r w:rsidR="004633AB">
        <w:t>.</w:t>
      </w:r>
      <w:r w:rsidR="00D84A73">
        <w:t xml:space="preserve"> </w:t>
      </w:r>
      <w:r w:rsidR="00D07D40">
        <w:t>T</w:t>
      </w:r>
      <w:r w:rsidR="00E831A1">
        <w:t xml:space="preserve">he EPA proposed </w:t>
      </w:r>
      <w:r w:rsidR="00D07D40">
        <w:t xml:space="preserve">an </w:t>
      </w:r>
      <w:r w:rsidR="00E831A1">
        <w:t xml:space="preserve">estimate of 5,000 hours to conduct the tasks associated with </w:t>
      </w:r>
      <w:r w:rsidR="00CF3E40">
        <w:t xml:space="preserve">completing </w:t>
      </w:r>
      <w:r w:rsidR="00E831A1">
        <w:t xml:space="preserve">3 milestones covered during this ICR reporting period. These milestones are the RACT SIP revisions, RFP SIP revisions and the attainment demonstration. In meeting these milestones, such efforts may include data collection, analysis and assessment, rule development, public review processes and providing information to the EPA. The EPA points out that the emissions and control efficiency data required for the attainment demonstration, RFP SIP revisions, and the RACT SIP revisions should be collected as a result of reporting activities required by other OMB approved ICRs. For example, see the ICR associated with the Consolidated Emissions Reporting Rule: </w:t>
      </w:r>
      <w:hyperlink r:id="rId10" w:history="1">
        <w:r w:rsidR="00E831A1">
          <w:rPr>
            <w:rStyle w:val="Hyperlink"/>
          </w:rPr>
          <w:t>http://www.epa.gov/ttn/chief/cerr/index.html</w:t>
        </w:r>
      </w:hyperlink>
      <w:r w:rsidR="00E831A1">
        <w:t>. In addition, air pollutant concentration data is covered already by ICR 0940-18, OMB Control Number 2060-0084; the New Source Review provisions are covered by ICR 1230.10 and 1230.11, OMB Control Number 2060-003; and the Reformulated Gasoline Requirements are covered ICR 1951.08, OMB Control Number 2060-0277.</w:t>
      </w:r>
      <w:r w:rsidR="00CF3E40">
        <w:t xml:space="preserve"> The EPA believes that a portion of the burden hours TCEQ identified are accounted for in these and other ICRs and accepting the range of burden hours that TCEQ </w:t>
      </w:r>
      <w:r w:rsidR="00484311">
        <w:t>presents would be an overestimation for this particular ICR renewal.</w:t>
      </w:r>
    </w:p>
    <w:p w:rsidR="00E831A1" w:rsidRDefault="00E831A1" w:rsidP="00E831A1">
      <w:pPr>
        <w:autoSpaceDE w:val="0"/>
        <w:autoSpaceDN w:val="0"/>
        <w:adjustRightInd w:val="0"/>
      </w:pPr>
    </w:p>
    <w:p w:rsidR="004633AB" w:rsidRPr="00B2591C" w:rsidRDefault="00484311" w:rsidP="009A2291">
      <w:pPr>
        <w:autoSpaceDE w:val="0"/>
        <w:autoSpaceDN w:val="0"/>
        <w:adjustRightInd w:val="0"/>
        <w:ind w:left="360" w:firstLine="360"/>
        <w:rPr>
          <w:color w:val="000000"/>
        </w:rPr>
      </w:pPr>
      <w:r>
        <w:t>Moreover, s</w:t>
      </w:r>
      <w:r w:rsidR="00D84A73">
        <w:t xml:space="preserve">ince the inception of the 1997 8-hour ozone NAAQS burden estimates </w:t>
      </w:r>
      <w:r w:rsidR="00E20A6F">
        <w:t xml:space="preserve">for areas classified as Serious and above to develop their planning and control requirements has </w:t>
      </w:r>
      <w:r w:rsidR="00E20A6F">
        <w:lastRenderedPageBreak/>
        <w:t>never exceeded 20,000 burden hours and has been accepted nationally with no adverse comments.</w:t>
      </w:r>
      <w:r w:rsidR="004633AB">
        <w:t xml:space="preserve"> </w:t>
      </w:r>
      <w:r w:rsidR="00E831A1">
        <w:t xml:space="preserve">The </w:t>
      </w:r>
      <w:proofErr w:type="spellStart"/>
      <w:r w:rsidR="00E831A1">
        <w:t>preceeding</w:t>
      </w:r>
      <w:proofErr w:type="spellEnd"/>
      <w:r w:rsidR="00E831A1">
        <w:t xml:space="preserve"> </w:t>
      </w:r>
      <w:r w:rsidR="0093748C">
        <w:t xml:space="preserve">8-Hour Ozone NAAQS </w:t>
      </w:r>
      <w:r w:rsidR="00E831A1">
        <w:t>ICR Renewal</w:t>
      </w:r>
      <w:r>
        <w:t xml:space="preserve"> for </w:t>
      </w:r>
      <w:r w:rsidR="00AE552B">
        <w:t>2010-2013</w:t>
      </w:r>
      <w:r w:rsidR="00E831A1">
        <w:t xml:space="preserve">, </w:t>
      </w:r>
      <w:r>
        <w:t>(</w:t>
      </w:r>
      <w:r w:rsidR="00E831A1">
        <w:t>ICR#</w:t>
      </w:r>
      <w:r w:rsidR="0093748C">
        <w:t>2236.03, OMB 2060-0594</w:t>
      </w:r>
      <w:r>
        <w:t>)</w:t>
      </w:r>
      <w:r w:rsidR="0093748C">
        <w:t>, did not identify the Dallas-Fort Worth ozone nonattainment</w:t>
      </w:r>
      <w:r w:rsidR="00FA356D">
        <w:t xml:space="preserve"> area</w:t>
      </w:r>
      <w:r w:rsidR="008A22BE">
        <w:t xml:space="preserve"> as a reclassified Serious area</w:t>
      </w:r>
      <w:r w:rsidR="00FA356D">
        <w:t xml:space="preserve"> that would need additional burden hours</w:t>
      </w:r>
      <w:r w:rsidR="008A22BE">
        <w:t xml:space="preserve"> </w:t>
      </w:r>
      <w:r w:rsidR="0093748C">
        <w:t>which at the time was classified as a Moderate nonattainment area. Subsequent to the ICR Renewal the area received a reclassification to Serious</w:t>
      </w:r>
      <w:r w:rsidR="008A22BE">
        <w:t xml:space="preserve"> (reclassification effective on 1/19/2011), </w:t>
      </w:r>
      <w:r w:rsidR="00821502">
        <w:t xml:space="preserve">but the </w:t>
      </w:r>
      <w:r w:rsidR="0093748C">
        <w:t xml:space="preserve">additional burden hours to fulfill </w:t>
      </w:r>
      <w:r w:rsidR="008A22BE">
        <w:t xml:space="preserve">Serious area </w:t>
      </w:r>
      <w:r w:rsidR="0093748C">
        <w:t>SIP requirements were not identified in the ICR</w:t>
      </w:r>
      <w:r>
        <w:t xml:space="preserve"> renewal</w:t>
      </w:r>
      <w:r w:rsidR="0093748C">
        <w:t xml:space="preserve">. </w:t>
      </w:r>
      <w:r w:rsidR="00821502">
        <w:t xml:space="preserve">Additionally, EPA’s burden hours represent a national average which may vary from the higher end in </w:t>
      </w:r>
      <w:r w:rsidR="005D1FE4">
        <w:t xml:space="preserve">large </w:t>
      </w:r>
      <w:r w:rsidR="00821502">
        <w:t xml:space="preserve">urban nonattainment areas with many to sources to </w:t>
      </w:r>
      <w:r w:rsidR="004F7A1C">
        <w:t xml:space="preserve">the lower end in smaller nonattainment areas with few sources. </w:t>
      </w:r>
      <w:r w:rsidR="00655332">
        <w:t xml:space="preserve">Therefore, </w:t>
      </w:r>
      <w:r w:rsidR="00E20A6F">
        <w:t>in response to the comments from TCEQ</w:t>
      </w:r>
      <w:r>
        <w:t>,</w:t>
      </w:r>
      <w:r w:rsidR="0093748C">
        <w:t xml:space="preserve"> </w:t>
      </w:r>
      <w:r w:rsidR="005D1FE4">
        <w:t xml:space="preserve">and in </w:t>
      </w:r>
      <w:r w:rsidR="0093748C">
        <w:t>consider</w:t>
      </w:r>
      <w:r>
        <w:t>ation of</w:t>
      </w:r>
      <w:r w:rsidR="0093748C">
        <w:t xml:space="preserve"> the accounting levels of other ICRs for certain activities</w:t>
      </w:r>
      <w:r w:rsidR="00E20A6F">
        <w:t>,</w:t>
      </w:r>
      <w:r>
        <w:t xml:space="preserve"> and </w:t>
      </w:r>
      <w:r w:rsidR="005D1FE4">
        <w:t xml:space="preserve">in </w:t>
      </w:r>
      <w:r>
        <w:t>consideration of Dallas-Forth Worth’s previous reclassification,</w:t>
      </w:r>
      <w:r w:rsidR="00E20A6F">
        <w:t xml:space="preserve"> </w:t>
      </w:r>
      <w:r w:rsidR="00655332">
        <w:t xml:space="preserve">the EPA </w:t>
      </w:r>
      <w:r w:rsidR="005D1FE4">
        <w:t xml:space="preserve">has decided to </w:t>
      </w:r>
      <w:r w:rsidR="00E20A6F">
        <w:t xml:space="preserve">provide a higher estimate of </w:t>
      </w:r>
      <w:r>
        <w:t xml:space="preserve">20,000 </w:t>
      </w:r>
      <w:r w:rsidR="00E20A6F">
        <w:t xml:space="preserve">burden hours for the </w:t>
      </w:r>
      <w:r>
        <w:t>Dallas-Forth Worth Area</w:t>
      </w:r>
      <w:r w:rsidR="0093748C">
        <w:t xml:space="preserve"> </w:t>
      </w:r>
      <w:r w:rsidR="005D1FE4">
        <w:t xml:space="preserve">for a </w:t>
      </w:r>
      <w:r w:rsidR="00655332">
        <w:t>higher classification</w:t>
      </w:r>
      <w:r w:rsidR="005D1FE4">
        <w:t>, which may occur</w:t>
      </w:r>
      <w:r w:rsidR="00E20A6F">
        <w:t xml:space="preserve"> in the future</w:t>
      </w:r>
      <w:r w:rsidR="00655332">
        <w:t>.</w:t>
      </w:r>
      <w:r w:rsidR="00E20A6F">
        <w:t xml:space="preserve"> We have also estimated the costs to </w:t>
      </w:r>
      <w:r w:rsidR="00504831">
        <w:t>TCEQ to be about $1.3 million which actually exceeds TCEQ’s estimate</w:t>
      </w:r>
      <w:r w:rsidR="00513F99">
        <w:t xml:space="preserve"> of $1.25 million</w:t>
      </w:r>
      <w:r w:rsidR="00504831">
        <w:t xml:space="preserve">. </w:t>
      </w:r>
    </w:p>
    <w:p w:rsidR="00171AC8" w:rsidRDefault="00171AC8" w:rsidP="00212F76">
      <w:pPr>
        <w:autoSpaceDE w:val="0"/>
        <w:autoSpaceDN w:val="0"/>
        <w:adjustRightInd w:val="0"/>
        <w:ind w:left="360" w:firstLine="360"/>
      </w:pPr>
    </w:p>
    <w:p w:rsidR="00756E81" w:rsidRDefault="0093748C" w:rsidP="009A2291">
      <w:pPr>
        <w:ind w:left="360" w:firstLine="360"/>
      </w:pPr>
      <w:r>
        <w:t>The commenter list</w:t>
      </w:r>
      <w:r w:rsidR="00484311">
        <w:t>ed other</w:t>
      </w:r>
      <w:r>
        <w:t xml:space="preserve"> tasks that have the potential to exceed the burden hours </w:t>
      </w:r>
      <w:r w:rsidR="005D1FE4">
        <w:t>such as</w:t>
      </w:r>
      <w:r>
        <w:t xml:space="preserve"> for implementing the ongoing conformity and transportation conformity programs. The hours for implementing ongoing conformity and transportation conformity programs have been accounted in the burden estimates for fulfilling </w:t>
      </w:r>
      <w:r w:rsidR="00484311">
        <w:t>previous</w:t>
      </w:r>
      <w:r>
        <w:t xml:space="preserve"> planning and control requirements. The greater than 4,000 hours the commenter associated with developing a section 185 fee program after receiving classification to a Severe nonattainment area </w:t>
      </w:r>
      <w:r w:rsidR="00821502">
        <w:t xml:space="preserve">have </w:t>
      </w:r>
      <w:r>
        <w:t>not been included in the EPA estimates because it is not directly related to fulfilling SIP requirements within this three-year period of this renewal.</w:t>
      </w:r>
    </w:p>
    <w:p w:rsidR="00A34C3E" w:rsidRDefault="00A34C3E" w:rsidP="00212F76"/>
    <w:p w:rsidR="00CB3528" w:rsidRDefault="001976E8" w:rsidP="000F6A4C">
      <w:pPr>
        <w:ind w:left="360"/>
        <w:rPr>
          <w:b/>
        </w:rPr>
      </w:pPr>
      <w:r>
        <w:rPr>
          <w:b/>
        </w:rPr>
        <w:t>3(</w:t>
      </w:r>
      <w:r w:rsidR="00756E81">
        <w:rPr>
          <w:b/>
        </w:rPr>
        <w:t>d</w:t>
      </w:r>
      <w:r w:rsidR="00CB3528">
        <w:rPr>
          <w:b/>
        </w:rPr>
        <w:t>)</w:t>
      </w:r>
      <w:r w:rsidR="00CB3528">
        <w:rPr>
          <w:b/>
        </w:rPr>
        <w:tab/>
        <w:t>Effects of Less Frequent Collection</w:t>
      </w:r>
    </w:p>
    <w:p w:rsidR="00CB3528" w:rsidRDefault="00CB3528" w:rsidP="000F6A4C">
      <w:pPr>
        <w:ind w:left="360"/>
        <w:rPr>
          <w:b/>
        </w:rPr>
      </w:pPr>
    </w:p>
    <w:p w:rsidR="00CB3528" w:rsidRDefault="00CB3528" w:rsidP="000F6A4C">
      <w:pPr>
        <w:ind w:left="360"/>
      </w:pPr>
      <w:r>
        <w:rPr>
          <w:b/>
        </w:rPr>
        <w:tab/>
      </w:r>
      <w:r>
        <w:t xml:space="preserve">The collections under 40 CFR 51.908, 51.910, and 51.912 are necessary to provide assurances that identified level of emission reductions are adequate to ensure timely attainment and maintenance of the </w:t>
      </w:r>
      <w:r w:rsidR="000B4541">
        <w:t xml:space="preserve">1997 </w:t>
      </w:r>
      <w:r>
        <w:t xml:space="preserve">Ozone NAAQS while adhering to the mandatory measures and requirements for </w:t>
      </w:r>
      <w:r w:rsidR="00A26988">
        <w:t>s</w:t>
      </w:r>
      <w:r w:rsidR="00202007">
        <w:t xml:space="preserve">ubpart 2 </w:t>
      </w:r>
      <w:r>
        <w:t xml:space="preserve">non-attainment areas, as well as </w:t>
      </w:r>
      <w:r w:rsidR="00756E81">
        <w:t xml:space="preserve">former </w:t>
      </w:r>
      <w:r w:rsidR="00A26988">
        <w:t>s</w:t>
      </w:r>
      <w:r>
        <w:t>ubpart 1 areas.</w:t>
      </w:r>
    </w:p>
    <w:p w:rsidR="00CB3528" w:rsidRDefault="00CB3528" w:rsidP="000F6A4C">
      <w:pPr>
        <w:ind w:left="360"/>
      </w:pPr>
    </w:p>
    <w:p w:rsidR="00CB3528" w:rsidRDefault="001976E8" w:rsidP="000F6A4C">
      <w:pPr>
        <w:ind w:left="360"/>
      </w:pPr>
      <w:r>
        <w:rPr>
          <w:b/>
        </w:rPr>
        <w:t>3(</w:t>
      </w:r>
      <w:r w:rsidR="00756E81">
        <w:rPr>
          <w:b/>
        </w:rPr>
        <w:t>e</w:t>
      </w:r>
      <w:r w:rsidR="00CB3528">
        <w:rPr>
          <w:b/>
        </w:rPr>
        <w:t>)</w:t>
      </w:r>
      <w:r w:rsidR="00CB3528">
        <w:rPr>
          <w:b/>
        </w:rPr>
        <w:tab/>
        <w:t>General Guidelines</w:t>
      </w:r>
      <w:r w:rsidR="00CB3528">
        <w:t xml:space="preserve"> </w:t>
      </w:r>
    </w:p>
    <w:p w:rsidR="00756E81" w:rsidRDefault="00756E81" w:rsidP="00756E81">
      <w:pPr>
        <w:ind w:left="360"/>
      </w:pPr>
    </w:p>
    <w:p w:rsidR="00CB3528" w:rsidRDefault="00756E81" w:rsidP="00756E81">
      <w:pPr>
        <w:ind w:left="360"/>
      </w:pPr>
      <w:r>
        <w:tab/>
      </w:r>
      <w:r w:rsidRPr="00C60E84">
        <w:t xml:space="preserve">This ICR adheres to the guidelines stated in the 1995 Paperwork Reduction </w:t>
      </w:r>
      <w:proofErr w:type="gramStart"/>
      <w:r w:rsidRPr="00C60E84">
        <w:t>Act,</w:t>
      </w:r>
      <w:proofErr w:type="gramEnd"/>
      <w:r w:rsidRPr="00C60E84">
        <w:t xml:space="preserve"> the OMB</w:t>
      </w:r>
      <w:r w:rsidR="009777F2">
        <w:t>’</w:t>
      </w:r>
      <w:r w:rsidRPr="00C60E84">
        <w:t xml:space="preserve">s implementing regulations, </w:t>
      </w:r>
      <w:r w:rsidR="00597B08">
        <w:t xml:space="preserve">the </w:t>
      </w:r>
      <w:r w:rsidRPr="00C60E84">
        <w:t>EPA</w:t>
      </w:r>
      <w:r w:rsidR="009777F2">
        <w:t>’</w:t>
      </w:r>
      <w:r w:rsidRPr="00C60E84">
        <w:t xml:space="preserve">s </w:t>
      </w:r>
      <w:r w:rsidRPr="00C60E84">
        <w:rPr>
          <w:u w:val="single"/>
        </w:rPr>
        <w:t>Information Collection Request Handbook</w:t>
      </w:r>
      <w:r w:rsidRPr="00C60E84">
        <w:t>, and other applicable OMB guidance.</w:t>
      </w:r>
      <w:r w:rsidR="00FA5F1B">
        <w:t xml:space="preserve"> </w:t>
      </w:r>
      <w:r w:rsidR="00CB3528">
        <w:t>The final 8-hour Ozone NAAQS implementation rule does not require:</w:t>
      </w:r>
    </w:p>
    <w:p w:rsidR="00CB3528" w:rsidRDefault="00CB3528" w:rsidP="00756E81">
      <w:pPr>
        <w:numPr>
          <w:ilvl w:val="0"/>
          <w:numId w:val="6"/>
        </w:numPr>
        <w:tabs>
          <w:tab w:val="clear" w:pos="1080"/>
          <w:tab w:val="num" w:pos="720"/>
        </w:tabs>
      </w:pPr>
      <w:r>
        <w:t>reporting more than once a year;</w:t>
      </w:r>
    </w:p>
    <w:p w:rsidR="00CB3528" w:rsidRDefault="00CB3528" w:rsidP="00756E81">
      <w:pPr>
        <w:numPr>
          <w:ilvl w:val="0"/>
          <w:numId w:val="6"/>
        </w:numPr>
        <w:tabs>
          <w:tab w:val="clear" w:pos="1080"/>
          <w:tab w:val="num" w:pos="720"/>
        </w:tabs>
      </w:pPr>
      <w:r>
        <w:t>respondents to participate in a statistical survey;</w:t>
      </w:r>
      <w:r w:rsidR="00FA5F1B">
        <w:t xml:space="preserve"> </w:t>
      </w:r>
    </w:p>
    <w:p w:rsidR="00CB3528" w:rsidRDefault="00CB3528" w:rsidP="00756E81">
      <w:pPr>
        <w:numPr>
          <w:ilvl w:val="0"/>
          <w:numId w:val="6"/>
        </w:numPr>
        <w:tabs>
          <w:tab w:val="clear" w:pos="1080"/>
          <w:tab w:val="num" w:pos="720"/>
        </w:tabs>
      </w:pPr>
      <w:r>
        <w:t>responses to Agency inquiries in less than 30 days;</w:t>
      </w:r>
    </w:p>
    <w:p w:rsidR="00C41156" w:rsidRDefault="00CB3528" w:rsidP="00756E81">
      <w:pPr>
        <w:numPr>
          <w:ilvl w:val="0"/>
          <w:numId w:val="6"/>
        </w:numPr>
        <w:tabs>
          <w:tab w:val="clear" w:pos="1080"/>
          <w:tab w:val="num" w:pos="720"/>
        </w:tabs>
      </w:pPr>
      <w:r>
        <w:t xml:space="preserve">respondents to receive remuneration for preparation of reports; </w:t>
      </w:r>
    </w:p>
    <w:p w:rsidR="00CB3528" w:rsidRDefault="00C41156" w:rsidP="00756E81">
      <w:pPr>
        <w:numPr>
          <w:ilvl w:val="0"/>
          <w:numId w:val="6"/>
        </w:numPr>
        <w:tabs>
          <w:tab w:val="clear" w:pos="1080"/>
          <w:tab w:val="num" w:pos="720"/>
        </w:tabs>
      </w:pPr>
      <w:r>
        <w:lastRenderedPageBreak/>
        <w:t>records to be kept more than 3 years,</w:t>
      </w:r>
      <w:r>
        <w:rPr>
          <w:rStyle w:val="FootnoteReference"/>
        </w:rPr>
        <w:footnoteReference w:id="3"/>
      </w:r>
      <w:r w:rsidR="00CB3528">
        <w:t xml:space="preserve">and, </w:t>
      </w:r>
    </w:p>
    <w:p w:rsidR="00CB3528" w:rsidRDefault="00CB3528" w:rsidP="00756E81">
      <w:pPr>
        <w:numPr>
          <w:ilvl w:val="0"/>
          <w:numId w:val="6"/>
        </w:numPr>
        <w:tabs>
          <w:tab w:val="clear" w:pos="1080"/>
          <w:tab w:val="num" w:pos="720"/>
        </w:tabs>
      </w:pPr>
      <w:proofErr w:type="gramStart"/>
      <w:r>
        <w:t>manual</w:t>
      </w:r>
      <w:proofErr w:type="gramEnd"/>
      <w:r>
        <w:t xml:space="preserve"> methods of reporting.</w:t>
      </w:r>
      <w:r>
        <w:rPr>
          <w:rStyle w:val="FootnoteReference"/>
        </w:rPr>
        <w:footnoteReference w:id="4"/>
      </w:r>
    </w:p>
    <w:p w:rsidR="00CB3528" w:rsidRDefault="00CB3528" w:rsidP="000F6A4C">
      <w:pPr>
        <w:ind w:left="360"/>
      </w:pPr>
    </w:p>
    <w:p w:rsidR="00CB3528" w:rsidRDefault="001976E8" w:rsidP="000F6A4C">
      <w:pPr>
        <w:ind w:left="360"/>
        <w:rPr>
          <w:b/>
        </w:rPr>
      </w:pPr>
      <w:r>
        <w:rPr>
          <w:b/>
        </w:rPr>
        <w:t>3(</w:t>
      </w:r>
      <w:r w:rsidR="00BD10CD">
        <w:rPr>
          <w:b/>
        </w:rPr>
        <w:t>f</w:t>
      </w:r>
      <w:r>
        <w:rPr>
          <w:b/>
        </w:rPr>
        <w:t>)</w:t>
      </w:r>
      <w:r w:rsidR="00BD10CD">
        <w:rPr>
          <w:b/>
        </w:rPr>
        <w:tab/>
      </w:r>
      <w:r>
        <w:rPr>
          <w:b/>
        </w:rPr>
        <w:tab/>
      </w:r>
      <w:r w:rsidR="00CB3528">
        <w:rPr>
          <w:b/>
        </w:rPr>
        <w:t>Confidentiality</w:t>
      </w:r>
    </w:p>
    <w:p w:rsidR="00CB3528" w:rsidRDefault="00CB3528" w:rsidP="000F6A4C">
      <w:pPr>
        <w:ind w:left="360"/>
        <w:rPr>
          <w:b/>
        </w:rPr>
      </w:pPr>
    </w:p>
    <w:p w:rsidR="00CB3528" w:rsidRDefault="00CB3528" w:rsidP="000F6A4C">
      <w:pPr>
        <w:ind w:left="360"/>
      </w:pPr>
      <w:r>
        <w:rPr>
          <w:b/>
        </w:rPr>
        <w:tab/>
      </w:r>
      <w:r>
        <w:t>The information is requested from the states.</w:t>
      </w:r>
      <w:r w:rsidR="00FA5F1B">
        <w:t xml:space="preserve"> </w:t>
      </w:r>
      <w:r>
        <w:t>To fulfill the attainment demonstration, RFP SIP submission, and RACT SIP submission requirements, the states will use emissions levels and control efficiency data provided by certain facilities in the private and public sector. This information is available from a variety of sources. It is the assimilation and analysis of that data that is required in the attainment demonstration, RFP SIP submittal, and the RACT SIP submittal.</w:t>
      </w:r>
    </w:p>
    <w:p w:rsidR="00CB3528" w:rsidRDefault="00CB3528" w:rsidP="000F6A4C">
      <w:pPr>
        <w:ind w:left="360"/>
      </w:pPr>
    </w:p>
    <w:p w:rsidR="00CB3528" w:rsidRDefault="00CB3528" w:rsidP="000F6A4C">
      <w:pPr>
        <w:ind w:left="360"/>
      </w:pPr>
      <w:r>
        <w:tab/>
        <w:t xml:space="preserve">There are </w:t>
      </w:r>
      <w:r w:rsidR="000F3B6E">
        <w:t>2</w:t>
      </w:r>
      <w:r>
        <w:t xml:space="preserve"> non-attainment areas that m</w:t>
      </w:r>
      <w:r w:rsidR="00092485">
        <w:t>ight need to</w:t>
      </w:r>
      <w:r>
        <w:t xml:space="preserve"> </w:t>
      </w:r>
      <w:r w:rsidR="000B4541">
        <w:t xml:space="preserve">revise their </w:t>
      </w:r>
      <w:r w:rsidR="00970C2D">
        <w:t xml:space="preserve">attainment </w:t>
      </w:r>
      <w:r>
        <w:t>demonstration</w:t>
      </w:r>
      <w:r w:rsidR="000B4541">
        <w:t>s</w:t>
      </w:r>
      <w:r w:rsidR="00BD0342">
        <w:t xml:space="preserve"> </w:t>
      </w:r>
      <w:r w:rsidR="000F3B6E">
        <w:t xml:space="preserve">and </w:t>
      </w:r>
      <w:r w:rsidR="000B4541">
        <w:t>4</w:t>
      </w:r>
      <w:r w:rsidR="000F3B6E">
        <w:t xml:space="preserve"> areas that must prepare and submit </w:t>
      </w:r>
      <w:r>
        <w:t>RACT SIP</w:t>
      </w:r>
      <w:r w:rsidR="000B4541">
        <w:t xml:space="preserve"> revisions</w:t>
      </w:r>
      <w:r w:rsidR="000F3B6E">
        <w:t xml:space="preserve">. The remaining </w:t>
      </w:r>
      <w:r w:rsidR="000B4541">
        <w:t xml:space="preserve">non-attainment </w:t>
      </w:r>
      <w:r w:rsidR="000F3B6E">
        <w:t xml:space="preserve">areas have </w:t>
      </w:r>
      <w:r w:rsidR="000B4541">
        <w:t>met or suspended their SIP requirements</w:t>
      </w:r>
      <w:r w:rsidR="00AC71E6">
        <w:t xml:space="preserve"> before the time period covered by this ICR begins and will thus only need to </w:t>
      </w:r>
      <w:r w:rsidR="00AC71E6" w:rsidRPr="00202007">
        <w:t>prepare recordkeeping reports</w:t>
      </w:r>
      <w:r w:rsidR="00970C2D" w:rsidRPr="00202007">
        <w:t>.</w:t>
      </w:r>
      <w:r w:rsidRPr="00202007">
        <w:t xml:space="preserve"> States</w:t>
      </w:r>
      <w:r>
        <w:t xml:space="preserve"> should already have information from emission sources, as facilities should have provided this information to meet </w:t>
      </w:r>
      <w:r w:rsidR="00D04F44">
        <w:t xml:space="preserve">1997 8-hour ozone SIP requirements and previous </w:t>
      </w:r>
      <w:r>
        <w:t>1-hour SIP requirements, operating permits, and/or emissions reporting requirements.</w:t>
      </w:r>
      <w:r w:rsidR="00FA5F1B">
        <w:t xml:space="preserve"> </w:t>
      </w:r>
      <w:r>
        <w:t>Such information does not generally reveal the details of production processes. But, to the extent it may, the affected facilities are protected. Specifically, the completion of the emissions and control efficiency information that is confidential, proprietary, and trade secret is protected from disclosure under the requirements of subsections 503(e) and 114 (c) of the Clean Air Act.</w:t>
      </w:r>
    </w:p>
    <w:p w:rsidR="00CB3528" w:rsidRDefault="00CB3528" w:rsidP="000F6A4C">
      <w:pPr>
        <w:ind w:left="360"/>
      </w:pPr>
    </w:p>
    <w:p w:rsidR="00CB3528" w:rsidRDefault="001976E8" w:rsidP="000F6A4C">
      <w:pPr>
        <w:ind w:left="360"/>
        <w:rPr>
          <w:b/>
        </w:rPr>
      </w:pPr>
      <w:r>
        <w:rPr>
          <w:b/>
        </w:rPr>
        <w:t>3(</w:t>
      </w:r>
      <w:r w:rsidR="00BD10CD">
        <w:rPr>
          <w:b/>
        </w:rPr>
        <w:t>g</w:t>
      </w:r>
      <w:r w:rsidR="00CB3528">
        <w:rPr>
          <w:b/>
        </w:rPr>
        <w:t>)</w:t>
      </w:r>
      <w:r w:rsidR="00CB3528">
        <w:rPr>
          <w:b/>
        </w:rPr>
        <w:tab/>
      </w:r>
      <w:r>
        <w:rPr>
          <w:b/>
        </w:rPr>
        <w:tab/>
      </w:r>
      <w:r w:rsidR="00CB3528">
        <w:rPr>
          <w:b/>
        </w:rPr>
        <w:t>Sensitive Information</w:t>
      </w:r>
    </w:p>
    <w:p w:rsidR="00CB3528" w:rsidRDefault="00CB3528" w:rsidP="000F6A4C">
      <w:pPr>
        <w:ind w:left="360"/>
        <w:rPr>
          <w:b/>
        </w:rPr>
      </w:pPr>
    </w:p>
    <w:p w:rsidR="00CB3528" w:rsidRDefault="00CB3528" w:rsidP="000F6A4C">
      <w:pPr>
        <w:ind w:left="360"/>
      </w:pPr>
      <w:r>
        <w:tab/>
        <w:t>The requested attainment demonstration, RFP SIP submission, and RACT SIP submission do not include questions whose answers would require sensitive information.</w:t>
      </w:r>
    </w:p>
    <w:p w:rsidR="00CB3528" w:rsidRDefault="00CB3528" w:rsidP="000F6A4C">
      <w:pPr>
        <w:ind w:left="360"/>
      </w:pPr>
    </w:p>
    <w:p w:rsidR="00CB3528" w:rsidRDefault="00CB3528" w:rsidP="000F6A4C">
      <w:pPr>
        <w:ind w:left="360"/>
        <w:rPr>
          <w:b/>
        </w:rPr>
      </w:pPr>
    </w:p>
    <w:p w:rsidR="00CB3528" w:rsidRDefault="00CB3528" w:rsidP="00756E81">
      <w:pPr>
        <w:numPr>
          <w:ilvl w:val="0"/>
          <w:numId w:val="7"/>
        </w:numPr>
        <w:tabs>
          <w:tab w:val="clear" w:pos="1440"/>
          <w:tab w:val="num" w:pos="1080"/>
        </w:tabs>
        <w:rPr>
          <w:b/>
          <w:sz w:val="28"/>
          <w:szCs w:val="28"/>
        </w:rPr>
      </w:pPr>
      <w:r>
        <w:rPr>
          <w:b/>
          <w:sz w:val="28"/>
          <w:szCs w:val="28"/>
        </w:rPr>
        <w:t>Respondents and the Information Requested</w:t>
      </w:r>
    </w:p>
    <w:p w:rsidR="00CB3528" w:rsidRDefault="00CB3528" w:rsidP="000F6A4C">
      <w:pPr>
        <w:ind w:left="360"/>
        <w:rPr>
          <w:b/>
          <w:sz w:val="28"/>
          <w:szCs w:val="28"/>
        </w:rPr>
      </w:pPr>
    </w:p>
    <w:p w:rsidR="00CB3528" w:rsidRDefault="00CB3528" w:rsidP="000F6A4C">
      <w:pPr>
        <w:ind w:left="360"/>
        <w:rPr>
          <w:b/>
        </w:rPr>
      </w:pPr>
      <w:r>
        <w:rPr>
          <w:b/>
        </w:rPr>
        <w:t>4(a)</w:t>
      </w:r>
      <w:r>
        <w:rPr>
          <w:b/>
        </w:rPr>
        <w:tab/>
        <w:t>Respondents and the Non-Attainment areas</w:t>
      </w:r>
    </w:p>
    <w:p w:rsidR="00CB3528" w:rsidRDefault="00CB3528" w:rsidP="000F6A4C">
      <w:pPr>
        <w:ind w:left="360"/>
        <w:rPr>
          <w:b/>
        </w:rPr>
      </w:pPr>
    </w:p>
    <w:p w:rsidR="00CB3528" w:rsidRDefault="00CB3528" w:rsidP="000F6A4C">
      <w:pPr>
        <w:ind w:left="360"/>
      </w:pPr>
      <w:r>
        <w:tab/>
        <w:t xml:space="preserve">Table 1 lists </w:t>
      </w:r>
      <w:r w:rsidR="0051032A">
        <w:t>38 non-attainment areas in total</w:t>
      </w:r>
      <w:r w:rsidR="00D04F44">
        <w:t xml:space="preserve"> as of July 22, 2013</w:t>
      </w:r>
      <w:r w:rsidR="0051032A">
        <w:t>. Table 2 lists the numbers of non-attainment areas within each state and regional office. Table 3 indicates the six non-attainment areas contained within three</w:t>
      </w:r>
      <w:r>
        <w:t xml:space="preserve"> states and regional offices affected by the attainment demonstration, RFP SIP, and RACT SIP submission. </w:t>
      </w:r>
      <w:r w:rsidR="00244943">
        <w:t>Local, state, and federal agencies are part of the North American Industrial Classification System code number 924110.</w:t>
      </w:r>
      <w:r w:rsidR="00244943">
        <w:rPr>
          <w:rStyle w:val="FootnoteReference"/>
        </w:rPr>
        <w:footnoteReference w:id="5"/>
      </w:r>
    </w:p>
    <w:p w:rsidR="00CB3528" w:rsidRDefault="00CB3528" w:rsidP="000F6A4C">
      <w:pPr>
        <w:ind w:left="360"/>
      </w:pPr>
    </w:p>
    <w:p w:rsidR="00CB3528" w:rsidRDefault="00CB3528" w:rsidP="000F6A4C">
      <w:pPr>
        <w:ind w:left="360"/>
      </w:pPr>
      <w:r>
        <w:lastRenderedPageBreak/>
        <w:tab/>
        <w:t xml:space="preserve">There are other entities that may be indirectly affected, as they may comment on the draft submissions before they are forwarded to </w:t>
      </w:r>
      <w:r w:rsidR="00242EAD">
        <w:t xml:space="preserve">the </w:t>
      </w:r>
      <w:r>
        <w:t xml:space="preserve">EPA’s Regional Offices. These include potentially regulated entities, representatives of special interest groups, and individuals. Consideration of the burden on these entities is beyond the scope of the Paperwork Reduction Act. </w:t>
      </w:r>
    </w:p>
    <w:p w:rsidR="00191AC6" w:rsidRDefault="00191AC6" w:rsidP="000F6A4C">
      <w:pPr>
        <w:ind w:left="360"/>
      </w:pPr>
    </w:p>
    <w:p w:rsidR="00F13A11" w:rsidRDefault="00F13A11" w:rsidP="000F6A4C">
      <w:pPr>
        <w:ind w:left="360"/>
      </w:pPr>
    </w:p>
    <w:p w:rsidR="00CB3528" w:rsidRDefault="00CB3528" w:rsidP="000F6A4C">
      <w:pPr>
        <w:ind w:left="360"/>
        <w:rPr>
          <w:rFonts w:ascii="Arial" w:hAnsi="Arial" w:cs="Arial"/>
          <w:b/>
          <w:sz w:val="20"/>
          <w:szCs w:val="20"/>
        </w:rPr>
      </w:pPr>
      <w:proofErr w:type="gramStart"/>
      <w:r w:rsidRPr="001A3469">
        <w:rPr>
          <w:b/>
        </w:rPr>
        <w:t>Table 1.</w:t>
      </w:r>
      <w:proofErr w:type="gramEnd"/>
      <w:r w:rsidR="00821502">
        <w:rPr>
          <w:b/>
        </w:rPr>
        <w:t xml:space="preserve"> </w:t>
      </w:r>
      <w:r w:rsidRPr="001A3469">
        <w:rPr>
          <w:b/>
        </w:rPr>
        <w:t>Classifications of 8-Hour Ozone Non-attainment Area</w:t>
      </w:r>
      <w:r w:rsidR="00D04F44">
        <w:rPr>
          <w:b/>
        </w:rPr>
        <w:t xml:space="preserve">s </w:t>
      </w:r>
      <w:proofErr w:type="gramStart"/>
      <w:r w:rsidR="00D04F44">
        <w:rPr>
          <w:b/>
        </w:rPr>
        <w:t>As</w:t>
      </w:r>
      <w:proofErr w:type="gramEnd"/>
      <w:r w:rsidR="00D04F44">
        <w:rPr>
          <w:b/>
        </w:rPr>
        <w:t xml:space="preserve"> of July 22, 2013</w:t>
      </w:r>
      <w:r w:rsidR="00821502">
        <w:rPr>
          <w:rFonts w:ascii="Arial" w:hAnsi="Arial" w:cs="Arial"/>
          <w:b/>
          <w:sz w:val="20"/>
          <w:szCs w:val="20"/>
        </w:rPr>
        <w:t xml:space="preserve"> </w:t>
      </w:r>
      <w:r>
        <w:rPr>
          <w:rFonts w:ascii="Arial" w:hAnsi="Arial" w:cs="Arial"/>
          <w:b/>
          <w:sz w:val="20"/>
          <w:szCs w:val="20"/>
        </w:rPr>
        <w:t xml:space="preserve">(see http://www.epa.gov/air/oaqps/greenbk/gnc.html) </w:t>
      </w:r>
    </w:p>
    <w:p w:rsidR="00CB3528" w:rsidRDefault="0058538F" w:rsidP="000F6A4C">
      <w:pPr>
        <w:rPr>
          <w:rFonts w:ascii="Arial" w:hAnsi="Arial" w:cs="Arial"/>
          <w:sz w:val="20"/>
          <w:szCs w:val="20"/>
        </w:rPr>
      </w:pPr>
      <w:r w:rsidRPr="0058538F">
        <w:rPr>
          <w:rFonts w:ascii="Arial" w:hAnsi="Arial" w:cs="Arial"/>
          <w:sz w:val="20"/>
          <w:szCs w:val="20"/>
        </w:rPr>
        <w:pict>
          <v:rect id="_x0000_i1025" style="width:0;height:1.5pt" o:hrstd="t" o:hr="t" fillcolor="#aca899" stroked="f"/>
        </w:pict>
      </w:r>
    </w:p>
    <w:tbl>
      <w:tblPr>
        <w:tblW w:w="9000" w:type="dxa"/>
        <w:tblCellSpacing w:w="15" w:type="dxa"/>
        <w:tblCellMar>
          <w:top w:w="15" w:type="dxa"/>
          <w:left w:w="15" w:type="dxa"/>
          <w:bottom w:w="15" w:type="dxa"/>
          <w:right w:w="15" w:type="dxa"/>
        </w:tblCellMar>
        <w:tblLook w:val="0000"/>
      </w:tblPr>
      <w:tblGrid>
        <w:gridCol w:w="9000"/>
      </w:tblGrid>
      <w:tr w:rsidR="00CB3528" w:rsidTr="00756E81">
        <w:trPr>
          <w:tblCellSpacing w:w="15" w:type="dxa"/>
        </w:trPr>
        <w:tc>
          <w:tcPr>
            <w:tcW w:w="0" w:type="auto"/>
            <w:vAlign w:val="center"/>
          </w:tcPr>
          <w:p w:rsidR="00CB3528" w:rsidRDefault="00CB3528" w:rsidP="00F64829">
            <w:pPr>
              <w:rPr>
                <w:rFonts w:ascii="Arial" w:hAnsi="Arial" w:cs="Arial"/>
                <w:color w:val="000000"/>
                <w:sz w:val="20"/>
                <w:szCs w:val="20"/>
              </w:rPr>
            </w:pPr>
            <w:r w:rsidRPr="00002E53">
              <w:rPr>
                <w:rFonts w:ascii="Arial" w:hAnsi="Arial" w:cs="Arial"/>
                <w:color w:val="FF0000"/>
                <w:sz w:val="20"/>
                <w:szCs w:val="20"/>
              </w:rPr>
              <w:t>n = area has whole or part county or counties in a previous 1-hr Ozone nonattainment area (as of June 15, 2005) no longer subject to the 1-hour standard</w:t>
            </w:r>
            <w:r w:rsidRPr="00002E53">
              <w:rPr>
                <w:rFonts w:ascii="Arial" w:hAnsi="Arial" w:cs="Arial"/>
                <w:sz w:val="20"/>
                <w:szCs w:val="20"/>
              </w:rPr>
              <w:t xml:space="preserve"> </w:t>
            </w:r>
            <w:r w:rsidRPr="00002E53">
              <w:rPr>
                <w:rFonts w:ascii="Arial" w:hAnsi="Arial" w:cs="Arial"/>
                <w:sz w:val="20"/>
                <w:szCs w:val="20"/>
              </w:rPr>
              <w:br/>
            </w:r>
            <w:r w:rsidRPr="00002E53">
              <w:rPr>
                <w:rFonts w:ascii="Arial" w:hAnsi="Arial" w:cs="Arial"/>
                <w:color w:val="008000"/>
                <w:sz w:val="20"/>
                <w:szCs w:val="20"/>
              </w:rPr>
              <w:t>m = area has whole or part county or counties in a previous 1-hr Ozone maintenance area (as of June 15, 2005) no longer subject to the 1-hour standard</w:t>
            </w:r>
            <w:r w:rsidRPr="00002E53">
              <w:rPr>
                <w:rFonts w:ascii="Arial" w:hAnsi="Arial" w:cs="Arial"/>
                <w:sz w:val="20"/>
                <w:szCs w:val="20"/>
              </w:rPr>
              <w:t xml:space="preserve"> </w:t>
            </w:r>
            <w:r w:rsidRPr="00002E53">
              <w:rPr>
                <w:rFonts w:ascii="Arial" w:hAnsi="Arial" w:cs="Arial"/>
                <w:sz w:val="20"/>
                <w:szCs w:val="20"/>
              </w:rPr>
              <w:br/>
            </w:r>
            <w:r w:rsidRPr="00002E53">
              <w:rPr>
                <w:rFonts w:ascii="Arial" w:hAnsi="Arial" w:cs="Arial"/>
                <w:color w:val="0000FF"/>
                <w:sz w:val="20"/>
                <w:szCs w:val="20"/>
              </w:rPr>
              <w:t xml:space="preserve">* = area has whole or part county or counties in a CO, PM-10, or PM-2.5 nonattainment or maintenance area or previous 1-hr Ozone nonattainment or maintenance area (as of June 15, 2005) </w:t>
            </w:r>
            <w:r w:rsidRPr="00002E53">
              <w:rPr>
                <w:rFonts w:ascii="Arial" w:hAnsi="Arial" w:cs="Arial"/>
                <w:sz w:val="20"/>
                <w:szCs w:val="20"/>
              </w:rPr>
              <w:br/>
            </w:r>
          </w:p>
        </w:tc>
      </w:tr>
    </w:tbl>
    <w:p w:rsidR="00CB3528" w:rsidRDefault="00CB3528" w:rsidP="00756E81">
      <w:pPr>
        <w:pStyle w:val="HTMLPreformatted"/>
      </w:pPr>
      <w:r>
        <w:rPr>
          <w:b/>
          <w:bCs/>
        </w:rPr>
        <w:t>Category/Classification</w:t>
      </w:r>
      <w:r>
        <w:t xml:space="preserve"> </w:t>
      </w:r>
      <w:r>
        <w:rPr>
          <w:b/>
          <w:bCs/>
        </w:rPr>
        <w:t>(Attainment Date)</w:t>
      </w:r>
    </w:p>
    <w:p w:rsidR="00CB3528" w:rsidRDefault="00CB3528" w:rsidP="00756E81">
      <w:pPr>
        <w:pStyle w:val="HTMLPreformatted"/>
      </w:pPr>
      <w:r>
        <w:t>----------------------------------------------------------</w:t>
      </w:r>
    </w:p>
    <w:p w:rsidR="006429BA" w:rsidRDefault="006429BA" w:rsidP="00756E81">
      <w:pPr>
        <w:pStyle w:val="HTMLPreformatted"/>
        <w:rPr>
          <w:b/>
          <w:bCs/>
        </w:rPr>
      </w:pPr>
      <w:r>
        <w:rPr>
          <w:b/>
          <w:bCs/>
        </w:rPr>
        <w:t>EXTREME</w:t>
      </w:r>
      <w:r w:rsidR="00821502">
        <w:rPr>
          <w:b/>
          <w:bCs/>
        </w:rPr>
        <w:t xml:space="preserve"> </w:t>
      </w:r>
      <w:r>
        <w:rPr>
          <w:b/>
          <w:bCs/>
        </w:rPr>
        <w:t>(</w:t>
      </w:r>
      <w:r w:rsidRPr="00741AEF">
        <w:rPr>
          <w:b/>
          <w:bCs/>
        </w:rPr>
        <w:t>June 20</w:t>
      </w:r>
      <w:r>
        <w:rPr>
          <w:b/>
          <w:bCs/>
        </w:rPr>
        <w:t>3</w:t>
      </w:r>
      <w:r w:rsidRPr="00741AEF">
        <w:rPr>
          <w:b/>
          <w:bCs/>
        </w:rPr>
        <w:t>1</w:t>
      </w:r>
      <w:r>
        <w:rPr>
          <w:b/>
          <w:bCs/>
        </w:rPr>
        <w:t>)</w:t>
      </w:r>
      <w:r w:rsidR="00821502">
        <w:t xml:space="preserve">                                             </w:t>
      </w:r>
    </w:p>
    <w:p w:rsidR="006429BA" w:rsidRDefault="00821502" w:rsidP="006429BA">
      <w:pPr>
        <w:pStyle w:val="HTMLPreformatted"/>
        <w:outlineLvl w:val="0"/>
      </w:pPr>
      <w:r>
        <w:t xml:space="preserve">  </w:t>
      </w:r>
      <w:r w:rsidR="006429BA" w:rsidRPr="004E6BAC">
        <w:t>Los Angeles-South Coast Air Basin Area</w:t>
      </w:r>
      <w:r w:rsidR="006429BA">
        <w:t>, CA</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San Joaquin Valley Area, CA</w:t>
      </w:r>
      <w:r>
        <w:t xml:space="preserve"> </w:t>
      </w:r>
      <w:r w:rsidR="006429BA">
        <w:t>[</w:t>
      </w:r>
      <w:r w:rsidR="006429BA">
        <w:rPr>
          <w:b/>
          <w:bCs/>
          <w:color w:val="FF0000"/>
        </w:rPr>
        <w:t>n</w:t>
      </w:r>
      <w:r w:rsidR="006429BA">
        <w:rPr>
          <w:b/>
          <w:bCs/>
          <w:color w:val="0000FF"/>
        </w:rPr>
        <w:t>*</w:t>
      </w:r>
      <w:r w:rsidR="006429BA">
        <w:t>]</w:t>
      </w:r>
    </w:p>
    <w:p w:rsidR="006429BA" w:rsidRDefault="006429BA" w:rsidP="00756E81">
      <w:pPr>
        <w:pStyle w:val="HTMLPreformatted"/>
        <w:rPr>
          <w:b/>
          <w:bCs/>
        </w:rPr>
      </w:pPr>
    </w:p>
    <w:p w:rsidR="00CB3528" w:rsidRDefault="00CB3528" w:rsidP="00756E81">
      <w:pPr>
        <w:pStyle w:val="HTMLPreformatted"/>
      </w:pPr>
      <w:r>
        <w:rPr>
          <w:b/>
          <w:bCs/>
        </w:rPr>
        <w:t>SEVERE 17</w:t>
      </w:r>
      <w:r w:rsidR="00821502">
        <w:rPr>
          <w:b/>
          <w:bCs/>
        </w:rPr>
        <w:t xml:space="preserve"> </w:t>
      </w:r>
      <w:r>
        <w:rPr>
          <w:b/>
          <w:bCs/>
        </w:rPr>
        <w:t>(</w:t>
      </w:r>
      <w:r w:rsidRPr="00741AEF">
        <w:rPr>
          <w:b/>
          <w:bCs/>
        </w:rPr>
        <w:t>June 2021</w:t>
      </w:r>
      <w:r>
        <w:rPr>
          <w:b/>
          <w:bCs/>
        </w:rPr>
        <w:t>)</w:t>
      </w:r>
      <w:r w:rsidR="00821502">
        <w:t xml:space="preserve">                                             </w:t>
      </w:r>
    </w:p>
    <w:p w:rsidR="00CB3528" w:rsidRDefault="00CB3528" w:rsidP="00756E81">
      <w:pPr>
        <w:pStyle w:val="HTMLPreformatted"/>
      </w:pPr>
    </w:p>
    <w:p w:rsidR="005E79A4" w:rsidRDefault="005E79A4" w:rsidP="00756E81">
      <w:pPr>
        <w:pStyle w:val="HTMLPreformatted"/>
        <w:rPr>
          <w:b/>
          <w:bCs/>
        </w:rPr>
      </w:pPr>
      <w:r>
        <w:rPr>
          <w:b/>
          <w:bCs/>
        </w:rPr>
        <w:t>SEVERE 15</w:t>
      </w:r>
      <w:r w:rsidR="00821502">
        <w:rPr>
          <w:b/>
          <w:bCs/>
        </w:rPr>
        <w:t xml:space="preserve"> </w:t>
      </w:r>
      <w:r w:rsidR="00741AEF">
        <w:rPr>
          <w:b/>
          <w:bCs/>
        </w:rPr>
        <w:t>(June 2019)</w:t>
      </w:r>
    </w:p>
    <w:p w:rsidR="005E79A4" w:rsidRPr="00756E81" w:rsidRDefault="00821502" w:rsidP="00756E81">
      <w:pPr>
        <w:pStyle w:val="HTMLPreformatted"/>
        <w:rPr>
          <w:bCs/>
        </w:rPr>
      </w:pPr>
      <w:r>
        <w:t xml:space="preserve">  </w:t>
      </w:r>
      <w:r w:rsidR="005E79A4" w:rsidRPr="00756E81">
        <w:rPr>
          <w:bCs/>
        </w:rPr>
        <w:t>Houston-Galveston-Brazoria Area</w:t>
      </w:r>
      <w:r w:rsidR="004E6BAC" w:rsidRPr="00756E81">
        <w:rPr>
          <w:bCs/>
        </w:rPr>
        <w:t>, TX</w:t>
      </w:r>
      <w:r>
        <w:t xml:space="preserve"> </w:t>
      </w:r>
      <w:r w:rsidR="00F80C8C">
        <w:t>[</w:t>
      </w:r>
      <w:r w:rsidR="00F80C8C">
        <w:rPr>
          <w:b/>
          <w:bCs/>
          <w:color w:val="FF0000"/>
        </w:rPr>
        <w:t>n</w:t>
      </w:r>
      <w:r w:rsidR="00F80C8C">
        <w:rPr>
          <w:b/>
          <w:bCs/>
          <w:color w:val="0000FF"/>
        </w:rPr>
        <w:t>*</w:t>
      </w:r>
      <w:r w:rsidR="00F80C8C">
        <w:t>]</w:t>
      </w:r>
    </w:p>
    <w:p w:rsidR="006429BA" w:rsidRDefault="00821502" w:rsidP="006429BA">
      <w:pPr>
        <w:pStyle w:val="HTMLPreformatted"/>
        <w:outlineLvl w:val="0"/>
      </w:pPr>
      <w:r>
        <w:t xml:space="preserve">  </w:t>
      </w:r>
      <w:r w:rsidR="006429BA">
        <w:t>Los Angeles and San Bernardino Cos (W Mojave Desert) Area, CA</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 xml:space="preserve">Riverside </w:t>
      </w:r>
      <w:smartTag w:uri="urn:schemas-microsoft-com:office:smarttags" w:element="PlaceType">
        <w:r w:rsidR="006429BA">
          <w:t>County</w:t>
        </w:r>
      </w:smartTag>
      <w:r w:rsidR="006429BA">
        <w:t xml:space="preserve"> (</w:t>
      </w:r>
      <w:smartTag w:uri="urn:schemas-microsoft-com:office:smarttags" w:element="place">
        <w:smartTag w:uri="urn:schemas-microsoft-com:office:smarttags" w:element="PlaceName">
          <w:r w:rsidR="006429BA">
            <w:t>Coachella</w:t>
          </w:r>
        </w:smartTag>
        <w:r w:rsidR="006429BA">
          <w:t xml:space="preserve"> </w:t>
        </w:r>
        <w:smartTag w:uri="urn:schemas-microsoft-com:office:smarttags" w:element="PlaceType">
          <w:r w:rsidR="006429BA">
            <w:t>Valley</w:t>
          </w:r>
        </w:smartTag>
      </w:smartTag>
      <w:r w:rsidR="006429BA">
        <w:t>) Area, CA</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Sacramento Metro Area, CA</w:t>
      </w:r>
      <w:r>
        <w:t xml:space="preserve"> </w:t>
      </w:r>
      <w:r w:rsidR="006429BA">
        <w:t>[</w:t>
      </w:r>
      <w:r w:rsidR="006429BA">
        <w:rPr>
          <w:b/>
          <w:bCs/>
          <w:color w:val="FF0000"/>
        </w:rPr>
        <w:t>n</w:t>
      </w:r>
      <w:r w:rsidR="006429BA">
        <w:rPr>
          <w:b/>
          <w:bCs/>
          <w:color w:val="0000FF"/>
        </w:rPr>
        <w:t>*</w:t>
      </w:r>
      <w:r w:rsidR="006429BA">
        <w:t>]</w:t>
      </w:r>
    </w:p>
    <w:p w:rsidR="006429BA" w:rsidRPr="00756E81" w:rsidRDefault="006429BA" w:rsidP="00756E81">
      <w:pPr>
        <w:pStyle w:val="HTMLPreformatted"/>
        <w:rPr>
          <w:bCs/>
        </w:rPr>
      </w:pPr>
    </w:p>
    <w:p w:rsidR="00CB3528" w:rsidRDefault="00CB3528" w:rsidP="00756E81">
      <w:pPr>
        <w:pStyle w:val="HTMLPreformatted"/>
      </w:pPr>
      <w:r>
        <w:rPr>
          <w:b/>
          <w:bCs/>
        </w:rPr>
        <w:t>SERIOUS</w:t>
      </w:r>
      <w:r w:rsidR="00821502">
        <w:rPr>
          <w:b/>
          <w:bCs/>
        </w:rPr>
        <w:t xml:space="preserve"> </w:t>
      </w:r>
      <w:r>
        <w:rPr>
          <w:b/>
          <w:bCs/>
        </w:rPr>
        <w:t>(</w:t>
      </w:r>
      <w:r w:rsidRPr="00741AEF">
        <w:rPr>
          <w:b/>
          <w:bCs/>
        </w:rPr>
        <w:t>June 2013</w:t>
      </w:r>
      <w:r>
        <w:rPr>
          <w:b/>
          <w:bCs/>
        </w:rPr>
        <w:t>)</w:t>
      </w:r>
      <w:r w:rsidR="00821502">
        <w:t xml:space="preserve">                                              </w:t>
      </w:r>
    </w:p>
    <w:p w:rsidR="006429BA" w:rsidRDefault="00821502" w:rsidP="006429BA">
      <w:pPr>
        <w:pStyle w:val="HTMLPreformatted"/>
        <w:outlineLvl w:val="0"/>
      </w:pPr>
      <w:r>
        <w:t xml:space="preserve">  </w:t>
      </w:r>
      <w:r w:rsidR="006429BA">
        <w:t>Baltimore Area, MD</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Dallas-Fort Worth Area, TX</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Ventura County (part) Area, CA</w:t>
      </w:r>
      <w:r>
        <w:t xml:space="preserve"> </w:t>
      </w:r>
      <w:r w:rsidR="00F80C8C">
        <w:t>[</w:t>
      </w:r>
      <w:r w:rsidR="00F80C8C">
        <w:rPr>
          <w:b/>
          <w:bCs/>
          <w:color w:val="FF0000"/>
        </w:rPr>
        <w:t>n</w:t>
      </w:r>
      <w:r w:rsidR="00F80C8C">
        <w:rPr>
          <w:b/>
          <w:bCs/>
          <w:color w:val="0000FF"/>
        </w:rPr>
        <w:t>*</w:t>
      </w:r>
      <w:r w:rsidR="00F80C8C">
        <w:t>]</w:t>
      </w:r>
    </w:p>
    <w:p w:rsidR="00CB3528" w:rsidRDefault="00CB3528" w:rsidP="00756E81">
      <w:pPr>
        <w:pStyle w:val="HTMLPreformatted"/>
      </w:pPr>
    </w:p>
    <w:p w:rsidR="00CB3528" w:rsidRDefault="00CB3528" w:rsidP="00756E81">
      <w:pPr>
        <w:pStyle w:val="HTMLPreformatted"/>
      </w:pPr>
      <w:r>
        <w:rPr>
          <w:b/>
          <w:bCs/>
        </w:rPr>
        <w:t>MODERATE</w:t>
      </w:r>
      <w:r w:rsidR="00821502">
        <w:rPr>
          <w:b/>
          <w:bCs/>
        </w:rPr>
        <w:t xml:space="preserve"> </w:t>
      </w:r>
      <w:r>
        <w:rPr>
          <w:b/>
          <w:bCs/>
        </w:rPr>
        <w:t>(</w:t>
      </w:r>
      <w:r w:rsidRPr="00741AEF">
        <w:rPr>
          <w:b/>
          <w:bCs/>
        </w:rPr>
        <w:t>June 2010</w:t>
      </w:r>
      <w:r>
        <w:rPr>
          <w:b/>
          <w:bCs/>
        </w:rPr>
        <w:t>)</w:t>
      </w:r>
      <w:r w:rsidR="00821502">
        <w:t xml:space="preserve">                                             </w:t>
      </w:r>
    </w:p>
    <w:p w:rsidR="006429BA" w:rsidRDefault="00821502" w:rsidP="006429BA">
      <w:pPr>
        <w:pStyle w:val="HTMLPreformatted"/>
        <w:outlineLvl w:val="0"/>
      </w:pPr>
      <w:r>
        <w:t xml:space="preserve">  </w:t>
      </w:r>
      <w:r w:rsidR="006429BA">
        <w:t>Amador and Calaveras Counties (Central Mountain Counties) Area, CA</w:t>
      </w:r>
      <w:r>
        <w:t xml:space="preserve"> </w:t>
      </w:r>
      <w:r w:rsidR="00F80C8C">
        <w:t>[</w:t>
      </w:r>
      <w:r w:rsidR="00F80C8C">
        <w:rPr>
          <w:b/>
          <w:bCs/>
          <w:color w:val="FF0000"/>
        </w:rPr>
        <w:t>n</w:t>
      </w:r>
      <w:r w:rsidR="00F80C8C">
        <w:rPr>
          <w:b/>
          <w:bCs/>
          <w:color w:val="0000FF"/>
        </w:rPr>
        <w:t>*</w:t>
      </w:r>
      <w:r w:rsidR="00F80C8C">
        <w:t>]</w:t>
      </w:r>
    </w:p>
    <w:p w:rsidR="0027018F" w:rsidRDefault="00821502" w:rsidP="0027018F">
      <w:pPr>
        <w:pStyle w:val="HTMLPreformatted"/>
        <w:outlineLvl w:val="0"/>
      </w:pPr>
      <w:r>
        <w:t xml:space="preserve">  </w:t>
      </w:r>
      <w:r w:rsidR="0027018F">
        <w:t>Atlanta, GA</w:t>
      </w:r>
      <w:r>
        <w:t xml:space="preserve"> </w:t>
      </w:r>
      <w:r w:rsidR="0027018F">
        <w:t>[</w:t>
      </w:r>
      <w:r w:rsidR="0027018F">
        <w:rPr>
          <w:b/>
          <w:bCs/>
          <w:color w:val="FF0000"/>
        </w:rPr>
        <w:t>n</w:t>
      </w:r>
      <w:r w:rsidR="0027018F">
        <w:rPr>
          <w:b/>
          <w:bCs/>
          <w:color w:val="0000FF"/>
        </w:rPr>
        <w:t>*</w:t>
      </w:r>
      <w:r w:rsidR="0027018F">
        <w:t>]</w:t>
      </w:r>
    </w:p>
    <w:p w:rsidR="0027018F" w:rsidRDefault="00821502" w:rsidP="0027018F">
      <w:pPr>
        <w:pStyle w:val="HTMLPreformatted"/>
        <w:outlineLvl w:val="0"/>
      </w:pPr>
      <w:r>
        <w:t xml:space="preserve">  </w:t>
      </w:r>
      <w:r w:rsidR="0027018F">
        <w:t>Boston-Lawrence-Worcester (E. MA)</w:t>
      </w:r>
      <w:r>
        <w:t xml:space="preserve"> </w:t>
      </w:r>
      <w:r w:rsidR="0027018F">
        <w:t>[</w:t>
      </w:r>
      <w:r w:rsidR="0027018F">
        <w:rPr>
          <w:b/>
          <w:bCs/>
          <w:color w:val="FF0000"/>
        </w:rPr>
        <w:t>n</w:t>
      </w:r>
      <w:r w:rsidR="0027018F">
        <w:rPr>
          <w:b/>
          <w:bCs/>
          <w:color w:val="0000FF"/>
        </w:rPr>
        <w:t>*</w:t>
      </w:r>
      <w:r w:rsidR="0027018F">
        <w:t>]</w:t>
      </w:r>
    </w:p>
    <w:p w:rsidR="006429BA" w:rsidRDefault="00821502" w:rsidP="00756E81">
      <w:pPr>
        <w:pStyle w:val="HTMLPreformatted"/>
        <w:outlineLvl w:val="0"/>
      </w:pPr>
      <w:r>
        <w:t xml:space="preserve">  </w:t>
      </w:r>
      <w:r w:rsidR="006429BA">
        <w:t>Buffalo-Niagara Falls Area, NY</w:t>
      </w:r>
      <w:r>
        <w:t xml:space="preserve"> </w:t>
      </w:r>
      <w:r w:rsidR="006429BA">
        <w:t>[</w:t>
      </w:r>
      <w:r w:rsidR="006429BA">
        <w:rPr>
          <w:b/>
          <w:bCs/>
          <w:color w:val="FF0000"/>
        </w:rPr>
        <w:t>n</w:t>
      </w:r>
      <w:r w:rsidR="006429BA">
        <w:rPr>
          <w:b/>
          <w:bCs/>
          <w:color w:val="0000FF"/>
        </w:rPr>
        <w:t>*</w:t>
      </w:r>
      <w:r w:rsidR="006429BA">
        <w:t>]</w:t>
      </w:r>
    </w:p>
    <w:p w:rsidR="0027018F" w:rsidRDefault="00821502" w:rsidP="0027018F">
      <w:pPr>
        <w:pStyle w:val="HTMLPreformatted"/>
        <w:outlineLvl w:val="0"/>
      </w:pPr>
      <w:r>
        <w:t xml:space="preserve">  </w:t>
      </w:r>
      <w:r w:rsidR="0027018F">
        <w:t>Charlotte-Gastonia-Rock Hill, NC-SC (NC portion)</w:t>
      </w:r>
      <w:r>
        <w:t xml:space="preserve"> </w:t>
      </w:r>
      <w:r w:rsidR="0027018F">
        <w:t>[</w:t>
      </w:r>
      <w:r w:rsidR="0027018F">
        <w:rPr>
          <w:b/>
          <w:bCs/>
          <w:color w:val="FF0000"/>
        </w:rPr>
        <w:t>n</w:t>
      </w:r>
      <w:r w:rsidR="0027018F">
        <w:rPr>
          <w:b/>
          <w:bCs/>
          <w:color w:val="0000FF"/>
        </w:rPr>
        <w:t>*</w:t>
      </w:r>
      <w:r w:rsidR="0027018F">
        <w:t>]</w:t>
      </w:r>
    </w:p>
    <w:p w:rsidR="0027018F" w:rsidRDefault="00821502" w:rsidP="0027018F">
      <w:pPr>
        <w:pStyle w:val="HTMLPreformatted"/>
        <w:outlineLvl w:val="0"/>
      </w:pPr>
      <w:r>
        <w:t xml:space="preserve">  </w:t>
      </w:r>
      <w:r w:rsidR="0027018F">
        <w:t>Greater Connecticut, CT</w:t>
      </w:r>
      <w:r>
        <w:t xml:space="preserve"> </w:t>
      </w:r>
      <w:r w:rsidR="0027018F">
        <w:t>[</w:t>
      </w:r>
      <w:r w:rsidR="0027018F">
        <w:rPr>
          <w:b/>
          <w:bCs/>
          <w:color w:val="FF0000"/>
        </w:rPr>
        <w:t>n</w:t>
      </w:r>
      <w:r w:rsidR="0027018F">
        <w:rPr>
          <w:b/>
          <w:bCs/>
          <w:color w:val="0000FF"/>
        </w:rPr>
        <w:t>*</w:t>
      </w:r>
      <w:r w:rsidR="0027018F">
        <w:t>]</w:t>
      </w:r>
    </w:p>
    <w:p w:rsidR="006429BA" w:rsidRDefault="00821502" w:rsidP="006429BA">
      <w:pPr>
        <w:pStyle w:val="HTMLPreformatted"/>
        <w:outlineLvl w:val="0"/>
      </w:pPr>
      <w:r>
        <w:t xml:space="preserve">  </w:t>
      </w:r>
      <w:r w:rsidR="006429BA">
        <w:t>Imperial County, CA</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Jamestown Area, NY</w:t>
      </w:r>
      <w:r>
        <w:t xml:space="preserve"> </w:t>
      </w:r>
      <w:r w:rsidR="00F80C8C">
        <w:t>[</w:t>
      </w:r>
      <w:r w:rsidR="00F80C8C">
        <w:rPr>
          <w:b/>
          <w:bCs/>
          <w:color w:val="FF0000"/>
        </w:rPr>
        <w:t>n</w:t>
      </w:r>
      <w:r w:rsidR="00F80C8C">
        <w:rPr>
          <w:b/>
          <w:bCs/>
          <w:color w:val="0000FF"/>
        </w:rPr>
        <w:t>*</w:t>
      </w:r>
      <w:r w:rsidR="00F80C8C">
        <w:t>]</w:t>
      </w:r>
    </w:p>
    <w:p w:rsidR="006429BA" w:rsidRDefault="00821502" w:rsidP="006429BA">
      <w:pPr>
        <w:pStyle w:val="HTMLPreformatted"/>
        <w:outlineLvl w:val="0"/>
      </w:pPr>
      <w:r>
        <w:t xml:space="preserve">  </w:t>
      </w:r>
      <w:r w:rsidR="006429BA">
        <w:t>Jefferson County, NY</w:t>
      </w:r>
      <w:r>
        <w:t xml:space="preserve"> </w:t>
      </w:r>
      <w:r w:rsidR="00F80C8C">
        <w:t>[</w:t>
      </w:r>
      <w:r w:rsidR="00F80C8C">
        <w:rPr>
          <w:b/>
          <w:bCs/>
          <w:color w:val="FF0000"/>
        </w:rPr>
        <w:t>n</w:t>
      </w:r>
      <w:r w:rsidR="00F80C8C">
        <w:rPr>
          <w:b/>
          <w:bCs/>
          <w:color w:val="0000FF"/>
        </w:rPr>
        <w:t>*</w:t>
      </w:r>
      <w:r w:rsidR="00F80C8C">
        <w:t>]</w:t>
      </w:r>
    </w:p>
    <w:p w:rsidR="006429BA" w:rsidRDefault="00821502" w:rsidP="006429BA">
      <w:pPr>
        <w:pStyle w:val="HTMLPreformatted"/>
        <w:outlineLvl w:val="0"/>
      </w:pPr>
      <w:r>
        <w:t xml:space="preserve">  </w:t>
      </w:r>
      <w:r w:rsidR="006429BA">
        <w:t>Kern County (Eastern Kern) Area, CA</w:t>
      </w:r>
      <w:r>
        <w:t xml:space="preserve"> </w:t>
      </w:r>
      <w:r w:rsidR="006429BA">
        <w:t>[</w:t>
      </w:r>
      <w:r w:rsidR="006429BA">
        <w:rPr>
          <w:b/>
          <w:bCs/>
          <w:color w:val="008000"/>
        </w:rPr>
        <w:t>m</w:t>
      </w:r>
      <w:r w:rsidR="006429BA">
        <w:rPr>
          <w:b/>
          <w:bCs/>
          <w:color w:val="0000FF"/>
        </w:rPr>
        <w:t>*</w:t>
      </w:r>
      <w:r w:rsidR="006429BA">
        <w:t>]</w:t>
      </w:r>
    </w:p>
    <w:p w:rsidR="006429BA" w:rsidRDefault="00821502" w:rsidP="006429BA">
      <w:pPr>
        <w:pStyle w:val="HTMLPreformatted"/>
        <w:outlineLvl w:val="0"/>
      </w:pPr>
      <w:r>
        <w:t xml:space="preserve">  </w:t>
      </w:r>
      <w:r w:rsidR="006429BA">
        <w:t xml:space="preserve">Mariposa and </w:t>
      </w:r>
      <w:smartTag w:uri="urn:schemas-microsoft-com:office:smarttags" w:element="place">
        <w:r w:rsidR="006429BA">
          <w:t>Tuolumne</w:t>
        </w:r>
      </w:smartTag>
      <w:r w:rsidR="006429BA">
        <w:t xml:space="preserve"> Cos (Southern Mountain Counties) Area, CA</w:t>
      </w:r>
    </w:p>
    <w:p w:rsidR="006429BA" w:rsidRDefault="00821502" w:rsidP="006429BA">
      <w:pPr>
        <w:pStyle w:val="HTMLPreformatted"/>
        <w:outlineLvl w:val="0"/>
      </w:pPr>
      <w:r>
        <w:t xml:space="preserve">  </w:t>
      </w:r>
      <w:r w:rsidR="006429BA">
        <w:t>Nevada County (Western part) Area, CA</w:t>
      </w:r>
    </w:p>
    <w:p w:rsidR="006429BA" w:rsidRDefault="00821502" w:rsidP="006429BA">
      <w:pPr>
        <w:pStyle w:val="HTMLPreformatted"/>
        <w:outlineLvl w:val="0"/>
      </w:pPr>
      <w:r>
        <w:t xml:space="preserve">  </w:t>
      </w:r>
      <w:proofErr w:type="gramStart"/>
      <w:r w:rsidR="006429BA">
        <w:t>New York-N.</w:t>
      </w:r>
      <w:proofErr w:type="gramEnd"/>
      <w:r w:rsidR="006429BA">
        <w:t xml:space="preserve"> New Jersey-Long Island Area, CT-NJ-NY</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Philadelphia-Wilmington-Atlantic City Area, DE-MD-NJ-PA</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Pittsburgh-Beaver Valley Area, PA</w:t>
      </w:r>
      <w:r>
        <w:t xml:space="preserve"> </w:t>
      </w:r>
      <w:r w:rsidR="006429BA">
        <w:t>[</w:t>
      </w:r>
      <w:r w:rsidR="006429BA">
        <w:rPr>
          <w:b/>
          <w:bCs/>
          <w:color w:val="008000"/>
        </w:rPr>
        <w:t>m</w:t>
      </w:r>
      <w:r w:rsidR="006429BA">
        <w:rPr>
          <w:b/>
          <w:bCs/>
          <w:color w:val="0000FF"/>
        </w:rPr>
        <w:t>*</w:t>
      </w:r>
      <w:r w:rsidR="006429BA">
        <w:t>]</w:t>
      </w:r>
    </w:p>
    <w:p w:rsidR="006429BA" w:rsidRDefault="00821502" w:rsidP="006429BA">
      <w:pPr>
        <w:pStyle w:val="HTMLPreformatted"/>
        <w:outlineLvl w:val="0"/>
      </w:pPr>
      <w:r>
        <w:t xml:space="preserve">  </w:t>
      </w:r>
      <w:r w:rsidR="006429BA">
        <w:t>Poughkeepsie Area, NY</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t xml:space="preserve">  </w:t>
      </w:r>
      <w:r w:rsidR="006429BA">
        <w:t>Providence (All RI), RI</w:t>
      </w:r>
      <w:r>
        <w:t xml:space="preserve"> </w:t>
      </w:r>
      <w:r w:rsidR="006429BA">
        <w:t>[</w:t>
      </w:r>
      <w:r w:rsidR="006429BA">
        <w:rPr>
          <w:b/>
          <w:bCs/>
          <w:color w:val="FF0000"/>
        </w:rPr>
        <w:t>n</w:t>
      </w:r>
      <w:r w:rsidR="006429BA">
        <w:rPr>
          <w:b/>
          <w:bCs/>
          <w:color w:val="0000FF"/>
        </w:rPr>
        <w:t>*</w:t>
      </w:r>
      <w:r w:rsidR="006429BA">
        <w:t>]</w:t>
      </w:r>
    </w:p>
    <w:p w:rsidR="006429BA" w:rsidRDefault="00821502" w:rsidP="006429BA">
      <w:pPr>
        <w:pStyle w:val="HTMLPreformatted"/>
        <w:outlineLvl w:val="0"/>
      </w:pPr>
      <w:r>
        <w:lastRenderedPageBreak/>
        <w:t xml:space="preserve">  </w:t>
      </w:r>
      <w:r w:rsidR="006429BA">
        <w:t>Sheboygan, WI</w:t>
      </w:r>
      <w:r>
        <w:t xml:space="preserve"> </w:t>
      </w:r>
      <w:r w:rsidR="006429BA">
        <w:t>[</w:t>
      </w:r>
      <w:r w:rsidR="006429BA">
        <w:rPr>
          <w:b/>
          <w:bCs/>
          <w:color w:val="008000"/>
        </w:rPr>
        <w:t>m</w:t>
      </w:r>
      <w:r w:rsidR="006429BA">
        <w:rPr>
          <w:b/>
          <w:bCs/>
          <w:color w:val="0000FF"/>
        </w:rPr>
        <w:t>*</w:t>
      </w:r>
      <w:r w:rsidR="006429BA">
        <w:t>]</w:t>
      </w:r>
    </w:p>
    <w:p w:rsidR="00AF3B4B" w:rsidRDefault="00821502" w:rsidP="00AF3B4B">
      <w:pPr>
        <w:pStyle w:val="HTMLPreformatted"/>
        <w:outlineLvl w:val="0"/>
      </w:pPr>
      <w:r>
        <w:t xml:space="preserve">  </w:t>
      </w:r>
      <w:r w:rsidR="00AF3B4B">
        <w:t>Springfield (W. Mass) Area, MA</w:t>
      </w:r>
      <w:r>
        <w:t xml:space="preserve"> </w:t>
      </w:r>
      <w:r w:rsidR="00AF3B4B">
        <w:t>[</w:t>
      </w:r>
      <w:r w:rsidR="00AF3B4B">
        <w:rPr>
          <w:b/>
          <w:bCs/>
          <w:color w:val="FF0000"/>
        </w:rPr>
        <w:t>n</w:t>
      </w:r>
      <w:r w:rsidR="00AF3B4B">
        <w:rPr>
          <w:b/>
          <w:bCs/>
          <w:color w:val="0000FF"/>
        </w:rPr>
        <w:t>*</w:t>
      </w:r>
      <w:r w:rsidR="00AF3B4B">
        <w:t>]</w:t>
      </w:r>
    </w:p>
    <w:p w:rsidR="00AF3B4B" w:rsidRDefault="00821502" w:rsidP="00AF3B4B">
      <w:pPr>
        <w:pStyle w:val="HTMLPreformatted"/>
        <w:outlineLvl w:val="0"/>
      </w:pPr>
      <w:r>
        <w:t xml:space="preserve">  </w:t>
      </w:r>
      <w:r w:rsidR="00AF3B4B">
        <w:t>St. Louis Area, IL-MO</w:t>
      </w:r>
      <w:r>
        <w:t xml:space="preserve"> </w:t>
      </w:r>
      <w:r w:rsidR="00AF3B4B">
        <w:t>[</w:t>
      </w:r>
      <w:r w:rsidR="00AF3B4B">
        <w:rPr>
          <w:b/>
          <w:bCs/>
          <w:color w:val="008000"/>
        </w:rPr>
        <w:t>m</w:t>
      </w:r>
      <w:r w:rsidR="00AF3B4B">
        <w:rPr>
          <w:b/>
          <w:bCs/>
          <w:color w:val="0000FF"/>
        </w:rPr>
        <w:t>*</w:t>
      </w:r>
      <w:r w:rsidR="00AF3B4B">
        <w:t>]</w:t>
      </w:r>
    </w:p>
    <w:p w:rsidR="00AF3B4B" w:rsidRDefault="00821502" w:rsidP="00AF3B4B">
      <w:pPr>
        <w:pStyle w:val="HTMLPreformatted"/>
        <w:outlineLvl w:val="0"/>
      </w:pPr>
      <w:r>
        <w:t xml:space="preserve">  </w:t>
      </w:r>
      <w:r w:rsidR="00AF3B4B">
        <w:t>Washington Area, DC-MD-VA</w:t>
      </w:r>
      <w:r>
        <w:t xml:space="preserve"> </w:t>
      </w:r>
      <w:r w:rsidR="00AF3B4B">
        <w:t>[</w:t>
      </w:r>
      <w:r w:rsidR="00AF3B4B">
        <w:rPr>
          <w:b/>
          <w:bCs/>
          <w:color w:val="FF0000"/>
        </w:rPr>
        <w:t>n</w:t>
      </w:r>
      <w:r w:rsidR="00AF3B4B">
        <w:rPr>
          <w:b/>
          <w:bCs/>
          <w:color w:val="0000FF"/>
        </w:rPr>
        <w:t>*</w:t>
      </w:r>
      <w:r w:rsidR="00AF3B4B">
        <w:t>]</w:t>
      </w:r>
    </w:p>
    <w:p w:rsidR="009C0109" w:rsidRDefault="009C0109" w:rsidP="00756E81">
      <w:pPr>
        <w:pStyle w:val="HTMLPreformatted"/>
        <w:outlineLvl w:val="0"/>
      </w:pPr>
    </w:p>
    <w:p w:rsidR="009C0109" w:rsidRPr="002C32CC" w:rsidRDefault="009C0109" w:rsidP="00756E81">
      <w:pPr>
        <w:pStyle w:val="HTMLPreformatted"/>
        <w:outlineLvl w:val="0"/>
        <w:rPr>
          <w:b/>
        </w:rPr>
      </w:pPr>
      <w:r w:rsidRPr="002C32CC">
        <w:rPr>
          <w:b/>
        </w:rPr>
        <w:t>MARGINAL</w:t>
      </w:r>
      <w:r w:rsidR="00821502">
        <w:rPr>
          <w:b/>
          <w:bCs/>
        </w:rPr>
        <w:t xml:space="preserve"> </w:t>
      </w:r>
      <w:r w:rsidR="00741AEF" w:rsidRPr="002C32CC">
        <w:rPr>
          <w:b/>
        </w:rPr>
        <w:t>(June 2007)</w:t>
      </w:r>
    </w:p>
    <w:p w:rsidR="00AF3B4B" w:rsidRDefault="00821502" w:rsidP="00756E81">
      <w:pPr>
        <w:pStyle w:val="HTMLPreformatted"/>
      </w:pPr>
      <w:r>
        <w:t xml:space="preserve">  </w:t>
      </w:r>
      <w:r w:rsidR="00AF3B4B">
        <w:t>Albany-Schenectady-Troy, NY</w:t>
      </w:r>
    </w:p>
    <w:p w:rsidR="00AF3B4B" w:rsidRDefault="00821502" w:rsidP="00AF3B4B">
      <w:pPr>
        <w:pStyle w:val="HTMLPreformatted"/>
        <w:outlineLvl w:val="0"/>
      </w:pPr>
      <w:r>
        <w:t xml:space="preserve">  </w:t>
      </w:r>
      <w:r w:rsidR="00AF3B4B">
        <w:t>Chico Area, CA</w:t>
      </w:r>
      <w:r>
        <w:t xml:space="preserve"> </w:t>
      </w:r>
      <w:r w:rsidR="00AF3B4B">
        <w:t>[</w:t>
      </w:r>
      <w:r w:rsidR="00AF3B4B">
        <w:rPr>
          <w:b/>
          <w:bCs/>
          <w:color w:val="FF0000"/>
        </w:rPr>
        <w:t>n</w:t>
      </w:r>
      <w:r w:rsidR="00AF3B4B">
        <w:rPr>
          <w:b/>
          <w:bCs/>
          <w:color w:val="0000FF"/>
        </w:rPr>
        <w:t>*</w:t>
      </w:r>
      <w:r w:rsidR="00AF3B4B">
        <w:t>]</w:t>
      </w:r>
    </w:p>
    <w:p w:rsidR="00AF3B4B" w:rsidRDefault="00821502" w:rsidP="00AF3B4B">
      <w:pPr>
        <w:pStyle w:val="HTMLPreformatted"/>
        <w:outlineLvl w:val="0"/>
      </w:pPr>
      <w:r>
        <w:t xml:space="preserve">  </w:t>
      </w:r>
      <w:proofErr w:type="gramStart"/>
      <w:r w:rsidR="00AF3B4B">
        <w:t>Denver-Boulder-Greeley-Ft. Collins-Love.</w:t>
      </w:r>
      <w:proofErr w:type="gramEnd"/>
      <w:r w:rsidR="00AF3B4B">
        <w:t xml:space="preserve"> Area, CO</w:t>
      </w:r>
    </w:p>
    <w:p w:rsidR="00AF3B4B" w:rsidRDefault="00821502" w:rsidP="00AF3B4B">
      <w:pPr>
        <w:pStyle w:val="HTMLPreformatted"/>
        <w:outlineLvl w:val="0"/>
      </w:pPr>
      <w:r>
        <w:t xml:space="preserve">  </w:t>
      </w:r>
      <w:r w:rsidR="00AF3B4B">
        <w:t>Essex County (</w:t>
      </w:r>
      <w:proofErr w:type="spellStart"/>
      <w:r w:rsidR="00AF3B4B">
        <w:t>Whitefact</w:t>
      </w:r>
      <w:proofErr w:type="spellEnd"/>
      <w:r w:rsidR="00AF3B4B">
        <w:t xml:space="preserve"> Mtn.) Area, NY</w:t>
      </w:r>
      <w:r>
        <w:t xml:space="preserve"> </w:t>
      </w:r>
      <w:r w:rsidR="00AF3B4B">
        <w:t>[</w:t>
      </w:r>
      <w:r w:rsidR="00AF3B4B">
        <w:rPr>
          <w:b/>
          <w:bCs/>
          <w:color w:val="FF0000"/>
        </w:rPr>
        <w:t>n</w:t>
      </w:r>
      <w:r w:rsidR="00AF3B4B">
        <w:rPr>
          <w:b/>
          <w:bCs/>
          <w:color w:val="0000FF"/>
        </w:rPr>
        <w:t>*</w:t>
      </w:r>
      <w:r w:rsidR="00AF3B4B">
        <w:t>]</w:t>
      </w:r>
    </w:p>
    <w:p w:rsidR="00AF3B4B" w:rsidRDefault="00821502" w:rsidP="00AF3B4B">
      <w:pPr>
        <w:pStyle w:val="HTMLPreformatted"/>
        <w:outlineLvl w:val="0"/>
      </w:pPr>
      <w:r>
        <w:t xml:space="preserve">  </w:t>
      </w:r>
      <w:r w:rsidR="00AF3B4B">
        <w:t>Phoenix-Mesa Area, AZ</w:t>
      </w:r>
      <w:r>
        <w:t xml:space="preserve"> </w:t>
      </w:r>
      <w:r w:rsidR="00AF3B4B">
        <w:t>[</w:t>
      </w:r>
      <w:r w:rsidR="00AF3B4B">
        <w:rPr>
          <w:b/>
          <w:bCs/>
          <w:color w:val="FF0000"/>
        </w:rPr>
        <w:t>m</w:t>
      </w:r>
      <w:r w:rsidR="00AF3B4B">
        <w:rPr>
          <w:b/>
          <w:bCs/>
          <w:color w:val="0000FF"/>
        </w:rPr>
        <w:t>*</w:t>
      </w:r>
      <w:r w:rsidR="00AF3B4B">
        <w:t>]</w:t>
      </w:r>
    </w:p>
    <w:p w:rsidR="00AF3B4B" w:rsidRDefault="00821502" w:rsidP="00AF3B4B">
      <w:pPr>
        <w:pStyle w:val="HTMLPreformatted"/>
        <w:outlineLvl w:val="0"/>
      </w:pPr>
      <w:r>
        <w:t xml:space="preserve">  </w:t>
      </w:r>
      <w:r w:rsidR="00AF3B4B">
        <w:t>Rochester, NY</w:t>
      </w:r>
      <w:r>
        <w:t xml:space="preserve"> </w:t>
      </w:r>
      <w:r w:rsidR="00AF3B4B">
        <w:t>[</w:t>
      </w:r>
      <w:r w:rsidR="00AF3B4B">
        <w:rPr>
          <w:b/>
          <w:bCs/>
          <w:color w:val="FF0000"/>
        </w:rPr>
        <w:t>m</w:t>
      </w:r>
      <w:r w:rsidR="00AF3B4B">
        <w:rPr>
          <w:b/>
          <w:bCs/>
          <w:color w:val="0000FF"/>
        </w:rPr>
        <w:t>*</w:t>
      </w:r>
      <w:r w:rsidR="00AF3B4B">
        <w:t>]</w:t>
      </w:r>
    </w:p>
    <w:p w:rsidR="00CB3528" w:rsidRDefault="00821502" w:rsidP="00756E81">
      <w:pPr>
        <w:pStyle w:val="HTMLPreformatted"/>
      </w:pPr>
      <w:r>
        <w:t xml:space="preserve">  </w:t>
      </w:r>
      <w:r w:rsidR="009C0109">
        <w:t>San Francisco Bay Area, CA</w:t>
      </w:r>
      <w:r>
        <w:t xml:space="preserve"> </w:t>
      </w:r>
      <w:r w:rsidR="00F51102">
        <w:t>[</w:t>
      </w:r>
      <w:r w:rsidR="00F51102">
        <w:rPr>
          <w:b/>
          <w:bCs/>
          <w:color w:val="FF0000"/>
        </w:rPr>
        <w:t>n</w:t>
      </w:r>
      <w:r w:rsidR="00F51102">
        <w:rPr>
          <w:b/>
          <w:bCs/>
          <w:color w:val="0000FF"/>
        </w:rPr>
        <w:t>*</w:t>
      </w:r>
      <w:r w:rsidR="00F51102">
        <w:t>]</w:t>
      </w:r>
    </w:p>
    <w:p w:rsidR="00AF3B4B" w:rsidRDefault="00821502" w:rsidP="00AF3B4B">
      <w:pPr>
        <w:pStyle w:val="HTMLPreformatted"/>
        <w:outlineLvl w:val="0"/>
      </w:pPr>
      <w:r>
        <w:t xml:space="preserve">  </w:t>
      </w:r>
      <w:r w:rsidR="00AF3B4B">
        <w:t>Sutter County (part) (Sutter Buttes) Area, CA</w:t>
      </w:r>
      <w:r>
        <w:t xml:space="preserve"> </w:t>
      </w:r>
      <w:r w:rsidR="00AF3B4B">
        <w:t>[</w:t>
      </w:r>
      <w:r w:rsidR="00AF3B4B">
        <w:rPr>
          <w:b/>
          <w:bCs/>
          <w:color w:val="FF0000"/>
        </w:rPr>
        <w:t>n</w:t>
      </w:r>
      <w:r w:rsidR="00AF3B4B">
        <w:rPr>
          <w:b/>
          <w:bCs/>
          <w:color w:val="0000FF"/>
        </w:rPr>
        <w:t>*</w:t>
      </w:r>
      <w:r w:rsidR="00AF3B4B">
        <w:t xml:space="preserve">] </w:t>
      </w:r>
    </w:p>
    <w:p w:rsidR="00F51102" w:rsidRDefault="00F51102" w:rsidP="00756E81">
      <w:pPr>
        <w:pStyle w:val="HTMLPreformatted"/>
      </w:pPr>
    </w:p>
    <w:p w:rsidR="00F13A11" w:rsidRPr="002A7DB5" w:rsidRDefault="00F13A11" w:rsidP="00756E81">
      <w:pPr>
        <w:pStyle w:val="HTMLPreformatted"/>
      </w:pPr>
    </w:p>
    <w:p w:rsidR="00CB3528" w:rsidRPr="00BD10CD" w:rsidRDefault="00CB3528" w:rsidP="00756E81">
      <w:pPr>
        <w:pStyle w:val="HTMLPreformatted"/>
        <w:outlineLvl w:val="0"/>
        <w:rPr>
          <w:rFonts w:ascii="Times New Roman" w:hAnsi="Times New Roman" w:cs="Times New Roman"/>
          <w:sz w:val="24"/>
          <w:szCs w:val="24"/>
        </w:rPr>
      </w:pPr>
      <w:r>
        <w:tab/>
      </w:r>
      <w:r w:rsidRPr="00BD10CD">
        <w:rPr>
          <w:rFonts w:ascii="Times New Roman" w:hAnsi="Times New Roman" w:cs="Times New Roman"/>
          <w:sz w:val="24"/>
          <w:szCs w:val="24"/>
        </w:rPr>
        <w:t xml:space="preserve">As indicated in Table </w:t>
      </w:r>
      <w:r w:rsidR="0051032A">
        <w:rPr>
          <w:rFonts w:ascii="Times New Roman" w:hAnsi="Times New Roman" w:cs="Times New Roman"/>
          <w:sz w:val="24"/>
          <w:szCs w:val="24"/>
        </w:rPr>
        <w:t>3</w:t>
      </w:r>
      <w:r w:rsidRPr="00BD10CD">
        <w:rPr>
          <w:rFonts w:ascii="Times New Roman" w:hAnsi="Times New Roman" w:cs="Times New Roman"/>
          <w:sz w:val="24"/>
          <w:szCs w:val="24"/>
        </w:rPr>
        <w:t xml:space="preserve">, </w:t>
      </w:r>
      <w:r w:rsidR="00F64829">
        <w:rPr>
          <w:rFonts w:ascii="Times New Roman" w:hAnsi="Times New Roman" w:cs="Times New Roman"/>
          <w:sz w:val="24"/>
          <w:szCs w:val="24"/>
        </w:rPr>
        <w:t xml:space="preserve">the </w:t>
      </w:r>
      <w:r w:rsidRPr="00BD10CD">
        <w:rPr>
          <w:rFonts w:ascii="Times New Roman" w:hAnsi="Times New Roman" w:cs="Times New Roman"/>
          <w:sz w:val="24"/>
          <w:szCs w:val="24"/>
        </w:rPr>
        <w:t xml:space="preserve">non-attainment area segments </w:t>
      </w:r>
      <w:r w:rsidR="00F64829">
        <w:rPr>
          <w:rFonts w:ascii="Times New Roman" w:hAnsi="Times New Roman" w:cs="Times New Roman"/>
          <w:sz w:val="24"/>
          <w:szCs w:val="24"/>
        </w:rPr>
        <w:t xml:space="preserve">are </w:t>
      </w:r>
      <w:r w:rsidRPr="00BD10CD">
        <w:rPr>
          <w:rFonts w:ascii="Times New Roman" w:hAnsi="Times New Roman" w:cs="Times New Roman"/>
          <w:sz w:val="24"/>
          <w:szCs w:val="24"/>
        </w:rPr>
        <w:t xml:space="preserve">in </w:t>
      </w:r>
      <w:r w:rsidR="0051032A">
        <w:rPr>
          <w:rFonts w:ascii="Times New Roman" w:hAnsi="Times New Roman" w:cs="Times New Roman"/>
          <w:sz w:val="24"/>
          <w:szCs w:val="24"/>
        </w:rPr>
        <w:t>three</w:t>
      </w:r>
      <w:r w:rsidRPr="00BD10CD">
        <w:rPr>
          <w:rFonts w:ascii="Times New Roman" w:hAnsi="Times New Roman" w:cs="Times New Roman"/>
          <w:sz w:val="24"/>
          <w:szCs w:val="24"/>
        </w:rPr>
        <w:t xml:space="preserve"> state</w:t>
      </w:r>
      <w:r w:rsidR="0051032A">
        <w:rPr>
          <w:rFonts w:ascii="Times New Roman" w:hAnsi="Times New Roman" w:cs="Times New Roman"/>
          <w:sz w:val="24"/>
          <w:szCs w:val="24"/>
        </w:rPr>
        <w:t>s</w:t>
      </w:r>
      <w:r w:rsidRPr="00BD10CD">
        <w:rPr>
          <w:rFonts w:ascii="Times New Roman" w:hAnsi="Times New Roman" w:cs="Times New Roman"/>
          <w:sz w:val="24"/>
          <w:szCs w:val="24"/>
        </w:rPr>
        <w:t xml:space="preserve">. </w:t>
      </w:r>
      <w:r w:rsidR="00F64829">
        <w:rPr>
          <w:rFonts w:ascii="Times New Roman" w:hAnsi="Times New Roman" w:cs="Times New Roman"/>
          <w:sz w:val="24"/>
          <w:szCs w:val="24"/>
        </w:rPr>
        <w:t>Furthermore, these non-at</w:t>
      </w:r>
      <w:r w:rsidR="0051032A">
        <w:rPr>
          <w:rFonts w:ascii="Times New Roman" w:hAnsi="Times New Roman" w:cs="Times New Roman"/>
          <w:sz w:val="24"/>
          <w:szCs w:val="24"/>
        </w:rPr>
        <w:t>t</w:t>
      </w:r>
      <w:r w:rsidR="00F64829">
        <w:rPr>
          <w:rFonts w:ascii="Times New Roman" w:hAnsi="Times New Roman" w:cs="Times New Roman"/>
          <w:sz w:val="24"/>
          <w:szCs w:val="24"/>
        </w:rPr>
        <w:t xml:space="preserve">ainment areas are contained </w:t>
      </w:r>
      <w:r w:rsidR="00842E43">
        <w:rPr>
          <w:rFonts w:ascii="Times New Roman" w:hAnsi="Times New Roman" w:cs="Times New Roman"/>
          <w:sz w:val="24"/>
          <w:szCs w:val="24"/>
        </w:rPr>
        <w:t>with</w:t>
      </w:r>
      <w:r w:rsidR="00F64829">
        <w:rPr>
          <w:rFonts w:ascii="Times New Roman" w:hAnsi="Times New Roman" w:cs="Times New Roman"/>
          <w:sz w:val="24"/>
          <w:szCs w:val="24"/>
        </w:rPr>
        <w:t xml:space="preserve">in </w:t>
      </w:r>
      <w:r w:rsidR="00842E43">
        <w:rPr>
          <w:rFonts w:ascii="Times New Roman" w:hAnsi="Times New Roman" w:cs="Times New Roman"/>
          <w:sz w:val="24"/>
          <w:szCs w:val="24"/>
        </w:rPr>
        <w:t>respective</w:t>
      </w:r>
      <w:r w:rsidR="00F64829">
        <w:rPr>
          <w:rFonts w:ascii="Times New Roman" w:hAnsi="Times New Roman" w:cs="Times New Roman"/>
          <w:sz w:val="24"/>
          <w:szCs w:val="24"/>
        </w:rPr>
        <w:t xml:space="preserve"> EPA Region</w:t>
      </w:r>
      <w:r w:rsidR="00842E43">
        <w:rPr>
          <w:rFonts w:ascii="Times New Roman" w:hAnsi="Times New Roman" w:cs="Times New Roman"/>
          <w:sz w:val="24"/>
          <w:szCs w:val="24"/>
        </w:rPr>
        <w:t>s</w:t>
      </w:r>
      <w:r w:rsidR="00F64829">
        <w:rPr>
          <w:rFonts w:ascii="Times New Roman" w:hAnsi="Times New Roman" w:cs="Times New Roman"/>
          <w:sz w:val="24"/>
          <w:szCs w:val="24"/>
        </w:rPr>
        <w:t xml:space="preserve">, namely, Region </w:t>
      </w:r>
      <w:r w:rsidR="0051032A">
        <w:rPr>
          <w:rFonts w:ascii="Times New Roman" w:hAnsi="Times New Roman" w:cs="Times New Roman"/>
          <w:sz w:val="24"/>
          <w:szCs w:val="24"/>
        </w:rPr>
        <w:t xml:space="preserve">3, 6, and </w:t>
      </w:r>
      <w:r w:rsidR="00F64829">
        <w:rPr>
          <w:rFonts w:ascii="Times New Roman" w:hAnsi="Times New Roman" w:cs="Times New Roman"/>
          <w:sz w:val="24"/>
          <w:szCs w:val="24"/>
        </w:rPr>
        <w:t>9</w:t>
      </w:r>
      <w:r w:rsidR="00842E43">
        <w:rPr>
          <w:rFonts w:ascii="Times New Roman" w:hAnsi="Times New Roman" w:cs="Times New Roman"/>
          <w:sz w:val="24"/>
          <w:szCs w:val="24"/>
        </w:rPr>
        <w:t xml:space="preserve">, without encroaching into other </w:t>
      </w:r>
      <w:r w:rsidR="00597B08">
        <w:rPr>
          <w:rFonts w:ascii="Times New Roman" w:hAnsi="Times New Roman" w:cs="Times New Roman"/>
          <w:sz w:val="24"/>
          <w:szCs w:val="24"/>
        </w:rPr>
        <w:t>R</w:t>
      </w:r>
      <w:r w:rsidR="00842E43">
        <w:rPr>
          <w:rFonts w:ascii="Times New Roman" w:hAnsi="Times New Roman" w:cs="Times New Roman"/>
          <w:sz w:val="24"/>
          <w:szCs w:val="24"/>
        </w:rPr>
        <w:t>egion</w:t>
      </w:r>
      <w:r w:rsidR="00597B08">
        <w:rPr>
          <w:rFonts w:ascii="Times New Roman" w:hAnsi="Times New Roman" w:cs="Times New Roman"/>
          <w:sz w:val="24"/>
          <w:szCs w:val="24"/>
        </w:rPr>
        <w:t>s</w:t>
      </w:r>
      <w:r w:rsidR="00F64829">
        <w:rPr>
          <w:rFonts w:ascii="Times New Roman" w:hAnsi="Times New Roman" w:cs="Times New Roman"/>
          <w:sz w:val="24"/>
          <w:szCs w:val="24"/>
        </w:rPr>
        <w:t xml:space="preserve">. This would not increase the administrative burden of the RACT SIP submission. </w:t>
      </w:r>
    </w:p>
    <w:p w:rsidR="00CB3528" w:rsidRPr="00BD10CD" w:rsidRDefault="00CB3528" w:rsidP="00756E81"/>
    <w:p w:rsidR="00CB3528" w:rsidRDefault="00CB3528" w:rsidP="00756E81">
      <w:r>
        <w:tab/>
        <w:t>The numbers of non-attainment areas or parts of areas in each state and the associated EPA Regional Off</w:t>
      </w:r>
      <w:r w:rsidR="00BD10CD">
        <w:t>ice are presented in Table 2. There are 3</w:t>
      </w:r>
      <w:r w:rsidR="00092485">
        <w:t>8</w:t>
      </w:r>
      <w:r w:rsidR="00BD10CD">
        <w:t xml:space="preserve"> non-attainment areas </w:t>
      </w:r>
      <w:r w:rsidR="00092485">
        <w:t>with some areas</w:t>
      </w:r>
      <w:r w:rsidR="00CC2737">
        <w:t xml:space="preserve"> overlap</w:t>
      </w:r>
      <w:r w:rsidR="00092485">
        <w:t>ping</w:t>
      </w:r>
      <w:r w:rsidR="00CC2737">
        <w:t xml:space="preserve"> into more than one state which, if counted individually, would </w:t>
      </w:r>
      <w:r w:rsidR="00BD10CD">
        <w:t xml:space="preserve">result in </w:t>
      </w:r>
      <w:r w:rsidR="00442CCD">
        <w:t>4</w:t>
      </w:r>
      <w:r w:rsidR="00092485">
        <w:t>5</w:t>
      </w:r>
      <w:r w:rsidR="00BD10CD">
        <w:t xml:space="preserve"> total areas</w:t>
      </w:r>
      <w:r w:rsidR="0023654B">
        <w:t xml:space="preserve"> identified by the state where located</w:t>
      </w:r>
      <w:r w:rsidR="00BD10CD">
        <w:t xml:space="preserve">. </w:t>
      </w:r>
      <w:r>
        <w:t>These</w:t>
      </w:r>
      <w:r w:rsidR="00092485">
        <w:t xml:space="preserve"> numbers</w:t>
      </w:r>
      <w:r>
        <w:t xml:space="preserve"> were derived from the </w:t>
      </w:r>
      <w:r w:rsidR="00A64258">
        <w:t>J</w:t>
      </w:r>
      <w:r w:rsidR="00F01EB8">
        <w:t>ul</w:t>
      </w:r>
      <w:r w:rsidR="00A64258">
        <w:t xml:space="preserve">y </w:t>
      </w:r>
      <w:r w:rsidR="006A3291">
        <w:t>31</w:t>
      </w:r>
      <w:r w:rsidR="00A64258">
        <w:t>, 20</w:t>
      </w:r>
      <w:r w:rsidR="00F01EB8">
        <w:t>13</w:t>
      </w:r>
      <w:r w:rsidR="006A3291">
        <w:t xml:space="preserve"> version of the EPA Green Book</w:t>
      </w:r>
      <w:r>
        <w:t xml:space="preserve"> information at: </w:t>
      </w:r>
      <w:hyperlink r:id="rId11" w:history="1">
        <w:r>
          <w:rPr>
            <w:rStyle w:val="Hyperlink"/>
          </w:rPr>
          <w:t>http://www.epa.gov/air/oaqps/greenbk/gncs.html</w:t>
        </w:r>
      </w:hyperlink>
      <w:r>
        <w:t xml:space="preserve">. </w:t>
      </w:r>
    </w:p>
    <w:p w:rsidR="00CB3528" w:rsidRDefault="00CB3528" w:rsidP="00756E81"/>
    <w:p w:rsidR="00CB3528" w:rsidRDefault="00CB3528" w:rsidP="00F13A11">
      <w:pPr>
        <w:rPr>
          <w:b/>
          <w:sz w:val="20"/>
          <w:szCs w:val="20"/>
        </w:rPr>
      </w:pPr>
      <w:proofErr w:type="gramStart"/>
      <w:r>
        <w:rPr>
          <w:b/>
          <w:sz w:val="20"/>
          <w:szCs w:val="20"/>
        </w:rPr>
        <w:t>Table 2.</w:t>
      </w:r>
      <w:proofErr w:type="gramEnd"/>
      <w:r w:rsidR="00821502">
        <w:rPr>
          <w:b/>
          <w:sz w:val="20"/>
          <w:szCs w:val="20"/>
        </w:rPr>
        <w:t xml:space="preserve"> </w:t>
      </w:r>
      <w:r>
        <w:rPr>
          <w:b/>
          <w:sz w:val="20"/>
          <w:szCs w:val="20"/>
        </w:rPr>
        <w:t>The Numbers of Non-Attainment Areas or Parts of Areas in Each State</w:t>
      </w:r>
    </w:p>
    <w:p w:rsidR="00CB3528" w:rsidRDefault="00CB3528" w:rsidP="00756E81">
      <w:pPr>
        <w:rPr>
          <w:b/>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080"/>
        <w:gridCol w:w="990"/>
        <w:gridCol w:w="1080"/>
        <w:gridCol w:w="1170"/>
        <w:gridCol w:w="1080"/>
        <w:gridCol w:w="1080"/>
        <w:gridCol w:w="1170"/>
      </w:tblGrid>
      <w:tr w:rsidR="000372BF" w:rsidRPr="000D1AA0" w:rsidTr="000372BF">
        <w:tc>
          <w:tcPr>
            <w:tcW w:w="1548" w:type="dxa"/>
          </w:tcPr>
          <w:p w:rsidR="000372BF" w:rsidRPr="00AF3B4B" w:rsidRDefault="000372BF" w:rsidP="00F64829">
            <w:pPr>
              <w:rPr>
                <w:b/>
                <w:sz w:val="19"/>
                <w:szCs w:val="19"/>
                <w:u w:val="single"/>
              </w:rPr>
            </w:pPr>
            <w:r>
              <w:rPr>
                <w:b/>
                <w:sz w:val="19"/>
                <w:szCs w:val="19"/>
                <w:u w:val="single"/>
              </w:rPr>
              <w:t xml:space="preserve">Area and </w:t>
            </w:r>
            <w:r w:rsidRPr="00AF3B4B">
              <w:rPr>
                <w:b/>
                <w:sz w:val="19"/>
                <w:szCs w:val="19"/>
                <w:u w:val="single"/>
              </w:rPr>
              <w:t>State</w:t>
            </w:r>
          </w:p>
        </w:tc>
        <w:tc>
          <w:tcPr>
            <w:tcW w:w="1080" w:type="dxa"/>
          </w:tcPr>
          <w:p w:rsidR="000372BF" w:rsidRPr="00AF3B4B" w:rsidRDefault="000372BF" w:rsidP="000F6A4C">
            <w:pPr>
              <w:rPr>
                <w:b/>
                <w:sz w:val="19"/>
                <w:szCs w:val="19"/>
                <w:u w:val="single"/>
              </w:rPr>
            </w:pPr>
            <w:r w:rsidRPr="00AF3B4B">
              <w:rPr>
                <w:b/>
                <w:sz w:val="19"/>
                <w:szCs w:val="19"/>
                <w:u w:val="single"/>
              </w:rPr>
              <w:t>No. of Areas or Parts of Areas</w:t>
            </w:r>
          </w:p>
        </w:tc>
        <w:tc>
          <w:tcPr>
            <w:tcW w:w="990" w:type="dxa"/>
          </w:tcPr>
          <w:p w:rsidR="000372BF" w:rsidRPr="00AF3B4B" w:rsidRDefault="000372BF" w:rsidP="000F6A4C">
            <w:pPr>
              <w:rPr>
                <w:b/>
                <w:sz w:val="19"/>
                <w:szCs w:val="19"/>
                <w:u w:val="single"/>
              </w:rPr>
            </w:pPr>
            <w:r w:rsidRPr="00AF3B4B">
              <w:rPr>
                <w:b/>
                <w:sz w:val="19"/>
                <w:szCs w:val="19"/>
                <w:u w:val="single"/>
              </w:rPr>
              <w:t>EPA Region</w:t>
            </w:r>
          </w:p>
        </w:tc>
        <w:tc>
          <w:tcPr>
            <w:tcW w:w="1080" w:type="dxa"/>
          </w:tcPr>
          <w:p w:rsidR="000372BF" w:rsidRPr="00AF3B4B" w:rsidRDefault="000372BF" w:rsidP="00A26988">
            <w:pPr>
              <w:rPr>
                <w:b/>
                <w:sz w:val="19"/>
                <w:szCs w:val="19"/>
                <w:u w:val="single"/>
              </w:rPr>
            </w:pPr>
            <w:r>
              <w:rPr>
                <w:b/>
                <w:sz w:val="19"/>
                <w:szCs w:val="19"/>
                <w:u w:val="single"/>
              </w:rPr>
              <w:t>No. of subpart 2 Marginal Areas</w:t>
            </w:r>
          </w:p>
        </w:tc>
        <w:tc>
          <w:tcPr>
            <w:tcW w:w="1170" w:type="dxa"/>
          </w:tcPr>
          <w:p w:rsidR="000372BF" w:rsidRPr="00AF3B4B" w:rsidRDefault="000372BF" w:rsidP="00A26988">
            <w:pPr>
              <w:rPr>
                <w:b/>
                <w:sz w:val="19"/>
                <w:szCs w:val="19"/>
                <w:u w:val="single"/>
              </w:rPr>
            </w:pPr>
            <w:r w:rsidRPr="00AF3B4B">
              <w:rPr>
                <w:b/>
                <w:sz w:val="19"/>
                <w:szCs w:val="19"/>
                <w:u w:val="single"/>
              </w:rPr>
              <w:t xml:space="preserve">No. of </w:t>
            </w:r>
            <w:r>
              <w:rPr>
                <w:b/>
                <w:sz w:val="19"/>
                <w:szCs w:val="19"/>
                <w:u w:val="single"/>
              </w:rPr>
              <w:t>s</w:t>
            </w:r>
            <w:r w:rsidRPr="00AF3B4B">
              <w:rPr>
                <w:b/>
                <w:sz w:val="19"/>
                <w:szCs w:val="19"/>
                <w:u w:val="single"/>
              </w:rPr>
              <w:t xml:space="preserve">ubpart 2 Moderate Areas </w:t>
            </w:r>
          </w:p>
        </w:tc>
        <w:tc>
          <w:tcPr>
            <w:tcW w:w="1080" w:type="dxa"/>
          </w:tcPr>
          <w:p w:rsidR="000372BF" w:rsidRPr="00AF3B4B" w:rsidRDefault="000372BF" w:rsidP="00A26988">
            <w:pPr>
              <w:rPr>
                <w:b/>
                <w:sz w:val="19"/>
                <w:szCs w:val="19"/>
                <w:u w:val="single"/>
              </w:rPr>
            </w:pPr>
            <w:r w:rsidRPr="00AF3B4B">
              <w:rPr>
                <w:b/>
                <w:sz w:val="19"/>
                <w:szCs w:val="19"/>
                <w:u w:val="single"/>
              </w:rPr>
              <w:t xml:space="preserve">No. of </w:t>
            </w:r>
            <w:r>
              <w:rPr>
                <w:b/>
                <w:sz w:val="19"/>
                <w:szCs w:val="19"/>
                <w:u w:val="single"/>
              </w:rPr>
              <w:t>s</w:t>
            </w:r>
            <w:r w:rsidRPr="00AF3B4B">
              <w:rPr>
                <w:b/>
                <w:sz w:val="19"/>
                <w:szCs w:val="19"/>
                <w:u w:val="single"/>
              </w:rPr>
              <w:t xml:space="preserve">ubpart 2 Serious Areas </w:t>
            </w:r>
          </w:p>
        </w:tc>
        <w:tc>
          <w:tcPr>
            <w:tcW w:w="1080" w:type="dxa"/>
          </w:tcPr>
          <w:p w:rsidR="000372BF" w:rsidRPr="00AF3B4B" w:rsidRDefault="000372BF" w:rsidP="00A26988">
            <w:pPr>
              <w:rPr>
                <w:b/>
                <w:sz w:val="19"/>
                <w:szCs w:val="19"/>
                <w:u w:val="single"/>
              </w:rPr>
            </w:pPr>
            <w:r w:rsidRPr="00AF3B4B">
              <w:rPr>
                <w:b/>
                <w:sz w:val="19"/>
                <w:szCs w:val="19"/>
                <w:u w:val="single"/>
              </w:rPr>
              <w:t xml:space="preserve">No. of </w:t>
            </w:r>
            <w:r>
              <w:rPr>
                <w:b/>
                <w:sz w:val="19"/>
                <w:szCs w:val="19"/>
                <w:u w:val="single"/>
              </w:rPr>
              <w:t>s</w:t>
            </w:r>
            <w:r w:rsidRPr="00AF3B4B">
              <w:rPr>
                <w:b/>
                <w:sz w:val="19"/>
                <w:szCs w:val="19"/>
                <w:u w:val="single"/>
              </w:rPr>
              <w:t xml:space="preserve">ubpart 2 Severe-15 Areas </w:t>
            </w:r>
          </w:p>
        </w:tc>
        <w:tc>
          <w:tcPr>
            <w:tcW w:w="1170" w:type="dxa"/>
          </w:tcPr>
          <w:p w:rsidR="000372BF" w:rsidRPr="00AF3B4B" w:rsidRDefault="000372BF" w:rsidP="00A26988">
            <w:pPr>
              <w:rPr>
                <w:b/>
                <w:sz w:val="19"/>
                <w:szCs w:val="19"/>
                <w:u w:val="single"/>
              </w:rPr>
            </w:pPr>
            <w:r w:rsidRPr="00AF3B4B">
              <w:rPr>
                <w:b/>
                <w:sz w:val="19"/>
                <w:szCs w:val="19"/>
                <w:u w:val="single"/>
              </w:rPr>
              <w:t xml:space="preserve">No. of </w:t>
            </w:r>
            <w:r>
              <w:rPr>
                <w:b/>
                <w:sz w:val="19"/>
                <w:szCs w:val="19"/>
                <w:u w:val="single"/>
              </w:rPr>
              <w:t>s</w:t>
            </w:r>
            <w:r w:rsidRPr="00AF3B4B">
              <w:rPr>
                <w:b/>
                <w:sz w:val="19"/>
                <w:szCs w:val="19"/>
                <w:u w:val="single"/>
              </w:rPr>
              <w:t>ubpart 2 Extreme Areas</w:t>
            </w:r>
          </w:p>
        </w:tc>
      </w:tr>
      <w:tr w:rsidR="000372BF" w:rsidRPr="000D1AA0" w:rsidTr="000372BF">
        <w:tc>
          <w:tcPr>
            <w:tcW w:w="1548" w:type="dxa"/>
          </w:tcPr>
          <w:p w:rsidR="000372BF" w:rsidRPr="000D1AA0" w:rsidRDefault="000372BF" w:rsidP="000F6A4C">
            <w:pPr>
              <w:rPr>
                <w:sz w:val="20"/>
                <w:szCs w:val="20"/>
              </w:rPr>
            </w:pPr>
            <w:r>
              <w:rPr>
                <w:sz w:val="20"/>
                <w:szCs w:val="20"/>
              </w:rPr>
              <w:t>Arizona</w:t>
            </w:r>
          </w:p>
        </w:tc>
        <w:tc>
          <w:tcPr>
            <w:tcW w:w="1080" w:type="dxa"/>
          </w:tcPr>
          <w:p w:rsidR="000372BF" w:rsidRDefault="000372BF" w:rsidP="00AF3B4B">
            <w:pPr>
              <w:rPr>
                <w:sz w:val="20"/>
                <w:szCs w:val="20"/>
              </w:rPr>
            </w:pPr>
            <w:r>
              <w:rPr>
                <w:sz w:val="20"/>
                <w:szCs w:val="20"/>
              </w:rPr>
              <w:t>1</w:t>
            </w:r>
          </w:p>
        </w:tc>
        <w:tc>
          <w:tcPr>
            <w:tcW w:w="990" w:type="dxa"/>
          </w:tcPr>
          <w:p w:rsidR="000372BF" w:rsidRPr="000D1AA0" w:rsidRDefault="000372BF" w:rsidP="000F6A4C">
            <w:pPr>
              <w:rPr>
                <w:sz w:val="20"/>
                <w:szCs w:val="20"/>
              </w:rPr>
            </w:pPr>
            <w:r>
              <w:rPr>
                <w:sz w:val="20"/>
                <w:szCs w:val="20"/>
              </w:rPr>
              <w:t>9</w:t>
            </w:r>
          </w:p>
        </w:tc>
        <w:tc>
          <w:tcPr>
            <w:tcW w:w="1080" w:type="dxa"/>
          </w:tcPr>
          <w:p w:rsidR="000372BF" w:rsidRDefault="000372BF" w:rsidP="00AF3B4B">
            <w:pPr>
              <w:rPr>
                <w:sz w:val="20"/>
                <w:szCs w:val="20"/>
              </w:rPr>
            </w:pPr>
            <w:r>
              <w:rPr>
                <w:sz w:val="20"/>
                <w:szCs w:val="20"/>
              </w:rPr>
              <w:t>1</w:t>
            </w:r>
          </w:p>
        </w:tc>
        <w:tc>
          <w:tcPr>
            <w:tcW w:w="1170" w:type="dxa"/>
          </w:tcPr>
          <w:p w:rsidR="000372BF" w:rsidRDefault="000372BF" w:rsidP="00AF3B4B">
            <w:pPr>
              <w:rPr>
                <w:sz w:val="20"/>
                <w:szCs w:val="20"/>
              </w:rPr>
            </w:pPr>
            <w:r>
              <w:rPr>
                <w:sz w:val="20"/>
                <w:szCs w:val="20"/>
              </w:rPr>
              <w:t>0</w:t>
            </w:r>
          </w:p>
        </w:tc>
        <w:tc>
          <w:tcPr>
            <w:tcW w:w="1080" w:type="dxa"/>
          </w:tcPr>
          <w:p w:rsidR="000372BF" w:rsidRDefault="000372BF" w:rsidP="00AF3B4B">
            <w:pPr>
              <w:rPr>
                <w:sz w:val="20"/>
                <w:szCs w:val="20"/>
              </w:rPr>
            </w:pPr>
            <w:r>
              <w:rPr>
                <w:sz w:val="20"/>
                <w:szCs w:val="20"/>
              </w:rPr>
              <w:t>0</w:t>
            </w:r>
          </w:p>
        </w:tc>
        <w:tc>
          <w:tcPr>
            <w:tcW w:w="1080" w:type="dxa"/>
          </w:tcPr>
          <w:p w:rsidR="000372BF" w:rsidRDefault="000372BF" w:rsidP="00AF3B4B">
            <w:pPr>
              <w:rPr>
                <w:sz w:val="20"/>
                <w:szCs w:val="20"/>
              </w:rPr>
            </w:pPr>
            <w:r>
              <w:rPr>
                <w:sz w:val="20"/>
                <w:szCs w:val="20"/>
              </w:rPr>
              <w:t>0</w:t>
            </w:r>
          </w:p>
        </w:tc>
        <w:tc>
          <w:tcPr>
            <w:tcW w:w="1170" w:type="dxa"/>
          </w:tcPr>
          <w:p w:rsidR="000372BF"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California</w:t>
            </w:r>
          </w:p>
        </w:tc>
        <w:tc>
          <w:tcPr>
            <w:tcW w:w="1080" w:type="dxa"/>
          </w:tcPr>
          <w:p w:rsidR="000372BF" w:rsidRPr="000D1AA0" w:rsidRDefault="000372BF" w:rsidP="000372BF">
            <w:pPr>
              <w:rPr>
                <w:sz w:val="20"/>
                <w:szCs w:val="20"/>
              </w:rPr>
            </w:pPr>
            <w:r>
              <w:rPr>
                <w:sz w:val="20"/>
                <w:szCs w:val="20"/>
              </w:rPr>
              <w:t>14</w:t>
            </w:r>
          </w:p>
        </w:tc>
        <w:tc>
          <w:tcPr>
            <w:tcW w:w="990" w:type="dxa"/>
          </w:tcPr>
          <w:p w:rsidR="000372BF" w:rsidRPr="000D1AA0" w:rsidRDefault="000372BF" w:rsidP="000F6A4C">
            <w:pPr>
              <w:rPr>
                <w:sz w:val="20"/>
                <w:szCs w:val="20"/>
              </w:rPr>
            </w:pPr>
            <w:r w:rsidRPr="000D1AA0">
              <w:rPr>
                <w:sz w:val="20"/>
                <w:szCs w:val="20"/>
              </w:rPr>
              <w:t>9</w:t>
            </w:r>
          </w:p>
        </w:tc>
        <w:tc>
          <w:tcPr>
            <w:tcW w:w="1080" w:type="dxa"/>
          </w:tcPr>
          <w:p w:rsidR="000372BF" w:rsidRDefault="000372BF" w:rsidP="00AF3B4B">
            <w:pPr>
              <w:rPr>
                <w:sz w:val="20"/>
                <w:szCs w:val="20"/>
              </w:rPr>
            </w:pPr>
            <w:r>
              <w:rPr>
                <w:sz w:val="20"/>
                <w:szCs w:val="20"/>
              </w:rPr>
              <w:t>3</w:t>
            </w:r>
          </w:p>
        </w:tc>
        <w:tc>
          <w:tcPr>
            <w:tcW w:w="1170" w:type="dxa"/>
          </w:tcPr>
          <w:p w:rsidR="000372BF" w:rsidRPr="000D1AA0" w:rsidRDefault="000372BF" w:rsidP="00AF3B4B">
            <w:pPr>
              <w:rPr>
                <w:sz w:val="20"/>
                <w:szCs w:val="20"/>
              </w:rPr>
            </w:pPr>
            <w:r>
              <w:rPr>
                <w:sz w:val="20"/>
                <w:szCs w:val="20"/>
              </w:rPr>
              <w:t>5</w:t>
            </w:r>
          </w:p>
        </w:tc>
        <w:tc>
          <w:tcPr>
            <w:tcW w:w="1080" w:type="dxa"/>
          </w:tcPr>
          <w:p w:rsidR="000372BF" w:rsidRPr="000D1AA0" w:rsidRDefault="000372BF" w:rsidP="00AF3B4B">
            <w:pPr>
              <w:rPr>
                <w:sz w:val="20"/>
                <w:szCs w:val="20"/>
              </w:rPr>
            </w:pPr>
            <w:r>
              <w:rPr>
                <w:sz w:val="20"/>
                <w:szCs w:val="20"/>
              </w:rPr>
              <w:t>2</w:t>
            </w:r>
          </w:p>
        </w:tc>
        <w:tc>
          <w:tcPr>
            <w:tcW w:w="1080" w:type="dxa"/>
          </w:tcPr>
          <w:p w:rsidR="000372BF" w:rsidRPr="000D1AA0" w:rsidRDefault="000372BF" w:rsidP="00AF3B4B">
            <w:pPr>
              <w:rPr>
                <w:sz w:val="20"/>
                <w:szCs w:val="20"/>
              </w:rPr>
            </w:pPr>
            <w:r>
              <w:rPr>
                <w:sz w:val="20"/>
                <w:szCs w:val="20"/>
              </w:rPr>
              <w:t>2</w:t>
            </w:r>
          </w:p>
        </w:tc>
        <w:tc>
          <w:tcPr>
            <w:tcW w:w="1170" w:type="dxa"/>
          </w:tcPr>
          <w:p w:rsidR="000372BF" w:rsidRPr="000D1AA0" w:rsidRDefault="000372BF" w:rsidP="000F6A4C">
            <w:pPr>
              <w:rPr>
                <w:sz w:val="20"/>
                <w:szCs w:val="20"/>
              </w:rPr>
            </w:pPr>
            <w:r>
              <w:rPr>
                <w:sz w:val="20"/>
                <w:szCs w:val="20"/>
              </w:rPr>
              <w:t>2</w:t>
            </w:r>
          </w:p>
        </w:tc>
      </w:tr>
      <w:tr w:rsidR="000372BF" w:rsidRPr="000D1AA0" w:rsidTr="000372BF">
        <w:tc>
          <w:tcPr>
            <w:tcW w:w="1548" w:type="dxa"/>
          </w:tcPr>
          <w:p w:rsidR="000372BF" w:rsidRPr="000D1AA0" w:rsidRDefault="000372BF" w:rsidP="000F6A4C">
            <w:pPr>
              <w:rPr>
                <w:sz w:val="20"/>
                <w:szCs w:val="20"/>
              </w:rPr>
            </w:pPr>
            <w:r w:rsidRPr="000D1AA0">
              <w:rPr>
                <w:sz w:val="20"/>
                <w:szCs w:val="20"/>
              </w:rPr>
              <w:t>Colorado</w:t>
            </w:r>
          </w:p>
        </w:tc>
        <w:tc>
          <w:tcPr>
            <w:tcW w:w="1080" w:type="dxa"/>
          </w:tcPr>
          <w:p w:rsidR="000372BF" w:rsidRPr="000D1AA0" w:rsidRDefault="000372BF" w:rsidP="000F6A4C">
            <w:pPr>
              <w:rPr>
                <w:sz w:val="20"/>
                <w:szCs w:val="20"/>
              </w:rPr>
            </w:pPr>
            <w:r w:rsidRPr="000D1AA0">
              <w:rPr>
                <w:sz w:val="20"/>
                <w:szCs w:val="20"/>
              </w:rPr>
              <w:t>1</w:t>
            </w:r>
          </w:p>
        </w:tc>
        <w:tc>
          <w:tcPr>
            <w:tcW w:w="990" w:type="dxa"/>
          </w:tcPr>
          <w:p w:rsidR="000372BF" w:rsidRPr="000D1AA0" w:rsidRDefault="000372BF" w:rsidP="000F6A4C">
            <w:pPr>
              <w:rPr>
                <w:sz w:val="20"/>
                <w:szCs w:val="20"/>
              </w:rPr>
            </w:pPr>
            <w:r w:rsidRPr="000D1AA0">
              <w:rPr>
                <w:sz w:val="20"/>
                <w:szCs w:val="20"/>
              </w:rPr>
              <w:t>8</w:t>
            </w:r>
          </w:p>
        </w:tc>
        <w:tc>
          <w:tcPr>
            <w:tcW w:w="1080" w:type="dxa"/>
          </w:tcPr>
          <w:p w:rsidR="000372BF" w:rsidRPr="000D1AA0" w:rsidRDefault="000372BF" w:rsidP="000F6A4C">
            <w:pPr>
              <w:rPr>
                <w:sz w:val="20"/>
                <w:szCs w:val="20"/>
              </w:rPr>
            </w:pPr>
            <w:r>
              <w:rPr>
                <w:sz w:val="20"/>
                <w:szCs w:val="20"/>
              </w:rPr>
              <w:t>1</w:t>
            </w:r>
          </w:p>
        </w:tc>
        <w:tc>
          <w:tcPr>
            <w:tcW w:w="117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Connecticut</w:t>
            </w:r>
          </w:p>
        </w:tc>
        <w:tc>
          <w:tcPr>
            <w:tcW w:w="1080" w:type="dxa"/>
          </w:tcPr>
          <w:p w:rsidR="000372BF" w:rsidRPr="000D1AA0" w:rsidRDefault="000372BF" w:rsidP="000372BF">
            <w:pPr>
              <w:rPr>
                <w:sz w:val="20"/>
                <w:szCs w:val="20"/>
              </w:rPr>
            </w:pPr>
            <w:r>
              <w:rPr>
                <w:sz w:val="20"/>
                <w:szCs w:val="20"/>
              </w:rPr>
              <w:t>2</w:t>
            </w:r>
          </w:p>
        </w:tc>
        <w:tc>
          <w:tcPr>
            <w:tcW w:w="990" w:type="dxa"/>
          </w:tcPr>
          <w:p w:rsidR="000372BF" w:rsidRPr="000D1AA0" w:rsidRDefault="000372BF" w:rsidP="000F6A4C">
            <w:pPr>
              <w:rPr>
                <w:sz w:val="20"/>
                <w:szCs w:val="20"/>
              </w:rPr>
            </w:pPr>
            <w:r w:rsidRPr="000D1AA0">
              <w:rPr>
                <w:sz w:val="20"/>
                <w:szCs w:val="20"/>
              </w:rPr>
              <w:t>1</w:t>
            </w:r>
          </w:p>
        </w:tc>
        <w:tc>
          <w:tcPr>
            <w:tcW w:w="1080" w:type="dxa"/>
          </w:tcPr>
          <w:p w:rsidR="000372BF"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Pr>
                <w:sz w:val="20"/>
                <w:szCs w:val="20"/>
              </w:rPr>
              <w:t>2</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Delaware</w:t>
            </w:r>
          </w:p>
        </w:tc>
        <w:tc>
          <w:tcPr>
            <w:tcW w:w="1080" w:type="dxa"/>
          </w:tcPr>
          <w:p w:rsidR="000372BF" w:rsidRPr="000D1AA0" w:rsidRDefault="000372BF" w:rsidP="000F6A4C">
            <w:pPr>
              <w:rPr>
                <w:sz w:val="20"/>
                <w:szCs w:val="20"/>
              </w:rPr>
            </w:pPr>
            <w:r w:rsidRPr="000D1AA0">
              <w:rPr>
                <w:sz w:val="20"/>
                <w:szCs w:val="20"/>
              </w:rPr>
              <w:t>1</w:t>
            </w:r>
          </w:p>
        </w:tc>
        <w:tc>
          <w:tcPr>
            <w:tcW w:w="990" w:type="dxa"/>
          </w:tcPr>
          <w:p w:rsidR="000372BF" w:rsidRPr="000D1AA0" w:rsidRDefault="000372BF" w:rsidP="000F6A4C">
            <w:pPr>
              <w:rPr>
                <w:sz w:val="20"/>
                <w:szCs w:val="20"/>
              </w:rPr>
            </w:pPr>
            <w:r w:rsidRPr="000D1AA0">
              <w:rPr>
                <w:sz w:val="20"/>
                <w:szCs w:val="20"/>
              </w:rPr>
              <w:t>3</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sidRPr="000D1AA0">
              <w:rPr>
                <w:sz w:val="20"/>
                <w:szCs w:val="20"/>
              </w:rPr>
              <w:t>1</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Default="000372BF" w:rsidP="000F6A4C">
            <w:pPr>
              <w:rPr>
                <w:sz w:val="20"/>
                <w:szCs w:val="20"/>
              </w:rPr>
            </w:pPr>
            <w:r w:rsidRPr="000D1AA0">
              <w:rPr>
                <w:sz w:val="20"/>
                <w:szCs w:val="20"/>
              </w:rPr>
              <w:t>District of Columbia</w:t>
            </w:r>
          </w:p>
        </w:tc>
        <w:tc>
          <w:tcPr>
            <w:tcW w:w="1080" w:type="dxa"/>
          </w:tcPr>
          <w:p w:rsidR="000372BF" w:rsidRDefault="000372BF" w:rsidP="000F6A4C">
            <w:pPr>
              <w:rPr>
                <w:sz w:val="20"/>
                <w:szCs w:val="20"/>
              </w:rPr>
            </w:pPr>
            <w:r w:rsidRPr="000D1AA0">
              <w:rPr>
                <w:sz w:val="20"/>
                <w:szCs w:val="20"/>
              </w:rPr>
              <w:t>1</w:t>
            </w:r>
          </w:p>
        </w:tc>
        <w:tc>
          <w:tcPr>
            <w:tcW w:w="990" w:type="dxa"/>
          </w:tcPr>
          <w:p w:rsidR="000372BF" w:rsidRDefault="000372BF" w:rsidP="000F6A4C">
            <w:pPr>
              <w:rPr>
                <w:sz w:val="20"/>
                <w:szCs w:val="20"/>
              </w:rPr>
            </w:pPr>
            <w:r w:rsidRPr="000D1AA0">
              <w:rPr>
                <w:sz w:val="20"/>
                <w:szCs w:val="20"/>
              </w:rPr>
              <w:t>3</w:t>
            </w:r>
          </w:p>
        </w:tc>
        <w:tc>
          <w:tcPr>
            <w:tcW w:w="1080" w:type="dxa"/>
          </w:tcPr>
          <w:p w:rsidR="000372BF" w:rsidRDefault="000372BF" w:rsidP="00447B99">
            <w:pPr>
              <w:rPr>
                <w:sz w:val="20"/>
                <w:szCs w:val="20"/>
              </w:rPr>
            </w:pPr>
            <w:r>
              <w:rPr>
                <w:sz w:val="20"/>
                <w:szCs w:val="20"/>
              </w:rPr>
              <w:t>0</w:t>
            </w:r>
          </w:p>
        </w:tc>
        <w:tc>
          <w:tcPr>
            <w:tcW w:w="1170" w:type="dxa"/>
          </w:tcPr>
          <w:p w:rsidR="000372BF" w:rsidRDefault="000372BF" w:rsidP="00447B99">
            <w:pPr>
              <w:rPr>
                <w:sz w:val="20"/>
                <w:szCs w:val="20"/>
              </w:rPr>
            </w:pPr>
            <w:r w:rsidRPr="000D1AA0">
              <w:rPr>
                <w:sz w:val="20"/>
                <w:szCs w:val="20"/>
              </w:rPr>
              <w:t>1</w:t>
            </w:r>
          </w:p>
        </w:tc>
        <w:tc>
          <w:tcPr>
            <w:tcW w:w="1080" w:type="dxa"/>
          </w:tcPr>
          <w:p w:rsidR="000372BF" w:rsidRDefault="000372BF" w:rsidP="000F6A4C">
            <w:pPr>
              <w:rPr>
                <w:sz w:val="20"/>
                <w:szCs w:val="20"/>
              </w:rPr>
            </w:pPr>
            <w:r w:rsidRPr="000D1AA0">
              <w:rPr>
                <w:sz w:val="20"/>
                <w:szCs w:val="20"/>
              </w:rPr>
              <w:t>0</w:t>
            </w:r>
          </w:p>
        </w:tc>
        <w:tc>
          <w:tcPr>
            <w:tcW w:w="1080" w:type="dxa"/>
          </w:tcPr>
          <w:p w:rsidR="000372BF" w:rsidRDefault="000372BF" w:rsidP="000F6A4C">
            <w:pPr>
              <w:rPr>
                <w:sz w:val="20"/>
                <w:szCs w:val="20"/>
              </w:rPr>
            </w:pPr>
            <w:r w:rsidRPr="000D1AA0">
              <w:rPr>
                <w:sz w:val="20"/>
                <w:szCs w:val="20"/>
              </w:rPr>
              <w:t>0</w:t>
            </w:r>
          </w:p>
        </w:tc>
        <w:tc>
          <w:tcPr>
            <w:tcW w:w="1170" w:type="dxa"/>
          </w:tcPr>
          <w:p w:rsidR="000372BF" w:rsidRDefault="000372BF" w:rsidP="000F6A4C">
            <w:pPr>
              <w:rPr>
                <w:sz w:val="20"/>
                <w:szCs w:val="20"/>
              </w:rPr>
            </w:pPr>
            <w:r>
              <w:rPr>
                <w:sz w:val="20"/>
                <w:szCs w:val="20"/>
              </w:rPr>
              <w:t>0</w:t>
            </w:r>
          </w:p>
        </w:tc>
      </w:tr>
      <w:tr w:rsidR="000372BF" w:rsidRPr="000D1AA0" w:rsidTr="000372BF">
        <w:tc>
          <w:tcPr>
            <w:tcW w:w="1548" w:type="dxa"/>
          </w:tcPr>
          <w:p w:rsidR="000372BF" w:rsidRDefault="000372BF" w:rsidP="000F6A4C">
            <w:pPr>
              <w:rPr>
                <w:sz w:val="20"/>
                <w:szCs w:val="20"/>
              </w:rPr>
            </w:pPr>
            <w:r>
              <w:rPr>
                <w:sz w:val="20"/>
                <w:szCs w:val="20"/>
              </w:rPr>
              <w:t>Georgia</w:t>
            </w:r>
          </w:p>
        </w:tc>
        <w:tc>
          <w:tcPr>
            <w:tcW w:w="1080" w:type="dxa"/>
          </w:tcPr>
          <w:p w:rsidR="000372BF" w:rsidRDefault="000372BF" w:rsidP="000F6A4C">
            <w:pPr>
              <w:rPr>
                <w:sz w:val="20"/>
                <w:szCs w:val="20"/>
              </w:rPr>
            </w:pPr>
            <w:r>
              <w:rPr>
                <w:sz w:val="20"/>
                <w:szCs w:val="20"/>
              </w:rPr>
              <w:t>1</w:t>
            </w:r>
          </w:p>
        </w:tc>
        <w:tc>
          <w:tcPr>
            <w:tcW w:w="990" w:type="dxa"/>
          </w:tcPr>
          <w:p w:rsidR="000372BF" w:rsidRDefault="000372BF" w:rsidP="000F6A4C">
            <w:pPr>
              <w:rPr>
                <w:sz w:val="20"/>
                <w:szCs w:val="20"/>
              </w:rPr>
            </w:pPr>
            <w:r>
              <w:rPr>
                <w:sz w:val="20"/>
                <w:szCs w:val="20"/>
              </w:rPr>
              <w:t>4</w:t>
            </w:r>
          </w:p>
        </w:tc>
        <w:tc>
          <w:tcPr>
            <w:tcW w:w="1080" w:type="dxa"/>
          </w:tcPr>
          <w:p w:rsidR="000372BF" w:rsidRDefault="000372BF" w:rsidP="00447B99">
            <w:pPr>
              <w:rPr>
                <w:sz w:val="20"/>
                <w:szCs w:val="20"/>
              </w:rPr>
            </w:pPr>
            <w:r>
              <w:rPr>
                <w:sz w:val="20"/>
                <w:szCs w:val="20"/>
              </w:rPr>
              <w:t>0</w:t>
            </w:r>
          </w:p>
        </w:tc>
        <w:tc>
          <w:tcPr>
            <w:tcW w:w="1170" w:type="dxa"/>
          </w:tcPr>
          <w:p w:rsidR="000372BF" w:rsidRDefault="000372BF" w:rsidP="00447B99">
            <w:pPr>
              <w:rPr>
                <w:sz w:val="20"/>
                <w:szCs w:val="20"/>
              </w:rPr>
            </w:pPr>
            <w:r>
              <w:rPr>
                <w:sz w:val="20"/>
                <w:szCs w:val="20"/>
              </w:rPr>
              <w:t>1</w:t>
            </w:r>
          </w:p>
        </w:tc>
        <w:tc>
          <w:tcPr>
            <w:tcW w:w="1080" w:type="dxa"/>
          </w:tcPr>
          <w:p w:rsidR="000372BF" w:rsidRDefault="000372BF" w:rsidP="000F6A4C">
            <w:pPr>
              <w:rPr>
                <w:sz w:val="20"/>
                <w:szCs w:val="20"/>
              </w:rPr>
            </w:pPr>
            <w:r>
              <w:rPr>
                <w:sz w:val="20"/>
                <w:szCs w:val="20"/>
              </w:rPr>
              <w:t>0</w:t>
            </w:r>
          </w:p>
        </w:tc>
        <w:tc>
          <w:tcPr>
            <w:tcW w:w="1080" w:type="dxa"/>
          </w:tcPr>
          <w:p w:rsidR="000372BF" w:rsidRDefault="000372BF" w:rsidP="000F6A4C">
            <w:pPr>
              <w:rPr>
                <w:sz w:val="20"/>
                <w:szCs w:val="20"/>
              </w:rPr>
            </w:pPr>
            <w:r>
              <w:rPr>
                <w:sz w:val="20"/>
                <w:szCs w:val="20"/>
              </w:rPr>
              <w:t>0</w:t>
            </w:r>
          </w:p>
        </w:tc>
        <w:tc>
          <w:tcPr>
            <w:tcW w:w="1170" w:type="dxa"/>
          </w:tcPr>
          <w:p w:rsidR="000372BF"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Maryland</w:t>
            </w:r>
          </w:p>
        </w:tc>
        <w:tc>
          <w:tcPr>
            <w:tcW w:w="1080" w:type="dxa"/>
          </w:tcPr>
          <w:p w:rsidR="000372BF" w:rsidRPr="000D1AA0" w:rsidRDefault="000372BF" w:rsidP="000F6A4C">
            <w:pPr>
              <w:rPr>
                <w:sz w:val="20"/>
                <w:szCs w:val="20"/>
              </w:rPr>
            </w:pPr>
            <w:r>
              <w:rPr>
                <w:sz w:val="20"/>
                <w:szCs w:val="20"/>
              </w:rPr>
              <w:t>3</w:t>
            </w:r>
          </w:p>
        </w:tc>
        <w:tc>
          <w:tcPr>
            <w:tcW w:w="990" w:type="dxa"/>
          </w:tcPr>
          <w:p w:rsidR="000372BF" w:rsidRPr="000D1AA0" w:rsidRDefault="000372BF" w:rsidP="000F6A4C">
            <w:pPr>
              <w:rPr>
                <w:sz w:val="20"/>
                <w:szCs w:val="20"/>
              </w:rPr>
            </w:pPr>
            <w:r w:rsidRPr="000D1AA0">
              <w:rPr>
                <w:sz w:val="20"/>
                <w:szCs w:val="20"/>
              </w:rPr>
              <w:t>3</w:t>
            </w:r>
          </w:p>
        </w:tc>
        <w:tc>
          <w:tcPr>
            <w:tcW w:w="1080" w:type="dxa"/>
          </w:tcPr>
          <w:p w:rsidR="000372BF" w:rsidRDefault="000372BF" w:rsidP="00447B99">
            <w:pPr>
              <w:rPr>
                <w:sz w:val="20"/>
                <w:szCs w:val="20"/>
              </w:rPr>
            </w:pPr>
            <w:r>
              <w:rPr>
                <w:sz w:val="20"/>
                <w:szCs w:val="20"/>
              </w:rPr>
              <w:t>0</w:t>
            </w:r>
          </w:p>
        </w:tc>
        <w:tc>
          <w:tcPr>
            <w:tcW w:w="1170" w:type="dxa"/>
          </w:tcPr>
          <w:p w:rsidR="000372BF" w:rsidRPr="000D1AA0" w:rsidRDefault="000372BF" w:rsidP="00447B99">
            <w:pPr>
              <w:rPr>
                <w:sz w:val="20"/>
                <w:szCs w:val="20"/>
              </w:rPr>
            </w:pPr>
            <w:r>
              <w:rPr>
                <w:sz w:val="20"/>
                <w:szCs w:val="20"/>
              </w:rPr>
              <w:t>2</w:t>
            </w:r>
          </w:p>
        </w:tc>
        <w:tc>
          <w:tcPr>
            <w:tcW w:w="1080" w:type="dxa"/>
          </w:tcPr>
          <w:p w:rsidR="000372BF" w:rsidRPr="000D1AA0" w:rsidRDefault="000372BF" w:rsidP="000F6A4C">
            <w:pPr>
              <w:rPr>
                <w:sz w:val="20"/>
                <w:szCs w:val="20"/>
              </w:rPr>
            </w:pPr>
            <w:r>
              <w:rPr>
                <w:sz w:val="20"/>
                <w:szCs w:val="20"/>
              </w:rPr>
              <w:t>1</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Massachusetts</w:t>
            </w:r>
          </w:p>
        </w:tc>
        <w:tc>
          <w:tcPr>
            <w:tcW w:w="1080" w:type="dxa"/>
          </w:tcPr>
          <w:p w:rsidR="000372BF" w:rsidRPr="000D1AA0" w:rsidRDefault="000372BF" w:rsidP="00131F21">
            <w:pPr>
              <w:rPr>
                <w:sz w:val="20"/>
                <w:szCs w:val="20"/>
              </w:rPr>
            </w:pPr>
            <w:r>
              <w:rPr>
                <w:sz w:val="20"/>
                <w:szCs w:val="20"/>
              </w:rPr>
              <w:t>2</w:t>
            </w:r>
          </w:p>
        </w:tc>
        <w:tc>
          <w:tcPr>
            <w:tcW w:w="990" w:type="dxa"/>
          </w:tcPr>
          <w:p w:rsidR="000372BF" w:rsidRPr="000D1AA0" w:rsidRDefault="000372BF" w:rsidP="000F6A4C">
            <w:pPr>
              <w:rPr>
                <w:sz w:val="20"/>
                <w:szCs w:val="20"/>
              </w:rPr>
            </w:pPr>
            <w:r w:rsidRPr="000D1AA0">
              <w:rPr>
                <w:sz w:val="20"/>
                <w:szCs w:val="20"/>
              </w:rPr>
              <w:t>1</w:t>
            </w:r>
          </w:p>
        </w:tc>
        <w:tc>
          <w:tcPr>
            <w:tcW w:w="1080" w:type="dxa"/>
          </w:tcPr>
          <w:p w:rsidR="000372BF"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Pr>
                <w:sz w:val="20"/>
                <w:szCs w:val="20"/>
              </w:rPr>
              <w:t>2</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Pr>
                <w:sz w:val="20"/>
                <w:szCs w:val="20"/>
              </w:rPr>
              <w:t>Missouri</w:t>
            </w:r>
          </w:p>
        </w:tc>
        <w:tc>
          <w:tcPr>
            <w:tcW w:w="1080" w:type="dxa"/>
          </w:tcPr>
          <w:p w:rsidR="000372BF" w:rsidRPr="000D1AA0" w:rsidRDefault="000372BF" w:rsidP="000F6A4C">
            <w:pPr>
              <w:rPr>
                <w:sz w:val="20"/>
                <w:szCs w:val="20"/>
              </w:rPr>
            </w:pPr>
            <w:r>
              <w:rPr>
                <w:sz w:val="20"/>
                <w:szCs w:val="20"/>
              </w:rPr>
              <w:t>1</w:t>
            </w:r>
          </w:p>
        </w:tc>
        <w:tc>
          <w:tcPr>
            <w:tcW w:w="990" w:type="dxa"/>
          </w:tcPr>
          <w:p w:rsidR="000372BF" w:rsidRPr="000D1AA0" w:rsidRDefault="000372BF" w:rsidP="000F6A4C">
            <w:pPr>
              <w:rPr>
                <w:sz w:val="20"/>
                <w:szCs w:val="20"/>
              </w:rPr>
            </w:pPr>
            <w:r>
              <w:rPr>
                <w:sz w:val="20"/>
                <w:szCs w:val="20"/>
              </w:rPr>
              <w:t>7</w:t>
            </w:r>
          </w:p>
        </w:tc>
        <w:tc>
          <w:tcPr>
            <w:tcW w:w="1080" w:type="dxa"/>
          </w:tcPr>
          <w:p w:rsidR="000372BF"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Pr>
                <w:sz w:val="20"/>
                <w:szCs w:val="20"/>
              </w:rPr>
              <w:t>1</w:t>
            </w:r>
          </w:p>
        </w:tc>
        <w:tc>
          <w:tcPr>
            <w:tcW w:w="1080" w:type="dxa"/>
          </w:tcPr>
          <w:p w:rsidR="000372BF" w:rsidRPr="000D1AA0" w:rsidRDefault="000372BF" w:rsidP="000F6A4C">
            <w:pPr>
              <w:rPr>
                <w:sz w:val="20"/>
                <w:szCs w:val="20"/>
              </w:rPr>
            </w:pPr>
            <w:r>
              <w:rPr>
                <w:sz w:val="20"/>
                <w:szCs w:val="20"/>
              </w:rPr>
              <w:t>0</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New Jersey</w:t>
            </w:r>
          </w:p>
        </w:tc>
        <w:tc>
          <w:tcPr>
            <w:tcW w:w="1080" w:type="dxa"/>
          </w:tcPr>
          <w:p w:rsidR="000372BF" w:rsidRPr="000D1AA0" w:rsidRDefault="000372BF" w:rsidP="000F6A4C">
            <w:pPr>
              <w:rPr>
                <w:sz w:val="20"/>
                <w:szCs w:val="20"/>
              </w:rPr>
            </w:pPr>
            <w:r w:rsidRPr="000D1AA0">
              <w:rPr>
                <w:sz w:val="20"/>
                <w:szCs w:val="20"/>
              </w:rPr>
              <w:t>2</w:t>
            </w:r>
          </w:p>
        </w:tc>
        <w:tc>
          <w:tcPr>
            <w:tcW w:w="990" w:type="dxa"/>
          </w:tcPr>
          <w:p w:rsidR="000372BF" w:rsidRPr="000D1AA0" w:rsidRDefault="000372BF" w:rsidP="000F6A4C">
            <w:pPr>
              <w:rPr>
                <w:sz w:val="20"/>
                <w:szCs w:val="20"/>
              </w:rPr>
            </w:pPr>
            <w:r w:rsidRPr="000D1AA0">
              <w:rPr>
                <w:sz w:val="20"/>
                <w:szCs w:val="20"/>
              </w:rPr>
              <w:t>2</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sidRPr="000D1AA0">
              <w:rPr>
                <w:sz w:val="20"/>
                <w:szCs w:val="20"/>
              </w:rPr>
              <w:t>2</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New York</w:t>
            </w:r>
          </w:p>
        </w:tc>
        <w:tc>
          <w:tcPr>
            <w:tcW w:w="1080" w:type="dxa"/>
          </w:tcPr>
          <w:p w:rsidR="000372BF" w:rsidRPr="000D1AA0" w:rsidRDefault="000372BF" w:rsidP="000372BF">
            <w:pPr>
              <w:rPr>
                <w:sz w:val="20"/>
                <w:szCs w:val="20"/>
              </w:rPr>
            </w:pPr>
            <w:r>
              <w:rPr>
                <w:sz w:val="20"/>
                <w:szCs w:val="20"/>
              </w:rPr>
              <w:t>5</w:t>
            </w:r>
          </w:p>
        </w:tc>
        <w:tc>
          <w:tcPr>
            <w:tcW w:w="990" w:type="dxa"/>
          </w:tcPr>
          <w:p w:rsidR="000372BF" w:rsidRPr="000D1AA0" w:rsidRDefault="000372BF" w:rsidP="000F6A4C">
            <w:pPr>
              <w:rPr>
                <w:sz w:val="20"/>
                <w:szCs w:val="20"/>
              </w:rPr>
            </w:pPr>
            <w:r w:rsidRPr="000D1AA0">
              <w:rPr>
                <w:sz w:val="20"/>
                <w:szCs w:val="20"/>
              </w:rPr>
              <w:t>2</w:t>
            </w:r>
          </w:p>
        </w:tc>
        <w:tc>
          <w:tcPr>
            <w:tcW w:w="1080" w:type="dxa"/>
          </w:tcPr>
          <w:p w:rsidR="000372BF" w:rsidRDefault="000372BF" w:rsidP="000372BF">
            <w:pPr>
              <w:rPr>
                <w:sz w:val="20"/>
                <w:szCs w:val="20"/>
              </w:rPr>
            </w:pPr>
            <w:r>
              <w:rPr>
                <w:sz w:val="20"/>
                <w:szCs w:val="20"/>
              </w:rPr>
              <w:t>1</w:t>
            </w:r>
          </w:p>
        </w:tc>
        <w:tc>
          <w:tcPr>
            <w:tcW w:w="1170" w:type="dxa"/>
          </w:tcPr>
          <w:p w:rsidR="000372BF" w:rsidRPr="000D1AA0" w:rsidRDefault="000372BF" w:rsidP="000F6A4C">
            <w:pPr>
              <w:rPr>
                <w:sz w:val="20"/>
                <w:szCs w:val="20"/>
              </w:rPr>
            </w:pPr>
            <w:r>
              <w:rPr>
                <w:sz w:val="20"/>
                <w:szCs w:val="20"/>
              </w:rPr>
              <w:t>4</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Pr>
                <w:sz w:val="20"/>
                <w:szCs w:val="20"/>
              </w:rPr>
              <w:t>North Carolina</w:t>
            </w:r>
          </w:p>
        </w:tc>
        <w:tc>
          <w:tcPr>
            <w:tcW w:w="1080" w:type="dxa"/>
          </w:tcPr>
          <w:p w:rsidR="000372BF" w:rsidRPr="000D1AA0" w:rsidRDefault="000372BF" w:rsidP="000F6A4C">
            <w:pPr>
              <w:rPr>
                <w:sz w:val="20"/>
                <w:szCs w:val="20"/>
              </w:rPr>
            </w:pPr>
            <w:r>
              <w:rPr>
                <w:sz w:val="20"/>
                <w:szCs w:val="20"/>
              </w:rPr>
              <w:t>1</w:t>
            </w:r>
          </w:p>
        </w:tc>
        <w:tc>
          <w:tcPr>
            <w:tcW w:w="990" w:type="dxa"/>
          </w:tcPr>
          <w:p w:rsidR="000372BF" w:rsidRPr="000D1AA0" w:rsidRDefault="000372BF" w:rsidP="000F6A4C">
            <w:pPr>
              <w:rPr>
                <w:sz w:val="20"/>
                <w:szCs w:val="20"/>
              </w:rPr>
            </w:pPr>
            <w:r>
              <w:rPr>
                <w:sz w:val="20"/>
                <w:szCs w:val="20"/>
              </w:rPr>
              <w:t>4</w:t>
            </w:r>
          </w:p>
        </w:tc>
        <w:tc>
          <w:tcPr>
            <w:tcW w:w="1080" w:type="dxa"/>
          </w:tcPr>
          <w:p w:rsidR="000372BF" w:rsidRDefault="000372BF" w:rsidP="009679E2">
            <w:pPr>
              <w:rPr>
                <w:sz w:val="20"/>
                <w:szCs w:val="20"/>
              </w:rPr>
            </w:pPr>
            <w:r>
              <w:rPr>
                <w:sz w:val="20"/>
                <w:szCs w:val="20"/>
              </w:rPr>
              <w:t>0</w:t>
            </w:r>
          </w:p>
        </w:tc>
        <w:tc>
          <w:tcPr>
            <w:tcW w:w="1170" w:type="dxa"/>
          </w:tcPr>
          <w:p w:rsidR="000372BF" w:rsidRDefault="000372BF" w:rsidP="009679E2">
            <w:pPr>
              <w:rPr>
                <w:sz w:val="20"/>
                <w:szCs w:val="20"/>
              </w:rPr>
            </w:pPr>
            <w:r>
              <w:rPr>
                <w:sz w:val="20"/>
                <w:szCs w:val="20"/>
              </w:rPr>
              <w:t>1</w:t>
            </w:r>
          </w:p>
        </w:tc>
        <w:tc>
          <w:tcPr>
            <w:tcW w:w="1080" w:type="dxa"/>
          </w:tcPr>
          <w:p w:rsidR="000372BF" w:rsidRPr="000D1AA0" w:rsidRDefault="000372BF" w:rsidP="000F6A4C">
            <w:pPr>
              <w:rPr>
                <w:sz w:val="20"/>
                <w:szCs w:val="20"/>
              </w:rPr>
            </w:pPr>
            <w:r>
              <w:rPr>
                <w:sz w:val="20"/>
                <w:szCs w:val="20"/>
              </w:rPr>
              <w:t>0</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Pennsylvania</w:t>
            </w:r>
          </w:p>
        </w:tc>
        <w:tc>
          <w:tcPr>
            <w:tcW w:w="1080" w:type="dxa"/>
          </w:tcPr>
          <w:p w:rsidR="000372BF" w:rsidRPr="000D1AA0" w:rsidRDefault="000372BF" w:rsidP="000F6A4C">
            <w:pPr>
              <w:rPr>
                <w:sz w:val="20"/>
                <w:szCs w:val="20"/>
              </w:rPr>
            </w:pPr>
            <w:r w:rsidRPr="000D1AA0">
              <w:rPr>
                <w:sz w:val="20"/>
                <w:szCs w:val="20"/>
              </w:rPr>
              <w:t>2</w:t>
            </w:r>
          </w:p>
        </w:tc>
        <w:tc>
          <w:tcPr>
            <w:tcW w:w="990" w:type="dxa"/>
          </w:tcPr>
          <w:p w:rsidR="000372BF" w:rsidRPr="000D1AA0" w:rsidRDefault="000372BF" w:rsidP="000F6A4C">
            <w:pPr>
              <w:rPr>
                <w:sz w:val="20"/>
                <w:szCs w:val="20"/>
              </w:rPr>
            </w:pPr>
            <w:r w:rsidRPr="000D1AA0">
              <w:rPr>
                <w:sz w:val="20"/>
                <w:szCs w:val="20"/>
              </w:rPr>
              <w:t>4</w:t>
            </w:r>
          </w:p>
        </w:tc>
        <w:tc>
          <w:tcPr>
            <w:tcW w:w="1080" w:type="dxa"/>
          </w:tcPr>
          <w:p w:rsidR="000372BF" w:rsidRDefault="000372BF" w:rsidP="009679E2">
            <w:pPr>
              <w:rPr>
                <w:sz w:val="20"/>
                <w:szCs w:val="20"/>
              </w:rPr>
            </w:pPr>
            <w:r>
              <w:rPr>
                <w:sz w:val="20"/>
                <w:szCs w:val="20"/>
              </w:rPr>
              <w:t>0</w:t>
            </w:r>
          </w:p>
        </w:tc>
        <w:tc>
          <w:tcPr>
            <w:tcW w:w="1170" w:type="dxa"/>
          </w:tcPr>
          <w:p w:rsidR="000372BF" w:rsidRPr="000D1AA0" w:rsidRDefault="000372BF" w:rsidP="009679E2">
            <w:pPr>
              <w:rPr>
                <w:sz w:val="20"/>
                <w:szCs w:val="20"/>
              </w:rPr>
            </w:pPr>
            <w:r>
              <w:rPr>
                <w:sz w:val="20"/>
                <w:szCs w:val="20"/>
              </w:rPr>
              <w:t>2</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Texas</w:t>
            </w:r>
          </w:p>
        </w:tc>
        <w:tc>
          <w:tcPr>
            <w:tcW w:w="1080" w:type="dxa"/>
          </w:tcPr>
          <w:p w:rsidR="000372BF" w:rsidRPr="000D1AA0" w:rsidRDefault="000372BF" w:rsidP="000F6A4C">
            <w:pPr>
              <w:rPr>
                <w:sz w:val="20"/>
                <w:szCs w:val="20"/>
              </w:rPr>
            </w:pPr>
            <w:r w:rsidRPr="000D1AA0">
              <w:rPr>
                <w:sz w:val="20"/>
                <w:szCs w:val="20"/>
              </w:rPr>
              <w:t>2</w:t>
            </w:r>
          </w:p>
        </w:tc>
        <w:tc>
          <w:tcPr>
            <w:tcW w:w="990" w:type="dxa"/>
          </w:tcPr>
          <w:p w:rsidR="000372BF" w:rsidRPr="000D1AA0" w:rsidRDefault="000372BF" w:rsidP="000F6A4C">
            <w:pPr>
              <w:rPr>
                <w:sz w:val="20"/>
                <w:szCs w:val="20"/>
              </w:rPr>
            </w:pPr>
            <w:r w:rsidRPr="000D1AA0">
              <w:rPr>
                <w:sz w:val="20"/>
                <w:szCs w:val="20"/>
              </w:rPr>
              <w:t>6</w:t>
            </w:r>
          </w:p>
        </w:tc>
        <w:tc>
          <w:tcPr>
            <w:tcW w:w="1080" w:type="dxa"/>
          </w:tcPr>
          <w:p w:rsidR="000372BF" w:rsidRDefault="000372BF" w:rsidP="00131F21">
            <w:pPr>
              <w:rPr>
                <w:sz w:val="20"/>
                <w:szCs w:val="20"/>
              </w:rPr>
            </w:pPr>
            <w:r>
              <w:rPr>
                <w:sz w:val="20"/>
                <w:szCs w:val="20"/>
              </w:rPr>
              <w:t>0</w:t>
            </w:r>
          </w:p>
        </w:tc>
        <w:tc>
          <w:tcPr>
            <w:tcW w:w="1170" w:type="dxa"/>
          </w:tcPr>
          <w:p w:rsidR="000372BF" w:rsidRPr="000D1AA0" w:rsidRDefault="000372BF" w:rsidP="00131F21">
            <w:pPr>
              <w:rPr>
                <w:sz w:val="20"/>
                <w:szCs w:val="20"/>
              </w:rPr>
            </w:pPr>
            <w:r>
              <w:rPr>
                <w:sz w:val="20"/>
                <w:szCs w:val="20"/>
              </w:rPr>
              <w:t>0</w:t>
            </w:r>
          </w:p>
        </w:tc>
        <w:tc>
          <w:tcPr>
            <w:tcW w:w="1080" w:type="dxa"/>
          </w:tcPr>
          <w:p w:rsidR="000372BF" w:rsidRPr="000D1AA0" w:rsidRDefault="000372BF" w:rsidP="000F6A4C">
            <w:pPr>
              <w:rPr>
                <w:sz w:val="20"/>
                <w:szCs w:val="20"/>
              </w:rPr>
            </w:pPr>
            <w:r>
              <w:rPr>
                <w:sz w:val="20"/>
                <w:szCs w:val="20"/>
              </w:rPr>
              <w:t>1</w:t>
            </w:r>
          </w:p>
        </w:tc>
        <w:tc>
          <w:tcPr>
            <w:tcW w:w="1080" w:type="dxa"/>
          </w:tcPr>
          <w:p w:rsidR="000372BF" w:rsidRPr="000D1AA0" w:rsidRDefault="000372BF" w:rsidP="000F6A4C">
            <w:pPr>
              <w:rPr>
                <w:sz w:val="20"/>
                <w:szCs w:val="20"/>
              </w:rPr>
            </w:pPr>
            <w:r w:rsidRPr="000D1AA0">
              <w:rPr>
                <w:sz w:val="20"/>
                <w:szCs w:val="20"/>
              </w:rPr>
              <w:t>1</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Virginia</w:t>
            </w:r>
          </w:p>
        </w:tc>
        <w:tc>
          <w:tcPr>
            <w:tcW w:w="1080" w:type="dxa"/>
          </w:tcPr>
          <w:p w:rsidR="000372BF" w:rsidRPr="000D1AA0" w:rsidRDefault="000372BF" w:rsidP="000F6A4C">
            <w:pPr>
              <w:rPr>
                <w:sz w:val="20"/>
                <w:szCs w:val="20"/>
              </w:rPr>
            </w:pPr>
            <w:r w:rsidRPr="000D1AA0">
              <w:rPr>
                <w:sz w:val="20"/>
                <w:szCs w:val="20"/>
              </w:rPr>
              <w:t>1</w:t>
            </w:r>
          </w:p>
        </w:tc>
        <w:tc>
          <w:tcPr>
            <w:tcW w:w="990" w:type="dxa"/>
          </w:tcPr>
          <w:p w:rsidR="000372BF" w:rsidRPr="000D1AA0" w:rsidRDefault="000372BF" w:rsidP="000F6A4C">
            <w:pPr>
              <w:rPr>
                <w:sz w:val="20"/>
                <w:szCs w:val="20"/>
              </w:rPr>
            </w:pPr>
            <w:r w:rsidRPr="000D1AA0">
              <w:rPr>
                <w:sz w:val="20"/>
                <w:szCs w:val="20"/>
              </w:rPr>
              <w:t>3</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sidRPr="000D1AA0">
              <w:rPr>
                <w:sz w:val="20"/>
                <w:szCs w:val="20"/>
              </w:rPr>
              <w:t>1</w:t>
            </w:r>
          </w:p>
        </w:tc>
        <w:tc>
          <w:tcPr>
            <w:tcW w:w="1080" w:type="dxa"/>
          </w:tcPr>
          <w:p w:rsidR="000372BF" w:rsidRPr="000D1AA0" w:rsidRDefault="000372BF" w:rsidP="000F6A4C">
            <w:pPr>
              <w:rPr>
                <w:sz w:val="20"/>
                <w:szCs w:val="20"/>
              </w:rPr>
            </w:pPr>
            <w:r w:rsidRPr="000D1AA0">
              <w:rPr>
                <w:sz w:val="20"/>
                <w:szCs w:val="20"/>
              </w:rPr>
              <w:t>0</w:t>
            </w:r>
          </w:p>
        </w:tc>
        <w:tc>
          <w:tcPr>
            <w:tcW w:w="1080" w:type="dxa"/>
          </w:tcPr>
          <w:p w:rsidR="000372BF" w:rsidRPr="000D1AA0" w:rsidRDefault="000372BF" w:rsidP="000F6A4C">
            <w:pPr>
              <w:rPr>
                <w:sz w:val="20"/>
                <w:szCs w:val="20"/>
              </w:rPr>
            </w:pPr>
            <w:r w:rsidRPr="000D1AA0">
              <w:rPr>
                <w:sz w:val="20"/>
                <w:szCs w:val="20"/>
              </w:rPr>
              <w:t>0</w:t>
            </w:r>
          </w:p>
        </w:tc>
        <w:tc>
          <w:tcPr>
            <w:tcW w:w="1170" w:type="dxa"/>
          </w:tcPr>
          <w:p w:rsidR="000372BF" w:rsidRPr="000D1AA0"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Pr>
                <w:sz w:val="20"/>
                <w:szCs w:val="20"/>
              </w:rPr>
              <w:t>Wisconsin</w:t>
            </w:r>
          </w:p>
        </w:tc>
        <w:tc>
          <w:tcPr>
            <w:tcW w:w="1080" w:type="dxa"/>
          </w:tcPr>
          <w:p w:rsidR="000372BF" w:rsidRPr="000D1AA0" w:rsidRDefault="000372BF" w:rsidP="000F6A4C">
            <w:pPr>
              <w:rPr>
                <w:sz w:val="20"/>
                <w:szCs w:val="20"/>
              </w:rPr>
            </w:pPr>
            <w:r>
              <w:rPr>
                <w:sz w:val="20"/>
                <w:szCs w:val="20"/>
              </w:rPr>
              <w:t>1</w:t>
            </w:r>
          </w:p>
        </w:tc>
        <w:tc>
          <w:tcPr>
            <w:tcW w:w="990" w:type="dxa"/>
          </w:tcPr>
          <w:p w:rsidR="000372BF" w:rsidRPr="000D1AA0" w:rsidRDefault="000372BF" w:rsidP="000F6A4C">
            <w:pPr>
              <w:rPr>
                <w:sz w:val="20"/>
                <w:szCs w:val="20"/>
              </w:rPr>
            </w:pPr>
            <w:r>
              <w:rPr>
                <w:sz w:val="20"/>
                <w:szCs w:val="20"/>
              </w:rPr>
              <w:t>7</w:t>
            </w:r>
          </w:p>
        </w:tc>
        <w:tc>
          <w:tcPr>
            <w:tcW w:w="1080" w:type="dxa"/>
          </w:tcPr>
          <w:p w:rsidR="000372BF" w:rsidRDefault="000372BF" w:rsidP="000F6A4C">
            <w:pPr>
              <w:rPr>
                <w:sz w:val="20"/>
                <w:szCs w:val="20"/>
              </w:rPr>
            </w:pPr>
            <w:r>
              <w:rPr>
                <w:sz w:val="20"/>
                <w:szCs w:val="20"/>
              </w:rPr>
              <w:t>0</w:t>
            </w:r>
          </w:p>
        </w:tc>
        <w:tc>
          <w:tcPr>
            <w:tcW w:w="1170" w:type="dxa"/>
          </w:tcPr>
          <w:p w:rsidR="000372BF" w:rsidRPr="000D1AA0" w:rsidRDefault="000372BF" w:rsidP="000F6A4C">
            <w:pPr>
              <w:rPr>
                <w:sz w:val="20"/>
                <w:szCs w:val="20"/>
              </w:rPr>
            </w:pPr>
            <w:r>
              <w:rPr>
                <w:sz w:val="20"/>
                <w:szCs w:val="20"/>
              </w:rPr>
              <w:t>1</w:t>
            </w:r>
          </w:p>
        </w:tc>
        <w:tc>
          <w:tcPr>
            <w:tcW w:w="1080" w:type="dxa"/>
          </w:tcPr>
          <w:p w:rsidR="000372BF" w:rsidRPr="000D1AA0" w:rsidRDefault="000372BF" w:rsidP="000F6A4C">
            <w:pPr>
              <w:rPr>
                <w:sz w:val="20"/>
                <w:szCs w:val="20"/>
              </w:rPr>
            </w:pPr>
            <w:r>
              <w:rPr>
                <w:sz w:val="20"/>
                <w:szCs w:val="20"/>
              </w:rPr>
              <w:t>0</w:t>
            </w:r>
          </w:p>
        </w:tc>
        <w:tc>
          <w:tcPr>
            <w:tcW w:w="1080" w:type="dxa"/>
          </w:tcPr>
          <w:p w:rsidR="000372BF" w:rsidRPr="000D1AA0" w:rsidRDefault="000372BF" w:rsidP="000F6A4C">
            <w:pPr>
              <w:rPr>
                <w:sz w:val="20"/>
                <w:szCs w:val="20"/>
              </w:rPr>
            </w:pPr>
            <w:r>
              <w:rPr>
                <w:sz w:val="20"/>
                <w:szCs w:val="20"/>
              </w:rPr>
              <w:t>0</w:t>
            </w:r>
          </w:p>
        </w:tc>
        <w:tc>
          <w:tcPr>
            <w:tcW w:w="1170" w:type="dxa"/>
          </w:tcPr>
          <w:p w:rsidR="000372BF" w:rsidRDefault="000372BF" w:rsidP="000F6A4C">
            <w:pPr>
              <w:rPr>
                <w:sz w:val="20"/>
                <w:szCs w:val="20"/>
              </w:rPr>
            </w:pPr>
            <w:r>
              <w:rPr>
                <w:sz w:val="20"/>
                <w:szCs w:val="20"/>
              </w:rPr>
              <w:t>0</w:t>
            </w:r>
          </w:p>
        </w:tc>
      </w:tr>
      <w:tr w:rsidR="000372BF" w:rsidRPr="000D1AA0" w:rsidTr="000372BF">
        <w:tc>
          <w:tcPr>
            <w:tcW w:w="1548" w:type="dxa"/>
          </w:tcPr>
          <w:p w:rsidR="000372BF" w:rsidRPr="000D1AA0" w:rsidRDefault="000372BF" w:rsidP="000F6A4C">
            <w:pPr>
              <w:rPr>
                <w:sz w:val="20"/>
                <w:szCs w:val="20"/>
              </w:rPr>
            </w:pPr>
            <w:r w:rsidRPr="000D1AA0">
              <w:rPr>
                <w:sz w:val="20"/>
                <w:szCs w:val="20"/>
              </w:rPr>
              <w:t>Total</w:t>
            </w:r>
          </w:p>
        </w:tc>
        <w:tc>
          <w:tcPr>
            <w:tcW w:w="1080" w:type="dxa"/>
          </w:tcPr>
          <w:p w:rsidR="000372BF" w:rsidRPr="000D1AA0" w:rsidRDefault="0058538F" w:rsidP="000B7681">
            <w:pPr>
              <w:rPr>
                <w:sz w:val="20"/>
                <w:szCs w:val="20"/>
              </w:rPr>
            </w:pPr>
            <w:r>
              <w:rPr>
                <w:sz w:val="20"/>
                <w:szCs w:val="20"/>
              </w:rPr>
              <w:fldChar w:fldCharType="begin"/>
            </w:r>
            <w:r w:rsidR="000372BF">
              <w:rPr>
                <w:sz w:val="20"/>
                <w:szCs w:val="20"/>
              </w:rPr>
              <w:instrText xml:space="preserve"> =SUM(ABOVE) </w:instrText>
            </w:r>
            <w:r>
              <w:rPr>
                <w:sz w:val="20"/>
                <w:szCs w:val="20"/>
              </w:rPr>
              <w:fldChar w:fldCharType="end"/>
            </w:r>
            <w:r>
              <w:rPr>
                <w:sz w:val="20"/>
                <w:szCs w:val="20"/>
              </w:rPr>
              <w:fldChar w:fldCharType="begin"/>
            </w:r>
            <w:r w:rsidR="000372BF">
              <w:rPr>
                <w:sz w:val="20"/>
                <w:szCs w:val="20"/>
              </w:rPr>
              <w:instrText xml:space="preserve"> =SUM(ABOVE) </w:instrText>
            </w:r>
            <w:r>
              <w:rPr>
                <w:sz w:val="20"/>
                <w:szCs w:val="20"/>
              </w:rPr>
              <w:fldChar w:fldCharType="separate"/>
            </w:r>
            <w:r w:rsidR="000372BF">
              <w:rPr>
                <w:noProof/>
                <w:sz w:val="20"/>
                <w:szCs w:val="20"/>
              </w:rPr>
              <w:t>41</w:t>
            </w:r>
            <w:r>
              <w:rPr>
                <w:sz w:val="20"/>
                <w:szCs w:val="20"/>
              </w:rPr>
              <w:fldChar w:fldCharType="end"/>
            </w:r>
          </w:p>
        </w:tc>
        <w:tc>
          <w:tcPr>
            <w:tcW w:w="990" w:type="dxa"/>
          </w:tcPr>
          <w:p w:rsidR="000372BF" w:rsidRPr="000D1AA0" w:rsidRDefault="000372BF" w:rsidP="000F6A4C">
            <w:pPr>
              <w:rPr>
                <w:sz w:val="20"/>
                <w:szCs w:val="20"/>
              </w:rPr>
            </w:pPr>
          </w:p>
        </w:tc>
        <w:tc>
          <w:tcPr>
            <w:tcW w:w="1080" w:type="dxa"/>
          </w:tcPr>
          <w:p w:rsidR="000372BF" w:rsidRDefault="0058538F" w:rsidP="002F3E3E">
            <w:pPr>
              <w:rPr>
                <w:b/>
                <w:sz w:val="20"/>
                <w:szCs w:val="20"/>
              </w:rPr>
            </w:pPr>
            <w:r>
              <w:rPr>
                <w:b/>
                <w:sz w:val="20"/>
                <w:szCs w:val="20"/>
              </w:rPr>
              <w:fldChar w:fldCharType="begin"/>
            </w:r>
            <w:r w:rsidR="000372BF">
              <w:rPr>
                <w:b/>
                <w:sz w:val="20"/>
                <w:szCs w:val="20"/>
              </w:rPr>
              <w:instrText xml:space="preserve"> =SUM(ABOVE) </w:instrText>
            </w:r>
            <w:r>
              <w:rPr>
                <w:b/>
                <w:sz w:val="20"/>
                <w:szCs w:val="20"/>
              </w:rPr>
              <w:fldChar w:fldCharType="separate"/>
            </w:r>
            <w:r w:rsidR="000372BF">
              <w:rPr>
                <w:b/>
                <w:noProof/>
                <w:sz w:val="20"/>
                <w:szCs w:val="20"/>
              </w:rPr>
              <w:t>6</w:t>
            </w:r>
            <w:r>
              <w:rPr>
                <w:b/>
                <w:sz w:val="20"/>
                <w:szCs w:val="20"/>
              </w:rPr>
              <w:fldChar w:fldCharType="end"/>
            </w:r>
          </w:p>
        </w:tc>
        <w:tc>
          <w:tcPr>
            <w:tcW w:w="1170" w:type="dxa"/>
          </w:tcPr>
          <w:p w:rsidR="000372BF" w:rsidRPr="00131F21" w:rsidRDefault="0058538F" w:rsidP="002F3E3E">
            <w:pPr>
              <w:rPr>
                <w:b/>
                <w:sz w:val="20"/>
                <w:szCs w:val="20"/>
              </w:rPr>
            </w:pPr>
            <w:r>
              <w:rPr>
                <w:b/>
                <w:sz w:val="20"/>
                <w:szCs w:val="20"/>
              </w:rPr>
              <w:fldChar w:fldCharType="begin"/>
            </w:r>
            <w:r w:rsidR="000372BF">
              <w:rPr>
                <w:b/>
                <w:sz w:val="20"/>
                <w:szCs w:val="20"/>
              </w:rPr>
              <w:instrText xml:space="preserve"> =SUM(ABOVE) </w:instrText>
            </w:r>
            <w:r>
              <w:rPr>
                <w:b/>
                <w:sz w:val="20"/>
                <w:szCs w:val="20"/>
              </w:rPr>
              <w:fldChar w:fldCharType="separate"/>
            </w:r>
            <w:r w:rsidR="000372BF">
              <w:rPr>
                <w:b/>
                <w:noProof/>
                <w:sz w:val="20"/>
                <w:szCs w:val="20"/>
              </w:rPr>
              <w:t>26</w:t>
            </w:r>
            <w:r>
              <w:rPr>
                <w:b/>
                <w:sz w:val="20"/>
                <w:szCs w:val="20"/>
              </w:rPr>
              <w:fldChar w:fldCharType="end"/>
            </w:r>
          </w:p>
        </w:tc>
        <w:tc>
          <w:tcPr>
            <w:tcW w:w="1080" w:type="dxa"/>
          </w:tcPr>
          <w:p w:rsidR="000372BF" w:rsidRPr="00131F21" w:rsidRDefault="0058538F" w:rsidP="000372BF">
            <w:pPr>
              <w:rPr>
                <w:b/>
                <w:sz w:val="20"/>
                <w:szCs w:val="20"/>
              </w:rPr>
            </w:pPr>
            <w:r>
              <w:rPr>
                <w:b/>
                <w:sz w:val="20"/>
                <w:szCs w:val="20"/>
              </w:rPr>
              <w:fldChar w:fldCharType="begin"/>
            </w:r>
            <w:r w:rsidR="000372BF">
              <w:rPr>
                <w:b/>
                <w:sz w:val="20"/>
                <w:szCs w:val="20"/>
              </w:rPr>
              <w:instrText xml:space="preserve"> =SUM(ABOVE) </w:instrText>
            </w:r>
            <w:r>
              <w:rPr>
                <w:b/>
                <w:sz w:val="20"/>
                <w:szCs w:val="20"/>
              </w:rPr>
              <w:fldChar w:fldCharType="separate"/>
            </w:r>
            <w:r w:rsidR="000372BF">
              <w:rPr>
                <w:b/>
                <w:noProof/>
                <w:sz w:val="20"/>
                <w:szCs w:val="20"/>
              </w:rPr>
              <w:t>4</w:t>
            </w:r>
            <w:r>
              <w:rPr>
                <w:b/>
                <w:sz w:val="20"/>
                <w:szCs w:val="20"/>
              </w:rPr>
              <w:fldChar w:fldCharType="end"/>
            </w:r>
          </w:p>
        </w:tc>
        <w:tc>
          <w:tcPr>
            <w:tcW w:w="1080" w:type="dxa"/>
          </w:tcPr>
          <w:p w:rsidR="000372BF" w:rsidRPr="00131F21" w:rsidRDefault="0058538F" w:rsidP="000372BF">
            <w:pPr>
              <w:rPr>
                <w:b/>
                <w:sz w:val="20"/>
                <w:szCs w:val="20"/>
              </w:rPr>
            </w:pPr>
            <w:r>
              <w:rPr>
                <w:b/>
                <w:sz w:val="20"/>
                <w:szCs w:val="20"/>
              </w:rPr>
              <w:fldChar w:fldCharType="begin"/>
            </w:r>
            <w:r w:rsidR="000372BF">
              <w:rPr>
                <w:b/>
                <w:sz w:val="20"/>
                <w:szCs w:val="20"/>
              </w:rPr>
              <w:instrText xml:space="preserve"> =SUM(ABOVE) </w:instrText>
            </w:r>
            <w:r>
              <w:rPr>
                <w:b/>
                <w:sz w:val="20"/>
                <w:szCs w:val="20"/>
              </w:rPr>
              <w:fldChar w:fldCharType="separate"/>
            </w:r>
            <w:r w:rsidR="000372BF">
              <w:rPr>
                <w:b/>
                <w:noProof/>
                <w:sz w:val="20"/>
                <w:szCs w:val="20"/>
              </w:rPr>
              <w:t>3</w:t>
            </w:r>
            <w:r>
              <w:rPr>
                <w:b/>
                <w:sz w:val="20"/>
                <w:szCs w:val="20"/>
              </w:rPr>
              <w:fldChar w:fldCharType="end"/>
            </w:r>
          </w:p>
        </w:tc>
        <w:tc>
          <w:tcPr>
            <w:tcW w:w="1170" w:type="dxa"/>
          </w:tcPr>
          <w:p w:rsidR="000372BF" w:rsidRPr="00131F21" w:rsidRDefault="000372BF" w:rsidP="000F6A4C">
            <w:pPr>
              <w:rPr>
                <w:b/>
                <w:sz w:val="20"/>
                <w:szCs w:val="20"/>
              </w:rPr>
            </w:pPr>
            <w:r w:rsidRPr="00131F21">
              <w:rPr>
                <w:b/>
                <w:sz w:val="20"/>
                <w:szCs w:val="20"/>
              </w:rPr>
              <w:t>2</w:t>
            </w:r>
          </w:p>
        </w:tc>
      </w:tr>
    </w:tbl>
    <w:p w:rsidR="00DE3971" w:rsidRDefault="00DE3971" w:rsidP="00756E81"/>
    <w:p w:rsidR="00CB3528" w:rsidRDefault="00CB3528" w:rsidP="00756E81"/>
    <w:p w:rsidR="00CB3528" w:rsidRDefault="00CB3528" w:rsidP="00756E81">
      <w:pPr>
        <w:rPr>
          <w:b/>
        </w:rPr>
      </w:pPr>
      <w:r>
        <w:rPr>
          <w:b/>
        </w:rPr>
        <w:t>4(b)</w:t>
      </w:r>
      <w:r>
        <w:rPr>
          <w:b/>
        </w:rPr>
        <w:tab/>
        <w:t>Information Requested</w:t>
      </w:r>
    </w:p>
    <w:p w:rsidR="00CB3528" w:rsidRDefault="00CB3528" w:rsidP="00756E81">
      <w:pPr>
        <w:rPr>
          <w:b/>
        </w:rPr>
      </w:pPr>
    </w:p>
    <w:p w:rsidR="00CB3528" w:rsidRDefault="00CB3528" w:rsidP="00756E81">
      <w:r>
        <w:tab/>
        <w:t>The information requested under this ICR is prescribed by 40 CFR 51.908 (attainment demonstration), 51.910 (RFP SIP Submission), and 51.912 (RACT SIP Submission). The implementation framework set forth in the regulation does not adopt a “one-size-fits all” approach to meeting the attainment demonstration or RFP and RACT SIP submissions. This additional flexibility enables the states to customize, to the extent allowed by the Clean Air Act, their approach to attaining and maintaining the 8-hour Ozone NAAQS.</w:t>
      </w:r>
    </w:p>
    <w:p w:rsidR="00CB3528" w:rsidRDefault="00CB3528" w:rsidP="00756E81"/>
    <w:p w:rsidR="00CB3528" w:rsidRDefault="00CB3528" w:rsidP="00756E81">
      <w:r>
        <w:tab/>
      </w:r>
      <w:proofErr w:type="gramStart"/>
      <w:r>
        <w:rPr>
          <w:b/>
        </w:rPr>
        <w:t>Data Items.</w:t>
      </w:r>
      <w:proofErr w:type="gramEnd"/>
      <w:r w:rsidR="00821502">
        <w:rPr>
          <w:b/>
        </w:rPr>
        <w:t xml:space="preserve"> </w:t>
      </w:r>
      <w:r>
        <w:t xml:space="preserve">The emissions and control efficiency data required for the attainment demonstration, RFP SIP submission, and RACT SIP submission should have been collected as a result of reporting activities required by other OMB approved ICRs. For example, see the ICR associated with the Consolidated Emissions Reporting Rule: </w:t>
      </w:r>
      <w:hyperlink r:id="rId12" w:history="1">
        <w:r>
          <w:rPr>
            <w:rStyle w:val="Hyperlink"/>
          </w:rPr>
          <w:t>http://www.epa.gov/ttn/chief/cerr/index.html</w:t>
        </w:r>
      </w:hyperlink>
      <w:r>
        <w:t>.</w:t>
      </w:r>
      <w:r w:rsidR="00FA5F1B">
        <w:t xml:space="preserve"> </w:t>
      </w:r>
      <w:r>
        <w:t>In addition, air pollutant concentration data is covered already by ICR 0940-</w:t>
      </w:r>
      <w:r w:rsidR="009E2F0A">
        <w:t>22</w:t>
      </w:r>
      <w:r>
        <w:t>, OMB Control Number 2060-0084; the New Source Review provisions are covered by ICR 1230.</w:t>
      </w:r>
      <w:r w:rsidR="009E2F0A">
        <w:t>2</w:t>
      </w:r>
      <w:r w:rsidR="00572E75">
        <w:t>3</w:t>
      </w:r>
      <w:r>
        <w:t>, OM</w:t>
      </w:r>
      <w:r w:rsidR="00B24A9D">
        <w:t xml:space="preserve">B Control Number 2060-003; and </w:t>
      </w:r>
      <w:r>
        <w:t>the Reformulated Gasoline Requirements are covered ICR 1951.</w:t>
      </w:r>
      <w:r w:rsidR="009E2F0A">
        <w:t>24</w:t>
      </w:r>
      <w:r>
        <w:t>, OMB Control Number 2060-0277.</w:t>
      </w:r>
    </w:p>
    <w:p w:rsidR="00CB3528" w:rsidRDefault="00CB3528" w:rsidP="00756E81"/>
    <w:p w:rsidR="00CB3528" w:rsidRDefault="00CB3528" w:rsidP="00756E81">
      <w:pPr>
        <w:rPr>
          <w:b/>
          <w:i/>
        </w:rPr>
      </w:pPr>
      <w:r>
        <w:tab/>
        <w:t>There may be other data that the states use. For example, states may identify economic and population growth rates, federal rules that reduce future emissions of ozone precursors, and meteorological data. These data are presently available.</w:t>
      </w:r>
      <w:r w:rsidR="00FA5F1B">
        <w:rPr>
          <w:b/>
          <w:i/>
        </w:rPr>
        <w:t xml:space="preserve"> </w:t>
      </w:r>
    </w:p>
    <w:p w:rsidR="00CB3528" w:rsidRDefault="00CB3528" w:rsidP="00756E81"/>
    <w:p w:rsidR="00CB3528" w:rsidRDefault="00CB3528" w:rsidP="00756E81">
      <w:r>
        <w:tab/>
      </w:r>
      <w:proofErr w:type="gramStart"/>
      <w:r>
        <w:rPr>
          <w:b/>
        </w:rPr>
        <w:t>Respondents’ Activities.</w:t>
      </w:r>
      <w:proofErr w:type="gramEnd"/>
      <w:r w:rsidR="00FA5F1B">
        <w:rPr>
          <w:b/>
        </w:rPr>
        <w:t xml:space="preserve"> </w:t>
      </w:r>
      <w:r>
        <w:t xml:space="preserve">The states </w:t>
      </w:r>
      <w:r w:rsidR="00DB74EC">
        <w:t xml:space="preserve">have </w:t>
      </w:r>
      <w:r>
        <w:t>compile</w:t>
      </w:r>
      <w:r w:rsidR="00DB74EC">
        <w:t>d</w:t>
      </w:r>
      <w:r>
        <w:t xml:space="preserve"> data, set forth the methodology, conduct</w:t>
      </w:r>
      <w:r w:rsidR="00DB74EC">
        <w:t>ed</w:t>
      </w:r>
      <w:r>
        <w:t xml:space="preserve"> analyses, develop</w:t>
      </w:r>
      <w:r w:rsidR="00DB74EC">
        <w:t>ed initial drafts, hel</w:t>
      </w:r>
      <w:r>
        <w:t>d hearings, adopt</w:t>
      </w:r>
      <w:r w:rsidR="00DB74EC">
        <w:t>ed</w:t>
      </w:r>
      <w:r>
        <w:t xml:space="preserve"> rules, regulations, and programs, </w:t>
      </w:r>
      <w:r w:rsidR="00DB74EC">
        <w:t xml:space="preserve">had </w:t>
      </w:r>
      <w:r>
        <w:t xml:space="preserve">discussions with </w:t>
      </w:r>
      <w:r w:rsidR="00242EAD">
        <w:t xml:space="preserve">the </w:t>
      </w:r>
      <w:r>
        <w:t>EPA</w:t>
      </w:r>
      <w:r w:rsidR="00242EAD">
        <w:t>’s</w:t>
      </w:r>
      <w:r>
        <w:t xml:space="preserve"> staff as appropriate, refine</w:t>
      </w:r>
      <w:r w:rsidR="00DB74EC">
        <w:t>d</w:t>
      </w:r>
      <w:r>
        <w:t xml:space="preserve"> the draft demonstration and RFP and RACT SIP submissions as appropriate, adopt</w:t>
      </w:r>
      <w:r w:rsidR="00DB74EC">
        <w:t>ed</w:t>
      </w:r>
      <w:r>
        <w:t xml:space="preserve"> the SIP, and forward</w:t>
      </w:r>
      <w:r w:rsidR="00DB74EC">
        <w:t>ed</w:t>
      </w:r>
      <w:r>
        <w:t xml:space="preserve"> </w:t>
      </w:r>
      <w:r w:rsidR="009F652A">
        <w:t xml:space="preserve">that SIP </w:t>
      </w:r>
      <w:r>
        <w:t xml:space="preserve">to </w:t>
      </w:r>
      <w:r w:rsidR="00242EAD">
        <w:t xml:space="preserve">the </w:t>
      </w:r>
      <w:r>
        <w:t>EPA.</w:t>
      </w:r>
      <w:r w:rsidR="00DB74EC">
        <w:t xml:space="preserve"> These submitted data and activities have informed EPA’s designations for this renewal ICR.</w:t>
      </w:r>
    </w:p>
    <w:p w:rsidR="00CB3528" w:rsidRDefault="00CB3528" w:rsidP="00756E81"/>
    <w:p w:rsidR="00CB3528" w:rsidRDefault="00CB3528" w:rsidP="00756E81">
      <w:r>
        <w:tab/>
      </w:r>
      <w:proofErr w:type="gramStart"/>
      <w:r w:rsidR="00F3252C" w:rsidRPr="00F3252C">
        <w:rPr>
          <w:b/>
        </w:rPr>
        <w:t>EPA</w:t>
      </w:r>
      <w:r w:rsidR="00F3252C">
        <w:rPr>
          <w:b/>
        </w:rPr>
        <w:t>’s</w:t>
      </w:r>
      <w:r w:rsidRPr="00F3252C">
        <w:rPr>
          <w:b/>
        </w:rPr>
        <w:t xml:space="preserve"> </w:t>
      </w:r>
      <w:r>
        <w:rPr>
          <w:b/>
        </w:rPr>
        <w:t>Activities.</w:t>
      </w:r>
      <w:proofErr w:type="gramEnd"/>
      <w:r w:rsidR="00FA5F1B">
        <w:rPr>
          <w:b/>
        </w:rPr>
        <w:t xml:space="preserve"> </w:t>
      </w:r>
      <w:r w:rsidR="00242EAD">
        <w:t xml:space="preserve">The </w:t>
      </w:r>
      <w:r>
        <w:t>EPA staff in the regional offices may facilitate timely receipt of the attainment demonstration, RFP SIP submission, and RACT submission by reviewing materials and answering questions from the states regarding:</w:t>
      </w:r>
      <w:r w:rsidR="00FA5F1B">
        <w:t xml:space="preserve"> </w:t>
      </w:r>
      <w:r>
        <w:t xml:space="preserve">requirements, potential data sources, analysis tools, the draft attainment demonstration and other submissions. The EPA Regional Offices will evaluate the SIP submissions and take rulemaking actions to approve or disapprove the SIP revisions. </w:t>
      </w:r>
    </w:p>
    <w:p w:rsidR="00CB3528" w:rsidRDefault="00CB3528" w:rsidP="00756E81"/>
    <w:p w:rsidR="00CB3528" w:rsidRDefault="00CB3528" w:rsidP="00756E81">
      <w:r>
        <w:tab/>
      </w:r>
      <w:r w:rsidR="00242EAD">
        <w:t xml:space="preserve">The </w:t>
      </w:r>
      <w:r>
        <w:t>EPA headquarters staff will facilitate information flow amongst the regions and states to foster timely attainment of acceptable demonstrations and SIP submissions.</w:t>
      </w:r>
    </w:p>
    <w:p w:rsidR="00CB3528" w:rsidRDefault="00CB3528" w:rsidP="00756E81"/>
    <w:p w:rsidR="00CB3528" w:rsidRDefault="00CB3528" w:rsidP="00756E81">
      <w:r>
        <w:tab/>
      </w:r>
      <w:proofErr w:type="gramStart"/>
      <w:r>
        <w:rPr>
          <w:b/>
        </w:rPr>
        <w:t>Reporting Protocols.</w:t>
      </w:r>
      <w:proofErr w:type="gramEnd"/>
      <w:r w:rsidR="00FA5F1B">
        <w:rPr>
          <w:b/>
        </w:rPr>
        <w:t xml:space="preserve"> </w:t>
      </w:r>
      <w:r>
        <w:t>The dates for the submissions are set forth in the final implementation rule (40 CFR 51.508, 51.910, and 51.912).</w:t>
      </w:r>
    </w:p>
    <w:p w:rsidR="00CB3528" w:rsidRDefault="00CB3528" w:rsidP="00756E81"/>
    <w:p w:rsidR="00CB3528" w:rsidRDefault="00DE3971" w:rsidP="00756E81">
      <w:r>
        <w:br w:type="page"/>
      </w:r>
    </w:p>
    <w:p w:rsidR="00CB3528" w:rsidRPr="001A3469" w:rsidRDefault="00CB3528" w:rsidP="00756E81">
      <w:pPr>
        <w:numPr>
          <w:ilvl w:val="0"/>
          <w:numId w:val="7"/>
        </w:numPr>
        <w:tabs>
          <w:tab w:val="clear" w:pos="1440"/>
          <w:tab w:val="num" w:pos="1080"/>
        </w:tabs>
        <w:ind w:left="1080"/>
        <w:rPr>
          <w:b/>
          <w:sz w:val="28"/>
          <w:szCs w:val="28"/>
        </w:rPr>
      </w:pPr>
      <w:r w:rsidRPr="001A3469">
        <w:rPr>
          <w:b/>
          <w:sz w:val="28"/>
          <w:szCs w:val="28"/>
        </w:rPr>
        <w:lastRenderedPageBreak/>
        <w:t>Information Collected—Agency Activities, Collection Methodology, and Information Management</w:t>
      </w:r>
    </w:p>
    <w:p w:rsidR="00CB3528" w:rsidRDefault="00CB3528" w:rsidP="00756E81">
      <w:pPr>
        <w:rPr>
          <w:sz w:val="28"/>
          <w:szCs w:val="28"/>
        </w:rPr>
      </w:pPr>
    </w:p>
    <w:p w:rsidR="00CB3528" w:rsidRDefault="00CB3528" w:rsidP="00756E81">
      <w:pPr>
        <w:rPr>
          <w:b/>
        </w:rPr>
      </w:pPr>
      <w:r>
        <w:rPr>
          <w:b/>
        </w:rPr>
        <w:t>5(a)</w:t>
      </w:r>
      <w:r w:rsidR="00572E75">
        <w:rPr>
          <w:b/>
        </w:rPr>
        <w:tab/>
      </w:r>
      <w:r>
        <w:rPr>
          <w:b/>
        </w:rPr>
        <w:t>States, EPA Regional Offices, and EPA Headquarters Offices</w:t>
      </w:r>
    </w:p>
    <w:p w:rsidR="00CB3528" w:rsidRDefault="00CB3528" w:rsidP="00756E81">
      <w:pPr>
        <w:rPr>
          <w:b/>
        </w:rPr>
      </w:pPr>
    </w:p>
    <w:p w:rsidR="00CB3528" w:rsidRDefault="009009C7" w:rsidP="00756E81">
      <w:r>
        <w:rPr>
          <w:b/>
        </w:rPr>
        <w:tab/>
      </w:r>
      <w:r w:rsidR="00CB3528">
        <w:rPr>
          <w:b/>
        </w:rPr>
        <w:t>States:</w:t>
      </w:r>
      <w:r w:rsidR="00FA5F1B">
        <w:rPr>
          <w:b/>
        </w:rPr>
        <w:t xml:space="preserve"> </w:t>
      </w:r>
      <w:r w:rsidR="00CB3528">
        <w:t>The states agencies’ activities include</w:t>
      </w:r>
      <w:r w:rsidR="001607FC">
        <w:rPr>
          <w:rStyle w:val="FootnoteReference"/>
        </w:rPr>
        <w:footnoteReference w:id="6"/>
      </w:r>
      <w:r w:rsidR="00CB3528">
        <w:t>:</w:t>
      </w:r>
    </w:p>
    <w:p w:rsidR="00CB3528" w:rsidRDefault="00CB3528" w:rsidP="00756E81">
      <w:pPr>
        <w:numPr>
          <w:ilvl w:val="0"/>
          <w:numId w:val="8"/>
        </w:numPr>
        <w:tabs>
          <w:tab w:val="clear" w:pos="1080"/>
          <w:tab w:val="num" w:pos="720"/>
        </w:tabs>
        <w:ind w:left="720"/>
      </w:pPr>
      <w:r>
        <w:t>Forecast baseline emissions, develop and evaluate emission reduction strategies where warranted, conduct air quality modeling to verify maintenance and attainment of the 8-hour Ozone NAAQS</w:t>
      </w:r>
      <w:r w:rsidR="00597B08">
        <w:t>.</w:t>
      </w:r>
    </w:p>
    <w:p w:rsidR="00CB3528" w:rsidRDefault="00CB3528" w:rsidP="00756E81">
      <w:pPr>
        <w:numPr>
          <w:ilvl w:val="0"/>
          <w:numId w:val="8"/>
        </w:numPr>
        <w:tabs>
          <w:tab w:val="clear" w:pos="1080"/>
          <w:tab w:val="num" w:pos="720"/>
        </w:tabs>
        <w:ind w:left="720"/>
      </w:pPr>
      <w:r>
        <w:t>Calculate the emission reductions necessary to fulfill RFP requirement, determine creditable emission reductions, where necessary determine additional emission reductions and compliance timing to meet RFP requirement. Draft findings, hold state hearings, make revisions as warranted.</w:t>
      </w:r>
      <w:r w:rsidR="00FA5F1B">
        <w:t xml:space="preserve"> </w:t>
      </w:r>
      <w:r>
        <w:t xml:space="preserve">Submit RFP SIP to </w:t>
      </w:r>
      <w:r w:rsidR="00242EAD">
        <w:t xml:space="preserve">the appropriate </w:t>
      </w:r>
      <w:r>
        <w:t xml:space="preserve">EPA Regional office. Have discussions with </w:t>
      </w:r>
      <w:r w:rsidR="00242EAD">
        <w:t xml:space="preserve">the </w:t>
      </w:r>
      <w:r>
        <w:t>EPA.</w:t>
      </w:r>
    </w:p>
    <w:p w:rsidR="00CB3528" w:rsidRDefault="00CB3528" w:rsidP="00756E81">
      <w:pPr>
        <w:numPr>
          <w:ilvl w:val="0"/>
          <w:numId w:val="8"/>
        </w:numPr>
        <w:tabs>
          <w:tab w:val="clear" w:pos="1080"/>
          <w:tab w:val="num" w:pos="720"/>
        </w:tabs>
        <w:ind w:left="720"/>
      </w:pPr>
      <w:r>
        <w:t>Identify RACT applicable sources and their control measures under baseline and attainment conditions; and evaluate alternatives. Draft findings, hold state hearings, make revisions as warranted.</w:t>
      </w:r>
      <w:r w:rsidR="00FA5F1B">
        <w:t xml:space="preserve"> </w:t>
      </w:r>
      <w:r>
        <w:t xml:space="preserve">Submit RACT SIP to </w:t>
      </w:r>
      <w:r w:rsidR="00597B08">
        <w:t xml:space="preserve">the </w:t>
      </w:r>
      <w:r>
        <w:t xml:space="preserve">EPA Regional Office. Have discussions with </w:t>
      </w:r>
      <w:r w:rsidR="00242EAD">
        <w:t xml:space="preserve">the </w:t>
      </w:r>
      <w:r>
        <w:t>EPA.</w:t>
      </w:r>
    </w:p>
    <w:p w:rsidR="00CB3528" w:rsidRDefault="00CB3528" w:rsidP="00756E81"/>
    <w:p w:rsidR="00CB3528" w:rsidRDefault="009009C7" w:rsidP="00756E81">
      <w:r>
        <w:rPr>
          <w:b/>
        </w:rPr>
        <w:tab/>
      </w:r>
      <w:proofErr w:type="gramStart"/>
      <w:r w:rsidR="00CB3528">
        <w:rPr>
          <w:b/>
        </w:rPr>
        <w:t>EPA Regional Offices.</w:t>
      </w:r>
      <w:proofErr w:type="gramEnd"/>
      <w:r w:rsidR="00FA5F1B">
        <w:rPr>
          <w:b/>
        </w:rPr>
        <w:t xml:space="preserve"> </w:t>
      </w:r>
      <w:r w:rsidR="00CB3528">
        <w:t>The regional office activities include:</w:t>
      </w:r>
    </w:p>
    <w:p w:rsidR="00CB3528" w:rsidRDefault="00CB3528" w:rsidP="00756E81">
      <w:pPr>
        <w:numPr>
          <w:ilvl w:val="0"/>
          <w:numId w:val="9"/>
        </w:numPr>
        <w:tabs>
          <w:tab w:val="clear" w:pos="1080"/>
          <w:tab w:val="num" w:pos="720"/>
        </w:tabs>
        <w:ind w:left="720"/>
      </w:pPr>
      <w:r>
        <w:t>Answering inquiries put forth by the states.</w:t>
      </w:r>
    </w:p>
    <w:p w:rsidR="00CB3528" w:rsidRDefault="00CB3528" w:rsidP="00756E81">
      <w:pPr>
        <w:numPr>
          <w:ilvl w:val="0"/>
          <w:numId w:val="9"/>
        </w:numPr>
        <w:tabs>
          <w:tab w:val="clear" w:pos="1080"/>
          <w:tab w:val="num" w:pos="720"/>
        </w:tabs>
        <w:ind w:left="720"/>
      </w:pPr>
      <w:r>
        <w:t>Reviewing data, analysis, and findings of attainment demonstration, RFP SIP and RACT SIP.</w:t>
      </w:r>
    </w:p>
    <w:p w:rsidR="00CB3528" w:rsidRDefault="00CB3528" w:rsidP="00756E81">
      <w:pPr>
        <w:numPr>
          <w:ilvl w:val="0"/>
          <w:numId w:val="9"/>
        </w:numPr>
        <w:tabs>
          <w:tab w:val="clear" w:pos="1080"/>
          <w:tab w:val="num" w:pos="720"/>
        </w:tabs>
        <w:ind w:left="720"/>
      </w:pPr>
      <w:r>
        <w:t>Rulemaking actions approving or disapproving the SIP submissions</w:t>
      </w:r>
      <w:r w:rsidR="00597B08">
        <w:t>.</w:t>
      </w:r>
    </w:p>
    <w:p w:rsidR="00CB3528" w:rsidRDefault="00CB3528" w:rsidP="00756E81"/>
    <w:p w:rsidR="00CB3528" w:rsidRDefault="009009C7" w:rsidP="00756E81">
      <w:r>
        <w:rPr>
          <w:b/>
        </w:rPr>
        <w:tab/>
      </w:r>
      <w:r w:rsidR="00CB3528">
        <w:rPr>
          <w:b/>
        </w:rPr>
        <w:t>EPA Headquarters.</w:t>
      </w:r>
      <w:r w:rsidR="00821502">
        <w:t xml:space="preserve"> </w:t>
      </w:r>
      <w:r w:rsidR="00CB3528">
        <w:t>The EPA headquarters office activities include:</w:t>
      </w:r>
    </w:p>
    <w:p w:rsidR="00CB3528" w:rsidRDefault="00CB3528" w:rsidP="00756E81">
      <w:pPr>
        <w:numPr>
          <w:ilvl w:val="0"/>
          <w:numId w:val="10"/>
        </w:numPr>
        <w:tabs>
          <w:tab w:val="clear" w:pos="1080"/>
          <w:tab w:val="num" w:pos="720"/>
        </w:tabs>
        <w:ind w:left="720"/>
      </w:pPr>
      <w:r>
        <w:t>Facilitating information flow and problem solving amongst the regions regarding demonstrations and submittals from the states</w:t>
      </w:r>
      <w:r w:rsidR="00597B08">
        <w:t>.</w:t>
      </w:r>
    </w:p>
    <w:p w:rsidR="00CB3528" w:rsidRDefault="00CB3528" w:rsidP="00756E81">
      <w:pPr>
        <w:numPr>
          <w:ilvl w:val="0"/>
          <w:numId w:val="10"/>
        </w:numPr>
        <w:tabs>
          <w:tab w:val="clear" w:pos="1080"/>
          <w:tab w:val="num" w:pos="720"/>
        </w:tabs>
        <w:ind w:left="720"/>
      </w:pPr>
      <w:r>
        <w:t>Answering questions regarding application and interpretation of salient rule provisions.</w:t>
      </w:r>
    </w:p>
    <w:p w:rsidR="00CB3528" w:rsidRDefault="00CB3528" w:rsidP="00756E81"/>
    <w:p w:rsidR="00CB3528" w:rsidRDefault="00CB3528" w:rsidP="00756E81">
      <w:pPr>
        <w:rPr>
          <w:b/>
        </w:rPr>
      </w:pPr>
      <w:r>
        <w:rPr>
          <w:b/>
        </w:rPr>
        <w:t>5(b)</w:t>
      </w:r>
      <w:r>
        <w:rPr>
          <w:b/>
        </w:rPr>
        <w:tab/>
        <w:t>Collection Methodology and Management</w:t>
      </w:r>
    </w:p>
    <w:p w:rsidR="00CB3528" w:rsidRDefault="00CB3528" w:rsidP="00756E81">
      <w:pPr>
        <w:rPr>
          <w:b/>
        </w:rPr>
      </w:pPr>
    </w:p>
    <w:p w:rsidR="00CB3528" w:rsidRDefault="00CB3528" w:rsidP="00756E81">
      <w:r>
        <w:rPr>
          <w:b/>
        </w:rPr>
        <w:tab/>
      </w:r>
      <w:r>
        <w:t>The attainment demonstration and the RFP and RACT SIP submittals will set forth the data sources and analytical methods, as well as the emission reduction and air quality improvement verification procedures.</w:t>
      </w:r>
    </w:p>
    <w:p w:rsidR="00CB3528" w:rsidRDefault="00CB3528" w:rsidP="00756E81"/>
    <w:p w:rsidR="00CB3528" w:rsidRDefault="00CB3528" w:rsidP="00756E81">
      <w:pPr>
        <w:rPr>
          <w:b/>
        </w:rPr>
      </w:pPr>
      <w:proofErr w:type="gramStart"/>
      <w:r>
        <w:rPr>
          <w:b/>
        </w:rPr>
        <w:t>5(c)</w:t>
      </w:r>
      <w:r>
        <w:rPr>
          <w:b/>
        </w:rPr>
        <w:tab/>
        <w:t>Small Entity Flexibility</w:t>
      </w:r>
      <w:proofErr w:type="gramEnd"/>
    </w:p>
    <w:p w:rsidR="00CB3528" w:rsidRDefault="00CB3528" w:rsidP="00756E81">
      <w:pPr>
        <w:rPr>
          <w:b/>
        </w:rPr>
      </w:pPr>
    </w:p>
    <w:p w:rsidR="00CB3528" w:rsidRDefault="009009C7" w:rsidP="009009C7">
      <w:r>
        <w:tab/>
      </w:r>
      <w:r w:rsidR="00CB3528">
        <w:t xml:space="preserve">For an approved ICR, the </w:t>
      </w:r>
      <w:r w:rsidR="00F3252C">
        <w:t>EPA</w:t>
      </w:r>
      <w:r w:rsidR="00CB3528">
        <w:t xml:space="preserve"> must demonstrate that it has taken all</w:t>
      </w:r>
      <w:r w:rsidR="00572E75">
        <w:t xml:space="preserve"> </w:t>
      </w:r>
      <w:r w:rsidR="00CB3528">
        <w:t>practical steps to develop separate and simplified requirements for small businesses and other small entities.</w:t>
      </w:r>
      <w:r w:rsidR="00FA5F1B">
        <w:t xml:space="preserve"> </w:t>
      </w:r>
      <w:r w:rsidR="00CB3528">
        <w:t>See 5 CFR 1320.6(h).</w:t>
      </w:r>
      <w:r w:rsidR="00FA5F1B">
        <w:t xml:space="preserve"> </w:t>
      </w:r>
      <w:r w:rsidR="00CB3528">
        <w:t>The 8-hour Ozone NAAQS implementation regulation does not provide a direct administrative burden on small entities.</w:t>
      </w:r>
    </w:p>
    <w:p w:rsidR="002C32CC" w:rsidRDefault="002C32CC" w:rsidP="00756E81">
      <w:pPr>
        <w:ind w:hanging="360"/>
      </w:pPr>
    </w:p>
    <w:p w:rsidR="00CB3528" w:rsidRPr="009009C7" w:rsidRDefault="00CB3528" w:rsidP="009009C7">
      <w:pPr>
        <w:rPr>
          <w:b/>
        </w:rPr>
      </w:pPr>
      <w:r w:rsidRPr="009009C7">
        <w:rPr>
          <w:b/>
        </w:rPr>
        <w:lastRenderedPageBreak/>
        <w:t>5(d)</w:t>
      </w:r>
      <w:r w:rsidRPr="009009C7">
        <w:rPr>
          <w:b/>
        </w:rPr>
        <w:tab/>
        <w:t>Collection Schedule</w:t>
      </w:r>
    </w:p>
    <w:p w:rsidR="00CB3528" w:rsidRDefault="00CB3528" w:rsidP="009009C7"/>
    <w:p w:rsidR="00CB3528" w:rsidRDefault="009009C7" w:rsidP="009009C7">
      <w:r>
        <w:tab/>
      </w:r>
      <w:r w:rsidR="00CB3528">
        <w:t xml:space="preserve">During the period from </w:t>
      </w:r>
      <w:r w:rsidR="007F2B99">
        <w:t>August 1, 201</w:t>
      </w:r>
      <w:r w:rsidR="006D2057">
        <w:t>3</w:t>
      </w:r>
      <w:r w:rsidR="00CB3528">
        <w:t xml:space="preserve"> through </w:t>
      </w:r>
      <w:r w:rsidR="007F2B99">
        <w:t>July 31, 201</w:t>
      </w:r>
      <w:r w:rsidR="006D2057">
        <w:t>6</w:t>
      </w:r>
      <w:r w:rsidR="00CB3528">
        <w:t>, there are three sets of scheduled deliverables: attainment demonstration; RFP SIP submission; and RACT SIP submission.</w:t>
      </w:r>
    </w:p>
    <w:p w:rsidR="00CB3528" w:rsidRDefault="00CB3528" w:rsidP="009009C7"/>
    <w:p w:rsidR="00AF1B00" w:rsidRDefault="009009C7" w:rsidP="009009C7">
      <w:r>
        <w:tab/>
      </w:r>
      <w:proofErr w:type="gramStart"/>
      <w:r w:rsidR="00CB3528" w:rsidRPr="009009C7">
        <w:rPr>
          <w:b/>
        </w:rPr>
        <w:t>Attainment Demonstration</w:t>
      </w:r>
      <w:r w:rsidR="00CB3528">
        <w:t>.</w:t>
      </w:r>
      <w:proofErr w:type="gramEnd"/>
      <w:r w:rsidR="00CB3528">
        <w:t xml:space="preserve"> </w:t>
      </w:r>
      <w:r w:rsidR="00D04F44">
        <w:t xml:space="preserve">If the EPA takes </w:t>
      </w:r>
      <w:r w:rsidR="00AF1B00">
        <w:t>a</w:t>
      </w:r>
      <w:r w:rsidR="00D04F44">
        <w:t xml:space="preserve">n action to reclassify areas that might not attain by their </w:t>
      </w:r>
      <w:proofErr w:type="gramStart"/>
      <w:r w:rsidR="00D04F44">
        <w:t>Serious</w:t>
      </w:r>
      <w:proofErr w:type="gramEnd"/>
      <w:r w:rsidR="00D04F44">
        <w:t xml:space="preserve"> area attainment date, t</w:t>
      </w:r>
      <w:r w:rsidR="00CB3528">
        <w:t xml:space="preserve">he demonstration submission date </w:t>
      </w:r>
      <w:r w:rsidR="00D04F44">
        <w:t xml:space="preserve">for the areas will be specified in the EPA action. At the time of this ICR, EPA assumes the submission due date would be prior to July 31, 2016. </w:t>
      </w:r>
    </w:p>
    <w:p w:rsidR="00AF1B00" w:rsidRDefault="00AF1B00" w:rsidP="009009C7"/>
    <w:p w:rsidR="00CB3528" w:rsidRDefault="00D04F44" w:rsidP="00AF1B00">
      <w:pPr>
        <w:ind w:firstLine="720"/>
      </w:pPr>
      <w:r>
        <w:t>The attainment demonstration submission due date was June 13, 2013 for former subpart 1 re-designated as subpart 2 Moderate areas. Currently, all the former subpart 1 re-designated as subpart Moderate areas are meeting the 1997 ozone NAAQS with a Clean Data Determination resulting in the attainment planning SIP not being required at this time.</w:t>
      </w:r>
    </w:p>
    <w:p w:rsidR="00CB3528" w:rsidRDefault="00CB3528" w:rsidP="009009C7"/>
    <w:p w:rsidR="00CB3528" w:rsidRDefault="00CB3528" w:rsidP="009009C7">
      <w:pPr>
        <w:rPr>
          <w:sz w:val="28"/>
          <w:szCs w:val="28"/>
        </w:rPr>
      </w:pPr>
      <w:r>
        <w:tab/>
      </w:r>
      <w:proofErr w:type="gramStart"/>
      <w:r w:rsidRPr="009009C7">
        <w:rPr>
          <w:b/>
        </w:rPr>
        <w:t>RFP SIP Submission</w:t>
      </w:r>
      <w:r>
        <w:t>.</w:t>
      </w:r>
      <w:proofErr w:type="gramEnd"/>
      <w:r w:rsidR="00821502">
        <w:t xml:space="preserve"> </w:t>
      </w:r>
      <w:r w:rsidR="00D04F44">
        <w:t xml:space="preserve">If the EPA takes an action to reclassify areas that might not attain by their </w:t>
      </w:r>
      <w:proofErr w:type="gramStart"/>
      <w:r w:rsidR="00D04F44">
        <w:t>Serious</w:t>
      </w:r>
      <w:proofErr w:type="gramEnd"/>
      <w:r w:rsidR="00D04F44">
        <w:t xml:space="preserve"> area attainment date, the RFP date for the areas will be specified in the EPA action. At the time of this ICR, the EPA assumes the submission due date would be prior to July 31, 2016. </w:t>
      </w:r>
      <w:r>
        <w:t xml:space="preserve">The RFP SIP submission </w:t>
      </w:r>
      <w:r w:rsidR="00D04F44">
        <w:t xml:space="preserve">due </w:t>
      </w:r>
      <w:r w:rsidRPr="00860B97">
        <w:t xml:space="preserve">date </w:t>
      </w:r>
      <w:r w:rsidR="00D04F44">
        <w:t>wa</w:t>
      </w:r>
      <w:r w:rsidRPr="00860B97">
        <w:t>s June 1</w:t>
      </w:r>
      <w:r w:rsidR="00D04F44">
        <w:t>3</w:t>
      </w:r>
      <w:r w:rsidRPr="00860B97">
        <w:t>, 20</w:t>
      </w:r>
      <w:r w:rsidR="004316CF" w:rsidRPr="00860B97">
        <w:t>1</w:t>
      </w:r>
      <w:r w:rsidR="00860B97" w:rsidRPr="00860B97">
        <w:t>3</w:t>
      </w:r>
      <w:r>
        <w:t xml:space="preserve"> for </w:t>
      </w:r>
      <w:r w:rsidR="004316CF">
        <w:t xml:space="preserve">former </w:t>
      </w:r>
      <w:r w:rsidR="00597B08">
        <w:t>s</w:t>
      </w:r>
      <w:r>
        <w:t xml:space="preserve">ubpart 1 </w:t>
      </w:r>
      <w:r w:rsidR="004316CF">
        <w:t>re-</w:t>
      </w:r>
      <w:r>
        <w:t xml:space="preserve">designated </w:t>
      </w:r>
      <w:r w:rsidR="004316CF">
        <w:t xml:space="preserve">as </w:t>
      </w:r>
      <w:r w:rsidR="00D04F44">
        <w:t xml:space="preserve">subpart 2 </w:t>
      </w:r>
      <w:r w:rsidR="00597B08">
        <w:t>M</w:t>
      </w:r>
      <w:r w:rsidR="004316CF">
        <w:t>oderate</w:t>
      </w:r>
      <w:r w:rsidR="00D04F44">
        <w:t xml:space="preserve"> areas. Currently, all the former subpart 1 re-designated as subpart 2 Moderate areas are meeting the 1997 ozone NAAQS with a Clean Data Determination resulting in the RFP planning SIP not being required at this time.</w:t>
      </w:r>
    </w:p>
    <w:p w:rsidR="00CB3528" w:rsidRDefault="00CB3528" w:rsidP="009009C7"/>
    <w:p w:rsidR="00CB3528" w:rsidRDefault="00CB3528" w:rsidP="00756E81">
      <w:r>
        <w:tab/>
      </w:r>
      <w:proofErr w:type="gramStart"/>
      <w:r w:rsidRPr="009009C7">
        <w:rPr>
          <w:b/>
        </w:rPr>
        <w:t>RACT SIP Submission</w:t>
      </w:r>
      <w:r>
        <w:t>.</w:t>
      </w:r>
      <w:proofErr w:type="gramEnd"/>
      <w:r>
        <w:t xml:space="preserve"> </w:t>
      </w:r>
      <w:r w:rsidR="00D112AC">
        <w:t>T</w:t>
      </w:r>
      <w:r>
        <w:t>he RACT SIP subm</w:t>
      </w:r>
      <w:r w:rsidR="00750286">
        <w:t xml:space="preserve">ission </w:t>
      </w:r>
      <w:r w:rsidR="00D112AC">
        <w:t xml:space="preserve">due </w:t>
      </w:r>
      <w:r w:rsidR="00750286">
        <w:t xml:space="preserve">date </w:t>
      </w:r>
      <w:r w:rsidR="00D112AC">
        <w:t>wa</w:t>
      </w:r>
      <w:r w:rsidR="00750286">
        <w:t xml:space="preserve">s </w:t>
      </w:r>
      <w:r w:rsidR="00D112AC">
        <w:t>June 13, 2013 for former subpart 1 re-designated as subpart 2 Moderate areas.</w:t>
      </w:r>
    </w:p>
    <w:p w:rsidR="00CB3528" w:rsidRDefault="00CB3528" w:rsidP="00756E81"/>
    <w:p w:rsidR="00CB3528" w:rsidRDefault="00CB3528" w:rsidP="00756E81">
      <w:pPr>
        <w:numPr>
          <w:ilvl w:val="0"/>
          <w:numId w:val="12"/>
        </w:numPr>
        <w:tabs>
          <w:tab w:val="clear" w:pos="720"/>
          <w:tab w:val="num" w:pos="360"/>
        </w:tabs>
        <w:ind w:left="360"/>
        <w:rPr>
          <w:b/>
          <w:sz w:val="28"/>
          <w:szCs w:val="28"/>
        </w:rPr>
      </w:pPr>
      <w:r>
        <w:rPr>
          <w:b/>
          <w:sz w:val="28"/>
          <w:szCs w:val="28"/>
        </w:rPr>
        <w:t xml:space="preserve">Estimating the Burden </w:t>
      </w:r>
      <w:r w:rsidR="009F652A">
        <w:rPr>
          <w:b/>
          <w:sz w:val="28"/>
          <w:szCs w:val="28"/>
        </w:rPr>
        <w:t xml:space="preserve">and Cost </w:t>
      </w:r>
      <w:r>
        <w:rPr>
          <w:b/>
          <w:sz w:val="28"/>
          <w:szCs w:val="28"/>
        </w:rPr>
        <w:t>of the Collection</w:t>
      </w:r>
    </w:p>
    <w:p w:rsidR="00CB3528" w:rsidRDefault="00CB3528" w:rsidP="009009C7"/>
    <w:p w:rsidR="00CB3528" w:rsidRDefault="00CB3528" w:rsidP="009009C7">
      <w:r>
        <w:tab/>
        <w:t xml:space="preserve">This section provides information on the cost and hours associated with the information collection for both the respondents (the affected states) and the </w:t>
      </w:r>
      <w:r w:rsidR="00DA35E4">
        <w:t>EPA</w:t>
      </w:r>
      <w:r>
        <w:t xml:space="preserve"> (regional and headquarters offices). Hours and costs are presented for the activities associated with each collection item for a non-attainment area (or segment) in a given state, as well as the equivalent annual and present value numbers.</w:t>
      </w:r>
    </w:p>
    <w:p w:rsidR="00CB3528" w:rsidRDefault="00CB3528" w:rsidP="009009C7"/>
    <w:p w:rsidR="00CB3528" w:rsidRPr="009009C7" w:rsidRDefault="00CB3528" w:rsidP="009009C7">
      <w:pPr>
        <w:rPr>
          <w:b/>
        </w:rPr>
      </w:pPr>
      <w:r w:rsidRPr="009009C7">
        <w:rPr>
          <w:b/>
        </w:rPr>
        <w:t>6(a)</w:t>
      </w:r>
      <w:r w:rsidRPr="009009C7">
        <w:rPr>
          <w:b/>
        </w:rPr>
        <w:tab/>
        <w:t>Estimating Respondent Burden</w:t>
      </w:r>
    </w:p>
    <w:p w:rsidR="00CB3528" w:rsidRDefault="00CB3528" w:rsidP="009009C7"/>
    <w:p w:rsidR="00CB3528" w:rsidRDefault="00CB3528" w:rsidP="009009C7">
      <w:r>
        <w:tab/>
        <w:t>The estimated respondent burden is that associated with the activities which result in the attainment demonstration, RFP SIP submission, and RACT SIP submission.</w:t>
      </w:r>
    </w:p>
    <w:p w:rsidR="00CB3528" w:rsidRDefault="00CB3528" w:rsidP="009009C7"/>
    <w:p w:rsidR="00CB3528" w:rsidRDefault="00CB3528" w:rsidP="009009C7">
      <w:r>
        <w:tab/>
        <w:t>The estimated burden is incremental to that required by other EPA environmental reporting obligations. The incremental burden for some areas may be less than for others. There are several reasons for this disparity.</w:t>
      </w:r>
    </w:p>
    <w:p w:rsidR="009009C7" w:rsidRDefault="009009C7" w:rsidP="009009C7"/>
    <w:p w:rsidR="009009C7" w:rsidRDefault="00CB3528" w:rsidP="009009C7">
      <w:pPr>
        <w:numPr>
          <w:ilvl w:val="0"/>
          <w:numId w:val="26"/>
        </w:numPr>
      </w:pPr>
      <w:r>
        <w:t>The severity of the non-attainment problem varies among the designated areas.</w:t>
      </w:r>
    </w:p>
    <w:p w:rsidR="009009C7" w:rsidRDefault="00CB3528" w:rsidP="009009C7">
      <w:pPr>
        <w:numPr>
          <w:ilvl w:val="0"/>
          <w:numId w:val="26"/>
        </w:numPr>
      </w:pPr>
      <w:r>
        <w:lastRenderedPageBreak/>
        <w:t>Certain areas or parts of areas may already have developed and implemented RACT requirements.</w:t>
      </w:r>
    </w:p>
    <w:p w:rsidR="009009C7" w:rsidRDefault="00CB3528" w:rsidP="009009C7">
      <w:pPr>
        <w:numPr>
          <w:ilvl w:val="0"/>
          <w:numId w:val="26"/>
        </w:numPr>
      </w:pPr>
      <w:r>
        <w:t>Some areas may have future predicted 8-hour ozone design values which demonstrate attainment in expeditious and practicable fashion, within 5 years of designation, under baseline conditions.</w:t>
      </w:r>
    </w:p>
    <w:p w:rsidR="00CB3528" w:rsidRDefault="00CB3528" w:rsidP="009009C7">
      <w:pPr>
        <w:numPr>
          <w:ilvl w:val="0"/>
          <w:numId w:val="26"/>
        </w:numPr>
      </w:pPr>
      <w:r>
        <w:t>Some areas may fulfill the RFP requirement as a result of creditable emission reductions resulting from federal rules that reduce ozone precursor emissions.</w:t>
      </w:r>
    </w:p>
    <w:p w:rsidR="00CB3528" w:rsidRDefault="00CB3528" w:rsidP="009009C7"/>
    <w:p w:rsidR="00CB3528" w:rsidRDefault="00E91B26" w:rsidP="009009C7">
      <w:r>
        <w:tab/>
      </w:r>
      <w:proofErr w:type="gramStart"/>
      <w:r w:rsidR="00CB3528" w:rsidRPr="009009C7">
        <w:rPr>
          <w:b/>
        </w:rPr>
        <w:t>Non-attainment Areas</w:t>
      </w:r>
      <w:r w:rsidR="00CB3528" w:rsidRPr="00B24A9D">
        <w:t>.</w:t>
      </w:r>
      <w:proofErr w:type="gramEnd"/>
      <w:r w:rsidR="00821502">
        <w:t xml:space="preserve"> </w:t>
      </w:r>
      <w:r w:rsidR="005A007C">
        <w:t xml:space="preserve">The </w:t>
      </w:r>
      <w:r w:rsidR="00A26988">
        <w:t>s</w:t>
      </w:r>
      <w:r w:rsidR="005A007C">
        <w:t>ubpart 1 non-attainment areas d</w:t>
      </w:r>
      <w:r w:rsidR="00741AEF">
        <w:t>efinition was vacated in 2007</w:t>
      </w:r>
      <w:r w:rsidR="005A007C">
        <w:t xml:space="preserve"> </w:t>
      </w:r>
      <w:r w:rsidR="00741AEF">
        <w:t>after</w:t>
      </w:r>
      <w:r w:rsidR="005A007C">
        <w:t xml:space="preserve"> the publication of the 8-hour ozone NAAQS. </w:t>
      </w:r>
      <w:r w:rsidR="00741AEF">
        <w:t xml:space="preserve">Reclassifications </w:t>
      </w:r>
      <w:r w:rsidR="00416F2D">
        <w:t xml:space="preserve">of these areas </w:t>
      </w:r>
      <w:r w:rsidR="00741AEF">
        <w:t xml:space="preserve">were </w:t>
      </w:r>
      <w:r w:rsidR="00D112AC">
        <w:t>promulgated</w:t>
      </w:r>
      <w:r w:rsidR="00741AEF">
        <w:t xml:space="preserve"> and published in the Federal Register on </w:t>
      </w:r>
      <w:r w:rsidR="00AF1B00">
        <w:t>May 14, 2012 (77 FR 28423)</w:t>
      </w:r>
      <w:r w:rsidR="00741AEF">
        <w:t>.</w:t>
      </w:r>
      <w:r w:rsidR="00416F2D">
        <w:t xml:space="preserve"> As of this ICR, </w:t>
      </w:r>
      <w:r w:rsidR="00D112AC">
        <w:t>two</w:t>
      </w:r>
      <w:r w:rsidR="00416F2D">
        <w:t xml:space="preserve"> of the former </w:t>
      </w:r>
      <w:r w:rsidR="00A26988">
        <w:t>s</w:t>
      </w:r>
      <w:r w:rsidR="00416F2D">
        <w:t>u</w:t>
      </w:r>
      <w:r w:rsidR="0075023C">
        <w:t>bp</w:t>
      </w:r>
      <w:r w:rsidR="00416F2D">
        <w:t xml:space="preserve">art 1 </w:t>
      </w:r>
      <w:proofErr w:type="gramStart"/>
      <w:r w:rsidR="00416F2D">
        <w:t>areas</w:t>
      </w:r>
      <w:proofErr w:type="gramEnd"/>
      <w:r w:rsidR="00416F2D">
        <w:t xml:space="preserve"> have </w:t>
      </w:r>
      <w:proofErr w:type="spellStart"/>
      <w:r w:rsidR="00416F2D">
        <w:t>redesignat</w:t>
      </w:r>
      <w:r w:rsidR="00D112AC">
        <w:t>ed</w:t>
      </w:r>
      <w:proofErr w:type="spellEnd"/>
      <w:r w:rsidR="00416F2D">
        <w:t xml:space="preserve"> </w:t>
      </w:r>
      <w:r w:rsidR="00D112AC">
        <w:t>to maintenance</w:t>
      </w:r>
      <w:r w:rsidR="00416F2D">
        <w:t>.</w:t>
      </w:r>
    </w:p>
    <w:p w:rsidR="00346567" w:rsidRDefault="00346567" w:rsidP="009009C7"/>
    <w:p w:rsidR="00D112AC" w:rsidRDefault="00CB3528" w:rsidP="009009C7">
      <w:r>
        <w:tab/>
      </w:r>
      <w:r w:rsidR="00FD6E70">
        <w:t>T</w:t>
      </w:r>
      <w:r w:rsidR="007C1B5A" w:rsidRPr="00E73491">
        <w:t xml:space="preserve">here are </w:t>
      </w:r>
      <w:r w:rsidR="00D112AC">
        <w:t xml:space="preserve">currently </w:t>
      </w:r>
      <w:r w:rsidR="007C1B5A" w:rsidRPr="00E73491">
        <w:t>3</w:t>
      </w:r>
      <w:r w:rsidR="00D112AC">
        <w:t>4</w:t>
      </w:r>
      <w:r w:rsidR="007C1B5A" w:rsidRPr="00E73491">
        <w:t xml:space="preserve"> </w:t>
      </w:r>
      <w:r w:rsidR="00597B08">
        <w:t>s</w:t>
      </w:r>
      <w:r w:rsidR="007C1B5A" w:rsidRPr="00E73491">
        <w:t xml:space="preserve">ubpart 2 </w:t>
      </w:r>
      <w:r w:rsidR="00D112AC">
        <w:t xml:space="preserve">areas which </w:t>
      </w:r>
      <w:proofErr w:type="gramStart"/>
      <w:r w:rsidR="00D112AC">
        <w:t>includes</w:t>
      </w:r>
      <w:proofErr w:type="gramEnd"/>
      <w:r w:rsidR="00D112AC">
        <w:t xml:space="preserve"> the</w:t>
      </w:r>
      <w:r w:rsidR="007C1B5A" w:rsidRPr="00E73491">
        <w:t xml:space="preserve"> </w:t>
      </w:r>
      <w:r w:rsidR="00597B08">
        <w:t>f</w:t>
      </w:r>
      <w:r w:rsidR="007C1B5A" w:rsidRPr="00E73491">
        <w:t xml:space="preserve">ormer </w:t>
      </w:r>
      <w:r w:rsidR="00597B08">
        <w:t>s</w:t>
      </w:r>
      <w:r w:rsidR="007C1B5A" w:rsidRPr="00E73491">
        <w:t>ubpart 1 areas.</w:t>
      </w:r>
      <w:r w:rsidR="00FA5F1B">
        <w:t xml:space="preserve"> </w:t>
      </w:r>
    </w:p>
    <w:p w:rsidR="00D112AC" w:rsidRDefault="00D112AC" w:rsidP="009009C7"/>
    <w:p w:rsidR="00CB3528" w:rsidRDefault="00CB3528" w:rsidP="00D112AC">
      <w:pPr>
        <w:ind w:firstLine="720"/>
      </w:pPr>
      <w:r w:rsidRPr="00E73491">
        <w:t>As a starting point for developing burden</w:t>
      </w:r>
      <w:r>
        <w:t xml:space="preserve"> estimates, the </w:t>
      </w:r>
      <w:r w:rsidR="00DA35E4">
        <w:t>EPA</w:t>
      </w:r>
      <w:r>
        <w:t xml:space="preserve"> looked at the total hours expended in related EPA level of effort work assignments, exclusive of the air quality modeling. The total was about </w:t>
      </w:r>
      <w:r w:rsidR="00E71B66">
        <w:t xml:space="preserve">300 </w:t>
      </w:r>
      <w:r>
        <w:t>hours in level of technical effort</w:t>
      </w:r>
      <w:r w:rsidR="00E71B66">
        <w:t xml:space="preserve"> for areas that plan to </w:t>
      </w:r>
      <w:proofErr w:type="spellStart"/>
      <w:r w:rsidR="00E71B66">
        <w:t>redesignate</w:t>
      </w:r>
      <w:proofErr w:type="spellEnd"/>
      <w:r w:rsidR="00E71B66">
        <w:t xml:space="preserve"> </w:t>
      </w:r>
      <w:r w:rsidR="00A530BD">
        <w:t xml:space="preserve">before the 2010 </w:t>
      </w:r>
      <w:proofErr w:type="spellStart"/>
      <w:r w:rsidR="00A530BD">
        <w:t>redesignations</w:t>
      </w:r>
      <w:proofErr w:type="spellEnd"/>
      <w:r w:rsidR="00A530BD">
        <w:t xml:space="preserve">, </w:t>
      </w:r>
      <w:r w:rsidR="00E71B66">
        <w:t xml:space="preserve">500 hours in technical effort for </w:t>
      </w:r>
      <w:r w:rsidR="00597B08">
        <w:t>f</w:t>
      </w:r>
      <w:r w:rsidR="00A530BD">
        <w:t xml:space="preserve">ormer </w:t>
      </w:r>
      <w:r w:rsidR="00597B08">
        <w:t>s</w:t>
      </w:r>
      <w:r w:rsidR="00A530BD">
        <w:t xml:space="preserve">ubpart 1 </w:t>
      </w:r>
      <w:r w:rsidR="00E71B66">
        <w:t>areas where the SIPs must be corrected for new classification</w:t>
      </w:r>
      <w:r w:rsidR="00CD76FA">
        <w:t>,</w:t>
      </w:r>
      <w:r w:rsidRPr="001976E8">
        <w:rPr>
          <w:rStyle w:val="FootnoteReference"/>
        </w:rPr>
        <w:footnoteReference w:id="7"/>
      </w:r>
      <w:r w:rsidR="00CD76FA">
        <w:t xml:space="preserve"> 300 hours for SIP corrections after 1-year attainment date extensions have been granted, and 1000 hours for SIP corrections </w:t>
      </w:r>
      <w:r w:rsidR="00DC1814">
        <w:t xml:space="preserve">by </w:t>
      </w:r>
      <w:r w:rsidR="00A26988">
        <w:t>M</w:t>
      </w:r>
      <w:r w:rsidR="00CD76FA">
        <w:t xml:space="preserve">oderate </w:t>
      </w:r>
      <w:r w:rsidR="001A1FD9">
        <w:t xml:space="preserve">or above </w:t>
      </w:r>
      <w:r w:rsidR="00DC1814">
        <w:t>non</w:t>
      </w:r>
      <w:r w:rsidR="009009C7">
        <w:t>-</w:t>
      </w:r>
      <w:r w:rsidR="00DC1814">
        <w:t xml:space="preserve">attaining </w:t>
      </w:r>
      <w:r w:rsidR="00CD76FA">
        <w:t xml:space="preserve">areas </w:t>
      </w:r>
      <w:r w:rsidR="00DC1814">
        <w:t>and areas whose original designation ha</w:t>
      </w:r>
      <w:r w:rsidR="001A1FD9">
        <w:t>d</w:t>
      </w:r>
      <w:r w:rsidR="00DC1814">
        <w:t xml:space="preserve"> been escalated.</w:t>
      </w:r>
      <w:r w:rsidR="00FA5F1B">
        <w:t xml:space="preserve"> </w:t>
      </w:r>
      <w:r>
        <w:t>The potential scope of that effort was geographically broad including all non-attainment areas outside AZ, CA, and NV.</w:t>
      </w:r>
      <w:r w:rsidR="00FA5F1B">
        <w:t xml:space="preserve"> </w:t>
      </w:r>
      <w:r>
        <w:t>Examples of the specific scope of the effort included:</w:t>
      </w:r>
    </w:p>
    <w:p w:rsidR="009009C7" w:rsidRDefault="009009C7" w:rsidP="009009C7"/>
    <w:p w:rsidR="009009C7" w:rsidRDefault="00CB3528" w:rsidP="009009C7">
      <w:pPr>
        <w:numPr>
          <w:ilvl w:val="0"/>
          <w:numId w:val="27"/>
        </w:numPr>
      </w:pPr>
      <w:r w:rsidRPr="001976E8">
        <w:t>Design of lower cost control strategies</w:t>
      </w:r>
    </w:p>
    <w:p w:rsidR="009009C7" w:rsidRDefault="00CB3528" w:rsidP="009009C7">
      <w:pPr>
        <w:numPr>
          <w:ilvl w:val="0"/>
          <w:numId w:val="27"/>
        </w:numPr>
      </w:pPr>
      <w:r w:rsidRPr="001976E8">
        <w:t xml:space="preserve">Examination of alternative emission reduction targets and geographic areas (e.g., staying in state but going up to 100km for VOC emissions reductions and up to 200km for </w:t>
      </w:r>
      <w:proofErr w:type="spellStart"/>
      <w:r w:rsidRPr="001976E8">
        <w:t>NOx</w:t>
      </w:r>
      <w:proofErr w:type="spellEnd"/>
      <w:r w:rsidRPr="001976E8">
        <w:t xml:space="preserve"> emission reductions for some non-attainment areas)</w:t>
      </w:r>
    </w:p>
    <w:p w:rsidR="009009C7" w:rsidRDefault="00CB3528" w:rsidP="009009C7">
      <w:pPr>
        <w:numPr>
          <w:ilvl w:val="0"/>
          <w:numId w:val="27"/>
        </w:numPr>
      </w:pPr>
      <w:r w:rsidRPr="001976E8">
        <w:t>Assessment of RFP requirements for certain non-attainment areas</w:t>
      </w:r>
    </w:p>
    <w:p w:rsidR="009009C7" w:rsidRDefault="00CB3528" w:rsidP="009009C7">
      <w:pPr>
        <w:numPr>
          <w:ilvl w:val="0"/>
          <w:numId w:val="27"/>
        </w:numPr>
      </w:pPr>
      <w:r w:rsidRPr="001976E8">
        <w:t>Assessment of RACT if there was not a previous requirement</w:t>
      </w:r>
    </w:p>
    <w:p w:rsidR="00CB3528" w:rsidRPr="001976E8" w:rsidRDefault="00CB3528" w:rsidP="009009C7">
      <w:pPr>
        <w:numPr>
          <w:ilvl w:val="0"/>
          <w:numId w:val="27"/>
        </w:numPr>
      </w:pPr>
      <w:r w:rsidRPr="001976E8">
        <w:t>Differences in cost, emission reductions, economic, and energy impacts looking at alternative frameworks for Phases 1 and 2 of the Implementation Rule.</w:t>
      </w:r>
    </w:p>
    <w:p w:rsidR="00E71B66" w:rsidRDefault="00E71B66" w:rsidP="009009C7"/>
    <w:p w:rsidR="00CB3528" w:rsidRDefault="009009C7" w:rsidP="009009C7">
      <w:r>
        <w:tab/>
      </w:r>
      <w:r w:rsidR="00BC7906">
        <w:t>Most of these areas have met previous RACT requirements. Also, many of these areas had RFP plans in place for the 1-hour Ozone NAAQS.</w:t>
      </w:r>
      <w:r w:rsidR="00FA5F1B">
        <w:t xml:space="preserve"> </w:t>
      </w:r>
      <w:r w:rsidR="00BC7906">
        <w:t>Furthermore, for some of these areas, the RFP requirement is met or reduced because of creditable emission reductions resulting from federal rules reducing emissions of volatile organic compounds (VOCs) and/or nitrogen oxides (</w:t>
      </w:r>
      <w:proofErr w:type="spellStart"/>
      <w:r w:rsidR="00BC7906">
        <w:t>NOx</w:t>
      </w:r>
      <w:proofErr w:type="spellEnd"/>
      <w:r w:rsidR="00BC7906">
        <w:t xml:space="preserve">). </w:t>
      </w:r>
      <w:r w:rsidR="00CB3528">
        <w:t>These activities are related to but do not precisely mimic the incremental activities undertaken by a state to fulfill the attainment demonstration</w:t>
      </w:r>
      <w:r w:rsidR="007F7F11">
        <w:t xml:space="preserve"> including the </w:t>
      </w:r>
      <w:r w:rsidR="00E81955">
        <w:t>reasonably available control measure analysis</w:t>
      </w:r>
      <w:r w:rsidR="00CB3528">
        <w:t xml:space="preserve"> </w:t>
      </w:r>
      <w:r w:rsidR="00E81955">
        <w:t xml:space="preserve">as well as the </w:t>
      </w:r>
      <w:r w:rsidR="00CB3528">
        <w:t>RACT SIP, and RFP SIP submissions for a given non-attainment area.</w:t>
      </w:r>
    </w:p>
    <w:p w:rsidR="00CB3528" w:rsidRDefault="00CB3528" w:rsidP="009009C7"/>
    <w:p w:rsidR="00CB3528" w:rsidRDefault="00CB3528" w:rsidP="009009C7">
      <w:r>
        <w:lastRenderedPageBreak/>
        <w:tab/>
        <w:t>Most of this estimated burden would be incurred in the first year. This is because of the overlap of emission reductions associated with the attainment demonstration, RACT requirements and the RFP requirements. For example, emission reductions resulting from RACT may be creditable toward attainment and RFP.</w:t>
      </w:r>
      <w:r w:rsidR="00FA5F1B">
        <w:t xml:space="preserve"> </w:t>
      </w:r>
      <w:r>
        <w:t>Furthermore, for areas which are projected to meet the standard by 20</w:t>
      </w:r>
      <w:r w:rsidR="00E1056D">
        <w:t>10</w:t>
      </w:r>
      <w:r>
        <w:t xml:space="preserve">, that demonstration fulfills the RACT and RFP </w:t>
      </w:r>
      <w:proofErr w:type="gramStart"/>
      <w:r>
        <w:t>requirements.</w:t>
      </w:r>
      <w:proofErr w:type="gramEnd"/>
      <w:r w:rsidR="00FA5F1B">
        <w:t xml:space="preserve"> </w:t>
      </w:r>
      <w:r>
        <w:t xml:space="preserve">The presumed allocation of total incremental burden </w:t>
      </w:r>
      <w:r w:rsidR="00A03603">
        <w:t xml:space="preserve">across time is </w:t>
      </w:r>
      <w:r>
        <w:t>50% in year 1</w:t>
      </w:r>
      <w:r w:rsidR="00E81955">
        <w:t>, 25% in year 2, and 25% in year 3.</w:t>
      </w:r>
      <w:r>
        <w:t xml:space="preserve"> The estimated </w:t>
      </w:r>
      <w:r w:rsidR="00A03603">
        <w:t xml:space="preserve">incremental </w:t>
      </w:r>
      <w:r>
        <w:t xml:space="preserve">burden for </w:t>
      </w:r>
      <w:r w:rsidR="00CD252A">
        <w:t xml:space="preserve">the </w:t>
      </w:r>
      <w:r w:rsidR="00A03603">
        <w:t xml:space="preserve">non-attainment </w:t>
      </w:r>
      <w:r>
        <w:t>areas is present</w:t>
      </w:r>
      <w:r w:rsidR="00A03603">
        <w:t>ed</w:t>
      </w:r>
      <w:r>
        <w:t xml:space="preserve"> in Table </w:t>
      </w:r>
      <w:r w:rsidR="00C20EA2">
        <w:t>3</w:t>
      </w:r>
      <w:r>
        <w:t>.</w:t>
      </w:r>
    </w:p>
    <w:p w:rsidR="00BC7906" w:rsidRDefault="00BC7906" w:rsidP="00E1056D"/>
    <w:p w:rsidR="00CB3528" w:rsidRPr="00E1056D" w:rsidRDefault="00CB3528" w:rsidP="00E1056D">
      <w:pPr>
        <w:rPr>
          <w:b/>
          <w:sz w:val="20"/>
          <w:szCs w:val="20"/>
        </w:rPr>
      </w:pPr>
      <w:proofErr w:type="gramStart"/>
      <w:r w:rsidRPr="00E1056D">
        <w:rPr>
          <w:b/>
          <w:sz w:val="20"/>
          <w:szCs w:val="20"/>
        </w:rPr>
        <w:t xml:space="preserve">Table </w:t>
      </w:r>
      <w:r w:rsidR="00C20EA2" w:rsidRPr="00E1056D">
        <w:rPr>
          <w:b/>
          <w:sz w:val="20"/>
          <w:szCs w:val="20"/>
        </w:rPr>
        <w:t>3</w:t>
      </w:r>
      <w:r w:rsidRPr="00E1056D">
        <w:rPr>
          <w:b/>
          <w:sz w:val="20"/>
          <w:szCs w:val="20"/>
        </w:rPr>
        <w:t>.</w:t>
      </w:r>
      <w:proofErr w:type="gramEnd"/>
      <w:r w:rsidR="00821502">
        <w:rPr>
          <w:b/>
          <w:sz w:val="20"/>
          <w:szCs w:val="20"/>
        </w:rPr>
        <w:t xml:space="preserve"> </w:t>
      </w:r>
      <w:proofErr w:type="gramStart"/>
      <w:r w:rsidRPr="00E1056D">
        <w:rPr>
          <w:b/>
          <w:sz w:val="20"/>
          <w:szCs w:val="20"/>
        </w:rPr>
        <w:t>Estimated Incremental Burden for the States Attainment Demonstration, RACT SIP Submission, and RFP SIP Submission.</w:t>
      </w:r>
      <w:proofErr w:type="gramEnd"/>
    </w:p>
    <w:p w:rsidR="00CB3528" w:rsidRDefault="00CB3528" w:rsidP="00E1056D"/>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
        <w:gridCol w:w="1440"/>
        <w:gridCol w:w="1440"/>
        <w:gridCol w:w="1440"/>
        <w:gridCol w:w="1440"/>
      </w:tblGrid>
      <w:tr w:rsidR="000D1AA0" w:rsidTr="000D1AA0">
        <w:tc>
          <w:tcPr>
            <w:tcW w:w="1440" w:type="dxa"/>
            <w:vAlign w:val="center"/>
          </w:tcPr>
          <w:p w:rsidR="00CB3528" w:rsidRPr="00E1056D" w:rsidRDefault="00CB3528" w:rsidP="00E1056D">
            <w:pPr>
              <w:rPr>
                <w:b/>
                <w:sz w:val="20"/>
                <w:szCs w:val="20"/>
                <w:u w:val="single"/>
              </w:rPr>
            </w:pPr>
            <w:r w:rsidRPr="00E1056D">
              <w:rPr>
                <w:b/>
                <w:sz w:val="20"/>
                <w:szCs w:val="20"/>
                <w:u w:val="single"/>
              </w:rPr>
              <w:t>State</w:t>
            </w:r>
          </w:p>
        </w:tc>
        <w:tc>
          <w:tcPr>
            <w:tcW w:w="990" w:type="dxa"/>
          </w:tcPr>
          <w:p w:rsidR="00CB3528" w:rsidRPr="00E1056D" w:rsidRDefault="00CB3528" w:rsidP="00E1056D">
            <w:pPr>
              <w:rPr>
                <w:b/>
                <w:sz w:val="20"/>
                <w:szCs w:val="20"/>
                <w:u w:val="single"/>
              </w:rPr>
            </w:pPr>
            <w:r w:rsidRPr="00E1056D">
              <w:rPr>
                <w:b/>
                <w:sz w:val="20"/>
                <w:szCs w:val="20"/>
                <w:u w:val="single"/>
              </w:rPr>
              <w:t>EPA Region</w:t>
            </w:r>
          </w:p>
        </w:tc>
        <w:tc>
          <w:tcPr>
            <w:tcW w:w="1440" w:type="dxa"/>
          </w:tcPr>
          <w:p w:rsidR="00CB3528" w:rsidRPr="00E1056D" w:rsidRDefault="00CB3528" w:rsidP="00E1056D">
            <w:pPr>
              <w:rPr>
                <w:b/>
                <w:sz w:val="20"/>
                <w:szCs w:val="20"/>
                <w:u w:val="single"/>
              </w:rPr>
            </w:pPr>
            <w:r w:rsidRPr="00E1056D">
              <w:rPr>
                <w:b/>
                <w:sz w:val="20"/>
                <w:szCs w:val="20"/>
                <w:u w:val="single"/>
              </w:rPr>
              <w:t>No. of Areas or Parts of Areas</w:t>
            </w:r>
          </w:p>
        </w:tc>
        <w:tc>
          <w:tcPr>
            <w:tcW w:w="1440" w:type="dxa"/>
          </w:tcPr>
          <w:p w:rsidR="00CB3528" w:rsidRPr="00E1056D" w:rsidRDefault="00CB3528" w:rsidP="00E1056D">
            <w:pPr>
              <w:rPr>
                <w:b/>
                <w:sz w:val="20"/>
                <w:szCs w:val="20"/>
                <w:u w:val="single"/>
              </w:rPr>
            </w:pPr>
            <w:r w:rsidRPr="00E1056D">
              <w:rPr>
                <w:b/>
                <w:sz w:val="20"/>
                <w:szCs w:val="20"/>
                <w:u w:val="single"/>
              </w:rPr>
              <w:t>Additional Hours</w:t>
            </w:r>
            <w:r w:rsidR="00821502">
              <w:rPr>
                <w:b/>
                <w:sz w:val="20"/>
                <w:szCs w:val="20"/>
                <w:u w:val="single"/>
              </w:rPr>
              <w:t xml:space="preserve"> </w:t>
            </w:r>
            <w:r w:rsidRPr="00E1056D">
              <w:rPr>
                <w:b/>
                <w:sz w:val="20"/>
                <w:szCs w:val="20"/>
                <w:u w:val="single"/>
              </w:rPr>
              <w:t>Year 1</w:t>
            </w:r>
          </w:p>
        </w:tc>
        <w:tc>
          <w:tcPr>
            <w:tcW w:w="1440" w:type="dxa"/>
          </w:tcPr>
          <w:p w:rsidR="00CB3528" w:rsidRPr="00E1056D" w:rsidRDefault="00CB3528" w:rsidP="00E1056D">
            <w:pPr>
              <w:rPr>
                <w:b/>
                <w:sz w:val="20"/>
                <w:szCs w:val="20"/>
                <w:u w:val="single"/>
              </w:rPr>
            </w:pPr>
            <w:r w:rsidRPr="00E1056D">
              <w:rPr>
                <w:b/>
                <w:sz w:val="20"/>
                <w:szCs w:val="20"/>
                <w:u w:val="single"/>
              </w:rPr>
              <w:t>Additional Hours</w:t>
            </w:r>
            <w:r w:rsidR="00821502">
              <w:rPr>
                <w:b/>
                <w:sz w:val="20"/>
                <w:szCs w:val="20"/>
                <w:u w:val="single"/>
              </w:rPr>
              <w:t xml:space="preserve"> </w:t>
            </w:r>
            <w:r w:rsidRPr="00E1056D">
              <w:rPr>
                <w:b/>
                <w:sz w:val="20"/>
                <w:szCs w:val="20"/>
                <w:u w:val="single"/>
              </w:rPr>
              <w:t>Year 2</w:t>
            </w:r>
          </w:p>
        </w:tc>
        <w:tc>
          <w:tcPr>
            <w:tcW w:w="1440" w:type="dxa"/>
          </w:tcPr>
          <w:p w:rsidR="00CB3528" w:rsidRPr="00E1056D" w:rsidRDefault="00CB3528" w:rsidP="00E1056D">
            <w:pPr>
              <w:rPr>
                <w:b/>
                <w:sz w:val="20"/>
                <w:szCs w:val="20"/>
                <w:u w:val="single"/>
              </w:rPr>
            </w:pPr>
            <w:r w:rsidRPr="00E1056D">
              <w:rPr>
                <w:b/>
                <w:sz w:val="20"/>
                <w:szCs w:val="20"/>
                <w:u w:val="single"/>
              </w:rPr>
              <w:t>Additional</w:t>
            </w:r>
          </w:p>
          <w:p w:rsidR="00CB3528" w:rsidRPr="00E1056D" w:rsidRDefault="00CB3528" w:rsidP="00E1056D">
            <w:pPr>
              <w:rPr>
                <w:b/>
                <w:sz w:val="20"/>
                <w:szCs w:val="20"/>
                <w:u w:val="single"/>
              </w:rPr>
            </w:pPr>
            <w:r w:rsidRPr="00E1056D">
              <w:rPr>
                <w:b/>
                <w:sz w:val="20"/>
                <w:szCs w:val="20"/>
                <w:u w:val="single"/>
              </w:rPr>
              <w:t>Hours Year 3</w:t>
            </w:r>
          </w:p>
        </w:tc>
      </w:tr>
      <w:tr w:rsidR="000D1AA0" w:rsidTr="000D1AA0">
        <w:tc>
          <w:tcPr>
            <w:tcW w:w="1440" w:type="dxa"/>
          </w:tcPr>
          <w:p w:rsidR="00777073" w:rsidRPr="00E1056D" w:rsidRDefault="00777073" w:rsidP="00E1056D">
            <w:pPr>
              <w:rPr>
                <w:sz w:val="20"/>
                <w:szCs w:val="20"/>
              </w:rPr>
            </w:pPr>
            <w:r w:rsidRPr="00E1056D">
              <w:rPr>
                <w:sz w:val="20"/>
                <w:szCs w:val="20"/>
              </w:rPr>
              <w:t>Arizona</w:t>
            </w:r>
          </w:p>
        </w:tc>
        <w:tc>
          <w:tcPr>
            <w:tcW w:w="990" w:type="dxa"/>
          </w:tcPr>
          <w:p w:rsidR="00777073" w:rsidRPr="00E1056D" w:rsidRDefault="00777073" w:rsidP="00E1056D">
            <w:pPr>
              <w:rPr>
                <w:sz w:val="20"/>
                <w:szCs w:val="20"/>
              </w:rPr>
            </w:pPr>
            <w:r w:rsidRPr="00E1056D">
              <w:rPr>
                <w:sz w:val="20"/>
                <w:szCs w:val="20"/>
              </w:rPr>
              <w:t>9</w:t>
            </w:r>
          </w:p>
        </w:tc>
        <w:tc>
          <w:tcPr>
            <w:tcW w:w="1440" w:type="dxa"/>
          </w:tcPr>
          <w:p w:rsidR="00777073" w:rsidRPr="00E1056D" w:rsidRDefault="00777073" w:rsidP="00E1056D">
            <w:pPr>
              <w:rPr>
                <w:sz w:val="20"/>
                <w:szCs w:val="20"/>
              </w:rPr>
            </w:pPr>
            <w:r w:rsidRPr="00E1056D">
              <w:rPr>
                <w:sz w:val="20"/>
                <w:szCs w:val="20"/>
              </w:rPr>
              <w:t>1</w:t>
            </w:r>
          </w:p>
        </w:tc>
        <w:tc>
          <w:tcPr>
            <w:tcW w:w="1440" w:type="dxa"/>
          </w:tcPr>
          <w:p w:rsidR="00777073" w:rsidRPr="00E1056D" w:rsidRDefault="008C0191" w:rsidP="00E1056D">
            <w:pPr>
              <w:rPr>
                <w:sz w:val="20"/>
                <w:szCs w:val="20"/>
              </w:rPr>
            </w:pPr>
            <w:r>
              <w:rPr>
                <w:sz w:val="20"/>
                <w:szCs w:val="20"/>
              </w:rPr>
              <w:t>0</w:t>
            </w:r>
          </w:p>
        </w:tc>
        <w:tc>
          <w:tcPr>
            <w:tcW w:w="1440" w:type="dxa"/>
          </w:tcPr>
          <w:p w:rsidR="00777073" w:rsidRPr="00E1056D" w:rsidRDefault="008C0191" w:rsidP="00E1056D">
            <w:pPr>
              <w:rPr>
                <w:sz w:val="20"/>
                <w:szCs w:val="20"/>
              </w:rPr>
            </w:pPr>
            <w:r>
              <w:rPr>
                <w:sz w:val="20"/>
                <w:szCs w:val="20"/>
              </w:rPr>
              <w:t>0</w:t>
            </w:r>
          </w:p>
        </w:tc>
        <w:tc>
          <w:tcPr>
            <w:tcW w:w="1440" w:type="dxa"/>
          </w:tcPr>
          <w:p w:rsidR="00777073" w:rsidRPr="00E1056D" w:rsidRDefault="008C0191" w:rsidP="00E1056D">
            <w:pPr>
              <w:rPr>
                <w:sz w:val="20"/>
                <w:szCs w:val="20"/>
              </w:rPr>
            </w:pPr>
            <w:r>
              <w:rPr>
                <w:sz w:val="20"/>
                <w:szCs w:val="20"/>
              </w:rPr>
              <w:t>0</w:t>
            </w:r>
          </w:p>
        </w:tc>
      </w:tr>
      <w:tr w:rsidR="000D1AA0" w:rsidTr="000D1AA0">
        <w:tc>
          <w:tcPr>
            <w:tcW w:w="1440" w:type="dxa"/>
          </w:tcPr>
          <w:p w:rsidR="00777073" w:rsidRPr="00E1056D" w:rsidRDefault="00777073" w:rsidP="00E1056D">
            <w:pPr>
              <w:rPr>
                <w:sz w:val="20"/>
                <w:szCs w:val="20"/>
              </w:rPr>
            </w:pPr>
            <w:smartTag w:uri="urn:schemas-microsoft-com:office:smarttags" w:element="State">
              <w:smartTag w:uri="urn:schemas-microsoft-com:office:smarttags" w:element="place">
                <w:r w:rsidRPr="00E1056D">
                  <w:rPr>
                    <w:sz w:val="20"/>
                    <w:szCs w:val="20"/>
                  </w:rPr>
                  <w:t>California</w:t>
                </w:r>
              </w:smartTag>
            </w:smartTag>
          </w:p>
        </w:tc>
        <w:tc>
          <w:tcPr>
            <w:tcW w:w="990" w:type="dxa"/>
          </w:tcPr>
          <w:p w:rsidR="00777073" w:rsidRPr="00E1056D" w:rsidRDefault="00777073" w:rsidP="00E1056D">
            <w:pPr>
              <w:rPr>
                <w:sz w:val="20"/>
                <w:szCs w:val="20"/>
              </w:rPr>
            </w:pPr>
            <w:r w:rsidRPr="00E1056D">
              <w:rPr>
                <w:sz w:val="20"/>
                <w:szCs w:val="20"/>
              </w:rPr>
              <w:t>9</w:t>
            </w:r>
          </w:p>
        </w:tc>
        <w:tc>
          <w:tcPr>
            <w:tcW w:w="1440" w:type="dxa"/>
          </w:tcPr>
          <w:p w:rsidR="00777073" w:rsidRPr="00E1056D" w:rsidRDefault="00131F21" w:rsidP="00E1056D">
            <w:pPr>
              <w:rPr>
                <w:sz w:val="20"/>
                <w:szCs w:val="20"/>
              </w:rPr>
            </w:pPr>
            <w:r>
              <w:rPr>
                <w:sz w:val="20"/>
                <w:szCs w:val="20"/>
              </w:rPr>
              <w:t>1</w:t>
            </w:r>
            <w:r w:rsidR="00E54CD8">
              <w:rPr>
                <w:sz w:val="20"/>
                <w:szCs w:val="20"/>
              </w:rPr>
              <w:t>4</w:t>
            </w:r>
          </w:p>
        </w:tc>
        <w:tc>
          <w:tcPr>
            <w:tcW w:w="1440" w:type="dxa"/>
          </w:tcPr>
          <w:p w:rsidR="00777073" w:rsidRPr="00E1056D" w:rsidRDefault="00EA7534" w:rsidP="00EA7534">
            <w:pPr>
              <w:rPr>
                <w:sz w:val="20"/>
                <w:szCs w:val="20"/>
              </w:rPr>
            </w:pPr>
            <w:r>
              <w:rPr>
                <w:sz w:val="20"/>
                <w:szCs w:val="20"/>
              </w:rPr>
              <w:t>5,000</w:t>
            </w:r>
          </w:p>
        </w:tc>
        <w:tc>
          <w:tcPr>
            <w:tcW w:w="1440" w:type="dxa"/>
          </w:tcPr>
          <w:p w:rsidR="00777073" w:rsidRPr="00E1056D" w:rsidRDefault="00EA7534" w:rsidP="00EA7534">
            <w:pPr>
              <w:rPr>
                <w:sz w:val="20"/>
                <w:szCs w:val="20"/>
              </w:rPr>
            </w:pPr>
            <w:r>
              <w:rPr>
                <w:sz w:val="20"/>
                <w:szCs w:val="20"/>
              </w:rPr>
              <w:t>2,500</w:t>
            </w:r>
          </w:p>
        </w:tc>
        <w:tc>
          <w:tcPr>
            <w:tcW w:w="1440" w:type="dxa"/>
          </w:tcPr>
          <w:p w:rsidR="00777073" w:rsidRPr="00E1056D" w:rsidRDefault="00EA7534" w:rsidP="00EA7534">
            <w:pPr>
              <w:rPr>
                <w:sz w:val="20"/>
                <w:szCs w:val="20"/>
              </w:rPr>
            </w:pPr>
            <w:r>
              <w:rPr>
                <w:sz w:val="20"/>
                <w:szCs w:val="20"/>
              </w:rPr>
              <w:t>2,500</w:t>
            </w:r>
          </w:p>
        </w:tc>
      </w:tr>
      <w:tr w:rsidR="000D1AA0" w:rsidTr="000D1AA0">
        <w:tc>
          <w:tcPr>
            <w:tcW w:w="1440" w:type="dxa"/>
          </w:tcPr>
          <w:p w:rsidR="00777073" w:rsidRPr="00E1056D" w:rsidRDefault="00777073" w:rsidP="00E1056D">
            <w:pPr>
              <w:rPr>
                <w:sz w:val="20"/>
                <w:szCs w:val="20"/>
              </w:rPr>
            </w:pPr>
            <w:r w:rsidRPr="00E1056D">
              <w:rPr>
                <w:sz w:val="20"/>
                <w:szCs w:val="20"/>
              </w:rPr>
              <w:t>Colorado</w:t>
            </w:r>
          </w:p>
        </w:tc>
        <w:tc>
          <w:tcPr>
            <w:tcW w:w="990" w:type="dxa"/>
          </w:tcPr>
          <w:p w:rsidR="00777073" w:rsidRPr="00E1056D" w:rsidRDefault="00777073" w:rsidP="00E1056D">
            <w:pPr>
              <w:rPr>
                <w:sz w:val="20"/>
                <w:szCs w:val="20"/>
              </w:rPr>
            </w:pPr>
            <w:r w:rsidRPr="00E1056D">
              <w:rPr>
                <w:sz w:val="20"/>
                <w:szCs w:val="20"/>
              </w:rPr>
              <w:t>8</w:t>
            </w:r>
          </w:p>
        </w:tc>
        <w:tc>
          <w:tcPr>
            <w:tcW w:w="1440" w:type="dxa"/>
          </w:tcPr>
          <w:p w:rsidR="00777073" w:rsidRPr="00E1056D" w:rsidRDefault="00777073" w:rsidP="00E1056D">
            <w:pPr>
              <w:rPr>
                <w:sz w:val="20"/>
                <w:szCs w:val="20"/>
              </w:rPr>
            </w:pPr>
            <w:r w:rsidRPr="00E1056D">
              <w:rPr>
                <w:sz w:val="20"/>
                <w:szCs w:val="20"/>
              </w:rPr>
              <w:t>1</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Connecticut</w:t>
            </w:r>
          </w:p>
        </w:tc>
        <w:tc>
          <w:tcPr>
            <w:tcW w:w="990" w:type="dxa"/>
          </w:tcPr>
          <w:p w:rsidR="00777073" w:rsidRPr="00E1056D" w:rsidRDefault="00777073" w:rsidP="00E1056D">
            <w:pPr>
              <w:rPr>
                <w:sz w:val="20"/>
                <w:szCs w:val="20"/>
              </w:rPr>
            </w:pPr>
            <w:r w:rsidRPr="00E1056D">
              <w:rPr>
                <w:sz w:val="20"/>
                <w:szCs w:val="20"/>
              </w:rPr>
              <w:t>1</w:t>
            </w:r>
          </w:p>
        </w:tc>
        <w:tc>
          <w:tcPr>
            <w:tcW w:w="1440" w:type="dxa"/>
          </w:tcPr>
          <w:p w:rsidR="00777073" w:rsidRPr="00E1056D" w:rsidRDefault="00777073" w:rsidP="00E54CD8">
            <w:pPr>
              <w:rPr>
                <w:sz w:val="20"/>
                <w:szCs w:val="20"/>
              </w:rPr>
            </w:pPr>
            <w:r w:rsidRPr="00E1056D">
              <w:rPr>
                <w:sz w:val="20"/>
                <w:szCs w:val="20"/>
              </w:rPr>
              <w:t>2</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Delaware</w:t>
            </w:r>
          </w:p>
        </w:tc>
        <w:tc>
          <w:tcPr>
            <w:tcW w:w="990" w:type="dxa"/>
          </w:tcPr>
          <w:p w:rsidR="00777073" w:rsidRPr="00E1056D" w:rsidRDefault="00777073" w:rsidP="00E1056D">
            <w:pPr>
              <w:rPr>
                <w:sz w:val="20"/>
                <w:szCs w:val="20"/>
              </w:rPr>
            </w:pPr>
            <w:r w:rsidRPr="00E1056D">
              <w:rPr>
                <w:sz w:val="20"/>
                <w:szCs w:val="20"/>
              </w:rPr>
              <w:t>3</w:t>
            </w:r>
          </w:p>
        </w:tc>
        <w:tc>
          <w:tcPr>
            <w:tcW w:w="1440" w:type="dxa"/>
          </w:tcPr>
          <w:p w:rsidR="00777073" w:rsidRPr="00E1056D" w:rsidRDefault="00777073" w:rsidP="00E1056D">
            <w:pPr>
              <w:rPr>
                <w:sz w:val="20"/>
                <w:szCs w:val="20"/>
              </w:rPr>
            </w:pPr>
            <w:r w:rsidRPr="00E1056D">
              <w:rPr>
                <w:sz w:val="20"/>
                <w:szCs w:val="20"/>
              </w:rPr>
              <w:t>1</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District of Columbia</w:t>
            </w:r>
          </w:p>
        </w:tc>
        <w:tc>
          <w:tcPr>
            <w:tcW w:w="990" w:type="dxa"/>
          </w:tcPr>
          <w:p w:rsidR="00777073" w:rsidRPr="00E1056D" w:rsidRDefault="00777073" w:rsidP="00E1056D">
            <w:pPr>
              <w:rPr>
                <w:sz w:val="20"/>
                <w:szCs w:val="20"/>
              </w:rPr>
            </w:pPr>
            <w:r w:rsidRPr="00E1056D">
              <w:rPr>
                <w:sz w:val="20"/>
                <w:szCs w:val="20"/>
              </w:rPr>
              <w:t>3</w:t>
            </w:r>
          </w:p>
        </w:tc>
        <w:tc>
          <w:tcPr>
            <w:tcW w:w="1440" w:type="dxa"/>
          </w:tcPr>
          <w:p w:rsidR="00777073" w:rsidRPr="00E1056D" w:rsidRDefault="00777073" w:rsidP="00E1056D">
            <w:pPr>
              <w:rPr>
                <w:sz w:val="20"/>
                <w:szCs w:val="20"/>
              </w:rPr>
            </w:pPr>
            <w:r w:rsidRPr="00E1056D">
              <w:rPr>
                <w:sz w:val="20"/>
                <w:szCs w:val="20"/>
              </w:rPr>
              <w:t>1</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r>
      <w:tr w:rsidR="00C004C2" w:rsidRPr="00F066A3" w:rsidTr="000D1AA0">
        <w:tc>
          <w:tcPr>
            <w:tcW w:w="1440" w:type="dxa"/>
          </w:tcPr>
          <w:p w:rsidR="00C004C2" w:rsidRDefault="00C004C2" w:rsidP="00E1056D">
            <w:pPr>
              <w:rPr>
                <w:sz w:val="20"/>
                <w:szCs w:val="20"/>
              </w:rPr>
            </w:pPr>
            <w:r>
              <w:rPr>
                <w:sz w:val="20"/>
                <w:szCs w:val="20"/>
              </w:rPr>
              <w:t>Georgia</w:t>
            </w:r>
          </w:p>
        </w:tc>
        <w:tc>
          <w:tcPr>
            <w:tcW w:w="990" w:type="dxa"/>
          </w:tcPr>
          <w:p w:rsidR="00C004C2" w:rsidRDefault="00C004C2" w:rsidP="00E1056D">
            <w:pPr>
              <w:rPr>
                <w:sz w:val="20"/>
                <w:szCs w:val="20"/>
              </w:rPr>
            </w:pPr>
            <w:r>
              <w:rPr>
                <w:sz w:val="20"/>
                <w:szCs w:val="20"/>
              </w:rPr>
              <w:t>4</w:t>
            </w:r>
          </w:p>
        </w:tc>
        <w:tc>
          <w:tcPr>
            <w:tcW w:w="1440" w:type="dxa"/>
          </w:tcPr>
          <w:p w:rsidR="00C004C2" w:rsidRDefault="00C004C2" w:rsidP="00E1056D">
            <w:pPr>
              <w:rPr>
                <w:sz w:val="20"/>
                <w:szCs w:val="20"/>
              </w:rPr>
            </w:pPr>
            <w:r>
              <w:rPr>
                <w:sz w:val="20"/>
                <w:szCs w:val="20"/>
              </w:rPr>
              <w:t>1</w:t>
            </w:r>
          </w:p>
        </w:tc>
        <w:tc>
          <w:tcPr>
            <w:tcW w:w="1440" w:type="dxa"/>
          </w:tcPr>
          <w:p w:rsidR="00C004C2" w:rsidRDefault="00C004C2" w:rsidP="00EA7534">
            <w:pPr>
              <w:rPr>
                <w:sz w:val="20"/>
                <w:szCs w:val="20"/>
              </w:rPr>
            </w:pPr>
            <w:r>
              <w:rPr>
                <w:sz w:val="20"/>
                <w:szCs w:val="20"/>
              </w:rPr>
              <w:t>0</w:t>
            </w:r>
          </w:p>
        </w:tc>
        <w:tc>
          <w:tcPr>
            <w:tcW w:w="1440" w:type="dxa"/>
          </w:tcPr>
          <w:p w:rsidR="00C004C2" w:rsidRDefault="00C004C2" w:rsidP="00EA7534">
            <w:pPr>
              <w:rPr>
                <w:sz w:val="20"/>
                <w:szCs w:val="20"/>
              </w:rPr>
            </w:pPr>
            <w:r>
              <w:rPr>
                <w:sz w:val="20"/>
                <w:szCs w:val="20"/>
              </w:rPr>
              <w:t>0</w:t>
            </w:r>
          </w:p>
        </w:tc>
        <w:tc>
          <w:tcPr>
            <w:tcW w:w="1440" w:type="dxa"/>
          </w:tcPr>
          <w:p w:rsidR="00C004C2" w:rsidRDefault="00C004C2" w:rsidP="00EA7534">
            <w:pPr>
              <w:rPr>
                <w:sz w:val="20"/>
                <w:szCs w:val="20"/>
              </w:rPr>
            </w:pPr>
            <w:r>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Maryland</w:t>
            </w:r>
          </w:p>
        </w:tc>
        <w:tc>
          <w:tcPr>
            <w:tcW w:w="990" w:type="dxa"/>
          </w:tcPr>
          <w:p w:rsidR="00777073" w:rsidRPr="00E1056D" w:rsidRDefault="00777073" w:rsidP="00E1056D">
            <w:pPr>
              <w:rPr>
                <w:sz w:val="20"/>
                <w:szCs w:val="20"/>
              </w:rPr>
            </w:pPr>
            <w:r w:rsidRPr="00E1056D">
              <w:rPr>
                <w:sz w:val="20"/>
                <w:szCs w:val="20"/>
              </w:rPr>
              <w:t>3</w:t>
            </w:r>
          </w:p>
        </w:tc>
        <w:tc>
          <w:tcPr>
            <w:tcW w:w="1440" w:type="dxa"/>
          </w:tcPr>
          <w:p w:rsidR="00777073" w:rsidRPr="00E1056D" w:rsidRDefault="00777073" w:rsidP="00E1056D">
            <w:pPr>
              <w:rPr>
                <w:sz w:val="20"/>
                <w:szCs w:val="20"/>
              </w:rPr>
            </w:pPr>
            <w:r w:rsidRPr="00E1056D">
              <w:rPr>
                <w:sz w:val="20"/>
                <w:szCs w:val="20"/>
              </w:rPr>
              <w:t>3</w:t>
            </w:r>
          </w:p>
        </w:tc>
        <w:tc>
          <w:tcPr>
            <w:tcW w:w="1440" w:type="dxa"/>
          </w:tcPr>
          <w:p w:rsidR="00777073" w:rsidRPr="00E1056D" w:rsidRDefault="00145E24" w:rsidP="00145E24">
            <w:pPr>
              <w:rPr>
                <w:sz w:val="20"/>
                <w:szCs w:val="20"/>
              </w:rPr>
            </w:pPr>
            <w:r>
              <w:rPr>
                <w:sz w:val="20"/>
                <w:szCs w:val="20"/>
              </w:rPr>
              <w:t>2</w:t>
            </w:r>
            <w:r w:rsidR="005374BA">
              <w:rPr>
                <w:sz w:val="20"/>
                <w:szCs w:val="20"/>
              </w:rPr>
              <w:t>,</w:t>
            </w:r>
            <w:r>
              <w:rPr>
                <w:sz w:val="20"/>
                <w:szCs w:val="20"/>
              </w:rPr>
              <w:t>5</w:t>
            </w:r>
            <w:r w:rsidR="005374BA">
              <w:rPr>
                <w:sz w:val="20"/>
                <w:szCs w:val="20"/>
              </w:rPr>
              <w:t>00</w:t>
            </w:r>
          </w:p>
        </w:tc>
        <w:tc>
          <w:tcPr>
            <w:tcW w:w="1440" w:type="dxa"/>
          </w:tcPr>
          <w:p w:rsidR="00777073" w:rsidRPr="00E1056D" w:rsidRDefault="00145E24" w:rsidP="00145E24">
            <w:pPr>
              <w:rPr>
                <w:sz w:val="20"/>
                <w:szCs w:val="20"/>
              </w:rPr>
            </w:pPr>
            <w:r>
              <w:rPr>
                <w:sz w:val="20"/>
                <w:szCs w:val="20"/>
              </w:rPr>
              <w:t>1</w:t>
            </w:r>
            <w:r w:rsidR="005374BA">
              <w:rPr>
                <w:sz w:val="20"/>
                <w:szCs w:val="20"/>
              </w:rPr>
              <w:t>,</w:t>
            </w:r>
            <w:r>
              <w:rPr>
                <w:sz w:val="20"/>
                <w:szCs w:val="20"/>
              </w:rPr>
              <w:t>25</w:t>
            </w:r>
            <w:r w:rsidR="005374BA">
              <w:rPr>
                <w:sz w:val="20"/>
                <w:szCs w:val="20"/>
              </w:rPr>
              <w:t>0</w:t>
            </w:r>
          </w:p>
        </w:tc>
        <w:tc>
          <w:tcPr>
            <w:tcW w:w="1440" w:type="dxa"/>
          </w:tcPr>
          <w:p w:rsidR="00777073" w:rsidRPr="00E1056D" w:rsidRDefault="00145E24" w:rsidP="005C2A5E">
            <w:pPr>
              <w:rPr>
                <w:sz w:val="20"/>
                <w:szCs w:val="20"/>
              </w:rPr>
            </w:pPr>
            <w:r>
              <w:rPr>
                <w:sz w:val="20"/>
                <w:szCs w:val="20"/>
              </w:rPr>
              <w:t>1</w:t>
            </w:r>
            <w:r w:rsidR="005374BA">
              <w:rPr>
                <w:sz w:val="20"/>
                <w:szCs w:val="20"/>
              </w:rPr>
              <w:t>,</w:t>
            </w:r>
            <w:r>
              <w:rPr>
                <w:sz w:val="20"/>
                <w:szCs w:val="20"/>
              </w:rPr>
              <w:t>25</w:t>
            </w:r>
            <w:r w:rsidR="005374BA">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Massachusetts</w:t>
            </w:r>
          </w:p>
        </w:tc>
        <w:tc>
          <w:tcPr>
            <w:tcW w:w="990" w:type="dxa"/>
          </w:tcPr>
          <w:p w:rsidR="00777073" w:rsidRPr="00E1056D" w:rsidRDefault="004B0C6D" w:rsidP="00E1056D">
            <w:pPr>
              <w:rPr>
                <w:sz w:val="20"/>
                <w:szCs w:val="20"/>
              </w:rPr>
            </w:pPr>
            <w:r>
              <w:rPr>
                <w:sz w:val="20"/>
                <w:szCs w:val="20"/>
              </w:rPr>
              <w:t>1</w:t>
            </w:r>
          </w:p>
        </w:tc>
        <w:tc>
          <w:tcPr>
            <w:tcW w:w="1440" w:type="dxa"/>
          </w:tcPr>
          <w:p w:rsidR="00777073" w:rsidRPr="00E1056D" w:rsidRDefault="004B0C6D" w:rsidP="00E1056D">
            <w:pPr>
              <w:rPr>
                <w:sz w:val="20"/>
                <w:szCs w:val="20"/>
              </w:rPr>
            </w:pPr>
            <w:r>
              <w:rPr>
                <w:sz w:val="20"/>
                <w:szCs w:val="20"/>
              </w:rPr>
              <w:t>2</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c>
          <w:tcPr>
            <w:tcW w:w="1440" w:type="dxa"/>
          </w:tcPr>
          <w:p w:rsidR="00777073" w:rsidRPr="00E1056D" w:rsidRDefault="00EA7534" w:rsidP="00E1056D">
            <w:pPr>
              <w:rPr>
                <w:sz w:val="20"/>
                <w:szCs w:val="20"/>
              </w:rPr>
            </w:pPr>
            <w:r>
              <w:rPr>
                <w:sz w:val="20"/>
                <w:szCs w:val="20"/>
              </w:rPr>
              <w:t>0</w:t>
            </w:r>
          </w:p>
        </w:tc>
      </w:tr>
      <w:tr w:rsidR="002F3E3E" w:rsidRPr="00F066A3" w:rsidTr="000D1AA0">
        <w:tc>
          <w:tcPr>
            <w:tcW w:w="1440" w:type="dxa"/>
          </w:tcPr>
          <w:p w:rsidR="002F3E3E" w:rsidRPr="00E1056D" w:rsidRDefault="002F3E3E" w:rsidP="00E1056D">
            <w:pPr>
              <w:rPr>
                <w:sz w:val="20"/>
                <w:szCs w:val="20"/>
              </w:rPr>
            </w:pPr>
            <w:r>
              <w:rPr>
                <w:sz w:val="20"/>
                <w:szCs w:val="20"/>
              </w:rPr>
              <w:t>Missouri</w:t>
            </w:r>
          </w:p>
        </w:tc>
        <w:tc>
          <w:tcPr>
            <w:tcW w:w="990" w:type="dxa"/>
          </w:tcPr>
          <w:p w:rsidR="002F3E3E" w:rsidRDefault="002F3E3E" w:rsidP="00E1056D">
            <w:pPr>
              <w:rPr>
                <w:sz w:val="20"/>
                <w:szCs w:val="20"/>
              </w:rPr>
            </w:pPr>
            <w:r>
              <w:rPr>
                <w:sz w:val="20"/>
                <w:szCs w:val="20"/>
              </w:rPr>
              <w:t>7</w:t>
            </w:r>
          </w:p>
        </w:tc>
        <w:tc>
          <w:tcPr>
            <w:tcW w:w="1440" w:type="dxa"/>
          </w:tcPr>
          <w:p w:rsidR="002F3E3E" w:rsidRDefault="002F3E3E" w:rsidP="00E1056D">
            <w:pPr>
              <w:rPr>
                <w:sz w:val="20"/>
                <w:szCs w:val="20"/>
              </w:rPr>
            </w:pPr>
            <w:r>
              <w:rPr>
                <w:sz w:val="20"/>
                <w:szCs w:val="20"/>
              </w:rPr>
              <w:t>1</w:t>
            </w:r>
          </w:p>
        </w:tc>
        <w:tc>
          <w:tcPr>
            <w:tcW w:w="1440" w:type="dxa"/>
          </w:tcPr>
          <w:p w:rsidR="002F3E3E" w:rsidRDefault="002F3E3E" w:rsidP="00E1056D">
            <w:pPr>
              <w:rPr>
                <w:sz w:val="20"/>
                <w:szCs w:val="20"/>
              </w:rPr>
            </w:pPr>
            <w:r>
              <w:rPr>
                <w:sz w:val="20"/>
                <w:szCs w:val="20"/>
              </w:rPr>
              <w:t>0</w:t>
            </w:r>
          </w:p>
        </w:tc>
        <w:tc>
          <w:tcPr>
            <w:tcW w:w="1440" w:type="dxa"/>
          </w:tcPr>
          <w:p w:rsidR="002F3E3E" w:rsidRDefault="002F3E3E" w:rsidP="00E1056D">
            <w:pPr>
              <w:rPr>
                <w:sz w:val="20"/>
                <w:szCs w:val="20"/>
              </w:rPr>
            </w:pPr>
            <w:r>
              <w:rPr>
                <w:sz w:val="20"/>
                <w:szCs w:val="20"/>
              </w:rPr>
              <w:t>0</w:t>
            </w:r>
          </w:p>
        </w:tc>
        <w:tc>
          <w:tcPr>
            <w:tcW w:w="1440" w:type="dxa"/>
          </w:tcPr>
          <w:p w:rsidR="002F3E3E" w:rsidRDefault="002F3E3E" w:rsidP="00E1056D">
            <w:pPr>
              <w:rPr>
                <w:sz w:val="20"/>
                <w:szCs w:val="20"/>
              </w:rPr>
            </w:pPr>
            <w:r>
              <w:rPr>
                <w:sz w:val="20"/>
                <w:szCs w:val="20"/>
              </w:rPr>
              <w:t>0</w:t>
            </w:r>
          </w:p>
        </w:tc>
      </w:tr>
      <w:tr w:rsidR="000D1AA0" w:rsidRPr="00F066A3" w:rsidTr="000D1AA0">
        <w:tc>
          <w:tcPr>
            <w:tcW w:w="1440" w:type="dxa"/>
          </w:tcPr>
          <w:p w:rsidR="00777073" w:rsidRPr="00E1056D" w:rsidRDefault="00EA7534" w:rsidP="00E1056D">
            <w:pPr>
              <w:rPr>
                <w:sz w:val="20"/>
                <w:szCs w:val="20"/>
              </w:rPr>
            </w:pPr>
            <w:r>
              <w:rPr>
                <w:sz w:val="20"/>
                <w:szCs w:val="20"/>
              </w:rPr>
              <w:t>New Jersey</w:t>
            </w:r>
          </w:p>
        </w:tc>
        <w:tc>
          <w:tcPr>
            <w:tcW w:w="990" w:type="dxa"/>
          </w:tcPr>
          <w:p w:rsidR="00777073" w:rsidRPr="00E1056D" w:rsidRDefault="00777073" w:rsidP="00E1056D">
            <w:pPr>
              <w:rPr>
                <w:sz w:val="20"/>
                <w:szCs w:val="20"/>
              </w:rPr>
            </w:pPr>
            <w:r w:rsidRPr="00E1056D">
              <w:rPr>
                <w:sz w:val="20"/>
                <w:szCs w:val="20"/>
              </w:rPr>
              <w:t>2</w:t>
            </w:r>
          </w:p>
        </w:tc>
        <w:tc>
          <w:tcPr>
            <w:tcW w:w="1440" w:type="dxa"/>
          </w:tcPr>
          <w:p w:rsidR="00777073" w:rsidRPr="00E1056D" w:rsidRDefault="00777073" w:rsidP="00E1056D">
            <w:pPr>
              <w:rPr>
                <w:sz w:val="20"/>
                <w:szCs w:val="20"/>
              </w:rPr>
            </w:pPr>
            <w:r w:rsidRPr="00E1056D">
              <w:rPr>
                <w:sz w:val="20"/>
                <w:szCs w:val="20"/>
              </w:rPr>
              <w:t>2</w:t>
            </w:r>
          </w:p>
        </w:tc>
        <w:tc>
          <w:tcPr>
            <w:tcW w:w="1440" w:type="dxa"/>
          </w:tcPr>
          <w:p w:rsidR="00777073" w:rsidRPr="00E1056D" w:rsidRDefault="00777073" w:rsidP="00EA7534">
            <w:pPr>
              <w:rPr>
                <w:sz w:val="20"/>
                <w:szCs w:val="20"/>
              </w:rPr>
            </w:pPr>
            <w:r w:rsidRPr="00E1056D">
              <w:rPr>
                <w:sz w:val="20"/>
                <w:szCs w:val="20"/>
              </w:rPr>
              <w:t>0</w:t>
            </w:r>
          </w:p>
        </w:tc>
        <w:tc>
          <w:tcPr>
            <w:tcW w:w="1440" w:type="dxa"/>
          </w:tcPr>
          <w:p w:rsidR="00777073" w:rsidRPr="00E1056D" w:rsidRDefault="00777073" w:rsidP="00EA7534">
            <w:pPr>
              <w:rPr>
                <w:sz w:val="20"/>
                <w:szCs w:val="20"/>
              </w:rPr>
            </w:pPr>
            <w:r w:rsidRPr="00E1056D">
              <w:rPr>
                <w:sz w:val="20"/>
                <w:szCs w:val="20"/>
              </w:rPr>
              <w:t>0</w:t>
            </w:r>
          </w:p>
        </w:tc>
        <w:tc>
          <w:tcPr>
            <w:tcW w:w="1440" w:type="dxa"/>
          </w:tcPr>
          <w:p w:rsidR="00777073" w:rsidRPr="00E1056D" w:rsidRDefault="00777073" w:rsidP="00EA7534">
            <w:pPr>
              <w:rPr>
                <w:sz w:val="20"/>
                <w:szCs w:val="20"/>
              </w:rPr>
            </w:pPr>
            <w:r w:rsidRPr="00E1056D">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New York</w:t>
            </w:r>
          </w:p>
        </w:tc>
        <w:tc>
          <w:tcPr>
            <w:tcW w:w="990" w:type="dxa"/>
          </w:tcPr>
          <w:p w:rsidR="00777073" w:rsidRPr="00E1056D" w:rsidRDefault="00777073" w:rsidP="00E1056D">
            <w:pPr>
              <w:rPr>
                <w:sz w:val="20"/>
                <w:szCs w:val="20"/>
              </w:rPr>
            </w:pPr>
            <w:r w:rsidRPr="00E1056D">
              <w:rPr>
                <w:sz w:val="20"/>
                <w:szCs w:val="20"/>
              </w:rPr>
              <w:t>2</w:t>
            </w:r>
          </w:p>
        </w:tc>
        <w:tc>
          <w:tcPr>
            <w:tcW w:w="1440" w:type="dxa"/>
          </w:tcPr>
          <w:p w:rsidR="00777073" w:rsidRPr="00E1056D" w:rsidRDefault="00E54CD8" w:rsidP="00E54CD8">
            <w:pPr>
              <w:rPr>
                <w:sz w:val="20"/>
                <w:szCs w:val="20"/>
              </w:rPr>
            </w:pPr>
            <w:r>
              <w:rPr>
                <w:sz w:val="20"/>
                <w:szCs w:val="20"/>
              </w:rPr>
              <w:t>5</w:t>
            </w:r>
          </w:p>
        </w:tc>
        <w:tc>
          <w:tcPr>
            <w:tcW w:w="1440" w:type="dxa"/>
          </w:tcPr>
          <w:p w:rsidR="00777073" w:rsidRPr="00E1056D" w:rsidRDefault="00777073" w:rsidP="00EA7534">
            <w:pPr>
              <w:rPr>
                <w:sz w:val="20"/>
                <w:szCs w:val="20"/>
              </w:rPr>
            </w:pPr>
            <w:r w:rsidRPr="00E1056D">
              <w:rPr>
                <w:sz w:val="20"/>
                <w:szCs w:val="20"/>
              </w:rPr>
              <w:t>0</w:t>
            </w:r>
          </w:p>
        </w:tc>
        <w:tc>
          <w:tcPr>
            <w:tcW w:w="1440" w:type="dxa"/>
          </w:tcPr>
          <w:p w:rsidR="00777073" w:rsidRPr="00E1056D" w:rsidRDefault="00EA7534" w:rsidP="00EA7534">
            <w:pPr>
              <w:rPr>
                <w:sz w:val="20"/>
                <w:szCs w:val="20"/>
              </w:rPr>
            </w:pPr>
            <w:r>
              <w:rPr>
                <w:sz w:val="20"/>
                <w:szCs w:val="20"/>
              </w:rPr>
              <w:t>0</w:t>
            </w:r>
          </w:p>
        </w:tc>
        <w:tc>
          <w:tcPr>
            <w:tcW w:w="1440" w:type="dxa"/>
          </w:tcPr>
          <w:p w:rsidR="00777073" w:rsidRPr="00E1056D" w:rsidRDefault="00EA7534" w:rsidP="00EA7534">
            <w:pPr>
              <w:rPr>
                <w:sz w:val="20"/>
                <w:szCs w:val="20"/>
              </w:rPr>
            </w:pPr>
            <w:r>
              <w:rPr>
                <w:sz w:val="20"/>
                <w:szCs w:val="20"/>
              </w:rPr>
              <w:t>0</w:t>
            </w:r>
          </w:p>
        </w:tc>
      </w:tr>
      <w:tr w:rsidR="0027018F" w:rsidRPr="00F066A3" w:rsidTr="000D1AA0">
        <w:tc>
          <w:tcPr>
            <w:tcW w:w="1440" w:type="dxa"/>
          </w:tcPr>
          <w:p w:rsidR="0027018F" w:rsidRPr="00E1056D" w:rsidRDefault="0027018F" w:rsidP="00E1056D">
            <w:pPr>
              <w:rPr>
                <w:sz w:val="20"/>
                <w:szCs w:val="20"/>
              </w:rPr>
            </w:pPr>
            <w:r>
              <w:rPr>
                <w:sz w:val="20"/>
                <w:szCs w:val="20"/>
              </w:rPr>
              <w:t>North Carolina</w:t>
            </w:r>
          </w:p>
        </w:tc>
        <w:tc>
          <w:tcPr>
            <w:tcW w:w="990" w:type="dxa"/>
          </w:tcPr>
          <w:p w:rsidR="0027018F" w:rsidRPr="00E1056D" w:rsidRDefault="0027018F" w:rsidP="00E1056D">
            <w:pPr>
              <w:rPr>
                <w:sz w:val="20"/>
                <w:szCs w:val="20"/>
              </w:rPr>
            </w:pPr>
            <w:r>
              <w:rPr>
                <w:sz w:val="20"/>
                <w:szCs w:val="20"/>
              </w:rPr>
              <w:t>4</w:t>
            </w:r>
          </w:p>
        </w:tc>
        <w:tc>
          <w:tcPr>
            <w:tcW w:w="1440" w:type="dxa"/>
          </w:tcPr>
          <w:p w:rsidR="0027018F" w:rsidRPr="00E1056D" w:rsidRDefault="0027018F" w:rsidP="00E1056D">
            <w:pPr>
              <w:rPr>
                <w:sz w:val="20"/>
                <w:szCs w:val="20"/>
              </w:rPr>
            </w:pPr>
            <w:r>
              <w:rPr>
                <w:sz w:val="20"/>
                <w:szCs w:val="20"/>
              </w:rPr>
              <w:t>1</w:t>
            </w:r>
          </w:p>
        </w:tc>
        <w:tc>
          <w:tcPr>
            <w:tcW w:w="1440" w:type="dxa"/>
          </w:tcPr>
          <w:p w:rsidR="0027018F" w:rsidRPr="00E1056D" w:rsidRDefault="0027018F" w:rsidP="00EA7534">
            <w:pPr>
              <w:rPr>
                <w:sz w:val="20"/>
                <w:szCs w:val="20"/>
              </w:rPr>
            </w:pPr>
            <w:r>
              <w:rPr>
                <w:sz w:val="20"/>
                <w:szCs w:val="20"/>
              </w:rPr>
              <w:t>0</w:t>
            </w:r>
          </w:p>
        </w:tc>
        <w:tc>
          <w:tcPr>
            <w:tcW w:w="1440" w:type="dxa"/>
          </w:tcPr>
          <w:p w:rsidR="0027018F" w:rsidRPr="00E1056D" w:rsidRDefault="0027018F" w:rsidP="00EA7534">
            <w:pPr>
              <w:rPr>
                <w:sz w:val="20"/>
                <w:szCs w:val="20"/>
              </w:rPr>
            </w:pPr>
            <w:r>
              <w:rPr>
                <w:sz w:val="20"/>
                <w:szCs w:val="20"/>
              </w:rPr>
              <w:t>0</w:t>
            </w:r>
          </w:p>
        </w:tc>
        <w:tc>
          <w:tcPr>
            <w:tcW w:w="1440" w:type="dxa"/>
          </w:tcPr>
          <w:p w:rsidR="0027018F" w:rsidRPr="00E1056D" w:rsidRDefault="0027018F" w:rsidP="00EA7534">
            <w:pPr>
              <w:rPr>
                <w:sz w:val="20"/>
                <w:szCs w:val="20"/>
              </w:rPr>
            </w:pPr>
            <w:r>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Pennsylvania</w:t>
            </w:r>
          </w:p>
        </w:tc>
        <w:tc>
          <w:tcPr>
            <w:tcW w:w="990" w:type="dxa"/>
          </w:tcPr>
          <w:p w:rsidR="00777073" w:rsidRPr="00E1056D" w:rsidRDefault="00777073" w:rsidP="00E1056D">
            <w:pPr>
              <w:rPr>
                <w:sz w:val="20"/>
                <w:szCs w:val="20"/>
              </w:rPr>
            </w:pPr>
            <w:r w:rsidRPr="00E1056D">
              <w:rPr>
                <w:sz w:val="20"/>
                <w:szCs w:val="20"/>
              </w:rPr>
              <w:t>3</w:t>
            </w:r>
          </w:p>
        </w:tc>
        <w:tc>
          <w:tcPr>
            <w:tcW w:w="1440" w:type="dxa"/>
          </w:tcPr>
          <w:p w:rsidR="00777073" w:rsidRPr="00E1056D" w:rsidRDefault="00777073" w:rsidP="00E1056D">
            <w:pPr>
              <w:rPr>
                <w:sz w:val="20"/>
                <w:szCs w:val="20"/>
              </w:rPr>
            </w:pPr>
            <w:r w:rsidRPr="00E1056D">
              <w:rPr>
                <w:sz w:val="20"/>
                <w:szCs w:val="20"/>
              </w:rPr>
              <w:t>2</w:t>
            </w:r>
          </w:p>
        </w:tc>
        <w:tc>
          <w:tcPr>
            <w:tcW w:w="1440" w:type="dxa"/>
          </w:tcPr>
          <w:p w:rsidR="00777073" w:rsidRPr="00E1056D" w:rsidRDefault="00777073" w:rsidP="00EA7534">
            <w:pPr>
              <w:rPr>
                <w:sz w:val="20"/>
                <w:szCs w:val="20"/>
              </w:rPr>
            </w:pPr>
            <w:r w:rsidRPr="00E1056D">
              <w:rPr>
                <w:sz w:val="20"/>
                <w:szCs w:val="20"/>
              </w:rPr>
              <w:t>0</w:t>
            </w:r>
          </w:p>
        </w:tc>
        <w:tc>
          <w:tcPr>
            <w:tcW w:w="1440" w:type="dxa"/>
          </w:tcPr>
          <w:p w:rsidR="00777073" w:rsidRPr="00E1056D" w:rsidRDefault="00777073" w:rsidP="00EA7534">
            <w:pPr>
              <w:rPr>
                <w:sz w:val="20"/>
                <w:szCs w:val="20"/>
              </w:rPr>
            </w:pPr>
            <w:r w:rsidRPr="00E1056D">
              <w:rPr>
                <w:sz w:val="20"/>
                <w:szCs w:val="20"/>
              </w:rPr>
              <w:t>0</w:t>
            </w:r>
          </w:p>
        </w:tc>
        <w:tc>
          <w:tcPr>
            <w:tcW w:w="1440" w:type="dxa"/>
          </w:tcPr>
          <w:p w:rsidR="00777073" w:rsidRPr="00E1056D" w:rsidRDefault="00777073" w:rsidP="00EA7534">
            <w:pPr>
              <w:rPr>
                <w:sz w:val="20"/>
                <w:szCs w:val="20"/>
              </w:rPr>
            </w:pPr>
            <w:r w:rsidRPr="00E1056D">
              <w:rPr>
                <w:sz w:val="20"/>
                <w:szCs w:val="20"/>
              </w:rPr>
              <w:t>0</w:t>
            </w:r>
          </w:p>
        </w:tc>
      </w:tr>
      <w:tr w:rsidR="000D1AA0" w:rsidRPr="00F066A3" w:rsidTr="000D1AA0">
        <w:tc>
          <w:tcPr>
            <w:tcW w:w="1440" w:type="dxa"/>
          </w:tcPr>
          <w:p w:rsidR="00777073" w:rsidRPr="00E1056D" w:rsidRDefault="00777073" w:rsidP="00E1056D">
            <w:pPr>
              <w:rPr>
                <w:sz w:val="20"/>
                <w:szCs w:val="20"/>
              </w:rPr>
            </w:pPr>
            <w:r w:rsidRPr="00E1056D">
              <w:rPr>
                <w:sz w:val="20"/>
                <w:szCs w:val="20"/>
              </w:rPr>
              <w:t>Texas</w:t>
            </w:r>
          </w:p>
        </w:tc>
        <w:tc>
          <w:tcPr>
            <w:tcW w:w="990" w:type="dxa"/>
          </w:tcPr>
          <w:p w:rsidR="00777073" w:rsidRPr="00E1056D" w:rsidRDefault="00777073" w:rsidP="00E1056D">
            <w:pPr>
              <w:rPr>
                <w:sz w:val="20"/>
                <w:szCs w:val="20"/>
              </w:rPr>
            </w:pPr>
            <w:r w:rsidRPr="00E1056D">
              <w:rPr>
                <w:sz w:val="20"/>
                <w:szCs w:val="20"/>
              </w:rPr>
              <w:t>6</w:t>
            </w:r>
          </w:p>
        </w:tc>
        <w:tc>
          <w:tcPr>
            <w:tcW w:w="1440" w:type="dxa"/>
          </w:tcPr>
          <w:p w:rsidR="00777073" w:rsidRPr="00E1056D" w:rsidRDefault="00777073" w:rsidP="00E1056D">
            <w:pPr>
              <w:rPr>
                <w:sz w:val="20"/>
                <w:szCs w:val="20"/>
              </w:rPr>
            </w:pPr>
            <w:r w:rsidRPr="00E1056D">
              <w:rPr>
                <w:sz w:val="20"/>
                <w:szCs w:val="20"/>
              </w:rPr>
              <w:t>2</w:t>
            </w:r>
          </w:p>
        </w:tc>
        <w:tc>
          <w:tcPr>
            <w:tcW w:w="1440" w:type="dxa"/>
          </w:tcPr>
          <w:p w:rsidR="00777073" w:rsidRPr="00E1056D" w:rsidRDefault="005374BA" w:rsidP="00592D8F">
            <w:pPr>
              <w:rPr>
                <w:sz w:val="20"/>
                <w:szCs w:val="20"/>
              </w:rPr>
            </w:pPr>
            <w:r>
              <w:rPr>
                <w:sz w:val="20"/>
                <w:szCs w:val="20"/>
              </w:rPr>
              <w:t>10,000</w:t>
            </w:r>
          </w:p>
        </w:tc>
        <w:tc>
          <w:tcPr>
            <w:tcW w:w="1440" w:type="dxa"/>
          </w:tcPr>
          <w:p w:rsidR="00777073" w:rsidRPr="00E1056D" w:rsidRDefault="005374BA" w:rsidP="00592D8F">
            <w:pPr>
              <w:rPr>
                <w:sz w:val="20"/>
                <w:szCs w:val="20"/>
              </w:rPr>
            </w:pPr>
            <w:r>
              <w:rPr>
                <w:sz w:val="20"/>
                <w:szCs w:val="20"/>
              </w:rPr>
              <w:t>5,000</w:t>
            </w:r>
          </w:p>
        </w:tc>
        <w:tc>
          <w:tcPr>
            <w:tcW w:w="1440" w:type="dxa"/>
          </w:tcPr>
          <w:p w:rsidR="00777073" w:rsidRPr="00E1056D" w:rsidRDefault="005374BA" w:rsidP="00592D8F">
            <w:pPr>
              <w:rPr>
                <w:sz w:val="20"/>
                <w:szCs w:val="20"/>
              </w:rPr>
            </w:pPr>
            <w:r>
              <w:rPr>
                <w:sz w:val="20"/>
                <w:szCs w:val="20"/>
              </w:rPr>
              <w:t>5,000</w:t>
            </w:r>
          </w:p>
        </w:tc>
      </w:tr>
      <w:tr w:rsidR="000D1AA0" w:rsidRPr="00F066A3" w:rsidTr="000D1AA0">
        <w:tc>
          <w:tcPr>
            <w:tcW w:w="1440" w:type="dxa"/>
          </w:tcPr>
          <w:p w:rsidR="00777073" w:rsidRPr="00E1056D" w:rsidRDefault="00777073" w:rsidP="00E1056D">
            <w:pPr>
              <w:rPr>
                <w:sz w:val="20"/>
                <w:szCs w:val="20"/>
              </w:rPr>
            </w:pPr>
            <w:r w:rsidRPr="00E1056D">
              <w:rPr>
                <w:sz w:val="20"/>
                <w:szCs w:val="20"/>
              </w:rPr>
              <w:t>Virginia</w:t>
            </w:r>
          </w:p>
        </w:tc>
        <w:tc>
          <w:tcPr>
            <w:tcW w:w="990" w:type="dxa"/>
          </w:tcPr>
          <w:p w:rsidR="00777073" w:rsidRPr="00E1056D" w:rsidRDefault="00777073" w:rsidP="00E1056D">
            <w:pPr>
              <w:rPr>
                <w:sz w:val="20"/>
                <w:szCs w:val="20"/>
              </w:rPr>
            </w:pPr>
            <w:r w:rsidRPr="00E1056D">
              <w:rPr>
                <w:sz w:val="20"/>
                <w:szCs w:val="20"/>
              </w:rPr>
              <w:t>3</w:t>
            </w:r>
          </w:p>
        </w:tc>
        <w:tc>
          <w:tcPr>
            <w:tcW w:w="1440" w:type="dxa"/>
          </w:tcPr>
          <w:p w:rsidR="00777073" w:rsidRPr="00E1056D" w:rsidRDefault="00777073" w:rsidP="00E1056D">
            <w:pPr>
              <w:rPr>
                <w:sz w:val="20"/>
                <w:szCs w:val="20"/>
              </w:rPr>
            </w:pPr>
            <w:r w:rsidRPr="00E1056D">
              <w:rPr>
                <w:sz w:val="20"/>
                <w:szCs w:val="20"/>
              </w:rPr>
              <w:t>1</w:t>
            </w:r>
          </w:p>
        </w:tc>
        <w:tc>
          <w:tcPr>
            <w:tcW w:w="1440" w:type="dxa"/>
          </w:tcPr>
          <w:p w:rsidR="00777073" w:rsidRPr="00E1056D" w:rsidRDefault="00777073" w:rsidP="00EA7534">
            <w:pPr>
              <w:rPr>
                <w:sz w:val="20"/>
                <w:szCs w:val="20"/>
              </w:rPr>
            </w:pPr>
            <w:r w:rsidRPr="00E1056D">
              <w:rPr>
                <w:sz w:val="20"/>
                <w:szCs w:val="20"/>
              </w:rPr>
              <w:t>0</w:t>
            </w:r>
          </w:p>
        </w:tc>
        <w:tc>
          <w:tcPr>
            <w:tcW w:w="1440" w:type="dxa"/>
          </w:tcPr>
          <w:p w:rsidR="00777073" w:rsidRPr="00E1056D" w:rsidRDefault="00EA7534" w:rsidP="00EA7534">
            <w:pPr>
              <w:rPr>
                <w:sz w:val="20"/>
                <w:szCs w:val="20"/>
              </w:rPr>
            </w:pPr>
            <w:r>
              <w:rPr>
                <w:sz w:val="20"/>
                <w:szCs w:val="20"/>
              </w:rPr>
              <w:t>0</w:t>
            </w:r>
          </w:p>
        </w:tc>
        <w:tc>
          <w:tcPr>
            <w:tcW w:w="1440" w:type="dxa"/>
          </w:tcPr>
          <w:p w:rsidR="00777073" w:rsidRPr="00E1056D" w:rsidRDefault="00EA7534" w:rsidP="00EA7534">
            <w:pPr>
              <w:rPr>
                <w:sz w:val="20"/>
                <w:szCs w:val="20"/>
              </w:rPr>
            </w:pPr>
            <w:r>
              <w:rPr>
                <w:sz w:val="20"/>
                <w:szCs w:val="20"/>
              </w:rPr>
              <w:t>0</w:t>
            </w:r>
          </w:p>
        </w:tc>
      </w:tr>
      <w:tr w:rsidR="00131F21" w:rsidRPr="00F066A3" w:rsidTr="000D1AA0">
        <w:tc>
          <w:tcPr>
            <w:tcW w:w="1440" w:type="dxa"/>
          </w:tcPr>
          <w:p w:rsidR="00131F21" w:rsidRPr="00E1056D" w:rsidRDefault="00131F21" w:rsidP="00E1056D">
            <w:pPr>
              <w:rPr>
                <w:sz w:val="20"/>
                <w:szCs w:val="20"/>
              </w:rPr>
            </w:pPr>
            <w:r>
              <w:rPr>
                <w:sz w:val="20"/>
                <w:szCs w:val="20"/>
              </w:rPr>
              <w:t>Wisconsin</w:t>
            </w:r>
          </w:p>
        </w:tc>
        <w:tc>
          <w:tcPr>
            <w:tcW w:w="990" w:type="dxa"/>
          </w:tcPr>
          <w:p w:rsidR="00131F21" w:rsidRPr="00E1056D" w:rsidRDefault="00F20646" w:rsidP="00E1056D">
            <w:pPr>
              <w:rPr>
                <w:sz w:val="20"/>
                <w:szCs w:val="20"/>
              </w:rPr>
            </w:pPr>
            <w:r>
              <w:rPr>
                <w:sz w:val="20"/>
                <w:szCs w:val="20"/>
              </w:rPr>
              <w:t>5</w:t>
            </w:r>
          </w:p>
        </w:tc>
        <w:tc>
          <w:tcPr>
            <w:tcW w:w="1440" w:type="dxa"/>
          </w:tcPr>
          <w:p w:rsidR="00131F21" w:rsidRPr="00E1056D" w:rsidRDefault="00131F21" w:rsidP="00E1056D">
            <w:pPr>
              <w:rPr>
                <w:sz w:val="20"/>
                <w:szCs w:val="20"/>
              </w:rPr>
            </w:pPr>
            <w:r>
              <w:rPr>
                <w:sz w:val="20"/>
                <w:szCs w:val="20"/>
              </w:rPr>
              <w:t>1</w:t>
            </w:r>
          </w:p>
        </w:tc>
        <w:tc>
          <w:tcPr>
            <w:tcW w:w="1440" w:type="dxa"/>
          </w:tcPr>
          <w:p w:rsidR="00131F21" w:rsidRPr="00E1056D" w:rsidRDefault="00EA7534" w:rsidP="00EA7534">
            <w:pPr>
              <w:rPr>
                <w:sz w:val="20"/>
                <w:szCs w:val="20"/>
              </w:rPr>
            </w:pPr>
            <w:r>
              <w:rPr>
                <w:sz w:val="20"/>
                <w:szCs w:val="20"/>
              </w:rPr>
              <w:t>0</w:t>
            </w:r>
          </w:p>
        </w:tc>
        <w:tc>
          <w:tcPr>
            <w:tcW w:w="1440" w:type="dxa"/>
          </w:tcPr>
          <w:p w:rsidR="00131F21" w:rsidRPr="00E1056D" w:rsidRDefault="00EA7534" w:rsidP="00EA7534">
            <w:pPr>
              <w:rPr>
                <w:sz w:val="20"/>
                <w:szCs w:val="20"/>
              </w:rPr>
            </w:pPr>
            <w:r>
              <w:rPr>
                <w:sz w:val="20"/>
                <w:szCs w:val="20"/>
              </w:rPr>
              <w:t>0</w:t>
            </w:r>
          </w:p>
        </w:tc>
        <w:tc>
          <w:tcPr>
            <w:tcW w:w="1440" w:type="dxa"/>
          </w:tcPr>
          <w:p w:rsidR="00131F21" w:rsidRPr="00E1056D" w:rsidRDefault="00EA7534" w:rsidP="00E1056D">
            <w:pPr>
              <w:rPr>
                <w:sz w:val="20"/>
                <w:szCs w:val="20"/>
              </w:rPr>
            </w:pPr>
            <w:r>
              <w:rPr>
                <w:sz w:val="20"/>
                <w:szCs w:val="20"/>
              </w:rPr>
              <w:t>0</w:t>
            </w:r>
          </w:p>
        </w:tc>
      </w:tr>
      <w:tr w:rsidR="000D1AA0" w:rsidRPr="00F066A3" w:rsidTr="000D1AA0">
        <w:tc>
          <w:tcPr>
            <w:tcW w:w="1440" w:type="dxa"/>
          </w:tcPr>
          <w:p w:rsidR="00777073" w:rsidRPr="00E1056D" w:rsidRDefault="00777073" w:rsidP="00E1056D">
            <w:pPr>
              <w:rPr>
                <w:b/>
                <w:sz w:val="20"/>
                <w:szCs w:val="20"/>
              </w:rPr>
            </w:pPr>
            <w:r w:rsidRPr="00E1056D">
              <w:rPr>
                <w:b/>
                <w:sz w:val="20"/>
                <w:szCs w:val="20"/>
              </w:rPr>
              <w:t>Total</w:t>
            </w:r>
          </w:p>
        </w:tc>
        <w:tc>
          <w:tcPr>
            <w:tcW w:w="990" w:type="dxa"/>
          </w:tcPr>
          <w:p w:rsidR="00777073" w:rsidRPr="00E1056D" w:rsidRDefault="0031374A" w:rsidP="00E1056D">
            <w:pPr>
              <w:rPr>
                <w:b/>
                <w:sz w:val="20"/>
                <w:szCs w:val="20"/>
              </w:rPr>
            </w:pPr>
            <w:r w:rsidRPr="00E1056D">
              <w:rPr>
                <w:b/>
                <w:sz w:val="20"/>
                <w:szCs w:val="20"/>
              </w:rPr>
              <w:t>N/A</w:t>
            </w:r>
          </w:p>
        </w:tc>
        <w:tc>
          <w:tcPr>
            <w:tcW w:w="1440" w:type="dxa"/>
          </w:tcPr>
          <w:p w:rsidR="00777073" w:rsidRPr="00E1056D" w:rsidRDefault="0058538F" w:rsidP="00E1056D">
            <w:pPr>
              <w:rPr>
                <w:b/>
                <w:sz w:val="20"/>
                <w:szCs w:val="20"/>
              </w:rPr>
            </w:pPr>
            <w:r>
              <w:rPr>
                <w:b/>
                <w:sz w:val="20"/>
                <w:szCs w:val="20"/>
              </w:rPr>
              <w:fldChar w:fldCharType="begin"/>
            </w:r>
            <w:r w:rsidR="00E54CD8">
              <w:rPr>
                <w:b/>
                <w:sz w:val="20"/>
                <w:szCs w:val="20"/>
              </w:rPr>
              <w:instrText xml:space="preserve"> =SUM(ABOVE) </w:instrText>
            </w:r>
            <w:r>
              <w:rPr>
                <w:b/>
                <w:sz w:val="20"/>
                <w:szCs w:val="20"/>
              </w:rPr>
              <w:fldChar w:fldCharType="separate"/>
            </w:r>
            <w:r w:rsidR="00E54CD8">
              <w:rPr>
                <w:b/>
                <w:noProof/>
                <w:sz w:val="20"/>
                <w:szCs w:val="20"/>
              </w:rPr>
              <w:t>41</w:t>
            </w:r>
            <w:r>
              <w:rPr>
                <w:b/>
                <w:sz w:val="20"/>
                <w:szCs w:val="20"/>
              </w:rPr>
              <w:fldChar w:fldCharType="end"/>
            </w:r>
          </w:p>
        </w:tc>
        <w:tc>
          <w:tcPr>
            <w:tcW w:w="1440" w:type="dxa"/>
          </w:tcPr>
          <w:p w:rsidR="00777073" w:rsidRPr="00E1056D" w:rsidRDefault="0058538F" w:rsidP="005C2A5E">
            <w:pPr>
              <w:rPr>
                <w:b/>
                <w:sz w:val="20"/>
                <w:szCs w:val="20"/>
              </w:rPr>
            </w:pPr>
            <w:r>
              <w:rPr>
                <w:b/>
                <w:sz w:val="20"/>
                <w:szCs w:val="20"/>
              </w:rPr>
              <w:fldChar w:fldCharType="begin"/>
            </w:r>
            <w:r w:rsidR="005C2A5E">
              <w:rPr>
                <w:b/>
                <w:sz w:val="20"/>
                <w:szCs w:val="20"/>
              </w:rPr>
              <w:instrText xml:space="preserve"> =SUM(ABOVE) </w:instrText>
            </w:r>
            <w:r>
              <w:rPr>
                <w:b/>
                <w:sz w:val="20"/>
                <w:szCs w:val="20"/>
              </w:rPr>
              <w:fldChar w:fldCharType="separate"/>
            </w:r>
            <w:r w:rsidR="005C2A5E">
              <w:rPr>
                <w:b/>
                <w:noProof/>
                <w:sz w:val="20"/>
                <w:szCs w:val="20"/>
              </w:rPr>
              <w:t>17,500</w:t>
            </w:r>
            <w:r>
              <w:rPr>
                <w:b/>
                <w:sz w:val="20"/>
                <w:szCs w:val="20"/>
              </w:rPr>
              <w:fldChar w:fldCharType="end"/>
            </w:r>
          </w:p>
        </w:tc>
        <w:tc>
          <w:tcPr>
            <w:tcW w:w="1440" w:type="dxa"/>
          </w:tcPr>
          <w:p w:rsidR="00777073" w:rsidRPr="00E1056D" w:rsidRDefault="0058538F" w:rsidP="005C2A5E">
            <w:pPr>
              <w:rPr>
                <w:b/>
                <w:sz w:val="20"/>
                <w:szCs w:val="20"/>
              </w:rPr>
            </w:pPr>
            <w:r>
              <w:rPr>
                <w:b/>
                <w:sz w:val="20"/>
                <w:szCs w:val="20"/>
              </w:rPr>
              <w:fldChar w:fldCharType="begin"/>
            </w:r>
            <w:r w:rsidR="005C2A5E">
              <w:rPr>
                <w:b/>
                <w:sz w:val="20"/>
                <w:szCs w:val="20"/>
              </w:rPr>
              <w:instrText xml:space="preserve"> =SUM(ABOVE) </w:instrText>
            </w:r>
            <w:r>
              <w:rPr>
                <w:b/>
                <w:sz w:val="20"/>
                <w:szCs w:val="20"/>
              </w:rPr>
              <w:fldChar w:fldCharType="separate"/>
            </w:r>
            <w:r w:rsidR="005C2A5E">
              <w:rPr>
                <w:b/>
                <w:noProof/>
                <w:sz w:val="20"/>
                <w:szCs w:val="20"/>
              </w:rPr>
              <w:t>8,750</w:t>
            </w:r>
            <w:r>
              <w:rPr>
                <w:b/>
                <w:sz w:val="20"/>
                <w:szCs w:val="20"/>
              </w:rPr>
              <w:fldChar w:fldCharType="end"/>
            </w:r>
          </w:p>
        </w:tc>
        <w:tc>
          <w:tcPr>
            <w:tcW w:w="1440" w:type="dxa"/>
          </w:tcPr>
          <w:p w:rsidR="00777073" w:rsidRPr="00E1056D" w:rsidRDefault="0058538F" w:rsidP="005C2A5E">
            <w:pPr>
              <w:rPr>
                <w:b/>
                <w:sz w:val="20"/>
                <w:szCs w:val="20"/>
              </w:rPr>
            </w:pPr>
            <w:r>
              <w:rPr>
                <w:b/>
                <w:sz w:val="20"/>
                <w:szCs w:val="20"/>
              </w:rPr>
              <w:fldChar w:fldCharType="begin"/>
            </w:r>
            <w:r w:rsidR="005C2A5E">
              <w:rPr>
                <w:b/>
                <w:sz w:val="20"/>
                <w:szCs w:val="20"/>
              </w:rPr>
              <w:instrText xml:space="preserve"> =SUM(ABOVE) </w:instrText>
            </w:r>
            <w:r>
              <w:rPr>
                <w:b/>
                <w:sz w:val="20"/>
                <w:szCs w:val="20"/>
              </w:rPr>
              <w:fldChar w:fldCharType="separate"/>
            </w:r>
            <w:r w:rsidR="005C2A5E">
              <w:rPr>
                <w:b/>
                <w:noProof/>
                <w:sz w:val="20"/>
                <w:szCs w:val="20"/>
              </w:rPr>
              <w:t>8,750</w:t>
            </w:r>
            <w:r>
              <w:rPr>
                <w:b/>
                <w:sz w:val="20"/>
                <w:szCs w:val="20"/>
              </w:rPr>
              <w:fldChar w:fldCharType="end"/>
            </w:r>
          </w:p>
        </w:tc>
      </w:tr>
    </w:tbl>
    <w:p w:rsidR="00CB3528" w:rsidRDefault="00CB3528" w:rsidP="00E1056D"/>
    <w:p w:rsidR="00CB3528" w:rsidRPr="00E1056D" w:rsidRDefault="00CB3528" w:rsidP="00E1056D">
      <w:pPr>
        <w:rPr>
          <w:b/>
        </w:rPr>
      </w:pPr>
      <w:r w:rsidRPr="00E1056D">
        <w:rPr>
          <w:b/>
        </w:rPr>
        <w:t>6(b)</w:t>
      </w:r>
      <w:r w:rsidRPr="00E1056D">
        <w:rPr>
          <w:b/>
        </w:rPr>
        <w:tab/>
        <w:t>Estimating Respondent Cost</w:t>
      </w:r>
    </w:p>
    <w:p w:rsidR="00CB3528" w:rsidRDefault="00CB3528" w:rsidP="00E1056D"/>
    <w:p w:rsidR="00CB3528" w:rsidRDefault="00CB3528" w:rsidP="00E1056D">
      <w:r>
        <w:tab/>
        <w:t xml:space="preserve">Labor costs are estimated for state governments using the total of projected additional hours for the </w:t>
      </w:r>
      <w:r w:rsidR="00A26988">
        <w:t>f</w:t>
      </w:r>
      <w:r w:rsidR="00E1056D">
        <w:t xml:space="preserve">ormer </w:t>
      </w:r>
      <w:r w:rsidR="00A26988">
        <w:t>s</w:t>
      </w:r>
      <w:r>
        <w:t xml:space="preserve">ubpart 1 and </w:t>
      </w:r>
      <w:r w:rsidR="00A26988">
        <w:t>s</w:t>
      </w:r>
      <w:r>
        <w:t xml:space="preserve">ubpart 2 </w:t>
      </w:r>
      <w:r w:rsidR="00E1056D">
        <w:t>a</w:t>
      </w:r>
      <w:r>
        <w:t>reas.</w:t>
      </w:r>
      <w:r w:rsidR="00FA5F1B">
        <w:t xml:space="preserve"> </w:t>
      </w:r>
      <w:r>
        <w:t>These estimates do not reflect staff experience and eco</w:t>
      </w:r>
      <w:r w:rsidR="00A41FB0">
        <w:t>nomies</w:t>
      </w:r>
      <w:r>
        <w:t xml:space="preserve"> of scale.</w:t>
      </w:r>
      <w:r w:rsidR="00FA5F1B">
        <w:t xml:space="preserve"> </w:t>
      </w:r>
      <w:r>
        <w:t>The hourly rates are the result of estimated directed and indirect cost per employee.</w:t>
      </w:r>
      <w:r w:rsidR="00FA5F1B">
        <w:t xml:space="preserve"> </w:t>
      </w:r>
      <w:r>
        <w:t xml:space="preserve">The main source of the information is </w:t>
      </w:r>
      <w:hyperlink r:id="rId13" w:history="1">
        <w:r>
          <w:rPr>
            <w:rStyle w:val="Hyperlink"/>
          </w:rPr>
          <w:t>http://www.opm.gov/oca/payrates/index.htm</w:t>
        </w:r>
      </w:hyperlink>
    </w:p>
    <w:p w:rsidR="00CB3528" w:rsidRDefault="00CB3528" w:rsidP="00E1056D"/>
    <w:p w:rsidR="00911BF1" w:rsidRDefault="00911BF1" w:rsidP="00E1056D">
      <w:r>
        <w:tab/>
        <w:t>The estimated weighted direct salary cost per employee is $</w:t>
      </w:r>
      <w:r w:rsidRPr="001C36AA">
        <w:t>41.20</w:t>
      </w:r>
      <w:r>
        <w:t xml:space="preserve"> per hour. This results from a summation of the professional, managerial, and support staff components.</w:t>
      </w:r>
    </w:p>
    <w:p w:rsidR="00911BF1" w:rsidRDefault="00911BF1" w:rsidP="00E1056D"/>
    <w:p w:rsidR="006D0802" w:rsidRDefault="006D0802" w:rsidP="00DC6370">
      <w:pPr>
        <w:numPr>
          <w:ilvl w:val="0"/>
          <w:numId w:val="22"/>
        </w:numPr>
        <w:tabs>
          <w:tab w:val="clear" w:pos="630"/>
          <w:tab w:val="num" w:pos="720"/>
        </w:tabs>
      </w:pPr>
      <w:r>
        <w:t xml:space="preserve">Hourly equivalent 2009 Salary of Permanent Professional Staff at GS 11, Step 3 is </w:t>
      </w:r>
      <w:r w:rsidRPr="00A0652B">
        <w:t>$</w:t>
      </w:r>
      <w:r>
        <w:t>33.34</w:t>
      </w:r>
      <w:r w:rsidRPr="00A0652B">
        <w:t>.</w:t>
      </w:r>
      <w:r w:rsidR="00FA5F1B">
        <w:t xml:space="preserve"> </w:t>
      </w:r>
      <w:r>
        <w:t xml:space="preserve">This is the average of hourly equivalent rates for the </w:t>
      </w:r>
      <w:smartTag w:uri="urn:schemas-microsoft-com:office:smarttags" w:element="City">
        <w:r>
          <w:t>San Francisco</w:t>
        </w:r>
      </w:smartTag>
      <w:r>
        <w:t xml:space="preserve">, </w:t>
      </w:r>
      <w:smartTag w:uri="urn:schemas-microsoft-com:office:smarttags" w:element="State">
        <w:r>
          <w:t>CA</w:t>
        </w:r>
      </w:smartTag>
      <w:r>
        <w:t xml:space="preserve"> and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areas.</w:t>
      </w:r>
    </w:p>
    <w:p w:rsidR="006D0802" w:rsidRDefault="006D0802" w:rsidP="006D0802">
      <w:pPr>
        <w:numPr>
          <w:ilvl w:val="0"/>
          <w:numId w:val="22"/>
        </w:numPr>
      </w:pPr>
      <w:r>
        <w:lastRenderedPageBreak/>
        <w:t>To account for permanent managerial staff, 1/11 or 9% of the hourly rate for GS 13, Step 3 is added to the professional staff hourly rates.</w:t>
      </w:r>
      <w:r w:rsidR="00FA5F1B">
        <w:t xml:space="preserve"> </w:t>
      </w:r>
      <w:r>
        <w:t xml:space="preserve">The average hourly equivalent rate for GS-13 using rates for </w:t>
      </w:r>
      <w:smartTag w:uri="urn:schemas-microsoft-com:office:smarttags" w:element="City">
        <w:r>
          <w:t>San Francisco</w:t>
        </w:r>
      </w:smartTag>
      <w:r>
        <w:t xml:space="preserve">, </w:t>
      </w:r>
      <w:smartTag w:uri="urn:schemas-microsoft-com:office:smarttags" w:element="State">
        <w:r>
          <w:t>CA</w:t>
        </w:r>
      </w:smartTag>
      <w:r>
        <w:t xml:space="preserve"> and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is $47.51.</w:t>
      </w:r>
      <w:r w:rsidR="00FA5F1B">
        <w:t xml:space="preserve"> </w:t>
      </w:r>
      <w:r>
        <w:t>Nine percent of that is $4.32</w:t>
      </w:r>
      <w:r w:rsidRPr="00A0652B">
        <w:t>.</w:t>
      </w:r>
    </w:p>
    <w:p w:rsidR="006D0802" w:rsidRDefault="006D0802" w:rsidP="006D0802">
      <w:pPr>
        <w:numPr>
          <w:ilvl w:val="0"/>
          <w:numId w:val="22"/>
        </w:numPr>
      </w:pPr>
      <w:r>
        <w:t>To account for permanent support staff at GS-6, Step 6, 1/8 or 16% of the hourly rate is added to the professional staff hourly rates.</w:t>
      </w:r>
      <w:r w:rsidR="00FA5F1B">
        <w:t xml:space="preserve"> </w:t>
      </w:r>
      <w:r>
        <w:t>The average hourly equivalent rate for GS-6, Step 6 using rates for San Francisco, CA and Washington, D.C. is $22.17.</w:t>
      </w:r>
      <w:r w:rsidR="00FA5F1B">
        <w:t xml:space="preserve"> </w:t>
      </w:r>
      <w:r>
        <w:t xml:space="preserve">Sixteen percent of that is $3.55. </w:t>
      </w:r>
    </w:p>
    <w:p w:rsidR="006D0802" w:rsidRDefault="006D0802" w:rsidP="006D0802">
      <w:pPr>
        <w:ind w:left="720"/>
      </w:pPr>
    </w:p>
    <w:p w:rsidR="006D0802" w:rsidRDefault="006D0802" w:rsidP="006D0802">
      <w:pPr>
        <w:ind w:left="360"/>
      </w:pPr>
      <w:r>
        <w:tab/>
        <w:t>The estimated hourly indirect cost per employee is $23.90. This amount is the sum of the following:</w:t>
      </w:r>
    </w:p>
    <w:p w:rsidR="006D0802" w:rsidRDefault="006D0802" w:rsidP="006D0802">
      <w:pPr>
        <w:ind w:left="360"/>
      </w:pPr>
    </w:p>
    <w:p w:rsidR="006D0802" w:rsidRDefault="006D0802" w:rsidP="006D0802">
      <w:pPr>
        <w:numPr>
          <w:ilvl w:val="0"/>
          <w:numId w:val="23"/>
        </w:numPr>
      </w:pPr>
      <w:r>
        <w:t>Benefits at 16% of the weighted direct hourly equivalent salary cost per employee or $6.59.</w:t>
      </w:r>
    </w:p>
    <w:p w:rsidR="006D0802" w:rsidRDefault="006D0802" w:rsidP="006D0802">
      <w:pPr>
        <w:numPr>
          <w:ilvl w:val="0"/>
          <w:numId w:val="23"/>
        </w:numPr>
      </w:pPr>
      <w:r>
        <w:t>Sick and annual leave at 10% of the weighted direct hourly equivalent salary cost per employee or $4.12.</w:t>
      </w:r>
    </w:p>
    <w:p w:rsidR="006D0802" w:rsidRDefault="006D0802" w:rsidP="006D0802">
      <w:pPr>
        <w:numPr>
          <w:ilvl w:val="0"/>
          <w:numId w:val="23"/>
        </w:numPr>
      </w:pPr>
      <w:r>
        <w:t>General overhead at 32% of the weighed direct hourly equivalent salary cost per employee or $13.18.</w:t>
      </w:r>
    </w:p>
    <w:p w:rsidR="006D0802" w:rsidRDefault="006D0802" w:rsidP="006D0802">
      <w:pPr>
        <w:ind w:left="360"/>
      </w:pPr>
      <w:r>
        <w:tab/>
      </w:r>
    </w:p>
    <w:p w:rsidR="006D0802" w:rsidRDefault="006D0802" w:rsidP="006D0802">
      <w:pPr>
        <w:ind w:left="360"/>
      </w:pPr>
      <w:r>
        <w:tab/>
        <w:t>The estimated total weighted direct and indirect hourly equivalent salary cost per employee is $65.10. The estimated total incremental respondent burden for the attainment demonstration, RACT SIP submittal, and RFP SIP submittal is provided in Table 4.</w:t>
      </w:r>
    </w:p>
    <w:p w:rsidR="0023654B" w:rsidRDefault="0023654B" w:rsidP="006D0802">
      <w:pPr>
        <w:ind w:left="360"/>
      </w:pPr>
    </w:p>
    <w:p w:rsidR="006D0802" w:rsidRDefault="006D0802" w:rsidP="006D0802">
      <w:pPr>
        <w:ind w:left="720"/>
      </w:pPr>
    </w:p>
    <w:p w:rsidR="006D0802" w:rsidRDefault="006D0802" w:rsidP="006D0802">
      <w:pPr>
        <w:ind w:left="720"/>
        <w:rPr>
          <w:b/>
          <w:sz w:val="20"/>
          <w:szCs w:val="20"/>
        </w:rPr>
      </w:pPr>
      <w:proofErr w:type="gramStart"/>
      <w:r>
        <w:rPr>
          <w:b/>
          <w:sz w:val="20"/>
          <w:szCs w:val="20"/>
        </w:rPr>
        <w:t>Table 4.</w:t>
      </w:r>
      <w:proofErr w:type="gramEnd"/>
      <w:r w:rsidR="00821502">
        <w:rPr>
          <w:b/>
          <w:sz w:val="20"/>
          <w:szCs w:val="20"/>
        </w:rPr>
        <w:t xml:space="preserve"> </w:t>
      </w:r>
      <w:proofErr w:type="gramStart"/>
      <w:r>
        <w:rPr>
          <w:b/>
          <w:sz w:val="20"/>
          <w:szCs w:val="20"/>
        </w:rPr>
        <w:t>Estimated Total Incremental Cost and Hour Burden for the States (Respondents) to Fulfill the Attainment Demonstration, RACT SIP Submittal, and RFP SIP Submittal Requirements.</w:t>
      </w:r>
      <w:proofErr w:type="gramEnd"/>
    </w:p>
    <w:p w:rsidR="006D0802" w:rsidRDefault="006D0802" w:rsidP="006D0802">
      <w:pPr>
        <w:ind w:left="720"/>
      </w:pPr>
    </w:p>
    <w:tbl>
      <w:tblPr>
        <w:tblW w:w="7676"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
        <w:gridCol w:w="1618"/>
        <w:gridCol w:w="1618"/>
        <w:gridCol w:w="1618"/>
        <w:gridCol w:w="2156"/>
      </w:tblGrid>
      <w:tr w:rsidR="006D0802" w:rsidRPr="00FC625F" w:rsidTr="006B1192">
        <w:trPr>
          <w:trHeight w:val="467"/>
        </w:trPr>
        <w:tc>
          <w:tcPr>
            <w:tcW w:w="656" w:type="dxa"/>
            <w:vAlign w:val="center"/>
          </w:tcPr>
          <w:p w:rsidR="006D0802" w:rsidRPr="00FC625F" w:rsidRDefault="006D0802" w:rsidP="006B1192">
            <w:pPr>
              <w:jc w:val="center"/>
              <w:rPr>
                <w:b/>
                <w:sz w:val="18"/>
                <w:szCs w:val="18"/>
              </w:rPr>
            </w:pPr>
            <w:r w:rsidRPr="00FC625F">
              <w:rPr>
                <w:b/>
                <w:sz w:val="18"/>
                <w:szCs w:val="18"/>
              </w:rPr>
              <w:t>Areas</w:t>
            </w:r>
          </w:p>
        </w:tc>
        <w:tc>
          <w:tcPr>
            <w:tcW w:w="1620" w:type="dxa"/>
            <w:vAlign w:val="center"/>
          </w:tcPr>
          <w:p w:rsidR="006D0802" w:rsidRPr="00FC625F" w:rsidRDefault="006D0802" w:rsidP="006B1192">
            <w:pPr>
              <w:jc w:val="center"/>
              <w:rPr>
                <w:b/>
                <w:sz w:val="18"/>
                <w:szCs w:val="18"/>
              </w:rPr>
            </w:pPr>
            <w:r w:rsidRPr="00FC625F">
              <w:rPr>
                <w:b/>
                <w:sz w:val="18"/>
                <w:szCs w:val="18"/>
              </w:rPr>
              <w:t>Additional Cost for Year 1</w:t>
            </w:r>
          </w:p>
        </w:tc>
        <w:tc>
          <w:tcPr>
            <w:tcW w:w="1620" w:type="dxa"/>
            <w:vAlign w:val="center"/>
          </w:tcPr>
          <w:p w:rsidR="006D0802" w:rsidRPr="00FC625F" w:rsidRDefault="006D0802" w:rsidP="006B1192">
            <w:pPr>
              <w:jc w:val="center"/>
              <w:rPr>
                <w:b/>
                <w:sz w:val="18"/>
                <w:szCs w:val="18"/>
              </w:rPr>
            </w:pPr>
            <w:r w:rsidRPr="00FC625F">
              <w:rPr>
                <w:b/>
                <w:sz w:val="18"/>
                <w:szCs w:val="18"/>
              </w:rPr>
              <w:t>Additional Cost for Year 2</w:t>
            </w:r>
          </w:p>
        </w:tc>
        <w:tc>
          <w:tcPr>
            <w:tcW w:w="1620" w:type="dxa"/>
            <w:vAlign w:val="center"/>
          </w:tcPr>
          <w:p w:rsidR="006D0802" w:rsidRPr="00FC625F" w:rsidRDefault="006D0802" w:rsidP="006B1192">
            <w:pPr>
              <w:jc w:val="center"/>
              <w:rPr>
                <w:b/>
                <w:sz w:val="18"/>
                <w:szCs w:val="18"/>
              </w:rPr>
            </w:pPr>
            <w:r w:rsidRPr="00FC625F">
              <w:rPr>
                <w:b/>
                <w:sz w:val="18"/>
                <w:szCs w:val="18"/>
              </w:rPr>
              <w:t>Additional Cost for Year 3</w:t>
            </w:r>
          </w:p>
        </w:tc>
        <w:tc>
          <w:tcPr>
            <w:tcW w:w="2160" w:type="dxa"/>
            <w:vAlign w:val="center"/>
          </w:tcPr>
          <w:p w:rsidR="006D0802" w:rsidRPr="00FC625F" w:rsidRDefault="006D0802" w:rsidP="006B1192">
            <w:pPr>
              <w:jc w:val="center"/>
              <w:rPr>
                <w:b/>
                <w:sz w:val="18"/>
                <w:szCs w:val="18"/>
              </w:rPr>
            </w:pPr>
            <w:r w:rsidRPr="00FC625F">
              <w:rPr>
                <w:b/>
                <w:sz w:val="18"/>
                <w:szCs w:val="18"/>
              </w:rPr>
              <w:t>Burden for the 3</w:t>
            </w:r>
            <w:r>
              <w:rPr>
                <w:b/>
                <w:sz w:val="18"/>
                <w:szCs w:val="18"/>
              </w:rPr>
              <w:t>-</w:t>
            </w:r>
            <w:r w:rsidRPr="00FC625F">
              <w:rPr>
                <w:b/>
                <w:sz w:val="18"/>
                <w:szCs w:val="18"/>
              </w:rPr>
              <w:t>year ICR period</w:t>
            </w:r>
          </w:p>
        </w:tc>
      </w:tr>
      <w:tr w:rsidR="006D0802" w:rsidRPr="00011F7B" w:rsidTr="006B1192">
        <w:trPr>
          <w:trHeight w:val="512"/>
        </w:trPr>
        <w:tc>
          <w:tcPr>
            <w:tcW w:w="656" w:type="dxa"/>
            <w:vAlign w:val="center"/>
          </w:tcPr>
          <w:p w:rsidR="006D0802" w:rsidRPr="00011F7B" w:rsidRDefault="006D0802" w:rsidP="006B1192">
            <w:pPr>
              <w:jc w:val="center"/>
              <w:rPr>
                <w:b/>
                <w:sz w:val="18"/>
                <w:szCs w:val="18"/>
              </w:rPr>
            </w:pPr>
            <w:r w:rsidRPr="00011F7B">
              <w:rPr>
                <w:b/>
                <w:sz w:val="18"/>
                <w:szCs w:val="18"/>
              </w:rPr>
              <w:t>Total</w:t>
            </w:r>
          </w:p>
        </w:tc>
        <w:tc>
          <w:tcPr>
            <w:tcW w:w="1620" w:type="dxa"/>
            <w:vAlign w:val="center"/>
          </w:tcPr>
          <w:p w:rsidR="006D0802" w:rsidRPr="00F47AAC" w:rsidRDefault="006D0802" w:rsidP="005C2A5E">
            <w:pPr>
              <w:jc w:val="center"/>
              <w:rPr>
                <w:sz w:val="18"/>
                <w:szCs w:val="18"/>
                <w:highlight w:val="yellow"/>
              </w:rPr>
            </w:pPr>
            <w:r w:rsidRPr="002D4A68">
              <w:rPr>
                <w:sz w:val="18"/>
                <w:szCs w:val="18"/>
              </w:rPr>
              <w:t>$</w:t>
            </w:r>
            <w:r w:rsidR="005374BA">
              <w:rPr>
                <w:sz w:val="18"/>
                <w:szCs w:val="18"/>
              </w:rPr>
              <w:t>1,</w:t>
            </w:r>
            <w:r w:rsidR="005C2A5E">
              <w:rPr>
                <w:sz w:val="18"/>
                <w:szCs w:val="18"/>
              </w:rPr>
              <w:t>139</w:t>
            </w:r>
            <w:r w:rsidR="005374BA">
              <w:rPr>
                <w:sz w:val="18"/>
                <w:szCs w:val="18"/>
              </w:rPr>
              <w:t>,</w:t>
            </w:r>
            <w:r w:rsidR="005C2A5E">
              <w:rPr>
                <w:sz w:val="18"/>
                <w:szCs w:val="18"/>
              </w:rPr>
              <w:t>2</w:t>
            </w:r>
            <w:r w:rsidR="00772263">
              <w:rPr>
                <w:sz w:val="18"/>
                <w:szCs w:val="18"/>
              </w:rPr>
              <w:t>50</w:t>
            </w:r>
          </w:p>
        </w:tc>
        <w:tc>
          <w:tcPr>
            <w:tcW w:w="1620" w:type="dxa"/>
            <w:vAlign w:val="center"/>
          </w:tcPr>
          <w:p w:rsidR="006D0802" w:rsidRPr="00F47AAC" w:rsidRDefault="006D0802" w:rsidP="005C2A5E">
            <w:pPr>
              <w:jc w:val="center"/>
              <w:rPr>
                <w:sz w:val="18"/>
                <w:szCs w:val="18"/>
                <w:highlight w:val="yellow"/>
              </w:rPr>
            </w:pPr>
            <w:r w:rsidRPr="002D4A68">
              <w:rPr>
                <w:sz w:val="18"/>
                <w:szCs w:val="18"/>
              </w:rPr>
              <w:t>$</w:t>
            </w:r>
            <w:r w:rsidR="005C2A5E">
              <w:rPr>
                <w:sz w:val="18"/>
                <w:szCs w:val="18"/>
              </w:rPr>
              <w:t>569,625</w:t>
            </w:r>
          </w:p>
        </w:tc>
        <w:tc>
          <w:tcPr>
            <w:tcW w:w="1620" w:type="dxa"/>
            <w:vAlign w:val="center"/>
          </w:tcPr>
          <w:p w:rsidR="006D0802" w:rsidRPr="00F47AAC" w:rsidRDefault="006D0802" w:rsidP="005C2A5E">
            <w:pPr>
              <w:jc w:val="center"/>
              <w:rPr>
                <w:sz w:val="18"/>
                <w:szCs w:val="18"/>
                <w:highlight w:val="yellow"/>
              </w:rPr>
            </w:pPr>
            <w:r w:rsidRPr="002D4A68">
              <w:rPr>
                <w:sz w:val="18"/>
                <w:szCs w:val="18"/>
              </w:rPr>
              <w:t>$</w:t>
            </w:r>
            <w:r w:rsidR="005C2A5E">
              <w:rPr>
                <w:sz w:val="18"/>
                <w:szCs w:val="18"/>
              </w:rPr>
              <w:t>569,625</w:t>
            </w:r>
          </w:p>
        </w:tc>
        <w:tc>
          <w:tcPr>
            <w:tcW w:w="2160" w:type="dxa"/>
            <w:vAlign w:val="center"/>
          </w:tcPr>
          <w:p w:rsidR="006D0802" w:rsidRPr="00F47AAC" w:rsidRDefault="005C2A5E" w:rsidP="005C2A5E">
            <w:pPr>
              <w:jc w:val="center"/>
              <w:rPr>
                <w:sz w:val="18"/>
                <w:szCs w:val="18"/>
                <w:highlight w:val="yellow"/>
              </w:rPr>
            </w:pPr>
            <w:r>
              <w:rPr>
                <w:sz w:val="18"/>
                <w:szCs w:val="18"/>
              </w:rPr>
              <w:t>3</w:t>
            </w:r>
            <w:r w:rsidR="005374BA">
              <w:rPr>
                <w:sz w:val="18"/>
                <w:szCs w:val="18"/>
              </w:rPr>
              <w:t>5</w:t>
            </w:r>
            <w:r w:rsidR="00772263">
              <w:rPr>
                <w:sz w:val="18"/>
                <w:szCs w:val="18"/>
              </w:rPr>
              <w:t>,000</w:t>
            </w:r>
            <w:r w:rsidR="006D0802" w:rsidRPr="002D4A68">
              <w:rPr>
                <w:sz w:val="18"/>
                <w:szCs w:val="18"/>
              </w:rPr>
              <w:t xml:space="preserve"> hours</w:t>
            </w:r>
          </w:p>
        </w:tc>
      </w:tr>
    </w:tbl>
    <w:p w:rsidR="006D0802" w:rsidRDefault="006D0802" w:rsidP="006D0802">
      <w:pPr>
        <w:ind w:left="720"/>
      </w:pPr>
    </w:p>
    <w:p w:rsidR="00F13A11" w:rsidRDefault="00F13A11" w:rsidP="006D0802">
      <w:pPr>
        <w:ind w:left="720"/>
      </w:pPr>
    </w:p>
    <w:p w:rsidR="00CB3528" w:rsidRDefault="00CB3528" w:rsidP="00E1056D">
      <w:pPr>
        <w:rPr>
          <w:b/>
        </w:rPr>
      </w:pPr>
      <w:r>
        <w:rPr>
          <w:b/>
        </w:rPr>
        <w:t>6(c)</w:t>
      </w:r>
      <w:r>
        <w:rPr>
          <w:b/>
        </w:rPr>
        <w:tab/>
        <w:t xml:space="preserve">Estimating </w:t>
      </w:r>
      <w:r w:rsidR="009848FF">
        <w:rPr>
          <w:b/>
        </w:rPr>
        <w:t>Agency</w:t>
      </w:r>
      <w:r>
        <w:rPr>
          <w:b/>
        </w:rPr>
        <w:t xml:space="preserve"> Burden and Cost</w:t>
      </w:r>
    </w:p>
    <w:p w:rsidR="00CB3528" w:rsidRDefault="00CB3528" w:rsidP="00E1056D">
      <w:pPr>
        <w:rPr>
          <w:b/>
        </w:rPr>
      </w:pPr>
    </w:p>
    <w:p w:rsidR="00CB3528" w:rsidRDefault="00CB3528" w:rsidP="00E1056D">
      <w:r>
        <w:rPr>
          <w:b/>
        </w:rPr>
        <w:tab/>
      </w:r>
      <w:r>
        <w:t xml:space="preserve">The estimated </w:t>
      </w:r>
      <w:r w:rsidR="00DA35E4">
        <w:t>EPA</w:t>
      </w:r>
      <w:r>
        <w:t xml:space="preserve"> burden is derived from the estimates for the respondents.</w:t>
      </w:r>
      <w:r w:rsidR="00FA5F1B">
        <w:t xml:space="preserve"> </w:t>
      </w:r>
      <w:r>
        <w:t>Draft estimates were developed by the headquarters staff with review by regional office staff and subsequent refinement of the Agency burden and cost estimates.</w:t>
      </w:r>
    </w:p>
    <w:p w:rsidR="00CB3528" w:rsidRDefault="00CB3528" w:rsidP="00E1056D"/>
    <w:p w:rsidR="00CB3528" w:rsidRDefault="00CB3528" w:rsidP="00E1056D">
      <w:r>
        <w:tab/>
        <w:t xml:space="preserve">The respondent burden was summed by </w:t>
      </w:r>
      <w:r w:rsidR="00242EAD">
        <w:t xml:space="preserve">the </w:t>
      </w:r>
      <w:r>
        <w:t>EPA regional offices and a percentage was applied to the yearly burden estimate to reflect the actions taken on the part of the regional offices. Once yearly burdens were estimated for the Agency’s Regional Offices, a percentage of those amounts are specified to derive estimates for the Agency’s Headquarters Office Burdens.</w:t>
      </w:r>
      <w:r w:rsidR="00FA5F1B">
        <w:t xml:space="preserve"> </w:t>
      </w:r>
      <w:r>
        <w:t>Discussions were held with Regional Office and Headquarters staff regarding the percentages and resulting burden estimates.</w:t>
      </w:r>
    </w:p>
    <w:p w:rsidR="00CB3528" w:rsidRDefault="00CB3528" w:rsidP="00E1056D"/>
    <w:p w:rsidR="006E22A1" w:rsidRDefault="00CB3528" w:rsidP="00E1056D">
      <w:r>
        <w:lastRenderedPageBreak/>
        <w:tab/>
      </w:r>
      <w:proofErr w:type="gramStart"/>
      <w:r w:rsidR="00DA35E4" w:rsidRPr="00F3252C">
        <w:rPr>
          <w:b/>
        </w:rPr>
        <w:t>EPA</w:t>
      </w:r>
      <w:r w:rsidRPr="00F3252C">
        <w:rPr>
          <w:b/>
        </w:rPr>
        <w:t xml:space="preserve"> </w:t>
      </w:r>
      <w:r>
        <w:rPr>
          <w:b/>
        </w:rPr>
        <w:t>Regional Office Burden.</w:t>
      </w:r>
      <w:proofErr w:type="gramEnd"/>
      <w:r w:rsidR="00FA5F1B">
        <w:rPr>
          <w:b/>
        </w:rPr>
        <w:t xml:space="preserve"> </w:t>
      </w:r>
      <w:r>
        <w:t xml:space="preserve">Table </w:t>
      </w:r>
      <w:r w:rsidR="00C20EA2">
        <w:t>5</w:t>
      </w:r>
      <w:r>
        <w:t xml:space="preserve"> </w:t>
      </w:r>
      <w:r w:rsidR="00733DF4">
        <w:t>summarizes total incremental respondent burden by Regional Office and provides estimates of total incremental</w:t>
      </w:r>
      <w:r w:rsidR="00DA35E4">
        <w:t xml:space="preserve"> the</w:t>
      </w:r>
      <w:r w:rsidR="00733DF4">
        <w:t xml:space="preserve"> </w:t>
      </w:r>
      <w:r w:rsidR="00DA35E4">
        <w:t>EPA</w:t>
      </w:r>
      <w:r w:rsidR="00733DF4">
        <w:t xml:space="preserve"> Regional Office burden. The summary of total incremental respondent burden comes from Tables </w:t>
      </w:r>
      <w:r w:rsidR="00C20EA2">
        <w:t>3</w:t>
      </w:r>
      <w:r w:rsidR="00733DF4">
        <w:t xml:space="preserve"> and </w:t>
      </w:r>
      <w:r w:rsidR="00C20EA2">
        <w:t>4</w:t>
      </w:r>
      <w:r w:rsidR="00733DF4">
        <w:t>.</w:t>
      </w:r>
      <w:r w:rsidR="00FA5F1B">
        <w:t xml:space="preserve"> </w:t>
      </w:r>
      <w:r w:rsidR="00733DF4">
        <w:t xml:space="preserve">The </w:t>
      </w:r>
      <w:r w:rsidR="00DA35E4">
        <w:t>EP</w:t>
      </w:r>
      <w:r w:rsidR="00733DF4">
        <w:t xml:space="preserve">A Regional Office burden is presumed to be 10% of the </w:t>
      </w:r>
      <w:r w:rsidR="006E22A1">
        <w:t>estimated total incremental burden for r</w:t>
      </w:r>
      <w:r w:rsidR="00733DF4">
        <w:t>espondent</w:t>
      </w:r>
      <w:r w:rsidR="006E22A1">
        <w:t xml:space="preserve"> by </w:t>
      </w:r>
      <w:r w:rsidR="00242EAD">
        <w:t xml:space="preserve">the </w:t>
      </w:r>
      <w:r w:rsidR="006E22A1">
        <w:t xml:space="preserve">EPA Regional Office. The total incremental burden allocation for the </w:t>
      </w:r>
      <w:r w:rsidR="00DA35E4">
        <w:t>EP</w:t>
      </w:r>
      <w:r w:rsidR="006E22A1">
        <w:t xml:space="preserve">A Regional Offices in Table </w:t>
      </w:r>
      <w:r w:rsidR="00C20EA2">
        <w:t>5</w:t>
      </w:r>
      <w:r w:rsidR="006E22A1">
        <w:t xml:space="preserve"> is 50% in year 1, 25% in year 2, and 25% in year 3.</w:t>
      </w:r>
    </w:p>
    <w:p w:rsidR="006E22A1" w:rsidRDefault="006E22A1" w:rsidP="00E1056D"/>
    <w:p w:rsidR="00CB3528" w:rsidRDefault="006E22A1" w:rsidP="00E1056D">
      <w:r>
        <w:tab/>
      </w:r>
      <w:r w:rsidR="00733DF4">
        <w:t>In discussion</w:t>
      </w:r>
      <w:r>
        <w:t>s</w:t>
      </w:r>
      <w:r w:rsidR="00733DF4">
        <w:t xml:space="preserve"> with </w:t>
      </w:r>
      <w:r w:rsidR="00DA35E4">
        <w:t>EP</w:t>
      </w:r>
      <w:r w:rsidR="00733DF4">
        <w:t xml:space="preserve">A Regional Office staff, they indicated that the </w:t>
      </w:r>
      <w:r>
        <w:t xml:space="preserve">total incremental </w:t>
      </w:r>
      <w:r w:rsidR="00733DF4">
        <w:t>burden estimates were ballpark.</w:t>
      </w:r>
      <w:r w:rsidR="00FA5F1B">
        <w:t xml:space="preserve"> </w:t>
      </w:r>
      <w:r>
        <w:t>However,</w:t>
      </w:r>
      <w:r w:rsidR="00733DF4">
        <w:t xml:space="preserve"> </w:t>
      </w:r>
      <w:r>
        <w:t xml:space="preserve">some regional office staff </w:t>
      </w:r>
      <w:r w:rsidR="00733DF4">
        <w:t xml:space="preserve">felt that a more reasonable allocation of total incremental </w:t>
      </w:r>
      <w:r w:rsidR="00DA35E4">
        <w:t>EPA</w:t>
      </w:r>
      <w:r w:rsidR="00733DF4">
        <w:t xml:space="preserve"> Regional Office burden would be 37.5% in year 1, 37</w:t>
      </w:r>
      <w:r w:rsidR="005F505E">
        <w:t>.5</w:t>
      </w:r>
      <w:r w:rsidR="00733DF4">
        <w:t xml:space="preserve">% in year 2, and 25% in year 3. </w:t>
      </w:r>
      <w:r>
        <w:t>If that allocation were used</w:t>
      </w:r>
      <w:r w:rsidR="005F505E">
        <w:t>,</w:t>
      </w:r>
      <w:r>
        <w:t xml:space="preserve"> the corresponding </w:t>
      </w:r>
      <w:r w:rsidR="00DA35E4">
        <w:t>EP</w:t>
      </w:r>
      <w:r>
        <w:t xml:space="preserve">A Regional Office burden estimates in years 1, 2, and 3 would be </w:t>
      </w:r>
      <w:r w:rsidR="00CB74A5">
        <w:t>750</w:t>
      </w:r>
      <w:r>
        <w:t xml:space="preserve">; </w:t>
      </w:r>
      <w:r w:rsidR="00CB74A5">
        <w:t>75</w:t>
      </w:r>
      <w:r w:rsidR="00060DE2">
        <w:t>0</w:t>
      </w:r>
      <w:r>
        <w:t xml:space="preserve">; and, </w:t>
      </w:r>
      <w:r w:rsidR="00CB74A5">
        <w:t>500</w:t>
      </w:r>
      <w:r>
        <w:t xml:space="preserve"> respectively.</w:t>
      </w:r>
    </w:p>
    <w:p w:rsidR="00CB3528" w:rsidRDefault="00CB3528" w:rsidP="000F6A4C">
      <w:pPr>
        <w:ind w:left="720"/>
      </w:pPr>
    </w:p>
    <w:p w:rsidR="00F13A11" w:rsidRDefault="00F13A11" w:rsidP="000F6A4C">
      <w:pPr>
        <w:ind w:left="720"/>
      </w:pPr>
    </w:p>
    <w:p w:rsidR="00CB3528" w:rsidRPr="00E1056D" w:rsidRDefault="00CB3528" w:rsidP="00E1056D">
      <w:pPr>
        <w:rPr>
          <w:b/>
          <w:sz w:val="20"/>
          <w:szCs w:val="20"/>
        </w:rPr>
      </w:pPr>
      <w:proofErr w:type="gramStart"/>
      <w:r w:rsidRPr="00E1056D">
        <w:rPr>
          <w:b/>
          <w:sz w:val="20"/>
          <w:szCs w:val="20"/>
        </w:rPr>
        <w:t xml:space="preserve">Table </w:t>
      </w:r>
      <w:r w:rsidR="00C20EA2" w:rsidRPr="00E1056D">
        <w:rPr>
          <w:b/>
          <w:sz w:val="20"/>
          <w:szCs w:val="20"/>
        </w:rPr>
        <w:t>5</w:t>
      </w:r>
      <w:r w:rsidRPr="00E1056D">
        <w:rPr>
          <w:b/>
          <w:sz w:val="20"/>
          <w:szCs w:val="20"/>
        </w:rPr>
        <w:t>.</w:t>
      </w:r>
      <w:proofErr w:type="gramEnd"/>
      <w:r w:rsidR="00821502">
        <w:rPr>
          <w:b/>
          <w:sz w:val="20"/>
          <w:szCs w:val="20"/>
        </w:rPr>
        <w:t xml:space="preserve"> </w:t>
      </w:r>
      <w:r w:rsidRPr="00E1056D">
        <w:rPr>
          <w:b/>
          <w:sz w:val="20"/>
          <w:szCs w:val="20"/>
        </w:rPr>
        <w:t xml:space="preserve">Estimated </w:t>
      </w:r>
      <w:r w:rsidR="00DA35E4">
        <w:rPr>
          <w:b/>
          <w:sz w:val="20"/>
          <w:szCs w:val="20"/>
        </w:rPr>
        <w:t>EP</w:t>
      </w:r>
      <w:r w:rsidRPr="00E1056D">
        <w:rPr>
          <w:b/>
          <w:sz w:val="20"/>
          <w:szCs w:val="20"/>
        </w:rPr>
        <w:t xml:space="preserve">A Regional Office Burden Derived by Taking 10% of </w:t>
      </w:r>
      <w:r w:rsidR="005F505E" w:rsidRPr="00E1056D">
        <w:rPr>
          <w:b/>
          <w:sz w:val="20"/>
          <w:szCs w:val="20"/>
        </w:rPr>
        <w:t xml:space="preserve">Regional </w:t>
      </w:r>
      <w:r w:rsidRPr="00E1056D">
        <w:rPr>
          <w:b/>
          <w:sz w:val="20"/>
          <w:szCs w:val="20"/>
        </w:rPr>
        <w:t xml:space="preserve">Respondent Burden </w:t>
      </w:r>
      <w:r w:rsidR="005F505E" w:rsidRPr="00E1056D">
        <w:rPr>
          <w:b/>
          <w:sz w:val="20"/>
          <w:szCs w:val="20"/>
        </w:rPr>
        <w:t xml:space="preserve">Total </w:t>
      </w:r>
      <w:r w:rsidRPr="00E1056D">
        <w:rPr>
          <w:b/>
          <w:sz w:val="20"/>
          <w:szCs w:val="20"/>
        </w:rPr>
        <w:t xml:space="preserve">for </w:t>
      </w:r>
      <w:r w:rsidR="005F505E" w:rsidRPr="00E1056D">
        <w:rPr>
          <w:b/>
          <w:sz w:val="20"/>
          <w:szCs w:val="20"/>
        </w:rPr>
        <w:t>Years 1, 2, and 3</w:t>
      </w:r>
    </w:p>
    <w:p w:rsidR="00CB3528" w:rsidRDefault="00CB3528" w:rsidP="00E1056D"/>
    <w:tbl>
      <w:tblPr>
        <w:tblW w:w="77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710"/>
        <w:gridCol w:w="1620"/>
        <w:gridCol w:w="1620"/>
        <w:gridCol w:w="1530"/>
      </w:tblGrid>
      <w:tr w:rsidR="00002E53" w:rsidRPr="0004692C" w:rsidTr="00002E53">
        <w:tc>
          <w:tcPr>
            <w:tcW w:w="1278" w:type="dxa"/>
          </w:tcPr>
          <w:p w:rsidR="00CB3528" w:rsidRPr="000D1AA0" w:rsidRDefault="00CB3528" w:rsidP="00E1056D">
            <w:pPr>
              <w:rPr>
                <w:b/>
                <w:sz w:val="20"/>
                <w:szCs w:val="20"/>
                <w:u w:val="single"/>
              </w:rPr>
            </w:pPr>
            <w:r w:rsidRPr="000D1AA0">
              <w:rPr>
                <w:b/>
                <w:sz w:val="20"/>
                <w:szCs w:val="20"/>
                <w:u w:val="single"/>
              </w:rPr>
              <w:t>EPA Regional Office</w:t>
            </w:r>
          </w:p>
        </w:tc>
        <w:tc>
          <w:tcPr>
            <w:tcW w:w="1710" w:type="dxa"/>
          </w:tcPr>
          <w:p w:rsidR="00CB3528" w:rsidRPr="000D1AA0" w:rsidRDefault="00CB3528" w:rsidP="00E1056D">
            <w:pPr>
              <w:rPr>
                <w:b/>
                <w:sz w:val="20"/>
                <w:szCs w:val="20"/>
                <w:u w:val="single"/>
              </w:rPr>
            </w:pPr>
            <w:r w:rsidRPr="000D1AA0">
              <w:rPr>
                <w:b/>
                <w:sz w:val="20"/>
                <w:szCs w:val="20"/>
                <w:u w:val="single"/>
              </w:rPr>
              <w:t>Year 1 Respondents’ Burden</w:t>
            </w:r>
          </w:p>
        </w:tc>
        <w:tc>
          <w:tcPr>
            <w:tcW w:w="1620" w:type="dxa"/>
          </w:tcPr>
          <w:p w:rsidR="00CB3528" w:rsidRPr="000D1AA0" w:rsidRDefault="00CB3528" w:rsidP="00DA35E4">
            <w:pPr>
              <w:rPr>
                <w:b/>
                <w:sz w:val="20"/>
                <w:szCs w:val="20"/>
                <w:u w:val="single"/>
              </w:rPr>
            </w:pPr>
            <w:r w:rsidRPr="000D1AA0">
              <w:rPr>
                <w:b/>
                <w:sz w:val="20"/>
                <w:szCs w:val="20"/>
                <w:u w:val="single"/>
              </w:rPr>
              <w:t xml:space="preserve">Year 1 </w:t>
            </w:r>
            <w:r w:rsidR="00DA35E4">
              <w:rPr>
                <w:b/>
                <w:sz w:val="20"/>
                <w:szCs w:val="20"/>
                <w:u w:val="single"/>
              </w:rPr>
              <w:t>EP</w:t>
            </w:r>
            <w:r w:rsidRPr="000D1AA0">
              <w:rPr>
                <w:b/>
                <w:sz w:val="20"/>
                <w:szCs w:val="20"/>
                <w:u w:val="single"/>
              </w:rPr>
              <w:t>A Reg. Office</w:t>
            </w:r>
            <w:r w:rsidR="00821502">
              <w:rPr>
                <w:b/>
                <w:sz w:val="20"/>
                <w:szCs w:val="20"/>
                <w:u w:val="single"/>
              </w:rPr>
              <w:t xml:space="preserve"> </w:t>
            </w:r>
            <w:r w:rsidRPr="000D1AA0">
              <w:rPr>
                <w:b/>
                <w:sz w:val="20"/>
                <w:szCs w:val="20"/>
                <w:u w:val="single"/>
              </w:rPr>
              <w:t>Burden</w:t>
            </w:r>
          </w:p>
        </w:tc>
        <w:tc>
          <w:tcPr>
            <w:tcW w:w="1620" w:type="dxa"/>
          </w:tcPr>
          <w:p w:rsidR="00CB3528" w:rsidRPr="000D1AA0" w:rsidRDefault="00CB3528" w:rsidP="00DA35E4">
            <w:pPr>
              <w:rPr>
                <w:b/>
                <w:sz w:val="20"/>
                <w:szCs w:val="20"/>
                <w:u w:val="single"/>
              </w:rPr>
            </w:pPr>
            <w:r w:rsidRPr="000D1AA0">
              <w:rPr>
                <w:b/>
                <w:sz w:val="20"/>
                <w:szCs w:val="20"/>
                <w:u w:val="single"/>
              </w:rPr>
              <w:t xml:space="preserve">Year 2 </w:t>
            </w:r>
            <w:r w:rsidR="00DA35E4">
              <w:rPr>
                <w:b/>
                <w:sz w:val="20"/>
                <w:szCs w:val="20"/>
                <w:u w:val="single"/>
              </w:rPr>
              <w:t>EP</w:t>
            </w:r>
            <w:r w:rsidRPr="000D1AA0">
              <w:rPr>
                <w:b/>
                <w:sz w:val="20"/>
                <w:szCs w:val="20"/>
                <w:u w:val="single"/>
              </w:rPr>
              <w:t>A Reg. Office Burden</w:t>
            </w:r>
          </w:p>
        </w:tc>
        <w:tc>
          <w:tcPr>
            <w:tcW w:w="1530" w:type="dxa"/>
          </w:tcPr>
          <w:p w:rsidR="00CB3528" w:rsidRPr="000D1AA0" w:rsidRDefault="00CB3528" w:rsidP="00DA35E4">
            <w:pPr>
              <w:rPr>
                <w:b/>
                <w:sz w:val="20"/>
                <w:szCs w:val="20"/>
                <w:u w:val="single"/>
              </w:rPr>
            </w:pPr>
            <w:r w:rsidRPr="000D1AA0">
              <w:rPr>
                <w:b/>
                <w:sz w:val="20"/>
                <w:szCs w:val="20"/>
                <w:u w:val="single"/>
              </w:rPr>
              <w:t xml:space="preserve">Year 3 </w:t>
            </w:r>
            <w:r w:rsidR="00DA35E4">
              <w:rPr>
                <w:b/>
                <w:sz w:val="20"/>
                <w:szCs w:val="20"/>
                <w:u w:val="single"/>
              </w:rPr>
              <w:t>EP</w:t>
            </w:r>
            <w:r w:rsidRPr="000D1AA0">
              <w:rPr>
                <w:b/>
                <w:sz w:val="20"/>
                <w:szCs w:val="20"/>
                <w:u w:val="single"/>
              </w:rPr>
              <w:t>A Reg Office Burden</w:t>
            </w:r>
          </w:p>
        </w:tc>
      </w:tr>
      <w:tr w:rsidR="005E2192" w:rsidRPr="0004692C" w:rsidTr="00002E53">
        <w:tc>
          <w:tcPr>
            <w:tcW w:w="1278" w:type="dxa"/>
          </w:tcPr>
          <w:p w:rsidR="005E2192" w:rsidRPr="00E1056D" w:rsidRDefault="005E2192" w:rsidP="00E1056D">
            <w:pPr>
              <w:rPr>
                <w:sz w:val="20"/>
                <w:szCs w:val="20"/>
              </w:rPr>
            </w:pPr>
            <w:r w:rsidRPr="00E1056D">
              <w:rPr>
                <w:sz w:val="20"/>
                <w:szCs w:val="20"/>
              </w:rPr>
              <w:t>1</w:t>
            </w:r>
          </w:p>
        </w:tc>
        <w:tc>
          <w:tcPr>
            <w:tcW w:w="1710" w:type="dxa"/>
          </w:tcPr>
          <w:p w:rsidR="005E2192" w:rsidRPr="00E1056D" w:rsidRDefault="005E2192" w:rsidP="00772263">
            <w:pPr>
              <w:rPr>
                <w:sz w:val="20"/>
                <w:szCs w:val="20"/>
              </w:rPr>
            </w:pPr>
            <w:r w:rsidRPr="00E1056D">
              <w:rPr>
                <w:sz w:val="20"/>
                <w:szCs w:val="20"/>
              </w:rPr>
              <w:t xml:space="preserve"> 0 </w:t>
            </w:r>
          </w:p>
        </w:tc>
        <w:tc>
          <w:tcPr>
            <w:tcW w:w="1620" w:type="dxa"/>
          </w:tcPr>
          <w:p w:rsidR="005E2192" w:rsidRPr="00E1056D" w:rsidRDefault="005E2192" w:rsidP="003D7671">
            <w:pPr>
              <w:rPr>
                <w:sz w:val="20"/>
                <w:szCs w:val="20"/>
              </w:rPr>
            </w:pPr>
            <w:r w:rsidRPr="00E1056D">
              <w:rPr>
                <w:sz w:val="20"/>
                <w:szCs w:val="20"/>
              </w:rPr>
              <w:t>0</w:t>
            </w:r>
          </w:p>
        </w:tc>
        <w:tc>
          <w:tcPr>
            <w:tcW w:w="1620" w:type="dxa"/>
          </w:tcPr>
          <w:p w:rsidR="005E2192" w:rsidRPr="00E1056D" w:rsidRDefault="00D1320F" w:rsidP="00F20646">
            <w:pPr>
              <w:rPr>
                <w:sz w:val="20"/>
                <w:szCs w:val="20"/>
              </w:rPr>
            </w:pPr>
            <w:r>
              <w:rPr>
                <w:sz w:val="20"/>
                <w:szCs w:val="20"/>
              </w:rPr>
              <w:t>0</w:t>
            </w:r>
          </w:p>
        </w:tc>
        <w:tc>
          <w:tcPr>
            <w:tcW w:w="1530" w:type="dxa"/>
          </w:tcPr>
          <w:p w:rsidR="005E2192" w:rsidRPr="00E1056D" w:rsidRDefault="00D1320F" w:rsidP="00772263">
            <w:pPr>
              <w:rPr>
                <w:sz w:val="20"/>
                <w:szCs w:val="20"/>
              </w:rPr>
            </w:pPr>
            <w:r>
              <w:rPr>
                <w:sz w:val="20"/>
                <w:szCs w:val="20"/>
              </w:rPr>
              <w:t>0</w:t>
            </w:r>
          </w:p>
        </w:tc>
      </w:tr>
      <w:tr w:rsidR="005E2192" w:rsidRPr="0004692C" w:rsidTr="00002E53">
        <w:tc>
          <w:tcPr>
            <w:tcW w:w="1278" w:type="dxa"/>
          </w:tcPr>
          <w:p w:rsidR="005E2192" w:rsidRPr="00E1056D" w:rsidRDefault="005E2192" w:rsidP="00E1056D">
            <w:pPr>
              <w:rPr>
                <w:sz w:val="20"/>
                <w:szCs w:val="20"/>
              </w:rPr>
            </w:pPr>
            <w:r w:rsidRPr="00E1056D">
              <w:rPr>
                <w:sz w:val="20"/>
                <w:szCs w:val="20"/>
              </w:rPr>
              <w:t>2</w:t>
            </w:r>
          </w:p>
        </w:tc>
        <w:tc>
          <w:tcPr>
            <w:tcW w:w="1710" w:type="dxa"/>
          </w:tcPr>
          <w:p w:rsidR="005E2192" w:rsidRPr="00E1056D" w:rsidRDefault="005E2192" w:rsidP="00772263">
            <w:pPr>
              <w:rPr>
                <w:sz w:val="20"/>
                <w:szCs w:val="20"/>
              </w:rPr>
            </w:pPr>
            <w:r w:rsidRPr="00E1056D">
              <w:rPr>
                <w:sz w:val="20"/>
                <w:szCs w:val="20"/>
              </w:rPr>
              <w:t xml:space="preserve"> 0 </w:t>
            </w:r>
          </w:p>
        </w:tc>
        <w:tc>
          <w:tcPr>
            <w:tcW w:w="1620" w:type="dxa"/>
          </w:tcPr>
          <w:p w:rsidR="005E2192" w:rsidRPr="00E1056D" w:rsidRDefault="005E2192" w:rsidP="00772263">
            <w:pPr>
              <w:rPr>
                <w:sz w:val="20"/>
                <w:szCs w:val="20"/>
              </w:rPr>
            </w:pPr>
            <w:r w:rsidRPr="00E1056D">
              <w:rPr>
                <w:sz w:val="20"/>
                <w:szCs w:val="20"/>
              </w:rPr>
              <w:t>0</w:t>
            </w:r>
          </w:p>
        </w:tc>
        <w:tc>
          <w:tcPr>
            <w:tcW w:w="1620" w:type="dxa"/>
          </w:tcPr>
          <w:p w:rsidR="005E2192" w:rsidRPr="00E1056D" w:rsidRDefault="00772263" w:rsidP="00772263">
            <w:pPr>
              <w:rPr>
                <w:sz w:val="20"/>
                <w:szCs w:val="20"/>
              </w:rPr>
            </w:pPr>
            <w:r>
              <w:rPr>
                <w:sz w:val="20"/>
                <w:szCs w:val="20"/>
              </w:rPr>
              <w:t>0</w:t>
            </w:r>
          </w:p>
        </w:tc>
        <w:tc>
          <w:tcPr>
            <w:tcW w:w="1530" w:type="dxa"/>
          </w:tcPr>
          <w:p w:rsidR="005E2192" w:rsidRPr="00E1056D" w:rsidRDefault="00772263" w:rsidP="00772263">
            <w:pPr>
              <w:rPr>
                <w:sz w:val="20"/>
                <w:szCs w:val="20"/>
              </w:rPr>
            </w:pPr>
            <w:r>
              <w:rPr>
                <w:sz w:val="20"/>
                <w:szCs w:val="20"/>
              </w:rPr>
              <w:t>0</w:t>
            </w:r>
          </w:p>
        </w:tc>
      </w:tr>
      <w:tr w:rsidR="005E2192" w:rsidRPr="0004692C" w:rsidTr="00002E53">
        <w:tc>
          <w:tcPr>
            <w:tcW w:w="1278" w:type="dxa"/>
          </w:tcPr>
          <w:p w:rsidR="005E2192" w:rsidRPr="00E1056D" w:rsidRDefault="005E2192" w:rsidP="00E1056D">
            <w:pPr>
              <w:rPr>
                <w:sz w:val="20"/>
                <w:szCs w:val="20"/>
              </w:rPr>
            </w:pPr>
            <w:r w:rsidRPr="00E1056D">
              <w:rPr>
                <w:sz w:val="20"/>
                <w:szCs w:val="20"/>
              </w:rPr>
              <w:t>3</w:t>
            </w:r>
          </w:p>
        </w:tc>
        <w:tc>
          <w:tcPr>
            <w:tcW w:w="1710" w:type="dxa"/>
          </w:tcPr>
          <w:p w:rsidR="005E2192" w:rsidRPr="00E1056D" w:rsidRDefault="005C2A5E" w:rsidP="005C2A5E">
            <w:pPr>
              <w:rPr>
                <w:sz w:val="20"/>
                <w:szCs w:val="20"/>
              </w:rPr>
            </w:pPr>
            <w:r>
              <w:rPr>
                <w:sz w:val="20"/>
                <w:szCs w:val="20"/>
              </w:rPr>
              <w:t>5</w:t>
            </w:r>
            <w:r w:rsidR="00772263">
              <w:rPr>
                <w:sz w:val="20"/>
                <w:szCs w:val="20"/>
              </w:rPr>
              <w:t>,0</w:t>
            </w:r>
            <w:r w:rsidR="005E2192" w:rsidRPr="00E1056D">
              <w:rPr>
                <w:sz w:val="20"/>
                <w:szCs w:val="20"/>
              </w:rPr>
              <w:t xml:space="preserve">00 </w:t>
            </w:r>
          </w:p>
        </w:tc>
        <w:tc>
          <w:tcPr>
            <w:tcW w:w="1620" w:type="dxa"/>
            <w:vAlign w:val="bottom"/>
          </w:tcPr>
          <w:p w:rsidR="005E2192" w:rsidRPr="00E1056D" w:rsidRDefault="004A45EA" w:rsidP="004A45EA">
            <w:pPr>
              <w:rPr>
                <w:sz w:val="20"/>
                <w:szCs w:val="20"/>
              </w:rPr>
            </w:pPr>
            <w:r>
              <w:rPr>
                <w:sz w:val="20"/>
                <w:szCs w:val="20"/>
              </w:rPr>
              <w:t>25</w:t>
            </w:r>
            <w:r w:rsidR="00772263">
              <w:rPr>
                <w:sz w:val="20"/>
                <w:szCs w:val="20"/>
              </w:rPr>
              <w:t>0</w:t>
            </w:r>
          </w:p>
        </w:tc>
        <w:tc>
          <w:tcPr>
            <w:tcW w:w="1620" w:type="dxa"/>
            <w:vAlign w:val="bottom"/>
          </w:tcPr>
          <w:p w:rsidR="005E2192" w:rsidRPr="00E1056D" w:rsidRDefault="004A45EA" w:rsidP="004A45EA">
            <w:pPr>
              <w:rPr>
                <w:sz w:val="20"/>
                <w:szCs w:val="20"/>
              </w:rPr>
            </w:pPr>
            <w:r>
              <w:rPr>
                <w:sz w:val="20"/>
                <w:szCs w:val="20"/>
              </w:rPr>
              <w:t>12</w:t>
            </w:r>
            <w:r w:rsidR="00772263">
              <w:rPr>
                <w:sz w:val="20"/>
                <w:szCs w:val="20"/>
              </w:rPr>
              <w:t>5</w:t>
            </w:r>
          </w:p>
        </w:tc>
        <w:tc>
          <w:tcPr>
            <w:tcW w:w="1530" w:type="dxa"/>
            <w:vAlign w:val="bottom"/>
          </w:tcPr>
          <w:p w:rsidR="005E2192" w:rsidRPr="00E1056D" w:rsidRDefault="004A45EA" w:rsidP="004A45EA">
            <w:pPr>
              <w:rPr>
                <w:sz w:val="20"/>
                <w:szCs w:val="20"/>
              </w:rPr>
            </w:pPr>
            <w:r>
              <w:rPr>
                <w:sz w:val="20"/>
                <w:szCs w:val="20"/>
              </w:rPr>
              <w:t>12</w:t>
            </w:r>
            <w:r w:rsidR="00772263">
              <w:rPr>
                <w:sz w:val="20"/>
                <w:szCs w:val="20"/>
              </w:rPr>
              <w:t>5</w:t>
            </w:r>
          </w:p>
        </w:tc>
      </w:tr>
      <w:tr w:rsidR="005E2192" w:rsidRPr="0004692C" w:rsidTr="00002E53">
        <w:tc>
          <w:tcPr>
            <w:tcW w:w="1278" w:type="dxa"/>
          </w:tcPr>
          <w:p w:rsidR="005E2192" w:rsidRPr="00E1056D" w:rsidRDefault="005E2192" w:rsidP="00E1056D">
            <w:pPr>
              <w:rPr>
                <w:sz w:val="20"/>
                <w:szCs w:val="20"/>
              </w:rPr>
            </w:pPr>
            <w:r w:rsidRPr="00E1056D">
              <w:rPr>
                <w:sz w:val="20"/>
                <w:szCs w:val="20"/>
              </w:rPr>
              <w:t>4</w:t>
            </w:r>
          </w:p>
        </w:tc>
        <w:tc>
          <w:tcPr>
            <w:tcW w:w="1710" w:type="dxa"/>
          </w:tcPr>
          <w:p w:rsidR="005E2192" w:rsidRPr="00E1056D" w:rsidRDefault="005E2192" w:rsidP="00772263">
            <w:pPr>
              <w:rPr>
                <w:sz w:val="20"/>
                <w:szCs w:val="20"/>
              </w:rPr>
            </w:pPr>
            <w:r w:rsidRPr="00E1056D">
              <w:rPr>
                <w:sz w:val="20"/>
                <w:szCs w:val="20"/>
              </w:rPr>
              <w:t xml:space="preserve"> 0 </w:t>
            </w:r>
          </w:p>
        </w:tc>
        <w:tc>
          <w:tcPr>
            <w:tcW w:w="1620" w:type="dxa"/>
            <w:vAlign w:val="bottom"/>
          </w:tcPr>
          <w:p w:rsidR="005E2192" w:rsidRPr="00E1056D" w:rsidRDefault="005E2192" w:rsidP="00E1056D">
            <w:pPr>
              <w:rPr>
                <w:sz w:val="20"/>
                <w:szCs w:val="20"/>
              </w:rPr>
            </w:pPr>
            <w:r w:rsidRPr="00E1056D">
              <w:rPr>
                <w:sz w:val="20"/>
                <w:szCs w:val="20"/>
              </w:rPr>
              <w:t>0</w:t>
            </w:r>
          </w:p>
        </w:tc>
        <w:tc>
          <w:tcPr>
            <w:tcW w:w="1620" w:type="dxa"/>
            <w:vAlign w:val="bottom"/>
          </w:tcPr>
          <w:p w:rsidR="005E2192" w:rsidRPr="00E1056D" w:rsidRDefault="00772263" w:rsidP="00772263">
            <w:pPr>
              <w:rPr>
                <w:sz w:val="20"/>
                <w:szCs w:val="20"/>
              </w:rPr>
            </w:pPr>
            <w:r>
              <w:rPr>
                <w:sz w:val="20"/>
                <w:szCs w:val="20"/>
              </w:rPr>
              <w:t>0</w:t>
            </w:r>
          </w:p>
        </w:tc>
        <w:tc>
          <w:tcPr>
            <w:tcW w:w="1530" w:type="dxa"/>
            <w:vAlign w:val="bottom"/>
          </w:tcPr>
          <w:p w:rsidR="005E2192" w:rsidRPr="00E1056D" w:rsidRDefault="00772263" w:rsidP="00D1320F">
            <w:pPr>
              <w:rPr>
                <w:sz w:val="20"/>
                <w:szCs w:val="20"/>
              </w:rPr>
            </w:pPr>
            <w:r>
              <w:rPr>
                <w:sz w:val="20"/>
                <w:szCs w:val="20"/>
              </w:rPr>
              <w:t>0</w:t>
            </w:r>
          </w:p>
        </w:tc>
      </w:tr>
      <w:tr w:rsidR="005E2192" w:rsidRPr="0004692C" w:rsidTr="00002E53">
        <w:tc>
          <w:tcPr>
            <w:tcW w:w="1278" w:type="dxa"/>
          </w:tcPr>
          <w:p w:rsidR="005E2192" w:rsidRPr="00E1056D" w:rsidRDefault="005E2192" w:rsidP="00E1056D">
            <w:pPr>
              <w:rPr>
                <w:sz w:val="20"/>
                <w:szCs w:val="20"/>
              </w:rPr>
            </w:pPr>
            <w:r w:rsidRPr="00E1056D">
              <w:rPr>
                <w:sz w:val="20"/>
                <w:szCs w:val="20"/>
              </w:rPr>
              <w:t>5</w:t>
            </w:r>
          </w:p>
        </w:tc>
        <w:tc>
          <w:tcPr>
            <w:tcW w:w="1710" w:type="dxa"/>
          </w:tcPr>
          <w:p w:rsidR="005E2192" w:rsidRPr="00E1056D" w:rsidRDefault="005E2192" w:rsidP="00772263">
            <w:pPr>
              <w:rPr>
                <w:sz w:val="20"/>
                <w:szCs w:val="20"/>
              </w:rPr>
            </w:pPr>
            <w:r w:rsidRPr="00E1056D">
              <w:rPr>
                <w:sz w:val="20"/>
                <w:szCs w:val="20"/>
              </w:rPr>
              <w:t xml:space="preserve">0 </w:t>
            </w:r>
          </w:p>
        </w:tc>
        <w:tc>
          <w:tcPr>
            <w:tcW w:w="1620" w:type="dxa"/>
            <w:vAlign w:val="bottom"/>
          </w:tcPr>
          <w:p w:rsidR="005E2192" w:rsidRPr="00E1056D" w:rsidRDefault="00772263" w:rsidP="00D1320F">
            <w:pPr>
              <w:rPr>
                <w:sz w:val="20"/>
                <w:szCs w:val="20"/>
              </w:rPr>
            </w:pPr>
            <w:r>
              <w:rPr>
                <w:sz w:val="20"/>
                <w:szCs w:val="20"/>
              </w:rPr>
              <w:t>0</w:t>
            </w:r>
          </w:p>
        </w:tc>
        <w:tc>
          <w:tcPr>
            <w:tcW w:w="1620" w:type="dxa"/>
            <w:vAlign w:val="bottom"/>
          </w:tcPr>
          <w:p w:rsidR="005E2192" w:rsidRPr="00E1056D" w:rsidRDefault="005374BA" w:rsidP="005374BA">
            <w:pPr>
              <w:rPr>
                <w:sz w:val="20"/>
                <w:szCs w:val="20"/>
              </w:rPr>
            </w:pPr>
            <w:r>
              <w:rPr>
                <w:sz w:val="20"/>
                <w:szCs w:val="20"/>
              </w:rPr>
              <w:t>0</w:t>
            </w:r>
          </w:p>
        </w:tc>
        <w:tc>
          <w:tcPr>
            <w:tcW w:w="1530" w:type="dxa"/>
            <w:vAlign w:val="bottom"/>
          </w:tcPr>
          <w:p w:rsidR="005E2192" w:rsidRPr="00E1056D" w:rsidRDefault="005374BA" w:rsidP="00D1320F">
            <w:pPr>
              <w:rPr>
                <w:sz w:val="20"/>
                <w:szCs w:val="20"/>
              </w:rPr>
            </w:pPr>
            <w:r>
              <w:rPr>
                <w:sz w:val="20"/>
                <w:szCs w:val="20"/>
              </w:rPr>
              <w:t>0</w:t>
            </w:r>
          </w:p>
        </w:tc>
      </w:tr>
      <w:tr w:rsidR="005E2192" w:rsidRPr="0004692C" w:rsidTr="00002E53">
        <w:tc>
          <w:tcPr>
            <w:tcW w:w="1278" w:type="dxa"/>
          </w:tcPr>
          <w:p w:rsidR="005E2192" w:rsidRPr="00E1056D" w:rsidRDefault="005E2192" w:rsidP="00E1056D">
            <w:pPr>
              <w:rPr>
                <w:sz w:val="20"/>
                <w:szCs w:val="20"/>
              </w:rPr>
            </w:pPr>
            <w:r w:rsidRPr="00E1056D">
              <w:rPr>
                <w:sz w:val="20"/>
                <w:szCs w:val="20"/>
              </w:rPr>
              <w:t>6</w:t>
            </w:r>
          </w:p>
        </w:tc>
        <w:tc>
          <w:tcPr>
            <w:tcW w:w="1710" w:type="dxa"/>
          </w:tcPr>
          <w:p w:rsidR="005E2192" w:rsidRPr="00E1056D" w:rsidRDefault="005374BA" w:rsidP="005374BA">
            <w:pPr>
              <w:rPr>
                <w:sz w:val="20"/>
                <w:szCs w:val="20"/>
              </w:rPr>
            </w:pPr>
            <w:r>
              <w:rPr>
                <w:sz w:val="20"/>
                <w:szCs w:val="20"/>
              </w:rPr>
              <w:t>20</w:t>
            </w:r>
            <w:r w:rsidR="00B4487A">
              <w:rPr>
                <w:sz w:val="20"/>
                <w:szCs w:val="20"/>
              </w:rPr>
              <w:t>,000</w:t>
            </w:r>
          </w:p>
        </w:tc>
        <w:tc>
          <w:tcPr>
            <w:tcW w:w="1620" w:type="dxa"/>
            <w:vAlign w:val="bottom"/>
          </w:tcPr>
          <w:p w:rsidR="005E2192" w:rsidRPr="00E1056D" w:rsidRDefault="005374BA" w:rsidP="005374BA">
            <w:pPr>
              <w:rPr>
                <w:sz w:val="20"/>
                <w:szCs w:val="20"/>
              </w:rPr>
            </w:pPr>
            <w:r>
              <w:rPr>
                <w:sz w:val="20"/>
                <w:szCs w:val="20"/>
              </w:rPr>
              <w:t>100</w:t>
            </w:r>
            <w:r w:rsidR="00B4487A">
              <w:rPr>
                <w:sz w:val="20"/>
                <w:szCs w:val="20"/>
              </w:rPr>
              <w:t>0</w:t>
            </w:r>
          </w:p>
        </w:tc>
        <w:tc>
          <w:tcPr>
            <w:tcW w:w="1620" w:type="dxa"/>
            <w:vAlign w:val="bottom"/>
          </w:tcPr>
          <w:p w:rsidR="005E2192" w:rsidRPr="00E1056D" w:rsidRDefault="00B4487A" w:rsidP="005374BA">
            <w:pPr>
              <w:rPr>
                <w:sz w:val="20"/>
                <w:szCs w:val="20"/>
              </w:rPr>
            </w:pPr>
            <w:r>
              <w:rPr>
                <w:sz w:val="20"/>
                <w:szCs w:val="20"/>
              </w:rPr>
              <w:t>5</w:t>
            </w:r>
            <w:r w:rsidR="005374BA">
              <w:rPr>
                <w:sz w:val="20"/>
                <w:szCs w:val="20"/>
              </w:rPr>
              <w:t>00</w:t>
            </w:r>
          </w:p>
        </w:tc>
        <w:tc>
          <w:tcPr>
            <w:tcW w:w="1530" w:type="dxa"/>
            <w:vAlign w:val="bottom"/>
          </w:tcPr>
          <w:p w:rsidR="005E2192" w:rsidRPr="00E1056D" w:rsidRDefault="00B4487A" w:rsidP="005374BA">
            <w:pPr>
              <w:rPr>
                <w:sz w:val="20"/>
                <w:szCs w:val="20"/>
              </w:rPr>
            </w:pPr>
            <w:r>
              <w:rPr>
                <w:sz w:val="20"/>
                <w:szCs w:val="20"/>
              </w:rPr>
              <w:t>5</w:t>
            </w:r>
            <w:r w:rsidR="005374BA">
              <w:rPr>
                <w:sz w:val="20"/>
                <w:szCs w:val="20"/>
              </w:rPr>
              <w:t>00</w:t>
            </w:r>
          </w:p>
        </w:tc>
      </w:tr>
      <w:tr w:rsidR="005E2192" w:rsidRPr="0004692C" w:rsidTr="00002E53">
        <w:tc>
          <w:tcPr>
            <w:tcW w:w="1278" w:type="dxa"/>
          </w:tcPr>
          <w:p w:rsidR="005E2192" w:rsidRPr="00E1056D" w:rsidRDefault="005E2192" w:rsidP="00E1056D">
            <w:pPr>
              <w:rPr>
                <w:sz w:val="20"/>
                <w:szCs w:val="20"/>
              </w:rPr>
            </w:pPr>
            <w:r w:rsidRPr="00E1056D">
              <w:rPr>
                <w:sz w:val="20"/>
                <w:szCs w:val="20"/>
              </w:rPr>
              <w:t>7</w:t>
            </w:r>
          </w:p>
        </w:tc>
        <w:tc>
          <w:tcPr>
            <w:tcW w:w="1710" w:type="dxa"/>
          </w:tcPr>
          <w:p w:rsidR="005E2192" w:rsidRPr="00E1056D" w:rsidRDefault="005E2192" w:rsidP="00B4487A">
            <w:pPr>
              <w:rPr>
                <w:sz w:val="20"/>
                <w:szCs w:val="20"/>
              </w:rPr>
            </w:pPr>
            <w:r w:rsidRPr="00E1056D">
              <w:rPr>
                <w:sz w:val="20"/>
                <w:szCs w:val="20"/>
              </w:rPr>
              <w:t xml:space="preserve">0 </w:t>
            </w:r>
          </w:p>
        </w:tc>
        <w:tc>
          <w:tcPr>
            <w:tcW w:w="1620" w:type="dxa"/>
            <w:vAlign w:val="bottom"/>
          </w:tcPr>
          <w:p w:rsidR="005E2192" w:rsidRPr="00E1056D" w:rsidRDefault="00B4487A" w:rsidP="00E1056D">
            <w:pPr>
              <w:rPr>
                <w:sz w:val="20"/>
                <w:szCs w:val="20"/>
              </w:rPr>
            </w:pPr>
            <w:r>
              <w:rPr>
                <w:sz w:val="20"/>
                <w:szCs w:val="20"/>
              </w:rPr>
              <w:t>0</w:t>
            </w:r>
          </w:p>
        </w:tc>
        <w:tc>
          <w:tcPr>
            <w:tcW w:w="1620" w:type="dxa"/>
            <w:vAlign w:val="bottom"/>
          </w:tcPr>
          <w:p w:rsidR="005E2192" w:rsidRPr="00E1056D" w:rsidRDefault="00B4487A" w:rsidP="00E1056D">
            <w:pPr>
              <w:rPr>
                <w:sz w:val="20"/>
                <w:szCs w:val="20"/>
              </w:rPr>
            </w:pPr>
            <w:r>
              <w:rPr>
                <w:sz w:val="20"/>
                <w:szCs w:val="20"/>
              </w:rPr>
              <w:t>0</w:t>
            </w:r>
          </w:p>
        </w:tc>
        <w:tc>
          <w:tcPr>
            <w:tcW w:w="1530" w:type="dxa"/>
            <w:vAlign w:val="bottom"/>
          </w:tcPr>
          <w:p w:rsidR="005E2192" w:rsidRPr="00E1056D" w:rsidRDefault="00B4487A" w:rsidP="00E1056D">
            <w:pPr>
              <w:rPr>
                <w:sz w:val="20"/>
                <w:szCs w:val="20"/>
              </w:rPr>
            </w:pPr>
            <w:r>
              <w:rPr>
                <w:sz w:val="20"/>
                <w:szCs w:val="20"/>
              </w:rPr>
              <w:t>0</w:t>
            </w:r>
          </w:p>
        </w:tc>
      </w:tr>
      <w:tr w:rsidR="005E2192" w:rsidRPr="0004692C" w:rsidTr="00002E53">
        <w:tc>
          <w:tcPr>
            <w:tcW w:w="1278" w:type="dxa"/>
          </w:tcPr>
          <w:p w:rsidR="005E2192" w:rsidRPr="00E1056D" w:rsidRDefault="005E2192" w:rsidP="00E1056D">
            <w:pPr>
              <w:rPr>
                <w:sz w:val="20"/>
                <w:szCs w:val="20"/>
              </w:rPr>
            </w:pPr>
            <w:r w:rsidRPr="00E1056D">
              <w:rPr>
                <w:sz w:val="20"/>
                <w:szCs w:val="20"/>
              </w:rPr>
              <w:t>8</w:t>
            </w:r>
          </w:p>
        </w:tc>
        <w:tc>
          <w:tcPr>
            <w:tcW w:w="1710" w:type="dxa"/>
          </w:tcPr>
          <w:p w:rsidR="005E2192" w:rsidRPr="00E1056D" w:rsidRDefault="00B4487A" w:rsidP="00E1056D">
            <w:pPr>
              <w:rPr>
                <w:sz w:val="20"/>
                <w:szCs w:val="20"/>
              </w:rPr>
            </w:pPr>
            <w:r>
              <w:rPr>
                <w:sz w:val="20"/>
                <w:szCs w:val="20"/>
              </w:rPr>
              <w:t>0</w:t>
            </w:r>
          </w:p>
        </w:tc>
        <w:tc>
          <w:tcPr>
            <w:tcW w:w="1620" w:type="dxa"/>
            <w:vAlign w:val="bottom"/>
          </w:tcPr>
          <w:p w:rsidR="005E2192" w:rsidRPr="00E1056D" w:rsidRDefault="00B4487A" w:rsidP="00E1056D">
            <w:pPr>
              <w:rPr>
                <w:sz w:val="20"/>
                <w:szCs w:val="20"/>
              </w:rPr>
            </w:pPr>
            <w:r>
              <w:rPr>
                <w:sz w:val="20"/>
                <w:szCs w:val="20"/>
              </w:rPr>
              <w:t>0</w:t>
            </w:r>
          </w:p>
        </w:tc>
        <w:tc>
          <w:tcPr>
            <w:tcW w:w="1620" w:type="dxa"/>
            <w:vAlign w:val="bottom"/>
          </w:tcPr>
          <w:p w:rsidR="005E2192" w:rsidRPr="00E1056D" w:rsidRDefault="00B4487A" w:rsidP="00E1056D">
            <w:pPr>
              <w:rPr>
                <w:sz w:val="20"/>
                <w:szCs w:val="20"/>
              </w:rPr>
            </w:pPr>
            <w:r>
              <w:rPr>
                <w:sz w:val="20"/>
                <w:szCs w:val="20"/>
              </w:rPr>
              <w:t>0</w:t>
            </w:r>
          </w:p>
        </w:tc>
        <w:tc>
          <w:tcPr>
            <w:tcW w:w="1530" w:type="dxa"/>
            <w:vAlign w:val="bottom"/>
          </w:tcPr>
          <w:p w:rsidR="005E2192" w:rsidRPr="00E1056D" w:rsidRDefault="00B4487A" w:rsidP="00E1056D">
            <w:pPr>
              <w:rPr>
                <w:sz w:val="20"/>
                <w:szCs w:val="20"/>
              </w:rPr>
            </w:pPr>
            <w:r>
              <w:rPr>
                <w:sz w:val="20"/>
                <w:szCs w:val="20"/>
              </w:rPr>
              <w:t>0</w:t>
            </w:r>
          </w:p>
        </w:tc>
      </w:tr>
      <w:tr w:rsidR="005E2192" w:rsidRPr="0004692C" w:rsidTr="00002E53">
        <w:tc>
          <w:tcPr>
            <w:tcW w:w="1278" w:type="dxa"/>
          </w:tcPr>
          <w:p w:rsidR="005E2192" w:rsidRPr="00E1056D" w:rsidRDefault="005E2192" w:rsidP="00E1056D">
            <w:pPr>
              <w:rPr>
                <w:sz w:val="20"/>
                <w:szCs w:val="20"/>
              </w:rPr>
            </w:pPr>
            <w:r w:rsidRPr="00E1056D">
              <w:rPr>
                <w:sz w:val="20"/>
                <w:szCs w:val="20"/>
              </w:rPr>
              <w:t>9</w:t>
            </w:r>
          </w:p>
        </w:tc>
        <w:tc>
          <w:tcPr>
            <w:tcW w:w="1710" w:type="dxa"/>
          </w:tcPr>
          <w:p w:rsidR="005E2192" w:rsidRPr="00E1056D" w:rsidRDefault="00B4487A" w:rsidP="00CE3C04">
            <w:pPr>
              <w:rPr>
                <w:sz w:val="20"/>
                <w:szCs w:val="20"/>
              </w:rPr>
            </w:pPr>
            <w:r>
              <w:rPr>
                <w:sz w:val="20"/>
                <w:szCs w:val="20"/>
              </w:rPr>
              <w:t>10,000</w:t>
            </w:r>
          </w:p>
        </w:tc>
        <w:tc>
          <w:tcPr>
            <w:tcW w:w="1620" w:type="dxa"/>
            <w:vAlign w:val="bottom"/>
          </w:tcPr>
          <w:p w:rsidR="005E2192" w:rsidRPr="00E1056D" w:rsidRDefault="00B4487A" w:rsidP="00B4487A">
            <w:pPr>
              <w:rPr>
                <w:sz w:val="20"/>
                <w:szCs w:val="20"/>
              </w:rPr>
            </w:pPr>
            <w:r>
              <w:rPr>
                <w:sz w:val="20"/>
                <w:szCs w:val="20"/>
              </w:rPr>
              <w:t>500</w:t>
            </w:r>
          </w:p>
        </w:tc>
        <w:tc>
          <w:tcPr>
            <w:tcW w:w="1620" w:type="dxa"/>
            <w:vAlign w:val="bottom"/>
          </w:tcPr>
          <w:p w:rsidR="005E2192" w:rsidRPr="00E1056D" w:rsidRDefault="00B4487A" w:rsidP="00B4487A">
            <w:pPr>
              <w:rPr>
                <w:sz w:val="20"/>
                <w:szCs w:val="20"/>
              </w:rPr>
            </w:pPr>
            <w:r>
              <w:rPr>
                <w:sz w:val="20"/>
                <w:szCs w:val="20"/>
              </w:rPr>
              <w:t>250</w:t>
            </w:r>
          </w:p>
        </w:tc>
        <w:tc>
          <w:tcPr>
            <w:tcW w:w="1530" w:type="dxa"/>
            <w:vAlign w:val="bottom"/>
          </w:tcPr>
          <w:p w:rsidR="005E2192" w:rsidRPr="00E1056D" w:rsidRDefault="00B4487A" w:rsidP="00B4487A">
            <w:pPr>
              <w:rPr>
                <w:sz w:val="20"/>
                <w:szCs w:val="20"/>
              </w:rPr>
            </w:pPr>
            <w:r>
              <w:rPr>
                <w:sz w:val="20"/>
                <w:szCs w:val="20"/>
              </w:rPr>
              <w:t>250</w:t>
            </w:r>
          </w:p>
        </w:tc>
      </w:tr>
      <w:tr w:rsidR="00002E53" w:rsidRPr="0004692C" w:rsidTr="00002E53">
        <w:tc>
          <w:tcPr>
            <w:tcW w:w="1278" w:type="dxa"/>
          </w:tcPr>
          <w:p w:rsidR="00CB3528" w:rsidRPr="00E1056D" w:rsidRDefault="00CB3528" w:rsidP="00E1056D">
            <w:pPr>
              <w:rPr>
                <w:b/>
                <w:sz w:val="20"/>
                <w:szCs w:val="20"/>
              </w:rPr>
            </w:pPr>
            <w:r w:rsidRPr="00E1056D">
              <w:rPr>
                <w:b/>
                <w:sz w:val="20"/>
                <w:szCs w:val="20"/>
              </w:rPr>
              <w:t>Total</w:t>
            </w:r>
          </w:p>
        </w:tc>
        <w:tc>
          <w:tcPr>
            <w:tcW w:w="1710" w:type="dxa"/>
          </w:tcPr>
          <w:p w:rsidR="00CB3528" w:rsidRPr="00E1056D" w:rsidRDefault="0058538F" w:rsidP="004A45EA">
            <w:pPr>
              <w:rPr>
                <w:b/>
                <w:sz w:val="20"/>
                <w:szCs w:val="20"/>
              </w:rPr>
            </w:pPr>
            <w:r>
              <w:rPr>
                <w:b/>
                <w:sz w:val="20"/>
                <w:szCs w:val="20"/>
              </w:rPr>
              <w:fldChar w:fldCharType="begin"/>
            </w:r>
            <w:r w:rsidR="004A45EA">
              <w:rPr>
                <w:b/>
                <w:sz w:val="20"/>
                <w:szCs w:val="20"/>
              </w:rPr>
              <w:instrText xml:space="preserve"> =SUM(ABOVE) </w:instrText>
            </w:r>
            <w:r>
              <w:rPr>
                <w:b/>
                <w:sz w:val="20"/>
                <w:szCs w:val="20"/>
              </w:rPr>
              <w:fldChar w:fldCharType="separate"/>
            </w:r>
            <w:r w:rsidR="004A45EA">
              <w:rPr>
                <w:b/>
                <w:noProof/>
                <w:sz w:val="20"/>
                <w:szCs w:val="20"/>
              </w:rPr>
              <w:t>35,000</w:t>
            </w:r>
            <w:r>
              <w:rPr>
                <w:b/>
                <w:sz w:val="20"/>
                <w:szCs w:val="20"/>
              </w:rPr>
              <w:fldChar w:fldCharType="end"/>
            </w:r>
          </w:p>
        </w:tc>
        <w:tc>
          <w:tcPr>
            <w:tcW w:w="1620" w:type="dxa"/>
          </w:tcPr>
          <w:p w:rsidR="00CB3528" w:rsidRPr="00E1056D" w:rsidRDefault="0058538F" w:rsidP="004A45EA">
            <w:pPr>
              <w:rPr>
                <w:b/>
                <w:sz w:val="20"/>
                <w:szCs w:val="20"/>
              </w:rPr>
            </w:pPr>
            <w:r>
              <w:rPr>
                <w:b/>
                <w:sz w:val="20"/>
                <w:szCs w:val="20"/>
              </w:rPr>
              <w:fldChar w:fldCharType="begin"/>
            </w:r>
            <w:r w:rsidR="004A45EA">
              <w:rPr>
                <w:b/>
                <w:sz w:val="20"/>
                <w:szCs w:val="20"/>
              </w:rPr>
              <w:instrText xml:space="preserve"> =SUM(ABOVE) </w:instrText>
            </w:r>
            <w:r>
              <w:rPr>
                <w:b/>
                <w:sz w:val="20"/>
                <w:szCs w:val="20"/>
              </w:rPr>
              <w:fldChar w:fldCharType="separate"/>
            </w:r>
            <w:r w:rsidR="004A45EA">
              <w:rPr>
                <w:b/>
                <w:noProof/>
                <w:sz w:val="20"/>
                <w:szCs w:val="20"/>
              </w:rPr>
              <w:t>1750</w:t>
            </w:r>
            <w:r>
              <w:rPr>
                <w:b/>
                <w:sz w:val="20"/>
                <w:szCs w:val="20"/>
              </w:rPr>
              <w:fldChar w:fldCharType="end"/>
            </w:r>
          </w:p>
        </w:tc>
        <w:tc>
          <w:tcPr>
            <w:tcW w:w="1620" w:type="dxa"/>
          </w:tcPr>
          <w:p w:rsidR="00CB3528" w:rsidRPr="00E1056D" w:rsidRDefault="0058538F" w:rsidP="004A45EA">
            <w:pPr>
              <w:rPr>
                <w:b/>
                <w:sz w:val="20"/>
                <w:szCs w:val="20"/>
              </w:rPr>
            </w:pPr>
            <w:r>
              <w:rPr>
                <w:b/>
                <w:sz w:val="20"/>
                <w:szCs w:val="20"/>
              </w:rPr>
              <w:fldChar w:fldCharType="begin"/>
            </w:r>
            <w:r w:rsidR="004A45EA">
              <w:rPr>
                <w:b/>
                <w:sz w:val="20"/>
                <w:szCs w:val="20"/>
              </w:rPr>
              <w:instrText xml:space="preserve"> =SUM(ABOVE) </w:instrText>
            </w:r>
            <w:r>
              <w:rPr>
                <w:b/>
                <w:sz w:val="20"/>
                <w:szCs w:val="20"/>
              </w:rPr>
              <w:fldChar w:fldCharType="separate"/>
            </w:r>
            <w:r w:rsidR="004A45EA">
              <w:rPr>
                <w:b/>
                <w:noProof/>
                <w:sz w:val="20"/>
                <w:szCs w:val="20"/>
              </w:rPr>
              <w:t>875</w:t>
            </w:r>
            <w:r>
              <w:rPr>
                <w:b/>
                <w:sz w:val="20"/>
                <w:szCs w:val="20"/>
              </w:rPr>
              <w:fldChar w:fldCharType="end"/>
            </w:r>
          </w:p>
        </w:tc>
        <w:tc>
          <w:tcPr>
            <w:tcW w:w="1530" w:type="dxa"/>
          </w:tcPr>
          <w:p w:rsidR="00CB3528" w:rsidRPr="00E1056D" w:rsidRDefault="0058538F" w:rsidP="004A45EA">
            <w:pPr>
              <w:rPr>
                <w:b/>
                <w:sz w:val="20"/>
                <w:szCs w:val="20"/>
              </w:rPr>
            </w:pPr>
            <w:r>
              <w:rPr>
                <w:b/>
                <w:sz w:val="20"/>
                <w:szCs w:val="20"/>
              </w:rPr>
              <w:fldChar w:fldCharType="begin"/>
            </w:r>
            <w:r w:rsidR="004A45EA">
              <w:rPr>
                <w:b/>
                <w:sz w:val="20"/>
                <w:szCs w:val="20"/>
              </w:rPr>
              <w:instrText xml:space="preserve"> =SUM(ABOVE) </w:instrText>
            </w:r>
            <w:r>
              <w:rPr>
                <w:b/>
                <w:sz w:val="20"/>
                <w:szCs w:val="20"/>
              </w:rPr>
              <w:fldChar w:fldCharType="separate"/>
            </w:r>
            <w:r w:rsidR="004A45EA">
              <w:rPr>
                <w:b/>
                <w:noProof/>
                <w:sz w:val="20"/>
                <w:szCs w:val="20"/>
              </w:rPr>
              <w:t>875</w:t>
            </w:r>
            <w:r>
              <w:rPr>
                <w:b/>
                <w:sz w:val="20"/>
                <w:szCs w:val="20"/>
              </w:rPr>
              <w:fldChar w:fldCharType="end"/>
            </w:r>
          </w:p>
        </w:tc>
      </w:tr>
    </w:tbl>
    <w:p w:rsidR="00CB3528" w:rsidRDefault="00CB3528" w:rsidP="00E1056D"/>
    <w:p w:rsidR="00CB3528" w:rsidRDefault="00CB3528" w:rsidP="00E1056D">
      <w:r>
        <w:tab/>
      </w:r>
      <w:proofErr w:type="gramStart"/>
      <w:r w:rsidR="00DA35E4" w:rsidRPr="00F3252C">
        <w:rPr>
          <w:b/>
        </w:rPr>
        <w:t>EP</w:t>
      </w:r>
      <w:r w:rsidRPr="00F3252C">
        <w:rPr>
          <w:b/>
        </w:rPr>
        <w:t xml:space="preserve">A </w:t>
      </w:r>
      <w:r w:rsidRPr="00E1056D">
        <w:rPr>
          <w:b/>
        </w:rPr>
        <w:t>Headquarters Burden</w:t>
      </w:r>
      <w:r>
        <w:t>.</w:t>
      </w:r>
      <w:proofErr w:type="gramEnd"/>
      <w:r w:rsidR="00FA5F1B">
        <w:t xml:space="preserve"> </w:t>
      </w:r>
      <w:r>
        <w:t>The Regional Office burden estimates for years 1, 2, and 3 are multiplied by 10% to arrive at an estimate for Headquarters burden for the same 3 years.</w:t>
      </w:r>
      <w:r w:rsidR="00FA5F1B">
        <w:t xml:space="preserve"> </w:t>
      </w:r>
      <w:r>
        <w:t xml:space="preserve">Resulting hours for years 1, 2, and 3 are </w:t>
      </w:r>
      <w:r w:rsidR="00B10E0D">
        <w:t>175</w:t>
      </w:r>
      <w:r>
        <w:t xml:space="preserve">, </w:t>
      </w:r>
      <w:r w:rsidR="00B10E0D">
        <w:t>87.5</w:t>
      </w:r>
      <w:r>
        <w:t xml:space="preserve">, and </w:t>
      </w:r>
      <w:r w:rsidR="00B10E0D">
        <w:t>87.5</w:t>
      </w:r>
      <w:r>
        <w:t>, respectively.</w:t>
      </w:r>
      <w:r w:rsidR="00821502">
        <w:t xml:space="preserve"> </w:t>
      </w:r>
    </w:p>
    <w:p w:rsidR="00CB3528" w:rsidRDefault="00CB3528" w:rsidP="00E1056D"/>
    <w:p w:rsidR="00CB3528" w:rsidRDefault="00CB3528" w:rsidP="00E1056D">
      <w:r>
        <w:tab/>
      </w:r>
      <w:proofErr w:type="gramStart"/>
      <w:r w:rsidRPr="00E1056D">
        <w:rPr>
          <w:b/>
        </w:rPr>
        <w:t xml:space="preserve">Total Incremental Burden for the </w:t>
      </w:r>
      <w:r w:rsidR="00DA35E4">
        <w:rPr>
          <w:b/>
        </w:rPr>
        <w:t>EP</w:t>
      </w:r>
      <w:r w:rsidRPr="00E1056D">
        <w:rPr>
          <w:b/>
        </w:rPr>
        <w:t>A</w:t>
      </w:r>
      <w:r>
        <w:t>.</w:t>
      </w:r>
      <w:proofErr w:type="gramEnd"/>
      <w:r>
        <w:t xml:space="preserve"> The </w:t>
      </w:r>
      <w:r w:rsidR="00280475">
        <w:t>average yearly burden is 1,</w:t>
      </w:r>
      <w:r w:rsidR="00B10E0D">
        <w:t>2</w:t>
      </w:r>
      <w:r w:rsidR="00280475">
        <w:t xml:space="preserve">83. </w:t>
      </w:r>
    </w:p>
    <w:p w:rsidR="00CB3528" w:rsidRDefault="00CB3528" w:rsidP="00E1056D"/>
    <w:p w:rsidR="00CB3528" w:rsidRDefault="00CB3528" w:rsidP="00E1056D">
      <w:r>
        <w:tab/>
      </w:r>
      <w:r w:rsidRPr="00E1056D">
        <w:rPr>
          <w:b/>
        </w:rPr>
        <w:t xml:space="preserve">Total Cost for the </w:t>
      </w:r>
      <w:r w:rsidR="00DA35E4">
        <w:rPr>
          <w:b/>
        </w:rPr>
        <w:t>EP</w:t>
      </w:r>
      <w:r w:rsidRPr="00E1056D">
        <w:rPr>
          <w:b/>
        </w:rPr>
        <w:t>A</w:t>
      </w:r>
      <w:r>
        <w:t>.</w:t>
      </w:r>
      <w:r w:rsidR="00FA5F1B">
        <w:t xml:space="preserve"> </w:t>
      </w:r>
      <w:r>
        <w:t xml:space="preserve">Using the weighted direct and indirect salary equivalent hour rate derived in section 6(b), the total incremental burden hours are multiplied by that rate. The result is the total cost estimate for the </w:t>
      </w:r>
      <w:r w:rsidR="00DA35E4">
        <w:t>EPA</w:t>
      </w:r>
      <w:r>
        <w:t xml:space="preserve">; see Table </w:t>
      </w:r>
      <w:r w:rsidR="00C20EA2">
        <w:t>6</w:t>
      </w:r>
      <w:r>
        <w:t>.</w:t>
      </w:r>
    </w:p>
    <w:p w:rsidR="002F3E3E" w:rsidRDefault="002F3E3E" w:rsidP="00E1056D"/>
    <w:p w:rsidR="00597B08" w:rsidRDefault="00597B08" w:rsidP="00E1056D"/>
    <w:p w:rsidR="00CB3528" w:rsidRPr="000D1AA0" w:rsidRDefault="00CB3528" w:rsidP="00E1056D">
      <w:pPr>
        <w:rPr>
          <w:b/>
          <w:sz w:val="20"/>
          <w:szCs w:val="20"/>
        </w:rPr>
      </w:pPr>
      <w:proofErr w:type="gramStart"/>
      <w:r w:rsidRPr="000D1AA0">
        <w:rPr>
          <w:b/>
          <w:sz w:val="20"/>
          <w:szCs w:val="20"/>
        </w:rPr>
        <w:t xml:space="preserve">Table </w:t>
      </w:r>
      <w:r w:rsidR="00C20EA2" w:rsidRPr="000D1AA0">
        <w:rPr>
          <w:b/>
          <w:sz w:val="20"/>
          <w:szCs w:val="20"/>
        </w:rPr>
        <w:t>6</w:t>
      </w:r>
      <w:r w:rsidRPr="000D1AA0">
        <w:rPr>
          <w:b/>
          <w:sz w:val="20"/>
          <w:szCs w:val="20"/>
        </w:rPr>
        <w:t>.</w:t>
      </w:r>
      <w:proofErr w:type="gramEnd"/>
      <w:r w:rsidR="00821502">
        <w:rPr>
          <w:b/>
          <w:sz w:val="20"/>
          <w:szCs w:val="20"/>
        </w:rPr>
        <w:t xml:space="preserve"> </w:t>
      </w:r>
      <w:r w:rsidRPr="000D1AA0">
        <w:rPr>
          <w:b/>
          <w:sz w:val="20"/>
          <w:szCs w:val="20"/>
        </w:rPr>
        <w:t xml:space="preserve">Total Cost Estimate for the </w:t>
      </w:r>
      <w:r w:rsidR="00DA35E4">
        <w:rPr>
          <w:b/>
          <w:sz w:val="20"/>
          <w:szCs w:val="20"/>
        </w:rPr>
        <w:t>EP</w:t>
      </w:r>
      <w:r w:rsidRPr="000D1AA0">
        <w:rPr>
          <w:b/>
          <w:sz w:val="20"/>
          <w:szCs w:val="20"/>
        </w:rPr>
        <w:t>A</w:t>
      </w:r>
    </w:p>
    <w:p w:rsidR="00E1056D" w:rsidRPr="00E1056D" w:rsidRDefault="00E1056D" w:rsidP="00E1056D">
      <w:pPr>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7"/>
        <w:gridCol w:w="1620"/>
        <w:gridCol w:w="2160"/>
        <w:gridCol w:w="1215"/>
      </w:tblGrid>
      <w:tr w:rsidR="00CB3528" w:rsidTr="00E1056D">
        <w:tc>
          <w:tcPr>
            <w:tcW w:w="2047" w:type="dxa"/>
          </w:tcPr>
          <w:p w:rsidR="00CB3528" w:rsidRPr="000D1AA0" w:rsidRDefault="00CB3528" w:rsidP="00E1056D">
            <w:pPr>
              <w:rPr>
                <w:b/>
                <w:sz w:val="20"/>
                <w:szCs w:val="20"/>
                <w:u w:val="single"/>
              </w:rPr>
            </w:pPr>
            <w:r w:rsidRPr="000D1AA0">
              <w:rPr>
                <w:b/>
                <w:sz w:val="20"/>
                <w:szCs w:val="20"/>
                <w:u w:val="single"/>
              </w:rPr>
              <w:t>Entity</w:t>
            </w:r>
          </w:p>
        </w:tc>
        <w:tc>
          <w:tcPr>
            <w:tcW w:w="1620" w:type="dxa"/>
          </w:tcPr>
          <w:p w:rsidR="00CB3528" w:rsidRPr="000D1AA0" w:rsidRDefault="00CB3528" w:rsidP="00E1056D">
            <w:pPr>
              <w:rPr>
                <w:b/>
                <w:sz w:val="20"/>
                <w:szCs w:val="20"/>
                <w:u w:val="single"/>
              </w:rPr>
            </w:pPr>
            <w:r w:rsidRPr="000D1AA0">
              <w:rPr>
                <w:b/>
                <w:sz w:val="20"/>
                <w:szCs w:val="20"/>
                <w:u w:val="single"/>
              </w:rPr>
              <w:t>Year 1</w:t>
            </w:r>
          </w:p>
        </w:tc>
        <w:tc>
          <w:tcPr>
            <w:tcW w:w="2160" w:type="dxa"/>
          </w:tcPr>
          <w:p w:rsidR="00CB3528" w:rsidRPr="000D1AA0" w:rsidRDefault="00CB3528" w:rsidP="00E1056D">
            <w:pPr>
              <w:rPr>
                <w:b/>
                <w:sz w:val="20"/>
                <w:szCs w:val="20"/>
                <w:u w:val="single"/>
              </w:rPr>
            </w:pPr>
            <w:r w:rsidRPr="000D1AA0">
              <w:rPr>
                <w:b/>
                <w:sz w:val="20"/>
                <w:szCs w:val="20"/>
                <w:u w:val="single"/>
              </w:rPr>
              <w:t>Year 2</w:t>
            </w:r>
          </w:p>
        </w:tc>
        <w:tc>
          <w:tcPr>
            <w:tcW w:w="1215" w:type="dxa"/>
          </w:tcPr>
          <w:p w:rsidR="00CB3528" w:rsidRPr="000D1AA0" w:rsidRDefault="00CB3528" w:rsidP="00E1056D">
            <w:pPr>
              <w:rPr>
                <w:b/>
                <w:sz w:val="20"/>
                <w:szCs w:val="20"/>
                <w:u w:val="single"/>
              </w:rPr>
            </w:pPr>
            <w:r w:rsidRPr="000D1AA0">
              <w:rPr>
                <w:b/>
                <w:sz w:val="20"/>
                <w:szCs w:val="20"/>
                <w:u w:val="single"/>
              </w:rPr>
              <w:t>Year 3</w:t>
            </w:r>
          </w:p>
        </w:tc>
      </w:tr>
      <w:tr w:rsidR="002E6806" w:rsidTr="00E1056D">
        <w:tc>
          <w:tcPr>
            <w:tcW w:w="2047" w:type="dxa"/>
          </w:tcPr>
          <w:p w:rsidR="002E6806" w:rsidRPr="00E1056D" w:rsidRDefault="002E6806" w:rsidP="00E1056D">
            <w:pPr>
              <w:rPr>
                <w:sz w:val="20"/>
                <w:szCs w:val="20"/>
              </w:rPr>
            </w:pPr>
            <w:r w:rsidRPr="00E1056D">
              <w:rPr>
                <w:sz w:val="20"/>
                <w:szCs w:val="20"/>
              </w:rPr>
              <w:t>Regional Office</w:t>
            </w:r>
          </w:p>
        </w:tc>
        <w:tc>
          <w:tcPr>
            <w:tcW w:w="1620" w:type="dxa"/>
          </w:tcPr>
          <w:p w:rsidR="002E6806" w:rsidRPr="00E1056D" w:rsidRDefault="002E6806" w:rsidP="004A45EA">
            <w:pPr>
              <w:rPr>
                <w:sz w:val="20"/>
                <w:szCs w:val="20"/>
              </w:rPr>
            </w:pPr>
            <w:r w:rsidRPr="00E1056D">
              <w:rPr>
                <w:sz w:val="20"/>
                <w:szCs w:val="20"/>
              </w:rPr>
              <w:t>$</w:t>
            </w:r>
            <w:r w:rsidR="004A45EA">
              <w:rPr>
                <w:sz w:val="20"/>
                <w:szCs w:val="20"/>
              </w:rPr>
              <w:t>113,925</w:t>
            </w:r>
          </w:p>
        </w:tc>
        <w:tc>
          <w:tcPr>
            <w:tcW w:w="2160" w:type="dxa"/>
          </w:tcPr>
          <w:p w:rsidR="002E6806" w:rsidRPr="00E1056D" w:rsidRDefault="002E6806" w:rsidP="004A45EA">
            <w:pPr>
              <w:rPr>
                <w:sz w:val="20"/>
                <w:szCs w:val="20"/>
              </w:rPr>
            </w:pPr>
            <w:r w:rsidRPr="00E1056D">
              <w:rPr>
                <w:sz w:val="20"/>
                <w:szCs w:val="20"/>
              </w:rPr>
              <w:t>$</w:t>
            </w:r>
            <w:r w:rsidR="004A45EA">
              <w:rPr>
                <w:sz w:val="20"/>
                <w:szCs w:val="20"/>
              </w:rPr>
              <w:t>56</w:t>
            </w:r>
            <w:r w:rsidRPr="00E1056D">
              <w:rPr>
                <w:sz w:val="20"/>
                <w:szCs w:val="20"/>
              </w:rPr>
              <w:t>,</w:t>
            </w:r>
            <w:r w:rsidR="004A45EA">
              <w:rPr>
                <w:sz w:val="20"/>
                <w:szCs w:val="20"/>
              </w:rPr>
              <w:t>963</w:t>
            </w:r>
          </w:p>
        </w:tc>
        <w:tc>
          <w:tcPr>
            <w:tcW w:w="1215" w:type="dxa"/>
          </w:tcPr>
          <w:p w:rsidR="002E6806" w:rsidRPr="00E1056D" w:rsidRDefault="002E6806" w:rsidP="004A45EA">
            <w:pPr>
              <w:rPr>
                <w:sz w:val="20"/>
                <w:szCs w:val="20"/>
              </w:rPr>
            </w:pPr>
            <w:r w:rsidRPr="00E1056D">
              <w:rPr>
                <w:sz w:val="20"/>
                <w:szCs w:val="20"/>
              </w:rPr>
              <w:t>$</w:t>
            </w:r>
            <w:r w:rsidR="004A45EA">
              <w:rPr>
                <w:sz w:val="20"/>
                <w:szCs w:val="20"/>
              </w:rPr>
              <w:t>56</w:t>
            </w:r>
            <w:r w:rsidRPr="00E1056D">
              <w:rPr>
                <w:sz w:val="20"/>
                <w:szCs w:val="20"/>
              </w:rPr>
              <w:t>,</w:t>
            </w:r>
            <w:r w:rsidR="004A45EA">
              <w:rPr>
                <w:sz w:val="20"/>
                <w:szCs w:val="20"/>
              </w:rPr>
              <w:t>963</w:t>
            </w:r>
          </w:p>
        </w:tc>
      </w:tr>
      <w:tr w:rsidR="002E6806" w:rsidTr="00E1056D">
        <w:tc>
          <w:tcPr>
            <w:tcW w:w="2047" w:type="dxa"/>
          </w:tcPr>
          <w:p w:rsidR="002E6806" w:rsidRPr="00E1056D" w:rsidRDefault="002E6806" w:rsidP="00E1056D">
            <w:pPr>
              <w:rPr>
                <w:sz w:val="20"/>
                <w:szCs w:val="20"/>
              </w:rPr>
            </w:pPr>
            <w:r w:rsidRPr="00E1056D">
              <w:rPr>
                <w:sz w:val="20"/>
                <w:szCs w:val="20"/>
              </w:rPr>
              <w:t>Headquarters Office</w:t>
            </w:r>
          </w:p>
        </w:tc>
        <w:tc>
          <w:tcPr>
            <w:tcW w:w="1620" w:type="dxa"/>
          </w:tcPr>
          <w:p w:rsidR="002E6806" w:rsidRPr="00E1056D" w:rsidRDefault="002E6806" w:rsidP="004A45EA">
            <w:pPr>
              <w:rPr>
                <w:sz w:val="20"/>
                <w:szCs w:val="20"/>
              </w:rPr>
            </w:pPr>
            <w:r w:rsidRPr="00E1056D">
              <w:rPr>
                <w:sz w:val="20"/>
                <w:szCs w:val="20"/>
              </w:rPr>
              <w:t>$</w:t>
            </w:r>
            <w:r w:rsidR="005374BA">
              <w:rPr>
                <w:sz w:val="20"/>
                <w:szCs w:val="20"/>
              </w:rPr>
              <w:t>1</w:t>
            </w:r>
            <w:r w:rsidR="004A45EA">
              <w:rPr>
                <w:sz w:val="20"/>
                <w:szCs w:val="20"/>
              </w:rPr>
              <w:t>1</w:t>
            </w:r>
            <w:r w:rsidRPr="00E1056D">
              <w:rPr>
                <w:sz w:val="20"/>
                <w:szCs w:val="20"/>
              </w:rPr>
              <w:t>,</w:t>
            </w:r>
            <w:r w:rsidR="004A45EA">
              <w:rPr>
                <w:sz w:val="20"/>
                <w:szCs w:val="20"/>
              </w:rPr>
              <w:t>393</w:t>
            </w:r>
          </w:p>
        </w:tc>
        <w:tc>
          <w:tcPr>
            <w:tcW w:w="2160" w:type="dxa"/>
          </w:tcPr>
          <w:p w:rsidR="002E6806" w:rsidRPr="00E1056D" w:rsidRDefault="002E6806" w:rsidP="004A45EA">
            <w:pPr>
              <w:rPr>
                <w:sz w:val="20"/>
                <w:szCs w:val="20"/>
              </w:rPr>
            </w:pPr>
            <w:r w:rsidRPr="00E1056D">
              <w:rPr>
                <w:sz w:val="20"/>
                <w:szCs w:val="20"/>
              </w:rPr>
              <w:t>$</w:t>
            </w:r>
            <w:r w:rsidR="004A45EA">
              <w:rPr>
                <w:sz w:val="20"/>
                <w:szCs w:val="20"/>
              </w:rPr>
              <w:t>5</w:t>
            </w:r>
            <w:r w:rsidR="005374BA">
              <w:rPr>
                <w:sz w:val="20"/>
                <w:szCs w:val="20"/>
              </w:rPr>
              <w:t>,</w:t>
            </w:r>
            <w:r w:rsidR="004A45EA">
              <w:rPr>
                <w:sz w:val="20"/>
                <w:szCs w:val="20"/>
              </w:rPr>
              <w:t>696</w:t>
            </w:r>
          </w:p>
        </w:tc>
        <w:tc>
          <w:tcPr>
            <w:tcW w:w="1215" w:type="dxa"/>
          </w:tcPr>
          <w:p w:rsidR="002E6806" w:rsidRPr="00E1056D" w:rsidRDefault="002E6806" w:rsidP="004A45EA">
            <w:pPr>
              <w:rPr>
                <w:sz w:val="20"/>
                <w:szCs w:val="20"/>
              </w:rPr>
            </w:pPr>
            <w:r w:rsidRPr="00E1056D">
              <w:rPr>
                <w:sz w:val="20"/>
                <w:szCs w:val="20"/>
              </w:rPr>
              <w:t>$</w:t>
            </w:r>
            <w:r w:rsidR="004A45EA">
              <w:rPr>
                <w:sz w:val="20"/>
                <w:szCs w:val="20"/>
              </w:rPr>
              <w:t>5</w:t>
            </w:r>
            <w:r w:rsidRPr="00E1056D">
              <w:rPr>
                <w:sz w:val="20"/>
                <w:szCs w:val="20"/>
              </w:rPr>
              <w:t>,</w:t>
            </w:r>
            <w:r w:rsidR="004A45EA">
              <w:rPr>
                <w:sz w:val="20"/>
                <w:szCs w:val="20"/>
              </w:rPr>
              <w:t>696</w:t>
            </w:r>
          </w:p>
        </w:tc>
      </w:tr>
      <w:tr w:rsidR="002E6806" w:rsidTr="00E1056D">
        <w:tc>
          <w:tcPr>
            <w:tcW w:w="2047" w:type="dxa"/>
          </w:tcPr>
          <w:p w:rsidR="002E6806" w:rsidRPr="00E1056D" w:rsidRDefault="002E6806" w:rsidP="00DA35E4">
            <w:pPr>
              <w:rPr>
                <w:b/>
                <w:sz w:val="20"/>
                <w:szCs w:val="20"/>
              </w:rPr>
            </w:pPr>
            <w:r w:rsidRPr="00E1056D">
              <w:rPr>
                <w:b/>
                <w:sz w:val="20"/>
                <w:szCs w:val="20"/>
              </w:rPr>
              <w:t xml:space="preserve">Total </w:t>
            </w:r>
            <w:r w:rsidR="00DA35E4">
              <w:rPr>
                <w:b/>
                <w:sz w:val="20"/>
                <w:szCs w:val="20"/>
              </w:rPr>
              <w:t>EP</w:t>
            </w:r>
            <w:r w:rsidRPr="00E1056D">
              <w:rPr>
                <w:b/>
                <w:sz w:val="20"/>
                <w:szCs w:val="20"/>
              </w:rPr>
              <w:t>A Cost</w:t>
            </w:r>
          </w:p>
        </w:tc>
        <w:tc>
          <w:tcPr>
            <w:tcW w:w="1620" w:type="dxa"/>
          </w:tcPr>
          <w:p w:rsidR="002E6806" w:rsidRPr="00E1056D" w:rsidRDefault="0058538F" w:rsidP="00B10E0D">
            <w:pPr>
              <w:rPr>
                <w:b/>
                <w:sz w:val="20"/>
                <w:szCs w:val="20"/>
              </w:rPr>
            </w:pPr>
            <w:r>
              <w:rPr>
                <w:b/>
                <w:sz w:val="20"/>
                <w:szCs w:val="20"/>
              </w:rPr>
              <w:fldChar w:fldCharType="begin"/>
            </w:r>
            <w:r w:rsidR="004A45EA">
              <w:rPr>
                <w:b/>
                <w:sz w:val="20"/>
                <w:szCs w:val="20"/>
              </w:rPr>
              <w:instrText xml:space="preserve"> =SUM(ABOVE) </w:instrText>
            </w:r>
            <w:r>
              <w:rPr>
                <w:b/>
                <w:sz w:val="20"/>
                <w:szCs w:val="20"/>
              </w:rPr>
              <w:fldChar w:fldCharType="separate"/>
            </w:r>
            <w:r w:rsidR="004A45EA">
              <w:rPr>
                <w:b/>
                <w:noProof/>
                <w:sz w:val="20"/>
                <w:szCs w:val="20"/>
              </w:rPr>
              <w:t>$125,318</w:t>
            </w:r>
            <w:r>
              <w:rPr>
                <w:b/>
                <w:sz w:val="20"/>
                <w:szCs w:val="20"/>
              </w:rPr>
              <w:fldChar w:fldCharType="end"/>
            </w:r>
          </w:p>
        </w:tc>
        <w:tc>
          <w:tcPr>
            <w:tcW w:w="2160" w:type="dxa"/>
          </w:tcPr>
          <w:p w:rsidR="002E6806" w:rsidRPr="00E1056D" w:rsidRDefault="0058538F" w:rsidP="00B10E0D">
            <w:pPr>
              <w:rPr>
                <w:b/>
                <w:sz w:val="20"/>
                <w:szCs w:val="20"/>
              </w:rPr>
            </w:pPr>
            <w:r>
              <w:rPr>
                <w:b/>
                <w:sz w:val="20"/>
                <w:szCs w:val="20"/>
              </w:rPr>
              <w:fldChar w:fldCharType="begin"/>
            </w:r>
            <w:r w:rsidR="004A45EA">
              <w:rPr>
                <w:b/>
                <w:sz w:val="20"/>
                <w:szCs w:val="20"/>
              </w:rPr>
              <w:instrText xml:space="preserve"> =SUM(ABOVE) </w:instrText>
            </w:r>
            <w:r>
              <w:rPr>
                <w:b/>
                <w:sz w:val="20"/>
                <w:szCs w:val="20"/>
              </w:rPr>
              <w:fldChar w:fldCharType="separate"/>
            </w:r>
            <w:r w:rsidR="004A45EA">
              <w:rPr>
                <w:b/>
                <w:noProof/>
                <w:sz w:val="20"/>
                <w:szCs w:val="20"/>
              </w:rPr>
              <w:t>$62,659</w:t>
            </w:r>
            <w:r>
              <w:rPr>
                <w:b/>
                <w:sz w:val="20"/>
                <w:szCs w:val="20"/>
              </w:rPr>
              <w:fldChar w:fldCharType="end"/>
            </w:r>
          </w:p>
        </w:tc>
        <w:tc>
          <w:tcPr>
            <w:tcW w:w="1215" w:type="dxa"/>
          </w:tcPr>
          <w:p w:rsidR="002E6806" w:rsidRPr="00E1056D" w:rsidRDefault="0058538F" w:rsidP="004A45EA">
            <w:pPr>
              <w:rPr>
                <w:b/>
                <w:sz w:val="20"/>
                <w:szCs w:val="20"/>
              </w:rPr>
            </w:pPr>
            <w:r>
              <w:rPr>
                <w:b/>
                <w:sz w:val="20"/>
                <w:szCs w:val="20"/>
              </w:rPr>
              <w:fldChar w:fldCharType="begin"/>
            </w:r>
            <w:r w:rsidR="004A45EA">
              <w:rPr>
                <w:b/>
                <w:sz w:val="20"/>
                <w:szCs w:val="20"/>
              </w:rPr>
              <w:instrText xml:space="preserve"> =SUM(ABOVE) \# "$###,###" </w:instrText>
            </w:r>
            <w:r>
              <w:rPr>
                <w:b/>
                <w:sz w:val="20"/>
                <w:szCs w:val="20"/>
              </w:rPr>
              <w:fldChar w:fldCharType="separate"/>
            </w:r>
            <w:r w:rsidR="004A45EA">
              <w:rPr>
                <w:b/>
                <w:noProof/>
                <w:sz w:val="20"/>
                <w:szCs w:val="20"/>
              </w:rPr>
              <w:t>$ 62,659</w:t>
            </w:r>
            <w:r>
              <w:rPr>
                <w:b/>
                <w:sz w:val="20"/>
                <w:szCs w:val="20"/>
              </w:rPr>
              <w:fldChar w:fldCharType="end"/>
            </w:r>
          </w:p>
        </w:tc>
      </w:tr>
    </w:tbl>
    <w:p w:rsidR="000D1AA0" w:rsidRDefault="000D1AA0" w:rsidP="00E1056D">
      <w:pPr>
        <w:rPr>
          <w:b/>
        </w:rPr>
      </w:pPr>
    </w:p>
    <w:p w:rsidR="00CB3528" w:rsidRPr="00E1056D" w:rsidRDefault="00CB3528" w:rsidP="00E1056D">
      <w:pPr>
        <w:rPr>
          <w:b/>
        </w:rPr>
      </w:pPr>
      <w:r w:rsidRPr="00E1056D">
        <w:rPr>
          <w:b/>
        </w:rPr>
        <w:lastRenderedPageBreak/>
        <w:t>6(d)</w:t>
      </w:r>
      <w:r w:rsidRPr="00E1056D">
        <w:rPr>
          <w:b/>
        </w:rPr>
        <w:tab/>
        <w:t>Estimating the Respondent Universe and Total Additional Burden and Costs</w:t>
      </w:r>
    </w:p>
    <w:p w:rsidR="00CB3528" w:rsidRDefault="00CB3528" w:rsidP="00E1056D"/>
    <w:p w:rsidR="00CB3528" w:rsidRDefault="00CB3528" w:rsidP="00E1056D">
      <w:r>
        <w:tab/>
        <w:t>T</w:t>
      </w:r>
      <w:r w:rsidR="00A05C06">
        <w:t xml:space="preserve">itle I of the </w:t>
      </w:r>
      <w:r>
        <w:t xml:space="preserve">Clean Air Act of 1990 </w:t>
      </w:r>
      <w:r w:rsidR="00A05C06">
        <w:t>provided a classification system for 1-hour Ozone NAAQS non-attainment areas along with prescribed programs and measures for those areas.</w:t>
      </w:r>
      <w:r w:rsidR="00FA5F1B">
        <w:t xml:space="preserve"> </w:t>
      </w:r>
      <w:r w:rsidR="00A05C06">
        <w:t>In essence, there was no incremental administrative burden associated with the implementation of the 1-hour standard</w:t>
      </w:r>
      <w:r w:rsidR="008A5BD7">
        <w:t xml:space="preserve"> associated with discretionary action on the part of the </w:t>
      </w:r>
      <w:r w:rsidR="00DA35E4">
        <w:t>EPA</w:t>
      </w:r>
      <w:r w:rsidR="00A05C06">
        <w:t xml:space="preserve">. </w:t>
      </w:r>
      <w:r>
        <w:t xml:space="preserve">However, with the promulgation of the </w:t>
      </w:r>
      <w:r w:rsidR="00D112AC">
        <w:t xml:space="preserve">1997 </w:t>
      </w:r>
      <w:r>
        <w:t>8-hour Ozone NAAQS, the non-attainment designations, and the finalization of Phases 1 and 2 of the Ozone Implementation rule,</w:t>
      </w:r>
      <w:r w:rsidR="00940CE0">
        <w:t xml:space="preserve"> </w:t>
      </w:r>
      <w:r w:rsidR="008A5BD7">
        <w:t xml:space="preserve">the Office of Management and Budget believed there were </w:t>
      </w:r>
      <w:r>
        <w:t>there were additional administrative burdens</w:t>
      </w:r>
      <w:r w:rsidR="008A5BD7">
        <w:t xml:space="preserve"> by the </w:t>
      </w:r>
      <w:r w:rsidR="00DA35E4">
        <w:t>EP</w:t>
      </w:r>
      <w:r w:rsidR="008A5BD7">
        <w:t>A</w:t>
      </w:r>
      <w:r>
        <w:t>. This ICR attempts to develop estimates of the incremental burden resulting from the transition from a 1-hour to an 8-hour form of the standard.</w:t>
      </w:r>
    </w:p>
    <w:p w:rsidR="00CB3528" w:rsidRDefault="00CB3528" w:rsidP="00E1056D"/>
    <w:p w:rsidR="00CB3528" w:rsidRDefault="00CB3528" w:rsidP="00E1056D">
      <w:r>
        <w:tab/>
        <w:t xml:space="preserve">The major set of respondents is the states, as they have over 90% of the estimated additional burden. There is also burden imposed on the Regional and Headquarters Offices of the </w:t>
      </w:r>
      <w:r w:rsidR="009E7853">
        <w:t>EPA</w:t>
      </w:r>
      <w:r>
        <w:t xml:space="preserve">. Because of the overlap in work for the attainment demonstration, RACT SIP submittal, and RFP SIP submittal, most of the cost will be incurred in year 1 of the 3 year period covered by this ICR. In the </w:t>
      </w:r>
      <w:r w:rsidR="009E7853">
        <w:t>EPA</w:t>
      </w:r>
      <w:r>
        <w:t xml:space="preserve">’s roles as facilitator, compiler, reviewer, and preparer, the estimated burden for the </w:t>
      </w:r>
      <w:r w:rsidR="009E7853">
        <w:t>EPA</w:t>
      </w:r>
      <w:r>
        <w:t xml:space="preserve"> is also expected to be greater in the 1</w:t>
      </w:r>
      <w:r>
        <w:rPr>
          <w:vertAlign w:val="superscript"/>
        </w:rPr>
        <w:t>st</w:t>
      </w:r>
      <w:r>
        <w:t xml:space="preserve"> year than in the 2</w:t>
      </w:r>
      <w:r>
        <w:rPr>
          <w:vertAlign w:val="superscript"/>
        </w:rPr>
        <w:t>nd</w:t>
      </w:r>
      <w:r>
        <w:t xml:space="preserve"> or 3</w:t>
      </w:r>
      <w:r>
        <w:rPr>
          <w:vertAlign w:val="superscript"/>
        </w:rPr>
        <w:t>rd</w:t>
      </w:r>
      <w:r>
        <w:t xml:space="preserve"> years. </w:t>
      </w:r>
    </w:p>
    <w:p w:rsidR="00CB3528" w:rsidRDefault="00CB3528" w:rsidP="00E1056D"/>
    <w:p w:rsidR="00CB3528" w:rsidRDefault="00CB3528" w:rsidP="00E1056D">
      <w:r>
        <w:tab/>
        <w:t xml:space="preserve">The total incremental respondent universe burden and cost estimates are presented in Table </w:t>
      </w:r>
      <w:r w:rsidR="00C20EA2">
        <w:t>7</w:t>
      </w:r>
      <w:r>
        <w:t>.</w:t>
      </w:r>
    </w:p>
    <w:p w:rsidR="008A5BD7" w:rsidRDefault="008A5BD7" w:rsidP="00E1056D"/>
    <w:p w:rsidR="00F13A11" w:rsidRDefault="00F13A11" w:rsidP="00E1056D"/>
    <w:p w:rsidR="00CB3528" w:rsidRDefault="00CB3528" w:rsidP="00E1056D">
      <w:pPr>
        <w:rPr>
          <w:b/>
          <w:sz w:val="20"/>
          <w:szCs w:val="20"/>
        </w:rPr>
      </w:pPr>
      <w:proofErr w:type="gramStart"/>
      <w:r w:rsidRPr="00E1056D">
        <w:rPr>
          <w:b/>
          <w:sz w:val="20"/>
          <w:szCs w:val="20"/>
        </w:rPr>
        <w:t xml:space="preserve">Table </w:t>
      </w:r>
      <w:r w:rsidR="00C20EA2" w:rsidRPr="00E1056D">
        <w:rPr>
          <w:b/>
          <w:sz w:val="20"/>
          <w:szCs w:val="20"/>
        </w:rPr>
        <w:t>7</w:t>
      </w:r>
      <w:r w:rsidRPr="00E1056D">
        <w:rPr>
          <w:b/>
          <w:sz w:val="20"/>
          <w:szCs w:val="20"/>
        </w:rPr>
        <w:t>.</w:t>
      </w:r>
      <w:proofErr w:type="gramEnd"/>
      <w:r w:rsidR="00821502">
        <w:rPr>
          <w:b/>
          <w:sz w:val="20"/>
          <w:szCs w:val="20"/>
        </w:rPr>
        <w:t xml:space="preserve"> </w:t>
      </w:r>
      <w:r w:rsidRPr="00E1056D">
        <w:rPr>
          <w:b/>
          <w:sz w:val="20"/>
          <w:szCs w:val="20"/>
        </w:rPr>
        <w:t xml:space="preserve">Total Incremental Respondent &amp; </w:t>
      </w:r>
      <w:r w:rsidR="00DA35E4">
        <w:rPr>
          <w:b/>
          <w:sz w:val="20"/>
          <w:szCs w:val="20"/>
        </w:rPr>
        <w:t>EP</w:t>
      </w:r>
      <w:r w:rsidRPr="00E1056D">
        <w:rPr>
          <w:b/>
          <w:sz w:val="20"/>
          <w:szCs w:val="20"/>
        </w:rPr>
        <w:t xml:space="preserve">A Universe Burden and Cost Estimates </w:t>
      </w:r>
    </w:p>
    <w:p w:rsidR="00E1056D" w:rsidRPr="00E1056D" w:rsidRDefault="00E1056D" w:rsidP="00E1056D">
      <w:pPr>
        <w:rPr>
          <w:b/>
          <w:sz w:val="20"/>
          <w:szCs w:val="20"/>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
        <w:gridCol w:w="2160"/>
        <w:gridCol w:w="1980"/>
        <w:gridCol w:w="3585"/>
      </w:tblGrid>
      <w:tr w:rsidR="00307E42" w:rsidRPr="00477D86" w:rsidTr="00E1056D">
        <w:trPr>
          <w:jc w:val="center"/>
        </w:trPr>
        <w:tc>
          <w:tcPr>
            <w:tcW w:w="886" w:type="dxa"/>
          </w:tcPr>
          <w:p w:rsidR="00307E42" w:rsidRPr="00E1056D" w:rsidRDefault="00307E42" w:rsidP="00E1056D">
            <w:pPr>
              <w:rPr>
                <w:sz w:val="20"/>
                <w:szCs w:val="20"/>
                <w:u w:val="single"/>
              </w:rPr>
            </w:pPr>
            <w:r w:rsidRPr="00E1056D">
              <w:rPr>
                <w:sz w:val="20"/>
                <w:szCs w:val="20"/>
                <w:u w:val="single"/>
              </w:rPr>
              <w:t>Entity</w:t>
            </w:r>
          </w:p>
        </w:tc>
        <w:tc>
          <w:tcPr>
            <w:tcW w:w="2160" w:type="dxa"/>
          </w:tcPr>
          <w:p w:rsidR="00307E42" w:rsidRPr="00E1056D" w:rsidRDefault="00307E42" w:rsidP="00E1056D">
            <w:pPr>
              <w:rPr>
                <w:sz w:val="20"/>
                <w:szCs w:val="20"/>
                <w:u w:val="single"/>
              </w:rPr>
            </w:pPr>
            <w:r w:rsidRPr="00E1056D">
              <w:rPr>
                <w:sz w:val="20"/>
                <w:szCs w:val="20"/>
                <w:u w:val="single"/>
              </w:rPr>
              <w:t>Average Yearly Burden</w:t>
            </w:r>
          </w:p>
        </w:tc>
        <w:tc>
          <w:tcPr>
            <w:tcW w:w="1980" w:type="dxa"/>
          </w:tcPr>
          <w:p w:rsidR="00307E42" w:rsidRPr="00E1056D" w:rsidRDefault="00870218" w:rsidP="00E1056D">
            <w:pPr>
              <w:rPr>
                <w:sz w:val="20"/>
                <w:szCs w:val="20"/>
                <w:u w:val="single"/>
              </w:rPr>
            </w:pPr>
            <w:r w:rsidRPr="00E1056D">
              <w:rPr>
                <w:sz w:val="20"/>
                <w:szCs w:val="20"/>
                <w:u w:val="single"/>
              </w:rPr>
              <w:t>3-Year Burden Hours</w:t>
            </w:r>
          </w:p>
        </w:tc>
        <w:tc>
          <w:tcPr>
            <w:tcW w:w="3585" w:type="dxa"/>
          </w:tcPr>
          <w:p w:rsidR="00307E42" w:rsidRPr="00E1056D" w:rsidRDefault="00870218" w:rsidP="00E1056D">
            <w:pPr>
              <w:rPr>
                <w:sz w:val="20"/>
                <w:szCs w:val="20"/>
                <w:u w:val="single"/>
              </w:rPr>
            </w:pPr>
            <w:r w:rsidRPr="00E1056D">
              <w:rPr>
                <w:sz w:val="20"/>
                <w:szCs w:val="20"/>
                <w:u w:val="single"/>
              </w:rPr>
              <w:t>Present Value of Costs for 3-Year Burden</w:t>
            </w:r>
          </w:p>
        </w:tc>
      </w:tr>
      <w:tr w:rsidR="00307E42" w:rsidRPr="00477D86" w:rsidTr="00E1056D">
        <w:trPr>
          <w:jc w:val="center"/>
        </w:trPr>
        <w:tc>
          <w:tcPr>
            <w:tcW w:w="886" w:type="dxa"/>
          </w:tcPr>
          <w:p w:rsidR="00307E42" w:rsidRPr="00E1056D" w:rsidRDefault="00870218" w:rsidP="00E1056D">
            <w:pPr>
              <w:rPr>
                <w:sz w:val="20"/>
                <w:szCs w:val="20"/>
              </w:rPr>
            </w:pPr>
            <w:r w:rsidRPr="00E1056D">
              <w:rPr>
                <w:sz w:val="20"/>
                <w:szCs w:val="20"/>
              </w:rPr>
              <w:t>States</w:t>
            </w:r>
          </w:p>
        </w:tc>
        <w:tc>
          <w:tcPr>
            <w:tcW w:w="2160" w:type="dxa"/>
          </w:tcPr>
          <w:p w:rsidR="00307E42" w:rsidRPr="00E1056D" w:rsidRDefault="001674F9" w:rsidP="004A45EA">
            <w:pPr>
              <w:rPr>
                <w:sz w:val="20"/>
                <w:szCs w:val="20"/>
              </w:rPr>
            </w:pPr>
            <w:r>
              <w:rPr>
                <w:sz w:val="20"/>
                <w:szCs w:val="20"/>
              </w:rPr>
              <w:t>1</w:t>
            </w:r>
            <w:r w:rsidR="004A45EA">
              <w:rPr>
                <w:sz w:val="20"/>
                <w:szCs w:val="20"/>
              </w:rPr>
              <w:t>1</w:t>
            </w:r>
            <w:r w:rsidR="00A44B4C" w:rsidRPr="00E1056D">
              <w:rPr>
                <w:sz w:val="20"/>
                <w:szCs w:val="20"/>
              </w:rPr>
              <w:t>,</w:t>
            </w:r>
            <w:r w:rsidR="003F1842" w:rsidRPr="00E1056D">
              <w:rPr>
                <w:sz w:val="20"/>
                <w:szCs w:val="20"/>
              </w:rPr>
              <w:t>66</w:t>
            </w:r>
            <w:r w:rsidR="00A44B4C" w:rsidRPr="00E1056D">
              <w:rPr>
                <w:sz w:val="20"/>
                <w:szCs w:val="20"/>
              </w:rPr>
              <w:t>7</w:t>
            </w:r>
          </w:p>
        </w:tc>
        <w:tc>
          <w:tcPr>
            <w:tcW w:w="1980" w:type="dxa"/>
          </w:tcPr>
          <w:p w:rsidR="00307E42" w:rsidRPr="00E1056D" w:rsidRDefault="004A45EA" w:rsidP="004A45EA">
            <w:pPr>
              <w:rPr>
                <w:sz w:val="20"/>
                <w:szCs w:val="20"/>
              </w:rPr>
            </w:pPr>
            <w:r>
              <w:rPr>
                <w:sz w:val="20"/>
                <w:szCs w:val="20"/>
              </w:rPr>
              <w:t>3</w:t>
            </w:r>
            <w:r w:rsidR="001674F9">
              <w:rPr>
                <w:sz w:val="20"/>
                <w:szCs w:val="20"/>
              </w:rPr>
              <w:t>5</w:t>
            </w:r>
            <w:r w:rsidR="003F1842" w:rsidRPr="00E1056D">
              <w:rPr>
                <w:sz w:val="20"/>
                <w:szCs w:val="20"/>
              </w:rPr>
              <w:t>,000</w:t>
            </w:r>
          </w:p>
        </w:tc>
        <w:tc>
          <w:tcPr>
            <w:tcW w:w="3585" w:type="dxa"/>
          </w:tcPr>
          <w:p w:rsidR="00307E42" w:rsidRPr="00E1056D" w:rsidRDefault="00870218" w:rsidP="00B10E0D">
            <w:pPr>
              <w:rPr>
                <w:sz w:val="20"/>
                <w:szCs w:val="20"/>
              </w:rPr>
            </w:pPr>
            <w:r w:rsidRPr="00E1056D">
              <w:rPr>
                <w:sz w:val="20"/>
                <w:szCs w:val="20"/>
              </w:rPr>
              <w:t>$</w:t>
            </w:r>
            <w:r w:rsidR="00815F91">
              <w:rPr>
                <w:sz w:val="20"/>
                <w:szCs w:val="20"/>
              </w:rPr>
              <w:t>2</w:t>
            </w:r>
            <w:r w:rsidR="0063648B">
              <w:rPr>
                <w:sz w:val="20"/>
                <w:szCs w:val="20"/>
              </w:rPr>
              <w:t>,278,500</w:t>
            </w:r>
          </w:p>
        </w:tc>
      </w:tr>
      <w:tr w:rsidR="00307E42" w:rsidRPr="00477D86" w:rsidTr="00E1056D">
        <w:trPr>
          <w:jc w:val="center"/>
        </w:trPr>
        <w:tc>
          <w:tcPr>
            <w:tcW w:w="886" w:type="dxa"/>
          </w:tcPr>
          <w:p w:rsidR="00307E42" w:rsidRPr="00E1056D" w:rsidRDefault="00DA35E4" w:rsidP="00DA35E4">
            <w:pPr>
              <w:rPr>
                <w:sz w:val="20"/>
                <w:szCs w:val="20"/>
              </w:rPr>
            </w:pPr>
            <w:r>
              <w:rPr>
                <w:sz w:val="20"/>
                <w:szCs w:val="20"/>
              </w:rPr>
              <w:t>EP</w:t>
            </w:r>
            <w:r w:rsidR="00870218" w:rsidRPr="00E1056D">
              <w:rPr>
                <w:sz w:val="20"/>
                <w:szCs w:val="20"/>
              </w:rPr>
              <w:t>A</w:t>
            </w:r>
          </w:p>
        </w:tc>
        <w:tc>
          <w:tcPr>
            <w:tcW w:w="2160" w:type="dxa"/>
          </w:tcPr>
          <w:p w:rsidR="00307E42" w:rsidRPr="00E1056D" w:rsidRDefault="001674F9" w:rsidP="004975FF">
            <w:pPr>
              <w:rPr>
                <w:sz w:val="20"/>
                <w:szCs w:val="20"/>
              </w:rPr>
            </w:pPr>
            <w:r>
              <w:rPr>
                <w:sz w:val="20"/>
                <w:szCs w:val="20"/>
              </w:rPr>
              <w:t>1,</w:t>
            </w:r>
            <w:r w:rsidR="004975FF">
              <w:rPr>
                <w:sz w:val="20"/>
                <w:szCs w:val="20"/>
              </w:rPr>
              <w:t>2</w:t>
            </w:r>
            <w:r w:rsidR="00084D70">
              <w:rPr>
                <w:sz w:val="20"/>
                <w:szCs w:val="20"/>
              </w:rPr>
              <w:t>83</w:t>
            </w:r>
          </w:p>
        </w:tc>
        <w:tc>
          <w:tcPr>
            <w:tcW w:w="1980" w:type="dxa"/>
          </w:tcPr>
          <w:p w:rsidR="00307E42" w:rsidRPr="00E1056D" w:rsidRDefault="00815F91" w:rsidP="00815F91">
            <w:pPr>
              <w:rPr>
                <w:sz w:val="20"/>
                <w:szCs w:val="20"/>
              </w:rPr>
            </w:pPr>
            <w:r>
              <w:rPr>
                <w:sz w:val="20"/>
                <w:szCs w:val="20"/>
              </w:rPr>
              <w:t>3</w:t>
            </w:r>
            <w:r w:rsidR="00D55C77">
              <w:rPr>
                <w:sz w:val="20"/>
                <w:szCs w:val="20"/>
              </w:rPr>
              <w:t>,</w:t>
            </w:r>
            <w:r>
              <w:rPr>
                <w:sz w:val="20"/>
                <w:szCs w:val="20"/>
              </w:rPr>
              <w:t>850</w:t>
            </w:r>
          </w:p>
        </w:tc>
        <w:tc>
          <w:tcPr>
            <w:tcW w:w="3585" w:type="dxa"/>
          </w:tcPr>
          <w:p w:rsidR="00307E42" w:rsidRPr="00E1056D" w:rsidRDefault="00425578" w:rsidP="00B10E0D">
            <w:pPr>
              <w:rPr>
                <w:sz w:val="20"/>
                <w:szCs w:val="20"/>
              </w:rPr>
            </w:pPr>
            <w:r w:rsidRPr="00E1056D">
              <w:rPr>
                <w:sz w:val="20"/>
                <w:szCs w:val="20"/>
              </w:rPr>
              <w:t>$</w:t>
            </w:r>
            <w:r w:rsidR="0063648B">
              <w:rPr>
                <w:sz w:val="20"/>
                <w:szCs w:val="20"/>
              </w:rPr>
              <w:t>250,636</w:t>
            </w:r>
          </w:p>
        </w:tc>
      </w:tr>
      <w:tr w:rsidR="00307E42" w:rsidRPr="00E1056D" w:rsidTr="00E1056D">
        <w:trPr>
          <w:jc w:val="center"/>
        </w:trPr>
        <w:tc>
          <w:tcPr>
            <w:tcW w:w="886" w:type="dxa"/>
          </w:tcPr>
          <w:p w:rsidR="00307E42" w:rsidRPr="00E1056D" w:rsidRDefault="00870218" w:rsidP="00E1056D">
            <w:pPr>
              <w:rPr>
                <w:b/>
                <w:sz w:val="20"/>
                <w:szCs w:val="20"/>
              </w:rPr>
            </w:pPr>
            <w:r w:rsidRPr="00E1056D">
              <w:rPr>
                <w:b/>
                <w:sz w:val="20"/>
                <w:szCs w:val="20"/>
              </w:rPr>
              <w:t>Total</w:t>
            </w:r>
          </w:p>
        </w:tc>
        <w:tc>
          <w:tcPr>
            <w:tcW w:w="2160" w:type="dxa"/>
          </w:tcPr>
          <w:p w:rsidR="00307E42" w:rsidRPr="00E1056D" w:rsidRDefault="0058538F" w:rsidP="006C6906">
            <w:pPr>
              <w:rPr>
                <w:b/>
                <w:sz w:val="20"/>
                <w:szCs w:val="20"/>
              </w:rPr>
            </w:pPr>
            <w:r>
              <w:rPr>
                <w:b/>
                <w:sz w:val="20"/>
                <w:szCs w:val="20"/>
              </w:rPr>
              <w:fldChar w:fldCharType="begin"/>
            </w:r>
            <w:r w:rsidR="004975FF">
              <w:rPr>
                <w:b/>
                <w:sz w:val="20"/>
                <w:szCs w:val="20"/>
              </w:rPr>
              <w:instrText xml:space="preserve"> =sum(above) </w:instrText>
            </w:r>
            <w:r>
              <w:rPr>
                <w:b/>
                <w:sz w:val="20"/>
                <w:szCs w:val="20"/>
              </w:rPr>
              <w:fldChar w:fldCharType="separate"/>
            </w:r>
            <w:r w:rsidR="004975FF">
              <w:rPr>
                <w:b/>
                <w:noProof/>
                <w:sz w:val="20"/>
                <w:szCs w:val="20"/>
              </w:rPr>
              <w:t>12,950</w:t>
            </w:r>
            <w:r>
              <w:rPr>
                <w:b/>
                <w:sz w:val="20"/>
                <w:szCs w:val="20"/>
              </w:rPr>
              <w:fldChar w:fldCharType="end"/>
            </w:r>
          </w:p>
        </w:tc>
        <w:tc>
          <w:tcPr>
            <w:tcW w:w="1980" w:type="dxa"/>
          </w:tcPr>
          <w:p w:rsidR="00307E42" w:rsidRPr="00E1056D" w:rsidRDefault="0058538F" w:rsidP="00505278">
            <w:pPr>
              <w:rPr>
                <w:b/>
                <w:sz w:val="20"/>
                <w:szCs w:val="20"/>
              </w:rPr>
            </w:pPr>
            <w:r>
              <w:rPr>
                <w:b/>
                <w:sz w:val="20"/>
                <w:szCs w:val="20"/>
              </w:rPr>
              <w:fldChar w:fldCharType="begin"/>
            </w:r>
            <w:r w:rsidR="00815F91">
              <w:rPr>
                <w:b/>
                <w:sz w:val="20"/>
                <w:szCs w:val="20"/>
              </w:rPr>
              <w:instrText xml:space="preserve"> =SUM(ABOVE) </w:instrText>
            </w:r>
            <w:r>
              <w:rPr>
                <w:b/>
                <w:sz w:val="20"/>
                <w:szCs w:val="20"/>
              </w:rPr>
              <w:fldChar w:fldCharType="separate"/>
            </w:r>
            <w:r w:rsidR="00815F91">
              <w:rPr>
                <w:b/>
                <w:noProof/>
                <w:sz w:val="20"/>
                <w:szCs w:val="20"/>
              </w:rPr>
              <w:t>38,850</w:t>
            </w:r>
            <w:r>
              <w:rPr>
                <w:b/>
                <w:sz w:val="20"/>
                <w:szCs w:val="20"/>
              </w:rPr>
              <w:fldChar w:fldCharType="end"/>
            </w:r>
          </w:p>
        </w:tc>
        <w:tc>
          <w:tcPr>
            <w:tcW w:w="3585" w:type="dxa"/>
          </w:tcPr>
          <w:p w:rsidR="00307E42" w:rsidRPr="00E1056D" w:rsidRDefault="00EA5238" w:rsidP="00B10E0D">
            <w:pPr>
              <w:rPr>
                <w:b/>
                <w:sz w:val="20"/>
                <w:szCs w:val="20"/>
              </w:rPr>
            </w:pPr>
            <w:r>
              <w:rPr>
                <w:b/>
                <w:sz w:val="20"/>
                <w:szCs w:val="20"/>
              </w:rPr>
              <w:t>$</w:t>
            </w:r>
            <w:r w:rsidR="0063648B">
              <w:rPr>
                <w:b/>
                <w:sz w:val="20"/>
                <w:szCs w:val="20"/>
              </w:rPr>
              <w:t>2,529,136</w:t>
            </w:r>
          </w:p>
        </w:tc>
      </w:tr>
    </w:tbl>
    <w:p w:rsidR="00CB3528" w:rsidRPr="00E1056D" w:rsidRDefault="00CB3528" w:rsidP="00E1056D">
      <w:pPr>
        <w:rPr>
          <w:b/>
          <w:sz w:val="16"/>
          <w:szCs w:val="16"/>
        </w:rPr>
      </w:pPr>
    </w:p>
    <w:p w:rsidR="00CB3528" w:rsidRPr="00E1056D" w:rsidRDefault="00870218" w:rsidP="00EA5238">
      <w:pPr>
        <w:rPr>
          <w:sz w:val="20"/>
          <w:szCs w:val="20"/>
        </w:rPr>
      </w:pPr>
      <w:r w:rsidRPr="00E1056D">
        <w:rPr>
          <w:sz w:val="20"/>
          <w:szCs w:val="20"/>
        </w:rPr>
        <w:t>*</w:t>
      </w:r>
      <w:r w:rsidR="00CB3528" w:rsidRPr="00E1056D">
        <w:rPr>
          <w:sz w:val="20"/>
          <w:szCs w:val="20"/>
        </w:rPr>
        <w:t>The estimates are in current year (20</w:t>
      </w:r>
      <w:r w:rsidR="00125A9D">
        <w:rPr>
          <w:sz w:val="20"/>
          <w:szCs w:val="20"/>
        </w:rPr>
        <w:t>12</w:t>
      </w:r>
      <w:r w:rsidR="00CB3528" w:rsidRPr="00E1056D">
        <w:rPr>
          <w:sz w:val="20"/>
          <w:szCs w:val="20"/>
        </w:rPr>
        <w:t>) dollars.</w:t>
      </w:r>
      <w:r w:rsidR="00FA5F1B">
        <w:rPr>
          <w:sz w:val="20"/>
          <w:szCs w:val="20"/>
        </w:rPr>
        <w:t xml:space="preserve"> </w:t>
      </w:r>
      <w:r w:rsidR="00CB3528" w:rsidRPr="00E1056D">
        <w:rPr>
          <w:sz w:val="20"/>
          <w:szCs w:val="20"/>
        </w:rPr>
        <w:t>Costs for years 2 and 3 are calculated using the equation Present Value = Future Value/ (1 + interest rate</w:t>
      </w:r>
      <w:proofErr w:type="gramStart"/>
      <w:r w:rsidR="00CB3528" w:rsidRPr="00E1056D">
        <w:rPr>
          <w:sz w:val="20"/>
          <w:szCs w:val="20"/>
        </w:rPr>
        <w:t>)</w:t>
      </w:r>
      <w:r w:rsidR="00CB3528" w:rsidRPr="00E1056D">
        <w:rPr>
          <w:sz w:val="20"/>
          <w:szCs w:val="20"/>
          <w:vertAlign w:val="superscript"/>
        </w:rPr>
        <w:t>t</w:t>
      </w:r>
      <w:proofErr w:type="gramEnd"/>
      <w:r w:rsidR="00CB3528" w:rsidRPr="00E1056D">
        <w:rPr>
          <w:sz w:val="20"/>
          <w:szCs w:val="20"/>
          <w:vertAlign w:val="superscript"/>
        </w:rPr>
        <w:t xml:space="preserve"> </w:t>
      </w:r>
      <w:r w:rsidR="00CB3528" w:rsidRPr="00E1056D">
        <w:rPr>
          <w:sz w:val="20"/>
          <w:szCs w:val="20"/>
        </w:rPr>
        <w:t>,where “t” is the number of years hence (i.e., 0 for year 1, 1 for year 2, 2 for year 3).</w:t>
      </w:r>
      <w:r w:rsidR="00FA5F1B">
        <w:rPr>
          <w:sz w:val="20"/>
          <w:szCs w:val="20"/>
        </w:rPr>
        <w:t xml:space="preserve"> </w:t>
      </w:r>
      <w:r w:rsidR="00CB3528" w:rsidRPr="00E1056D">
        <w:rPr>
          <w:sz w:val="20"/>
          <w:szCs w:val="20"/>
        </w:rPr>
        <w:t>The adjusted values for years 1, 2, and 3 are then summed.</w:t>
      </w:r>
    </w:p>
    <w:p w:rsidR="00382403" w:rsidRDefault="00382403" w:rsidP="00E1056D"/>
    <w:p w:rsidR="000D1AA0" w:rsidRDefault="000D1AA0" w:rsidP="000F6A4C">
      <w:pPr>
        <w:rPr>
          <w:b/>
        </w:rPr>
      </w:pPr>
      <w:r>
        <w:rPr>
          <w:b/>
        </w:rPr>
        <w:t>6(</w:t>
      </w:r>
      <w:r w:rsidR="0075023C">
        <w:rPr>
          <w:b/>
        </w:rPr>
        <w:t>e</w:t>
      </w:r>
      <w:r>
        <w:rPr>
          <w:b/>
        </w:rPr>
        <w:t>)</w:t>
      </w:r>
      <w:r>
        <w:rPr>
          <w:b/>
        </w:rPr>
        <w:tab/>
      </w:r>
      <w:r w:rsidR="009848FF">
        <w:rPr>
          <w:b/>
        </w:rPr>
        <w:t>Bottom Line Burden Hours and Cost Tables</w:t>
      </w:r>
    </w:p>
    <w:p w:rsidR="000D1AA0" w:rsidRDefault="000D1AA0" w:rsidP="000F6A4C">
      <w:pPr>
        <w:rPr>
          <w:b/>
        </w:rPr>
      </w:pPr>
    </w:p>
    <w:p w:rsidR="009848FF" w:rsidRDefault="009848FF" w:rsidP="009848FF">
      <w:pPr>
        <w:numPr>
          <w:ilvl w:val="0"/>
          <w:numId w:val="32"/>
        </w:numPr>
      </w:pPr>
      <w:r>
        <w:t>Respondent Tally</w:t>
      </w:r>
    </w:p>
    <w:p w:rsidR="009848FF" w:rsidRDefault="009848FF" w:rsidP="009848FF">
      <w:pPr>
        <w:ind w:left="1080"/>
      </w:pPr>
      <w:r>
        <w:t xml:space="preserve">As indicated in Table 7, the states average burden is </w:t>
      </w:r>
      <w:r w:rsidR="00203C0C">
        <w:t>1</w:t>
      </w:r>
      <w:r w:rsidR="00B10E0D">
        <w:t>1</w:t>
      </w:r>
      <w:r>
        <w:t xml:space="preserve">,667 hours annually with a 3-year burden of </w:t>
      </w:r>
      <w:r w:rsidR="00B10E0D">
        <w:t>3</w:t>
      </w:r>
      <w:r w:rsidR="00203C0C">
        <w:t>5</w:t>
      </w:r>
      <w:r>
        <w:t>,000 hours with costs of $</w:t>
      </w:r>
      <w:r w:rsidR="0063648B">
        <w:t>2,278,500</w:t>
      </w:r>
      <w:r>
        <w:t xml:space="preserve"> million for the 3-year burden.</w:t>
      </w:r>
    </w:p>
    <w:p w:rsidR="009848FF" w:rsidRDefault="009848FF" w:rsidP="009848FF">
      <w:pPr>
        <w:ind w:left="1080"/>
      </w:pPr>
    </w:p>
    <w:p w:rsidR="009848FF" w:rsidRDefault="009848FF" w:rsidP="009848FF">
      <w:pPr>
        <w:numPr>
          <w:ilvl w:val="0"/>
          <w:numId w:val="32"/>
        </w:numPr>
      </w:pPr>
      <w:r>
        <w:t>The Agency Tally</w:t>
      </w:r>
    </w:p>
    <w:p w:rsidR="009848FF" w:rsidRDefault="009848FF" w:rsidP="009848FF">
      <w:pPr>
        <w:ind w:left="1080"/>
      </w:pPr>
      <w:r>
        <w:t xml:space="preserve">As indicated in Table 7, the agency’s average burden is </w:t>
      </w:r>
      <w:r w:rsidR="00203C0C">
        <w:t>1,</w:t>
      </w:r>
      <w:r w:rsidR="00B10E0D">
        <w:t>2</w:t>
      </w:r>
      <w:r w:rsidR="00EA5238">
        <w:t>83</w:t>
      </w:r>
      <w:r>
        <w:t xml:space="preserve"> hours annually with a 3-year burden of </w:t>
      </w:r>
      <w:r w:rsidR="00B10E0D">
        <w:t>3,850</w:t>
      </w:r>
      <w:r>
        <w:t xml:space="preserve"> hours with costs of </w:t>
      </w:r>
      <w:r w:rsidR="00E9188A">
        <w:t>$</w:t>
      </w:r>
      <w:r w:rsidR="0063648B">
        <w:t>250,636</w:t>
      </w:r>
      <w:r>
        <w:t xml:space="preserve"> for the 3-year burden.</w:t>
      </w:r>
    </w:p>
    <w:p w:rsidR="009848FF" w:rsidRDefault="009848FF" w:rsidP="009848FF"/>
    <w:p w:rsidR="009848FF" w:rsidRDefault="009848FF" w:rsidP="009848FF">
      <w:pPr>
        <w:numPr>
          <w:ilvl w:val="0"/>
          <w:numId w:val="32"/>
        </w:numPr>
      </w:pPr>
      <w:r>
        <w:t>Variations in the Annual bottom Line</w:t>
      </w:r>
    </w:p>
    <w:p w:rsidR="009848FF" w:rsidRDefault="009848FF" w:rsidP="009848FF">
      <w:pPr>
        <w:ind w:left="1080"/>
      </w:pPr>
      <w:r>
        <w:t xml:space="preserve">There </w:t>
      </w:r>
      <w:proofErr w:type="gramStart"/>
      <w:r>
        <w:t>is no variations</w:t>
      </w:r>
      <w:proofErr w:type="gramEnd"/>
      <w:r>
        <w:t xml:space="preserve"> in the bottom line.</w:t>
      </w:r>
    </w:p>
    <w:p w:rsidR="009848FF" w:rsidRDefault="00DE3971" w:rsidP="009848FF">
      <w:r>
        <w:br w:type="page"/>
      </w:r>
    </w:p>
    <w:p w:rsidR="009848FF" w:rsidRDefault="009848FF" w:rsidP="009848FF">
      <w:r>
        <w:rPr>
          <w:b/>
        </w:rPr>
        <w:lastRenderedPageBreak/>
        <w:t>6(f)</w:t>
      </w:r>
      <w:r>
        <w:rPr>
          <w:b/>
        </w:rPr>
        <w:tab/>
        <w:t>Reasons for Change in Burden</w:t>
      </w:r>
    </w:p>
    <w:p w:rsidR="009848FF" w:rsidRDefault="009848FF" w:rsidP="009848FF"/>
    <w:p w:rsidR="000D1AA0" w:rsidRDefault="00D112AC" w:rsidP="000D1AA0">
      <w:pPr>
        <w:ind w:firstLine="360"/>
      </w:pPr>
      <w:r>
        <w:t xml:space="preserve">There is </w:t>
      </w:r>
      <w:r w:rsidR="00B719C9">
        <w:t>an</w:t>
      </w:r>
      <w:r>
        <w:t xml:space="preserve"> increase </w:t>
      </w:r>
      <w:r w:rsidR="00B719C9">
        <w:t xml:space="preserve">of </w:t>
      </w:r>
      <w:r w:rsidR="00D964E8">
        <w:t>5</w:t>
      </w:r>
      <w:r w:rsidR="00B719C9">
        <w:t xml:space="preserve">,000 hours </w:t>
      </w:r>
      <w:r>
        <w:t xml:space="preserve">in burden </w:t>
      </w:r>
      <w:r w:rsidR="004B630E" w:rsidRPr="005B0EAD">
        <w:t xml:space="preserve">compared with that identified in the </w:t>
      </w:r>
      <w:r w:rsidR="002A1757">
        <w:t xml:space="preserve">2010 </w:t>
      </w:r>
      <w:r w:rsidR="004B630E" w:rsidRPr="005B0EAD">
        <w:t xml:space="preserve">ICR </w:t>
      </w:r>
      <w:r w:rsidR="002A1757">
        <w:t xml:space="preserve">renewal </w:t>
      </w:r>
      <w:r w:rsidR="004B630E" w:rsidRPr="005B0EAD">
        <w:t>currently approved by OMB</w:t>
      </w:r>
      <w:r w:rsidR="00176322">
        <w:t xml:space="preserve"> (EPA ICR #2236.03)</w:t>
      </w:r>
      <w:r w:rsidR="000D1AA0">
        <w:t xml:space="preserve"> </w:t>
      </w:r>
      <w:r w:rsidR="004B630E">
        <w:t xml:space="preserve">due </w:t>
      </w:r>
      <w:r w:rsidR="000D1AA0">
        <w:t>to the following factors</w:t>
      </w:r>
      <w:r w:rsidR="000D1AA0" w:rsidRPr="00C60E84">
        <w:t>:</w:t>
      </w:r>
    </w:p>
    <w:p w:rsidR="000D1AA0" w:rsidRPr="00C60E84" w:rsidRDefault="000D1AA0" w:rsidP="000D1AA0">
      <w:pPr>
        <w:ind w:firstLine="360"/>
      </w:pPr>
    </w:p>
    <w:p w:rsidR="004924EA" w:rsidRPr="004924EA" w:rsidRDefault="004924EA" w:rsidP="004924EA">
      <w:pPr>
        <w:numPr>
          <w:ilvl w:val="0"/>
          <w:numId w:val="30"/>
        </w:numPr>
      </w:pPr>
      <w:r>
        <w:rPr>
          <w:color w:val="000000"/>
        </w:rPr>
        <w:t xml:space="preserve">The burden associated with </w:t>
      </w:r>
      <w:r w:rsidR="004A638B">
        <w:rPr>
          <w:color w:val="000000"/>
        </w:rPr>
        <w:t>one</w:t>
      </w:r>
      <w:r>
        <w:rPr>
          <w:color w:val="000000"/>
        </w:rPr>
        <w:t xml:space="preserve"> remaining non-attainment area that may receive a </w:t>
      </w:r>
      <w:r w:rsidR="004A638B">
        <w:rPr>
          <w:color w:val="000000"/>
        </w:rPr>
        <w:t xml:space="preserve">mandatory </w:t>
      </w:r>
      <w:r>
        <w:rPr>
          <w:color w:val="000000"/>
        </w:rPr>
        <w:t>reclassification is estimated to be the same as areas completing the initial SIP framework because of the work they must complete to reevaluate databases, emissions inventories, legal authorities, state rule development, publication and public hearing to comply with the standards.</w:t>
      </w:r>
    </w:p>
    <w:p w:rsidR="004924EA" w:rsidRPr="00B83AD6" w:rsidRDefault="004924EA" w:rsidP="004924EA">
      <w:pPr>
        <w:numPr>
          <w:ilvl w:val="0"/>
          <w:numId w:val="30"/>
        </w:numPr>
      </w:pPr>
      <w:r>
        <w:rPr>
          <w:color w:val="000000"/>
        </w:rPr>
        <w:t>The EPA’s final rule of May 14, 2012 (77 FR 28423) assigning former subpart 1 ozone non-attainment areas re-designations under subpart 2, resulted in non-attainment areas with additional burden for completing SIP revisions.</w:t>
      </w:r>
    </w:p>
    <w:p w:rsidR="000D1AA0" w:rsidRPr="004B630E" w:rsidRDefault="004924EA" w:rsidP="000D1AA0">
      <w:pPr>
        <w:numPr>
          <w:ilvl w:val="0"/>
          <w:numId w:val="30"/>
        </w:numPr>
      </w:pPr>
      <w:r>
        <w:rPr>
          <w:color w:val="000000"/>
        </w:rPr>
        <w:t>However, t</w:t>
      </w:r>
      <w:r w:rsidR="000D1AA0">
        <w:rPr>
          <w:color w:val="000000"/>
        </w:rPr>
        <w:t>he number of non-attainment areas has decreased as areas have come into compliance with the standards</w:t>
      </w:r>
      <w:r>
        <w:rPr>
          <w:color w:val="000000"/>
        </w:rPr>
        <w:t>.</w:t>
      </w:r>
    </w:p>
    <w:p w:rsidR="004B630E" w:rsidRDefault="004B630E" w:rsidP="000D1AA0">
      <w:pPr>
        <w:numPr>
          <w:ilvl w:val="0"/>
          <w:numId w:val="30"/>
        </w:numPr>
      </w:pPr>
      <w:r>
        <w:rPr>
          <w:color w:val="000000"/>
        </w:rPr>
        <w:t>The number of non-attainment areas with SIP revisions required has decreased as areas have either submitted the requirements or the planning requirements have been suspended with a Clean Data Determination.</w:t>
      </w:r>
    </w:p>
    <w:p w:rsidR="000D1AA0" w:rsidRDefault="000D1AA0" w:rsidP="000D1AA0">
      <w:pPr>
        <w:ind w:left="360"/>
      </w:pPr>
    </w:p>
    <w:p w:rsidR="000D1AA0" w:rsidRDefault="000D1AA0" w:rsidP="000D1AA0">
      <w:r>
        <w:tab/>
      </w:r>
      <w:r w:rsidRPr="00C60E84">
        <w:t xml:space="preserve">The estimates have been calculated using </w:t>
      </w:r>
      <w:r>
        <w:t>20</w:t>
      </w:r>
      <w:r w:rsidR="00125A9D">
        <w:t>12</w:t>
      </w:r>
      <w:r w:rsidRPr="00C60E84">
        <w:t xml:space="preserve"> dollars and </w:t>
      </w:r>
      <w:r>
        <w:t xml:space="preserve">some assumptions regarding overhead, O&amp;M costs, and capital costs have been adjusted to </w:t>
      </w:r>
      <w:r w:rsidRPr="00C60E84">
        <w:t xml:space="preserve">meet </w:t>
      </w:r>
      <w:r>
        <w:t xml:space="preserve">current </w:t>
      </w:r>
      <w:r w:rsidRPr="00C60E84">
        <w:t xml:space="preserve">guidelines </w:t>
      </w:r>
      <w:r>
        <w:t xml:space="preserve">and common procedures </w:t>
      </w:r>
      <w:r w:rsidRPr="00C60E84">
        <w:t>for preparing ICRs.</w:t>
      </w:r>
    </w:p>
    <w:p w:rsidR="000D1AA0" w:rsidRDefault="000D1AA0" w:rsidP="000F6A4C">
      <w:pPr>
        <w:rPr>
          <w:b/>
        </w:rPr>
      </w:pPr>
    </w:p>
    <w:p w:rsidR="009848FF" w:rsidRDefault="009848FF" w:rsidP="000F6A4C">
      <w:pPr>
        <w:rPr>
          <w:b/>
        </w:rPr>
      </w:pPr>
    </w:p>
    <w:p w:rsidR="006A1F40" w:rsidRDefault="006A1F40" w:rsidP="000F6A4C">
      <w:pPr>
        <w:rPr>
          <w:b/>
        </w:rPr>
      </w:pPr>
      <w:r>
        <w:rPr>
          <w:b/>
        </w:rPr>
        <w:t>6(</w:t>
      </w:r>
      <w:r w:rsidR="009848FF">
        <w:rPr>
          <w:b/>
        </w:rPr>
        <w:t>g</w:t>
      </w:r>
      <w:r>
        <w:rPr>
          <w:b/>
        </w:rPr>
        <w:t>)</w:t>
      </w:r>
      <w:r>
        <w:rPr>
          <w:b/>
        </w:rPr>
        <w:tab/>
        <w:t>Burden Statement</w:t>
      </w:r>
    </w:p>
    <w:p w:rsidR="006A1F40" w:rsidRDefault="006A1F40" w:rsidP="000F6A4C">
      <w:pPr>
        <w:rPr>
          <w:b/>
        </w:rPr>
      </w:pPr>
    </w:p>
    <w:p w:rsidR="006A1F40" w:rsidRDefault="006A1F40" w:rsidP="000F6A4C">
      <w:r>
        <w:rPr>
          <w:b/>
        </w:rPr>
        <w:tab/>
      </w:r>
      <w:r>
        <w:t xml:space="preserve">The annual public reporting and recordkeeping burden for this collection of information is estimated to average </w:t>
      </w:r>
      <w:r w:rsidR="00FA3EC7">
        <w:t>1,945</w:t>
      </w:r>
      <w:r>
        <w:t xml:space="preserve"> hours for this reporting period. </w:t>
      </w:r>
      <w:r w:rsidR="007E7DCE">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sidR="009A6AC7">
        <w:t>This estimate includes the time and burden needed to conduct the tasks associated with 3 milestones covered during this ICR reporting period. Those milestones are the RACT SIP submittal, RFP SIP submittal, and the attainment demonstration.</w:t>
      </w:r>
      <w:r w:rsidR="00FA5F1B">
        <w:t xml:space="preserve"> </w:t>
      </w:r>
      <w:r w:rsidR="009A6AC7">
        <w:t>In meeting these milestones</w:t>
      </w:r>
      <w:r w:rsidR="00D662CA">
        <w:t>,</w:t>
      </w:r>
      <w:r w:rsidR="009A6AC7">
        <w:t xml:space="preserve"> such incremental efforts may include reviewing instructions as well as verifying, processing, maintaining, and disclosing information. Such efforts may require incremental development, acquisition, installation, and/or utilization of technological systems</w:t>
      </w:r>
      <w:r>
        <w:t xml:space="preserve"> </w:t>
      </w:r>
      <w:r w:rsidR="009A6AC7">
        <w:t>for several purposes.</w:t>
      </w:r>
      <w:r w:rsidR="00FA5F1B">
        <w:t xml:space="preserve"> </w:t>
      </w:r>
      <w:r w:rsidR="009A6AC7">
        <w:t>These purposes include collecting, verifying, validating, processing, maintaining and disclosing information</w:t>
      </w:r>
      <w:r w:rsidR="001A7FE1">
        <w:t xml:space="preserve"> associated with the 3 milestones</w:t>
      </w:r>
      <w:r w:rsidR="009A6AC7">
        <w:t xml:space="preserve">. The incremental efforts may </w:t>
      </w:r>
      <w:r w:rsidR="001A7FE1">
        <w:t xml:space="preserve">result from adjusting the ways to comply with the previously applicable instructions associated with the 1-hour Ozone National Ambient Air Quality Standard. </w:t>
      </w:r>
      <w:r w:rsidR="001A7FE1">
        <w:lastRenderedPageBreak/>
        <w:t xml:space="preserve">Consequently, in meeting the 3 milestones, there could be some incremental </w:t>
      </w:r>
      <w:r w:rsidR="008054CA">
        <w:t xml:space="preserve">burden associated with </w:t>
      </w:r>
      <w:r w:rsidR="001A7FE1">
        <w:t>learning/training, searching data sources, and transmitting the deliverables.</w:t>
      </w:r>
    </w:p>
    <w:p w:rsidR="001A7FE1" w:rsidRDefault="001A7FE1" w:rsidP="000F6A4C"/>
    <w:p w:rsidR="00E369AB" w:rsidRDefault="001A7FE1" w:rsidP="000F6A4C">
      <w:r>
        <w:tab/>
        <w:t xml:space="preserve">An </w:t>
      </w:r>
      <w:r w:rsidR="008054CA">
        <w:t>A</w:t>
      </w:r>
      <w:r>
        <w:t xml:space="preserve">gency may not conduct or sponsor, and a person is not required to respond to a collection of information unless it displays a currently valid OMB control number. The OMB control numbers for </w:t>
      </w:r>
      <w:r w:rsidR="00242EAD">
        <w:t xml:space="preserve">the </w:t>
      </w:r>
      <w:r>
        <w:t xml:space="preserve">EPA’s regulations are listed in 40 CFR part 9 and 48 CFR chapter 15. </w:t>
      </w:r>
      <w:r w:rsidR="007E7DCE">
        <w:t xml:space="preserve"> A</w:t>
      </w:r>
      <w:r>
        <w:t xml:space="preserve">s stated in the </w:t>
      </w:r>
      <w:r w:rsidR="00E369AB">
        <w:t xml:space="preserve">November 29, 2005 </w:t>
      </w:r>
      <w:r>
        <w:t xml:space="preserve">Federal Register Notice for the </w:t>
      </w:r>
      <w:r w:rsidR="00E369AB">
        <w:t xml:space="preserve">8-hour Ozone </w:t>
      </w:r>
      <w:r>
        <w:t>Implementation Rule</w:t>
      </w:r>
      <w:r w:rsidR="00E369AB">
        <w:t xml:space="preserve"> on page 71,693, “.</w:t>
      </w:r>
      <w:r w:rsidR="004E2FF6">
        <w:t>.</w:t>
      </w:r>
      <w:r w:rsidR="00E369AB">
        <w:t>.</w:t>
      </w:r>
      <w:r w:rsidR="004E2FF6">
        <w:t xml:space="preserve"> </w:t>
      </w:r>
      <w:r w:rsidR="00E369AB">
        <w:t>the failure to have an approved ICR for this rule does not affect the statutory obligation for the States to submit SIPs as required under part D of the CAA.”</w:t>
      </w:r>
    </w:p>
    <w:p w:rsidR="00E369AB" w:rsidRDefault="00E369AB" w:rsidP="000F6A4C"/>
    <w:p w:rsidR="007E7DCE" w:rsidRDefault="007E7DCE" w:rsidP="007E7D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EPA-HQ-OAR-2003-0079, which is available for online viewing at </w:t>
      </w:r>
      <w:hyperlink r:id="rId14" w:history="1">
        <w:r w:rsidRPr="00C968CF">
          <w:rPr>
            <w:rStyle w:val="Hyperlink"/>
          </w:rPr>
          <w:t>www.regulations.gov</w:t>
        </w:r>
      </w:hyperlink>
      <w:r>
        <w:rPr>
          <w:color w:val="0F0F0F"/>
        </w:rPr>
        <w:t xml:space="preserve">, or in person viewing at the Air and Radiation Docket in the EPA Docket Center (EPA/DC), WCJ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Number EPA-HQ-OAR-2003-0079 and OMB Control Number 2060-0594 in any correspondence.</w:t>
      </w:r>
    </w:p>
    <w:p w:rsidR="007E7DCE" w:rsidRDefault="007E7DCE" w:rsidP="007E7D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 </w:t>
      </w:r>
    </w:p>
    <w:p w:rsidR="000D1AA0" w:rsidRDefault="000D1AA0" w:rsidP="000D1AA0">
      <w:pPr>
        <w:rPr>
          <w:b/>
        </w:rPr>
      </w:pPr>
      <w:r w:rsidRPr="00A83140">
        <w:rPr>
          <w:b/>
        </w:rPr>
        <w:t>PART B</w:t>
      </w:r>
    </w:p>
    <w:p w:rsidR="000D1AA0" w:rsidRPr="00A83140" w:rsidRDefault="000D1AA0" w:rsidP="000D1AA0">
      <w:pPr>
        <w:rPr>
          <w:b/>
        </w:rPr>
      </w:pPr>
    </w:p>
    <w:p w:rsidR="000D1AA0" w:rsidRDefault="000D1AA0" w:rsidP="000D1AA0">
      <w:r>
        <w:tab/>
        <w:t>This section is not applicable because statistical methods are not used in data collection associated with the proposed rule.</w:t>
      </w:r>
    </w:p>
    <w:p w:rsidR="000D1AA0" w:rsidRPr="002C22DF" w:rsidRDefault="000D1AA0" w:rsidP="000F6A4C">
      <w:pPr>
        <w:rPr>
          <w:b/>
        </w:rPr>
      </w:pPr>
    </w:p>
    <w:sectPr w:rsidR="000D1AA0" w:rsidRPr="002C22DF" w:rsidSect="009E2F0A">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0D" w:rsidRDefault="00E5210D">
      <w:r>
        <w:separator/>
      </w:r>
    </w:p>
  </w:endnote>
  <w:endnote w:type="continuationSeparator" w:id="0">
    <w:p w:rsidR="00E5210D" w:rsidRDefault="00E521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A6" w:rsidRDefault="0058538F">
    <w:pPr>
      <w:pStyle w:val="Footer"/>
      <w:framePr w:wrap="around" w:vAnchor="text" w:hAnchor="margin" w:xAlign="center" w:y="1"/>
      <w:rPr>
        <w:rStyle w:val="PageNumber"/>
      </w:rPr>
    </w:pPr>
    <w:r>
      <w:rPr>
        <w:rStyle w:val="PageNumber"/>
      </w:rPr>
      <w:fldChar w:fldCharType="begin"/>
    </w:r>
    <w:r w:rsidR="003C20A6">
      <w:rPr>
        <w:rStyle w:val="PageNumber"/>
      </w:rPr>
      <w:instrText xml:space="preserve">PAGE  </w:instrText>
    </w:r>
    <w:r>
      <w:rPr>
        <w:rStyle w:val="PageNumber"/>
      </w:rPr>
      <w:fldChar w:fldCharType="end"/>
    </w:r>
  </w:p>
  <w:p w:rsidR="003C20A6" w:rsidRDefault="003C20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A6" w:rsidRDefault="003C20A6">
    <w:pPr>
      <w:pStyle w:val="Footer"/>
      <w:jc w:val="center"/>
    </w:pPr>
  </w:p>
  <w:p w:rsidR="003C20A6" w:rsidRDefault="003C20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0A6" w:rsidRDefault="0058538F">
    <w:pPr>
      <w:pStyle w:val="Footer"/>
      <w:jc w:val="center"/>
    </w:pPr>
    <w:fldSimple w:instr=" PAGE   \* MERGEFORMAT ">
      <w:r w:rsidR="00976E1C">
        <w:rPr>
          <w:noProof/>
        </w:rPr>
        <w:t>6</w:t>
      </w:r>
    </w:fldSimple>
  </w:p>
  <w:p w:rsidR="003C20A6" w:rsidRDefault="003C2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0D" w:rsidRDefault="00E5210D">
      <w:r>
        <w:separator/>
      </w:r>
    </w:p>
  </w:footnote>
  <w:footnote w:type="continuationSeparator" w:id="0">
    <w:p w:rsidR="00E5210D" w:rsidRDefault="00E5210D">
      <w:r>
        <w:continuationSeparator/>
      </w:r>
    </w:p>
  </w:footnote>
  <w:footnote w:id="1">
    <w:p w:rsidR="003C20A6" w:rsidRDefault="003C20A6">
      <w:pPr>
        <w:pStyle w:val="FootnoteText"/>
      </w:pPr>
      <w:r>
        <w:rPr>
          <w:rStyle w:val="FootnoteReference"/>
        </w:rPr>
        <w:footnoteRef/>
      </w:r>
      <w:r>
        <w:t xml:space="preserve"> Correction notice published July 25, 2012 (77 FR 43521).</w:t>
      </w:r>
    </w:p>
  </w:footnote>
  <w:footnote w:id="2">
    <w:p w:rsidR="003C20A6" w:rsidRDefault="003C20A6">
      <w:pPr>
        <w:pStyle w:val="FootnoteText"/>
      </w:pPr>
      <w:r>
        <w:rPr>
          <w:rStyle w:val="FootnoteReference"/>
        </w:rPr>
        <w:footnoteRef/>
      </w:r>
      <w:r>
        <w:t xml:space="preserve"> Attainment demonstrations as well as RFP and RACT SIP submissions are viewed as analytical products to some; but are regulations to others.  In the context of the Paperwork Reduction Act, the attainment demonstration and RFP and RACT SIP submissions are considered data.</w:t>
      </w:r>
    </w:p>
  </w:footnote>
  <w:footnote w:id="3">
    <w:p w:rsidR="003C20A6" w:rsidRDefault="003C20A6">
      <w:pPr>
        <w:pStyle w:val="FootnoteText"/>
      </w:pPr>
      <w:r>
        <w:rPr>
          <w:rStyle w:val="FootnoteReference"/>
        </w:rPr>
        <w:footnoteRef/>
      </w:r>
      <w:r>
        <w:t xml:space="preserve"> However, the states may choose to retain the information for more than 3 years.</w:t>
      </w:r>
    </w:p>
  </w:footnote>
  <w:footnote w:id="4">
    <w:p w:rsidR="003C20A6" w:rsidRDefault="003C20A6">
      <w:pPr>
        <w:pStyle w:val="FootnoteText"/>
      </w:pPr>
      <w:r>
        <w:rPr>
          <w:rStyle w:val="FootnoteReference"/>
        </w:rPr>
        <w:footnoteRef/>
      </w:r>
      <w:r>
        <w:t xml:space="preserve"> However, the states must still submit their attainment demonstration, RFP SIP, and RACT SIP.</w:t>
      </w:r>
    </w:p>
  </w:footnote>
  <w:footnote w:id="5">
    <w:p w:rsidR="003C20A6" w:rsidRDefault="003C20A6">
      <w:pPr>
        <w:pStyle w:val="FootnoteText"/>
      </w:pPr>
      <w:r>
        <w:rPr>
          <w:rStyle w:val="FootnoteReference"/>
        </w:rPr>
        <w:footnoteRef/>
      </w:r>
      <w:r>
        <w:t xml:space="preserve"> </w:t>
      </w:r>
      <w:hyperlink r:id="rId1" w:history="1">
        <w:r w:rsidRPr="00B45BFB">
          <w:rPr>
            <w:rStyle w:val="Hyperlink"/>
          </w:rPr>
          <w:t>http://www.census.gov/naics</w:t>
        </w:r>
      </w:hyperlink>
      <w:r>
        <w:t xml:space="preserve">  Code number 924110 includes “administration of air &amp; water resources &amp; solid waste management programs</w:t>
      </w:r>
    </w:p>
  </w:footnote>
  <w:footnote w:id="6">
    <w:p w:rsidR="003C20A6" w:rsidRDefault="003C20A6">
      <w:pPr>
        <w:pStyle w:val="FootnoteText"/>
      </w:pPr>
      <w:r>
        <w:rPr>
          <w:rStyle w:val="FootnoteReference"/>
        </w:rPr>
        <w:footnoteRef/>
      </w:r>
      <w:r>
        <w:t xml:space="preserve">  In some instances, there are local air pollution control districts within the states. These local agencies work in partnership with the states to facilitate accomplishment of the activities noted below. </w:t>
      </w:r>
    </w:p>
  </w:footnote>
  <w:footnote w:id="7">
    <w:p w:rsidR="003C20A6" w:rsidRDefault="003C20A6">
      <w:pPr>
        <w:pStyle w:val="FootnoteText"/>
      </w:pPr>
      <w:r>
        <w:rPr>
          <w:rStyle w:val="FootnoteReference"/>
        </w:rPr>
        <w:footnoteRef/>
      </w:r>
      <w:r>
        <w:t xml:space="preserve"> </w:t>
      </w:r>
      <w:proofErr w:type="gramStart"/>
      <w:r>
        <w:t>EPA Contract No.</w:t>
      </w:r>
      <w:proofErr w:type="gramEnd"/>
      <w:r>
        <w:t xml:space="preserve">  68-D-00-283; Work Assignments 3-53 and 4-66.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51E"/>
    <w:multiLevelType w:val="hybridMultilevel"/>
    <w:tmpl w:val="0E1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33975"/>
    <w:multiLevelType w:val="hybridMultilevel"/>
    <w:tmpl w:val="3356B0E4"/>
    <w:lvl w:ilvl="0" w:tplc="2B70AB5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18424CF"/>
    <w:multiLevelType w:val="hybridMultilevel"/>
    <w:tmpl w:val="8ECE1C1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CA5175B"/>
    <w:multiLevelType w:val="hybridMultilevel"/>
    <w:tmpl w:val="784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50C25"/>
    <w:multiLevelType w:val="hybridMultilevel"/>
    <w:tmpl w:val="2698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0995379"/>
    <w:multiLevelType w:val="hybridMultilevel"/>
    <w:tmpl w:val="0D6C23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C676DE"/>
    <w:multiLevelType w:val="hybridMultilevel"/>
    <w:tmpl w:val="DEE808CE"/>
    <w:lvl w:ilvl="0" w:tplc="72DA90F4">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B07CA3"/>
    <w:multiLevelType w:val="hybridMultilevel"/>
    <w:tmpl w:val="635E77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41722D6"/>
    <w:multiLevelType w:val="hybridMultilevel"/>
    <w:tmpl w:val="50E8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36E0E"/>
    <w:multiLevelType w:val="hybridMultilevel"/>
    <w:tmpl w:val="D936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E74E7"/>
    <w:multiLevelType w:val="hybridMultilevel"/>
    <w:tmpl w:val="31528E62"/>
    <w:lvl w:ilvl="0" w:tplc="AB3A56D8">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3BE035CE"/>
    <w:multiLevelType w:val="multilevel"/>
    <w:tmpl w:val="BB02E780"/>
    <w:lvl w:ilvl="0">
      <w:start w:val="4"/>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8">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E21162D"/>
    <w:multiLevelType w:val="hybridMultilevel"/>
    <w:tmpl w:val="86586528"/>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nsid w:val="5CB73478"/>
    <w:multiLevelType w:val="hybridMultilevel"/>
    <w:tmpl w:val="6BA4D174"/>
    <w:lvl w:ilvl="0" w:tplc="DDC2DA6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0991CFD"/>
    <w:multiLevelType w:val="hybridMultilevel"/>
    <w:tmpl w:val="98269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95F28CD"/>
    <w:multiLevelType w:val="hybridMultilevel"/>
    <w:tmpl w:val="055E4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F09027E"/>
    <w:multiLevelType w:val="hybridMultilevel"/>
    <w:tmpl w:val="614CFDE4"/>
    <w:lvl w:ilvl="0" w:tplc="0B2ACD3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73D9137B"/>
    <w:multiLevelType w:val="hybridMultilevel"/>
    <w:tmpl w:val="070C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68B7798"/>
    <w:multiLevelType w:val="hybridMultilevel"/>
    <w:tmpl w:val="56CC6396"/>
    <w:lvl w:ilvl="0" w:tplc="E490E94C">
      <w:start w:val="1"/>
      <w:numFmt w:val="decimal"/>
      <w:lvlText w:val="%1."/>
      <w:lvlJc w:val="left"/>
      <w:pPr>
        <w:tabs>
          <w:tab w:val="num" w:pos="1440"/>
        </w:tabs>
        <w:ind w:left="1440" w:hanging="108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9"/>
  </w:num>
  <w:num w:numId="3">
    <w:abstractNumId w:val="12"/>
  </w:num>
  <w:num w:numId="4">
    <w:abstractNumId w:val="31"/>
  </w:num>
  <w:num w:numId="5">
    <w:abstractNumId w:val="20"/>
  </w:num>
  <w:num w:numId="6">
    <w:abstractNumId w:val="30"/>
  </w:num>
  <w:num w:numId="7">
    <w:abstractNumId w:val="17"/>
  </w:num>
  <w:num w:numId="8">
    <w:abstractNumId w:val="18"/>
  </w:num>
  <w:num w:numId="9">
    <w:abstractNumId w:val="19"/>
  </w:num>
  <w:num w:numId="10">
    <w:abstractNumId w:val="23"/>
  </w:num>
  <w:num w:numId="11">
    <w:abstractNumId w:val="22"/>
  </w:num>
  <w:num w:numId="12">
    <w:abstractNumId w:val="1"/>
  </w:num>
  <w:num w:numId="13">
    <w:abstractNumId w:val="24"/>
  </w:num>
  <w:num w:numId="14">
    <w:abstractNumId w:val="32"/>
  </w:num>
  <w:num w:numId="15">
    <w:abstractNumId w:val="21"/>
  </w:num>
  <w:num w:numId="16">
    <w:abstractNumId w:val="28"/>
  </w:num>
  <w:num w:numId="17">
    <w:abstractNumId w:val="4"/>
  </w:num>
  <w:num w:numId="18">
    <w:abstractNumId w:val="25"/>
  </w:num>
  <w:num w:numId="19">
    <w:abstractNumId w:val="3"/>
  </w:num>
  <w:num w:numId="20">
    <w:abstractNumId w:val="16"/>
  </w:num>
  <w:num w:numId="21">
    <w:abstractNumId w:val="2"/>
  </w:num>
  <w:num w:numId="22">
    <w:abstractNumId w:val="6"/>
  </w:num>
  <w:num w:numId="23">
    <w:abstractNumId w:val="5"/>
  </w:num>
  <w:num w:numId="2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8"/>
  </w:num>
  <w:num w:numId="27">
    <w:abstractNumId w:val="13"/>
  </w:num>
  <w:num w:numId="28">
    <w:abstractNumId w:val="7"/>
  </w:num>
  <w:num w:numId="29">
    <w:abstractNumId w:val="0"/>
  </w:num>
  <w:num w:numId="30">
    <w:abstractNumId w:val="9"/>
  </w:num>
  <w:num w:numId="31">
    <w:abstractNumId w:val="10"/>
  </w:num>
  <w:num w:numId="32">
    <w:abstractNumId w:val="2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70696"/>
    <w:rsid w:val="0000136B"/>
    <w:rsid w:val="00002E53"/>
    <w:rsid w:val="00003657"/>
    <w:rsid w:val="000150D3"/>
    <w:rsid w:val="00015B1E"/>
    <w:rsid w:val="00023013"/>
    <w:rsid w:val="000274A8"/>
    <w:rsid w:val="0003200D"/>
    <w:rsid w:val="000372BF"/>
    <w:rsid w:val="0004692C"/>
    <w:rsid w:val="00053B93"/>
    <w:rsid w:val="000565FF"/>
    <w:rsid w:val="00056632"/>
    <w:rsid w:val="00060DE2"/>
    <w:rsid w:val="0006111D"/>
    <w:rsid w:val="0007428E"/>
    <w:rsid w:val="00084D70"/>
    <w:rsid w:val="00092485"/>
    <w:rsid w:val="000A20EE"/>
    <w:rsid w:val="000A6240"/>
    <w:rsid w:val="000B4541"/>
    <w:rsid w:val="000B7681"/>
    <w:rsid w:val="000B7824"/>
    <w:rsid w:val="000D0356"/>
    <w:rsid w:val="000D1AA0"/>
    <w:rsid w:val="000D3B2F"/>
    <w:rsid w:val="000D4153"/>
    <w:rsid w:val="000E7FF7"/>
    <w:rsid w:val="000F3B6E"/>
    <w:rsid w:val="000F6A4C"/>
    <w:rsid w:val="00125A9D"/>
    <w:rsid w:val="00131F21"/>
    <w:rsid w:val="0013652E"/>
    <w:rsid w:val="00145E24"/>
    <w:rsid w:val="001607FC"/>
    <w:rsid w:val="001674F9"/>
    <w:rsid w:val="00170696"/>
    <w:rsid w:val="00171AC8"/>
    <w:rsid w:val="00176322"/>
    <w:rsid w:val="00183728"/>
    <w:rsid w:val="0018788B"/>
    <w:rsid w:val="00191AC6"/>
    <w:rsid w:val="00196271"/>
    <w:rsid w:val="001976E8"/>
    <w:rsid w:val="001A1FD9"/>
    <w:rsid w:val="001A3469"/>
    <w:rsid w:val="001A6079"/>
    <w:rsid w:val="001A7FE1"/>
    <w:rsid w:val="001C174C"/>
    <w:rsid w:val="001C36AA"/>
    <w:rsid w:val="001C3D3C"/>
    <w:rsid w:val="001D2416"/>
    <w:rsid w:val="001E0189"/>
    <w:rsid w:val="001E3008"/>
    <w:rsid w:val="001E31EA"/>
    <w:rsid w:val="001F6447"/>
    <w:rsid w:val="001F7DEE"/>
    <w:rsid w:val="00202007"/>
    <w:rsid w:val="00203C0C"/>
    <w:rsid w:val="00204BE1"/>
    <w:rsid w:val="002111A0"/>
    <w:rsid w:val="00212F76"/>
    <w:rsid w:val="00214928"/>
    <w:rsid w:val="0021779A"/>
    <w:rsid w:val="0023654B"/>
    <w:rsid w:val="00242EAD"/>
    <w:rsid w:val="00244943"/>
    <w:rsid w:val="002535E4"/>
    <w:rsid w:val="002567A7"/>
    <w:rsid w:val="002571B2"/>
    <w:rsid w:val="00262005"/>
    <w:rsid w:val="0027018F"/>
    <w:rsid w:val="00280475"/>
    <w:rsid w:val="00281B78"/>
    <w:rsid w:val="00285D92"/>
    <w:rsid w:val="00292CD5"/>
    <w:rsid w:val="002A011B"/>
    <w:rsid w:val="002A1757"/>
    <w:rsid w:val="002A32E6"/>
    <w:rsid w:val="002A5DB6"/>
    <w:rsid w:val="002A6179"/>
    <w:rsid w:val="002A7DB5"/>
    <w:rsid w:val="002B44AD"/>
    <w:rsid w:val="002C22DF"/>
    <w:rsid w:val="002C32CC"/>
    <w:rsid w:val="002C43A1"/>
    <w:rsid w:val="002C5AE7"/>
    <w:rsid w:val="002D141F"/>
    <w:rsid w:val="002D2071"/>
    <w:rsid w:val="002E6806"/>
    <w:rsid w:val="002E6BA6"/>
    <w:rsid w:val="002F3235"/>
    <w:rsid w:val="002F3E3E"/>
    <w:rsid w:val="00307E42"/>
    <w:rsid w:val="0031374A"/>
    <w:rsid w:val="00316311"/>
    <w:rsid w:val="0031717D"/>
    <w:rsid w:val="00325591"/>
    <w:rsid w:val="003448C5"/>
    <w:rsid w:val="00346567"/>
    <w:rsid w:val="0035220B"/>
    <w:rsid w:val="00360BDC"/>
    <w:rsid w:val="00380970"/>
    <w:rsid w:val="00382403"/>
    <w:rsid w:val="00395668"/>
    <w:rsid w:val="003A0740"/>
    <w:rsid w:val="003A31B7"/>
    <w:rsid w:val="003B5801"/>
    <w:rsid w:val="003C20A6"/>
    <w:rsid w:val="003C2E16"/>
    <w:rsid w:val="003C51BE"/>
    <w:rsid w:val="003D6BCB"/>
    <w:rsid w:val="003D7671"/>
    <w:rsid w:val="003E0FBF"/>
    <w:rsid w:val="003F1842"/>
    <w:rsid w:val="003F7D9F"/>
    <w:rsid w:val="0040169B"/>
    <w:rsid w:val="00402EA4"/>
    <w:rsid w:val="004155B1"/>
    <w:rsid w:val="00416AFF"/>
    <w:rsid w:val="00416F2D"/>
    <w:rsid w:val="00423C5A"/>
    <w:rsid w:val="00425578"/>
    <w:rsid w:val="00427D1C"/>
    <w:rsid w:val="004316CF"/>
    <w:rsid w:val="00432F8C"/>
    <w:rsid w:val="00437B6B"/>
    <w:rsid w:val="0044227C"/>
    <w:rsid w:val="00442CCD"/>
    <w:rsid w:val="004448B5"/>
    <w:rsid w:val="00447B99"/>
    <w:rsid w:val="00450813"/>
    <w:rsid w:val="0045558A"/>
    <w:rsid w:val="004633AB"/>
    <w:rsid w:val="004708A8"/>
    <w:rsid w:val="00473E4B"/>
    <w:rsid w:val="004762FA"/>
    <w:rsid w:val="00477D86"/>
    <w:rsid w:val="00484311"/>
    <w:rsid w:val="004864B0"/>
    <w:rsid w:val="004924EA"/>
    <w:rsid w:val="004975FF"/>
    <w:rsid w:val="004A40E5"/>
    <w:rsid w:val="004A45EA"/>
    <w:rsid w:val="004A638B"/>
    <w:rsid w:val="004B0C6D"/>
    <w:rsid w:val="004B20AA"/>
    <w:rsid w:val="004B630E"/>
    <w:rsid w:val="004D5995"/>
    <w:rsid w:val="004E2D5E"/>
    <w:rsid w:val="004E2FF6"/>
    <w:rsid w:val="004E3DE7"/>
    <w:rsid w:val="004E6BAC"/>
    <w:rsid w:val="004F3BF0"/>
    <w:rsid w:val="004F7A1C"/>
    <w:rsid w:val="00501D79"/>
    <w:rsid w:val="005040F6"/>
    <w:rsid w:val="00504831"/>
    <w:rsid w:val="00505278"/>
    <w:rsid w:val="0051032A"/>
    <w:rsid w:val="00513F99"/>
    <w:rsid w:val="00514D03"/>
    <w:rsid w:val="00534ADE"/>
    <w:rsid w:val="00535211"/>
    <w:rsid w:val="005374BA"/>
    <w:rsid w:val="00542C34"/>
    <w:rsid w:val="005670A1"/>
    <w:rsid w:val="00572E75"/>
    <w:rsid w:val="005808D7"/>
    <w:rsid w:val="00583E5E"/>
    <w:rsid w:val="0058538F"/>
    <w:rsid w:val="00585A42"/>
    <w:rsid w:val="005912BB"/>
    <w:rsid w:val="00592D8F"/>
    <w:rsid w:val="00597B08"/>
    <w:rsid w:val="005A007C"/>
    <w:rsid w:val="005B411E"/>
    <w:rsid w:val="005B5A5B"/>
    <w:rsid w:val="005C0110"/>
    <w:rsid w:val="005C15A8"/>
    <w:rsid w:val="005C2A5E"/>
    <w:rsid w:val="005D1FE4"/>
    <w:rsid w:val="005D6A5F"/>
    <w:rsid w:val="005E0CED"/>
    <w:rsid w:val="005E2192"/>
    <w:rsid w:val="005E4C7F"/>
    <w:rsid w:val="005E79A4"/>
    <w:rsid w:val="005F0C46"/>
    <w:rsid w:val="005F505E"/>
    <w:rsid w:val="006041B1"/>
    <w:rsid w:val="00620CDC"/>
    <w:rsid w:val="006258E2"/>
    <w:rsid w:val="0063648B"/>
    <w:rsid w:val="00640107"/>
    <w:rsid w:val="006429BA"/>
    <w:rsid w:val="0064637A"/>
    <w:rsid w:val="00650854"/>
    <w:rsid w:val="00651B5E"/>
    <w:rsid w:val="00652617"/>
    <w:rsid w:val="00655332"/>
    <w:rsid w:val="00657EF2"/>
    <w:rsid w:val="006603F1"/>
    <w:rsid w:val="0067123D"/>
    <w:rsid w:val="0068556D"/>
    <w:rsid w:val="00687C6F"/>
    <w:rsid w:val="0069077F"/>
    <w:rsid w:val="00694352"/>
    <w:rsid w:val="006A1F40"/>
    <w:rsid w:val="006A3291"/>
    <w:rsid w:val="006A4C67"/>
    <w:rsid w:val="006B1192"/>
    <w:rsid w:val="006B2029"/>
    <w:rsid w:val="006B3421"/>
    <w:rsid w:val="006B6696"/>
    <w:rsid w:val="006C4DE8"/>
    <w:rsid w:val="006C6906"/>
    <w:rsid w:val="006C7D8C"/>
    <w:rsid w:val="006D0802"/>
    <w:rsid w:val="006D2057"/>
    <w:rsid w:val="006E22A1"/>
    <w:rsid w:val="006E7C7D"/>
    <w:rsid w:val="006F478B"/>
    <w:rsid w:val="00705C2B"/>
    <w:rsid w:val="0071400D"/>
    <w:rsid w:val="00725248"/>
    <w:rsid w:val="007312F2"/>
    <w:rsid w:val="00733DF4"/>
    <w:rsid w:val="00736B9A"/>
    <w:rsid w:val="00741AEF"/>
    <w:rsid w:val="0075023C"/>
    <w:rsid w:val="00750286"/>
    <w:rsid w:val="00752E1F"/>
    <w:rsid w:val="0075369D"/>
    <w:rsid w:val="00756E81"/>
    <w:rsid w:val="00760D9C"/>
    <w:rsid w:val="00772263"/>
    <w:rsid w:val="00777073"/>
    <w:rsid w:val="00781C1D"/>
    <w:rsid w:val="007840DE"/>
    <w:rsid w:val="007A6914"/>
    <w:rsid w:val="007B5782"/>
    <w:rsid w:val="007C1B5A"/>
    <w:rsid w:val="007C2CA9"/>
    <w:rsid w:val="007C4EC3"/>
    <w:rsid w:val="007C7639"/>
    <w:rsid w:val="007D2EA6"/>
    <w:rsid w:val="007E681E"/>
    <w:rsid w:val="007E7DCE"/>
    <w:rsid w:val="007F2B99"/>
    <w:rsid w:val="007F4723"/>
    <w:rsid w:val="007F511B"/>
    <w:rsid w:val="007F7F11"/>
    <w:rsid w:val="00800C90"/>
    <w:rsid w:val="0080440C"/>
    <w:rsid w:val="008054CA"/>
    <w:rsid w:val="008060BB"/>
    <w:rsid w:val="008064E7"/>
    <w:rsid w:val="00807AC0"/>
    <w:rsid w:val="00814C1B"/>
    <w:rsid w:val="00815F91"/>
    <w:rsid w:val="00817608"/>
    <w:rsid w:val="00821502"/>
    <w:rsid w:val="0082535C"/>
    <w:rsid w:val="0082571F"/>
    <w:rsid w:val="00826217"/>
    <w:rsid w:val="00826980"/>
    <w:rsid w:val="008356E0"/>
    <w:rsid w:val="00842E43"/>
    <w:rsid w:val="00852B6A"/>
    <w:rsid w:val="00852CB8"/>
    <w:rsid w:val="008553D2"/>
    <w:rsid w:val="00860B97"/>
    <w:rsid w:val="008618A8"/>
    <w:rsid w:val="00870218"/>
    <w:rsid w:val="00874354"/>
    <w:rsid w:val="00874BCA"/>
    <w:rsid w:val="00875E46"/>
    <w:rsid w:val="00885B9F"/>
    <w:rsid w:val="008875A2"/>
    <w:rsid w:val="008938CA"/>
    <w:rsid w:val="008948E0"/>
    <w:rsid w:val="008A0FA4"/>
    <w:rsid w:val="008A22BE"/>
    <w:rsid w:val="008A35B7"/>
    <w:rsid w:val="008A5BD7"/>
    <w:rsid w:val="008B5439"/>
    <w:rsid w:val="008C0191"/>
    <w:rsid w:val="008C5E56"/>
    <w:rsid w:val="008C7B81"/>
    <w:rsid w:val="008D7790"/>
    <w:rsid w:val="008E0ACE"/>
    <w:rsid w:val="008F49F1"/>
    <w:rsid w:val="008F522B"/>
    <w:rsid w:val="009009C7"/>
    <w:rsid w:val="00911BF1"/>
    <w:rsid w:val="00915837"/>
    <w:rsid w:val="0093748C"/>
    <w:rsid w:val="009405A8"/>
    <w:rsid w:val="00940BCE"/>
    <w:rsid w:val="00940CE0"/>
    <w:rsid w:val="00940FEA"/>
    <w:rsid w:val="009533AD"/>
    <w:rsid w:val="00957036"/>
    <w:rsid w:val="00960771"/>
    <w:rsid w:val="00967092"/>
    <w:rsid w:val="009679E2"/>
    <w:rsid w:val="00970C2D"/>
    <w:rsid w:val="00971634"/>
    <w:rsid w:val="00976E1C"/>
    <w:rsid w:val="009777F2"/>
    <w:rsid w:val="00980888"/>
    <w:rsid w:val="00982D20"/>
    <w:rsid w:val="009842B8"/>
    <w:rsid w:val="009848FF"/>
    <w:rsid w:val="009959B0"/>
    <w:rsid w:val="009A2291"/>
    <w:rsid w:val="009A242F"/>
    <w:rsid w:val="009A5FCB"/>
    <w:rsid w:val="009A6AC7"/>
    <w:rsid w:val="009C0109"/>
    <w:rsid w:val="009D5B72"/>
    <w:rsid w:val="009E2F0A"/>
    <w:rsid w:val="009E7853"/>
    <w:rsid w:val="009F3B44"/>
    <w:rsid w:val="009F3D28"/>
    <w:rsid w:val="009F652A"/>
    <w:rsid w:val="009F751D"/>
    <w:rsid w:val="00A03603"/>
    <w:rsid w:val="00A0445E"/>
    <w:rsid w:val="00A05423"/>
    <w:rsid w:val="00A05C06"/>
    <w:rsid w:val="00A05C57"/>
    <w:rsid w:val="00A079DD"/>
    <w:rsid w:val="00A26988"/>
    <w:rsid w:val="00A34C3E"/>
    <w:rsid w:val="00A35EC9"/>
    <w:rsid w:val="00A41FB0"/>
    <w:rsid w:val="00A44B4C"/>
    <w:rsid w:val="00A50EB6"/>
    <w:rsid w:val="00A530BD"/>
    <w:rsid w:val="00A55A53"/>
    <w:rsid w:val="00A6413A"/>
    <w:rsid w:val="00A64258"/>
    <w:rsid w:val="00A76706"/>
    <w:rsid w:val="00A80A5F"/>
    <w:rsid w:val="00A84027"/>
    <w:rsid w:val="00A84A91"/>
    <w:rsid w:val="00AA54BF"/>
    <w:rsid w:val="00AC1243"/>
    <w:rsid w:val="00AC71E6"/>
    <w:rsid w:val="00AE552B"/>
    <w:rsid w:val="00AF1B00"/>
    <w:rsid w:val="00AF3B4B"/>
    <w:rsid w:val="00AF3DDD"/>
    <w:rsid w:val="00B025BE"/>
    <w:rsid w:val="00B05720"/>
    <w:rsid w:val="00B0645D"/>
    <w:rsid w:val="00B10E0D"/>
    <w:rsid w:val="00B15E2C"/>
    <w:rsid w:val="00B1772D"/>
    <w:rsid w:val="00B23CFA"/>
    <w:rsid w:val="00B24A9D"/>
    <w:rsid w:val="00B2591C"/>
    <w:rsid w:val="00B35E91"/>
    <w:rsid w:val="00B362B6"/>
    <w:rsid w:val="00B36F6A"/>
    <w:rsid w:val="00B4487A"/>
    <w:rsid w:val="00B45DF2"/>
    <w:rsid w:val="00B46D71"/>
    <w:rsid w:val="00B57E24"/>
    <w:rsid w:val="00B623B6"/>
    <w:rsid w:val="00B648E7"/>
    <w:rsid w:val="00B70F25"/>
    <w:rsid w:val="00B719C9"/>
    <w:rsid w:val="00B83AD6"/>
    <w:rsid w:val="00BA3462"/>
    <w:rsid w:val="00BA5CAE"/>
    <w:rsid w:val="00BA705E"/>
    <w:rsid w:val="00BB43C5"/>
    <w:rsid w:val="00BC349A"/>
    <w:rsid w:val="00BC7906"/>
    <w:rsid w:val="00BD0342"/>
    <w:rsid w:val="00BD0827"/>
    <w:rsid w:val="00BD10CD"/>
    <w:rsid w:val="00BF24F0"/>
    <w:rsid w:val="00BF2AA2"/>
    <w:rsid w:val="00C004C2"/>
    <w:rsid w:val="00C0189F"/>
    <w:rsid w:val="00C07001"/>
    <w:rsid w:val="00C07AC1"/>
    <w:rsid w:val="00C07D23"/>
    <w:rsid w:val="00C109F3"/>
    <w:rsid w:val="00C122E7"/>
    <w:rsid w:val="00C1343E"/>
    <w:rsid w:val="00C20EA2"/>
    <w:rsid w:val="00C3051B"/>
    <w:rsid w:val="00C3197D"/>
    <w:rsid w:val="00C41156"/>
    <w:rsid w:val="00C56687"/>
    <w:rsid w:val="00C60597"/>
    <w:rsid w:val="00C629BF"/>
    <w:rsid w:val="00C650F5"/>
    <w:rsid w:val="00C72CB0"/>
    <w:rsid w:val="00C76307"/>
    <w:rsid w:val="00C7725A"/>
    <w:rsid w:val="00C77A37"/>
    <w:rsid w:val="00CA6A5F"/>
    <w:rsid w:val="00CB23BC"/>
    <w:rsid w:val="00CB3528"/>
    <w:rsid w:val="00CB74A5"/>
    <w:rsid w:val="00CC0DAE"/>
    <w:rsid w:val="00CC2737"/>
    <w:rsid w:val="00CD252A"/>
    <w:rsid w:val="00CD6EC8"/>
    <w:rsid w:val="00CD76FA"/>
    <w:rsid w:val="00CE355D"/>
    <w:rsid w:val="00CE3C04"/>
    <w:rsid w:val="00CE53CA"/>
    <w:rsid w:val="00CF19BF"/>
    <w:rsid w:val="00CF3E40"/>
    <w:rsid w:val="00CF49FA"/>
    <w:rsid w:val="00D04F44"/>
    <w:rsid w:val="00D07D40"/>
    <w:rsid w:val="00D112AC"/>
    <w:rsid w:val="00D12DE0"/>
    <w:rsid w:val="00D1320F"/>
    <w:rsid w:val="00D52996"/>
    <w:rsid w:val="00D55C77"/>
    <w:rsid w:val="00D61E08"/>
    <w:rsid w:val="00D64375"/>
    <w:rsid w:val="00D662CA"/>
    <w:rsid w:val="00D71A1D"/>
    <w:rsid w:val="00D7356D"/>
    <w:rsid w:val="00D80073"/>
    <w:rsid w:val="00D84A73"/>
    <w:rsid w:val="00D94D45"/>
    <w:rsid w:val="00D95019"/>
    <w:rsid w:val="00D964E8"/>
    <w:rsid w:val="00DA0B15"/>
    <w:rsid w:val="00DA35E4"/>
    <w:rsid w:val="00DB2ED5"/>
    <w:rsid w:val="00DB74EC"/>
    <w:rsid w:val="00DB7D29"/>
    <w:rsid w:val="00DC1814"/>
    <w:rsid w:val="00DC47E0"/>
    <w:rsid w:val="00DC6370"/>
    <w:rsid w:val="00DE2801"/>
    <w:rsid w:val="00DE3971"/>
    <w:rsid w:val="00DE5C79"/>
    <w:rsid w:val="00DE7BF1"/>
    <w:rsid w:val="00DF41C2"/>
    <w:rsid w:val="00DF5102"/>
    <w:rsid w:val="00E1056D"/>
    <w:rsid w:val="00E20A6F"/>
    <w:rsid w:val="00E22108"/>
    <w:rsid w:val="00E3295D"/>
    <w:rsid w:val="00E36237"/>
    <w:rsid w:val="00E369AB"/>
    <w:rsid w:val="00E37D68"/>
    <w:rsid w:val="00E50990"/>
    <w:rsid w:val="00E5210D"/>
    <w:rsid w:val="00E53696"/>
    <w:rsid w:val="00E54CD8"/>
    <w:rsid w:val="00E67F4E"/>
    <w:rsid w:val="00E71B66"/>
    <w:rsid w:val="00E73491"/>
    <w:rsid w:val="00E76FC1"/>
    <w:rsid w:val="00E77452"/>
    <w:rsid w:val="00E81928"/>
    <w:rsid w:val="00E81955"/>
    <w:rsid w:val="00E831A1"/>
    <w:rsid w:val="00E83DD6"/>
    <w:rsid w:val="00E841AF"/>
    <w:rsid w:val="00E9188A"/>
    <w:rsid w:val="00E91B26"/>
    <w:rsid w:val="00E9510A"/>
    <w:rsid w:val="00EA41D4"/>
    <w:rsid w:val="00EA5238"/>
    <w:rsid w:val="00EA5A10"/>
    <w:rsid w:val="00EA7534"/>
    <w:rsid w:val="00EA7E25"/>
    <w:rsid w:val="00EB0EA7"/>
    <w:rsid w:val="00EB459A"/>
    <w:rsid w:val="00EC0397"/>
    <w:rsid w:val="00EC0B27"/>
    <w:rsid w:val="00ED0B29"/>
    <w:rsid w:val="00ED7E06"/>
    <w:rsid w:val="00EE3452"/>
    <w:rsid w:val="00EE51B7"/>
    <w:rsid w:val="00F01EB8"/>
    <w:rsid w:val="00F022DC"/>
    <w:rsid w:val="00F066A3"/>
    <w:rsid w:val="00F13A11"/>
    <w:rsid w:val="00F20646"/>
    <w:rsid w:val="00F23E6D"/>
    <w:rsid w:val="00F30A56"/>
    <w:rsid w:val="00F3252C"/>
    <w:rsid w:val="00F3556A"/>
    <w:rsid w:val="00F51102"/>
    <w:rsid w:val="00F52EC2"/>
    <w:rsid w:val="00F531CB"/>
    <w:rsid w:val="00F5441B"/>
    <w:rsid w:val="00F56311"/>
    <w:rsid w:val="00F56D2B"/>
    <w:rsid w:val="00F623A6"/>
    <w:rsid w:val="00F64829"/>
    <w:rsid w:val="00F75D75"/>
    <w:rsid w:val="00F80947"/>
    <w:rsid w:val="00F80C8C"/>
    <w:rsid w:val="00F87DBB"/>
    <w:rsid w:val="00F95BB8"/>
    <w:rsid w:val="00FA352F"/>
    <w:rsid w:val="00FA356D"/>
    <w:rsid w:val="00FA3EC7"/>
    <w:rsid w:val="00FA5F1B"/>
    <w:rsid w:val="00FA6C88"/>
    <w:rsid w:val="00FB7509"/>
    <w:rsid w:val="00FC05C1"/>
    <w:rsid w:val="00FD3EF7"/>
    <w:rsid w:val="00FD54A6"/>
    <w:rsid w:val="00FD6E70"/>
    <w:rsid w:val="00FD744A"/>
    <w:rsid w:val="00FE1E69"/>
    <w:rsid w:val="00FE2365"/>
    <w:rsid w:val="00FE5D4C"/>
    <w:rsid w:val="00FE6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43E"/>
    <w:rPr>
      <w:sz w:val="24"/>
      <w:szCs w:val="24"/>
    </w:rPr>
  </w:style>
  <w:style w:type="paragraph" w:styleId="Heading1">
    <w:name w:val="heading 1"/>
    <w:basedOn w:val="Normal"/>
    <w:qFormat/>
    <w:rsid w:val="00C1343E"/>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1343E"/>
    <w:rPr>
      <w:sz w:val="20"/>
      <w:szCs w:val="20"/>
    </w:rPr>
  </w:style>
  <w:style w:type="character" w:styleId="FootnoteReference">
    <w:name w:val="footnote reference"/>
    <w:basedOn w:val="DefaultParagraphFont"/>
    <w:semiHidden/>
    <w:rsid w:val="00C1343E"/>
    <w:rPr>
      <w:vertAlign w:val="superscript"/>
    </w:rPr>
  </w:style>
  <w:style w:type="character" w:styleId="Hyperlink">
    <w:name w:val="Hyperlink"/>
    <w:basedOn w:val="DefaultParagraphFont"/>
    <w:rsid w:val="00C1343E"/>
    <w:rPr>
      <w:color w:val="0000FF"/>
      <w:u w:val="single"/>
    </w:rPr>
  </w:style>
  <w:style w:type="paragraph" w:styleId="Footer">
    <w:name w:val="footer"/>
    <w:basedOn w:val="Normal"/>
    <w:link w:val="FooterChar"/>
    <w:uiPriority w:val="99"/>
    <w:rsid w:val="00C1343E"/>
    <w:pPr>
      <w:tabs>
        <w:tab w:val="center" w:pos="4320"/>
        <w:tab w:val="right" w:pos="8640"/>
      </w:tabs>
    </w:pPr>
  </w:style>
  <w:style w:type="character" w:styleId="PageNumber">
    <w:name w:val="page number"/>
    <w:basedOn w:val="DefaultParagraphFont"/>
    <w:rsid w:val="00C1343E"/>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link w:val="HeaderChar"/>
    <w:uiPriority w:val="99"/>
    <w:rsid w:val="00C1343E"/>
    <w:pPr>
      <w:tabs>
        <w:tab w:val="center" w:pos="4320"/>
        <w:tab w:val="right" w:pos="8640"/>
      </w:tabs>
    </w:pPr>
  </w:style>
  <w:style w:type="paragraph" w:styleId="HTMLPreformatted">
    <w:name w:val="HTML Preformatted"/>
    <w:basedOn w:val="Normal"/>
    <w:rsid w:val="00C13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FollowedHyperlink">
    <w:name w:val="FollowedHyperlink"/>
    <w:basedOn w:val="DefaultParagraphFont"/>
    <w:rsid w:val="0006111D"/>
    <w:rPr>
      <w:color w:val="800080"/>
      <w:u w:val="single"/>
    </w:rPr>
  </w:style>
  <w:style w:type="character" w:styleId="CommentReference">
    <w:name w:val="annotation reference"/>
    <w:basedOn w:val="DefaultParagraphFont"/>
    <w:rsid w:val="003D6BCB"/>
    <w:rPr>
      <w:sz w:val="16"/>
      <w:szCs w:val="16"/>
    </w:rPr>
  </w:style>
  <w:style w:type="paragraph" w:styleId="CommentText">
    <w:name w:val="annotation text"/>
    <w:basedOn w:val="Normal"/>
    <w:link w:val="CommentTextChar"/>
    <w:rsid w:val="003D6BCB"/>
    <w:rPr>
      <w:sz w:val="20"/>
      <w:szCs w:val="20"/>
    </w:rPr>
  </w:style>
  <w:style w:type="character" w:customStyle="1" w:styleId="CommentTextChar">
    <w:name w:val="Comment Text Char"/>
    <w:basedOn w:val="DefaultParagraphFont"/>
    <w:link w:val="CommentText"/>
    <w:rsid w:val="003D6BCB"/>
  </w:style>
  <w:style w:type="paragraph" w:styleId="CommentSubject">
    <w:name w:val="annotation subject"/>
    <w:basedOn w:val="CommentText"/>
    <w:next w:val="CommentText"/>
    <w:link w:val="CommentSubjectChar"/>
    <w:rsid w:val="003D6BCB"/>
    <w:rPr>
      <w:b/>
      <w:bCs/>
    </w:rPr>
  </w:style>
  <w:style w:type="character" w:customStyle="1" w:styleId="CommentSubjectChar">
    <w:name w:val="Comment Subject Char"/>
    <w:basedOn w:val="CommentTextChar"/>
    <w:link w:val="CommentSubject"/>
    <w:rsid w:val="003D6BCB"/>
    <w:rPr>
      <w:b/>
      <w:bCs/>
    </w:rPr>
  </w:style>
  <w:style w:type="character" w:customStyle="1" w:styleId="FooterChar">
    <w:name w:val="Footer Char"/>
    <w:basedOn w:val="DefaultParagraphFont"/>
    <w:link w:val="Footer"/>
    <w:uiPriority w:val="99"/>
    <w:rsid w:val="001E3008"/>
    <w:rPr>
      <w:sz w:val="24"/>
      <w:szCs w:val="24"/>
    </w:rPr>
  </w:style>
  <w:style w:type="character" w:styleId="Strong">
    <w:name w:val="Strong"/>
    <w:basedOn w:val="DefaultParagraphFont"/>
    <w:uiPriority w:val="22"/>
    <w:qFormat/>
    <w:rsid w:val="006429BA"/>
    <w:rPr>
      <w:b/>
      <w:bCs/>
    </w:rPr>
  </w:style>
  <w:style w:type="paragraph" w:styleId="ListParagraph">
    <w:name w:val="List Paragraph"/>
    <w:basedOn w:val="Normal"/>
    <w:uiPriority w:val="34"/>
    <w:qFormat/>
    <w:rsid w:val="00204BE1"/>
    <w:pPr>
      <w:ind w:left="720"/>
    </w:pPr>
  </w:style>
  <w:style w:type="character" w:customStyle="1" w:styleId="HeaderChar">
    <w:name w:val="Header Char"/>
    <w:basedOn w:val="DefaultParagraphFont"/>
    <w:link w:val="Header"/>
    <w:uiPriority w:val="99"/>
    <w:rsid w:val="00B10E0D"/>
    <w:rPr>
      <w:sz w:val="24"/>
      <w:szCs w:val="24"/>
    </w:rPr>
  </w:style>
</w:styles>
</file>

<file path=word/webSettings.xml><?xml version="1.0" encoding="utf-8"?>
<w:webSettings xmlns:r="http://schemas.openxmlformats.org/officeDocument/2006/relationships" xmlns:w="http://schemas.openxmlformats.org/wordprocessingml/2006/main">
  <w:divs>
    <w:div w:id="311762630">
      <w:bodyDiv w:val="1"/>
      <w:marLeft w:val="0"/>
      <w:marRight w:val="0"/>
      <w:marTop w:val="0"/>
      <w:marBottom w:val="0"/>
      <w:divBdr>
        <w:top w:val="none" w:sz="0" w:space="0" w:color="auto"/>
        <w:left w:val="none" w:sz="0" w:space="0" w:color="auto"/>
        <w:bottom w:val="none" w:sz="0" w:space="0" w:color="auto"/>
        <w:right w:val="none" w:sz="0" w:space="0" w:color="auto"/>
      </w:divBdr>
    </w:div>
    <w:div w:id="466708943">
      <w:bodyDiv w:val="1"/>
      <w:marLeft w:val="0"/>
      <w:marRight w:val="0"/>
      <w:marTop w:val="0"/>
      <w:marBottom w:val="0"/>
      <w:divBdr>
        <w:top w:val="none" w:sz="0" w:space="0" w:color="auto"/>
        <w:left w:val="none" w:sz="0" w:space="0" w:color="auto"/>
        <w:bottom w:val="none" w:sz="0" w:space="0" w:color="auto"/>
        <w:right w:val="none" w:sz="0" w:space="0" w:color="auto"/>
      </w:divBdr>
    </w:div>
    <w:div w:id="776950921">
      <w:bodyDiv w:val="1"/>
      <w:marLeft w:val="0"/>
      <w:marRight w:val="0"/>
      <w:marTop w:val="0"/>
      <w:marBottom w:val="0"/>
      <w:divBdr>
        <w:top w:val="none" w:sz="0" w:space="0" w:color="auto"/>
        <w:left w:val="none" w:sz="0" w:space="0" w:color="auto"/>
        <w:bottom w:val="none" w:sz="0" w:space="0" w:color="auto"/>
        <w:right w:val="none" w:sz="0" w:space="0" w:color="auto"/>
      </w:divBdr>
    </w:div>
    <w:div w:id="1338266130">
      <w:bodyDiv w:val="1"/>
      <w:marLeft w:val="0"/>
      <w:marRight w:val="5"/>
      <w:marTop w:val="0"/>
      <w:marBottom w:val="600"/>
      <w:divBdr>
        <w:top w:val="none" w:sz="0" w:space="0" w:color="auto"/>
        <w:left w:val="none" w:sz="0" w:space="0" w:color="auto"/>
        <w:bottom w:val="none" w:sz="0" w:space="0" w:color="auto"/>
        <w:right w:val="none" w:sz="0" w:space="0" w:color="auto"/>
      </w:divBdr>
      <w:divsChild>
        <w:div w:id="1978800515">
          <w:marLeft w:val="2265"/>
          <w:marRight w:val="0"/>
          <w:marTop w:val="450"/>
          <w:marBottom w:val="300"/>
          <w:divBdr>
            <w:top w:val="none" w:sz="0" w:space="0" w:color="auto"/>
            <w:left w:val="none" w:sz="0" w:space="0" w:color="auto"/>
            <w:bottom w:val="none" w:sz="0" w:space="0" w:color="auto"/>
            <w:right w:val="none" w:sz="0" w:space="0" w:color="auto"/>
          </w:divBdr>
        </w:div>
      </w:divsChild>
    </w:div>
    <w:div w:id="1878277356">
      <w:bodyDiv w:val="1"/>
      <w:marLeft w:val="0"/>
      <w:marRight w:val="0"/>
      <w:marTop w:val="0"/>
      <w:marBottom w:val="0"/>
      <w:divBdr>
        <w:top w:val="none" w:sz="0" w:space="0" w:color="auto"/>
        <w:left w:val="none" w:sz="0" w:space="0" w:color="auto"/>
        <w:bottom w:val="none" w:sz="0" w:space="0" w:color="auto"/>
        <w:right w:val="none" w:sz="0" w:space="0" w:color="auto"/>
      </w:divBdr>
    </w:div>
    <w:div w:id="1884708109">
      <w:bodyDiv w:val="1"/>
      <w:marLeft w:val="0"/>
      <w:marRight w:val="0"/>
      <w:marTop w:val="0"/>
      <w:marBottom w:val="0"/>
      <w:divBdr>
        <w:top w:val="none" w:sz="0" w:space="0" w:color="auto"/>
        <w:left w:val="none" w:sz="0" w:space="0" w:color="auto"/>
        <w:bottom w:val="none" w:sz="0" w:space="0" w:color="auto"/>
        <w:right w:val="none" w:sz="0" w:space="0" w:color="auto"/>
      </w:divBdr>
      <w:divsChild>
        <w:div w:id="2006781445">
          <w:marLeft w:val="0"/>
          <w:marRight w:val="0"/>
          <w:marTop w:val="0"/>
          <w:marBottom w:val="0"/>
          <w:divBdr>
            <w:top w:val="none" w:sz="0" w:space="0" w:color="auto"/>
            <w:left w:val="none" w:sz="0" w:space="0" w:color="auto"/>
            <w:bottom w:val="none" w:sz="0" w:space="0" w:color="auto"/>
            <w:right w:val="none" w:sz="0" w:space="0" w:color="auto"/>
          </w:divBdr>
          <w:divsChild>
            <w:div w:id="2128617587">
              <w:marLeft w:val="0"/>
              <w:marRight w:val="0"/>
              <w:marTop w:val="0"/>
              <w:marBottom w:val="0"/>
              <w:divBdr>
                <w:top w:val="none" w:sz="0" w:space="0" w:color="auto"/>
                <w:left w:val="none" w:sz="0" w:space="0" w:color="auto"/>
                <w:bottom w:val="none" w:sz="0" w:space="0" w:color="auto"/>
                <w:right w:val="none" w:sz="0" w:space="0" w:color="auto"/>
              </w:divBdr>
              <w:divsChild>
                <w:div w:id="5977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m.gov/oca/payrates/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ttn/chief/cerr/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air/oaqps/greenbk/gncs.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pa.gov/ttn/chief/cerr/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FB0CC-D074-482F-910B-4A78A16E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8946</Words>
  <Characters>50997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59824</CharactersWithSpaces>
  <SharedDoc>false</SharedDoc>
  <HLinks>
    <vt:vector size="36" baseType="variant">
      <vt:variant>
        <vt:i4>2818151</vt:i4>
      </vt:variant>
      <vt:variant>
        <vt:i4>69</vt:i4>
      </vt:variant>
      <vt:variant>
        <vt:i4>0</vt:i4>
      </vt:variant>
      <vt:variant>
        <vt:i4>5</vt:i4>
      </vt:variant>
      <vt:variant>
        <vt:lpwstr>http://www.regulations.gov/</vt:lpwstr>
      </vt:variant>
      <vt:variant>
        <vt:lpwstr/>
      </vt:variant>
      <vt:variant>
        <vt:i4>4521995</vt:i4>
      </vt:variant>
      <vt:variant>
        <vt:i4>39</vt:i4>
      </vt:variant>
      <vt:variant>
        <vt:i4>0</vt:i4>
      </vt:variant>
      <vt:variant>
        <vt:i4>5</vt:i4>
      </vt:variant>
      <vt:variant>
        <vt:lpwstr>http://www.opm.gov/oca/payrates/index.htm</vt:lpwstr>
      </vt:variant>
      <vt:variant>
        <vt:lpwstr/>
      </vt:variant>
      <vt:variant>
        <vt:i4>4915280</vt:i4>
      </vt:variant>
      <vt:variant>
        <vt:i4>24</vt:i4>
      </vt:variant>
      <vt:variant>
        <vt:i4>0</vt:i4>
      </vt:variant>
      <vt:variant>
        <vt:i4>5</vt:i4>
      </vt:variant>
      <vt:variant>
        <vt:lpwstr>http://www.epa.gov/ttn/chief/cerr/index.html</vt:lpwstr>
      </vt:variant>
      <vt:variant>
        <vt:lpwstr/>
      </vt:variant>
      <vt:variant>
        <vt:i4>7667828</vt:i4>
      </vt:variant>
      <vt:variant>
        <vt:i4>3</vt:i4>
      </vt:variant>
      <vt:variant>
        <vt:i4>0</vt:i4>
      </vt:variant>
      <vt:variant>
        <vt:i4>5</vt:i4>
      </vt:variant>
      <vt:variant>
        <vt:lpwstr>http://www.epa.gov/air/oaqps/greenbk/gncs.html</vt:lpwstr>
      </vt:variant>
      <vt:variant>
        <vt:lpwstr/>
      </vt:variant>
      <vt:variant>
        <vt:i4>4915280</vt:i4>
      </vt:variant>
      <vt:variant>
        <vt:i4>0</vt:i4>
      </vt:variant>
      <vt:variant>
        <vt:i4>0</vt:i4>
      </vt:variant>
      <vt:variant>
        <vt:i4>5</vt:i4>
      </vt:variant>
      <vt:variant>
        <vt:lpwstr>http://www.epa.gov/ttn/chief/cerr/index.html</vt:lpwstr>
      </vt:variant>
      <vt:variant>
        <vt:lpwstr/>
      </vt:variant>
      <vt:variant>
        <vt:i4>4128803</vt:i4>
      </vt:variant>
      <vt:variant>
        <vt:i4>0</vt:i4>
      </vt:variant>
      <vt:variant>
        <vt:i4>0</vt:i4>
      </vt:variant>
      <vt:variant>
        <vt:i4>5</vt:i4>
      </vt:variant>
      <vt:variant>
        <vt:lpwstr>http://www.census.gov/naics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abasala</dc:creator>
  <cp:lastModifiedBy>U.S. EPA User or Contractor</cp:lastModifiedBy>
  <cp:revision>2</cp:revision>
  <cp:lastPrinted>2013-07-08T18:56:00Z</cp:lastPrinted>
  <dcterms:created xsi:type="dcterms:W3CDTF">2013-11-12T14:15:00Z</dcterms:created>
  <dcterms:modified xsi:type="dcterms:W3CDTF">2013-11-12T14:15:00Z</dcterms:modified>
</cp:coreProperties>
</file>