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580" w:rsidRDefault="00D02580" w:rsidP="001B2CAA">
      <w:pPr>
        <w:jc w:val="center"/>
        <w:rPr>
          <w:b/>
          <w:bCs/>
        </w:rPr>
      </w:pPr>
      <w:r>
        <w:rPr>
          <w:b/>
          <w:bCs/>
        </w:rPr>
        <w:t>SUPPORTING STATEMENT</w:t>
      </w:r>
    </w:p>
    <w:p w:rsidR="00D02580" w:rsidRDefault="00D02580" w:rsidP="001B2CAA">
      <w:pPr>
        <w:jc w:val="center"/>
        <w:rPr>
          <w:b/>
          <w:bCs/>
        </w:rPr>
      </w:pPr>
      <w:r>
        <w:rPr>
          <w:b/>
          <w:bCs/>
        </w:rPr>
        <w:t>ENVIRONMENTAL PROTECTION AGENCY</w:t>
      </w:r>
    </w:p>
    <w:p w:rsidR="00D02580" w:rsidRDefault="00D02580" w:rsidP="001B2CAA"/>
    <w:p w:rsidR="00D02580" w:rsidRDefault="00D02580" w:rsidP="00080321">
      <w:pPr>
        <w:rPr>
          <w:b/>
          <w:bCs/>
        </w:rPr>
      </w:pPr>
      <w:r>
        <w:rPr>
          <w:b/>
          <w:bCs/>
        </w:rPr>
        <w:t>NESHAP for Flexible Polyurethane Foam</w:t>
      </w:r>
      <w:r w:rsidR="0047288B">
        <w:rPr>
          <w:b/>
          <w:bCs/>
        </w:rPr>
        <w:t xml:space="preserve"> </w:t>
      </w:r>
      <w:r w:rsidR="0047288B" w:rsidRPr="00080321">
        <w:rPr>
          <w:b/>
          <w:bCs/>
        </w:rPr>
        <w:t>Product</w:t>
      </w:r>
      <w:r w:rsidR="00080321" w:rsidRPr="00080321">
        <w:rPr>
          <w:b/>
          <w:bCs/>
        </w:rPr>
        <w:t xml:space="preserve"> </w:t>
      </w:r>
      <w:r w:rsidR="00080321">
        <w:rPr>
          <w:b/>
        </w:rPr>
        <w:t xml:space="preserve">(40 CFR </w:t>
      </w:r>
      <w:proofErr w:type="gramStart"/>
      <w:r w:rsidR="00080321">
        <w:rPr>
          <w:b/>
        </w:rPr>
        <w:t>P</w:t>
      </w:r>
      <w:r w:rsidR="00080321" w:rsidRPr="00080321">
        <w:rPr>
          <w:b/>
        </w:rPr>
        <w:t>art</w:t>
      </w:r>
      <w:proofErr w:type="gramEnd"/>
      <w:r w:rsidR="00080321" w:rsidRPr="00080321">
        <w:rPr>
          <w:b/>
        </w:rPr>
        <w:t xml:space="preserve"> 6</w:t>
      </w:r>
      <w:r w:rsidR="00080321">
        <w:rPr>
          <w:b/>
        </w:rPr>
        <w:t>3, S</w:t>
      </w:r>
      <w:r w:rsidR="00080321" w:rsidRPr="00080321">
        <w:rPr>
          <w:b/>
        </w:rPr>
        <w:t xml:space="preserve">ubpart III) </w:t>
      </w:r>
    </w:p>
    <w:p w:rsidR="00EF43B0" w:rsidRDefault="00EF43B0" w:rsidP="00080321"/>
    <w:p w:rsidR="00D02580" w:rsidRDefault="00D02580">
      <w:r>
        <w:rPr>
          <w:b/>
          <w:bCs/>
        </w:rPr>
        <w:t>1.  Identification of the Information Collection</w:t>
      </w:r>
    </w:p>
    <w:p w:rsidR="00D02580" w:rsidRDefault="00D02580"/>
    <w:p w:rsidR="00D02580" w:rsidRDefault="00D02580">
      <w:pPr>
        <w:ind w:firstLine="720"/>
      </w:pPr>
      <w:r>
        <w:rPr>
          <w:b/>
          <w:bCs/>
        </w:rPr>
        <w:t>1(a</w:t>
      </w:r>
      <w:proofErr w:type="gramStart"/>
      <w:r>
        <w:rPr>
          <w:b/>
          <w:bCs/>
        </w:rPr>
        <w:t>)  Title</w:t>
      </w:r>
      <w:proofErr w:type="gramEnd"/>
      <w:r>
        <w:rPr>
          <w:b/>
          <w:bCs/>
        </w:rPr>
        <w:t xml:space="preserve"> of the Information Collection</w:t>
      </w:r>
    </w:p>
    <w:p w:rsidR="00D02580" w:rsidRDefault="00D02580"/>
    <w:p w:rsidR="00D02580" w:rsidRDefault="00D02580">
      <w:r>
        <w:t>NESHAP for Flexible Pol</w:t>
      </w:r>
      <w:r w:rsidR="00080321">
        <w:t>yurethane Foam Product</w:t>
      </w:r>
      <w:r w:rsidR="00D96DFD">
        <w:t>ion</w:t>
      </w:r>
      <w:r w:rsidR="00080321">
        <w:t xml:space="preserve"> (40 CFR </w:t>
      </w:r>
      <w:proofErr w:type="gramStart"/>
      <w:r w:rsidR="00080321">
        <w:t>P</w:t>
      </w:r>
      <w:r>
        <w:t>art</w:t>
      </w:r>
      <w:proofErr w:type="gramEnd"/>
      <w:r>
        <w:t xml:space="preserve"> 6</w:t>
      </w:r>
      <w:r w:rsidR="00080321">
        <w:t>3, S</w:t>
      </w:r>
      <w:r>
        <w:t xml:space="preserve">ubpart III) </w:t>
      </w:r>
    </w:p>
    <w:p w:rsidR="00073232" w:rsidRDefault="00073232" w:rsidP="00073232">
      <w:r>
        <w:t xml:space="preserve">EPA ICR </w:t>
      </w:r>
      <w:r w:rsidR="002C2DCC">
        <w:t xml:space="preserve">Number </w:t>
      </w:r>
      <w:r>
        <w:t>1783.0</w:t>
      </w:r>
      <w:r w:rsidR="00574556">
        <w:t>7</w:t>
      </w:r>
      <w:r>
        <w:t>; OMB Control Number 2060-0357</w:t>
      </w:r>
    </w:p>
    <w:p w:rsidR="00D02580" w:rsidRDefault="00D02580"/>
    <w:p w:rsidR="00D02580" w:rsidRDefault="00D02580">
      <w:pPr>
        <w:ind w:firstLine="720"/>
      </w:pPr>
      <w:r>
        <w:rPr>
          <w:b/>
          <w:bCs/>
        </w:rPr>
        <w:t>1(b</w:t>
      </w:r>
      <w:proofErr w:type="gramStart"/>
      <w:r>
        <w:rPr>
          <w:b/>
          <w:bCs/>
        </w:rPr>
        <w:t>)  Short</w:t>
      </w:r>
      <w:proofErr w:type="gramEnd"/>
      <w:r>
        <w:rPr>
          <w:b/>
          <w:bCs/>
        </w:rPr>
        <w:t xml:space="preserve"> Characterization/Abstract</w:t>
      </w:r>
    </w:p>
    <w:p w:rsidR="00D02580" w:rsidRDefault="00D02580"/>
    <w:p w:rsidR="00D02580" w:rsidRDefault="00D96DFD">
      <w:pPr>
        <w:ind w:firstLine="720"/>
      </w:pPr>
      <w:r>
        <w:t xml:space="preserve">This ICR covers information collection requirements in the proposed rulemaking that amends title 40, Chapter I, part 63 of the Code of Federal Regulations (CFR) Subpart III, National Emissions Standards for Hazardous Air Pollutants: </w:t>
      </w:r>
      <w:r w:rsidR="00D02580">
        <w:t xml:space="preserve"> Flexible Polyurethane Foam Product</w:t>
      </w:r>
      <w:r>
        <w:t>ion.</w:t>
      </w:r>
      <w:r w:rsidR="00D02580">
        <w:t xml:space="preserve">  These standards apply to owners or operators of new and existing facilities that engage in the manufacture of flexible polyurethane foam products which emit hazardous air pollutants (HAPs).  This includes facilities making slabstock flexible polyurethane foam (slabstock foam), rebond flexible polyurethane foam (rebond foam), and/or molded flexible polyurethane foam (molded foam).</w:t>
      </w:r>
    </w:p>
    <w:p w:rsidR="00D02580" w:rsidRDefault="00D02580"/>
    <w:p w:rsidR="00D02580" w:rsidRDefault="00D02580" w:rsidP="006260CE">
      <w:pPr>
        <w:ind w:firstLine="720"/>
      </w:pPr>
      <w:r>
        <w:t>In general, all MACT standards require initial notifications, performance tests, and periodic reports.  Owners or operators of flexible polyurethane foam production facilities to which this rule is applicable must choose one of the compliance options described in the standard or reduce HAP emissions to below the compliance level.  Specifically, the rule requirements for slabstock foam producers include an initial notification, notification of compliance status, semiannual reports and annual compliance certifications.  The rule requirements for molded and rebond foam producers include a notification of compliance status report and an annual compliance certification.  These notifications, reports, and records are essential in determining compliance, and are required of all sources subject to MACT.</w:t>
      </w:r>
    </w:p>
    <w:p w:rsidR="00D02580" w:rsidRDefault="00D02580"/>
    <w:p w:rsidR="00D02580" w:rsidRDefault="00D02580" w:rsidP="008374CC">
      <w:pPr>
        <w:ind w:firstLine="720"/>
      </w:pPr>
      <w:r>
        <w:t xml:space="preserve">Any owner or 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2C2DCC">
        <w:t xml:space="preserve"> </w:t>
      </w:r>
      <w:r>
        <w:t>In the event that there is no such delegated authority, the reports are sent directly to the United States Environmental Protection Agency (EPA) regional office.</w:t>
      </w:r>
    </w:p>
    <w:p w:rsidR="00674DCC" w:rsidRDefault="00674DCC" w:rsidP="00106CE5">
      <w:pPr>
        <w:ind w:firstLine="720"/>
      </w:pPr>
    </w:p>
    <w:p w:rsidR="00674DCC" w:rsidRDefault="00106CE5" w:rsidP="00106CE5">
      <w:pPr>
        <w:ind w:firstLine="720"/>
      </w:pPr>
      <w:r w:rsidRPr="00F725E0">
        <w:rPr>
          <w:rFonts w:cs="Courier New"/>
        </w:rPr>
        <w:t xml:space="preserve">This ICR </w:t>
      </w:r>
      <w:r>
        <w:rPr>
          <w:rFonts w:cs="Courier New"/>
        </w:rPr>
        <w:t xml:space="preserve">covers information collection requirements in the final </w:t>
      </w:r>
      <w:r w:rsidRPr="00F725E0">
        <w:rPr>
          <w:rFonts w:cs="Courier New"/>
        </w:rPr>
        <w:t xml:space="preserve">rulemaking </w:t>
      </w:r>
      <w:r>
        <w:rPr>
          <w:rFonts w:cs="Courier New"/>
        </w:rPr>
        <w:t xml:space="preserve">that </w:t>
      </w:r>
      <w:r w:rsidRPr="00F725E0">
        <w:rPr>
          <w:rFonts w:cs="Courier New"/>
        </w:rPr>
        <w:t>amen</w:t>
      </w:r>
      <w:r>
        <w:rPr>
          <w:rFonts w:cs="Courier New"/>
        </w:rPr>
        <w:t>d</w:t>
      </w:r>
      <w:r w:rsidRPr="00F725E0">
        <w:rPr>
          <w:rFonts w:cs="Courier New"/>
        </w:rPr>
        <w:t xml:space="preserve"> title 40, chapter I, part 63 of the Code of Federal Regulations (CFR) Subpart</w:t>
      </w:r>
      <w:r>
        <w:rPr>
          <w:rFonts w:cs="Courier New"/>
        </w:rPr>
        <w:t xml:space="preserve"> III</w:t>
      </w:r>
      <w:r w:rsidRPr="00F725E0">
        <w:rPr>
          <w:rFonts w:cs="Courier New"/>
        </w:rPr>
        <w:t xml:space="preserve"> National Emission Standards for Hazardous Air Pollutants</w:t>
      </w:r>
      <w:r>
        <w:rPr>
          <w:rFonts w:cs="Courier New"/>
        </w:rPr>
        <w:t xml:space="preserve"> for Flexible Polyurethane Foam Production</w:t>
      </w:r>
      <w:r w:rsidRPr="00F725E0">
        <w:rPr>
          <w:rFonts w:cs="Courier New"/>
        </w:rPr>
        <w:t xml:space="preserve">, hereafter, this </w:t>
      </w:r>
      <w:r>
        <w:rPr>
          <w:rFonts w:cs="Courier New"/>
        </w:rPr>
        <w:t>subpart is referred to as the "FPUF</w:t>
      </w:r>
      <w:r w:rsidRPr="00F725E0">
        <w:rPr>
          <w:rFonts w:cs="Courier New"/>
        </w:rPr>
        <w:t xml:space="preserve"> NESHAP". </w:t>
      </w:r>
      <w:r>
        <w:rPr>
          <w:rFonts w:cs="Courier New"/>
        </w:rPr>
        <w:t xml:space="preserve"> </w:t>
      </w:r>
      <w:r w:rsidR="00D02580">
        <w:t xml:space="preserve">There are approximately </w:t>
      </w:r>
      <w:r w:rsidR="00D02580" w:rsidRPr="00674DCC">
        <w:t>13</w:t>
      </w:r>
      <w:r w:rsidR="00D02580">
        <w:t xml:space="preserve"> respondents currently subject to the regulation, and it is estimated that no new respondents per year will become subject to the regulation in the next three years.  </w:t>
      </w:r>
    </w:p>
    <w:p w:rsidR="00674DCC" w:rsidRDefault="00674DCC" w:rsidP="008374CC"/>
    <w:p w:rsidR="00106CE5" w:rsidRDefault="00106CE5" w:rsidP="00106CE5">
      <w:pPr>
        <w:ind w:firstLine="720"/>
        <w:rPr>
          <w:rFonts w:cs="Courier New"/>
        </w:rPr>
      </w:pPr>
      <w:r w:rsidRPr="00E01A0B">
        <w:rPr>
          <w:rFonts w:cs="Courier New"/>
        </w:rPr>
        <w:lastRenderedPageBreak/>
        <w:t xml:space="preserve">The proposed </w:t>
      </w:r>
      <w:r>
        <w:rPr>
          <w:rFonts w:cs="Courier New"/>
        </w:rPr>
        <w:t>amendments</w:t>
      </w:r>
      <w:r w:rsidRPr="00E01A0B">
        <w:rPr>
          <w:rFonts w:cs="Courier New"/>
        </w:rPr>
        <w:t xml:space="preserve"> require</w:t>
      </w:r>
      <w:r>
        <w:rPr>
          <w:rFonts w:cs="Courier New"/>
        </w:rPr>
        <w:t xml:space="preserve"> that </w:t>
      </w:r>
      <w:r w:rsidRPr="009A77FB">
        <w:rPr>
          <w:rFonts w:cs="Courier New"/>
        </w:rPr>
        <w:t xml:space="preserve">that </w:t>
      </w:r>
      <w:r>
        <w:rPr>
          <w:rFonts w:cs="Courier New"/>
        </w:rPr>
        <w:t xml:space="preserve">slabstock foam production facilities use no HAP or HAP-based material as an auxiliary blowing agent (ABA) or for equipment cleaning. </w:t>
      </w:r>
      <w:r w:rsidRPr="009A77FB">
        <w:rPr>
          <w:rFonts w:cs="Courier New"/>
        </w:rPr>
        <w:t xml:space="preserve">To ensure compliance with this requirement, facility owners or operators </w:t>
      </w:r>
      <w:r>
        <w:rPr>
          <w:rFonts w:cs="Courier New"/>
        </w:rPr>
        <w:t>are</w:t>
      </w:r>
      <w:r w:rsidRPr="009A77FB">
        <w:rPr>
          <w:rFonts w:cs="Courier New"/>
        </w:rPr>
        <w:t xml:space="preserve"> required to</w:t>
      </w:r>
      <w:r>
        <w:rPr>
          <w:rFonts w:cs="Courier New"/>
        </w:rPr>
        <w:t xml:space="preserve"> maintain a statement that the facility is in compliance, and records indicating HAP content of ABAs and equipment cleaners.  </w:t>
      </w:r>
    </w:p>
    <w:p w:rsidR="00106CE5" w:rsidRDefault="00106CE5" w:rsidP="00106CE5">
      <w:pPr>
        <w:ind w:firstLine="720"/>
        <w:rPr>
          <w:rFonts w:cs="Courier New"/>
        </w:rPr>
      </w:pPr>
    </w:p>
    <w:p w:rsidR="00106CE5" w:rsidRPr="00507BD3" w:rsidRDefault="00742859" w:rsidP="00106CE5">
      <w:pPr>
        <w:widowControl/>
        <w:tabs>
          <w:tab w:val="left" w:pos="720"/>
        </w:tabs>
        <w:rPr>
          <w:rFonts w:cs="Courier New"/>
        </w:rPr>
      </w:pPr>
      <w:r>
        <w:rPr>
          <w:rFonts w:cs="Courier New"/>
        </w:rPr>
        <w:tab/>
      </w:r>
      <w:r w:rsidR="00106CE5">
        <w:rPr>
          <w:rFonts w:cs="Courier New"/>
        </w:rPr>
        <w:t xml:space="preserve">The proposed amendments also add provisions for facility owners or operators to use if they wish to assert an affirmative defense </w:t>
      </w:r>
      <w:r w:rsidR="00106CE5" w:rsidRPr="00765398">
        <w:rPr>
          <w:rFonts w:cs="Courier New"/>
        </w:rPr>
        <w:t xml:space="preserve">to </w:t>
      </w:r>
      <w:r w:rsidR="00106CE5">
        <w:rPr>
          <w:rFonts w:cs="Courier New"/>
        </w:rPr>
        <w:t>avoid</w:t>
      </w:r>
      <w:r w:rsidR="00106CE5" w:rsidRPr="00765398">
        <w:rPr>
          <w:rFonts w:cs="Courier New"/>
        </w:rPr>
        <w:t xml:space="preserve"> civil penalties for exceedances of </w:t>
      </w:r>
      <w:r w:rsidR="00106CE5">
        <w:rPr>
          <w:rFonts w:cs="Courier New"/>
        </w:rPr>
        <w:t xml:space="preserve">the applicable </w:t>
      </w:r>
      <w:r w:rsidR="00106CE5" w:rsidRPr="00765398">
        <w:rPr>
          <w:rFonts w:cs="Courier New"/>
        </w:rPr>
        <w:t>standards that are caused by a malfunction</w:t>
      </w:r>
      <w:r w:rsidR="00106CE5">
        <w:rPr>
          <w:rFonts w:cs="Courier New"/>
        </w:rPr>
        <w:t>.  If these provisions are used, the owner or operator is required to meet certain criteria during the malfunction, notify the Administrator of malfunctions that may cause an exceedance of the emissions standards, and submit a report of the malfunction to the Administrator, to include a root cause analysis of the malfunction, within certain timeframes.</w:t>
      </w:r>
    </w:p>
    <w:p w:rsidR="00106CE5" w:rsidRDefault="00106CE5" w:rsidP="00106CE5">
      <w:pPr>
        <w:ind w:firstLine="720"/>
        <w:rPr>
          <w:rFonts w:cs="Courier New"/>
        </w:rPr>
      </w:pPr>
    </w:p>
    <w:p w:rsidR="00106CE5" w:rsidRPr="00F725E0" w:rsidRDefault="00742859" w:rsidP="00106CE5">
      <w:pPr>
        <w:widowControl/>
        <w:tabs>
          <w:tab w:val="left" w:pos="720"/>
        </w:tabs>
        <w:rPr>
          <w:rFonts w:cs="Courier New"/>
        </w:rPr>
      </w:pPr>
      <w:r>
        <w:rPr>
          <w:rFonts w:cs="Courier New"/>
        </w:rPr>
        <w:tab/>
      </w:r>
      <w:r w:rsidR="00106CE5">
        <w:rPr>
          <w:rFonts w:cs="Courier New"/>
        </w:rPr>
        <w:t xml:space="preserve">Existing major sources subject to these requirements will be required to comply with </w:t>
      </w:r>
      <w:r w:rsidR="00BE5ACD" w:rsidRPr="003F3011">
        <w:t>the new proposed requirements prohibiting the use of HAP ABA</w:t>
      </w:r>
      <w:r w:rsidR="00BE5ACD">
        <w:t>s</w:t>
      </w:r>
      <w:r w:rsidR="00BE5ACD" w:rsidRPr="003F3011">
        <w:t xml:space="preserve"> in this action no later than 9</w:t>
      </w:r>
      <w:r w:rsidR="00BE5ACD">
        <w:t>0</w:t>
      </w:r>
      <w:r w:rsidR="00BE5ACD" w:rsidRPr="003F3011">
        <w:t xml:space="preserve"> days </w:t>
      </w:r>
      <w:r w:rsidR="00BE5ACD">
        <w:t>after the effective date of the final</w:t>
      </w:r>
      <w:r w:rsidR="00BE5ACD" w:rsidRPr="003F3011">
        <w:t xml:space="preserve"> rule</w:t>
      </w:r>
      <w:r w:rsidR="00BE5ACD">
        <w:t>, and the remainder of the requirements</w:t>
      </w:r>
      <w:r w:rsidR="00BE5ACD">
        <w:rPr>
          <w:rFonts w:cs="Courier New"/>
        </w:rPr>
        <w:t xml:space="preserve"> </w:t>
      </w:r>
      <w:r w:rsidR="00106CE5">
        <w:rPr>
          <w:rFonts w:cs="Courier New"/>
        </w:rPr>
        <w:t xml:space="preserve">upon the effective date of the standards.  </w:t>
      </w:r>
      <w:r w:rsidR="00106CE5" w:rsidRPr="00F725E0">
        <w:rPr>
          <w:rFonts w:cs="Courier New"/>
        </w:rPr>
        <w:t xml:space="preserve">All new or reconstructed affected sources must be in compliance with the </w:t>
      </w:r>
      <w:r w:rsidR="00106CE5">
        <w:rPr>
          <w:rFonts w:cs="Courier New"/>
        </w:rPr>
        <w:t xml:space="preserve">existing and new </w:t>
      </w:r>
      <w:r w:rsidR="00106CE5" w:rsidRPr="00F725E0">
        <w:rPr>
          <w:rFonts w:cs="Courier New"/>
        </w:rPr>
        <w:t>requirements</w:t>
      </w:r>
      <w:r w:rsidR="00106CE5">
        <w:rPr>
          <w:rFonts w:cs="Courier New"/>
        </w:rPr>
        <w:t xml:space="preserve"> </w:t>
      </w:r>
      <w:r w:rsidR="00106CE5" w:rsidRPr="00F725E0">
        <w:rPr>
          <w:rFonts w:cs="Courier New"/>
        </w:rPr>
        <w:t xml:space="preserve">of the </w:t>
      </w:r>
      <w:r w:rsidR="00106CE5">
        <w:rPr>
          <w:rFonts w:cs="Courier New"/>
        </w:rPr>
        <w:t>FPUF</w:t>
      </w:r>
      <w:r w:rsidR="00106CE5" w:rsidRPr="00F725E0">
        <w:rPr>
          <w:rFonts w:cs="Courier New"/>
        </w:rPr>
        <w:t xml:space="preserve"> NESHAP on the date of startup or the effective date, whichever is later.</w:t>
      </w:r>
    </w:p>
    <w:p w:rsidR="00E67E71" w:rsidRDefault="00E67E71" w:rsidP="00674DCC">
      <w:pPr>
        <w:ind w:firstLine="720"/>
        <w:rPr>
          <w:rFonts w:cs="Courier New"/>
        </w:rPr>
      </w:pPr>
    </w:p>
    <w:p w:rsidR="000F7D57" w:rsidRPr="00A15A0D" w:rsidRDefault="000F7D57" w:rsidP="00674DCC">
      <w:pPr>
        <w:ind w:firstLine="720"/>
        <w:rPr>
          <w:color w:val="000000"/>
        </w:rPr>
      </w:pPr>
      <w:r w:rsidRPr="006D1535">
        <w:t xml:space="preserve">The burden to the “Affected Public” may be found </w:t>
      </w:r>
      <w:r w:rsidR="002C2DCC">
        <w:t xml:space="preserve">below </w:t>
      </w:r>
      <w:r w:rsidRPr="00457863">
        <w:t xml:space="preserve">in Table 1: </w:t>
      </w:r>
      <w:bookmarkStart w:id="0" w:name="OLE_LINK1"/>
      <w:bookmarkStart w:id="1" w:name="OLE_LINK2"/>
      <w:r w:rsidRPr="00457863">
        <w:t>Annual Respondent Burden and Cost: NESHAP for Flexible Polyurethane Foam Product</w:t>
      </w:r>
      <w:bookmarkEnd w:id="0"/>
      <w:bookmarkEnd w:id="1"/>
      <w:r w:rsidRPr="00457863">
        <w:t xml:space="preserve"> (40 CFR </w:t>
      </w:r>
      <w:proofErr w:type="gramStart"/>
      <w:r w:rsidRPr="00457863">
        <w:t>part</w:t>
      </w:r>
      <w:proofErr w:type="gramEnd"/>
      <w:r w:rsidRPr="00457863">
        <w:t xml:space="preserve"> 63, subpart III)</w:t>
      </w:r>
      <w:r w:rsidR="00427C15" w:rsidRPr="00457863">
        <w:t>.</w:t>
      </w:r>
      <w:r w:rsidR="007C107A" w:rsidRPr="00457863">
        <w:t xml:space="preserve">  </w:t>
      </w:r>
      <w:r w:rsidR="00427C15" w:rsidRPr="00457863">
        <w:t>The burden to the “Federal g</w:t>
      </w:r>
      <w:r w:rsidRPr="00457863">
        <w:t>overnment” is attributed</w:t>
      </w:r>
      <w:r w:rsidR="008B42E6" w:rsidRPr="00457863">
        <w:t xml:space="preserve"> entirely to work performed by F</w:t>
      </w:r>
      <w:r w:rsidRPr="00457863">
        <w:t>ederal empl</w:t>
      </w:r>
      <w:r w:rsidR="00D14EC9" w:rsidRPr="00B06CB5">
        <w:t>oyees or government contractors.  T</w:t>
      </w:r>
      <w:r w:rsidRPr="00B06CB5">
        <w:t xml:space="preserve">his burden may be found </w:t>
      </w:r>
      <w:r w:rsidR="007C107A" w:rsidRPr="00347706">
        <w:t xml:space="preserve">below </w:t>
      </w:r>
      <w:r w:rsidRPr="00347706">
        <w:t xml:space="preserve">in </w:t>
      </w:r>
      <w:r w:rsidRPr="00457863">
        <w:t xml:space="preserve">Table 2: Average Annual EPA Burden: NESHAP for Flexible Polyurethane Foam Product (40 CFR </w:t>
      </w:r>
      <w:proofErr w:type="gramStart"/>
      <w:r w:rsidRPr="00457863">
        <w:t>part</w:t>
      </w:r>
      <w:proofErr w:type="gramEnd"/>
      <w:r w:rsidRPr="00457863">
        <w:t xml:space="preserve"> 63, subpart III).</w:t>
      </w:r>
    </w:p>
    <w:p w:rsidR="007A4A02" w:rsidRDefault="007A4A02" w:rsidP="005E7BFF">
      <w:pPr>
        <w:ind w:firstLine="720"/>
      </w:pPr>
    </w:p>
    <w:p w:rsidR="007A4A02" w:rsidRDefault="007A4A02" w:rsidP="005E7BFF">
      <w:pPr>
        <w:ind w:firstLine="720"/>
      </w:pPr>
      <w:r>
        <w:t xml:space="preserve">There are no capital/startup or Operation and Maintenance (O&amp;M) costs associated with this regulation.  The continuous parameter monitoring equipment used by facilities affected by this regulation are used to maintain a high level of operational efficiency and would have been installed and maintained with or without regulation.  </w:t>
      </w:r>
      <w:r w:rsidRPr="00457863">
        <w:t>Details on this estimate can be found in Section 6(b</w:t>
      </w:r>
      <w:proofErr w:type="gramStart"/>
      <w:r w:rsidRPr="00457863">
        <w:t>)(</w:t>
      </w:r>
      <w:proofErr w:type="gramEnd"/>
      <w:r w:rsidRPr="00457863">
        <w:t>iii) of this report.</w:t>
      </w:r>
    </w:p>
    <w:p w:rsidR="007A4A02" w:rsidRDefault="007A4A02" w:rsidP="005E7BFF">
      <w:pPr>
        <w:ind w:firstLine="720"/>
      </w:pPr>
    </w:p>
    <w:p w:rsidR="00EF43B0" w:rsidRDefault="007A4A02" w:rsidP="0059305A">
      <w:pPr>
        <w:ind w:firstLine="720"/>
        <w:rPr>
          <w:rFonts w:cs="Shruti"/>
        </w:rPr>
      </w:pPr>
      <w:r w:rsidRPr="007C5E09">
        <w:rPr>
          <w:rFonts w:cs="Shruti"/>
        </w:rPr>
        <w:t xml:space="preserve">The Office of Management and Budget (OMB) approved the currently active </w:t>
      </w:r>
      <w:r>
        <w:rPr>
          <w:rFonts w:cs="Shruti"/>
        </w:rPr>
        <w:t xml:space="preserve">ICR </w:t>
      </w:r>
      <w:r w:rsidRPr="007C5E09">
        <w:rPr>
          <w:rFonts w:cs="Shruti"/>
        </w:rPr>
        <w:t>with</w:t>
      </w:r>
      <w:r w:rsidR="00FE59C5">
        <w:rPr>
          <w:rFonts w:cs="Shruti"/>
        </w:rPr>
        <w:t>out</w:t>
      </w:r>
      <w:r w:rsidR="00086537">
        <w:rPr>
          <w:rFonts w:cs="Shruti"/>
        </w:rPr>
        <w:t xml:space="preserve"> </w:t>
      </w:r>
      <w:r w:rsidR="00FE59C5">
        <w:rPr>
          <w:rFonts w:cs="Shruti"/>
        </w:rPr>
        <w:t>any</w:t>
      </w:r>
      <w:r w:rsidR="00086537">
        <w:rPr>
          <w:rFonts w:cs="Shruti"/>
        </w:rPr>
        <w:t xml:space="preserve"> </w:t>
      </w:r>
      <w:r>
        <w:rPr>
          <w:rFonts w:cs="Shruti"/>
        </w:rPr>
        <w:t>“</w:t>
      </w:r>
      <w:r w:rsidRPr="007C5E09">
        <w:rPr>
          <w:rFonts w:cs="Shruti"/>
        </w:rPr>
        <w:t>Terms of Clearance</w:t>
      </w:r>
      <w:r w:rsidR="00FE59C5">
        <w:rPr>
          <w:rFonts w:cs="Shruti"/>
        </w:rPr>
        <w:t>.</w:t>
      </w:r>
      <w:r>
        <w:rPr>
          <w:rFonts w:cs="Shruti"/>
        </w:rPr>
        <w:t>”</w:t>
      </w:r>
    </w:p>
    <w:p w:rsidR="00F96339" w:rsidRDefault="00F96339" w:rsidP="0059305A">
      <w:pPr>
        <w:ind w:firstLine="720"/>
        <w:rPr>
          <w:rFonts w:cs="Shruti"/>
        </w:rPr>
      </w:pPr>
    </w:p>
    <w:p w:rsidR="00F96339" w:rsidRPr="00086537" w:rsidRDefault="00457863" w:rsidP="00F96339">
      <w:pPr>
        <w:rPr>
          <w:rFonts w:cs="Shruti"/>
        </w:rPr>
      </w:pPr>
      <w:r>
        <w:rPr>
          <w:rFonts w:cs="Shruti"/>
        </w:rPr>
        <w:tab/>
      </w:r>
      <w:r w:rsidR="00EF43B0">
        <w:rPr>
          <w:rFonts w:cs="Shruti"/>
        </w:rPr>
        <w:t>The cost of labor has been updated using</w:t>
      </w:r>
      <w:r w:rsidR="00F96339">
        <w:rPr>
          <w:rFonts w:cs="Shruti"/>
        </w:rPr>
        <w:t xml:space="preserve"> </w:t>
      </w:r>
      <w:r w:rsidR="00EF43B0">
        <w:rPr>
          <w:rFonts w:cs="Shruti"/>
        </w:rPr>
        <w:t xml:space="preserve">the </w:t>
      </w:r>
      <w:r w:rsidR="00F96339">
        <w:t>United States Department of La</w:t>
      </w:r>
      <w:r w:rsidR="00EF43B0">
        <w:t xml:space="preserve">bor, Bureau of Labor Statistics, </w:t>
      </w:r>
      <w:r w:rsidRPr="00457863">
        <w:t>December 2009 - January 2011 (average reference date July 2010) Table 4</w:t>
      </w:r>
      <w:r>
        <w:t xml:space="preserve"> </w:t>
      </w:r>
      <w:r w:rsidR="00EF43B0">
        <w:t xml:space="preserve">labor rates </w:t>
      </w:r>
      <w:r w:rsidR="00F96339">
        <w:t xml:space="preserve">for </w:t>
      </w:r>
      <w:r w:rsidR="00EF43B0">
        <w:t xml:space="preserve">the </w:t>
      </w:r>
      <w:r w:rsidR="00F96339">
        <w:t>respondent labor</w:t>
      </w:r>
      <w:r w:rsidR="00EF43B0">
        <w:t xml:space="preserve"> </w:t>
      </w:r>
      <w:proofErr w:type="gramStart"/>
      <w:r w:rsidR="00EF43B0">
        <w:t>costs</w:t>
      </w:r>
      <w:r w:rsidR="00F96339">
        <w:t>,</w:t>
      </w:r>
      <w:proofErr w:type="gramEnd"/>
      <w:r w:rsidR="00F96339">
        <w:t xml:space="preserve"> and </w:t>
      </w:r>
      <w:r w:rsidR="00EF43B0">
        <w:t xml:space="preserve">the </w:t>
      </w:r>
      <w:r w:rsidR="00F96339">
        <w:t xml:space="preserve">Office of Personnel Management (OPM) </w:t>
      </w:r>
      <w:r>
        <w:t xml:space="preserve">2013 </w:t>
      </w:r>
      <w:r w:rsidR="00F96339">
        <w:t xml:space="preserve">General Schedule for </w:t>
      </w:r>
      <w:r w:rsidR="00EF43B0">
        <w:t xml:space="preserve">the </w:t>
      </w:r>
      <w:r w:rsidR="00F96339">
        <w:t>Agency labor</w:t>
      </w:r>
      <w:r w:rsidR="00EF43B0">
        <w:t xml:space="preserve"> costs</w:t>
      </w:r>
      <w:r w:rsidR="00F96339">
        <w:t>.</w:t>
      </w:r>
    </w:p>
    <w:p w:rsidR="007A4A02" w:rsidRDefault="007A4A02" w:rsidP="0059305A">
      <w:pPr>
        <w:ind w:firstLine="720"/>
      </w:pPr>
    </w:p>
    <w:p w:rsidR="00D02580" w:rsidRDefault="00D02580" w:rsidP="0059305A">
      <w:pPr>
        <w:ind w:firstLine="720"/>
      </w:pPr>
      <w:r>
        <w:t xml:space="preserve">The 13 facilities in the United States, which are respondents to this ICR, are publicly owned and operated by flexible polyurethane foam production facilities.  </w:t>
      </w:r>
      <w:r w:rsidR="004D7B55">
        <w:t xml:space="preserve">One </w:t>
      </w:r>
      <w:r>
        <w:t xml:space="preserve">of the facilities </w:t>
      </w:r>
      <w:r w:rsidR="007E791E">
        <w:t xml:space="preserve">is </w:t>
      </w:r>
      <w:r>
        <w:t xml:space="preserve">owned by </w:t>
      </w:r>
      <w:r w:rsidR="00427C15">
        <w:t>the Federal g</w:t>
      </w:r>
      <w:r>
        <w:t>overnment.</w:t>
      </w:r>
    </w:p>
    <w:p w:rsidR="007A4A02" w:rsidRDefault="007A4A02" w:rsidP="007A4A02">
      <w:pPr>
        <w:ind w:firstLine="720"/>
      </w:pPr>
    </w:p>
    <w:p w:rsidR="00457863" w:rsidRDefault="00457863" w:rsidP="007A4A02">
      <w:pPr>
        <w:ind w:firstLine="720"/>
      </w:pPr>
    </w:p>
    <w:p w:rsidR="00457863" w:rsidRDefault="00457863" w:rsidP="007A4A02">
      <w:pPr>
        <w:ind w:firstLine="720"/>
      </w:pPr>
    </w:p>
    <w:p w:rsidR="00D02580" w:rsidRDefault="00D02580">
      <w:r>
        <w:rPr>
          <w:b/>
          <w:bCs/>
        </w:rPr>
        <w:t>2.  Need for and Use of the Collection</w:t>
      </w:r>
    </w:p>
    <w:p w:rsidR="00D02580" w:rsidRDefault="00D02580"/>
    <w:p w:rsidR="00D02580" w:rsidRDefault="00D02580">
      <w:pPr>
        <w:ind w:firstLine="720"/>
        <w:rPr>
          <w:b/>
          <w:bCs/>
        </w:rPr>
      </w:pPr>
      <w:r>
        <w:rPr>
          <w:b/>
          <w:bCs/>
        </w:rPr>
        <w:t>2(a</w:t>
      </w:r>
      <w:proofErr w:type="gramStart"/>
      <w:r>
        <w:rPr>
          <w:b/>
          <w:bCs/>
        </w:rPr>
        <w:t>)  Need</w:t>
      </w:r>
      <w:proofErr w:type="gramEnd"/>
      <w:r>
        <w:rPr>
          <w:b/>
          <w:bCs/>
        </w:rPr>
        <w:t>/Authority for the Collection</w:t>
      </w:r>
    </w:p>
    <w:p w:rsidR="00D02580" w:rsidRDefault="00D02580"/>
    <w:p w:rsidR="00D02580" w:rsidRDefault="00D02580" w:rsidP="001B2CAA">
      <w:pPr>
        <w:ind w:firstLine="720"/>
      </w:pPr>
      <w: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 or operator subject to any requirement of this Act to: </w:t>
      </w:r>
    </w:p>
    <w:p w:rsidR="00D02580" w:rsidRDefault="00D02580"/>
    <w:p w:rsidR="00D02580" w:rsidRDefault="00D02580">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02580" w:rsidRDefault="00D02580"/>
    <w:p w:rsidR="00D02580" w:rsidRDefault="00D02580">
      <w:pPr>
        <w:ind w:firstLine="720"/>
      </w:pPr>
      <w:r>
        <w:t xml:space="preserve">In the Administrator's judgment, hazardous air pollutants (HAP) emissions from flexible polyurethane foam production facilities </w:t>
      </w:r>
      <w:r w:rsidR="007C107A">
        <w:t xml:space="preserve">either </w:t>
      </w:r>
      <w:r>
        <w:t xml:space="preserve">cause or contribute to air pollution that may reasonably be anticipated to endanger public health or welfare.  Therefore, the MACT standards were promulgated for this source category at 40 CFR </w:t>
      </w:r>
      <w:proofErr w:type="gramStart"/>
      <w:r>
        <w:t>part</w:t>
      </w:r>
      <w:proofErr w:type="gramEnd"/>
      <w:r>
        <w:t xml:space="preserve"> 63, subpart III.</w:t>
      </w:r>
    </w:p>
    <w:p w:rsidR="00D02580" w:rsidRDefault="00D02580">
      <w:pPr>
        <w:ind w:firstLine="720"/>
      </w:pPr>
    </w:p>
    <w:p w:rsidR="00D02580" w:rsidRDefault="00D02580">
      <w:pPr>
        <w:ind w:firstLine="720"/>
      </w:pPr>
      <w:r>
        <w:rPr>
          <w:b/>
          <w:bCs/>
        </w:rPr>
        <w:t>2(b</w:t>
      </w:r>
      <w:proofErr w:type="gramStart"/>
      <w:r>
        <w:rPr>
          <w:b/>
          <w:bCs/>
        </w:rPr>
        <w:t>)  Practical</w:t>
      </w:r>
      <w:proofErr w:type="gramEnd"/>
      <w:r>
        <w:rPr>
          <w:b/>
          <w:bCs/>
        </w:rPr>
        <w:t xml:space="preserve"> Utility/Users of the Data</w:t>
      </w:r>
    </w:p>
    <w:p w:rsidR="00D02580" w:rsidRDefault="00D02580"/>
    <w:p w:rsidR="00C90987" w:rsidRDefault="00D02580">
      <w:pPr>
        <w:ind w:firstLine="720"/>
      </w:pPr>
      <w:r>
        <w:t xml:space="preserve">The control of emissions from HAP emissions from flexible polyurethane foam production facilities requires not only the installation of properly designed equipment, but also the operation and maintenance of that equipment.  Emissions of HAP from flexible polyurethane foam production facilities are the result of operation of each slabstock production line, each storage vessel, equipment cleaning, or from leaking equipment (e.g., transfer pumps, connectors, valves, etc.).  The subject standards are achieved by the capture of HAP emissions using vapor recovery systems or carbon adsorption systems and leak detection and repair procedures.  </w:t>
      </w:r>
    </w:p>
    <w:p w:rsidR="00C90987" w:rsidRDefault="00C90987">
      <w:pPr>
        <w:ind w:firstLine="720"/>
      </w:pPr>
    </w:p>
    <w:p w:rsidR="00C90987" w:rsidRDefault="00D02580">
      <w:pPr>
        <w:ind w:firstLine="720"/>
      </w:pPr>
      <w:r>
        <w:t xml:space="preserve">The notifications required in the applicable regulations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regulations are being met.  The semiannual reports are used for problem identification, as a check on source operation and maintenance, and for compliance determinations.  </w:t>
      </w:r>
    </w:p>
    <w:p w:rsidR="00C90987" w:rsidRDefault="00C90987">
      <w:pPr>
        <w:ind w:firstLine="720"/>
      </w:pPr>
    </w:p>
    <w:p w:rsidR="00D02580" w:rsidRDefault="00D02580">
      <w:pPr>
        <w:ind w:firstLine="720"/>
      </w:pPr>
      <w:r>
        <w:t>The information generated by the monitoring, recordkeeping and reporting requirements described in this ICR is used by the Agency to ensure that facilities affected by the MACT standards continue to operate the control equipment in compliance with the regulation.  Adequate monitoring, recordkeeping, and reporting are necessary to ensure compliance with the applicable regulations, as required by the Clean Air Act.  The information collected from recordkeeping and reporting requirements is also used for targeting inspections, and is of sufficient quality to be used as evidence in court.</w:t>
      </w:r>
    </w:p>
    <w:p w:rsidR="00D02580" w:rsidRDefault="00D02580"/>
    <w:p w:rsidR="00D02580" w:rsidRDefault="00D02580">
      <w:pPr>
        <w:rPr>
          <w:b/>
          <w:bCs/>
        </w:rPr>
      </w:pPr>
      <w:r>
        <w:rPr>
          <w:b/>
          <w:bCs/>
        </w:rPr>
        <w:t>3.  Non</w:t>
      </w:r>
      <w:r w:rsidR="007C107A">
        <w:rPr>
          <w:b/>
          <w:bCs/>
        </w:rPr>
        <w:t>-</w:t>
      </w:r>
      <w:r>
        <w:rPr>
          <w:b/>
          <w:bCs/>
        </w:rPr>
        <w:t>duplication, Consultations, and Other Collection Criteria</w:t>
      </w:r>
    </w:p>
    <w:p w:rsidR="00D02580" w:rsidRDefault="00D02580">
      <w:pPr>
        <w:rPr>
          <w:b/>
          <w:bCs/>
        </w:rPr>
      </w:pPr>
    </w:p>
    <w:p w:rsidR="00D02580" w:rsidRPr="00CB5948" w:rsidRDefault="00D02580" w:rsidP="00CB5948">
      <w:pPr>
        <w:ind w:firstLine="720"/>
      </w:pPr>
      <w:r>
        <w:t>The requested recordkeeping and reporting are required under 40 CFR part 63, subpart III.</w:t>
      </w:r>
    </w:p>
    <w:p w:rsidR="00D02580" w:rsidRDefault="00D02580">
      <w:pPr>
        <w:rPr>
          <w:b/>
          <w:bCs/>
        </w:rPr>
      </w:pPr>
    </w:p>
    <w:p w:rsidR="00D02580" w:rsidRDefault="00D02580">
      <w:pPr>
        <w:ind w:firstLine="720"/>
      </w:pPr>
      <w:r>
        <w:rPr>
          <w:b/>
          <w:bCs/>
        </w:rPr>
        <w:t>3(a</w:t>
      </w:r>
      <w:proofErr w:type="gramStart"/>
      <w:r>
        <w:rPr>
          <w:b/>
          <w:bCs/>
        </w:rPr>
        <w:t>)  Non</w:t>
      </w:r>
      <w:proofErr w:type="gramEnd"/>
      <w:r w:rsidR="007C107A">
        <w:rPr>
          <w:b/>
          <w:bCs/>
        </w:rPr>
        <w:t>-</w:t>
      </w:r>
      <w:r>
        <w:rPr>
          <w:b/>
          <w:bCs/>
        </w:rPr>
        <w:t>duplication</w:t>
      </w:r>
    </w:p>
    <w:p w:rsidR="00D02580" w:rsidRDefault="00D02580"/>
    <w:p w:rsidR="00D02580" w:rsidRDefault="00D02580">
      <w:pPr>
        <w:ind w:firstLine="720"/>
      </w:pPr>
      <w:r>
        <w:t xml:space="preserve"> 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D02580" w:rsidRDefault="00D02580"/>
    <w:p w:rsidR="00D02580" w:rsidRDefault="00D02580">
      <w:pPr>
        <w:ind w:firstLine="720"/>
      </w:pPr>
      <w:r>
        <w:rPr>
          <w:b/>
          <w:bCs/>
        </w:rPr>
        <w:t>3(b</w:t>
      </w:r>
      <w:proofErr w:type="gramStart"/>
      <w:r>
        <w:rPr>
          <w:b/>
          <w:bCs/>
        </w:rPr>
        <w:t>)  Public</w:t>
      </w:r>
      <w:proofErr w:type="gramEnd"/>
      <w:r>
        <w:rPr>
          <w:b/>
          <w:bCs/>
        </w:rPr>
        <w:t xml:space="preserve"> Notice Required Prior to ICR Submission to OMB</w:t>
      </w:r>
    </w:p>
    <w:p w:rsidR="00D02580" w:rsidRDefault="00D02580"/>
    <w:p w:rsidR="00C90987" w:rsidRDefault="00C90987" w:rsidP="0045786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A206D5">
        <w:t xml:space="preserve">This ICR is related to proposed amendments to the </w:t>
      </w:r>
      <w:r>
        <w:t>FPUF</w:t>
      </w:r>
      <w:r w:rsidRPr="00A206D5">
        <w:t xml:space="preserve"> NESHAP.  Comments will be solicited on the proposal package and the proposed ICR.</w:t>
      </w:r>
    </w:p>
    <w:p w:rsidR="00D02580" w:rsidRDefault="00D02580"/>
    <w:p w:rsidR="00D02580" w:rsidRDefault="00D02580">
      <w:pPr>
        <w:ind w:firstLine="720"/>
      </w:pPr>
      <w:r>
        <w:rPr>
          <w:b/>
          <w:bCs/>
        </w:rPr>
        <w:t>3(c</w:t>
      </w:r>
      <w:proofErr w:type="gramStart"/>
      <w:r>
        <w:rPr>
          <w:b/>
          <w:bCs/>
        </w:rPr>
        <w:t>)  Consultations</w:t>
      </w:r>
      <w:proofErr w:type="gramEnd"/>
    </w:p>
    <w:p w:rsidR="00D02580" w:rsidRDefault="00D02580"/>
    <w:p w:rsidR="00D02580" w:rsidRPr="00C70957" w:rsidRDefault="00D02580" w:rsidP="00697752">
      <w:r>
        <w:t xml:space="preserve"> </w:t>
      </w:r>
      <w:r>
        <w:tab/>
      </w:r>
      <w:r w:rsidR="00697752" w:rsidRPr="00DD4069">
        <w:t>Upon review of the standard, info</w:t>
      </w:r>
      <w:r w:rsidR="00697752">
        <w:t xml:space="preserve">rmation available and the data, </w:t>
      </w:r>
      <w:r w:rsidR="00697752" w:rsidRPr="00DD4069">
        <w:t>the Agency has</w:t>
      </w:r>
      <w:r w:rsidR="00697752">
        <w:t xml:space="preserve"> </w:t>
      </w:r>
      <w:r w:rsidR="00697752" w:rsidRPr="00DD4069">
        <w:t>determined the recordkeeping and reporting requirements in the “Active” ICR is fully supported</w:t>
      </w:r>
      <w:r w:rsidR="00697752">
        <w:t xml:space="preserve"> </w:t>
      </w:r>
      <w:r w:rsidR="00697752" w:rsidRPr="00DD4069">
        <w:t>and necessary to fulfi</w:t>
      </w:r>
      <w:r w:rsidR="00697752">
        <w:t>l</w:t>
      </w:r>
      <w:r w:rsidR="00697752" w:rsidRPr="00DD4069">
        <w:t>l the requirements of the Cl</w:t>
      </w:r>
      <w:r w:rsidR="00697752">
        <w:t>ean Air Act (CAA). I</w:t>
      </w:r>
      <w:r w:rsidR="00697752" w:rsidRPr="00DD4069">
        <w:t>t has been</w:t>
      </w:r>
      <w:r w:rsidR="00697752">
        <w:t xml:space="preserve"> </w:t>
      </w:r>
      <w:r w:rsidR="00697752" w:rsidRPr="00DD4069">
        <w:t xml:space="preserve">determined that no further consultations with industry are necessary to calculate the burden </w:t>
      </w:r>
      <w:r w:rsidR="00697752">
        <w:t>associated with the amendments to the FPUF NESHAP</w:t>
      </w:r>
      <w:r w:rsidR="00697752" w:rsidRPr="00E4184F">
        <w:t>.</w:t>
      </w:r>
    </w:p>
    <w:p w:rsidR="00D02580" w:rsidRDefault="00D02580"/>
    <w:p w:rsidR="00D02580" w:rsidRDefault="00D02580">
      <w:pPr>
        <w:ind w:firstLine="720"/>
      </w:pPr>
      <w:r>
        <w:rPr>
          <w:b/>
          <w:bCs/>
        </w:rPr>
        <w:t>3(d</w:t>
      </w:r>
      <w:proofErr w:type="gramStart"/>
      <w:r>
        <w:rPr>
          <w:b/>
          <w:bCs/>
        </w:rPr>
        <w:t>)  Effects</w:t>
      </w:r>
      <w:proofErr w:type="gramEnd"/>
      <w:r>
        <w:rPr>
          <w:b/>
          <w:bCs/>
        </w:rPr>
        <w:t xml:space="preserve"> of Less Frequent Collection</w:t>
      </w:r>
    </w:p>
    <w:p w:rsidR="00D02580" w:rsidRDefault="00D02580"/>
    <w:p w:rsidR="00D02580" w:rsidRDefault="00D02580">
      <w:pPr>
        <w:ind w:firstLine="720"/>
      </w:pPr>
      <w: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697752" w:rsidRPr="00127522">
        <w:t>the proper operation and maintenance of control equipment and the possibility of</w:t>
      </w:r>
      <w:r w:rsidR="00697752">
        <w:t xml:space="preserve"> </w:t>
      </w:r>
      <w:r w:rsidR="00697752" w:rsidRPr="00127522">
        <w:t>detecting violations would be less likely</w:t>
      </w:r>
      <w:r>
        <w:t>.</w:t>
      </w:r>
    </w:p>
    <w:p w:rsidR="00D02580" w:rsidRDefault="00D02580"/>
    <w:p w:rsidR="00BE5ACD" w:rsidRDefault="00BE5ACD"/>
    <w:p w:rsidR="00D02580" w:rsidRDefault="00D02580">
      <w:pPr>
        <w:ind w:firstLine="720"/>
      </w:pPr>
      <w:r>
        <w:rPr>
          <w:b/>
          <w:bCs/>
        </w:rPr>
        <w:lastRenderedPageBreak/>
        <w:t>3(e</w:t>
      </w:r>
      <w:proofErr w:type="gramStart"/>
      <w:r>
        <w:rPr>
          <w:b/>
          <w:bCs/>
        </w:rPr>
        <w:t>)  General</w:t>
      </w:r>
      <w:proofErr w:type="gramEnd"/>
      <w:r>
        <w:rPr>
          <w:b/>
          <w:bCs/>
        </w:rPr>
        <w:t xml:space="preserve"> Guidelines</w:t>
      </w:r>
    </w:p>
    <w:p w:rsidR="00D02580" w:rsidRDefault="00D02580"/>
    <w:p w:rsidR="00D02580" w:rsidRDefault="00697752" w:rsidP="00951BF4">
      <w:pPr>
        <w:ind w:firstLine="720"/>
      </w:pPr>
      <w:r w:rsidRPr="00972213">
        <w:t>None of these reporting or recordkeeping requirements</w:t>
      </w:r>
      <w:r>
        <w:t xml:space="preserve"> violate any of the regulations </w:t>
      </w:r>
      <w:r w:rsidRPr="00972213">
        <w:t>established by OMB at 5 CFR part 1320, s</w:t>
      </w:r>
      <w:r>
        <w:t xml:space="preserve">ection 1320.5. </w:t>
      </w:r>
      <w:r w:rsidRPr="00972213">
        <w:t>These standards require the respondents to maintain all</w:t>
      </w:r>
      <w:r>
        <w:t xml:space="preserve"> records, including reports and </w:t>
      </w:r>
      <w:r w:rsidRPr="00972213">
        <w:t>notifications for at least five years. This is consistent with the Gener</w:t>
      </w:r>
      <w:r>
        <w:t xml:space="preserve">al Provisions as applied to the </w:t>
      </w:r>
      <w:r w:rsidRPr="00972213">
        <w:t xml:space="preserve">standards. </w:t>
      </w:r>
      <w:r>
        <w:t xml:space="preserve">The </w:t>
      </w:r>
      <w:r w:rsidRPr="00972213">
        <w:t>EPA believes that the five-year records retention requirem</w:t>
      </w:r>
      <w:r>
        <w:t xml:space="preserve">ent is consistent with the Part </w:t>
      </w:r>
      <w:r w:rsidRPr="00972213">
        <w:t>70 permit program and the five-year statute of limitations on whi</w:t>
      </w:r>
      <w:r>
        <w:t xml:space="preserve">ch the permit program is based. </w:t>
      </w:r>
      <w:r w:rsidRPr="00972213">
        <w:t xml:space="preserve">The retention of records for five years allows </w:t>
      </w:r>
      <w:r>
        <w:t xml:space="preserve">the </w:t>
      </w:r>
      <w:r w:rsidRPr="00972213">
        <w:t xml:space="preserve">EPA to establish the </w:t>
      </w:r>
      <w:r>
        <w:t xml:space="preserve">compliance history of a source, </w:t>
      </w:r>
      <w:r w:rsidRPr="00972213">
        <w:t>any pattern of non-compliance and to determine the appropriate l</w:t>
      </w:r>
      <w:r>
        <w:t xml:space="preserve">evel of enforcement action. The EPA </w:t>
      </w:r>
      <w:r w:rsidRPr="00972213">
        <w:t>has found that the most flagrant violators have violations exte</w:t>
      </w:r>
      <w:r>
        <w:t xml:space="preserve">nding beyond the five years. In </w:t>
      </w:r>
      <w:r w:rsidRPr="00972213">
        <w:t xml:space="preserve">addition, </w:t>
      </w:r>
      <w:r>
        <w:t xml:space="preserve">the </w:t>
      </w:r>
      <w:r w:rsidRPr="00972213">
        <w:t>EPA would be prevented from pursuing the violators due to the d</w:t>
      </w:r>
      <w:r>
        <w:t xml:space="preserve">estruction or </w:t>
      </w:r>
      <w:r w:rsidRPr="00972213">
        <w:t>nonexistence of essential records.</w:t>
      </w:r>
    </w:p>
    <w:p w:rsidR="00697752" w:rsidRDefault="00697752" w:rsidP="00951BF4">
      <w:pPr>
        <w:ind w:firstLine="720"/>
      </w:pPr>
    </w:p>
    <w:p w:rsidR="00D02580" w:rsidRDefault="00D02580">
      <w:pPr>
        <w:ind w:firstLine="720"/>
      </w:pPr>
      <w:r>
        <w:rPr>
          <w:b/>
          <w:bCs/>
        </w:rPr>
        <w:t>3(f</w:t>
      </w:r>
      <w:proofErr w:type="gramStart"/>
      <w:r>
        <w:rPr>
          <w:b/>
          <w:bCs/>
        </w:rPr>
        <w:t>)  Confidentiality</w:t>
      </w:r>
      <w:proofErr w:type="gramEnd"/>
    </w:p>
    <w:p w:rsidR="00D02580" w:rsidRDefault="00D02580"/>
    <w:p w:rsidR="00D02580" w:rsidRDefault="00697752" w:rsidP="00697752">
      <w:pPr>
        <w:ind w:firstLine="720"/>
      </w:pPr>
      <w:r>
        <w:t>All information submitted to the Agency for which a claim of confidentiality is made will be safeguarded according to the Agency policies set forth in Title 40, Chapter 1, Part 2, Subpart B--Confidentiality of Business Information (see 40 CFR 2; 41 FR 36902, September 1, 1976; amended by 43 FR 39999, September 28, 1978; 43 FR 42251, September 28, 1978; 44 FR 17674, March 23, 1979).</w:t>
      </w:r>
    </w:p>
    <w:p w:rsidR="00697752" w:rsidRDefault="00697752"/>
    <w:p w:rsidR="00D02580" w:rsidRDefault="00D02580">
      <w:pPr>
        <w:ind w:firstLine="720"/>
      </w:pPr>
      <w:r>
        <w:rPr>
          <w:b/>
          <w:bCs/>
        </w:rPr>
        <w:t>3(g</w:t>
      </w:r>
      <w:proofErr w:type="gramStart"/>
      <w:r>
        <w:rPr>
          <w:b/>
          <w:bCs/>
        </w:rPr>
        <w:t>)  Sensitive</w:t>
      </w:r>
      <w:proofErr w:type="gramEnd"/>
      <w:r>
        <w:rPr>
          <w:b/>
          <w:bCs/>
        </w:rPr>
        <w:t xml:space="preserve"> Questions</w:t>
      </w:r>
    </w:p>
    <w:p w:rsidR="00D02580" w:rsidRDefault="00D02580"/>
    <w:p w:rsidR="00697752" w:rsidRDefault="00697752" w:rsidP="00697752">
      <w:pPr>
        <w:keepNext/>
        <w:widowControl/>
        <w:spacing w:line="360" w:lineRule="auto"/>
        <w:ind w:firstLine="720"/>
      </w:pPr>
      <w:r>
        <w:t>This section is not applicable because this ICR does not involve matters of a sensitive nature.</w:t>
      </w:r>
    </w:p>
    <w:p w:rsidR="00D02580" w:rsidRDefault="00D02580"/>
    <w:p w:rsidR="00D02580" w:rsidRDefault="00D02580">
      <w:pPr>
        <w:rPr>
          <w:b/>
          <w:bCs/>
        </w:rPr>
      </w:pPr>
      <w:r>
        <w:rPr>
          <w:b/>
          <w:bCs/>
        </w:rPr>
        <w:t>4.  The Respondents and the Information Requested</w:t>
      </w:r>
    </w:p>
    <w:p w:rsidR="00D02580" w:rsidRDefault="00D02580">
      <w:pPr>
        <w:rPr>
          <w:b/>
          <w:bCs/>
        </w:rPr>
      </w:pPr>
    </w:p>
    <w:p w:rsidR="00D02580" w:rsidRDefault="00D02580">
      <w:pPr>
        <w:ind w:firstLine="720"/>
      </w:pPr>
      <w:r>
        <w:rPr>
          <w:b/>
          <w:bCs/>
        </w:rPr>
        <w:t>4(a</w:t>
      </w:r>
      <w:proofErr w:type="gramStart"/>
      <w:r>
        <w:rPr>
          <w:b/>
          <w:bCs/>
        </w:rPr>
        <w:t>)  Respondents</w:t>
      </w:r>
      <w:proofErr w:type="gramEnd"/>
      <w:r>
        <w:rPr>
          <w:b/>
          <w:bCs/>
        </w:rPr>
        <w:t>/SIC and NAICS Codes</w:t>
      </w:r>
    </w:p>
    <w:p w:rsidR="00D02580" w:rsidRDefault="00D02580"/>
    <w:p w:rsidR="00697752" w:rsidRDefault="00697752" w:rsidP="00697752">
      <w:pPr>
        <w:ind w:firstLine="720"/>
      </w:pPr>
      <w:r w:rsidRPr="00697752">
        <w:t xml:space="preserve">Potential respondents under Subpart </w:t>
      </w:r>
      <w:r>
        <w:t>III</w:t>
      </w:r>
      <w:r w:rsidRPr="00697752">
        <w:t xml:space="preserve"> are owners or operators of any existing or new </w:t>
      </w:r>
      <w:r>
        <w:t>Flexible Polyurethane Foam</w:t>
      </w:r>
      <w:r w:rsidRPr="00697752">
        <w:t xml:space="preserve"> manufacturing facility that is a major source of HAP emissions, including any facilities who may wish to make use of the new affirmative defense provisions to avoid civil penalties resulting from the violation of an emission limit. The source category and affected sources regulated by the </w:t>
      </w:r>
      <w:r>
        <w:t>FPUF</w:t>
      </w:r>
      <w:r w:rsidRPr="00697752">
        <w:t xml:space="preserve"> NESHAP are classified under </w:t>
      </w:r>
      <w:r w:rsidR="00077286">
        <w:t>United States Standard Industrial Classification (SIC) code 3086 which corresponds to the North American Industry Classification System (NAICS) code 326150 for Urethane and Other Foam Product (except Polystyrene) Manufacturing.</w:t>
      </w:r>
    </w:p>
    <w:p w:rsidR="00077286" w:rsidRPr="00697752" w:rsidRDefault="00077286" w:rsidP="00697752">
      <w:pPr>
        <w:ind w:firstLine="720"/>
      </w:pPr>
    </w:p>
    <w:p w:rsidR="00697752" w:rsidRDefault="00697752" w:rsidP="00A56895">
      <w:pPr>
        <w:ind w:firstLine="720"/>
      </w:pPr>
      <w:r w:rsidRPr="00697752">
        <w:t xml:space="preserve">The </w:t>
      </w:r>
      <w:r w:rsidR="00077286">
        <w:t>Flexible Polyurethane Foam Production</w:t>
      </w:r>
      <w:r w:rsidRPr="00697752">
        <w:t xml:space="preserve"> source category is estimated to consist of 1</w:t>
      </w:r>
      <w:r w:rsidR="00077286">
        <w:t>3</w:t>
      </w:r>
      <w:r w:rsidRPr="00697752">
        <w:t xml:space="preserve"> existing facilities nationwide. The 1</w:t>
      </w:r>
      <w:r w:rsidR="00A56895">
        <w:t>3</w:t>
      </w:r>
      <w:r w:rsidRPr="00697752">
        <w:t xml:space="preserve"> </w:t>
      </w:r>
      <w:r w:rsidR="00A56895">
        <w:t xml:space="preserve">Flexible Polyurethane Foam </w:t>
      </w:r>
      <w:r w:rsidRPr="00697752">
        <w:t>production facilities in the United States are all privately owned and operated by for-profit businesses. All 1</w:t>
      </w:r>
      <w:r w:rsidR="00A56895">
        <w:t>3</w:t>
      </w:r>
      <w:r w:rsidRPr="00697752">
        <w:t xml:space="preserve"> existing facilities could make use of the new affirmative defense provisions added to the rule. No new major sources are projected during the 3-year period of this ICR.</w:t>
      </w:r>
    </w:p>
    <w:p w:rsidR="00697752" w:rsidRDefault="00697752"/>
    <w:p w:rsidR="00D02580" w:rsidRDefault="00D02580">
      <w:pPr>
        <w:ind w:firstLine="720"/>
      </w:pPr>
      <w:r>
        <w:rPr>
          <w:b/>
          <w:bCs/>
        </w:rPr>
        <w:t>4(b</w:t>
      </w:r>
      <w:proofErr w:type="gramStart"/>
      <w:r>
        <w:rPr>
          <w:b/>
          <w:bCs/>
        </w:rPr>
        <w:t>)  Information</w:t>
      </w:r>
      <w:proofErr w:type="gramEnd"/>
      <w:r>
        <w:rPr>
          <w:b/>
          <w:bCs/>
        </w:rPr>
        <w:t xml:space="preserve"> Requested</w:t>
      </w:r>
    </w:p>
    <w:p w:rsidR="00D02580" w:rsidRDefault="00D02580"/>
    <w:p w:rsidR="00D02580" w:rsidRDefault="00D02580">
      <w:pPr>
        <w:ind w:firstLine="1440"/>
      </w:pPr>
      <w:r>
        <w:rPr>
          <w:b/>
          <w:bCs/>
        </w:rPr>
        <w:t>(</w:t>
      </w:r>
      <w:proofErr w:type="spellStart"/>
      <w:r>
        <w:rPr>
          <w:b/>
          <w:bCs/>
        </w:rPr>
        <w:t>i</w:t>
      </w:r>
      <w:proofErr w:type="spellEnd"/>
      <w:r>
        <w:rPr>
          <w:b/>
          <w:bCs/>
        </w:rPr>
        <w:t>)  Data Items</w:t>
      </w:r>
    </w:p>
    <w:p w:rsidR="00D02580" w:rsidRDefault="00D02580"/>
    <w:p w:rsidR="00D02580" w:rsidRDefault="00D02580">
      <w:pPr>
        <w:ind w:firstLine="720"/>
      </w:pPr>
      <w:r>
        <w:t>All data in this ICR that is recorded and/or reported is required by National Emissions Standards for Hazardous Air Pollutants (NESHAP) for Flexible Polyurethane Foam Production (40 CFR part 63, subpart III).</w:t>
      </w:r>
    </w:p>
    <w:p w:rsidR="00D02580" w:rsidRDefault="00D02580"/>
    <w:p w:rsidR="00D02580" w:rsidRDefault="00D02580" w:rsidP="006C6E80">
      <w:pPr>
        <w:ind w:firstLine="720"/>
      </w:pPr>
      <w:r>
        <w:t>A source must make the following reports:</w:t>
      </w:r>
    </w:p>
    <w:p w:rsidR="00D02580" w:rsidRDefault="00D02580" w:rsidP="003D7A83"/>
    <w:tbl>
      <w:tblPr>
        <w:tblW w:w="0" w:type="auto"/>
        <w:jc w:val="center"/>
        <w:tblLayout w:type="fixed"/>
        <w:tblCellMar>
          <w:left w:w="120" w:type="dxa"/>
          <w:right w:w="120" w:type="dxa"/>
        </w:tblCellMar>
        <w:tblLook w:val="0000"/>
      </w:tblPr>
      <w:tblGrid>
        <w:gridCol w:w="7020"/>
        <w:gridCol w:w="2340"/>
      </w:tblGrid>
      <w:tr w:rsidR="00D02580" w:rsidTr="00286935">
        <w:trPr>
          <w:cantSplit/>
          <w:tblHeader/>
          <w:jc w:val="center"/>
        </w:trPr>
        <w:tc>
          <w:tcPr>
            <w:tcW w:w="7020" w:type="dxa"/>
            <w:tcBorders>
              <w:top w:val="single" w:sz="6" w:space="0" w:color="000000"/>
              <w:left w:val="single" w:sz="6" w:space="0" w:color="000000"/>
              <w:bottom w:val="single" w:sz="6" w:space="0" w:color="000000"/>
              <w:right w:val="single" w:sz="6" w:space="0" w:color="000000"/>
            </w:tcBorders>
          </w:tcPr>
          <w:p w:rsidR="00D02580" w:rsidRPr="005737E9" w:rsidRDefault="00D02580" w:rsidP="005737E9">
            <w:pPr>
              <w:spacing w:after="58"/>
              <w:jc w:val="center"/>
              <w:rPr>
                <w:b/>
              </w:rPr>
            </w:pPr>
            <w:r>
              <w:br w:type="page"/>
            </w:r>
            <w:r w:rsidRPr="005737E9">
              <w:rPr>
                <w:b/>
              </w:rPr>
              <w:t>Notification Reports</w:t>
            </w:r>
          </w:p>
        </w:tc>
        <w:tc>
          <w:tcPr>
            <w:tcW w:w="2340" w:type="dxa"/>
            <w:tcBorders>
              <w:top w:val="single" w:sz="6" w:space="0" w:color="000000"/>
              <w:left w:val="single" w:sz="6" w:space="0" w:color="000000"/>
              <w:bottom w:val="single" w:sz="6" w:space="0" w:color="000000"/>
              <w:right w:val="single" w:sz="6" w:space="0" w:color="000000"/>
            </w:tcBorders>
          </w:tcPr>
          <w:p w:rsidR="00D02580" w:rsidRPr="005737E9" w:rsidRDefault="00D02580" w:rsidP="005737E9">
            <w:pPr>
              <w:spacing w:after="58"/>
              <w:jc w:val="center"/>
              <w:rPr>
                <w:b/>
              </w:rPr>
            </w:pPr>
            <w:r w:rsidRPr="005737E9">
              <w:rPr>
                <w:b/>
              </w:rPr>
              <w:t>Citation</w:t>
            </w:r>
          </w:p>
        </w:tc>
      </w:tr>
      <w:tr w:rsidR="00D02580" w:rsidTr="00286935">
        <w:trPr>
          <w:cantSplit/>
          <w:jc w:val="center"/>
        </w:trPr>
        <w:tc>
          <w:tcPr>
            <w:tcW w:w="7020" w:type="dxa"/>
            <w:tcBorders>
              <w:top w:val="single" w:sz="6" w:space="0" w:color="000000"/>
              <w:left w:val="single" w:sz="6" w:space="0" w:color="000000"/>
              <w:bottom w:val="single" w:sz="6" w:space="0" w:color="000000"/>
              <w:right w:val="single" w:sz="6" w:space="0" w:color="000000"/>
            </w:tcBorders>
          </w:tcPr>
          <w:p w:rsidR="00D02580" w:rsidRDefault="00D02580">
            <w:pPr>
              <w:spacing w:after="58"/>
            </w:pPr>
            <w:r>
              <w:t>Initial notification</w:t>
            </w:r>
          </w:p>
        </w:tc>
        <w:tc>
          <w:tcPr>
            <w:tcW w:w="2340" w:type="dxa"/>
            <w:tcBorders>
              <w:top w:val="single" w:sz="6" w:space="0" w:color="000000"/>
              <w:left w:val="single" w:sz="6" w:space="0" w:color="000000"/>
              <w:bottom w:val="single" w:sz="6" w:space="0" w:color="000000"/>
              <w:right w:val="single" w:sz="6" w:space="0" w:color="000000"/>
            </w:tcBorders>
          </w:tcPr>
          <w:p w:rsidR="00D02580" w:rsidRPr="00742B81" w:rsidRDefault="00D02580">
            <w:pPr>
              <w:spacing w:after="58"/>
            </w:pPr>
            <w:r w:rsidRPr="00742B81">
              <w:t>63.1306(a)</w:t>
            </w:r>
          </w:p>
        </w:tc>
      </w:tr>
      <w:tr w:rsidR="00D02580" w:rsidTr="00286935">
        <w:trPr>
          <w:cantSplit/>
          <w:jc w:val="center"/>
        </w:trPr>
        <w:tc>
          <w:tcPr>
            <w:tcW w:w="7020" w:type="dxa"/>
            <w:tcBorders>
              <w:top w:val="single" w:sz="6" w:space="0" w:color="000000"/>
              <w:left w:val="single" w:sz="6" w:space="0" w:color="000000"/>
              <w:bottom w:val="single" w:sz="6" w:space="0" w:color="000000"/>
              <w:right w:val="single" w:sz="6" w:space="0" w:color="000000"/>
            </w:tcBorders>
          </w:tcPr>
          <w:p w:rsidR="00D02580" w:rsidRDefault="00D02580">
            <w:pPr>
              <w:spacing w:after="58"/>
            </w:pPr>
            <w:r>
              <w:t>Application for approval of construction or reconstruction</w:t>
            </w:r>
          </w:p>
        </w:tc>
        <w:tc>
          <w:tcPr>
            <w:tcW w:w="2340" w:type="dxa"/>
            <w:tcBorders>
              <w:top w:val="single" w:sz="6" w:space="0" w:color="000000"/>
              <w:left w:val="single" w:sz="6" w:space="0" w:color="000000"/>
              <w:bottom w:val="single" w:sz="6" w:space="0" w:color="000000"/>
              <w:right w:val="single" w:sz="6" w:space="0" w:color="000000"/>
            </w:tcBorders>
          </w:tcPr>
          <w:p w:rsidR="00D02580" w:rsidRPr="00742B81" w:rsidRDefault="00D02580">
            <w:pPr>
              <w:spacing w:after="58"/>
            </w:pPr>
            <w:r w:rsidRPr="00742B81">
              <w:t>63.1306(b)</w:t>
            </w:r>
          </w:p>
        </w:tc>
      </w:tr>
      <w:tr w:rsidR="00D02580" w:rsidTr="00286935">
        <w:trPr>
          <w:cantSplit/>
          <w:jc w:val="center"/>
        </w:trPr>
        <w:tc>
          <w:tcPr>
            <w:tcW w:w="7020" w:type="dxa"/>
            <w:tcBorders>
              <w:top w:val="single" w:sz="6" w:space="0" w:color="000000"/>
              <w:left w:val="single" w:sz="6" w:space="0" w:color="000000"/>
              <w:bottom w:val="single" w:sz="6" w:space="0" w:color="000000"/>
              <w:right w:val="single" w:sz="6" w:space="0" w:color="000000"/>
            </w:tcBorders>
          </w:tcPr>
          <w:p w:rsidR="00D02580" w:rsidRDefault="00D02580" w:rsidP="005737E9">
            <w:pPr>
              <w:spacing w:after="58"/>
            </w:pPr>
            <w:r>
              <w:t>Notification of compliance status</w:t>
            </w:r>
          </w:p>
        </w:tc>
        <w:tc>
          <w:tcPr>
            <w:tcW w:w="2340" w:type="dxa"/>
            <w:tcBorders>
              <w:top w:val="single" w:sz="6" w:space="0" w:color="000000"/>
              <w:left w:val="single" w:sz="6" w:space="0" w:color="000000"/>
              <w:bottom w:val="single" w:sz="6" w:space="0" w:color="000000"/>
              <w:right w:val="single" w:sz="6" w:space="0" w:color="000000"/>
            </w:tcBorders>
          </w:tcPr>
          <w:p w:rsidR="00D02580" w:rsidRDefault="00D02580" w:rsidP="00742B81">
            <w:pPr>
              <w:spacing w:after="58"/>
            </w:pPr>
            <w:r>
              <w:t>63.1306(</w:t>
            </w:r>
            <w:r w:rsidR="00742B81">
              <w:t>c</w:t>
            </w:r>
            <w:r>
              <w:t>)</w:t>
            </w:r>
          </w:p>
        </w:tc>
      </w:tr>
      <w:tr w:rsidR="00D02580" w:rsidTr="00286935">
        <w:trPr>
          <w:cantSplit/>
          <w:jc w:val="center"/>
        </w:trPr>
        <w:tc>
          <w:tcPr>
            <w:tcW w:w="7020" w:type="dxa"/>
            <w:tcBorders>
              <w:top w:val="single" w:sz="6" w:space="0" w:color="000000"/>
              <w:left w:val="single" w:sz="6" w:space="0" w:color="000000"/>
              <w:bottom w:val="single" w:sz="6" w:space="0" w:color="000000"/>
              <w:right w:val="single" w:sz="6" w:space="0" w:color="000000"/>
            </w:tcBorders>
          </w:tcPr>
          <w:p w:rsidR="00D02580" w:rsidRDefault="00D02580" w:rsidP="005737E9">
            <w:pPr>
              <w:spacing w:after="58"/>
            </w:pPr>
            <w:r>
              <w:t>Request for extension of compliance, adjustments to time periods, and changes in information</w:t>
            </w:r>
          </w:p>
        </w:tc>
        <w:tc>
          <w:tcPr>
            <w:tcW w:w="2340" w:type="dxa"/>
            <w:tcBorders>
              <w:top w:val="single" w:sz="6" w:space="0" w:color="000000"/>
              <w:left w:val="single" w:sz="6" w:space="0" w:color="000000"/>
              <w:bottom w:val="single" w:sz="6" w:space="0" w:color="000000"/>
              <w:right w:val="single" w:sz="6" w:space="0" w:color="000000"/>
            </w:tcBorders>
          </w:tcPr>
          <w:p w:rsidR="00D02580" w:rsidRDefault="00D02580">
            <w:pPr>
              <w:spacing w:after="58"/>
            </w:pPr>
            <w:r>
              <w:t>63.9(c), 63.9(</w:t>
            </w:r>
            <w:proofErr w:type="spellStart"/>
            <w:r>
              <w:t>i</w:t>
            </w:r>
            <w:proofErr w:type="spellEnd"/>
            <w:r>
              <w:t>), 63.9(j)</w:t>
            </w:r>
          </w:p>
        </w:tc>
      </w:tr>
      <w:tr w:rsidR="00581C5B" w:rsidTr="00286935">
        <w:trPr>
          <w:cantSplit/>
          <w:jc w:val="center"/>
        </w:trPr>
        <w:tc>
          <w:tcPr>
            <w:tcW w:w="7020" w:type="dxa"/>
            <w:tcBorders>
              <w:top w:val="single" w:sz="6" w:space="0" w:color="000000"/>
              <w:left w:val="single" w:sz="6" w:space="0" w:color="000000"/>
              <w:bottom w:val="single" w:sz="6" w:space="0" w:color="000000"/>
              <w:right w:val="single" w:sz="6" w:space="0" w:color="000000"/>
            </w:tcBorders>
          </w:tcPr>
          <w:p w:rsidR="00581C5B" w:rsidRDefault="00581C5B" w:rsidP="00581C5B">
            <w:pPr>
              <w:spacing w:after="58"/>
            </w:pPr>
            <w:r>
              <w:t>Malfunction reports</w:t>
            </w:r>
          </w:p>
        </w:tc>
        <w:tc>
          <w:tcPr>
            <w:tcW w:w="2340" w:type="dxa"/>
            <w:tcBorders>
              <w:top w:val="single" w:sz="6" w:space="0" w:color="000000"/>
              <w:left w:val="single" w:sz="6" w:space="0" w:color="000000"/>
              <w:bottom w:val="single" w:sz="6" w:space="0" w:color="000000"/>
              <w:right w:val="single" w:sz="6" w:space="0" w:color="000000"/>
            </w:tcBorders>
          </w:tcPr>
          <w:p w:rsidR="00581C5B" w:rsidRDefault="00581C5B" w:rsidP="00581C5B">
            <w:pPr>
              <w:spacing w:after="58"/>
            </w:pPr>
            <w:r>
              <w:t>63.1306(f)</w:t>
            </w:r>
          </w:p>
        </w:tc>
      </w:tr>
    </w:tbl>
    <w:p w:rsidR="007D2BEF" w:rsidRDefault="007D2BEF"/>
    <w:tbl>
      <w:tblPr>
        <w:tblW w:w="0" w:type="auto"/>
        <w:jc w:val="center"/>
        <w:tblLayout w:type="fixed"/>
        <w:tblCellMar>
          <w:left w:w="120" w:type="dxa"/>
          <w:right w:w="120" w:type="dxa"/>
        </w:tblCellMar>
        <w:tblLook w:val="0000"/>
      </w:tblPr>
      <w:tblGrid>
        <w:gridCol w:w="7020"/>
        <w:gridCol w:w="2340"/>
      </w:tblGrid>
      <w:tr w:rsidR="00D02580" w:rsidTr="00286935">
        <w:trPr>
          <w:cantSplit/>
          <w:tblHeader/>
          <w:jc w:val="center"/>
        </w:trPr>
        <w:tc>
          <w:tcPr>
            <w:tcW w:w="7020" w:type="dxa"/>
            <w:tcBorders>
              <w:top w:val="single" w:sz="6" w:space="0" w:color="000000"/>
              <w:left w:val="single" w:sz="6" w:space="0" w:color="000000"/>
              <w:bottom w:val="single" w:sz="6" w:space="0" w:color="000000"/>
              <w:right w:val="single" w:sz="6" w:space="0" w:color="000000"/>
            </w:tcBorders>
            <w:vAlign w:val="center"/>
          </w:tcPr>
          <w:p w:rsidR="00D02580" w:rsidRPr="005737E9" w:rsidRDefault="00D02580" w:rsidP="00114ACD">
            <w:pPr>
              <w:spacing w:after="58"/>
              <w:jc w:val="center"/>
              <w:rPr>
                <w:b/>
              </w:rPr>
            </w:pPr>
            <w:r w:rsidRPr="005737E9">
              <w:rPr>
                <w:b/>
              </w:rPr>
              <w:t>Reports</w:t>
            </w:r>
          </w:p>
        </w:tc>
        <w:tc>
          <w:tcPr>
            <w:tcW w:w="2340" w:type="dxa"/>
            <w:tcBorders>
              <w:top w:val="single" w:sz="6" w:space="0" w:color="000000"/>
              <w:left w:val="single" w:sz="6" w:space="0" w:color="000000"/>
              <w:bottom w:val="single" w:sz="6" w:space="0" w:color="000000"/>
              <w:right w:val="single" w:sz="6" w:space="0" w:color="000000"/>
            </w:tcBorders>
            <w:vAlign w:val="center"/>
          </w:tcPr>
          <w:p w:rsidR="00D02580" w:rsidRPr="005737E9" w:rsidRDefault="00D02580" w:rsidP="00114ACD">
            <w:pPr>
              <w:spacing w:after="58"/>
              <w:jc w:val="center"/>
              <w:rPr>
                <w:b/>
              </w:rPr>
            </w:pPr>
            <w:r w:rsidRPr="005737E9">
              <w:rPr>
                <w:b/>
              </w:rPr>
              <w:t>Citation</w:t>
            </w:r>
          </w:p>
        </w:tc>
      </w:tr>
      <w:tr w:rsidR="00D02580" w:rsidTr="00286935">
        <w:trPr>
          <w:cantSplit/>
          <w:jc w:val="center"/>
        </w:trPr>
        <w:tc>
          <w:tcPr>
            <w:tcW w:w="7020" w:type="dxa"/>
            <w:tcBorders>
              <w:top w:val="single" w:sz="6" w:space="0" w:color="000000"/>
              <w:left w:val="single" w:sz="6" w:space="0" w:color="000000"/>
              <w:bottom w:val="single" w:sz="6" w:space="0" w:color="000000"/>
              <w:right w:val="single" w:sz="6" w:space="0" w:color="000000"/>
            </w:tcBorders>
          </w:tcPr>
          <w:p w:rsidR="00D02580" w:rsidRDefault="00D02580">
            <w:pPr>
              <w:spacing w:after="58"/>
            </w:pPr>
            <w:r>
              <w:t>Semiannual compliance reports</w:t>
            </w:r>
          </w:p>
        </w:tc>
        <w:tc>
          <w:tcPr>
            <w:tcW w:w="2340" w:type="dxa"/>
            <w:tcBorders>
              <w:top w:val="single" w:sz="6" w:space="0" w:color="000000"/>
              <w:left w:val="single" w:sz="6" w:space="0" w:color="000000"/>
              <w:bottom w:val="single" w:sz="6" w:space="0" w:color="000000"/>
              <w:right w:val="single" w:sz="6" w:space="0" w:color="000000"/>
            </w:tcBorders>
          </w:tcPr>
          <w:p w:rsidR="00D02580" w:rsidRDefault="00D02580" w:rsidP="00084E0B">
            <w:pPr>
              <w:spacing w:after="58"/>
            </w:pPr>
            <w:r>
              <w:t>63.1306(</w:t>
            </w:r>
            <w:r w:rsidR="00084E0B">
              <w:t>d</w:t>
            </w:r>
            <w:r>
              <w:t>)</w:t>
            </w:r>
          </w:p>
        </w:tc>
      </w:tr>
      <w:tr w:rsidR="00D02580" w:rsidTr="008A2FA2">
        <w:trPr>
          <w:cantSplit/>
          <w:jc w:val="center"/>
        </w:trPr>
        <w:tc>
          <w:tcPr>
            <w:tcW w:w="7020" w:type="dxa"/>
            <w:tcBorders>
              <w:top w:val="single" w:sz="6" w:space="0" w:color="000000"/>
              <w:left w:val="single" w:sz="6" w:space="0" w:color="000000"/>
              <w:bottom w:val="single" w:sz="6" w:space="0" w:color="000000"/>
              <w:right w:val="single" w:sz="6" w:space="0" w:color="000000"/>
            </w:tcBorders>
          </w:tcPr>
          <w:p w:rsidR="00D02580" w:rsidRDefault="00D02580">
            <w:pPr>
              <w:spacing w:after="58"/>
            </w:pPr>
            <w:r>
              <w:t>Annual compliance certification</w:t>
            </w:r>
          </w:p>
        </w:tc>
        <w:tc>
          <w:tcPr>
            <w:tcW w:w="2340" w:type="dxa"/>
            <w:tcBorders>
              <w:top w:val="single" w:sz="6" w:space="0" w:color="000000"/>
              <w:left w:val="single" w:sz="6" w:space="0" w:color="000000"/>
              <w:bottom w:val="single" w:sz="6" w:space="0" w:color="000000"/>
              <w:right w:val="single" w:sz="6" w:space="0" w:color="000000"/>
            </w:tcBorders>
          </w:tcPr>
          <w:p w:rsidR="00D02580" w:rsidRDefault="00D02580" w:rsidP="00084E0B">
            <w:pPr>
              <w:spacing w:after="58"/>
            </w:pPr>
            <w:r>
              <w:t>63.1306(</w:t>
            </w:r>
            <w:r w:rsidR="00084E0B">
              <w:t>e</w:t>
            </w:r>
            <w:r>
              <w:t>)</w:t>
            </w:r>
          </w:p>
        </w:tc>
      </w:tr>
    </w:tbl>
    <w:p w:rsidR="00D02580" w:rsidRDefault="00D02580"/>
    <w:p w:rsidR="00D02580" w:rsidRDefault="00D02580">
      <w:pPr>
        <w:ind w:firstLine="720"/>
      </w:pPr>
      <w:r>
        <w:t>A source must keep the following records:</w:t>
      </w:r>
    </w:p>
    <w:p w:rsidR="00D02580" w:rsidRDefault="00D02580"/>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740"/>
        <w:gridCol w:w="1620"/>
      </w:tblGrid>
      <w:tr w:rsidR="00D02580" w:rsidTr="00ED0D00">
        <w:trPr>
          <w:cantSplit/>
          <w:tblHeader/>
          <w:jc w:val="center"/>
        </w:trPr>
        <w:tc>
          <w:tcPr>
            <w:tcW w:w="7740" w:type="dxa"/>
            <w:vAlign w:val="center"/>
          </w:tcPr>
          <w:p w:rsidR="00D02580" w:rsidRPr="00114ACD" w:rsidRDefault="00D02580" w:rsidP="00114ACD">
            <w:pPr>
              <w:spacing w:after="58"/>
              <w:jc w:val="center"/>
              <w:rPr>
                <w:b/>
              </w:rPr>
            </w:pPr>
            <w:r w:rsidRPr="00114ACD">
              <w:rPr>
                <w:b/>
              </w:rPr>
              <w:t>Recordkeeping</w:t>
            </w:r>
          </w:p>
        </w:tc>
        <w:tc>
          <w:tcPr>
            <w:tcW w:w="1620" w:type="dxa"/>
            <w:vAlign w:val="center"/>
          </w:tcPr>
          <w:p w:rsidR="00D02580" w:rsidRDefault="00D02580" w:rsidP="00114ACD">
            <w:pPr>
              <w:spacing w:after="58"/>
              <w:jc w:val="center"/>
            </w:pPr>
            <w:r w:rsidRPr="005737E9">
              <w:rPr>
                <w:b/>
              </w:rPr>
              <w:t>Citation</w:t>
            </w:r>
          </w:p>
        </w:tc>
      </w:tr>
      <w:tr w:rsidR="00D02580" w:rsidTr="00ED0D00">
        <w:trPr>
          <w:cantSplit/>
          <w:jc w:val="center"/>
        </w:trPr>
        <w:tc>
          <w:tcPr>
            <w:tcW w:w="7740" w:type="dxa"/>
          </w:tcPr>
          <w:p w:rsidR="00D02580" w:rsidRDefault="00D02580" w:rsidP="00863FA9">
            <w:pPr>
              <w:spacing w:after="58"/>
            </w:pPr>
            <w:r>
              <w:t>Startups, shutdowns, malfunctions</w:t>
            </w:r>
          </w:p>
        </w:tc>
        <w:tc>
          <w:tcPr>
            <w:tcW w:w="1620" w:type="dxa"/>
          </w:tcPr>
          <w:p w:rsidR="00D02580" w:rsidRDefault="00D02580">
            <w:pPr>
              <w:spacing w:after="58"/>
            </w:pPr>
            <w:r>
              <w:t xml:space="preserve">63.10(b)(2) </w:t>
            </w:r>
          </w:p>
        </w:tc>
      </w:tr>
      <w:tr w:rsidR="00D02580" w:rsidTr="00ED0D00">
        <w:trPr>
          <w:cantSplit/>
          <w:jc w:val="center"/>
        </w:trPr>
        <w:tc>
          <w:tcPr>
            <w:tcW w:w="7740" w:type="dxa"/>
          </w:tcPr>
          <w:p w:rsidR="00D02580" w:rsidRDefault="00D02580">
            <w:pPr>
              <w:spacing w:after="58"/>
            </w:pPr>
            <w:r>
              <w:t>All reports and notifications</w:t>
            </w:r>
          </w:p>
        </w:tc>
        <w:tc>
          <w:tcPr>
            <w:tcW w:w="1620" w:type="dxa"/>
          </w:tcPr>
          <w:p w:rsidR="00D02580" w:rsidRDefault="00D02580">
            <w:pPr>
              <w:spacing w:after="58"/>
            </w:pPr>
            <w:r>
              <w:t>63.10(b)</w:t>
            </w:r>
          </w:p>
        </w:tc>
      </w:tr>
      <w:tr w:rsidR="00D02580" w:rsidTr="00ED0D00">
        <w:trPr>
          <w:cantSplit/>
          <w:jc w:val="center"/>
        </w:trPr>
        <w:tc>
          <w:tcPr>
            <w:tcW w:w="7740" w:type="dxa"/>
          </w:tcPr>
          <w:p w:rsidR="00D02580" w:rsidRDefault="00D02580">
            <w:pPr>
              <w:spacing w:after="58"/>
            </w:pPr>
            <w:r>
              <w:t>Record of applicability</w:t>
            </w:r>
          </w:p>
        </w:tc>
        <w:tc>
          <w:tcPr>
            <w:tcW w:w="1620" w:type="dxa"/>
          </w:tcPr>
          <w:p w:rsidR="00D02580" w:rsidRDefault="00D02580">
            <w:pPr>
              <w:spacing w:after="58"/>
            </w:pPr>
            <w:r>
              <w:t>63.10(a)</w:t>
            </w:r>
          </w:p>
        </w:tc>
      </w:tr>
      <w:tr w:rsidR="00D02580" w:rsidTr="00ED0D00">
        <w:trPr>
          <w:cantSplit/>
          <w:jc w:val="center"/>
        </w:trPr>
        <w:tc>
          <w:tcPr>
            <w:tcW w:w="7740" w:type="dxa"/>
          </w:tcPr>
          <w:p w:rsidR="00D02580" w:rsidRDefault="00D02580" w:rsidP="00DB0E9C">
            <w:pPr>
              <w:spacing w:after="58"/>
            </w:pPr>
            <w:r>
              <w:t>Slabstock sources shall maintain storage vessel records, equipment leak record</w:t>
            </w:r>
            <w:r w:rsidR="009C2CDE">
              <w:t>s</w:t>
            </w:r>
            <w:r>
              <w:t xml:space="preserve">, </w:t>
            </w:r>
            <w:r w:rsidR="00DB0E9C">
              <w:t xml:space="preserve">and product data sheets showing </w:t>
            </w:r>
            <w:r w:rsidR="009C2CDE">
              <w:t>HAP content in ABA</w:t>
            </w:r>
            <w:r w:rsidR="00DB0E9C">
              <w:t xml:space="preserve"> and</w:t>
            </w:r>
            <w:r w:rsidR="009C2CDE">
              <w:t xml:space="preserve"> equipment cleaners, </w:t>
            </w:r>
          </w:p>
        </w:tc>
        <w:tc>
          <w:tcPr>
            <w:tcW w:w="1620" w:type="dxa"/>
          </w:tcPr>
          <w:p w:rsidR="00D02580" w:rsidRDefault="00D02580" w:rsidP="00532D40">
            <w:pPr>
              <w:spacing w:after="58"/>
            </w:pPr>
            <w:r>
              <w:t>63.1307(a-</w:t>
            </w:r>
            <w:r w:rsidR="00532D40">
              <w:t>e</w:t>
            </w:r>
            <w:r>
              <w:t>)</w:t>
            </w:r>
          </w:p>
        </w:tc>
      </w:tr>
      <w:tr w:rsidR="00D02580" w:rsidTr="00ED0D00">
        <w:trPr>
          <w:cantSplit/>
          <w:jc w:val="center"/>
        </w:trPr>
        <w:tc>
          <w:tcPr>
            <w:tcW w:w="7740" w:type="dxa"/>
          </w:tcPr>
          <w:p w:rsidR="00D02580" w:rsidRDefault="00D02580" w:rsidP="00DB0E9C">
            <w:pPr>
              <w:spacing w:after="58"/>
            </w:pPr>
            <w:r>
              <w:t xml:space="preserve">Molded/rebond foam sources shall maintain records of product data sheets for each compound other than diisocyanates used to flush the mixhead and associated piping during periods of startup or maintenance, and the product data sheets </w:t>
            </w:r>
            <w:r w:rsidR="00DB0E9C">
              <w:t>showing HAP content in</w:t>
            </w:r>
            <w:r>
              <w:t xml:space="preserve"> mold release agent</w:t>
            </w:r>
            <w:r w:rsidR="00DB0E9C">
              <w:t>s</w:t>
            </w:r>
            <w:r>
              <w:t>.</w:t>
            </w:r>
          </w:p>
        </w:tc>
        <w:tc>
          <w:tcPr>
            <w:tcW w:w="1620" w:type="dxa"/>
          </w:tcPr>
          <w:p w:rsidR="00D02580" w:rsidRDefault="00D02580" w:rsidP="00DB0E9C">
            <w:pPr>
              <w:spacing w:after="58"/>
            </w:pPr>
            <w:r>
              <w:t>63.1307(</w:t>
            </w:r>
            <w:r w:rsidR="00DB0E9C">
              <w:t>f-g</w:t>
            </w:r>
            <w:r>
              <w:t>)</w:t>
            </w:r>
          </w:p>
        </w:tc>
      </w:tr>
      <w:tr w:rsidR="00D02580" w:rsidTr="00ED0D00">
        <w:trPr>
          <w:cantSplit/>
          <w:jc w:val="center"/>
        </w:trPr>
        <w:tc>
          <w:tcPr>
            <w:tcW w:w="7740" w:type="dxa"/>
          </w:tcPr>
          <w:p w:rsidR="00D02580" w:rsidRDefault="00D02580">
            <w:pPr>
              <w:spacing w:after="58"/>
            </w:pPr>
            <w:r>
              <w:t>Records are required to be retained for five years; however, only the data of the most recent two years must be kept on-site</w:t>
            </w:r>
          </w:p>
        </w:tc>
        <w:tc>
          <w:tcPr>
            <w:tcW w:w="1620" w:type="dxa"/>
          </w:tcPr>
          <w:p w:rsidR="00D02580" w:rsidRDefault="00D02580">
            <w:pPr>
              <w:spacing w:after="58"/>
            </w:pPr>
            <w:r>
              <w:t>63.10(b)(1)</w:t>
            </w:r>
          </w:p>
        </w:tc>
      </w:tr>
    </w:tbl>
    <w:p w:rsidR="00D02580" w:rsidRDefault="00D02580"/>
    <w:p w:rsidR="00BE5ACD" w:rsidRDefault="00BE5ACD"/>
    <w:p w:rsidR="00BE5ACD" w:rsidRDefault="00BE5ACD"/>
    <w:p w:rsidR="00BE5ACD" w:rsidRDefault="00BE5ACD"/>
    <w:p w:rsidR="00D02580" w:rsidRDefault="00D02580">
      <w:r>
        <w:rPr>
          <w:u w:val="single"/>
        </w:rPr>
        <w:lastRenderedPageBreak/>
        <w:t>Electronic Reporting</w:t>
      </w:r>
    </w:p>
    <w:p w:rsidR="00D02580" w:rsidRDefault="00D02580"/>
    <w:p w:rsidR="00ED0D00" w:rsidRDefault="00D02580" w:rsidP="00ED0D00">
      <w:pPr>
        <w:ind w:firstLine="720"/>
      </w:pPr>
      <w:r>
        <w:t>Currently, sources are using monitoring equipment that provides parameter data in an automated way, e.g., flow rate monitoring and pump revolution per minute monitoring.  Although personnel at the source still need to evaluate the data, this type of monitoring equipment has significantly reduced the burden associated with monitoring and recordkeeping.  In addition, some regulatory agencies are setting up electronic reporting systems to allow sources to report electronically which is reducing the reporting burden.  However, electronic reporting systems are still not widely used by the regulatory agencies.  It is estimated that approximately 10 percent of the respondents use electronic reporting.</w:t>
      </w:r>
    </w:p>
    <w:p w:rsidR="00ED0D00" w:rsidRDefault="00ED0D00" w:rsidP="00ED0D00">
      <w:pPr>
        <w:ind w:firstLine="720"/>
      </w:pPr>
    </w:p>
    <w:p w:rsidR="00D02580" w:rsidRDefault="00D02580" w:rsidP="00ED0D00">
      <w:pPr>
        <w:numPr>
          <w:ilvl w:val="0"/>
          <w:numId w:val="2"/>
        </w:numPr>
        <w:rPr>
          <w:b/>
          <w:bCs/>
        </w:rPr>
      </w:pPr>
      <w:r>
        <w:rPr>
          <w:b/>
          <w:bCs/>
        </w:rPr>
        <w:t>Respondent Activities</w:t>
      </w:r>
    </w:p>
    <w:p w:rsidR="00ED0D00" w:rsidRPr="00ED0D00" w:rsidRDefault="00ED0D00" w:rsidP="00ED0D00">
      <w:pPr>
        <w:ind w:left="1440"/>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ayout w:type="fixed"/>
        <w:tblCellMar>
          <w:left w:w="120" w:type="dxa"/>
          <w:right w:w="120" w:type="dxa"/>
        </w:tblCellMar>
        <w:tblLook w:val="0000"/>
      </w:tblPr>
      <w:tblGrid>
        <w:gridCol w:w="9360"/>
      </w:tblGrid>
      <w:tr w:rsidR="00D02580" w:rsidTr="005E5F00">
        <w:trPr>
          <w:cantSplit/>
          <w:tblHeader/>
          <w:jc w:val="center"/>
        </w:trPr>
        <w:tc>
          <w:tcPr>
            <w:tcW w:w="9360" w:type="dxa"/>
          </w:tcPr>
          <w:p w:rsidR="00D02580" w:rsidRPr="00ED0D00" w:rsidRDefault="00D02580" w:rsidP="00ED0D00">
            <w:pPr>
              <w:jc w:val="center"/>
              <w:rPr>
                <w:b/>
              </w:rPr>
            </w:pPr>
            <w:r w:rsidRPr="00ED0D00">
              <w:rPr>
                <w:b/>
              </w:rPr>
              <w:t>Respondent Activities</w:t>
            </w:r>
          </w:p>
        </w:tc>
      </w:tr>
      <w:tr w:rsidR="00D02580" w:rsidTr="005E5F00">
        <w:trPr>
          <w:cantSplit/>
          <w:jc w:val="center"/>
        </w:trPr>
        <w:tc>
          <w:tcPr>
            <w:tcW w:w="9360" w:type="dxa"/>
          </w:tcPr>
          <w:p w:rsidR="00D02580" w:rsidRDefault="00D02580" w:rsidP="00ED0D00">
            <w:r>
              <w:t>Read instructions.</w:t>
            </w:r>
          </w:p>
        </w:tc>
      </w:tr>
      <w:tr w:rsidR="00D02580" w:rsidTr="005E5F00">
        <w:trPr>
          <w:cantSplit/>
          <w:jc w:val="center"/>
        </w:trPr>
        <w:tc>
          <w:tcPr>
            <w:tcW w:w="9360" w:type="dxa"/>
          </w:tcPr>
          <w:p w:rsidR="00D02580" w:rsidRDefault="00D02580" w:rsidP="005E5F00">
            <w:r>
              <w:t xml:space="preserve">Performance tests are not required by MACT, subpart III.  However, sources are required to use Reference Method 18 of part 60 for HAP concentration; </w:t>
            </w:r>
            <w:r w:rsidR="005E5F00">
              <w:t xml:space="preserve">and </w:t>
            </w:r>
            <w:r>
              <w:t xml:space="preserve">Method 25A of part 60 for organic compounds measurements; </w:t>
            </w:r>
          </w:p>
        </w:tc>
      </w:tr>
      <w:tr w:rsidR="00D02580" w:rsidTr="005E5F00">
        <w:trPr>
          <w:cantSplit/>
          <w:jc w:val="center"/>
        </w:trPr>
        <w:tc>
          <w:tcPr>
            <w:tcW w:w="9360" w:type="dxa"/>
          </w:tcPr>
          <w:p w:rsidR="00D02580" w:rsidRDefault="00D02580" w:rsidP="00ED0D00">
            <w:r>
              <w:t>Write the notifications and reports listed above.</w:t>
            </w:r>
          </w:p>
        </w:tc>
      </w:tr>
      <w:tr w:rsidR="00D02580" w:rsidTr="005E5F00">
        <w:trPr>
          <w:cantSplit/>
          <w:jc w:val="center"/>
        </w:trPr>
        <w:tc>
          <w:tcPr>
            <w:tcW w:w="9360" w:type="dxa"/>
          </w:tcPr>
          <w:p w:rsidR="00D02580" w:rsidRPr="00ED0D00" w:rsidRDefault="00D02580" w:rsidP="00ED0D00">
            <w:r w:rsidRPr="00ED0D00">
              <w:t>Enter information required to be recorded above.</w:t>
            </w:r>
          </w:p>
        </w:tc>
      </w:tr>
      <w:tr w:rsidR="00D02580" w:rsidTr="005E5F00">
        <w:trPr>
          <w:cantSplit/>
          <w:jc w:val="center"/>
        </w:trPr>
        <w:tc>
          <w:tcPr>
            <w:tcW w:w="9360" w:type="dxa"/>
          </w:tcPr>
          <w:p w:rsidR="00D02580" w:rsidRPr="00ED0D00" w:rsidRDefault="00D02580" w:rsidP="00ED0D00">
            <w:r w:rsidRPr="00ED0D00">
              <w:t>Submit the required reports developing, acquiring, installing, and utilizing technology and systems for the purpose of collecting, validating, and verifying information.</w:t>
            </w:r>
          </w:p>
        </w:tc>
      </w:tr>
      <w:tr w:rsidR="00D02580" w:rsidTr="005E5F00">
        <w:trPr>
          <w:cantSplit/>
          <w:jc w:val="center"/>
        </w:trPr>
        <w:tc>
          <w:tcPr>
            <w:tcW w:w="9360" w:type="dxa"/>
          </w:tcPr>
          <w:p w:rsidR="00D02580" w:rsidRPr="00ED0D00" w:rsidRDefault="00D02580" w:rsidP="00ED0D00">
            <w:r w:rsidRPr="00ED0D00">
              <w:t>Develop, acquire, install, and utilize technology and systems for the purpose of processing and maintaining information.</w:t>
            </w:r>
          </w:p>
        </w:tc>
      </w:tr>
      <w:tr w:rsidR="00D02580" w:rsidTr="005E5F00">
        <w:trPr>
          <w:cantSplit/>
          <w:jc w:val="center"/>
        </w:trPr>
        <w:tc>
          <w:tcPr>
            <w:tcW w:w="9360" w:type="dxa"/>
          </w:tcPr>
          <w:p w:rsidR="00D02580" w:rsidRPr="00ED0D00" w:rsidRDefault="00D02580" w:rsidP="00ED0D00">
            <w:r w:rsidRPr="00ED0D00">
              <w:t>Develop, acquire, install, and utilize technology and systems for the purpose of disclosing and providing information.</w:t>
            </w:r>
          </w:p>
        </w:tc>
      </w:tr>
      <w:tr w:rsidR="00D02580" w:rsidTr="005E5F00">
        <w:trPr>
          <w:cantSplit/>
          <w:jc w:val="center"/>
        </w:trPr>
        <w:tc>
          <w:tcPr>
            <w:tcW w:w="9360" w:type="dxa"/>
          </w:tcPr>
          <w:p w:rsidR="00D02580" w:rsidRPr="00ED0D00" w:rsidRDefault="00D02580" w:rsidP="00ED0D00">
            <w:r w:rsidRPr="00ED0D00">
              <w:t>Adjust the existing ways to comply with any previously applicable instructions and requirements.</w:t>
            </w:r>
          </w:p>
        </w:tc>
      </w:tr>
      <w:tr w:rsidR="00D02580" w:rsidTr="005E5F00">
        <w:trPr>
          <w:cantSplit/>
          <w:jc w:val="center"/>
        </w:trPr>
        <w:tc>
          <w:tcPr>
            <w:tcW w:w="9360" w:type="dxa"/>
          </w:tcPr>
          <w:p w:rsidR="00D02580" w:rsidRPr="00ED0D00" w:rsidRDefault="00D02580" w:rsidP="00ED0D00">
            <w:r w:rsidRPr="00ED0D00">
              <w:t>Train personnel to be able to respond to a collection of information.</w:t>
            </w:r>
          </w:p>
        </w:tc>
      </w:tr>
      <w:tr w:rsidR="00D02580" w:rsidTr="005E5F00">
        <w:trPr>
          <w:cantSplit/>
          <w:jc w:val="center"/>
        </w:trPr>
        <w:tc>
          <w:tcPr>
            <w:tcW w:w="9360" w:type="dxa"/>
          </w:tcPr>
          <w:p w:rsidR="00D02580" w:rsidRPr="00ED0D00" w:rsidRDefault="00D02580" w:rsidP="00ED0D00">
            <w:r w:rsidRPr="00ED0D00">
              <w:t>Transmit, or otherwise disclose the information.</w:t>
            </w:r>
          </w:p>
        </w:tc>
      </w:tr>
    </w:tbl>
    <w:p w:rsidR="00D02580" w:rsidRDefault="00D02580"/>
    <w:p w:rsidR="00D02580" w:rsidRDefault="00D02580">
      <w:pPr>
        <w:ind w:firstLine="720"/>
        <w:rPr>
          <w:b/>
          <w:bCs/>
        </w:rPr>
      </w:pPr>
      <w:r>
        <w:t>Currently, sources are using monitoring equipment that provides parameter data in an automated way, e.g., flow rate monitors; however, personnel at the facility still need to evaluate the data.  Although personnel at the source still need to evaluate the data, this type of monitoring equipment has significantly reduced the burden associated with monitoring and recordkeeping.  In addition, some regulatory agencies are setting up electronic reporting systems to allow sources to report electronically which is reducing the reporting burden.  However, electronic reporting systems are still not widely used by the regulatory Agencies.  It is estimated that approximately 10 percent of the respondents use electronic reporting.</w:t>
      </w:r>
    </w:p>
    <w:p w:rsidR="00D02580" w:rsidRDefault="00D02580">
      <w:pPr>
        <w:rPr>
          <w:b/>
          <w:bCs/>
        </w:rPr>
      </w:pPr>
    </w:p>
    <w:p w:rsidR="00D02580" w:rsidRDefault="00D02580">
      <w:pPr>
        <w:rPr>
          <w:b/>
          <w:bCs/>
        </w:rPr>
      </w:pPr>
      <w:r>
        <w:rPr>
          <w:b/>
          <w:bCs/>
        </w:rPr>
        <w:t>5.  The Information Collected: Agency Activities, Collection Methodology, and Information Management</w:t>
      </w:r>
    </w:p>
    <w:p w:rsidR="00D02580" w:rsidRDefault="00D02580">
      <w:pPr>
        <w:rPr>
          <w:b/>
          <w:bCs/>
        </w:rPr>
      </w:pPr>
    </w:p>
    <w:p w:rsidR="00D02580" w:rsidRDefault="00D02580">
      <w:pPr>
        <w:ind w:firstLine="720"/>
      </w:pPr>
      <w:r>
        <w:rPr>
          <w:b/>
          <w:bCs/>
        </w:rPr>
        <w:t>5(a</w:t>
      </w:r>
      <w:proofErr w:type="gramStart"/>
      <w:r>
        <w:rPr>
          <w:b/>
          <w:bCs/>
        </w:rPr>
        <w:t>)  Agency</w:t>
      </w:r>
      <w:proofErr w:type="gramEnd"/>
      <w:r>
        <w:rPr>
          <w:b/>
          <w:bCs/>
        </w:rPr>
        <w:t xml:space="preserve"> Activities</w:t>
      </w:r>
    </w:p>
    <w:p w:rsidR="00ED0D00" w:rsidRDefault="00ED0D00" w:rsidP="00ED0D00"/>
    <w:p w:rsidR="00ED0D00" w:rsidRDefault="00D02580" w:rsidP="00ED0D00">
      <w:r>
        <w:t xml:space="preserve">EPA conducts the following activities in connection with the acquisition, analysis, storage, and </w:t>
      </w:r>
      <w:r>
        <w:lastRenderedPageBreak/>
        <w:t>distribution of the required information.</w:t>
      </w:r>
    </w:p>
    <w:p w:rsidR="00457863" w:rsidRDefault="00457863" w:rsidP="00ED0D00"/>
    <w:tbl>
      <w:tblPr>
        <w:tblW w:w="0" w:type="auto"/>
        <w:jc w:val="center"/>
        <w:tblLayout w:type="fixed"/>
        <w:tblCellMar>
          <w:left w:w="120" w:type="dxa"/>
          <w:right w:w="120" w:type="dxa"/>
        </w:tblCellMar>
        <w:tblLook w:val="0000"/>
      </w:tblPr>
      <w:tblGrid>
        <w:gridCol w:w="9360"/>
      </w:tblGrid>
      <w:tr w:rsidR="00D02580" w:rsidTr="00ED0D00">
        <w:trPr>
          <w:cantSplit/>
          <w:tblHeader/>
          <w:jc w:val="center"/>
        </w:trPr>
        <w:tc>
          <w:tcPr>
            <w:tcW w:w="9360" w:type="dxa"/>
            <w:tcBorders>
              <w:top w:val="single" w:sz="2" w:space="0" w:color="000000"/>
              <w:left w:val="single" w:sz="2" w:space="0" w:color="000000"/>
              <w:bottom w:val="single" w:sz="2" w:space="0" w:color="000000"/>
              <w:right w:val="single" w:sz="2" w:space="0" w:color="000000"/>
            </w:tcBorders>
          </w:tcPr>
          <w:p w:rsidR="00D02580" w:rsidRPr="00ED0D00" w:rsidRDefault="00D02580" w:rsidP="00ED0D00">
            <w:pPr>
              <w:jc w:val="center"/>
              <w:rPr>
                <w:b/>
              </w:rPr>
            </w:pPr>
            <w:r w:rsidRPr="00ED0D00">
              <w:rPr>
                <w:b/>
              </w:rPr>
              <w:t>Agency Activities</w:t>
            </w:r>
          </w:p>
        </w:tc>
      </w:tr>
      <w:tr w:rsidR="00D02580" w:rsidTr="00ED0D00">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D02580" w:rsidRPr="00ED0D00" w:rsidRDefault="00D02580" w:rsidP="00ED0D00">
            <w:r w:rsidRPr="00ED0D00">
              <w:t>Review notifications and reports, including performance test reports, and excess emissions reports, required to be submitted by industry.</w:t>
            </w:r>
          </w:p>
        </w:tc>
      </w:tr>
      <w:tr w:rsidR="00D02580" w:rsidTr="00ED0D00">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D02580" w:rsidRPr="00ED0D00" w:rsidRDefault="00D02580" w:rsidP="00ED0D00">
            <w:r w:rsidRPr="00ED0D00">
              <w:t>Audit facility records.</w:t>
            </w:r>
          </w:p>
        </w:tc>
      </w:tr>
      <w:tr w:rsidR="00D02580" w:rsidTr="00ED0D00">
        <w:trPr>
          <w:cantSplit/>
          <w:jc w:val="center"/>
        </w:trPr>
        <w:tc>
          <w:tcPr>
            <w:tcW w:w="9360" w:type="dxa"/>
            <w:tcBorders>
              <w:top w:val="single" w:sz="2" w:space="0" w:color="000000"/>
              <w:left w:val="single" w:sz="2" w:space="0" w:color="000000"/>
              <w:bottom w:val="single" w:sz="2" w:space="0" w:color="000000"/>
              <w:right w:val="single" w:sz="2" w:space="0" w:color="000000"/>
            </w:tcBorders>
          </w:tcPr>
          <w:p w:rsidR="00D02580" w:rsidRPr="00ED0D00" w:rsidRDefault="00D02580" w:rsidP="00ED0D00">
            <w:r w:rsidRPr="00ED0D00">
              <w:t>Input, analyze, and m</w:t>
            </w:r>
            <w:r w:rsidR="00ED0D00">
              <w:t>aintain data in the Air Facility S</w:t>
            </w:r>
            <w:r w:rsidRPr="00ED0D00">
              <w:t>ystem (AFS).</w:t>
            </w:r>
          </w:p>
        </w:tc>
      </w:tr>
    </w:tbl>
    <w:p w:rsidR="00D02580" w:rsidRDefault="00D02580">
      <w:pPr>
        <w:rPr>
          <w:b/>
          <w:bCs/>
        </w:rPr>
      </w:pPr>
    </w:p>
    <w:p w:rsidR="00D02580" w:rsidRDefault="00D02580">
      <w:pPr>
        <w:ind w:firstLine="720"/>
      </w:pPr>
      <w:r>
        <w:rPr>
          <w:b/>
          <w:bCs/>
        </w:rPr>
        <w:t>5(b</w:t>
      </w:r>
      <w:proofErr w:type="gramStart"/>
      <w:r>
        <w:rPr>
          <w:b/>
          <w:bCs/>
        </w:rPr>
        <w:t>)  Collection</w:t>
      </w:r>
      <w:proofErr w:type="gramEnd"/>
      <w:r>
        <w:rPr>
          <w:b/>
          <w:bCs/>
        </w:rPr>
        <w:t xml:space="preserve"> Methodology and Management</w:t>
      </w:r>
    </w:p>
    <w:p w:rsidR="00D02580" w:rsidRDefault="00D02580"/>
    <w:p w:rsidR="001D23D0" w:rsidRDefault="001D23D0" w:rsidP="001D23D0">
      <w:pPr>
        <w:widowControl/>
      </w:pPr>
      <w:r>
        <w:tab/>
      </w:r>
      <w:r w:rsidRPr="00304482">
        <w:t>Data and records maintained by the respondents are tabulated and published for use in compliance and enforcement programs of the delegated permitting authority</w:t>
      </w:r>
      <w:r>
        <w:t>.</w:t>
      </w:r>
      <w:r w:rsidRPr="00304482">
        <w:t xml:space="preserve"> The semiannual reports are used for problem identification, as a check on source operation and maintenance, and for compliance determinations.</w:t>
      </w:r>
      <w:r>
        <w:t xml:space="preserve"> </w:t>
      </w:r>
      <w:r w:rsidRPr="00304482">
        <w:t>The required report for facilities who wish to avail themselves of the affirmative defense will be used by the delegated authority to determine if a source meets the cr</w:t>
      </w:r>
      <w:r>
        <w:t>iteria for affirmative defense.</w:t>
      </w:r>
      <w:r w:rsidRPr="00304482">
        <w:t xml:space="preserve"> If a source meets the criteria for affirmative defense, they may be excused from civil penalties for exceedances of an emission limit.</w:t>
      </w:r>
    </w:p>
    <w:p w:rsidR="001D23D0" w:rsidRDefault="001D23D0" w:rsidP="001D23D0">
      <w:pPr>
        <w:widowControl/>
      </w:pPr>
    </w:p>
    <w:p w:rsidR="00D02580" w:rsidRDefault="001D23D0" w:rsidP="001D23D0">
      <w:r>
        <w:t xml:space="preserve">The </w:t>
      </w:r>
      <w:r w:rsidRPr="0057369B">
        <w:t xml:space="preserve">EPA is the permitting authority until the state agency is delegated authority to implement the rule.  Therefore, information contained in the reports submitted to the Regional Administrator will be entered into the Air Facility System (AFS), which is operated and maintained by </w:t>
      </w:r>
      <w:r>
        <w:t xml:space="preserve">the </w:t>
      </w:r>
      <w:r w:rsidRPr="0057369B">
        <w:t>EPA’s</w:t>
      </w:r>
      <w:r>
        <w:t xml:space="preserve"> Office of Compliance. The </w:t>
      </w:r>
      <w:r w:rsidRPr="0057369B">
        <w:t xml:space="preserve">AFS is </w:t>
      </w:r>
      <w:r>
        <w:t xml:space="preserve">the </w:t>
      </w:r>
      <w:r w:rsidRPr="0057369B">
        <w:t>EPA’s database for the collection, maintenance, and retrieval of compliance data for approximately 125,000 industrial a</w:t>
      </w:r>
      <w:r>
        <w:t>nd government-owned facilities.</w:t>
      </w:r>
      <w:r w:rsidRPr="0057369B">
        <w:t xml:space="preserve"> </w:t>
      </w:r>
      <w:r>
        <w:t xml:space="preserve">The </w:t>
      </w:r>
      <w:r w:rsidRPr="0057369B">
        <w:t xml:space="preserve">EPA uses the AFS for tracking air pollution compliance and enforcement by local and state regulatory agencies, </w:t>
      </w:r>
      <w:r>
        <w:t xml:space="preserve">the </w:t>
      </w:r>
      <w:r w:rsidRPr="0057369B">
        <w:t>EPA regional</w:t>
      </w:r>
      <w:r>
        <w:t xml:space="preserve"> offices and the EPA headquarters. The </w:t>
      </w:r>
      <w:r w:rsidRPr="0057369B">
        <w:t>EPA and its delegated authorities can edit, store, retrieve and analyze the data.</w:t>
      </w:r>
    </w:p>
    <w:p w:rsidR="001D23D0" w:rsidRDefault="001D23D0" w:rsidP="00C973D0"/>
    <w:p w:rsidR="00D02580" w:rsidRDefault="00D02580">
      <w:pPr>
        <w:ind w:firstLine="720"/>
      </w:pPr>
      <w:r>
        <w:rPr>
          <w:b/>
          <w:bCs/>
        </w:rPr>
        <w:t>5(c</w:t>
      </w:r>
      <w:proofErr w:type="gramStart"/>
      <w:r>
        <w:rPr>
          <w:b/>
          <w:bCs/>
        </w:rPr>
        <w:t>)  Small</w:t>
      </w:r>
      <w:proofErr w:type="gramEnd"/>
      <w:r>
        <w:rPr>
          <w:b/>
          <w:bCs/>
        </w:rPr>
        <w:t xml:space="preserve"> Entity Flexibility</w:t>
      </w:r>
    </w:p>
    <w:p w:rsidR="00D02580" w:rsidRDefault="00D02580"/>
    <w:p w:rsidR="00ED38C0" w:rsidRPr="00ED38C0" w:rsidRDefault="00ED38C0" w:rsidP="005335D2">
      <w:r w:rsidRPr="00ED38C0">
        <w:t xml:space="preserve">During </w:t>
      </w:r>
      <w:r w:rsidR="00B6366A">
        <w:t>the RTR process</w:t>
      </w:r>
      <w:r w:rsidRPr="00ED38C0">
        <w:t>, the proposed rule w</w:t>
      </w:r>
      <w:r w:rsidR="00B6366A">
        <w:t>as</w:t>
      </w:r>
      <w:r w:rsidRPr="00ED38C0">
        <w:t xml:space="preserve"> reviewed to estimate the number of small entities potentially affected.  </w:t>
      </w:r>
      <w:r>
        <w:t xml:space="preserve">Based on this </w:t>
      </w:r>
      <w:r w:rsidR="00B6366A">
        <w:t>analysis</w:t>
      </w:r>
      <w:r>
        <w:t xml:space="preserve">, EPA assumes that approximately </w:t>
      </w:r>
      <w:r w:rsidR="00B6366A">
        <w:t xml:space="preserve">23 </w:t>
      </w:r>
      <w:r>
        <w:t xml:space="preserve">percent of currently affected facilities, or </w:t>
      </w:r>
      <w:r w:rsidR="00B6366A">
        <w:t xml:space="preserve">3 </w:t>
      </w:r>
      <w:r>
        <w:t>facilities, may be small entities.</w:t>
      </w:r>
    </w:p>
    <w:p w:rsidR="00ED38C0" w:rsidRPr="00ED38C0" w:rsidRDefault="00ED38C0" w:rsidP="00ED38C0">
      <w:pPr>
        <w:ind w:firstLine="720"/>
      </w:pPr>
    </w:p>
    <w:p w:rsidR="00D02580" w:rsidRDefault="00D02580">
      <w:pPr>
        <w:ind w:firstLine="720"/>
      </w:pPr>
      <w:r w:rsidRPr="00ED38C0">
        <w:t>However, the impact on small entities (i.e., small businesses) was taken into consideration during the development of the regulation.  D</w:t>
      </w:r>
      <w:r>
        <w:t xml:space="preserve">ue to technical considerations involving the process operations and the types of control equipment employed, the recordkeeping and reporting requirements are the same for both small and large entities.  </w:t>
      </w:r>
      <w:r w:rsidR="007C107A">
        <w:t xml:space="preserve">       </w:t>
      </w:r>
      <w:r>
        <w:t>The Agency considers these requirements the minimum needed to ensure compliance and, therefore, cannot reduce them further for small entities.  To the extent that larger businesses can use economies of scale to reduce their burden, the overall burden will be reduced.</w:t>
      </w:r>
    </w:p>
    <w:p w:rsidR="00D02580" w:rsidRDefault="00D02580" w:rsidP="00BC5A0A">
      <w:pPr>
        <w:ind w:firstLine="720"/>
        <w:rPr>
          <w:b/>
          <w:bCs/>
        </w:rPr>
      </w:pPr>
    </w:p>
    <w:p w:rsidR="00D02580" w:rsidRDefault="00D02580" w:rsidP="00BC5A0A">
      <w:pPr>
        <w:ind w:firstLine="720"/>
      </w:pPr>
      <w:r>
        <w:rPr>
          <w:b/>
          <w:bCs/>
        </w:rPr>
        <w:t>5(d</w:t>
      </w:r>
      <w:proofErr w:type="gramStart"/>
      <w:r>
        <w:rPr>
          <w:b/>
          <w:bCs/>
        </w:rPr>
        <w:t>)  Collection</w:t>
      </w:r>
      <w:proofErr w:type="gramEnd"/>
      <w:r>
        <w:rPr>
          <w:b/>
          <w:bCs/>
        </w:rPr>
        <w:t xml:space="preserve"> Schedule</w:t>
      </w:r>
    </w:p>
    <w:p w:rsidR="00D02580" w:rsidRDefault="00D02580"/>
    <w:p w:rsidR="00D02580" w:rsidRDefault="00D02580">
      <w:pPr>
        <w:ind w:firstLine="720"/>
      </w:pPr>
      <w:r>
        <w:t>The specific frequency for each information collection activity within this request is shown</w:t>
      </w:r>
      <w:r w:rsidR="007C107A">
        <w:t xml:space="preserve"> below</w:t>
      </w:r>
      <w:r>
        <w:t xml:space="preserve"> in Table 1: </w:t>
      </w:r>
      <w:r w:rsidR="00B6366A" w:rsidRPr="00B6366A">
        <w:t xml:space="preserve">Annual Respondent Burden </w:t>
      </w:r>
      <w:r w:rsidR="00666DA2">
        <w:t>a</w:t>
      </w:r>
      <w:r w:rsidR="00B6366A" w:rsidRPr="00B6366A">
        <w:t>nd Cost: N</w:t>
      </w:r>
      <w:r w:rsidR="00666DA2">
        <w:t>ESHAP</w:t>
      </w:r>
      <w:r w:rsidR="00B6366A" w:rsidRPr="00B6366A">
        <w:t xml:space="preserve"> </w:t>
      </w:r>
      <w:r w:rsidR="00666DA2">
        <w:t>f</w:t>
      </w:r>
      <w:r w:rsidR="00B6366A" w:rsidRPr="00B6366A">
        <w:t xml:space="preserve">or Flexible Polyurethane Foam Production (40 CFR </w:t>
      </w:r>
      <w:proofErr w:type="gramStart"/>
      <w:r w:rsidR="00B6366A" w:rsidRPr="00B6366A">
        <w:t>part</w:t>
      </w:r>
      <w:proofErr w:type="gramEnd"/>
      <w:r w:rsidR="00B6366A" w:rsidRPr="00B6366A">
        <w:t xml:space="preserve"> 63, subpart III)</w:t>
      </w:r>
      <w:r>
        <w:t>.</w:t>
      </w:r>
    </w:p>
    <w:p w:rsidR="00D02580" w:rsidRDefault="00D02580">
      <w:pPr>
        <w:rPr>
          <w:b/>
          <w:bCs/>
        </w:rPr>
      </w:pPr>
      <w:r>
        <w:rPr>
          <w:b/>
          <w:bCs/>
        </w:rPr>
        <w:lastRenderedPageBreak/>
        <w:t>6.  Estimating the Burden and Cost of the Collection</w:t>
      </w:r>
    </w:p>
    <w:p w:rsidR="00D02580" w:rsidRDefault="00D02580">
      <w:pPr>
        <w:rPr>
          <w:b/>
          <w:bCs/>
        </w:rPr>
      </w:pPr>
    </w:p>
    <w:p w:rsidR="00D02580" w:rsidRDefault="00D02580">
      <w:pPr>
        <w:ind w:firstLine="720"/>
      </w:pPr>
      <w:r>
        <w:t xml:space="preserve">Table 1 documents the computation of individual burdens for the recordkeeping and reporting requirements applicable to the industry under the NESHAP subpart III standards, included in this ICR.  The individual burdens are expressed under standardized headings believed to be consistent with the concept of burden under the Paperwork Reduction Act.  </w:t>
      </w:r>
      <w:r w:rsidR="007C107A">
        <w:t xml:space="preserve"> </w:t>
      </w:r>
      <w:proofErr w:type="gramStart"/>
      <w:r>
        <w:t>Where appropriate, specific tasks and major assumptions have been identified.</w:t>
      </w:r>
      <w:proofErr w:type="gramEnd"/>
      <w:r>
        <w:t xml:space="preserve">  Responses </w:t>
      </w:r>
      <w:r w:rsidR="00C973D0">
        <w:t>to this</w:t>
      </w:r>
      <w:r>
        <w:t xml:space="preserve"> information collection are mandatory.</w:t>
      </w:r>
    </w:p>
    <w:p w:rsidR="00D02580" w:rsidRDefault="00D02580"/>
    <w:p w:rsidR="00D02580" w:rsidRDefault="00D02580">
      <w:pPr>
        <w:ind w:firstLine="720"/>
      </w:pPr>
      <w:r>
        <w:t>The Agency may not conduct or sponsor, and a person is not required to respond to, a collection of information unless it displays a currently valid OMB control number.</w:t>
      </w:r>
    </w:p>
    <w:p w:rsidR="00D02580" w:rsidRDefault="00D02580"/>
    <w:p w:rsidR="00D02580" w:rsidRDefault="00D02580">
      <w:pPr>
        <w:ind w:firstLine="720"/>
      </w:pPr>
      <w:r>
        <w:rPr>
          <w:b/>
          <w:bCs/>
        </w:rPr>
        <w:t>6(a</w:t>
      </w:r>
      <w:proofErr w:type="gramStart"/>
      <w:r>
        <w:rPr>
          <w:b/>
          <w:bCs/>
        </w:rPr>
        <w:t>)  Estimating</w:t>
      </w:r>
      <w:proofErr w:type="gramEnd"/>
      <w:r>
        <w:rPr>
          <w:b/>
          <w:bCs/>
        </w:rPr>
        <w:t xml:space="preserve"> Respondent Burden</w:t>
      </w:r>
    </w:p>
    <w:p w:rsidR="00D02580" w:rsidRDefault="00D02580"/>
    <w:p w:rsidR="00D02580" w:rsidRDefault="00D02580">
      <w:pPr>
        <w:ind w:firstLine="720"/>
      </w:pPr>
      <w:r>
        <w:t xml:space="preserve">The average annual burden to industry over the next three years from these recordkeeping and reporting requirements is estimated to be </w:t>
      </w:r>
      <w:r w:rsidR="00AD6BE5">
        <w:t>1,0</w:t>
      </w:r>
      <w:r w:rsidR="009E49DA">
        <w:t>3</w:t>
      </w:r>
      <w:r w:rsidR="00AD6BE5">
        <w:t>0</w:t>
      </w:r>
      <w:r>
        <w:t xml:space="preserve"> hours, </w:t>
      </w:r>
      <w:r>
        <w:rPr>
          <w:color w:val="000000"/>
        </w:rPr>
        <w:t>which is shown</w:t>
      </w:r>
      <w:r w:rsidR="007C107A">
        <w:rPr>
          <w:color w:val="000000"/>
        </w:rPr>
        <w:t xml:space="preserve"> below</w:t>
      </w:r>
      <w:r>
        <w:rPr>
          <w:color w:val="000000"/>
        </w:rPr>
        <w:t xml:space="preserve"> in Table 1</w:t>
      </w:r>
      <w:r w:rsidR="004D7B55">
        <w:rPr>
          <w:color w:val="000000"/>
        </w:rPr>
        <w:t xml:space="preserve"> (this includes 951 hours for private sector respondents and 79 hours for federal respondents)</w:t>
      </w:r>
      <w:r w:rsidR="007C107A">
        <w:rPr>
          <w:color w:val="000000"/>
        </w:rPr>
        <w:t>.</w:t>
      </w:r>
      <w:r>
        <w:t xml:space="preserve">  These hours are based on Agency studies and background documents from the development of the regulation, Agency knowledge and experience with the NESHAP program, the previously approved ICR, and any comments received.</w:t>
      </w:r>
    </w:p>
    <w:p w:rsidR="00D02580" w:rsidRDefault="00D02580"/>
    <w:p w:rsidR="00D02580" w:rsidRDefault="00D02580">
      <w:pPr>
        <w:ind w:firstLine="720"/>
        <w:rPr>
          <w:b/>
          <w:bCs/>
        </w:rPr>
      </w:pPr>
      <w:r>
        <w:rPr>
          <w:b/>
          <w:bCs/>
        </w:rPr>
        <w:t>6(b</w:t>
      </w:r>
      <w:proofErr w:type="gramStart"/>
      <w:r>
        <w:rPr>
          <w:b/>
          <w:bCs/>
        </w:rPr>
        <w:t>)  Estimating</w:t>
      </w:r>
      <w:proofErr w:type="gramEnd"/>
      <w:r>
        <w:rPr>
          <w:b/>
          <w:bCs/>
        </w:rPr>
        <w:t xml:space="preserve"> Respondent Costs</w:t>
      </w:r>
    </w:p>
    <w:p w:rsidR="00D02580" w:rsidRDefault="00D02580">
      <w:pPr>
        <w:rPr>
          <w:b/>
          <w:bCs/>
        </w:rPr>
      </w:pPr>
    </w:p>
    <w:p w:rsidR="00D02580" w:rsidRDefault="00D02580">
      <w:pPr>
        <w:ind w:firstLine="1440"/>
      </w:pPr>
      <w:r>
        <w:rPr>
          <w:b/>
          <w:bCs/>
        </w:rPr>
        <w:t>(</w:t>
      </w:r>
      <w:proofErr w:type="spellStart"/>
      <w:r>
        <w:rPr>
          <w:b/>
          <w:bCs/>
        </w:rPr>
        <w:t>i</w:t>
      </w:r>
      <w:proofErr w:type="spellEnd"/>
      <w:r>
        <w:rPr>
          <w:b/>
          <w:bCs/>
        </w:rPr>
        <w:t>)  Estimating Labor Costs</w:t>
      </w:r>
      <w:r>
        <w:t xml:space="preserve"> </w:t>
      </w:r>
    </w:p>
    <w:p w:rsidR="00D02580" w:rsidRDefault="00D02580"/>
    <w:p w:rsidR="00D02580" w:rsidRDefault="00D02580" w:rsidP="00420CAA">
      <w:pPr>
        <w:pBdr>
          <w:top w:val="single" w:sz="6" w:space="0" w:color="FFFFFF"/>
          <w:left w:val="single" w:sz="6" w:space="0" w:color="FFFFFF"/>
          <w:bottom w:val="single" w:sz="6" w:space="0" w:color="FFFFFF"/>
          <w:right w:val="single" w:sz="6" w:space="0" w:color="FFFFFF"/>
        </w:pBdr>
        <w:ind w:firstLine="720"/>
      </w:pPr>
      <w:r>
        <w:t>This ICR uses the following labor rates: $</w:t>
      </w:r>
      <w:r w:rsidR="002D6DF3">
        <w:t>104.92</w:t>
      </w:r>
      <w:r>
        <w:t xml:space="preserve"> per hour for Executive, Administrative, and Managerial labor; $</w:t>
      </w:r>
      <w:r w:rsidR="002D6DF3">
        <w:t>51.62</w:t>
      </w:r>
      <w:r>
        <w:t xml:space="preserve"> per hour for Technical labor, and $</w:t>
      </w:r>
      <w:r w:rsidR="002D6DF3">
        <w:t>41.66</w:t>
      </w:r>
      <w:r>
        <w:t xml:space="preserve"> per hour for Clerical labor</w:t>
      </w:r>
      <w:r w:rsidR="00EE769D">
        <w:t xml:space="preserve">.  </w:t>
      </w:r>
      <w:r>
        <w:t xml:space="preserve">These rates are from the United States Department of Labor, Bureau of Labor Statistics, </w:t>
      </w:r>
      <w:r w:rsidR="00CB14BE" w:rsidRPr="00CB14BE">
        <w:t>December 2009 - January 2011 (average reference date July 2010)</w:t>
      </w:r>
      <w:r>
        <w:t xml:space="preserve">, </w:t>
      </w:r>
      <w:proofErr w:type="gramStart"/>
      <w:r w:rsidR="00A30C59">
        <w:t>“</w:t>
      </w:r>
      <w:proofErr w:type="gramEnd"/>
      <w:r w:rsidR="00CB14BE" w:rsidRPr="00CB14BE">
        <w:t>Table 4. Full-time private industry workers:  Mean and median hourly, weekly, and annual earnings and mean weekly and annual hours</w:t>
      </w:r>
      <w:r w:rsidR="00A30C59">
        <w:t>”</w:t>
      </w:r>
      <w:r>
        <w:t xml:space="preserve">.  The rates are from column 1, </w:t>
      </w:r>
      <w:r w:rsidR="00A30C59">
        <w:t>“</w:t>
      </w:r>
      <w:r w:rsidR="00CB14BE">
        <w:t>Mean Earnings</w:t>
      </w:r>
      <w:r w:rsidR="00A30C59">
        <w:t>”</w:t>
      </w:r>
      <w:r>
        <w:t>.  The rates have been increased by 110 percent to account for the benefit packages available to those employed by private industry.</w:t>
      </w:r>
      <w:r w:rsidRPr="001235EC">
        <w:rPr>
          <w:color w:val="000000"/>
        </w:rPr>
        <w:t xml:space="preserve"> </w:t>
      </w:r>
    </w:p>
    <w:p w:rsidR="00D02580" w:rsidRDefault="00D02580"/>
    <w:p w:rsidR="00D02580" w:rsidRDefault="00D02580">
      <w:pPr>
        <w:tabs>
          <w:tab w:val="left" w:pos="-1440"/>
        </w:tabs>
        <w:ind w:left="2880" w:hanging="1440"/>
      </w:pPr>
      <w:r>
        <w:t>Managerial</w:t>
      </w:r>
      <w:r>
        <w:tab/>
        <w:t>$</w:t>
      </w:r>
      <w:r w:rsidR="009D6191">
        <w:t>104.92</w:t>
      </w:r>
      <w:r>
        <w:t xml:space="preserve"> ($</w:t>
      </w:r>
      <w:r w:rsidR="009D6191">
        <w:t>49.96</w:t>
      </w:r>
      <w:r>
        <w:t xml:space="preserve"> + 110%)</w:t>
      </w:r>
      <w:r w:rsidR="00E661EE">
        <w:t xml:space="preserve"> </w:t>
      </w:r>
    </w:p>
    <w:p w:rsidR="00D02580" w:rsidRDefault="00D02580">
      <w:pPr>
        <w:tabs>
          <w:tab w:val="left" w:pos="-1440"/>
        </w:tabs>
        <w:ind w:left="2880" w:hanging="1440"/>
      </w:pPr>
      <w:r>
        <w:t>Technical</w:t>
      </w:r>
      <w:r>
        <w:tab/>
        <w:t>$</w:t>
      </w:r>
      <w:r w:rsidR="009D6191">
        <w:t>51.62</w:t>
      </w:r>
      <w:r>
        <w:t xml:space="preserve"> ($</w:t>
      </w:r>
      <w:r w:rsidR="009D6191">
        <w:t>24.58</w:t>
      </w:r>
      <w:r>
        <w:t xml:space="preserve"> + 110%)</w:t>
      </w:r>
    </w:p>
    <w:p w:rsidR="00D02580" w:rsidRDefault="00D02580">
      <w:pPr>
        <w:tabs>
          <w:tab w:val="left" w:pos="-1440"/>
        </w:tabs>
        <w:ind w:left="2880" w:hanging="1440"/>
      </w:pPr>
      <w:r>
        <w:t>Clerical</w:t>
      </w:r>
      <w:r>
        <w:tab/>
        <w:t>$</w:t>
      </w:r>
      <w:r w:rsidR="009D6191">
        <w:t>41.66</w:t>
      </w:r>
      <w:r>
        <w:t xml:space="preserve"> ($</w:t>
      </w:r>
      <w:r w:rsidR="009D6191">
        <w:t>19.84</w:t>
      </w:r>
      <w:r>
        <w:t xml:space="preserve"> + 110%)</w:t>
      </w:r>
    </w:p>
    <w:p w:rsidR="00D02580" w:rsidRDefault="00D02580">
      <w:pPr>
        <w:ind w:firstLine="720"/>
      </w:pPr>
    </w:p>
    <w:p w:rsidR="00D02580" w:rsidRDefault="00D02580">
      <w:pPr>
        <w:ind w:firstLine="1440"/>
      </w:pPr>
      <w:r>
        <w:rPr>
          <w:b/>
          <w:bCs/>
        </w:rPr>
        <w:t>(ii)  Estimating Capital/Startup and Operation and Maintenance Costs</w:t>
      </w:r>
    </w:p>
    <w:p w:rsidR="00D02580" w:rsidRDefault="00D02580"/>
    <w:p w:rsidR="00D02580" w:rsidRDefault="00D02580" w:rsidP="00CB5948">
      <w:pPr>
        <w:ind w:firstLine="720"/>
      </w:pPr>
      <w:r>
        <w:t>The only costs to the regulated industry resulting from information collection activities required by the subject standards are labor costs.  The capital/startup costs are one-time costs when a facility becomes subject to the regulation.  The annual operation and maintenance costs are the ongoing costs such as photocopying and postage.</w:t>
      </w:r>
    </w:p>
    <w:p w:rsidR="00AD6BE5" w:rsidRDefault="00AD6BE5" w:rsidP="00CB5948">
      <w:pPr>
        <w:ind w:firstLine="720"/>
      </w:pPr>
    </w:p>
    <w:p w:rsidR="00AD6BE5" w:rsidRDefault="00AD6BE5" w:rsidP="00CB5948">
      <w:pPr>
        <w:ind w:firstLine="720"/>
      </w:pPr>
    </w:p>
    <w:p w:rsidR="00D02580" w:rsidRDefault="00D02580" w:rsidP="008317F3">
      <w:pPr>
        <w:ind w:firstLine="720"/>
        <w:rPr>
          <w:b/>
          <w:bCs/>
        </w:rPr>
      </w:pPr>
    </w:p>
    <w:p w:rsidR="00D02580" w:rsidRPr="002A3B69" w:rsidRDefault="00D02580" w:rsidP="002A3B69">
      <w:pPr>
        <w:ind w:left="720" w:firstLine="720"/>
        <w:rPr>
          <w:b/>
        </w:rPr>
      </w:pPr>
      <w:r w:rsidRPr="002A3B69">
        <w:rPr>
          <w:b/>
        </w:rPr>
        <w:t>(iii)  Capital/Startup vs. Operation and Maintenance (O&amp;M) Costs</w:t>
      </w:r>
    </w:p>
    <w:p w:rsidR="00D02580" w:rsidRPr="002A3B69" w:rsidRDefault="00D02580" w:rsidP="002A3B69"/>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ayout w:type="fixed"/>
        <w:tblCellMar>
          <w:left w:w="111" w:type="dxa"/>
          <w:right w:w="111" w:type="dxa"/>
        </w:tblCellMar>
        <w:tblLook w:val="0000"/>
      </w:tblPr>
      <w:tblGrid>
        <w:gridCol w:w="1530"/>
        <w:gridCol w:w="1260"/>
        <w:gridCol w:w="1350"/>
        <w:gridCol w:w="1350"/>
        <w:gridCol w:w="1350"/>
        <w:gridCol w:w="1350"/>
        <w:gridCol w:w="1170"/>
      </w:tblGrid>
      <w:tr w:rsidR="00D02580" w:rsidTr="002A3B69">
        <w:trPr>
          <w:cantSplit/>
          <w:tblHeader/>
          <w:jc w:val="center"/>
        </w:trPr>
        <w:tc>
          <w:tcPr>
            <w:tcW w:w="9360" w:type="dxa"/>
            <w:gridSpan w:val="7"/>
          </w:tcPr>
          <w:p w:rsidR="00D02580" w:rsidRPr="002A3B69" w:rsidRDefault="00D02580" w:rsidP="002A3B69">
            <w:pPr>
              <w:jc w:val="center"/>
              <w:rPr>
                <w:b/>
              </w:rPr>
            </w:pPr>
            <w:r w:rsidRPr="002A3B69">
              <w:rPr>
                <w:b/>
              </w:rPr>
              <w:t>Capital/Startup vs. Operation and Maintenance (O&amp;M) Costs</w:t>
            </w:r>
          </w:p>
        </w:tc>
      </w:tr>
      <w:tr w:rsidR="00D02580" w:rsidRPr="00F96339" w:rsidTr="002A3B69">
        <w:trPr>
          <w:cantSplit/>
          <w:jc w:val="center"/>
        </w:trPr>
        <w:tc>
          <w:tcPr>
            <w:tcW w:w="1530" w:type="dxa"/>
          </w:tcPr>
          <w:p w:rsidR="00D02580" w:rsidRPr="002A3B69" w:rsidRDefault="00D02580" w:rsidP="002A3B69">
            <w:pPr>
              <w:jc w:val="center"/>
              <w:rPr>
                <w:b/>
                <w:sz w:val="20"/>
                <w:szCs w:val="20"/>
              </w:rPr>
            </w:pPr>
            <w:r w:rsidRPr="002A3B69">
              <w:rPr>
                <w:b/>
                <w:sz w:val="20"/>
                <w:szCs w:val="20"/>
              </w:rPr>
              <w:t>(A)</w:t>
            </w:r>
          </w:p>
          <w:p w:rsidR="00D02580" w:rsidRPr="00A3042F" w:rsidRDefault="00D02580" w:rsidP="007D2BEF">
            <w:pPr>
              <w:keepNext/>
              <w:spacing w:after="52"/>
              <w:jc w:val="center"/>
              <w:rPr>
                <w:b/>
                <w:sz w:val="20"/>
                <w:szCs w:val="20"/>
              </w:rPr>
            </w:pPr>
            <w:r w:rsidRPr="00A3042F">
              <w:rPr>
                <w:b/>
                <w:sz w:val="20"/>
                <w:szCs w:val="20"/>
              </w:rPr>
              <w:t>Continuous Monitoring Device</w:t>
            </w:r>
          </w:p>
        </w:tc>
        <w:tc>
          <w:tcPr>
            <w:tcW w:w="1260" w:type="dxa"/>
          </w:tcPr>
          <w:p w:rsidR="00D02580" w:rsidRPr="00A3042F" w:rsidRDefault="00D02580" w:rsidP="007D2BEF">
            <w:pPr>
              <w:keepNext/>
              <w:jc w:val="center"/>
              <w:rPr>
                <w:b/>
                <w:sz w:val="20"/>
                <w:szCs w:val="20"/>
              </w:rPr>
            </w:pPr>
            <w:r w:rsidRPr="00A3042F">
              <w:rPr>
                <w:b/>
                <w:sz w:val="20"/>
                <w:szCs w:val="20"/>
              </w:rPr>
              <w:t>(B)</w:t>
            </w:r>
          </w:p>
          <w:p w:rsidR="00D02580" w:rsidRPr="00A3042F" w:rsidRDefault="00D02580" w:rsidP="007D2BEF">
            <w:pPr>
              <w:keepNext/>
              <w:spacing w:after="52"/>
              <w:jc w:val="center"/>
              <w:rPr>
                <w:b/>
                <w:sz w:val="20"/>
                <w:szCs w:val="20"/>
              </w:rPr>
            </w:pPr>
            <w:r w:rsidRPr="00A3042F">
              <w:rPr>
                <w:b/>
                <w:sz w:val="20"/>
                <w:szCs w:val="20"/>
              </w:rPr>
              <w:t>Capital / Startup Cost for One Respondent</w:t>
            </w:r>
          </w:p>
        </w:tc>
        <w:tc>
          <w:tcPr>
            <w:tcW w:w="1350" w:type="dxa"/>
          </w:tcPr>
          <w:p w:rsidR="00D02580" w:rsidRPr="00A3042F" w:rsidRDefault="00D02580" w:rsidP="007D2BEF">
            <w:pPr>
              <w:keepNext/>
              <w:jc w:val="center"/>
              <w:rPr>
                <w:b/>
                <w:sz w:val="20"/>
                <w:szCs w:val="20"/>
              </w:rPr>
            </w:pPr>
            <w:r w:rsidRPr="00A3042F">
              <w:rPr>
                <w:b/>
                <w:sz w:val="20"/>
                <w:szCs w:val="20"/>
              </w:rPr>
              <w:t>(C)</w:t>
            </w:r>
          </w:p>
          <w:p w:rsidR="00D02580" w:rsidRPr="00A3042F" w:rsidRDefault="00D02580" w:rsidP="007D2BEF">
            <w:pPr>
              <w:keepNext/>
              <w:spacing w:after="52"/>
              <w:jc w:val="center"/>
              <w:rPr>
                <w:b/>
                <w:sz w:val="20"/>
                <w:szCs w:val="20"/>
              </w:rPr>
            </w:pPr>
            <w:r w:rsidRPr="00A3042F">
              <w:rPr>
                <w:b/>
                <w:sz w:val="20"/>
                <w:szCs w:val="20"/>
              </w:rPr>
              <w:t>Number of New Respondents</w:t>
            </w:r>
          </w:p>
        </w:tc>
        <w:tc>
          <w:tcPr>
            <w:tcW w:w="1350" w:type="dxa"/>
          </w:tcPr>
          <w:p w:rsidR="00D02580" w:rsidRPr="00A3042F" w:rsidRDefault="00D02580" w:rsidP="007D2BEF">
            <w:pPr>
              <w:keepNext/>
              <w:jc w:val="center"/>
              <w:rPr>
                <w:b/>
                <w:sz w:val="20"/>
                <w:szCs w:val="20"/>
              </w:rPr>
            </w:pPr>
            <w:r w:rsidRPr="00A3042F">
              <w:rPr>
                <w:b/>
                <w:sz w:val="20"/>
                <w:szCs w:val="20"/>
              </w:rPr>
              <w:t>(D)</w:t>
            </w:r>
          </w:p>
          <w:p w:rsidR="00D02580" w:rsidRDefault="00D02580" w:rsidP="007D2BEF">
            <w:pPr>
              <w:keepNext/>
              <w:spacing w:after="52"/>
              <w:jc w:val="center"/>
              <w:rPr>
                <w:b/>
                <w:sz w:val="20"/>
                <w:szCs w:val="20"/>
              </w:rPr>
            </w:pPr>
            <w:r w:rsidRPr="00A3042F">
              <w:rPr>
                <w:b/>
                <w:sz w:val="20"/>
                <w:szCs w:val="20"/>
              </w:rPr>
              <w:t>Total Capital/</w:t>
            </w:r>
            <w:r>
              <w:rPr>
                <w:b/>
                <w:sz w:val="20"/>
                <w:szCs w:val="20"/>
              </w:rPr>
              <w:t xml:space="preserve"> </w:t>
            </w:r>
            <w:r w:rsidRPr="00A3042F">
              <w:rPr>
                <w:b/>
                <w:sz w:val="20"/>
                <w:szCs w:val="20"/>
              </w:rPr>
              <w:t xml:space="preserve">Startup Cost, </w:t>
            </w:r>
          </w:p>
          <w:p w:rsidR="00D02580" w:rsidRPr="00A3042F" w:rsidRDefault="00D02580" w:rsidP="007D2BEF">
            <w:pPr>
              <w:keepNext/>
              <w:spacing w:after="52"/>
              <w:jc w:val="center"/>
              <w:rPr>
                <w:b/>
                <w:sz w:val="20"/>
                <w:szCs w:val="20"/>
              </w:rPr>
            </w:pPr>
            <w:r w:rsidRPr="00A3042F">
              <w:rPr>
                <w:b/>
                <w:sz w:val="20"/>
                <w:szCs w:val="20"/>
              </w:rPr>
              <w:t>(B X C)</w:t>
            </w:r>
          </w:p>
        </w:tc>
        <w:tc>
          <w:tcPr>
            <w:tcW w:w="1350" w:type="dxa"/>
          </w:tcPr>
          <w:p w:rsidR="00D02580" w:rsidRPr="00A3042F" w:rsidRDefault="00D02580" w:rsidP="007D2BEF">
            <w:pPr>
              <w:keepNext/>
              <w:jc w:val="center"/>
              <w:rPr>
                <w:b/>
                <w:sz w:val="20"/>
                <w:szCs w:val="20"/>
              </w:rPr>
            </w:pPr>
            <w:r w:rsidRPr="00A3042F">
              <w:rPr>
                <w:b/>
                <w:sz w:val="20"/>
                <w:szCs w:val="20"/>
              </w:rPr>
              <w:t>(E)</w:t>
            </w:r>
          </w:p>
          <w:p w:rsidR="00D02580" w:rsidRPr="00A3042F" w:rsidRDefault="00D02580" w:rsidP="007D2BEF">
            <w:pPr>
              <w:keepNext/>
              <w:spacing w:after="52"/>
              <w:jc w:val="center"/>
              <w:rPr>
                <w:b/>
                <w:sz w:val="20"/>
                <w:szCs w:val="20"/>
              </w:rPr>
            </w:pPr>
            <w:r w:rsidRPr="00A3042F">
              <w:rPr>
                <w:b/>
                <w:sz w:val="20"/>
                <w:szCs w:val="20"/>
              </w:rPr>
              <w:t>Annual O&amp;M Costs for One Respondent</w:t>
            </w:r>
          </w:p>
        </w:tc>
        <w:tc>
          <w:tcPr>
            <w:tcW w:w="1350" w:type="dxa"/>
          </w:tcPr>
          <w:p w:rsidR="00D02580" w:rsidRPr="00A3042F" w:rsidRDefault="00D02580" w:rsidP="007D2BEF">
            <w:pPr>
              <w:keepNext/>
              <w:jc w:val="center"/>
              <w:rPr>
                <w:b/>
                <w:sz w:val="20"/>
                <w:szCs w:val="20"/>
              </w:rPr>
            </w:pPr>
            <w:r w:rsidRPr="00A3042F">
              <w:rPr>
                <w:b/>
                <w:sz w:val="20"/>
                <w:szCs w:val="20"/>
              </w:rPr>
              <w:t>(F)</w:t>
            </w:r>
          </w:p>
          <w:p w:rsidR="00D02580" w:rsidRPr="00A3042F" w:rsidRDefault="00D02580" w:rsidP="007D2BEF">
            <w:pPr>
              <w:keepNext/>
              <w:spacing w:after="52"/>
              <w:jc w:val="center"/>
              <w:rPr>
                <w:b/>
                <w:sz w:val="20"/>
                <w:szCs w:val="20"/>
              </w:rPr>
            </w:pPr>
            <w:r w:rsidRPr="00A3042F">
              <w:rPr>
                <w:b/>
                <w:sz w:val="20"/>
                <w:szCs w:val="20"/>
              </w:rPr>
              <w:t>Number of Respondents with O&amp;M</w:t>
            </w:r>
          </w:p>
        </w:tc>
        <w:tc>
          <w:tcPr>
            <w:tcW w:w="1170" w:type="dxa"/>
          </w:tcPr>
          <w:p w:rsidR="00D02580" w:rsidRPr="00A3042F" w:rsidRDefault="00D02580" w:rsidP="007D2BEF">
            <w:pPr>
              <w:keepNext/>
              <w:jc w:val="center"/>
              <w:rPr>
                <w:b/>
                <w:sz w:val="20"/>
                <w:szCs w:val="20"/>
                <w:lang w:val="es-MX"/>
              </w:rPr>
            </w:pPr>
            <w:r w:rsidRPr="00A3042F">
              <w:rPr>
                <w:b/>
                <w:sz w:val="20"/>
                <w:szCs w:val="20"/>
                <w:lang w:val="es-MX"/>
              </w:rPr>
              <w:t>(G)</w:t>
            </w:r>
          </w:p>
          <w:p w:rsidR="00D02580" w:rsidRPr="00A3042F" w:rsidRDefault="00D02580" w:rsidP="007D2BEF">
            <w:pPr>
              <w:keepNext/>
              <w:jc w:val="center"/>
              <w:rPr>
                <w:b/>
                <w:sz w:val="20"/>
                <w:szCs w:val="20"/>
                <w:lang w:val="es-MX"/>
              </w:rPr>
            </w:pPr>
            <w:r w:rsidRPr="00A3042F">
              <w:rPr>
                <w:b/>
                <w:sz w:val="20"/>
                <w:szCs w:val="20"/>
                <w:lang w:val="es-MX"/>
              </w:rPr>
              <w:t>Total O&amp;M,</w:t>
            </w:r>
          </w:p>
          <w:p w:rsidR="00D02580" w:rsidRPr="00A3042F" w:rsidRDefault="00D02580" w:rsidP="007D2BEF">
            <w:pPr>
              <w:keepNext/>
              <w:spacing w:after="52"/>
              <w:jc w:val="center"/>
              <w:rPr>
                <w:b/>
                <w:sz w:val="20"/>
                <w:szCs w:val="20"/>
                <w:lang w:val="es-MX"/>
              </w:rPr>
            </w:pPr>
            <w:r w:rsidRPr="00A3042F">
              <w:rPr>
                <w:b/>
                <w:sz w:val="20"/>
                <w:szCs w:val="20"/>
                <w:lang w:val="es-MX"/>
              </w:rPr>
              <w:t>(E X F)</w:t>
            </w:r>
          </w:p>
        </w:tc>
      </w:tr>
      <w:tr w:rsidR="00D02580" w:rsidTr="002A3B69">
        <w:trPr>
          <w:cantSplit/>
          <w:trHeight w:val="183"/>
          <w:jc w:val="center"/>
        </w:trPr>
        <w:tc>
          <w:tcPr>
            <w:tcW w:w="1530" w:type="dxa"/>
          </w:tcPr>
          <w:p w:rsidR="00D02580" w:rsidRPr="002A3B69" w:rsidRDefault="00324284" w:rsidP="002A3B69">
            <w:pPr>
              <w:rPr>
                <w:sz w:val="20"/>
                <w:szCs w:val="20"/>
              </w:rPr>
            </w:pPr>
            <w:r>
              <w:rPr>
                <w:sz w:val="20"/>
                <w:szCs w:val="20"/>
              </w:rPr>
              <w:t>n/a</w:t>
            </w:r>
          </w:p>
        </w:tc>
        <w:tc>
          <w:tcPr>
            <w:tcW w:w="1260" w:type="dxa"/>
            <w:vAlign w:val="center"/>
          </w:tcPr>
          <w:p w:rsidR="00D02580" w:rsidRDefault="00D02580" w:rsidP="00324284">
            <w:pPr>
              <w:keepNext/>
              <w:spacing w:after="52"/>
              <w:jc w:val="center"/>
              <w:rPr>
                <w:sz w:val="20"/>
                <w:szCs w:val="20"/>
              </w:rPr>
            </w:pPr>
            <w:r>
              <w:rPr>
                <w:sz w:val="20"/>
                <w:szCs w:val="20"/>
              </w:rPr>
              <w:t>$</w:t>
            </w:r>
            <w:r w:rsidR="00324284">
              <w:rPr>
                <w:sz w:val="20"/>
                <w:szCs w:val="20"/>
              </w:rPr>
              <w:t>0</w:t>
            </w:r>
          </w:p>
        </w:tc>
        <w:tc>
          <w:tcPr>
            <w:tcW w:w="1350" w:type="dxa"/>
            <w:vAlign w:val="center"/>
          </w:tcPr>
          <w:p w:rsidR="00D02580" w:rsidRDefault="00D02580" w:rsidP="007D2BEF">
            <w:pPr>
              <w:keepNext/>
              <w:spacing w:after="52"/>
              <w:jc w:val="center"/>
              <w:rPr>
                <w:sz w:val="20"/>
                <w:szCs w:val="20"/>
              </w:rPr>
            </w:pPr>
            <w:r>
              <w:rPr>
                <w:sz w:val="20"/>
                <w:szCs w:val="20"/>
              </w:rPr>
              <w:t>0</w:t>
            </w:r>
          </w:p>
        </w:tc>
        <w:tc>
          <w:tcPr>
            <w:tcW w:w="1350" w:type="dxa"/>
            <w:vAlign w:val="center"/>
          </w:tcPr>
          <w:p w:rsidR="00D02580" w:rsidRDefault="00D02580" w:rsidP="007D2BEF">
            <w:pPr>
              <w:keepNext/>
              <w:spacing w:after="52"/>
              <w:jc w:val="center"/>
              <w:rPr>
                <w:sz w:val="20"/>
                <w:szCs w:val="20"/>
              </w:rPr>
            </w:pPr>
            <w:r>
              <w:rPr>
                <w:sz w:val="20"/>
                <w:szCs w:val="20"/>
              </w:rPr>
              <w:t>$0</w:t>
            </w:r>
          </w:p>
        </w:tc>
        <w:tc>
          <w:tcPr>
            <w:tcW w:w="1350" w:type="dxa"/>
            <w:vAlign w:val="center"/>
          </w:tcPr>
          <w:p w:rsidR="00D02580" w:rsidRDefault="00D02580" w:rsidP="00324284">
            <w:pPr>
              <w:keepNext/>
              <w:spacing w:after="52"/>
              <w:jc w:val="center"/>
              <w:rPr>
                <w:sz w:val="20"/>
                <w:szCs w:val="20"/>
              </w:rPr>
            </w:pPr>
            <w:r>
              <w:rPr>
                <w:sz w:val="20"/>
                <w:szCs w:val="20"/>
              </w:rPr>
              <w:t>$</w:t>
            </w:r>
            <w:r w:rsidR="00324284">
              <w:rPr>
                <w:sz w:val="20"/>
                <w:szCs w:val="20"/>
              </w:rPr>
              <w:t>0</w:t>
            </w:r>
          </w:p>
        </w:tc>
        <w:tc>
          <w:tcPr>
            <w:tcW w:w="1350" w:type="dxa"/>
            <w:vAlign w:val="center"/>
          </w:tcPr>
          <w:p w:rsidR="00D02580" w:rsidRDefault="00D02580" w:rsidP="007D2BEF">
            <w:pPr>
              <w:keepNext/>
              <w:spacing w:after="52"/>
              <w:jc w:val="center"/>
              <w:rPr>
                <w:sz w:val="20"/>
                <w:szCs w:val="20"/>
              </w:rPr>
            </w:pPr>
            <w:r>
              <w:rPr>
                <w:sz w:val="20"/>
                <w:szCs w:val="20"/>
              </w:rPr>
              <w:t>0</w:t>
            </w:r>
          </w:p>
        </w:tc>
        <w:tc>
          <w:tcPr>
            <w:tcW w:w="1170" w:type="dxa"/>
            <w:vAlign w:val="center"/>
          </w:tcPr>
          <w:p w:rsidR="00D02580" w:rsidRDefault="00D02580" w:rsidP="007D2BEF">
            <w:pPr>
              <w:keepNext/>
              <w:spacing w:after="52"/>
              <w:jc w:val="center"/>
              <w:rPr>
                <w:sz w:val="20"/>
                <w:szCs w:val="20"/>
              </w:rPr>
            </w:pPr>
            <w:r>
              <w:rPr>
                <w:sz w:val="20"/>
                <w:szCs w:val="20"/>
              </w:rPr>
              <w:t>$0</w:t>
            </w:r>
          </w:p>
        </w:tc>
      </w:tr>
    </w:tbl>
    <w:p w:rsidR="00D02580" w:rsidRDefault="00D02580">
      <w:pPr>
        <w:ind w:firstLine="720"/>
        <w:rPr>
          <w:sz w:val="20"/>
          <w:szCs w:val="20"/>
        </w:rPr>
      </w:pPr>
    </w:p>
    <w:p w:rsidR="00D02580" w:rsidRDefault="00D02580">
      <w:pPr>
        <w:ind w:firstLine="720"/>
      </w:pPr>
      <w:r>
        <w:t>There are no total capital/startup costs for this ICR since we have assumed that no new sources will become subject to these standards and that the existing sources conducting modifications will not be purchasing new monitoring equipment.  This is the total of column D in the table above.</w:t>
      </w:r>
    </w:p>
    <w:p w:rsidR="00D02580" w:rsidRDefault="00D02580"/>
    <w:p w:rsidR="00D02580" w:rsidRDefault="00D02580">
      <w:pPr>
        <w:ind w:firstLine="720"/>
      </w:pPr>
      <w:r>
        <w:t xml:space="preserve">There </w:t>
      </w:r>
      <w:proofErr w:type="gramStart"/>
      <w:r>
        <w:t>are no operation</w:t>
      </w:r>
      <w:proofErr w:type="gramEnd"/>
      <w:r>
        <w:t xml:space="preserve"> and maintenance costs for this ICR since </w:t>
      </w:r>
      <w:r w:rsidR="002111B4">
        <w:t xml:space="preserve">any </w:t>
      </w:r>
      <w:r>
        <w:t>parameter monitors were already being used in their operations prior to promulgation of this rule.  This is the total of column G in the table above.</w:t>
      </w:r>
    </w:p>
    <w:p w:rsidR="00D02580" w:rsidRDefault="00D02580"/>
    <w:p w:rsidR="00D02580" w:rsidRDefault="00D02580">
      <w:pPr>
        <w:ind w:firstLine="720"/>
      </w:pPr>
      <w:r>
        <w:t>The total respondent costs have been calculated as the addition of the capital/startup costs, and the annual operation and maintenance costs.  Therefore, there is no average annual cost for capital/startup and operation and maintenance costs to industry over the next three years of the ICR.</w:t>
      </w:r>
    </w:p>
    <w:p w:rsidR="00D02580" w:rsidRDefault="00D02580"/>
    <w:p w:rsidR="00D02580" w:rsidRDefault="00D02580">
      <w:pPr>
        <w:ind w:firstLine="720"/>
      </w:pPr>
      <w:r>
        <w:rPr>
          <w:b/>
          <w:bCs/>
        </w:rPr>
        <w:t>6(c</w:t>
      </w:r>
      <w:proofErr w:type="gramStart"/>
      <w:r>
        <w:rPr>
          <w:b/>
          <w:bCs/>
        </w:rPr>
        <w:t>)  Estimating</w:t>
      </w:r>
      <w:proofErr w:type="gramEnd"/>
      <w:r>
        <w:rPr>
          <w:b/>
          <w:bCs/>
        </w:rPr>
        <w:t xml:space="preserve"> Agency Burden and Cost</w:t>
      </w:r>
    </w:p>
    <w:p w:rsidR="00D02580" w:rsidRDefault="00D02580"/>
    <w:p w:rsidR="00D02580" w:rsidRDefault="00D02580">
      <w:pPr>
        <w:ind w:firstLine="720"/>
      </w:pPr>
      <w:r>
        <w:t xml:space="preserve">The only costs to the Agency are those costs associated with analysis of the reported information.  </w:t>
      </w:r>
      <w:r w:rsidR="00BB6186">
        <w:t>The EPA</w:t>
      </w:r>
      <w:r>
        <w:t xml:space="preserve"> compliance and enforcement program includes activities such as the examination of records maintained by the respondents, periodic inspection of sources of emissions, and the publication and distribution of collected information.</w:t>
      </w:r>
    </w:p>
    <w:p w:rsidR="00D02580" w:rsidRDefault="00D02580"/>
    <w:p w:rsidR="00D02580" w:rsidRDefault="00D02580" w:rsidP="00F96339">
      <w:pPr>
        <w:ind w:firstLine="720"/>
      </w:pPr>
      <w:r>
        <w:t>The average annual cost</w:t>
      </w:r>
      <w:r w:rsidR="00330022">
        <w:t xml:space="preserve"> to the Federal g</w:t>
      </w:r>
      <w:r>
        <w:t>overnment during the three years of the ICR is estimated to be $</w:t>
      </w:r>
      <w:r w:rsidR="00AD6BE5">
        <w:t xml:space="preserve">3,607.  </w:t>
      </w:r>
      <w:r>
        <w:t>This cost is based on the average hourly labor rates below:</w:t>
      </w:r>
    </w:p>
    <w:p w:rsidR="00D02580" w:rsidRDefault="00D02580">
      <w:pPr>
        <w:ind w:left="720"/>
      </w:pPr>
    </w:p>
    <w:p w:rsidR="00D02580" w:rsidRDefault="00D02580">
      <w:pPr>
        <w:tabs>
          <w:tab w:val="left" w:pos="-1440"/>
        </w:tabs>
        <w:ind w:left="2880" w:hanging="1440"/>
      </w:pPr>
      <w:r>
        <w:t>Managerial</w:t>
      </w:r>
      <w:r>
        <w:tab/>
        <w:t>$</w:t>
      </w:r>
      <w:r w:rsidR="00CB14BE">
        <w:t>74.73</w:t>
      </w:r>
      <w:r w:rsidR="00902A6E">
        <w:t xml:space="preserve">  </w:t>
      </w:r>
      <w:r w:rsidR="00CB14BE">
        <w:t xml:space="preserve"> </w:t>
      </w:r>
      <w:r>
        <w:t>(GS-13, Step 5, $</w:t>
      </w:r>
      <w:r w:rsidR="00CB14BE">
        <w:t>38.92</w:t>
      </w:r>
      <w:r w:rsidR="00902A6E">
        <w:t xml:space="preserve"> + </w:t>
      </w:r>
      <w:r w:rsidR="00FF0FF5">
        <w:t xml:space="preserve">20% + </w:t>
      </w:r>
      <w:r w:rsidR="00902A6E">
        <w:t>60%</w:t>
      </w:r>
      <w:r>
        <w:t>)</w:t>
      </w:r>
    </w:p>
    <w:p w:rsidR="00D02580" w:rsidRDefault="00D02580">
      <w:pPr>
        <w:tabs>
          <w:tab w:val="left" w:pos="-1440"/>
        </w:tabs>
        <w:ind w:left="2880" w:hanging="1440"/>
      </w:pPr>
      <w:r>
        <w:t>Technical</w:t>
      </w:r>
      <w:r>
        <w:tab/>
        <w:t>$</w:t>
      </w:r>
      <w:r w:rsidR="00CB14BE">
        <w:t>55.45</w:t>
      </w:r>
      <w:r w:rsidR="00902A6E">
        <w:t xml:space="preserve">   </w:t>
      </w:r>
      <w:r>
        <w:t>(GS-12, Step 1, $</w:t>
      </w:r>
      <w:r w:rsidR="00CB14BE">
        <w:t>28.88</w:t>
      </w:r>
      <w:r w:rsidR="00902A6E">
        <w:t xml:space="preserve"> + </w:t>
      </w:r>
      <w:r w:rsidR="00FF0FF5">
        <w:t xml:space="preserve">20% + </w:t>
      </w:r>
      <w:r w:rsidR="00902A6E">
        <w:t>60%</w:t>
      </w:r>
      <w:r>
        <w:t>)</w:t>
      </w:r>
    </w:p>
    <w:p w:rsidR="00D02580" w:rsidRDefault="00D02580">
      <w:pPr>
        <w:tabs>
          <w:tab w:val="left" w:pos="-1440"/>
        </w:tabs>
        <w:ind w:left="2880" w:hanging="1440"/>
      </w:pPr>
      <w:r>
        <w:t>Clerical</w:t>
      </w:r>
      <w:r>
        <w:tab/>
        <w:t>$</w:t>
      </w:r>
      <w:r w:rsidR="00CB14BE">
        <w:t>30.01</w:t>
      </w:r>
      <w:r w:rsidR="00902A6E">
        <w:t xml:space="preserve">   </w:t>
      </w:r>
      <w:r>
        <w:t>(GS-6, Step 3, $</w:t>
      </w:r>
      <w:r w:rsidR="00902A6E">
        <w:t>15.</w:t>
      </w:r>
      <w:r w:rsidR="00CB14BE">
        <w:t xml:space="preserve">63 </w:t>
      </w:r>
      <w:r w:rsidR="00902A6E">
        <w:t>+</w:t>
      </w:r>
      <w:r w:rsidR="00FF0FF5">
        <w:t xml:space="preserve">20% + </w:t>
      </w:r>
      <w:r w:rsidR="00902A6E">
        <w:t>60%</w:t>
      </w:r>
      <w:r>
        <w:t>)</w:t>
      </w:r>
    </w:p>
    <w:p w:rsidR="00D02580" w:rsidRDefault="00D02580"/>
    <w:p w:rsidR="00D02580" w:rsidRDefault="00D02580">
      <w:r>
        <w:t xml:space="preserve">These rates are from the Office of Personnel Management (OPM) </w:t>
      </w:r>
      <w:r w:rsidR="00FF0FF5">
        <w:t xml:space="preserve">2013 </w:t>
      </w:r>
      <w:r>
        <w:t>General Schedule</w:t>
      </w:r>
      <w:r w:rsidR="00902A6E">
        <w:t>,</w:t>
      </w:r>
      <w:r>
        <w:t xml:space="preserve"> which excludes locality rates of pay.  </w:t>
      </w:r>
      <w:r w:rsidR="00FF0FF5" w:rsidRPr="00FF0FF5">
        <w:t>Labor rates are inflated 20% to reflect average locality pay increase from base rates and a further 60% to account for the benefit packages available to government employees</w:t>
      </w:r>
      <w:r w:rsidR="00480865">
        <w:t xml:space="preserve">.  </w:t>
      </w:r>
      <w:r>
        <w:t>Details upon which this estimate is based appear</w:t>
      </w:r>
      <w:r w:rsidR="00977950">
        <w:t xml:space="preserve"> below</w:t>
      </w:r>
      <w:r>
        <w:t xml:space="preserve"> in Table </w:t>
      </w:r>
      <w:r w:rsidR="00CE62F0">
        <w:t>1</w:t>
      </w:r>
      <w:r>
        <w:t xml:space="preserve">: </w:t>
      </w:r>
      <w:r w:rsidR="000F7D57">
        <w:t xml:space="preserve">Average Annual Burden: NESHAP for Flexible Polyurethane Foam Product (40 CFR </w:t>
      </w:r>
      <w:proofErr w:type="gramStart"/>
      <w:r w:rsidR="000F7D57">
        <w:t>part</w:t>
      </w:r>
      <w:proofErr w:type="gramEnd"/>
      <w:r w:rsidR="000F7D57">
        <w:t xml:space="preserve"> 63, subpart III)</w:t>
      </w:r>
      <w:r>
        <w:t>.</w:t>
      </w:r>
    </w:p>
    <w:p w:rsidR="00D02580" w:rsidRDefault="00D02580"/>
    <w:p w:rsidR="00AD6BE5" w:rsidRDefault="00AD6BE5"/>
    <w:p w:rsidR="00D02580" w:rsidRDefault="00D02580">
      <w:pPr>
        <w:ind w:firstLine="720"/>
        <w:rPr>
          <w:b/>
          <w:bCs/>
        </w:rPr>
      </w:pPr>
      <w:r>
        <w:rPr>
          <w:b/>
          <w:bCs/>
        </w:rPr>
        <w:t>6(d</w:t>
      </w:r>
      <w:proofErr w:type="gramStart"/>
      <w:r>
        <w:rPr>
          <w:b/>
          <w:bCs/>
        </w:rPr>
        <w:t>)  Estimating</w:t>
      </w:r>
      <w:proofErr w:type="gramEnd"/>
      <w:r>
        <w:rPr>
          <w:b/>
          <w:bCs/>
        </w:rPr>
        <w:t xml:space="preserve"> the Respondent Universe and Total Burden and Costs</w:t>
      </w:r>
    </w:p>
    <w:p w:rsidR="00D02580" w:rsidRDefault="00D02580">
      <w:pPr>
        <w:rPr>
          <w:b/>
          <w:bCs/>
        </w:rPr>
      </w:pPr>
    </w:p>
    <w:p w:rsidR="00D02580" w:rsidRDefault="00D02580">
      <w:pPr>
        <w:ind w:firstLine="720"/>
      </w:pPr>
      <w:r>
        <w:t xml:space="preserve">Based on our research for this ICR, approximately 13 existing respondents (i.e., </w:t>
      </w:r>
      <w:r w:rsidR="00723F6D">
        <w:t xml:space="preserve">7 </w:t>
      </w:r>
      <w:r>
        <w:t xml:space="preserve">slabstock foam producers and </w:t>
      </w:r>
      <w:r w:rsidR="00723F6D">
        <w:t xml:space="preserve">6 </w:t>
      </w:r>
      <w:r>
        <w:t xml:space="preserve">molded/rebond foam producers) are currently subject to the standard.  It is estimated that no respondents per year will become subject to the regulation in the next three years.  However, it is estimated that </w:t>
      </w:r>
      <w:r w:rsidR="00723F6D">
        <w:t xml:space="preserve">one </w:t>
      </w:r>
      <w:r>
        <w:t>existing source will be modifying/reconstructing its operations and will have new affected facilities.</w:t>
      </w:r>
    </w:p>
    <w:p w:rsidR="00D02580" w:rsidRDefault="00D02580"/>
    <w:p w:rsidR="00D02580" w:rsidRDefault="00D02580">
      <w:pPr>
        <w:ind w:firstLine="720"/>
      </w:pPr>
      <w:r>
        <w:t>The number of respondents is calculated using the following table which addresses the three years covered by this ICR.</w:t>
      </w:r>
    </w:p>
    <w:p w:rsidR="00D02580" w:rsidRDefault="00D02580" w:rsidP="00E67D8D"/>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ayout w:type="fixed"/>
        <w:tblCellMar>
          <w:left w:w="110" w:type="dxa"/>
          <w:right w:w="110" w:type="dxa"/>
        </w:tblCellMar>
        <w:tblLook w:val="0000"/>
      </w:tblPr>
      <w:tblGrid>
        <w:gridCol w:w="969"/>
        <w:gridCol w:w="1575"/>
        <w:gridCol w:w="1647"/>
        <w:gridCol w:w="1623"/>
        <w:gridCol w:w="1842"/>
        <w:gridCol w:w="1701"/>
      </w:tblGrid>
      <w:tr w:rsidR="00D02580" w:rsidTr="00B5412C">
        <w:trPr>
          <w:cantSplit/>
          <w:tblHeader/>
          <w:jc w:val="center"/>
        </w:trPr>
        <w:tc>
          <w:tcPr>
            <w:tcW w:w="969" w:type="dxa"/>
            <w:gridSpan w:val="6"/>
          </w:tcPr>
          <w:p w:rsidR="00D02580" w:rsidRDefault="00D02580">
            <w:pPr>
              <w:spacing w:after="52"/>
              <w:jc w:val="center"/>
              <w:rPr>
                <w:b/>
                <w:bCs/>
                <w:sz w:val="20"/>
                <w:szCs w:val="20"/>
              </w:rPr>
            </w:pPr>
            <w:r>
              <w:rPr>
                <w:b/>
                <w:bCs/>
              </w:rPr>
              <w:t>Number of Respondents*</w:t>
            </w:r>
          </w:p>
        </w:tc>
      </w:tr>
      <w:tr w:rsidR="00D02580" w:rsidTr="00B5412C">
        <w:trPr>
          <w:cantSplit/>
          <w:tblHeader/>
          <w:jc w:val="center"/>
        </w:trPr>
        <w:tc>
          <w:tcPr>
            <w:tcW w:w="969" w:type="dxa"/>
          </w:tcPr>
          <w:p w:rsidR="00D02580" w:rsidRDefault="00D02580">
            <w:pPr>
              <w:spacing w:after="52"/>
              <w:jc w:val="center"/>
              <w:rPr>
                <w:sz w:val="20"/>
                <w:szCs w:val="20"/>
              </w:rPr>
            </w:pPr>
            <w:r>
              <w:rPr>
                <w:sz w:val="20"/>
                <w:szCs w:val="20"/>
              </w:rPr>
              <w:t>Year</w:t>
            </w:r>
          </w:p>
        </w:tc>
        <w:tc>
          <w:tcPr>
            <w:tcW w:w="1575" w:type="dxa"/>
          </w:tcPr>
          <w:p w:rsidR="00D02580" w:rsidRDefault="00D02580">
            <w:pPr>
              <w:jc w:val="center"/>
              <w:rPr>
                <w:sz w:val="20"/>
                <w:szCs w:val="20"/>
              </w:rPr>
            </w:pPr>
            <w:r>
              <w:rPr>
                <w:sz w:val="20"/>
                <w:szCs w:val="20"/>
              </w:rPr>
              <w:t>(A)</w:t>
            </w:r>
          </w:p>
          <w:p w:rsidR="00D02580" w:rsidRDefault="00D02580">
            <w:pPr>
              <w:spacing w:after="52"/>
              <w:jc w:val="center"/>
              <w:rPr>
                <w:sz w:val="20"/>
                <w:szCs w:val="20"/>
              </w:rPr>
            </w:pPr>
            <w:r>
              <w:rPr>
                <w:sz w:val="20"/>
                <w:szCs w:val="20"/>
              </w:rPr>
              <w:t>Number of New Respondents That Submit Reports</w:t>
            </w:r>
          </w:p>
        </w:tc>
        <w:tc>
          <w:tcPr>
            <w:tcW w:w="1647" w:type="dxa"/>
          </w:tcPr>
          <w:p w:rsidR="00D02580" w:rsidRDefault="00D02580">
            <w:pPr>
              <w:jc w:val="center"/>
              <w:rPr>
                <w:sz w:val="20"/>
                <w:szCs w:val="20"/>
              </w:rPr>
            </w:pPr>
            <w:r>
              <w:rPr>
                <w:sz w:val="20"/>
                <w:szCs w:val="20"/>
              </w:rPr>
              <w:t>(B)</w:t>
            </w:r>
          </w:p>
          <w:p w:rsidR="00D02580" w:rsidRDefault="00D02580">
            <w:pPr>
              <w:spacing w:after="52"/>
              <w:jc w:val="center"/>
              <w:rPr>
                <w:sz w:val="20"/>
                <w:szCs w:val="20"/>
              </w:rPr>
            </w:pPr>
            <w:r>
              <w:rPr>
                <w:sz w:val="20"/>
                <w:szCs w:val="20"/>
              </w:rPr>
              <w:t>Number of Existing Respondents That Submit Reports</w:t>
            </w:r>
          </w:p>
        </w:tc>
        <w:tc>
          <w:tcPr>
            <w:tcW w:w="1623" w:type="dxa"/>
          </w:tcPr>
          <w:p w:rsidR="00D02580" w:rsidRDefault="00D02580">
            <w:pPr>
              <w:jc w:val="center"/>
              <w:rPr>
                <w:sz w:val="20"/>
                <w:szCs w:val="20"/>
              </w:rPr>
            </w:pPr>
            <w:r>
              <w:rPr>
                <w:sz w:val="20"/>
                <w:szCs w:val="20"/>
              </w:rPr>
              <w:t>(C)</w:t>
            </w:r>
          </w:p>
          <w:p w:rsidR="00D02580" w:rsidRDefault="00D02580">
            <w:pPr>
              <w:spacing w:after="52"/>
              <w:jc w:val="center"/>
              <w:rPr>
                <w:sz w:val="20"/>
                <w:szCs w:val="20"/>
              </w:rPr>
            </w:pPr>
            <w:r>
              <w:rPr>
                <w:sz w:val="20"/>
                <w:szCs w:val="20"/>
              </w:rPr>
              <w:t>Number of Respondents That Keep Records but Do Not Submit Reports</w:t>
            </w:r>
          </w:p>
        </w:tc>
        <w:tc>
          <w:tcPr>
            <w:tcW w:w="1842" w:type="dxa"/>
          </w:tcPr>
          <w:p w:rsidR="00D02580" w:rsidRDefault="00D02580">
            <w:pPr>
              <w:jc w:val="center"/>
              <w:rPr>
                <w:sz w:val="20"/>
                <w:szCs w:val="20"/>
              </w:rPr>
            </w:pPr>
            <w:r>
              <w:rPr>
                <w:sz w:val="20"/>
                <w:szCs w:val="20"/>
              </w:rPr>
              <w:t>(D)</w:t>
            </w:r>
          </w:p>
          <w:p w:rsidR="00D02580" w:rsidRDefault="00D02580">
            <w:pPr>
              <w:spacing w:after="52"/>
              <w:jc w:val="center"/>
              <w:rPr>
                <w:sz w:val="20"/>
                <w:szCs w:val="20"/>
              </w:rPr>
            </w:pPr>
            <w:r>
              <w:rPr>
                <w:sz w:val="20"/>
                <w:szCs w:val="20"/>
              </w:rPr>
              <w:t>Number of Existing Respondents That Are Also New Respondents</w:t>
            </w:r>
          </w:p>
        </w:tc>
        <w:tc>
          <w:tcPr>
            <w:tcW w:w="1701" w:type="dxa"/>
          </w:tcPr>
          <w:p w:rsidR="00D02580" w:rsidRDefault="00D02580">
            <w:pPr>
              <w:jc w:val="center"/>
              <w:rPr>
                <w:sz w:val="20"/>
                <w:szCs w:val="20"/>
              </w:rPr>
            </w:pPr>
            <w:r>
              <w:rPr>
                <w:sz w:val="20"/>
                <w:szCs w:val="20"/>
              </w:rPr>
              <w:t>(E)</w:t>
            </w:r>
          </w:p>
          <w:p w:rsidR="00D02580" w:rsidRDefault="00D02580">
            <w:pPr>
              <w:jc w:val="center"/>
              <w:rPr>
                <w:sz w:val="20"/>
                <w:szCs w:val="20"/>
              </w:rPr>
            </w:pPr>
            <w:r>
              <w:rPr>
                <w:sz w:val="20"/>
                <w:szCs w:val="20"/>
              </w:rPr>
              <w:t>Number of Respondents</w:t>
            </w:r>
          </w:p>
          <w:p w:rsidR="00D02580" w:rsidRDefault="00D02580">
            <w:pPr>
              <w:spacing w:after="52"/>
              <w:jc w:val="center"/>
              <w:rPr>
                <w:sz w:val="20"/>
                <w:szCs w:val="20"/>
              </w:rPr>
            </w:pPr>
            <w:r>
              <w:rPr>
                <w:sz w:val="20"/>
                <w:szCs w:val="20"/>
              </w:rPr>
              <w:t>(E=A+B+C-D)</w:t>
            </w:r>
          </w:p>
        </w:tc>
      </w:tr>
      <w:tr w:rsidR="00D02580" w:rsidTr="00B5412C">
        <w:trPr>
          <w:cantSplit/>
          <w:jc w:val="center"/>
        </w:trPr>
        <w:tc>
          <w:tcPr>
            <w:tcW w:w="969" w:type="dxa"/>
          </w:tcPr>
          <w:p w:rsidR="00D02580" w:rsidRDefault="00D02580">
            <w:pPr>
              <w:spacing w:after="52"/>
              <w:jc w:val="center"/>
              <w:rPr>
                <w:sz w:val="20"/>
                <w:szCs w:val="20"/>
              </w:rPr>
            </w:pPr>
            <w:r>
              <w:rPr>
                <w:sz w:val="20"/>
                <w:szCs w:val="20"/>
              </w:rPr>
              <w:t>1</w:t>
            </w:r>
          </w:p>
        </w:tc>
        <w:tc>
          <w:tcPr>
            <w:tcW w:w="1575" w:type="dxa"/>
          </w:tcPr>
          <w:p w:rsidR="00D02580" w:rsidRDefault="00723F6D">
            <w:pPr>
              <w:spacing w:after="52"/>
              <w:jc w:val="center"/>
              <w:rPr>
                <w:sz w:val="20"/>
                <w:szCs w:val="20"/>
              </w:rPr>
            </w:pPr>
            <w:r>
              <w:rPr>
                <w:sz w:val="20"/>
                <w:szCs w:val="20"/>
              </w:rPr>
              <w:t>1</w:t>
            </w:r>
          </w:p>
        </w:tc>
        <w:tc>
          <w:tcPr>
            <w:tcW w:w="1647" w:type="dxa"/>
          </w:tcPr>
          <w:p w:rsidR="00D02580" w:rsidRDefault="00723F6D">
            <w:pPr>
              <w:spacing w:after="52"/>
              <w:jc w:val="center"/>
              <w:rPr>
                <w:sz w:val="20"/>
                <w:szCs w:val="20"/>
              </w:rPr>
            </w:pPr>
            <w:r>
              <w:rPr>
                <w:sz w:val="20"/>
                <w:szCs w:val="20"/>
              </w:rPr>
              <w:t>13</w:t>
            </w:r>
          </w:p>
        </w:tc>
        <w:tc>
          <w:tcPr>
            <w:tcW w:w="1623" w:type="dxa"/>
          </w:tcPr>
          <w:p w:rsidR="00D02580" w:rsidRDefault="00D02580">
            <w:pPr>
              <w:spacing w:after="52"/>
              <w:jc w:val="center"/>
              <w:rPr>
                <w:sz w:val="20"/>
                <w:szCs w:val="20"/>
              </w:rPr>
            </w:pPr>
            <w:r>
              <w:rPr>
                <w:sz w:val="20"/>
                <w:szCs w:val="20"/>
              </w:rPr>
              <w:t>0</w:t>
            </w:r>
          </w:p>
        </w:tc>
        <w:tc>
          <w:tcPr>
            <w:tcW w:w="1842" w:type="dxa"/>
          </w:tcPr>
          <w:p w:rsidR="00D02580" w:rsidRDefault="00723F6D">
            <w:pPr>
              <w:spacing w:after="52"/>
              <w:jc w:val="center"/>
              <w:rPr>
                <w:sz w:val="20"/>
                <w:szCs w:val="20"/>
              </w:rPr>
            </w:pPr>
            <w:r>
              <w:rPr>
                <w:sz w:val="20"/>
                <w:szCs w:val="20"/>
              </w:rPr>
              <w:t>1</w:t>
            </w:r>
          </w:p>
        </w:tc>
        <w:tc>
          <w:tcPr>
            <w:tcW w:w="1701" w:type="dxa"/>
          </w:tcPr>
          <w:p w:rsidR="00D02580" w:rsidRDefault="00723F6D">
            <w:pPr>
              <w:spacing w:after="52"/>
              <w:jc w:val="center"/>
              <w:rPr>
                <w:sz w:val="20"/>
                <w:szCs w:val="20"/>
              </w:rPr>
            </w:pPr>
            <w:r>
              <w:rPr>
                <w:sz w:val="20"/>
                <w:szCs w:val="20"/>
              </w:rPr>
              <w:t>13</w:t>
            </w:r>
          </w:p>
        </w:tc>
      </w:tr>
      <w:tr w:rsidR="00D02580" w:rsidTr="00B5412C">
        <w:trPr>
          <w:cantSplit/>
          <w:jc w:val="center"/>
        </w:trPr>
        <w:tc>
          <w:tcPr>
            <w:tcW w:w="969" w:type="dxa"/>
          </w:tcPr>
          <w:p w:rsidR="00D02580" w:rsidRDefault="00D02580">
            <w:pPr>
              <w:spacing w:after="52"/>
              <w:jc w:val="center"/>
              <w:rPr>
                <w:sz w:val="20"/>
                <w:szCs w:val="20"/>
              </w:rPr>
            </w:pPr>
            <w:r>
              <w:rPr>
                <w:sz w:val="20"/>
                <w:szCs w:val="20"/>
              </w:rPr>
              <w:t>2</w:t>
            </w:r>
          </w:p>
        </w:tc>
        <w:tc>
          <w:tcPr>
            <w:tcW w:w="1575" w:type="dxa"/>
          </w:tcPr>
          <w:p w:rsidR="00D02580" w:rsidRDefault="00723F6D">
            <w:pPr>
              <w:spacing w:after="52"/>
              <w:jc w:val="center"/>
              <w:rPr>
                <w:sz w:val="20"/>
                <w:szCs w:val="20"/>
              </w:rPr>
            </w:pPr>
            <w:r>
              <w:rPr>
                <w:sz w:val="20"/>
                <w:szCs w:val="20"/>
              </w:rPr>
              <w:t>1</w:t>
            </w:r>
          </w:p>
        </w:tc>
        <w:tc>
          <w:tcPr>
            <w:tcW w:w="1647" w:type="dxa"/>
          </w:tcPr>
          <w:p w:rsidR="00D02580" w:rsidRDefault="00723F6D">
            <w:pPr>
              <w:spacing w:after="52"/>
              <w:jc w:val="center"/>
              <w:rPr>
                <w:sz w:val="20"/>
                <w:szCs w:val="20"/>
              </w:rPr>
            </w:pPr>
            <w:r>
              <w:rPr>
                <w:sz w:val="20"/>
                <w:szCs w:val="20"/>
              </w:rPr>
              <w:t>13</w:t>
            </w:r>
          </w:p>
        </w:tc>
        <w:tc>
          <w:tcPr>
            <w:tcW w:w="1623" w:type="dxa"/>
          </w:tcPr>
          <w:p w:rsidR="00D02580" w:rsidRDefault="00D02580">
            <w:pPr>
              <w:spacing w:after="52"/>
              <w:jc w:val="center"/>
              <w:rPr>
                <w:sz w:val="20"/>
                <w:szCs w:val="20"/>
              </w:rPr>
            </w:pPr>
            <w:r>
              <w:rPr>
                <w:sz w:val="20"/>
                <w:szCs w:val="20"/>
              </w:rPr>
              <w:t>0</w:t>
            </w:r>
          </w:p>
        </w:tc>
        <w:tc>
          <w:tcPr>
            <w:tcW w:w="1842" w:type="dxa"/>
          </w:tcPr>
          <w:p w:rsidR="00D02580" w:rsidRDefault="00723F6D">
            <w:pPr>
              <w:spacing w:after="52"/>
              <w:jc w:val="center"/>
              <w:rPr>
                <w:sz w:val="20"/>
                <w:szCs w:val="20"/>
              </w:rPr>
            </w:pPr>
            <w:r>
              <w:rPr>
                <w:sz w:val="20"/>
                <w:szCs w:val="20"/>
              </w:rPr>
              <w:t>1</w:t>
            </w:r>
          </w:p>
        </w:tc>
        <w:tc>
          <w:tcPr>
            <w:tcW w:w="1701" w:type="dxa"/>
          </w:tcPr>
          <w:p w:rsidR="00D02580" w:rsidRDefault="00723F6D">
            <w:pPr>
              <w:spacing w:after="52"/>
              <w:jc w:val="center"/>
              <w:rPr>
                <w:sz w:val="20"/>
                <w:szCs w:val="20"/>
              </w:rPr>
            </w:pPr>
            <w:r>
              <w:rPr>
                <w:sz w:val="20"/>
                <w:szCs w:val="20"/>
              </w:rPr>
              <w:t>13</w:t>
            </w:r>
          </w:p>
        </w:tc>
      </w:tr>
      <w:tr w:rsidR="00D02580" w:rsidTr="00B5412C">
        <w:trPr>
          <w:cantSplit/>
          <w:jc w:val="center"/>
        </w:trPr>
        <w:tc>
          <w:tcPr>
            <w:tcW w:w="969" w:type="dxa"/>
          </w:tcPr>
          <w:p w:rsidR="00D02580" w:rsidRDefault="00D02580">
            <w:pPr>
              <w:spacing w:after="72"/>
              <w:jc w:val="center"/>
              <w:rPr>
                <w:sz w:val="20"/>
                <w:szCs w:val="20"/>
              </w:rPr>
            </w:pPr>
            <w:r>
              <w:rPr>
                <w:sz w:val="20"/>
                <w:szCs w:val="20"/>
              </w:rPr>
              <w:t>3</w:t>
            </w:r>
          </w:p>
        </w:tc>
        <w:tc>
          <w:tcPr>
            <w:tcW w:w="1575" w:type="dxa"/>
          </w:tcPr>
          <w:p w:rsidR="00D02580" w:rsidRDefault="00723F6D">
            <w:pPr>
              <w:spacing w:after="72"/>
              <w:jc w:val="center"/>
              <w:rPr>
                <w:sz w:val="20"/>
                <w:szCs w:val="20"/>
              </w:rPr>
            </w:pPr>
            <w:r>
              <w:rPr>
                <w:sz w:val="20"/>
                <w:szCs w:val="20"/>
              </w:rPr>
              <w:t>1</w:t>
            </w:r>
          </w:p>
        </w:tc>
        <w:tc>
          <w:tcPr>
            <w:tcW w:w="1647" w:type="dxa"/>
          </w:tcPr>
          <w:p w:rsidR="00D02580" w:rsidRDefault="00723F6D">
            <w:pPr>
              <w:spacing w:after="72"/>
              <w:jc w:val="center"/>
              <w:rPr>
                <w:sz w:val="20"/>
                <w:szCs w:val="20"/>
              </w:rPr>
            </w:pPr>
            <w:r>
              <w:rPr>
                <w:sz w:val="20"/>
                <w:szCs w:val="20"/>
              </w:rPr>
              <w:t>13</w:t>
            </w:r>
          </w:p>
        </w:tc>
        <w:tc>
          <w:tcPr>
            <w:tcW w:w="1623" w:type="dxa"/>
          </w:tcPr>
          <w:p w:rsidR="00D02580" w:rsidRDefault="00D02580">
            <w:pPr>
              <w:spacing w:after="72"/>
              <w:jc w:val="center"/>
              <w:rPr>
                <w:sz w:val="20"/>
                <w:szCs w:val="20"/>
              </w:rPr>
            </w:pPr>
            <w:r>
              <w:rPr>
                <w:sz w:val="20"/>
                <w:szCs w:val="20"/>
              </w:rPr>
              <w:t>0</w:t>
            </w:r>
          </w:p>
        </w:tc>
        <w:tc>
          <w:tcPr>
            <w:tcW w:w="1842" w:type="dxa"/>
          </w:tcPr>
          <w:p w:rsidR="00D02580" w:rsidRDefault="00723F6D">
            <w:pPr>
              <w:spacing w:after="72"/>
              <w:jc w:val="center"/>
              <w:rPr>
                <w:sz w:val="20"/>
                <w:szCs w:val="20"/>
              </w:rPr>
            </w:pPr>
            <w:r>
              <w:rPr>
                <w:sz w:val="20"/>
                <w:szCs w:val="20"/>
              </w:rPr>
              <w:t>1</w:t>
            </w:r>
          </w:p>
        </w:tc>
        <w:tc>
          <w:tcPr>
            <w:tcW w:w="1701" w:type="dxa"/>
          </w:tcPr>
          <w:p w:rsidR="00D02580" w:rsidRDefault="00723F6D">
            <w:pPr>
              <w:spacing w:after="72"/>
              <w:jc w:val="center"/>
              <w:rPr>
                <w:sz w:val="20"/>
                <w:szCs w:val="20"/>
              </w:rPr>
            </w:pPr>
            <w:r>
              <w:rPr>
                <w:sz w:val="20"/>
                <w:szCs w:val="20"/>
              </w:rPr>
              <w:t>13</w:t>
            </w:r>
          </w:p>
        </w:tc>
      </w:tr>
      <w:tr w:rsidR="00D02580" w:rsidTr="00B5412C">
        <w:trPr>
          <w:cantSplit/>
          <w:jc w:val="center"/>
        </w:trPr>
        <w:tc>
          <w:tcPr>
            <w:tcW w:w="969" w:type="dxa"/>
          </w:tcPr>
          <w:p w:rsidR="00D02580" w:rsidRDefault="00D02580">
            <w:pPr>
              <w:spacing w:after="72"/>
              <w:jc w:val="center"/>
              <w:rPr>
                <w:sz w:val="20"/>
                <w:szCs w:val="20"/>
              </w:rPr>
            </w:pPr>
            <w:r>
              <w:rPr>
                <w:sz w:val="20"/>
                <w:szCs w:val="20"/>
              </w:rPr>
              <w:t>Average</w:t>
            </w:r>
          </w:p>
        </w:tc>
        <w:tc>
          <w:tcPr>
            <w:tcW w:w="1575" w:type="dxa"/>
          </w:tcPr>
          <w:p w:rsidR="00D02580" w:rsidRDefault="00723F6D">
            <w:pPr>
              <w:spacing w:after="72"/>
              <w:jc w:val="center"/>
              <w:rPr>
                <w:sz w:val="20"/>
                <w:szCs w:val="20"/>
              </w:rPr>
            </w:pPr>
            <w:r>
              <w:rPr>
                <w:sz w:val="20"/>
                <w:szCs w:val="20"/>
              </w:rPr>
              <w:t>1</w:t>
            </w:r>
          </w:p>
        </w:tc>
        <w:tc>
          <w:tcPr>
            <w:tcW w:w="1647" w:type="dxa"/>
          </w:tcPr>
          <w:p w:rsidR="00D02580" w:rsidRDefault="00723F6D">
            <w:pPr>
              <w:spacing w:after="72"/>
              <w:jc w:val="center"/>
              <w:rPr>
                <w:sz w:val="20"/>
                <w:szCs w:val="20"/>
              </w:rPr>
            </w:pPr>
            <w:r>
              <w:rPr>
                <w:sz w:val="20"/>
                <w:szCs w:val="20"/>
              </w:rPr>
              <w:t>13</w:t>
            </w:r>
          </w:p>
        </w:tc>
        <w:tc>
          <w:tcPr>
            <w:tcW w:w="1623" w:type="dxa"/>
          </w:tcPr>
          <w:p w:rsidR="00D02580" w:rsidRDefault="00D02580">
            <w:pPr>
              <w:spacing w:after="72"/>
              <w:jc w:val="center"/>
              <w:rPr>
                <w:sz w:val="20"/>
                <w:szCs w:val="20"/>
              </w:rPr>
            </w:pPr>
            <w:r>
              <w:rPr>
                <w:sz w:val="20"/>
                <w:szCs w:val="20"/>
              </w:rPr>
              <w:t>0</w:t>
            </w:r>
          </w:p>
        </w:tc>
        <w:tc>
          <w:tcPr>
            <w:tcW w:w="1842" w:type="dxa"/>
          </w:tcPr>
          <w:p w:rsidR="00D02580" w:rsidRDefault="00723F6D">
            <w:pPr>
              <w:spacing w:after="72"/>
              <w:jc w:val="center"/>
              <w:rPr>
                <w:sz w:val="20"/>
                <w:szCs w:val="20"/>
              </w:rPr>
            </w:pPr>
            <w:r>
              <w:rPr>
                <w:sz w:val="20"/>
                <w:szCs w:val="20"/>
              </w:rPr>
              <w:t>1</w:t>
            </w:r>
          </w:p>
        </w:tc>
        <w:tc>
          <w:tcPr>
            <w:tcW w:w="1701" w:type="dxa"/>
          </w:tcPr>
          <w:p w:rsidR="00D02580" w:rsidRDefault="00723F6D">
            <w:pPr>
              <w:spacing w:after="72"/>
              <w:jc w:val="center"/>
              <w:rPr>
                <w:sz w:val="20"/>
                <w:szCs w:val="20"/>
              </w:rPr>
            </w:pPr>
            <w:r>
              <w:rPr>
                <w:sz w:val="20"/>
                <w:szCs w:val="20"/>
              </w:rPr>
              <w:t>13</w:t>
            </w:r>
          </w:p>
        </w:tc>
      </w:tr>
    </w:tbl>
    <w:p w:rsidR="00D02580" w:rsidRDefault="00D02580" w:rsidP="006339FA">
      <w:pPr>
        <w:rPr>
          <w:sz w:val="20"/>
          <w:szCs w:val="20"/>
        </w:rPr>
      </w:pPr>
      <w:proofErr w:type="gramStart"/>
      <w:r>
        <w:rPr>
          <w:sz w:val="20"/>
          <w:szCs w:val="20"/>
        </w:rPr>
        <w:t>*  New</w:t>
      </w:r>
      <w:proofErr w:type="gramEnd"/>
      <w:r>
        <w:rPr>
          <w:sz w:val="20"/>
          <w:szCs w:val="20"/>
        </w:rPr>
        <w:t xml:space="preserve"> respondents are defined for this calculation as sources that recently became subject to the rule and existing sources that have modified/reconstructed their facilities.</w:t>
      </w:r>
      <w:r w:rsidR="004D7B55">
        <w:rPr>
          <w:sz w:val="20"/>
          <w:szCs w:val="20"/>
        </w:rPr>
        <w:t xml:space="preserve">  One of these respondents is a federal facility.</w:t>
      </w:r>
    </w:p>
    <w:p w:rsidR="00D02580" w:rsidRDefault="00D02580"/>
    <w:p w:rsidR="00D02580" w:rsidRDefault="00D02580">
      <w:r>
        <w:t xml:space="preserve">To avoid double-counting respondents, column D is subtracted.  As shown above, the average Number of Respondents over the three-year period of this ICR is </w:t>
      </w:r>
      <w:r w:rsidR="00281854">
        <w:rPr>
          <w:sz w:val="20"/>
          <w:szCs w:val="20"/>
        </w:rPr>
        <w:t>13</w:t>
      </w:r>
      <w:r>
        <w:t>.</w:t>
      </w:r>
    </w:p>
    <w:p w:rsidR="00D02580" w:rsidRDefault="00D02580" w:rsidP="00533A35"/>
    <w:p w:rsidR="00BE468E" w:rsidRDefault="00D02580" w:rsidP="00F21C84">
      <w:pPr>
        <w:ind w:firstLine="720"/>
      </w:pPr>
      <w:r>
        <w:t>The total number of annual responses per year is calculated using the following table:</w:t>
      </w:r>
    </w:p>
    <w:p w:rsidR="00D02580" w:rsidRDefault="00D02580" w:rsidP="003D7A83"/>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ayout w:type="fixed"/>
        <w:tblCellMar>
          <w:left w:w="111" w:type="dxa"/>
          <w:right w:w="111" w:type="dxa"/>
        </w:tblCellMar>
        <w:tblLook w:val="0000"/>
      </w:tblPr>
      <w:tblGrid>
        <w:gridCol w:w="1431"/>
        <w:gridCol w:w="1240"/>
        <w:gridCol w:w="1558"/>
        <w:gridCol w:w="1440"/>
        <w:gridCol w:w="1678"/>
        <w:gridCol w:w="2010"/>
      </w:tblGrid>
      <w:tr w:rsidR="00D02580" w:rsidTr="005560C8">
        <w:trPr>
          <w:cantSplit/>
          <w:tblHeader/>
          <w:jc w:val="center"/>
        </w:trPr>
        <w:tc>
          <w:tcPr>
            <w:tcW w:w="9357" w:type="dxa"/>
            <w:gridSpan w:val="6"/>
          </w:tcPr>
          <w:p w:rsidR="00D02580" w:rsidRDefault="00D02580">
            <w:pPr>
              <w:spacing w:after="52"/>
              <w:jc w:val="center"/>
              <w:rPr>
                <w:b/>
                <w:bCs/>
              </w:rPr>
            </w:pPr>
            <w:r>
              <w:br w:type="page"/>
            </w:r>
            <w:r>
              <w:rPr>
                <w:b/>
                <w:bCs/>
              </w:rPr>
              <w:t>Total Annual Responses</w:t>
            </w:r>
          </w:p>
        </w:tc>
      </w:tr>
      <w:tr w:rsidR="00D02580" w:rsidRPr="00ED2176" w:rsidTr="005560C8">
        <w:trPr>
          <w:cantSplit/>
          <w:tblHeader/>
          <w:jc w:val="center"/>
        </w:trPr>
        <w:tc>
          <w:tcPr>
            <w:tcW w:w="1431" w:type="dxa"/>
          </w:tcPr>
          <w:p w:rsidR="00D02580" w:rsidRDefault="00D02580">
            <w:pPr>
              <w:jc w:val="center"/>
              <w:rPr>
                <w:sz w:val="20"/>
                <w:szCs w:val="20"/>
              </w:rPr>
            </w:pPr>
            <w:r>
              <w:rPr>
                <w:sz w:val="20"/>
                <w:szCs w:val="20"/>
              </w:rPr>
              <w:t>(A)</w:t>
            </w:r>
          </w:p>
          <w:p w:rsidR="00D02580" w:rsidRDefault="00D02580" w:rsidP="00347706">
            <w:pPr>
              <w:spacing w:after="52"/>
              <w:jc w:val="center"/>
              <w:rPr>
                <w:sz w:val="20"/>
                <w:szCs w:val="20"/>
              </w:rPr>
            </w:pPr>
            <w:r>
              <w:rPr>
                <w:sz w:val="20"/>
                <w:szCs w:val="20"/>
              </w:rPr>
              <w:t xml:space="preserve">Number of New </w:t>
            </w:r>
            <w:proofErr w:type="spellStart"/>
            <w:r>
              <w:rPr>
                <w:sz w:val="20"/>
                <w:szCs w:val="20"/>
              </w:rPr>
              <w:t>Respondents</w:t>
            </w:r>
            <w:r w:rsidR="00347706" w:rsidRPr="00347706">
              <w:rPr>
                <w:sz w:val="20"/>
                <w:szCs w:val="20"/>
                <w:vertAlign w:val="superscript"/>
              </w:rPr>
              <w:t>a</w:t>
            </w:r>
            <w:proofErr w:type="spellEnd"/>
          </w:p>
        </w:tc>
        <w:tc>
          <w:tcPr>
            <w:tcW w:w="1240" w:type="dxa"/>
          </w:tcPr>
          <w:p w:rsidR="00D02580" w:rsidRDefault="00D02580">
            <w:pPr>
              <w:jc w:val="center"/>
              <w:rPr>
                <w:sz w:val="20"/>
                <w:szCs w:val="20"/>
              </w:rPr>
            </w:pPr>
            <w:r>
              <w:rPr>
                <w:sz w:val="20"/>
                <w:szCs w:val="20"/>
              </w:rPr>
              <w:t>(B)</w:t>
            </w:r>
          </w:p>
          <w:p w:rsidR="00D02580" w:rsidRDefault="00D02580">
            <w:pPr>
              <w:spacing w:after="52"/>
              <w:jc w:val="center"/>
              <w:rPr>
                <w:sz w:val="20"/>
                <w:szCs w:val="20"/>
              </w:rPr>
            </w:pPr>
            <w:r>
              <w:rPr>
                <w:sz w:val="20"/>
                <w:szCs w:val="20"/>
              </w:rPr>
              <w:t>Number of Reports for New Sources</w:t>
            </w:r>
          </w:p>
        </w:tc>
        <w:tc>
          <w:tcPr>
            <w:tcW w:w="1558" w:type="dxa"/>
          </w:tcPr>
          <w:p w:rsidR="00D02580" w:rsidRDefault="00D02580">
            <w:pPr>
              <w:jc w:val="center"/>
              <w:rPr>
                <w:sz w:val="20"/>
                <w:szCs w:val="20"/>
              </w:rPr>
            </w:pPr>
            <w:r>
              <w:rPr>
                <w:sz w:val="20"/>
                <w:szCs w:val="20"/>
              </w:rPr>
              <w:t>(C)</w:t>
            </w:r>
          </w:p>
          <w:p w:rsidR="00D02580" w:rsidRDefault="00D02580" w:rsidP="00347706">
            <w:pPr>
              <w:spacing w:after="52"/>
              <w:jc w:val="center"/>
              <w:rPr>
                <w:sz w:val="20"/>
                <w:szCs w:val="20"/>
              </w:rPr>
            </w:pPr>
            <w:r>
              <w:rPr>
                <w:sz w:val="20"/>
                <w:szCs w:val="20"/>
              </w:rPr>
              <w:t xml:space="preserve">Number of Existing </w:t>
            </w:r>
            <w:proofErr w:type="spellStart"/>
            <w:r>
              <w:rPr>
                <w:sz w:val="20"/>
                <w:szCs w:val="20"/>
              </w:rPr>
              <w:t>Respondents</w:t>
            </w:r>
            <w:r w:rsidR="00347706" w:rsidRPr="00347706">
              <w:rPr>
                <w:sz w:val="20"/>
                <w:szCs w:val="20"/>
                <w:vertAlign w:val="superscript"/>
              </w:rPr>
              <w:t>b</w:t>
            </w:r>
            <w:proofErr w:type="spellEnd"/>
          </w:p>
        </w:tc>
        <w:tc>
          <w:tcPr>
            <w:tcW w:w="1440" w:type="dxa"/>
          </w:tcPr>
          <w:p w:rsidR="00D02580" w:rsidRDefault="00D02580">
            <w:pPr>
              <w:jc w:val="center"/>
              <w:rPr>
                <w:sz w:val="20"/>
                <w:szCs w:val="20"/>
              </w:rPr>
            </w:pPr>
            <w:r>
              <w:rPr>
                <w:sz w:val="20"/>
                <w:szCs w:val="20"/>
              </w:rPr>
              <w:t>(D)</w:t>
            </w:r>
          </w:p>
          <w:p w:rsidR="00D02580" w:rsidRDefault="00D02580">
            <w:pPr>
              <w:spacing w:after="52"/>
              <w:jc w:val="center"/>
              <w:rPr>
                <w:sz w:val="20"/>
                <w:szCs w:val="20"/>
              </w:rPr>
            </w:pPr>
            <w:r>
              <w:rPr>
                <w:sz w:val="20"/>
                <w:szCs w:val="20"/>
              </w:rPr>
              <w:t>Number of Reports for Existing Sources</w:t>
            </w:r>
          </w:p>
        </w:tc>
        <w:tc>
          <w:tcPr>
            <w:tcW w:w="1678" w:type="dxa"/>
          </w:tcPr>
          <w:p w:rsidR="00D02580" w:rsidRDefault="00D02580">
            <w:pPr>
              <w:jc w:val="center"/>
              <w:rPr>
                <w:sz w:val="20"/>
                <w:szCs w:val="20"/>
              </w:rPr>
            </w:pPr>
            <w:r>
              <w:rPr>
                <w:sz w:val="20"/>
                <w:szCs w:val="20"/>
              </w:rPr>
              <w:t>(F)</w:t>
            </w:r>
          </w:p>
          <w:p w:rsidR="00D02580" w:rsidRDefault="00D02580">
            <w:pPr>
              <w:spacing w:after="52"/>
              <w:jc w:val="center"/>
              <w:rPr>
                <w:sz w:val="20"/>
                <w:szCs w:val="20"/>
              </w:rPr>
            </w:pPr>
            <w:r>
              <w:rPr>
                <w:sz w:val="20"/>
                <w:szCs w:val="20"/>
              </w:rPr>
              <w:t>Number of Respondents That Keep Records but Do Not Submit Reports</w:t>
            </w:r>
          </w:p>
        </w:tc>
        <w:tc>
          <w:tcPr>
            <w:tcW w:w="2010" w:type="dxa"/>
          </w:tcPr>
          <w:p w:rsidR="00D02580" w:rsidRPr="00ED2176" w:rsidRDefault="00D02580">
            <w:pPr>
              <w:jc w:val="center"/>
              <w:rPr>
                <w:sz w:val="20"/>
                <w:szCs w:val="20"/>
                <w:lang w:val="es-MX"/>
              </w:rPr>
            </w:pPr>
            <w:r w:rsidRPr="00ED2176">
              <w:rPr>
                <w:sz w:val="20"/>
                <w:szCs w:val="20"/>
                <w:lang w:val="es-MX"/>
              </w:rPr>
              <w:t>(E)</w:t>
            </w:r>
          </w:p>
          <w:p w:rsidR="00D02580" w:rsidRPr="00ED2176" w:rsidRDefault="00D02580">
            <w:pPr>
              <w:jc w:val="center"/>
              <w:rPr>
                <w:sz w:val="20"/>
                <w:szCs w:val="20"/>
                <w:lang w:val="es-MX"/>
              </w:rPr>
            </w:pPr>
            <w:r w:rsidRPr="00ED2176">
              <w:rPr>
                <w:sz w:val="20"/>
                <w:szCs w:val="20"/>
                <w:lang w:val="es-MX"/>
              </w:rPr>
              <w:t xml:space="preserve">Total Annual Responses </w:t>
            </w:r>
          </w:p>
          <w:p w:rsidR="00D02580" w:rsidRPr="00ED2176" w:rsidRDefault="00D02580">
            <w:pPr>
              <w:spacing w:after="52"/>
              <w:jc w:val="center"/>
              <w:rPr>
                <w:sz w:val="20"/>
                <w:szCs w:val="20"/>
                <w:lang w:val="es-MX"/>
              </w:rPr>
            </w:pPr>
            <w:r w:rsidRPr="00ED2176">
              <w:rPr>
                <w:sz w:val="20"/>
                <w:szCs w:val="20"/>
                <w:lang w:val="es-MX"/>
              </w:rPr>
              <w:t>E=(</w:t>
            </w:r>
            <w:proofErr w:type="spellStart"/>
            <w:r w:rsidRPr="00ED2176">
              <w:rPr>
                <w:sz w:val="20"/>
                <w:szCs w:val="20"/>
                <w:lang w:val="es-MX"/>
              </w:rPr>
              <w:t>AxB</w:t>
            </w:r>
            <w:proofErr w:type="spellEnd"/>
            <w:r w:rsidRPr="00ED2176">
              <w:rPr>
                <w:sz w:val="20"/>
                <w:szCs w:val="20"/>
                <w:lang w:val="es-MX"/>
              </w:rPr>
              <w:t>)+(</w:t>
            </w:r>
            <w:proofErr w:type="spellStart"/>
            <w:r w:rsidRPr="00ED2176">
              <w:rPr>
                <w:sz w:val="20"/>
                <w:szCs w:val="20"/>
                <w:lang w:val="es-MX"/>
              </w:rPr>
              <w:t>CxD</w:t>
            </w:r>
            <w:proofErr w:type="spellEnd"/>
            <w:r w:rsidRPr="00ED2176">
              <w:rPr>
                <w:sz w:val="20"/>
                <w:szCs w:val="20"/>
                <w:lang w:val="es-MX"/>
              </w:rPr>
              <w:t>)+F</w:t>
            </w:r>
          </w:p>
        </w:tc>
      </w:tr>
      <w:tr w:rsidR="00D02580" w:rsidTr="005560C8">
        <w:trPr>
          <w:cantSplit/>
          <w:jc w:val="center"/>
        </w:trPr>
        <w:tc>
          <w:tcPr>
            <w:tcW w:w="1431" w:type="dxa"/>
            <w:vMerge w:val="restart"/>
            <w:vAlign w:val="center"/>
          </w:tcPr>
          <w:p w:rsidR="00D02580" w:rsidRDefault="006457DC">
            <w:pPr>
              <w:spacing w:after="52"/>
              <w:jc w:val="center"/>
              <w:rPr>
                <w:sz w:val="20"/>
                <w:szCs w:val="20"/>
              </w:rPr>
            </w:pPr>
            <w:r>
              <w:rPr>
                <w:sz w:val="20"/>
                <w:szCs w:val="20"/>
              </w:rPr>
              <w:t>1</w:t>
            </w:r>
          </w:p>
        </w:tc>
        <w:tc>
          <w:tcPr>
            <w:tcW w:w="1240" w:type="dxa"/>
            <w:vMerge w:val="restart"/>
            <w:vAlign w:val="center"/>
          </w:tcPr>
          <w:p w:rsidR="00D02580" w:rsidRDefault="00D02580">
            <w:pPr>
              <w:spacing w:after="52"/>
              <w:jc w:val="center"/>
              <w:rPr>
                <w:sz w:val="20"/>
                <w:szCs w:val="20"/>
              </w:rPr>
            </w:pPr>
            <w:r>
              <w:rPr>
                <w:sz w:val="20"/>
                <w:szCs w:val="20"/>
              </w:rPr>
              <w:t>3</w:t>
            </w:r>
          </w:p>
        </w:tc>
        <w:tc>
          <w:tcPr>
            <w:tcW w:w="1558" w:type="dxa"/>
            <w:vAlign w:val="center"/>
          </w:tcPr>
          <w:p w:rsidR="00D02580" w:rsidRDefault="006457DC">
            <w:pPr>
              <w:spacing w:after="52"/>
              <w:jc w:val="center"/>
              <w:rPr>
                <w:sz w:val="20"/>
                <w:szCs w:val="20"/>
              </w:rPr>
            </w:pPr>
            <w:r>
              <w:rPr>
                <w:sz w:val="20"/>
                <w:szCs w:val="20"/>
              </w:rPr>
              <w:t>7</w:t>
            </w:r>
          </w:p>
        </w:tc>
        <w:tc>
          <w:tcPr>
            <w:tcW w:w="1440" w:type="dxa"/>
            <w:vAlign w:val="center"/>
          </w:tcPr>
          <w:p w:rsidR="00D02580" w:rsidRDefault="007F52F9">
            <w:pPr>
              <w:spacing w:after="52"/>
              <w:jc w:val="center"/>
              <w:rPr>
                <w:sz w:val="20"/>
                <w:szCs w:val="20"/>
              </w:rPr>
            </w:pPr>
            <w:r>
              <w:rPr>
                <w:sz w:val="20"/>
                <w:szCs w:val="20"/>
              </w:rPr>
              <w:t>3</w:t>
            </w:r>
          </w:p>
        </w:tc>
        <w:tc>
          <w:tcPr>
            <w:tcW w:w="1678" w:type="dxa"/>
            <w:vMerge w:val="restart"/>
            <w:vAlign w:val="center"/>
          </w:tcPr>
          <w:p w:rsidR="00D02580" w:rsidRDefault="00D02580">
            <w:pPr>
              <w:spacing w:after="52"/>
              <w:jc w:val="center"/>
              <w:rPr>
                <w:sz w:val="20"/>
                <w:szCs w:val="20"/>
              </w:rPr>
            </w:pPr>
            <w:r>
              <w:rPr>
                <w:sz w:val="20"/>
                <w:szCs w:val="20"/>
              </w:rPr>
              <w:t>0</w:t>
            </w:r>
          </w:p>
        </w:tc>
        <w:tc>
          <w:tcPr>
            <w:tcW w:w="2010" w:type="dxa"/>
            <w:vMerge w:val="restart"/>
            <w:vAlign w:val="center"/>
          </w:tcPr>
          <w:p w:rsidR="00D02580" w:rsidRDefault="007F52F9" w:rsidP="009E49DA">
            <w:pPr>
              <w:spacing w:after="52"/>
              <w:jc w:val="center"/>
              <w:rPr>
                <w:sz w:val="20"/>
                <w:szCs w:val="20"/>
              </w:rPr>
            </w:pPr>
            <w:r>
              <w:rPr>
                <w:sz w:val="20"/>
                <w:szCs w:val="20"/>
              </w:rPr>
              <w:t>30</w:t>
            </w:r>
            <w:r w:rsidR="00347706">
              <w:rPr>
                <w:sz w:val="20"/>
                <w:szCs w:val="20"/>
              </w:rPr>
              <w:t>.</w:t>
            </w:r>
            <w:r w:rsidR="009E49DA">
              <w:rPr>
                <w:sz w:val="20"/>
                <w:szCs w:val="20"/>
              </w:rPr>
              <w:t>33</w:t>
            </w:r>
          </w:p>
        </w:tc>
      </w:tr>
      <w:tr w:rsidR="00347706" w:rsidTr="005560C8">
        <w:trPr>
          <w:cantSplit/>
          <w:jc w:val="center"/>
        </w:trPr>
        <w:tc>
          <w:tcPr>
            <w:tcW w:w="1431" w:type="dxa"/>
            <w:vMerge/>
          </w:tcPr>
          <w:p w:rsidR="00347706" w:rsidRDefault="00347706">
            <w:pPr>
              <w:spacing w:after="52"/>
              <w:jc w:val="center"/>
              <w:rPr>
                <w:sz w:val="20"/>
                <w:szCs w:val="20"/>
              </w:rPr>
            </w:pPr>
          </w:p>
        </w:tc>
        <w:tc>
          <w:tcPr>
            <w:tcW w:w="1240" w:type="dxa"/>
            <w:vMerge/>
          </w:tcPr>
          <w:p w:rsidR="00347706" w:rsidRDefault="00347706">
            <w:pPr>
              <w:spacing w:after="52"/>
              <w:jc w:val="center"/>
              <w:rPr>
                <w:sz w:val="20"/>
                <w:szCs w:val="20"/>
              </w:rPr>
            </w:pPr>
          </w:p>
        </w:tc>
        <w:tc>
          <w:tcPr>
            <w:tcW w:w="1558" w:type="dxa"/>
          </w:tcPr>
          <w:p w:rsidR="00347706" w:rsidRDefault="00347706">
            <w:pPr>
              <w:spacing w:after="52"/>
              <w:jc w:val="center"/>
              <w:rPr>
                <w:sz w:val="20"/>
                <w:szCs w:val="20"/>
              </w:rPr>
            </w:pPr>
            <w:r>
              <w:rPr>
                <w:sz w:val="20"/>
                <w:szCs w:val="20"/>
              </w:rPr>
              <w:t>6</w:t>
            </w:r>
          </w:p>
        </w:tc>
        <w:tc>
          <w:tcPr>
            <w:tcW w:w="1440" w:type="dxa"/>
          </w:tcPr>
          <w:p w:rsidR="00347706" w:rsidRDefault="00347706">
            <w:pPr>
              <w:spacing w:after="52"/>
              <w:jc w:val="center"/>
              <w:rPr>
                <w:sz w:val="20"/>
                <w:szCs w:val="20"/>
              </w:rPr>
            </w:pPr>
            <w:r>
              <w:rPr>
                <w:sz w:val="20"/>
                <w:szCs w:val="20"/>
              </w:rPr>
              <w:t>1</w:t>
            </w:r>
          </w:p>
        </w:tc>
        <w:tc>
          <w:tcPr>
            <w:tcW w:w="1678" w:type="dxa"/>
            <w:vMerge/>
          </w:tcPr>
          <w:p w:rsidR="00347706" w:rsidRDefault="00347706">
            <w:pPr>
              <w:spacing w:after="52"/>
              <w:jc w:val="center"/>
              <w:rPr>
                <w:sz w:val="20"/>
                <w:szCs w:val="20"/>
              </w:rPr>
            </w:pPr>
          </w:p>
        </w:tc>
        <w:tc>
          <w:tcPr>
            <w:tcW w:w="2010" w:type="dxa"/>
            <w:vMerge/>
          </w:tcPr>
          <w:p w:rsidR="00347706" w:rsidRDefault="00347706">
            <w:pPr>
              <w:spacing w:after="52"/>
              <w:jc w:val="center"/>
              <w:rPr>
                <w:sz w:val="20"/>
                <w:szCs w:val="20"/>
              </w:rPr>
            </w:pPr>
          </w:p>
        </w:tc>
      </w:tr>
      <w:tr w:rsidR="00D02580" w:rsidTr="005560C8">
        <w:trPr>
          <w:cantSplit/>
          <w:jc w:val="center"/>
        </w:trPr>
        <w:tc>
          <w:tcPr>
            <w:tcW w:w="1431" w:type="dxa"/>
            <w:vMerge/>
          </w:tcPr>
          <w:p w:rsidR="00D02580" w:rsidRDefault="00D02580">
            <w:pPr>
              <w:spacing w:after="52"/>
              <w:jc w:val="center"/>
              <w:rPr>
                <w:sz w:val="20"/>
                <w:szCs w:val="20"/>
              </w:rPr>
            </w:pPr>
          </w:p>
        </w:tc>
        <w:tc>
          <w:tcPr>
            <w:tcW w:w="1240" w:type="dxa"/>
            <w:vMerge/>
          </w:tcPr>
          <w:p w:rsidR="00D02580" w:rsidRDefault="00D02580">
            <w:pPr>
              <w:spacing w:after="52"/>
              <w:jc w:val="center"/>
              <w:rPr>
                <w:sz w:val="20"/>
                <w:szCs w:val="20"/>
              </w:rPr>
            </w:pPr>
          </w:p>
        </w:tc>
        <w:tc>
          <w:tcPr>
            <w:tcW w:w="1558" w:type="dxa"/>
          </w:tcPr>
          <w:p w:rsidR="00D02580" w:rsidRDefault="00347706" w:rsidP="009E49DA">
            <w:pPr>
              <w:spacing w:after="52"/>
              <w:jc w:val="center"/>
              <w:rPr>
                <w:sz w:val="20"/>
                <w:szCs w:val="20"/>
              </w:rPr>
            </w:pPr>
            <w:r>
              <w:rPr>
                <w:sz w:val="20"/>
                <w:szCs w:val="20"/>
              </w:rPr>
              <w:t>0.</w:t>
            </w:r>
            <w:r w:rsidR="009E49DA">
              <w:rPr>
                <w:sz w:val="20"/>
                <w:szCs w:val="20"/>
              </w:rPr>
              <w:t>33</w:t>
            </w:r>
            <w:r w:rsidRPr="00347706">
              <w:rPr>
                <w:sz w:val="20"/>
                <w:szCs w:val="20"/>
                <w:vertAlign w:val="superscript"/>
              </w:rPr>
              <w:t>c</w:t>
            </w:r>
          </w:p>
        </w:tc>
        <w:tc>
          <w:tcPr>
            <w:tcW w:w="1440" w:type="dxa"/>
          </w:tcPr>
          <w:p w:rsidR="00D02580" w:rsidRDefault="00347706">
            <w:pPr>
              <w:spacing w:after="52"/>
              <w:jc w:val="center"/>
              <w:rPr>
                <w:sz w:val="20"/>
                <w:szCs w:val="20"/>
              </w:rPr>
            </w:pPr>
            <w:r>
              <w:rPr>
                <w:sz w:val="20"/>
                <w:szCs w:val="20"/>
              </w:rPr>
              <w:t>1</w:t>
            </w:r>
          </w:p>
        </w:tc>
        <w:tc>
          <w:tcPr>
            <w:tcW w:w="1678" w:type="dxa"/>
            <w:vMerge/>
          </w:tcPr>
          <w:p w:rsidR="00D02580" w:rsidRDefault="00D02580">
            <w:pPr>
              <w:spacing w:after="52"/>
              <w:jc w:val="center"/>
              <w:rPr>
                <w:sz w:val="20"/>
                <w:szCs w:val="20"/>
              </w:rPr>
            </w:pPr>
          </w:p>
        </w:tc>
        <w:tc>
          <w:tcPr>
            <w:tcW w:w="2010" w:type="dxa"/>
            <w:vMerge/>
          </w:tcPr>
          <w:p w:rsidR="00D02580" w:rsidRDefault="00D02580">
            <w:pPr>
              <w:spacing w:after="52"/>
              <w:jc w:val="center"/>
              <w:rPr>
                <w:sz w:val="20"/>
                <w:szCs w:val="20"/>
              </w:rPr>
            </w:pPr>
          </w:p>
        </w:tc>
      </w:tr>
    </w:tbl>
    <w:p w:rsidR="00D02580" w:rsidRDefault="00347706" w:rsidP="00BA74EB">
      <w:pPr>
        <w:rPr>
          <w:sz w:val="20"/>
          <w:szCs w:val="20"/>
        </w:rPr>
      </w:pPr>
      <w:proofErr w:type="gramStart"/>
      <w:r w:rsidRPr="00347706">
        <w:rPr>
          <w:sz w:val="20"/>
          <w:szCs w:val="20"/>
          <w:vertAlign w:val="superscript"/>
        </w:rPr>
        <w:t>a</w:t>
      </w:r>
      <w:proofErr w:type="gramEnd"/>
      <w:r>
        <w:rPr>
          <w:sz w:val="20"/>
          <w:szCs w:val="20"/>
        </w:rPr>
        <w:t xml:space="preserve"> </w:t>
      </w:r>
      <w:r w:rsidR="00D02580">
        <w:rPr>
          <w:sz w:val="20"/>
          <w:szCs w:val="20"/>
        </w:rPr>
        <w:t>New respondents are defined for this calculation as sources that recently became subject to the rule and existing sources that have modified/reconstructed their facilities.</w:t>
      </w:r>
    </w:p>
    <w:p w:rsidR="00D02580" w:rsidRDefault="00347706" w:rsidP="00BA74EB">
      <w:pPr>
        <w:rPr>
          <w:sz w:val="20"/>
          <w:szCs w:val="20"/>
        </w:rPr>
      </w:pPr>
      <w:proofErr w:type="gramStart"/>
      <w:r w:rsidRPr="00347706">
        <w:rPr>
          <w:sz w:val="20"/>
          <w:szCs w:val="20"/>
          <w:vertAlign w:val="superscript"/>
        </w:rPr>
        <w:t>b</w:t>
      </w:r>
      <w:proofErr w:type="gramEnd"/>
      <w:r>
        <w:rPr>
          <w:sz w:val="20"/>
          <w:szCs w:val="20"/>
        </w:rPr>
        <w:t xml:space="preserve"> </w:t>
      </w:r>
      <w:r w:rsidR="00D02580">
        <w:rPr>
          <w:sz w:val="20"/>
          <w:szCs w:val="20"/>
        </w:rPr>
        <w:t xml:space="preserve">There are </w:t>
      </w:r>
      <w:r w:rsidR="006457DC">
        <w:rPr>
          <w:sz w:val="20"/>
          <w:szCs w:val="20"/>
        </w:rPr>
        <w:t xml:space="preserve">7 </w:t>
      </w:r>
      <w:r w:rsidR="00D02580">
        <w:rPr>
          <w:sz w:val="20"/>
          <w:szCs w:val="20"/>
        </w:rPr>
        <w:t xml:space="preserve">existing slabstock foam producers and </w:t>
      </w:r>
      <w:r w:rsidR="006457DC">
        <w:rPr>
          <w:sz w:val="20"/>
          <w:szCs w:val="20"/>
        </w:rPr>
        <w:t xml:space="preserve">6 </w:t>
      </w:r>
      <w:r w:rsidR="00D02580">
        <w:rPr>
          <w:sz w:val="20"/>
          <w:szCs w:val="20"/>
        </w:rPr>
        <w:t xml:space="preserve">existing molded/rebond foam producers which total </w:t>
      </w:r>
      <w:r w:rsidR="006457DC">
        <w:rPr>
          <w:sz w:val="20"/>
          <w:szCs w:val="20"/>
        </w:rPr>
        <w:t xml:space="preserve">13 </w:t>
      </w:r>
      <w:r w:rsidR="00D02580">
        <w:rPr>
          <w:sz w:val="20"/>
          <w:szCs w:val="20"/>
        </w:rPr>
        <w:t>respondents.</w:t>
      </w:r>
    </w:p>
    <w:p w:rsidR="00347706" w:rsidRDefault="00347706" w:rsidP="00BA74EB">
      <w:pPr>
        <w:rPr>
          <w:sz w:val="20"/>
          <w:szCs w:val="20"/>
        </w:rPr>
      </w:pPr>
      <w:proofErr w:type="gramStart"/>
      <w:r w:rsidRPr="00347706">
        <w:rPr>
          <w:sz w:val="20"/>
          <w:szCs w:val="20"/>
          <w:vertAlign w:val="superscript"/>
        </w:rPr>
        <w:t>c</w:t>
      </w:r>
      <w:proofErr w:type="gramEnd"/>
      <w:r w:rsidRPr="00347706">
        <w:rPr>
          <w:sz w:val="20"/>
          <w:szCs w:val="20"/>
          <w:vertAlign w:val="superscript"/>
        </w:rPr>
        <w:t xml:space="preserve"> </w:t>
      </w:r>
      <w:r>
        <w:rPr>
          <w:sz w:val="20"/>
          <w:szCs w:val="20"/>
        </w:rPr>
        <w:t xml:space="preserve">Assumes </w:t>
      </w:r>
      <w:r w:rsidR="009E49DA">
        <w:rPr>
          <w:sz w:val="20"/>
          <w:szCs w:val="20"/>
        </w:rPr>
        <w:t>1</w:t>
      </w:r>
      <w:r w:rsidRPr="00347706">
        <w:rPr>
          <w:sz w:val="20"/>
          <w:szCs w:val="20"/>
        </w:rPr>
        <w:t xml:space="preserve"> affirmative defense report for entire industry during the 3-yr ICR period</w:t>
      </w:r>
      <w:r>
        <w:rPr>
          <w:sz w:val="20"/>
          <w:szCs w:val="20"/>
        </w:rPr>
        <w:t>, or 0.</w:t>
      </w:r>
      <w:r w:rsidR="009E49DA">
        <w:rPr>
          <w:sz w:val="20"/>
          <w:szCs w:val="20"/>
        </w:rPr>
        <w:t>33</w:t>
      </w:r>
      <w:r>
        <w:rPr>
          <w:sz w:val="20"/>
          <w:szCs w:val="20"/>
        </w:rPr>
        <w:t xml:space="preserve"> response/yr.</w:t>
      </w:r>
    </w:p>
    <w:p w:rsidR="00D02580" w:rsidRDefault="00D02580"/>
    <w:p w:rsidR="00D02580" w:rsidRDefault="00D02580" w:rsidP="007D2BEF">
      <w:pPr>
        <w:keepLines/>
        <w:ind w:firstLine="720"/>
      </w:pPr>
      <w:r>
        <w:lastRenderedPageBreak/>
        <w:t xml:space="preserve">The number of Total Annual Responses is </w:t>
      </w:r>
      <w:r w:rsidR="00EC3633">
        <w:t>30</w:t>
      </w:r>
      <w:r>
        <w:t>.  The total annual labor costs are $</w:t>
      </w:r>
      <w:r w:rsidR="007A4C42">
        <w:t>90,</w:t>
      </w:r>
      <w:r w:rsidR="009E49DA">
        <w:t>104</w:t>
      </w:r>
      <w:r>
        <w:t xml:space="preserve">.  Details regarding these estimates may be found </w:t>
      </w:r>
      <w:r w:rsidR="00977950">
        <w:t xml:space="preserve">below </w:t>
      </w:r>
      <w:r>
        <w:t>in Table 1. Annual Respondent Burden and Cost: NESHAP for Flexible Polyurethane Foam Product (40 CFR part 63, subpart III</w:t>
      </w:r>
      <w:r w:rsidR="00977950">
        <w:t>)</w:t>
      </w:r>
      <w:r>
        <w:t>.</w:t>
      </w:r>
    </w:p>
    <w:p w:rsidR="00D02580" w:rsidRDefault="00D02580"/>
    <w:p w:rsidR="00D02580" w:rsidRDefault="00D02580">
      <w:pPr>
        <w:ind w:firstLine="720"/>
        <w:rPr>
          <w:b/>
          <w:bCs/>
        </w:rPr>
      </w:pPr>
      <w:r>
        <w:t>Note that there are no total annual capital/start up and operation and maintenance (O&amp;M) costs to the regulated entity that can be attributed to this rule.  These costs are detailed in Section 6(b</w:t>
      </w:r>
      <w:proofErr w:type="gramStart"/>
      <w:r>
        <w:t>)(</w:t>
      </w:r>
      <w:proofErr w:type="gramEnd"/>
      <w:r>
        <w:t>iii), Capital/Startup vs. Operation and Maintenance Costs.</w:t>
      </w:r>
    </w:p>
    <w:p w:rsidR="00D02580" w:rsidRDefault="00D02580">
      <w:pPr>
        <w:rPr>
          <w:b/>
          <w:bCs/>
        </w:rPr>
      </w:pPr>
    </w:p>
    <w:p w:rsidR="00D02580" w:rsidRDefault="00D02580">
      <w:pPr>
        <w:ind w:firstLine="720"/>
      </w:pPr>
      <w:r>
        <w:rPr>
          <w:b/>
          <w:bCs/>
        </w:rPr>
        <w:t>6(e</w:t>
      </w:r>
      <w:proofErr w:type="gramStart"/>
      <w:r>
        <w:rPr>
          <w:b/>
          <w:bCs/>
        </w:rPr>
        <w:t>)  Bottom</w:t>
      </w:r>
      <w:proofErr w:type="gramEnd"/>
      <w:r>
        <w:rPr>
          <w:b/>
          <w:bCs/>
        </w:rPr>
        <w:t xml:space="preserve"> Line Burden Hours Burden Hours and Cost Tables</w:t>
      </w:r>
    </w:p>
    <w:p w:rsidR="00D02580" w:rsidRDefault="00D02580"/>
    <w:p w:rsidR="00D02580" w:rsidRDefault="00D02580">
      <w:pPr>
        <w:ind w:firstLine="720"/>
      </w:pPr>
      <w:r>
        <w:t xml:space="preserve">The bottom line burden hours and cost tables for both the Agency and the respondents appear below or are attached.  The annual public reporting and recordkeeping burden for this collection of information is estimated to average </w:t>
      </w:r>
      <w:r w:rsidR="00C67137">
        <w:t>34</w:t>
      </w:r>
      <w:r w:rsidR="00452704">
        <w:t xml:space="preserve"> </w:t>
      </w:r>
      <w:r>
        <w:t>hours per response.</w:t>
      </w:r>
    </w:p>
    <w:p w:rsidR="00D02580" w:rsidRDefault="00D02580" w:rsidP="00014D69">
      <w:pPr>
        <w:ind w:firstLine="720"/>
        <w:rPr>
          <w:b/>
          <w:bCs/>
        </w:rPr>
      </w:pPr>
    </w:p>
    <w:p w:rsidR="00D02580" w:rsidRDefault="00D02580" w:rsidP="00014D69">
      <w:pPr>
        <w:ind w:firstLine="720"/>
      </w:pPr>
      <w:r>
        <w:rPr>
          <w:b/>
          <w:bCs/>
        </w:rPr>
        <w:t>6(f</w:t>
      </w:r>
      <w:proofErr w:type="gramStart"/>
      <w:r>
        <w:rPr>
          <w:b/>
          <w:bCs/>
        </w:rPr>
        <w:t>)  Reasons</w:t>
      </w:r>
      <w:proofErr w:type="gramEnd"/>
      <w:r>
        <w:rPr>
          <w:b/>
          <w:bCs/>
        </w:rPr>
        <w:t xml:space="preserve"> for Change in Burden</w:t>
      </w:r>
    </w:p>
    <w:p w:rsidR="00D02580" w:rsidRDefault="00D02580" w:rsidP="00014D69">
      <w:pPr>
        <w:ind w:firstLine="720"/>
      </w:pPr>
    </w:p>
    <w:p w:rsidR="00850B6A" w:rsidRDefault="00850B6A" w:rsidP="00850B6A">
      <w:pPr>
        <w:pStyle w:val="Style1"/>
        <w:spacing w:line="240" w:lineRule="auto"/>
        <w:ind w:firstLine="720"/>
        <w:rPr>
          <w:i w:val="0"/>
        </w:rPr>
      </w:pPr>
      <w:r w:rsidRPr="00513FA2">
        <w:rPr>
          <w:i w:val="0"/>
        </w:rPr>
        <w:t xml:space="preserve">The decrease in burden from the most recently approved ICR is due to adjustment in both the types of information which must be collected and the number of sources submitting the required information. Specifically, </w:t>
      </w:r>
      <w:r w:rsidR="00296172">
        <w:rPr>
          <w:i w:val="0"/>
        </w:rPr>
        <w:t xml:space="preserve">existing </w:t>
      </w:r>
      <w:r w:rsidRPr="00513FA2">
        <w:rPr>
          <w:i w:val="0"/>
        </w:rPr>
        <w:t>burden items related to</w:t>
      </w:r>
      <w:r w:rsidRPr="00513FA2">
        <w:rPr>
          <w:rFonts w:ascii="TimesNewRoman" w:hAnsi="TimesNewRoman" w:cs="TimesNewRoman"/>
          <w:i w:val="0"/>
        </w:rPr>
        <w:t xml:space="preserve"> </w:t>
      </w:r>
      <w:r w:rsidR="00296172">
        <w:rPr>
          <w:i w:val="0"/>
        </w:rPr>
        <w:t>HAP ABA are</w:t>
      </w:r>
      <w:r w:rsidRPr="00513FA2">
        <w:rPr>
          <w:i w:val="0"/>
        </w:rPr>
        <w:t xml:space="preserve"> </w:t>
      </w:r>
      <w:r w:rsidR="00296172">
        <w:rPr>
          <w:i w:val="0"/>
        </w:rPr>
        <w:t>eliminated</w:t>
      </w:r>
      <w:r w:rsidRPr="00513FA2">
        <w:rPr>
          <w:i w:val="0"/>
        </w:rPr>
        <w:t xml:space="preserve"> under the proposed amendments</w:t>
      </w:r>
      <w:r w:rsidR="00296172">
        <w:rPr>
          <w:i w:val="0"/>
        </w:rPr>
        <w:t xml:space="preserve"> and replaced with a recordkeeping requirement</w:t>
      </w:r>
      <w:r w:rsidRPr="00513FA2">
        <w:rPr>
          <w:i w:val="0"/>
        </w:rPr>
        <w:t xml:space="preserve">. The previous (active) ICR calculated burden based on </w:t>
      </w:r>
      <w:r w:rsidR="00296172">
        <w:rPr>
          <w:i w:val="0"/>
        </w:rPr>
        <w:t>132</w:t>
      </w:r>
      <w:r w:rsidRPr="00513FA2">
        <w:rPr>
          <w:i w:val="0"/>
        </w:rPr>
        <w:t xml:space="preserve"> existing </w:t>
      </w:r>
      <w:r>
        <w:rPr>
          <w:i w:val="0"/>
        </w:rPr>
        <w:t xml:space="preserve">sources, </w:t>
      </w:r>
      <w:r w:rsidR="00296172">
        <w:rPr>
          <w:i w:val="0"/>
        </w:rPr>
        <w:t>no</w:t>
      </w:r>
      <w:r>
        <w:rPr>
          <w:i w:val="0"/>
        </w:rPr>
        <w:t xml:space="preserve"> new sources, and </w:t>
      </w:r>
      <w:r w:rsidR="00296172">
        <w:rPr>
          <w:i w:val="0"/>
        </w:rPr>
        <w:t>six</w:t>
      </w:r>
      <w:r>
        <w:rPr>
          <w:i w:val="0"/>
        </w:rPr>
        <w:t xml:space="preserve"> existing source that will be reconstructed; whereas</w:t>
      </w:r>
      <w:r w:rsidRPr="00513FA2">
        <w:rPr>
          <w:i w:val="0"/>
        </w:rPr>
        <w:t xml:space="preserve"> </w:t>
      </w:r>
      <w:r>
        <w:rPr>
          <w:i w:val="0"/>
        </w:rPr>
        <w:t>t</w:t>
      </w:r>
      <w:r w:rsidRPr="00513FA2">
        <w:rPr>
          <w:i w:val="0"/>
        </w:rPr>
        <w:t xml:space="preserve">his ICR calculates burden based on </w:t>
      </w:r>
      <w:r>
        <w:rPr>
          <w:i w:val="0"/>
        </w:rPr>
        <w:t>1</w:t>
      </w:r>
      <w:r w:rsidR="00296172">
        <w:rPr>
          <w:i w:val="0"/>
        </w:rPr>
        <w:t>3</w:t>
      </w:r>
      <w:r w:rsidRPr="00513FA2">
        <w:rPr>
          <w:i w:val="0"/>
        </w:rPr>
        <w:t xml:space="preserve"> existing </w:t>
      </w:r>
      <w:r>
        <w:rPr>
          <w:i w:val="0"/>
        </w:rPr>
        <w:t>sources</w:t>
      </w:r>
      <w:r w:rsidR="00296172">
        <w:rPr>
          <w:i w:val="0"/>
        </w:rPr>
        <w:t xml:space="preserve"> and one existing source that will be reconstructed</w:t>
      </w:r>
      <w:r>
        <w:rPr>
          <w:i w:val="0"/>
        </w:rPr>
        <w:t xml:space="preserve">. Although there are additional reporting requirements for affirmative defense (optional), the overall change in burden from the previous ICR is a decrease; primarily due to the large decrease in the number of affected sources since the last ICR calculated burden was estimated.   </w:t>
      </w:r>
    </w:p>
    <w:p w:rsidR="00850B6A" w:rsidRPr="00513FA2" w:rsidRDefault="00850B6A" w:rsidP="00850B6A">
      <w:pPr>
        <w:pStyle w:val="Style1"/>
        <w:spacing w:line="240" w:lineRule="auto"/>
        <w:ind w:firstLine="720"/>
        <w:rPr>
          <w:i w:val="0"/>
        </w:rPr>
      </w:pPr>
    </w:p>
    <w:p w:rsidR="00850B6A" w:rsidRDefault="00850B6A" w:rsidP="00850B6A">
      <w:pPr>
        <w:ind w:firstLine="720"/>
      </w:pPr>
      <w:r>
        <w:rPr>
          <w:rFonts w:cs="Courier New"/>
        </w:rPr>
        <w:t xml:space="preserve">The </w:t>
      </w:r>
      <w:r w:rsidRPr="004E12E5">
        <w:rPr>
          <w:rFonts w:cs="Courier New"/>
        </w:rPr>
        <w:t xml:space="preserve">EPA provides an adjustment to this ICR that estimates the costs of the notification, recordkeeping and reporting requirements associated with </w:t>
      </w:r>
      <w:r w:rsidRPr="006E0AC4">
        <w:rPr>
          <w:rFonts w:cs="Courier New"/>
        </w:rPr>
        <w:t>the asserti</w:t>
      </w:r>
      <w:r>
        <w:rPr>
          <w:rFonts w:cs="Courier New"/>
        </w:rPr>
        <w:t xml:space="preserve">on of the affirmative defense. The </w:t>
      </w:r>
      <w:r w:rsidRPr="006E0AC4">
        <w:rPr>
          <w:rFonts w:cs="Courier New"/>
        </w:rPr>
        <w:t>EPA’s estimate for the required notification, reports and records, including the root cause analysis, associated with a single incident totals approximately $2,188 and is based on the time and effort required of a source to review relevant data, interview plant employees, and document the events surrounding a malfunction that has caused an ex</w:t>
      </w:r>
      <w:r>
        <w:rPr>
          <w:rFonts w:cs="Courier New"/>
        </w:rPr>
        <w:t xml:space="preserve">ceedance of an emission limit. </w:t>
      </w:r>
      <w:r w:rsidRPr="006E0AC4">
        <w:rPr>
          <w:rFonts w:cs="Courier New"/>
        </w:rPr>
        <w:t>The estimate also includes time to produce and retain</w:t>
      </w:r>
      <w:r w:rsidRPr="004E12E5">
        <w:rPr>
          <w:rFonts w:cs="Courier New"/>
        </w:rPr>
        <w:t xml:space="preserve"> the records and </w:t>
      </w:r>
      <w:r>
        <w:rPr>
          <w:rFonts w:cs="Courier New"/>
        </w:rPr>
        <w:t xml:space="preserve">reports for submission to the EPA. </w:t>
      </w:r>
      <w:r w:rsidRPr="004E12E5">
        <w:rPr>
          <w:rFonts w:cs="Courier New"/>
        </w:rPr>
        <w:t xml:space="preserve">For the purpose of estimating the annual burden, </w:t>
      </w:r>
      <w:r>
        <w:rPr>
          <w:rFonts w:cs="Courier New"/>
        </w:rPr>
        <w:t xml:space="preserve">the </w:t>
      </w:r>
      <w:r w:rsidRPr="004E12E5">
        <w:rPr>
          <w:rFonts w:cs="Courier New"/>
        </w:rPr>
        <w:t xml:space="preserve">EPA is attributing a total of </w:t>
      </w:r>
      <w:r w:rsidR="00BE5ACD">
        <w:rPr>
          <w:rFonts w:cs="Courier New"/>
        </w:rPr>
        <w:t>1</w:t>
      </w:r>
      <w:r w:rsidRPr="004E12E5">
        <w:rPr>
          <w:rFonts w:cs="Courier New"/>
        </w:rPr>
        <w:t xml:space="preserve"> instances of affirmative defense over a three year period acros</w:t>
      </w:r>
      <w:r>
        <w:rPr>
          <w:rFonts w:cs="Courier New"/>
        </w:rPr>
        <w:t xml:space="preserve">s all sources in the category. The </w:t>
      </w:r>
      <w:r w:rsidRPr="004E12E5">
        <w:rPr>
          <w:rFonts w:cs="Courier New"/>
        </w:rPr>
        <w:t xml:space="preserve">EPA is using this frequency of </w:t>
      </w:r>
      <w:r w:rsidR="009E49DA">
        <w:rPr>
          <w:rFonts w:cs="Courier New"/>
        </w:rPr>
        <w:t>1</w:t>
      </w:r>
      <w:r w:rsidRPr="004E12E5">
        <w:rPr>
          <w:rFonts w:cs="Courier New"/>
        </w:rPr>
        <w:t xml:space="preserve"> event in three years because, of the number of excess emission events reported by source operators, only a small number would be expected to result from a malfunction, and only a subset of excess emissions caused by malfunctions would result in the source choosing to a</w:t>
      </w:r>
      <w:r>
        <w:rPr>
          <w:rFonts w:cs="Courier New"/>
        </w:rPr>
        <w:t xml:space="preserve">ssert the affirmative defense. </w:t>
      </w:r>
      <w:r w:rsidRPr="004E12E5">
        <w:rPr>
          <w:rFonts w:cs="Courier New"/>
        </w:rPr>
        <w:t>Thus, we believe the number of instances in which source operators might be expected to avail themselves of the affirmative defense will be extremely small.</w:t>
      </w:r>
    </w:p>
    <w:p w:rsidR="00850B6A" w:rsidRDefault="00850B6A" w:rsidP="00014D69">
      <w:pPr>
        <w:ind w:firstLine="720"/>
      </w:pPr>
    </w:p>
    <w:p w:rsidR="00D02580" w:rsidRDefault="00D02580">
      <w:pPr>
        <w:rPr>
          <w:rFonts w:cs="Helv"/>
          <w:color w:val="000000"/>
        </w:rPr>
      </w:pPr>
      <w:r>
        <w:rPr>
          <w:rFonts w:cs="Helv"/>
          <w:color w:val="000000"/>
        </w:rPr>
        <w:tab/>
      </w:r>
      <w:r w:rsidR="004F2E1E">
        <w:rPr>
          <w:rFonts w:cs="Helv"/>
          <w:color w:val="000000"/>
        </w:rPr>
        <w:t>The increase</w:t>
      </w:r>
      <w:r w:rsidR="00BE468E">
        <w:rPr>
          <w:rFonts w:cs="Helv"/>
          <w:color w:val="000000"/>
        </w:rPr>
        <w:t>s</w:t>
      </w:r>
      <w:r w:rsidR="004F2E1E">
        <w:rPr>
          <w:rFonts w:cs="Helv"/>
          <w:color w:val="000000"/>
        </w:rPr>
        <w:t xml:space="preserve"> in </w:t>
      </w:r>
      <w:r w:rsidR="00BE468E">
        <w:rPr>
          <w:rFonts w:cs="Helv"/>
          <w:color w:val="000000"/>
        </w:rPr>
        <w:t xml:space="preserve">labor </w:t>
      </w:r>
      <w:r w:rsidR="004F2E1E">
        <w:rPr>
          <w:rFonts w:cs="Helv"/>
          <w:color w:val="000000"/>
        </w:rPr>
        <w:t xml:space="preserve">cost </w:t>
      </w:r>
      <w:r w:rsidR="00BE468E">
        <w:rPr>
          <w:rFonts w:cs="Helv"/>
          <w:color w:val="000000"/>
        </w:rPr>
        <w:t xml:space="preserve">burden </w:t>
      </w:r>
      <w:r w:rsidR="004F2E1E">
        <w:rPr>
          <w:rFonts w:cs="Helv"/>
          <w:color w:val="000000"/>
        </w:rPr>
        <w:t xml:space="preserve">to </w:t>
      </w:r>
      <w:r w:rsidR="00BE468E">
        <w:rPr>
          <w:rFonts w:cs="Helv"/>
          <w:color w:val="000000"/>
        </w:rPr>
        <w:t xml:space="preserve">the </w:t>
      </w:r>
      <w:r w:rsidR="004F2E1E">
        <w:rPr>
          <w:rFonts w:cs="Helv"/>
          <w:color w:val="000000"/>
        </w:rPr>
        <w:t xml:space="preserve">Respondents and the Agency </w:t>
      </w:r>
      <w:r w:rsidR="00BE468E">
        <w:rPr>
          <w:rFonts w:cs="Helv"/>
          <w:color w:val="000000"/>
        </w:rPr>
        <w:t>are</w:t>
      </w:r>
      <w:r w:rsidR="004F2E1E">
        <w:rPr>
          <w:rFonts w:cs="Helv"/>
          <w:color w:val="000000"/>
        </w:rPr>
        <w:t xml:space="preserve"> due to labor rate adjustments reflect</w:t>
      </w:r>
      <w:r w:rsidR="00BE468E">
        <w:rPr>
          <w:rFonts w:cs="Helv"/>
          <w:color w:val="000000"/>
        </w:rPr>
        <w:t xml:space="preserve">ing </w:t>
      </w:r>
      <w:r w:rsidR="004F2E1E">
        <w:rPr>
          <w:rFonts w:cs="Helv"/>
          <w:color w:val="000000"/>
        </w:rPr>
        <w:t>rates for fiscal year</w:t>
      </w:r>
      <w:r w:rsidR="00296172">
        <w:rPr>
          <w:rFonts w:cs="Helv"/>
          <w:color w:val="000000"/>
        </w:rPr>
        <w:t>s</w:t>
      </w:r>
      <w:r w:rsidR="004F2E1E">
        <w:rPr>
          <w:rFonts w:cs="Helv"/>
          <w:color w:val="000000"/>
        </w:rPr>
        <w:t xml:space="preserve"> </w:t>
      </w:r>
      <w:r w:rsidR="00296172">
        <w:rPr>
          <w:rFonts w:cs="Helv"/>
          <w:color w:val="000000"/>
        </w:rPr>
        <w:t>2011-13</w:t>
      </w:r>
      <w:r w:rsidR="00F56F0C">
        <w:rPr>
          <w:rFonts w:cs="Helv"/>
          <w:color w:val="000000"/>
        </w:rPr>
        <w:t xml:space="preserve">.  </w:t>
      </w:r>
      <w:r w:rsidR="004F2E1E">
        <w:rPr>
          <w:rFonts w:cs="Helv"/>
          <w:color w:val="000000"/>
        </w:rPr>
        <w:t>Th</w:t>
      </w:r>
      <w:r w:rsidR="00BE468E">
        <w:rPr>
          <w:rFonts w:cs="Helv"/>
          <w:color w:val="000000"/>
        </w:rPr>
        <w:t>e</w:t>
      </w:r>
      <w:r w:rsidR="004F2E1E">
        <w:rPr>
          <w:rFonts w:cs="Helv"/>
          <w:color w:val="000000"/>
        </w:rPr>
        <w:t xml:space="preserve"> increase</w:t>
      </w:r>
      <w:r w:rsidR="00BE468E">
        <w:rPr>
          <w:rFonts w:cs="Helv"/>
          <w:color w:val="000000"/>
        </w:rPr>
        <w:t>s</w:t>
      </w:r>
      <w:r w:rsidR="004F2E1E">
        <w:rPr>
          <w:rFonts w:cs="Helv"/>
          <w:color w:val="000000"/>
        </w:rPr>
        <w:t xml:space="preserve"> </w:t>
      </w:r>
      <w:r w:rsidR="00BE468E">
        <w:rPr>
          <w:rFonts w:cs="Helv"/>
          <w:color w:val="000000"/>
        </w:rPr>
        <w:t>are</w:t>
      </w:r>
      <w:r w:rsidR="004F2E1E">
        <w:rPr>
          <w:rFonts w:cs="Helv"/>
          <w:color w:val="000000"/>
        </w:rPr>
        <w:t xml:space="preserve"> not due to any program changes</w:t>
      </w:r>
      <w:r w:rsidR="00F56F0C">
        <w:rPr>
          <w:rFonts w:cs="Helv"/>
          <w:color w:val="000000"/>
        </w:rPr>
        <w:t xml:space="preserve">.  </w:t>
      </w:r>
      <w:r w:rsidR="004F2E1E">
        <w:rPr>
          <w:rFonts w:cs="Helv"/>
          <w:color w:val="000000"/>
        </w:rPr>
        <w:t xml:space="preserve">Labor rates in the previous ICR were based on fiscal year </w:t>
      </w:r>
      <w:r w:rsidR="00296172">
        <w:rPr>
          <w:rFonts w:cs="Helv"/>
          <w:color w:val="000000"/>
        </w:rPr>
        <w:t>2009</w:t>
      </w:r>
      <w:r w:rsidR="004F2E1E">
        <w:rPr>
          <w:rFonts w:cs="Helv"/>
          <w:color w:val="000000"/>
        </w:rPr>
        <w:t>.</w:t>
      </w:r>
    </w:p>
    <w:p w:rsidR="00D02580" w:rsidRDefault="00D02580"/>
    <w:p w:rsidR="00D02580" w:rsidRDefault="00D02580">
      <w:pPr>
        <w:ind w:firstLine="720"/>
      </w:pPr>
      <w:r>
        <w:rPr>
          <w:b/>
          <w:bCs/>
        </w:rPr>
        <w:t>6(g</w:t>
      </w:r>
      <w:proofErr w:type="gramStart"/>
      <w:r>
        <w:rPr>
          <w:b/>
          <w:bCs/>
        </w:rPr>
        <w:t>)  Burden</w:t>
      </w:r>
      <w:proofErr w:type="gramEnd"/>
      <w:r>
        <w:rPr>
          <w:b/>
          <w:bCs/>
        </w:rPr>
        <w:t xml:space="preserve"> Statement</w:t>
      </w:r>
    </w:p>
    <w:p w:rsidR="00D02580" w:rsidRDefault="00D02580"/>
    <w:p w:rsidR="00D02580" w:rsidRDefault="00D02580">
      <w:pPr>
        <w:ind w:firstLine="720"/>
      </w:pPr>
      <w:r>
        <w:t xml:space="preserve">The annual public reporting and recordkeeping burden for this collection of information is estimated to average </w:t>
      </w:r>
      <w:r w:rsidR="00297CCA">
        <w:t>34</w:t>
      </w:r>
      <w:r w:rsidR="00BA6F4B">
        <w:t xml:space="preserve"> </w:t>
      </w:r>
      <w: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A6F4B" w:rsidRDefault="00BA6F4B">
      <w:pPr>
        <w:ind w:firstLine="720"/>
      </w:pPr>
    </w:p>
    <w:p w:rsidR="00BA6F4B" w:rsidRDefault="00BA6F4B" w:rsidP="00BA6F4B">
      <w:pPr>
        <w:ind w:firstLine="720"/>
      </w:pPr>
      <w:r w:rsidRPr="00BA6F4B">
        <w:t xml:space="preserve">An agency may not conduct or sponsor, and a person is not required to respond to a collection of information unless it displays a currently valid OMB control number. The OMB control numbers for the EPA’s regulations in 40 CFR </w:t>
      </w:r>
      <w:proofErr w:type="gramStart"/>
      <w:r w:rsidRPr="00BA6F4B">
        <w:t>part</w:t>
      </w:r>
      <w:proofErr w:type="gramEnd"/>
      <w:r w:rsidRPr="00BA6F4B">
        <w:t xml:space="preserve"> 63 are listed in 40 CFR part 9.</w:t>
      </w:r>
    </w:p>
    <w:p w:rsidR="00BA6F4B" w:rsidRPr="00BA6F4B" w:rsidRDefault="00BA6F4B" w:rsidP="00BA6F4B">
      <w:pPr>
        <w:ind w:firstLine="720"/>
      </w:pPr>
    </w:p>
    <w:p w:rsidR="00BA6F4B" w:rsidRPr="00BA6F4B" w:rsidRDefault="00BA6F4B" w:rsidP="00BA6F4B">
      <w:pPr>
        <w:ind w:firstLine="720"/>
      </w:pPr>
      <w:r w:rsidRPr="00BA6F4B">
        <w:t xml:space="preserve">To comment on the Agency’s need for this information the accuracy of the provided burden estimates, and any suggestions for minimizing respondent burden, including through the use of automated collection techniques, the EPA has established a public docket for this ICR under Docket ID No. </w:t>
      </w:r>
      <w:r w:rsidR="008D6CBB" w:rsidRPr="00201649">
        <w:t>EPA-HQ-OAR-2012-0510</w:t>
      </w:r>
      <w:r w:rsidRPr="00BA6F4B">
        <w:t xml:space="preserve">, which is available for online viewing at </w:t>
      </w:r>
      <w:hyperlink r:id="rId8" w:history="1">
        <w:r w:rsidRPr="00BA6F4B">
          <w:rPr>
            <w:rStyle w:val="Hyperlink"/>
          </w:rPr>
          <w:t>http://www.regulations.gov</w:t>
        </w:r>
      </w:hyperlink>
      <w:r w:rsidRPr="00BA6F4B">
        <w:t xml:space="preserve">, or in person viewing at the Air and Radiation Docket and Information Center in the EPA Docket Center (EPA/DC), </w:t>
      </w:r>
      <w:r w:rsidR="00C67137">
        <w:t>WJC</w:t>
      </w:r>
      <w:r w:rsidRPr="00BA6F4B">
        <w:t xml:space="preserve"> West, Room 3334, 1301 Constitution Ave., NW, Washington, DC.  The EPA Docket Center Public Reading Room is open from </w:t>
      </w:r>
      <w:smartTag w:uri="urn:schemas-microsoft-com:office:smarttags" w:element="time">
        <w:smartTagPr>
          <w:attr w:name="Hour" w:val="8"/>
          <w:attr w:name="Minute" w:val="30"/>
        </w:smartTagPr>
        <w:r w:rsidRPr="00BA6F4B">
          <w:t>8:30 a.m.</w:t>
        </w:r>
      </w:smartTag>
      <w:r w:rsidRPr="00BA6F4B">
        <w:t xml:space="preserve"> to </w:t>
      </w:r>
      <w:smartTag w:uri="urn:schemas-microsoft-com:office:smarttags" w:element="time">
        <w:smartTagPr>
          <w:attr w:name="Hour" w:val="16"/>
          <w:attr w:name="Minute" w:val="30"/>
        </w:smartTagPr>
        <w:r w:rsidRPr="00BA6F4B">
          <w:t>4:30 p.m.</w:t>
        </w:r>
      </w:smartTag>
      <w:r w:rsidRPr="00BA6F4B">
        <w:t xml:space="preserve">, Monday through Friday, excluding legal holidays. The telephone number for the Reading Room is (202) 566-1744, and the telephone number for the Air Docket is (202) 566-1742. An electronic version of the public docket is available at </w:t>
      </w:r>
      <w:hyperlink r:id="rId9" w:history="1">
        <w:r w:rsidRPr="00BA6F4B">
          <w:rPr>
            <w:rStyle w:val="Hyperlink"/>
          </w:rPr>
          <w:t>http://www.regulations.gov.</w:t>
        </w:r>
      </w:hyperlink>
      <w:r w:rsidRPr="00BA6F4B">
        <w:t xml:space="preserve"> This site can be used to submit or view public comments, access the index listing of the contents of the public docket, and to access those documents in the public docket that are available electronically. When in the system, select “search,” then key in one of the Docket ID Numbers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BA6F4B">
            <w:t>725 17</w:t>
          </w:r>
          <w:r w:rsidRPr="00BA6F4B">
            <w:rPr>
              <w:vertAlign w:val="superscript"/>
            </w:rPr>
            <w:t>th</w:t>
          </w:r>
          <w:r w:rsidRPr="00BA6F4B">
            <w:t xml:space="preserve"> Street, NW</w:t>
          </w:r>
        </w:smartTag>
        <w:r w:rsidRPr="00BA6F4B">
          <w:t xml:space="preserve">, </w:t>
        </w:r>
        <w:smartTag w:uri="urn:schemas-microsoft-com:office:smarttags" w:element="City">
          <w:r w:rsidRPr="00BA6F4B">
            <w:t>Washington</w:t>
          </w:r>
        </w:smartTag>
        <w:r w:rsidRPr="00BA6F4B">
          <w:t xml:space="preserve">, </w:t>
        </w:r>
        <w:smartTag w:uri="urn:schemas-microsoft-com:office:smarttags" w:element="State">
          <w:r w:rsidRPr="00BA6F4B">
            <w:t>DC</w:t>
          </w:r>
        </w:smartTag>
        <w:r w:rsidRPr="00BA6F4B">
          <w:t xml:space="preserve"> </w:t>
        </w:r>
        <w:smartTag w:uri="urn:schemas-microsoft-com:office:smarttags" w:element="PostalCode">
          <w:r w:rsidRPr="00BA6F4B">
            <w:t>20503</w:t>
          </w:r>
        </w:smartTag>
      </w:smartTag>
      <w:r w:rsidRPr="00BA6F4B">
        <w:t>, Attention Desk Officer for EPA.  Please include the relevant Docket ID Number (</w:t>
      </w:r>
      <w:r w:rsidR="008D6CBB" w:rsidRPr="00201649">
        <w:t>EPA-HQ-OAR-2012-0510</w:t>
      </w:r>
      <w:r w:rsidRPr="00BA6F4B">
        <w:t>) in any correspondence.</w:t>
      </w:r>
    </w:p>
    <w:p w:rsidR="00BA6F4B" w:rsidRDefault="00BA6F4B">
      <w:pPr>
        <w:ind w:firstLine="720"/>
      </w:pPr>
    </w:p>
    <w:p w:rsidR="00D02580" w:rsidRDefault="00D02580">
      <w:pPr>
        <w:rPr>
          <w:b/>
          <w:bCs/>
        </w:rPr>
      </w:pPr>
      <w:r>
        <w:rPr>
          <w:b/>
          <w:bCs/>
        </w:rPr>
        <w:t>Part B of the Supporting Statement</w:t>
      </w:r>
    </w:p>
    <w:p w:rsidR="00D02580" w:rsidRDefault="00D02580">
      <w:pPr>
        <w:rPr>
          <w:b/>
          <w:bCs/>
        </w:rPr>
      </w:pPr>
    </w:p>
    <w:p w:rsidR="00D02580" w:rsidRDefault="008B47FD" w:rsidP="00CB5948">
      <w:pPr>
        <w:ind w:firstLine="720"/>
      </w:pPr>
      <w:r>
        <w:t>This section is not applicable because statistical methods are not used in data collection associated with the rule.</w:t>
      </w:r>
    </w:p>
    <w:p w:rsidR="00F4590C" w:rsidRDefault="00F4590C" w:rsidP="00F4590C">
      <w:pPr>
        <w:ind w:firstLine="720"/>
      </w:pPr>
    </w:p>
    <w:p w:rsidR="00F4590C" w:rsidRDefault="00F4590C" w:rsidP="00F4590C">
      <w:pPr>
        <w:ind w:firstLine="720"/>
      </w:pPr>
    </w:p>
    <w:p w:rsidR="00F4590C" w:rsidRDefault="00F4590C" w:rsidP="00F4590C">
      <w:pPr>
        <w:tabs>
          <w:tab w:val="center" w:pos="6480"/>
        </w:tabs>
        <w:ind w:firstLine="1440"/>
        <w:jc w:val="center"/>
        <w:rPr>
          <w:b/>
          <w:bCs/>
        </w:rPr>
        <w:sectPr w:rsidR="00F4590C" w:rsidSect="00080321">
          <w:headerReference w:type="even" r:id="rId10"/>
          <w:headerReference w:type="default" r:id="rId11"/>
          <w:footerReference w:type="even" r:id="rId12"/>
          <w:footerReference w:type="default" r:id="rId13"/>
          <w:pgSz w:w="12240" w:h="15840" w:code="1"/>
          <w:pgMar w:top="1440" w:right="1440" w:bottom="1440" w:left="1440" w:header="1008" w:footer="0" w:gutter="0"/>
          <w:cols w:space="720"/>
          <w:noEndnote/>
          <w:titlePg/>
        </w:sectPr>
      </w:pPr>
    </w:p>
    <w:tbl>
      <w:tblPr>
        <w:tblW w:w="14940" w:type="dxa"/>
        <w:tblInd w:w="108" w:type="dxa"/>
        <w:tblLayout w:type="fixed"/>
        <w:tblLook w:val="04A0"/>
      </w:tblPr>
      <w:tblGrid>
        <w:gridCol w:w="3420"/>
        <w:gridCol w:w="1350"/>
        <w:gridCol w:w="1350"/>
        <w:gridCol w:w="1170"/>
        <w:gridCol w:w="1440"/>
        <w:gridCol w:w="1129"/>
        <w:gridCol w:w="1391"/>
        <w:gridCol w:w="1050"/>
        <w:gridCol w:w="1171"/>
        <w:gridCol w:w="1469"/>
      </w:tblGrid>
      <w:tr w:rsidR="007573FF" w:rsidRPr="007573FF" w:rsidTr="0009107D">
        <w:trPr>
          <w:trHeight w:val="85"/>
        </w:trPr>
        <w:tc>
          <w:tcPr>
            <w:tcW w:w="14940" w:type="dxa"/>
            <w:gridSpan w:val="10"/>
            <w:tcBorders>
              <w:top w:val="single" w:sz="4" w:space="0" w:color="FFFFFF"/>
              <w:left w:val="single" w:sz="4" w:space="0" w:color="FFFFFF"/>
              <w:bottom w:val="single" w:sz="4" w:space="0" w:color="auto"/>
              <w:right w:val="single" w:sz="4" w:space="0" w:color="FFFFFF"/>
            </w:tcBorders>
            <w:shd w:val="clear" w:color="000000" w:fill="FFFFFF"/>
            <w:noWrap/>
            <w:vAlign w:val="bottom"/>
            <w:hideMark/>
          </w:tcPr>
          <w:p w:rsidR="007573FF" w:rsidRPr="006C0572" w:rsidRDefault="006C0572" w:rsidP="007573FF">
            <w:pPr>
              <w:widowControl/>
              <w:autoSpaceDE/>
              <w:autoSpaceDN/>
              <w:adjustRightInd/>
              <w:rPr>
                <w:rFonts w:ascii="Arial" w:hAnsi="Arial" w:cs="Arial"/>
                <w:sz w:val="20"/>
                <w:szCs w:val="20"/>
              </w:rPr>
            </w:pPr>
            <w:bookmarkStart w:id="2" w:name="RANGE!A1:J45"/>
            <w:r w:rsidRPr="006C0572">
              <w:rPr>
                <w:rFonts w:ascii="Arial" w:hAnsi="Arial" w:cs="Arial"/>
              </w:rPr>
              <w:lastRenderedPageBreak/>
              <w:t>Table</w:t>
            </w:r>
            <w:r w:rsidR="007573FF" w:rsidRPr="006C0572">
              <w:rPr>
                <w:rFonts w:ascii="Arial" w:hAnsi="Arial" w:cs="Arial"/>
              </w:rPr>
              <w:t xml:space="preserve"> 1.  </w:t>
            </w:r>
            <w:r w:rsidRPr="006C0572">
              <w:rPr>
                <w:rFonts w:ascii="Arial" w:hAnsi="Arial" w:cs="Arial"/>
              </w:rPr>
              <w:t>Annual Respondent Burden and Cost: NESHAP for Flexible Polyurethane Foam Product (40 CFR part 63, subpart III)</w:t>
            </w:r>
            <w:bookmarkEnd w:id="2"/>
          </w:p>
        </w:tc>
      </w:tr>
      <w:tr w:rsidR="004B101B" w:rsidRPr="007573FF" w:rsidTr="0009107D">
        <w:trPr>
          <w:trHeight w:val="254"/>
        </w:trPr>
        <w:tc>
          <w:tcPr>
            <w:tcW w:w="3420" w:type="dxa"/>
            <w:vMerge w:val="restart"/>
            <w:tcBorders>
              <w:top w:val="nil"/>
              <w:left w:val="single" w:sz="4" w:space="0" w:color="000000"/>
              <w:bottom w:val="single" w:sz="4" w:space="0" w:color="000000"/>
              <w:right w:val="nil"/>
            </w:tcBorders>
            <w:shd w:val="clear" w:color="000000" w:fill="FFFFFF"/>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(B)</w:t>
            </w:r>
          </w:p>
        </w:tc>
        <w:tc>
          <w:tcPr>
            <w:tcW w:w="1170" w:type="dxa"/>
            <w:tcBorders>
              <w:top w:val="nil"/>
              <w:left w:val="nil"/>
              <w:bottom w:val="single" w:sz="4" w:space="0" w:color="auto"/>
              <w:right w:val="single" w:sz="4" w:space="0" w:color="auto"/>
            </w:tcBorders>
            <w:shd w:val="clear" w:color="auto" w:fill="auto"/>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(C)</w:t>
            </w:r>
          </w:p>
        </w:tc>
        <w:tc>
          <w:tcPr>
            <w:tcW w:w="1440" w:type="dxa"/>
            <w:tcBorders>
              <w:top w:val="nil"/>
              <w:left w:val="nil"/>
              <w:bottom w:val="single" w:sz="4" w:space="0" w:color="auto"/>
              <w:right w:val="single" w:sz="4" w:space="0" w:color="auto"/>
            </w:tcBorders>
            <w:shd w:val="clear" w:color="auto" w:fill="auto"/>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(D)</w:t>
            </w:r>
          </w:p>
        </w:tc>
        <w:tc>
          <w:tcPr>
            <w:tcW w:w="1129" w:type="dxa"/>
            <w:tcBorders>
              <w:top w:val="nil"/>
              <w:left w:val="nil"/>
              <w:bottom w:val="single" w:sz="4" w:space="0" w:color="auto"/>
              <w:right w:val="single" w:sz="4" w:space="0" w:color="auto"/>
            </w:tcBorders>
            <w:shd w:val="clear" w:color="auto" w:fill="auto"/>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(E)</w:t>
            </w:r>
          </w:p>
        </w:tc>
        <w:tc>
          <w:tcPr>
            <w:tcW w:w="1391" w:type="dxa"/>
            <w:tcBorders>
              <w:top w:val="nil"/>
              <w:left w:val="nil"/>
              <w:bottom w:val="single" w:sz="4" w:space="0" w:color="auto"/>
              <w:right w:val="single" w:sz="4" w:space="0" w:color="auto"/>
            </w:tcBorders>
            <w:shd w:val="clear" w:color="auto" w:fill="auto"/>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(F)</w:t>
            </w:r>
          </w:p>
        </w:tc>
        <w:tc>
          <w:tcPr>
            <w:tcW w:w="1050" w:type="dxa"/>
            <w:tcBorders>
              <w:top w:val="nil"/>
              <w:left w:val="nil"/>
              <w:bottom w:val="single" w:sz="4" w:space="0" w:color="auto"/>
              <w:right w:val="single" w:sz="4" w:space="0" w:color="auto"/>
            </w:tcBorders>
            <w:shd w:val="clear" w:color="auto" w:fill="auto"/>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(G)</w:t>
            </w:r>
          </w:p>
        </w:tc>
        <w:tc>
          <w:tcPr>
            <w:tcW w:w="1171" w:type="dxa"/>
            <w:tcBorders>
              <w:top w:val="nil"/>
              <w:left w:val="nil"/>
              <w:bottom w:val="single" w:sz="4" w:space="0" w:color="auto"/>
              <w:right w:val="single" w:sz="4" w:space="0" w:color="auto"/>
            </w:tcBorders>
            <w:shd w:val="clear" w:color="auto" w:fill="auto"/>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(H)</w:t>
            </w:r>
          </w:p>
        </w:tc>
        <w:tc>
          <w:tcPr>
            <w:tcW w:w="1469" w:type="dxa"/>
            <w:tcBorders>
              <w:top w:val="nil"/>
              <w:left w:val="nil"/>
              <w:bottom w:val="single" w:sz="4" w:space="0" w:color="auto"/>
              <w:right w:val="single" w:sz="4" w:space="0" w:color="auto"/>
            </w:tcBorders>
            <w:shd w:val="clear" w:color="auto" w:fill="auto"/>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(I)</w:t>
            </w:r>
          </w:p>
        </w:tc>
      </w:tr>
      <w:tr w:rsidR="004B101B" w:rsidRPr="007573FF" w:rsidTr="0009107D">
        <w:trPr>
          <w:trHeight w:val="764"/>
        </w:trPr>
        <w:tc>
          <w:tcPr>
            <w:tcW w:w="3420" w:type="dxa"/>
            <w:vMerge/>
            <w:tcBorders>
              <w:top w:val="nil"/>
              <w:left w:val="single" w:sz="4" w:space="0" w:color="000000"/>
              <w:bottom w:val="single" w:sz="4" w:space="0" w:color="000000"/>
              <w:right w:val="nil"/>
            </w:tcBorders>
            <w:vAlign w:val="center"/>
            <w:hideMark/>
          </w:tcPr>
          <w:p w:rsidR="007573FF" w:rsidRPr="007573FF" w:rsidRDefault="007573FF" w:rsidP="007573FF">
            <w:pPr>
              <w:widowControl/>
              <w:autoSpaceDE/>
              <w:autoSpaceDN/>
              <w:adjustRightInd/>
              <w:rPr>
                <w:rFonts w:ascii="Arial" w:hAnsi="Arial" w:cs="Arial"/>
                <w:sz w:val="20"/>
                <w:szCs w:val="20"/>
              </w:rPr>
            </w:pPr>
          </w:p>
        </w:tc>
        <w:tc>
          <w:tcPr>
            <w:tcW w:w="1350" w:type="dxa"/>
            <w:tcBorders>
              <w:top w:val="nil"/>
              <w:left w:val="single" w:sz="4" w:space="0" w:color="auto"/>
              <w:bottom w:val="single" w:sz="4" w:space="0" w:color="FFFFFF"/>
              <w:right w:val="nil"/>
            </w:tcBorders>
            <w:shd w:val="clear" w:color="000000" w:fill="FFFFFF"/>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Technical Hours/ Occurrence</w:t>
            </w:r>
          </w:p>
        </w:tc>
        <w:tc>
          <w:tcPr>
            <w:tcW w:w="1350" w:type="dxa"/>
            <w:tcBorders>
              <w:top w:val="nil"/>
              <w:left w:val="single" w:sz="4" w:space="0" w:color="auto"/>
              <w:bottom w:val="single" w:sz="4" w:space="0" w:color="FFFFFF"/>
              <w:right w:val="nil"/>
            </w:tcBorders>
            <w:shd w:val="clear" w:color="000000" w:fill="FFFFFF"/>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Occurrences/ Year</w:t>
            </w:r>
          </w:p>
        </w:tc>
        <w:tc>
          <w:tcPr>
            <w:tcW w:w="1170" w:type="dxa"/>
            <w:tcBorders>
              <w:top w:val="nil"/>
              <w:left w:val="single" w:sz="4" w:space="0" w:color="auto"/>
              <w:bottom w:val="single" w:sz="4" w:space="0" w:color="FFFFFF"/>
              <w:right w:val="nil"/>
            </w:tcBorders>
            <w:shd w:val="clear" w:color="000000" w:fill="FFFFFF"/>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Hours/ Year (C=A*B)</w:t>
            </w:r>
          </w:p>
        </w:tc>
        <w:tc>
          <w:tcPr>
            <w:tcW w:w="1440" w:type="dxa"/>
            <w:tcBorders>
              <w:top w:val="nil"/>
              <w:left w:val="single" w:sz="4" w:space="0" w:color="auto"/>
              <w:bottom w:val="single" w:sz="4" w:space="0" w:color="FFFFFF"/>
              <w:right w:val="nil"/>
            </w:tcBorders>
            <w:shd w:val="clear" w:color="000000" w:fill="FFFFFF"/>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Respondents/</w:t>
            </w:r>
            <w:proofErr w:type="spellStart"/>
            <w:r w:rsidRPr="007573FF">
              <w:rPr>
                <w:rFonts w:ascii="Arial" w:hAnsi="Arial" w:cs="Arial"/>
                <w:sz w:val="20"/>
                <w:szCs w:val="20"/>
              </w:rPr>
              <w:t>Year</w:t>
            </w:r>
            <w:r w:rsidRPr="007573FF">
              <w:rPr>
                <w:rFonts w:ascii="Arial" w:hAnsi="Arial" w:cs="Arial"/>
                <w:sz w:val="20"/>
                <w:szCs w:val="20"/>
                <w:vertAlign w:val="superscript"/>
              </w:rPr>
              <w:t>a</w:t>
            </w:r>
            <w:proofErr w:type="spellEnd"/>
          </w:p>
        </w:tc>
        <w:tc>
          <w:tcPr>
            <w:tcW w:w="1129" w:type="dxa"/>
            <w:tcBorders>
              <w:top w:val="nil"/>
              <w:left w:val="single" w:sz="4" w:space="0" w:color="auto"/>
              <w:bottom w:val="single" w:sz="4" w:space="0" w:color="FFFFFF"/>
              <w:right w:val="nil"/>
            </w:tcBorders>
            <w:shd w:val="clear" w:color="000000" w:fill="FFFFFF"/>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Technical Hours/</w:t>
            </w:r>
            <w:r w:rsidR="004B101B">
              <w:rPr>
                <w:rFonts w:ascii="Arial" w:hAnsi="Arial" w:cs="Arial"/>
                <w:sz w:val="20"/>
                <w:szCs w:val="20"/>
              </w:rPr>
              <w:t xml:space="preserve"> </w:t>
            </w:r>
            <w:r w:rsidRPr="007573FF">
              <w:rPr>
                <w:rFonts w:ascii="Arial" w:hAnsi="Arial" w:cs="Arial"/>
                <w:sz w:val="20"/>
                <w:szCs w:val="20"/>
              </w:rPr>
              <w:t>Year (E=C*D)</w:t>
            </w:r>
          </w:p>
        </w:tc>
        <w:tc>
          <w:tcPr>
            <w:tcW w:w="1391" w:type="dxa"/>
            <w:tcBorders>
              <w:top w:val="nil"/>
              <w:left w:val="single" w:sz="4" w:space="0" w:color="auto"/>
              <w:bottom w:val="single" w:sz="4" w:space="0" w:color="FFFFFF"/>
              <w:right w:val="nil"/>
            </w:tcBorders>
            <w:shd w:val="clear" w:color="000000" w:fill="FFFFFF"/>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Management Hours/</w:t>
            </w:r>
            <w:r w:rsidR="004B101B">
              <w:rPr>
                <w:rFonts w:ascii="Arial" w:hAnsi="Arial" w:cs="Arial"/>
                <w:sz w:val="20"/>
                <w:szCs w:val="20"/>
              </w:rPr>
              <w:t xml:space="preserve"> </w:t>
            </w:r>
            <w:r w:rsidRPr="007573FF">
              <w:rPr>
                <w:rFonts w:ascii="Arial" w:hAnsi="Arial" w:cs="Arial"/>
                <w:sz w:val="20"/>
                <w:szCs w:val="20"/>
              </w:rPr>
              <w:t>Year (F=E*0.05)</w:t>
            </w:r>
          </w:p>
        </w:tc>
        <w:tc>
          <w:tcPr>
            <w:tcW w:w="1050" w:type="dxa"/>
            <w:tcBorders>
              <w:top w:val="nil"/>
              <w:left w:val="single" w:sz="4" w:space="0" w:color="auto"/>
              <w:bottom w:val="single" w:sz="4" w:space="0" w:color="FFFFFF"/>
              <w:right w:val="nil"/>
            </w:tcBorders>
            <w:shd w:val="clear" w:color="000000" w:fill="FFFFFF"/>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Clerical Hours/</w:t>
            </w:r>
            <w:r w:rsidR="004B101B">
              <w:rPr>
                <w:rFonts w:ascii="Arial" w:hAnsi="Arial" w:cs="Arial"/>
                <w:sz w:val="20"/>
                <w:szCs w:val="20"/>
              </w:rPr>
              <w:t xml:space="preserve"> </w:t>
            </w:r>
            <w:r w:rsidRPr="007573FF">
              <w:rPr>
                <w:rFonts w:ascii="Arial" w:hAnsi="Arial" w:cs="Arial"/>
                <w:sz w:val="20"/>
                <w:szCs w:val="20"/>
              </w:rPr>
              <w:t>Year (G=E*0.10)</w:t>
            </w:r>
          </w:p>
        </w:tc>
        <w:tc>
          <w:tcPr>
            <w:tcW w:w="1171" w:type="dxa"/>
            <w:tcBorders>
              <w:top w:val="nil"/>
              <w:left w:val="single" w:sz="4" w:space="0" w:color="auto"/>
              <w:bottom w:val="single" w:sz="4" w:space="0" w:color="FFFFFF"/>
              <w:right w:val="nil"/>
            </w:tcBorders>
            <w:shd w:val="clear" w:color="000000" w:fill="FFFFFF"/>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Total Hours/</w:t>
            </w:r>
            <w:r w:rsidR="004B101B">
              <w:rPr>
                <w:rFonts w:ascii="Arial" w:hAnsi="Arial" w:cs="Arial"/>
                <w:sz w:val="20"/>
                <w:szCs w:val="20"/>
              </w:rPr>
              <w:t xml:space="preserve"> </w:t>
            </w:r>
            <w:r w:rsidRPr="007573FF">
              <w:rPr>
                <w:rFonts w:ascii="Arial" w:hAnsi="Arial" w:cs="Arial"/>
                <w:sz w:val="20"/>
                <w:szCs w:val="20"/>
              </w:rPr>
              <w:t>Year (H=E+F+G)</w:t>
            </w:r>
          </w:p>
        </w:tc>
        <w:tc>
          <w:tcPr>
            <w:tcW w:w="1469" w:type="dxa"/>
            <w:tcBorders>
              <w:top w:val="nil"/>
              <w:left w:val="single" w:sz="4" w:space="0" w:color="auto"/>
              <w:bottom w:val="single" w:sz="4" w:space="0" w:color="FFFFFF"/>
              <w:right w:val="single" w:sz="4" w:space="0" w:color="auto"/>
            </w:tcBorders>
            <w:shd w:val="clear" w:color="000000" w:fill="FFFFFF"/>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 xml:space="preserve">Total Costs/ </w:t>
            </w:r>
            <w:proofErr w:type="spellStart"/>
            <w:r w:rsidRPr="007573FF">
              <w:rPr>
                <w:rFonts w:ascii="Arial" w:hAnsi="Arial" w:cs="Arial"/>
                <w:sz w:val="20"/>
                <w:szCs w:val="20"/>
              </w:rPr>
              <w:t>Year</w:t>
            </w:r>
            <w:r w:rsidRPr="007573FF">
              <w:rPr>
                <w:rFonts w:ascii="Arial" w:hAnsi="Arial" w:cs="Arial"/>
                <w:sz w:val="20"/>
                <w:szCs w:val="20"/>
                <w:vertAlign w:val="superscript"/>
              </w:rPr>
              <w:t>b</w:t>
            </w:r>
            <w:proofErr w:type="spellEnd"/>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b/>
                <w:bCs/>
                <w:sz w:val="20"/>
                <w:szCs w:val="20"/>
              </w:rPr>
            </w:pPr>
            <w:r w:rsidRPr="007573FF">
              <w:rPr>
                <w:rFonts w:ascii="Arial" w:hAnsi="Arial" w:cs="Arial"/>
                <w:b/>
                <w:bCs/>
                <w:sz w:val="20"/>
                <w:szCs w:val="20"/>
              </w:rPr>
              <w:t>1. Applications</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widowControl/>
              <w:autoSpaceDE/>
              <w:autoSpaceDN/>
              <w:adjustRightInd/>
              <w:jc w:val="right"/>
              <w:rPr>
                <w:rFonts w:ascii="Arial" w:hAnsi="Arial" w:cs="Arial"/>
                <w:sz w:val="20"/>
                <w:szCs w:val="20"/>
              </w:rPr>
            </w:pPr>
            <w:r>
              <w:rPr>
                <w:rFonts w:ascii="Arial" w:hAnsi="Arial" w:cs="Arial"/>
                <w:sz w:val="20"/>
                <w:szCs w:val="20"/>
              </w:rPr>
              <w:t>N/A</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29"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391"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05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71"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469"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b/>
                <w:bCs/>
                <w:sz w:val="20"/>
                <w:szCs w:val="20"/>
              </w:rPr>
            </w:pPr>
            <w:r w:rsidRPr="007573FF">
              <w:rPr>
                <w:rFonts w:ascii="Arial" w:hAnsi="Arial" w:cs="Arial"/>
                <w:b/>
                <w:bCs/>
                <w:sz w:val="20"/>
                <w:szCs w:val="20"/>
              </w:rPr>
              <w:t>2. Survey and Studies</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b/>
                <w:bCs/>
                <w:sz w:val="20"/>
                <w:szCs w:val="20"/>
              </w:rPr>
            </w:pPr>
            <w:r w:rsidRPr="007573FF">
              <w:rPr>
                <w:rFonts w:ascii="Arial" w:hAnsi="Arial" w:cs="Arial"/>
                <w:b/>
                <w:bCs/>
                <w:sz w:val="20"/>
                <w:szCs w:val="20"/>
              </w:rPr>
              <w:t>3. Acquisition, Installation, &amp; Utilization of Tech. &amp; Systems</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b/>
                <w:bCs/>
                <w:sz w:val="20"/>
                <w:szCs w:val="20"/>
              </w:rPr>
            </w:pPr>
            <w:r w:rsidRPr="007573FF">
              <w:rPr>
                <w:rFonts w:ascii="Arial" w:hAnsi="Arial" w:cs="Arial"/>
                <w:b/>
                <w:bCs/>
                <w:sz w:val="20"/>
                <w:szCs w:val="20"/>
              </w:rPr>
              <w:t>4. Reporting Requirements</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A. Read instructions </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0.1</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0.1</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1.2</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61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B. Required activities</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r>
      <w:tr w:rsidR="0009107D" w:rsidRPr="007573FF" w:rsidTr="0009107D">
        <w:trPr>
          <w:trHeight w:val="540"/>
        </w:trPr>
        <w:tc>
          <w:tcPr>
            <w:tcW w:w="3420" w:type="dxa"/>
            <w:tcBorders>
              <w:top w:val="nil"/>
              <w:left w:val="single" w:sz="4" w:space="0" w:color="auto"/>
              <w:bottom w:val="single" w:sz="4" w:space="0" w:color="auto"/>
              <w:right w:val="single" w:sz="4" w:space="0" w:color="auto"/>
            </w:tcBorders>
            <w:shd w:val="clear" w:color="000000" w:fill="FFFFFF"/>
            <w:vAlign w:val="bottom"/>
            <w:hideMark/>
          </w:tcPr>
          <w:p w:rsidR="0009107D" w:rsidRPr="007573FF" w:rsidRDefault="0009107D" w:rsidP="0009107D">
            <w:pPr>
              <w:widowControl/>
              <w:autoSpaceDE/>
              <w:autoSpaceDN/>
              <w:adjustRightInd/>
              <w:rPr>
                <w:rFonts w:ascii="Arial" w:hAnsi="Arial" w:cs="Arial"/>
                <w:sz w:val="20"/>
                <w:szCs w:val="20"/>
              </w:rPr>
            </w:pPr>
            <w:r>
              <w:rPr>
                <w:rFonts w:ascii="Arial" w:hAnsi="Arial" w:cs="Arial"/>
                <w:sz w:val="20"/>
                <w:szCs w:val="20"/>
              </w:rPr>
              <w:t xml:space="preserve"> </w:t>
            </w:r>
            <w:r w:rsidRPr="007573FF">
              <w:rPr>
                <w:rFonts w:ascii="Arial" w:hAnsi="Arial" w:cs="Arial"/>
                <w:sz w:val="20"/>
                <w:szCs w:val="20"/>
              </w:rPr>
              <w:t xml:space="preserve">Monitoring of Emissions Operations, Slabstock Facilities - Storage Tank </w:t>
            </w:r>
            <w:proofErr w:type="spellStart"/>
            <w:r w:rsidRPr="007573FF">
              <w:rPr>
                <w:rFonts w:ascii="Arial" w:hAnsi="Arial" w:cs="Arial"/>
                <w:sz w:val="20"/>
                <w:szCs w:val="20"/>
              </w:rPr>
              <w:t>Measurements</w:t>
            </w:r>
            <w:r w:rsidRPr="007573FF">
              <w:rPr>
                <w:rFonts w:ascii="Arial" w:hAnsi="Arial" w:cs="Arial"/>
                <w:sz w:val="20"/>
                <w:szCs w:val="20"/>
                <w:vertAlign w:val="superscript"/>
              </w:rPr>
              <w:t>c</w:t>
            </w:r>
            <w:proofErr w:type="spellEnd"/>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12.0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12.0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7.0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84.0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4.2</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8.4</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96.6</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5,127 </w:t>
            </w:r>
          </w:p>
        </w:tc>
      </w:tr>
      <w:tr w:rsidR="007573FF"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C. Create information</w:t>
            </w:r>
          </w:p>
        </w:tc>
        <w:tc>
          <w:tcPr>
            <w:tcW w:w="11520" w:type="dxa"/>
            <w:gridSpan w:val="9"/>
            <w:tcBorders>
              <w:top w:val="single" w:sz="4" w:space="0" w:color="auto"/>
              <w:left w:val="nil"/>
              <w:bottom w:val="single" w:sz="4" w:space="0" w:color="auto"/>
              <w:right w:val="single" w:sz="4" w:space="0" w:color="000000"/>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Included in 4B and 5E</w:t>
            </w:r>
          </w:p>
        </w:tc>
      </w:tr>
      <w:tr w:rsidR="007573FF"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D. Gather existing information</w:t>
            </w:r>
          </w:p>
        </w:tc>
        <w:tc>
          <w:tcPr>
            <w:tcW w:w="11520" w:type="dxa"/>
            <w:gridSpan w:val="9"/>
            <w:tcBorders>
              <w:top w:val="single" w:sz="4" w:space="0" w:color="auto"/>
              <w:left w:val="nil"/>
              <w:bottom w:val="single" w:sz="4" w:space="0" w:color="auto"/>
              <w:right w:val="single" w:sz="4" w:space="0" w:color="000000"/>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Included in 4B and 5E</w:t>
            </w:r>
          </w:p>
        </w:tc>
      </w:tr>
      <w:tr w:rsidR="004B101B"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E. Write report</w:t>
            </w:r>
          </w:p>
        </w:tc>
        <w:tc>
          <w:tcPr>
            <w:tcW w:w="13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jc w:val="right"/>
              <w:rPr>
                <w:rFonts w:ascii="Arial" w:hAnsi="Arial" w:cs="Arial"/>
                <w:sz w:val="20"/>
                <w:szCs w:val="20"/>
              </w:rPr>
            </w:pPr>
            <w:r w:rsidRPr="007573FF">
              <w:rPr>
                <w:rFonts w:ascii="Arial" w:hAnsi="Arial" w:cs="Arial"/>
                <w:sz w:val="20"/>
                <w:szCs w:val="20"/>
              </w:rPr>
              <w:t> </w:t>
            </w:r>
          </w:p>
        </w:tc>
        <w:tc>
          <w:tcPr>
            <w:tcW w:w="13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29"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391"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0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69"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r>
      <w:tr w:rsidR="0009107D" w:rsidRPr="007573FF" w:rsidTr="0009107D">
        <w:trPr>
          <w:trHeight w:val="28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   Initial </w:t>
            </w:r>
            <w:proofErr w:type="spellStart"/>
            <w:r w:rsidRPr="007573FF">
              <w:rPr>
                <w:rFonts w:ascii="Arial" w:hAnsi="Arial" w:cs="Arial"/>
                <w:sz w:val="20"/>
                <w:szCs w:val="20"/>
              </w:rPr>
              <w:t>Notification</w:t>
            </w:r>
            <w:r w:rsidRPr="007573FF">
              <w:rPr>
                <w:rFonts w:ascii="Arial" w:hAnsi="Arial" w:cs="Arial"/>
                <w:sz w:val="20"/>
                <w:szCs w:val="20"/>
                <w:vertAlign w:val="superscript"/>
              </w:rPr>
              <w:t>d</w:t>
            </w:r>
            <w:proofErr w:type="spellEnd"/>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widowControl/>
              <w:autoSpaceDE/>
              <w:autoSpaceDN/>
              <w:adjustRightInd/>
              <w:jc w:val="right"/>
              <w:rPr>
                <w:rFonts w:ascii="Arial" w:hAnsi="Arial" w:cs="Arial"/>
                <w:sz w:val="20"/>
                <w:szCs w:val="20"/>
              </w:rPr>
            </w:pPr>
            <w:r>
              <w:rPr>
                <w:rFonts w:ascii="Arial" w:hAnsi="Arial" w:cs="Arial"/>
                <w:sz w:val="20"/>
                <w:szCs w:val="20"/>
              </w:rPr>
              <w:t>2.00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   </w:t>
            </w:r>
          </w:p>
        </w:tc>
      </w:tr>
      <w:tr w:rsidR="0009107D" w:rsidRPr="007573FF" w:rsidTr="0009107D">
        <w:trPr>
          <w:trHeight w:val="28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   Notification of Modification/</w:t>
            </w:r>
            <w:r>
              <w:rPr>
                <w:rFonts w:ascii="Arial" w:hAnsi="Arial" w:cs="Arial"/>
                <w:sz w:val="20"/>
                <w:szCs w:val="20"/>
              </w:rPr>
              <w:t xml:space="preserve"> </w:t>
            </w:r>
            <w:proofErr w:type="spellStart"/>
            <w:r w:rsidRPr="007573FF">
              <w:rPr>
                <w:rFonts w:ascii="Arial" w:hAnsi="Arial" w:cs="Arial"/>
                <w:sz w:val="20"/>
                <w:szCs w:val="20"/>
              </w:rPr>
              <w:t>Reconstruction</w:t>
            </w:r>
            <w:r w:rsidRPr="007573FF">
              <w:rPr>
                <w:rFonts w:ascii="Arial" w:hAnsi="Arial" w:cs="Arial"/>
                <w:sz w:val="20"/>
                <w:szCs w:val="20"/>
                <w:vertAlign w:val="superscript"/>
              </w:rPr>
              <w:t>a</w:t>
            </w:r>
            <w:proofErr w:type="spellEnd"/>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0.3</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0.6</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6.9</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366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   </w:t>
            </w:r>
            <w:proofErr w:type="spellStart"/>
            <w:r w:rsidRPr="007573FF">
              <w:rPr>
                <w:rFonts w:ascii="Arial" w:hAnsi="Arial" w:cs="Arial"/>
                <w:sz w:val="20"/>
                <w:szCs w:val="20"/>
              </w:rPr>
              <w:t>Precompliance</w:t>
            </w:r>
            <w:proofErr w:type="spellEnd"/>
            <w:r w:rsidRPr="007573FF">
              <w:rPr>
                <w:rFonts w:ascii="Arial" w:hAnsi="Arial" w:cs="Arial"/>
                <w:sz w:val="20"/>
                <w:szCs w:val="20"/>
              </w:rPr>
              <w:t xml:space="preserve"> Report</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0.1</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0.2</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2.3</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122 </w:t>
            </w:r>
          </w:p>
        </w:tc>
      </w:tr>
      <w:tr w:rsidR="0009107D" w:rsidRPr="007573FF" w:rsidTr="0009107D">
        <w:trPr>
          <w:trHeight w:val="28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   Notification of Compliance </w:t>
            </w:r>
            <w:proofErr w:type="spellStart"/>
            <w:r w:rsidRPr="007573FF">
              <w:rPr>
                <w:rFonts w:ascii="Arial" w:hAnsi="Arial" w:cs="Arial"/>
                <w:sz w:val="20"/>
                <w:szCs w:val="20"/>
              </w:rPr>
              <w:t>Status</w:t>
            </w:r>
            <w:r w:rsidRPr="007573FF">
              <w:rPr>
                <w:rFonts w:ascii="Arial" w:hAnsi="Arial" w:cs="Arial"/>
                <w:sz w:val="20"/>
                <w:szCs w:val="20"/>
                <w:vertAlign w:val="superscript"/>
              </w:rPr>
              <w:t>a</w:t>
            </w:r>
            <w:proofErr w:type="spellEnd"/>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16.00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16.0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16.0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0.8</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1.6</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18.4</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976 </w:t>
            </w:r>
          </w:p>
        </w:tc>
      </w:tr>
      <w:tr w:rsidR="0009107D" w:rsidRPr="007573FF" w:rsidTr="0009107D">
        <w:trPr>
          <w:trHeight w:val="28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   Semiannual </w:t>
            </w:r>
            <w:proofErr w:type="spellStart"/>
            <w:r w:rsidRPr="007573FF">
              <w:rPr>
                <w:rFonts w:ascii="Arial" w:hAnsi="Arial" w:cs="Arial"/>
                <w:sz w:val="20"/>
                <w:szCs w:val="20"/>
              </w:rPr>
              <w:t>Reports</w:t>
            </w:r>
            <w:r w:rsidRPr="007573FF">
              <w:rPr>
                <w:rFonts w:ascii="Arial" w:hAnsi="Arial" w:cs="Arial"/>
                <w:sz w:val="20"/>
                <w:szCs w:val="20"/>
                <w:vertAlign w:val="superscript"/>
              </w:rPr>
              <w:t>e</w:t>
            </w:r>
            <w:proofErr w:type="spellEnd"/>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8.0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7.0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56.0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2.8</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5.6</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64.4</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3,418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   Annual Compliance Certifications</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13.0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26.0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1.3</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2.6</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29.9</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1,587 </w:t>
            </w:r>
          </w:p>
        </w:tc>
      </w:tr>
      <w:tr w:rsidR="0009107D" w:rsidRPr="007573FF" w:rsidTr="0009107D">
        <w:trPr>
          <w:trHeight w:val="28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   Affirmative </w:t>
            </w:r>
            <w:proofErr w:type="spellStart"/>
            <w:r w:rsidRPr="007573FF">
              <w:rPr>
                <w:rFonts w:ascii="Arial" w:hAnsi="Arial" w:cs="Arial"/>
                <w:sz w:val="20"/>
                <w:szCs w:val="20"/>
              </w:rPr>
              <w:t>defense</w:t>
            </w:r>
            <w:r w:rsidRPr="007573FF">
              <w:rPr>
                <w:rFonts w:ascii="Arial" w:hAnsi="Arial" w:cs="Arial"/>
                <w:sz w:val="20"/>
                <w:szCs w:val="20"/>
                <w:vertAlign w:val="superscript"/>
              </w:rPr>
              <w:t>f</w:t>
            </w:r>
            <w:proofErr w:type="spellEnd"/>
            <w:r w:rsidRPr="007573FF">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18.00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18.0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0.3</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4.0</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10.0</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729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vAlign w:val="bottom"/>
            <w:hideMark/>
          </w:tcPr>
          <w:p w:rsidR="0009107D" w:rsidRPr="007573FF" w:rsidRDefault="0009107D" w:rsidP="0009107D">
            <w:pPr>
              <w:widowControl/>
              <w:autoSpaceDE/>
              <w:autoSpaceDN/>
              <w:adjustRightInd/>
              <w:rPr>
                <w:rFonts w:ascii="Arial" w:hAnsi="Arial" w:cs="Arial"/>
                <w:i/>
                <w:iCs/>
                <w:sz w:val="20"/>
                <w:szCs w:val="20"/>
              </w:rPr>
            </w:pPr>
            <w:r w:rsidRPr="007573FF">
              <w:rPr>
                <w:rFonts w:ascii="Arial" w:hAnsi="Arial" w:cs="Arial"/>
                <w:i/>
                <w:iCs/>
                <w:sz w:val="20"/>
                <w:szCs w:val="20"/>
              </w:rPr>
              <w:t>Reporting Subtotal</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50.00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21.00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65.00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31.33</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197.00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13.55</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19.10</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229.65</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12,386 </w:t>
            </w:r>
          </w:p>
        </w:tc>
      </w:tr>
      <w:tr w:rsidR="004B101B"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b/>
                <w:bCs/>
                <w:sz w:val="20"/>
                <w:szCs w:val="20"/>
              </w:rPr>
            </w:pPr>
            <w:r w:rsidRPr="007573FF">
              <w:rPr>
                <w:rFonts w:ascii="Arial" w:hAnsi="Arial" w:cs="Arial"/>
                <w:b/>
                <w:bCs/>
                <w:sz w:val="20"/>
                <w:szCs w:val="20"/>
              </w:rPr>
              <w:t>5.  Recordkeeping Requirements</w:t>
            </w:r>
          </w:p>
        </w:tc>
        <w:tc>
          <w:tcPr>
            <w:tcW w:w="13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3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29"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391"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0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69"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r>
      <w:tr w:rsidR="007573FF"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A. Read instructions</w:t>
            </w:r>
          </w:p>
        </w:tc>
        <w:tc>
          <w:tcPr>
            <w:tcW w:w="11520" w:type="dxa"/>
            <w:gridSpan w:val="9"/>
            <w:tcBorders>
              <w:top w:val="single" w:sz="4" w:space="0" w:color="auto"/>
              <w:left w:val="nil"/>
              <w:bottom w:val="single" w:sz="4" w:space="0" w:color="auto"/>
              <w:right w:val="single" w:sz="4" w:space="0" w:color="000000"/>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Included in 4A</w:t>
            </w:r>
          </w:p>
        </w:tc>
      </w:tr>
      <w:tr w:rsidR="007573FF"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B.  Plan activities</w:t>
            </w:r>
          </w:p>
        </w:tc>
        <w:tc>
          <w:tcPr>
            <w:tcW w:w="11520" w:type="dxa"/>
            <w:gridSpan w:val="9"/>
            <w:tcBorders>
              <w:top w:val="single" w:sz="4" w:space="0" w:color="auto"/>
              <w:left w:val="nil"/>
              <w:bottom w:val="single" w:sz="4" w:space="0" w:color="auto"/>
              <w:right w:val="single" w:sz="4" w:space="0" w:color="000000"/>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Included in 4B</w:t>
            </w:r>
          </w:p>
        </w:tc>
      </w:tr>
      <w:tr w:rsidR="007573FF"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C.  Implement activities</w:t>
            </w:r>
          </w:p>
        </w:tc>
        <w:tc>
          <w:tcPr>
            <w:tcW w:w="11520" w:type="dxa"/>
            <w:gridSpan w:val="9"/>
            <w:tcBorders>
              <w:top w:val="single" w:sz="4" w:space="0" w:color="auto"/>
              <w:left w:val="nil"/>
              <w:bottom w:val="single" w:sz="4" w:space="0" w:color="auto"/>
              <w:right w:val="single" w:sz="4" w:space="0" w:color="000000"/>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Included in 4B</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D.  Develop record system</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widowControl/>
              <w:autoSpaceDE/>
              <w:autoSpaceDN/>
              <w:adjustRightInd/>
              <w:jc w:val="right"/>
              <w:rPr>
                <w:rFonts w:ascii="Arial" w:hAnsi="Arial" w:cs="Arial"/>
                <w:sz w:val="20"/>
                <w:szCs w:val="20"/>
              </w:rPr>
            </w:pPr>
            <w:r>
              <w:rPr>
                <w:rFonts w:ascii="Arial" w:hAnsi="Arial" w:cs="Arial"/>
                <w:sz w:val="20"/>
                <w:szCs w:val="20"/>
              </w:rPr>
              <w:t>40.00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40.0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   </w:t>
            </w:r>
          </w:p>
        </w:tc>
      </w:tr>
      <w:tr w:rsidR="007E75B3" w:rsidRPr="007573FF" w:rsidTr="0009107D">
        <w:trPr>
          <w:trHeight w:val="254"/>
        </w:trPr>
        <w:tc>
          <w:tcPr>
            <w:tcW w:w="14940"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E75B3" w:rsidRPr="007573FF" w:rsidRDefault="007E75B3" w:rsidP="007573FF">
            <w:pPr>
              <w:widowControl/>
              <w:autoSpaceDE/>
              <w:autoSpaceDN/>
              <w:adjustRightInd/>
              <w:rPr>
                <w:rFonts w:ascii="Arial" w:hAnsi="Arial" w:cs="Arial"/>
                <w:sz w:val="20"/>
                <w:szCs w:val="20"/>
              </w:rPr>
            </w:pPr>
            <w:r w:rsidRPr="007573FF">
              <w:rPr>
                <w:rFonts w:ascii="Arial" w:hAnsi="Arial" w:cs="Arial"/>
                <w:sz w:val="20"/>
                <w:szCs w:val="20"/>
              </w:rPr>
              <w:t>E.  Time to enter information: Records of Monitoring and Operations</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      Slabstock Facilities</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widowControl/>
              <w:autoSpaceDE/>
              <w:autoSpaceDN/>
              <w:adjustRightInd/>
              <w:jc w:val="right"/>
              <w:rPr>
                <w:rFonts w:ascii="Arial" w:hAnsi="Arial" w:cs="Arial"/>
                <w:sz w:val="20"/>
                <w:szCs w:val="20"/>
              </w:rPr>
            </w:pPr>
            <w:r>
              <w:rPr>
                <w:rFonts w:ascii="Arial" w:hAnsi="Arial" w:cs="Arial"/>
                <w:sz w:val="20"/>
                <w:szCs w:val="20"/>
              </w:rPr>
              <w:t>8.00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12.0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96.0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7.0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672.0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33.6</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67.2</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772.8</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75,038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      Molded/Rebond Facilities</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24.0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1.2</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2.4</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27.6</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2,680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 xml:space="preserve">F.  Train personnel </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40.00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40.0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0.0</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I.    Audits</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N/A</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vAlign w:val="bottom"/>
            <w:hideMark/>
          </w:tcPr>
          <w:p w:rsidR="0009107D" w:rsidRPr="007573FF" w:rsidRDefault="0009107D" w:rsidP="0009107D">
            <w:pPr>
              <w:widowControl/>
              <w:autoSpaceDE/>
              <w:autoSpaceDN/>
              <w:adjustRightInd/>
              <w:rPr>
                <w:rFonts w:ascii="Arial" w:hAnsi="Arial" w:cs="Arial"/>
                <w:i/>
                <w:iCs/>
                <w:sz w:val="20"/>
                <w:szCs w:val="20"/>
              </w:rPr>
            </w:pPr>
            <w:r w:rsidRPr="007573FF">
              <w:rPr>
                <w:rFonts w:ascii="Arial" w:hAnsi="Arial" w:cs="Arial"/>
                <w:i/>
                <w:iCs/>
                <w:sz w:val="20"/>
                <w:szCs w:val="20"/>
              </w:rPr>
              <w:t>Recordkeeping Subtotal</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92.00</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15.00</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180.00</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13.00</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696.00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34.80</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69.60</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800.4</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77,718 </w:t>
            </w:r>
          </w:p>
        </w:tc>
      </w:tr>
      <w:tr w:rsidR="0009107D" w:rsidRPr="007573FF" w:rsidTr="008C267B">
        <w:trPr>
          <w:trHeight w:val="284"/>
        </w:trPr>
        <w:tc>
          <w:tcPr>
            <w:tcW w:w="14940" w:type="dxa"/>
            <w:gridSpan w:val="10"/>
            <w:tcBorders>
              <w:top w:val="nil"/>
              <w:left w:val="single" w:sz="4" w:space="0" w:color="FFFFFF"/>
              <w:right w:val="single" w:sz="4" w:space="0" w:color="FFFFFF"/>
            </w:tcBorders>
            <w:shd w:val="clear" w:color="000000" w:fill="FFFFFF"/>
            <w:noWrap/>
            <w:vAlign w:val="bottom"/>
          </w:tcPr>
          <w:p w:rsidR="0009107D" w:rsidRDefault="0009107D" w:rsidP="0009107D">
            <w:pPr>
              <w:jc w:val="right"/>
              <w:rPr>
                <w:rFonts w:ascii="Arial" w:hAnsi="Arial" w:cs="Arial"/>
                <w:sz w:val="20"/>
                <w:szCs w:val="20"/>
              </w:rPr>
            </w:pPr>
          </w:p>
          <w:p w:rsidR="0009107D" w:rsidRDefault="0009107D" w:rsidP="0009107D">
            <w:pPr>
              <w:jc w:val="right"/>
              <w:rPr>
                <w:rFonts w:ascii="Arial" w:hAnsi="Arial" w:cs="Arial"/>
                <w:sz w:val="20"/>
                <w:szCs w:val="20"/>
              </w:rPr>
            </w:pPr>
          </w:p>
        </w:tc>
      </w:tr>
      <w:tr w:rsidR="0009107D" w:rsidRPr="007573FF" w:rsidTr="0009107D">
        <w:trPr>
          <w:trHeight w:val="284"/>
        </w:trPr>
        <w:tc>
          <w:tcPr>
            <w:tcW w:w="34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lastRenderedPageBreak/>
              <w:t xml:space="preserve">TOTAL ANNUAL NUMBER OF </w:t>
            </w:r>
            <w:proofErr w:type="spellStart"/>
            <w:r w:rsidRPr="007573FF">
              <w:rPr>
                <w:rFonts w:ascii="Arial" w:hAnsi="Arial" w:cs="Arial"/>
                <w:sz w:val="20"/>
                <w:szCs w:val="20"/>
              </w:rPr>
              <w:t>RESPONSES</w:t>
            </w:r>
            <w:r w:rsidRPr="007573FF">
              <w:rPr>
                <w:rFonts w:ascii="Arial" w:hAnsi="Arial" w:cs="Arial"/>
                <w:sz w:val="20"/>
                <w:szCs w:val="20"/>
                <w:vertAlign w:val="superscript"/>
              </w:rPr>
              <w:t>g</w:t>
            </w:r>
            <w:proofErr w:type="spellEnd"/>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w:t>
            </w:r>
          </w:p>
        </w:tc>
        <w:tc>
          <w:tcPr>
            <w:tcW w:w="1129"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391"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050"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71"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469" w:type="dxa"/>
            <w:tcBorders>
              <w:top w:val="single" w:sz="4" w:space="0" w:color="auto"/>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 xml:space="preserve">30.3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TOTAL ANNUAL BURDEN HOURS</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893.0</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48.4</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88.7</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jc w:val="right"/>
              <w:rPr>
                <w:rFonts w:ascii="Arial" w:hAnsi="Arial" w:cs="Arial"/>
                <w:sz w:val="20"/>
                <w:szCs w:val="20"/>
              </w:rPr>
            </w:pPr>
            <w:r>
              <w:rPr>
                <w:rFonts w:ascii="Arial" w:hAnsi="Arial" w:cs="Arial"/>
                <w:sz w:val="20"/>
                <w:szCs w:val="20"/>
              </w:rPr>
              <w:t>1,030.1</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E40961">
            <w:pPr>
              <w:jc w:val="right"/>
              <w:rPr>
                <w:rFonts w:ascii="Arial" w:hAnsi="Arial" w:cs="Arial"/>
                <w:sz w:val="20"/>
                <w:szCs w:val="20"/>
              </w:rPr>
            </w:pPr>
            <w:r>
              <w:rPr>
                <w:rFonts w:ascii="Arial" w:hAnsi="Arial" w:cs="Arial"/>
                <w:sz w:val="20"/>
                <w:szCs w:val="20"/>
              </w:rPr>
              <w:t xml:space="preserve">1,030 </w:t>
            </w:r>
          </w:p>
        </w:tc>
      </w:tr>
      <w:tr w:rsidR="0009107D"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09107D" w:rsidRPr="007573FF" w:rsidRDefault="0009107D" w:rsidP="0009107D">
            <w:pPr>
              <w:widowControl/>
              <w:autoSpaceDE/>
              <w:autoSpaceDN/>
              <w:adjustRightInd/>
              <w:rPr>
                <w:rFonts w:ascii="Arial" w:hAnsi="Arial" w:cs="Arial"/>
                <w:sz w:val="20"/>
                <w:szCs w:val="20"/>
              </w:rPr>
            </w:pPr>
            <w:r w:rsidRPr="007573FF">
              <w:rPr>
                <w:rFonts w:ascii="Arial" w:hAnsi="Arial" w:cs="Arial"/>
                <w:sz w:val="20"/>
                <w:szCs w:val="20"/>
              </w:rPr>
              <w:t>TOTAL ANNUAL COST (SALARY)</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3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2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050"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w:t>
            </w:r>
          </w:p>
        </w:tc>
        <w:tc>
          <w:tcPr>
            <w:tcW w:w="1469" w:type="dxa"/>
            <w:tcBorders>
              <w:top w:val="nil"/>
              <w:left w:val="nil"/>
              <w:bottom w:val="single" w:sz="4" w:space="0" w:color="auto"/>
              <w:right w:val="single" w:sz="4" w:space="0" w:color="auto"/>
            </w:tcBorders>
            <w:shd w:val="clear" w:color="000000" w:fill="FFFFFF"/>
            <w:noWrap/>
            <w:vAlign w:val="bottom"/>
            <w:hideMark/>
          </w:tcPr>
          <w:p w:rsidR="0009107D" w:rsidRDefault="0009107D" w:rsidP="0009107D">
            <w:pPr>
              <w:rPr>
                <w:rFonts w:ascii="Arial" w:hAnsi="Arial" w:cs="Arial"/>
                <w:sz w:val="20"/>
                <w:szCs w:val="20"/>
              </w:rPr>
            </w:pPr>
            <w:r>
              <w:rPr>
                <w:rFonts w:ascii="Arial" w:hAnsi="Arial" w:cs="Arial"/>
                <w:sz w:val="20"/>
                <w:szCs w:val="20"/>
              </w:rPr>
              <w:t xml:space="preserve"> $        90,104 </w:t>
            </w:r>
          </w:p>
        </w:tc>
      </w:tr>
      <w:tr w:rsidR="004B101B"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INITIAL CAPITAL COSTS:</w:t>
            </w:r>
          </w:p>
        </w:tc>
        <w:tc>
          <w:tcPr>
            <w:tcW w:w="13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3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29"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391"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0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69"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 xml:space="preserve"> $                -   </w:t>
            </w:r>
          </w:p>
        </w:tc>
      </w:tr>
      <w:tr w:rsidR="004B101B" w:rsidRPr="007573FF" w:rsidTr="0009107D">
        <w:trPr>
          <w:trHeight w:val="254"/>
        </w:trPr>
        <w:tc>
          <w:tcPr>
            <w:tcW w:w="3420" w:type="dxa"/>
            <w:tcBorders>
              <w:top w:val="nil"/>
              <w:left w:val="single" w:sz="4" w:space="0" w:color="auto"/>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xml:space="preserve">ANNUALIZED CAPITAL COSTS: </w:t>
            </w:r>
          </w:p>
        </w:tc>
        <w:tc>
          <w:tcPr>
            <w:tcW w:w="13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3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29"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391"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050"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69" w:type="dxa"/>
            <w:tcBorders>
              <w:top w:val="nil"/>
              <w:left w:val="nil"/>
              <w:bottom w:val="single" w:sz="4" w:space="0" w:color="auto"/>
              <w:right w:val="single" w:sz="4" w:space="0" w:color="auto"/>
            </w:tcBorders>
            <w:shd w:val="clear" w:color="000000" w:fill="FFFFFF"/>
            <w:noWrap/>
            <w:vAlign w:val="bottom"/>
            <w:hideMark/>
          </w:tcPr>
          <w:p w:rsidR="007573FF" w:rsidRPr="007573FF" w:rsidRDefault="007573FF" w:rsidP="007573FF">
            <w:pPr>
              <w:widowControl/>
              <w:autoSpaceDE/>
              <w:autoSpaceDN/>
              <w:adjustRightInd/>
              <w:jc w:val="center"/>
              <w:rPr>
                <w:rFonts w:ascii="Arial" w:hAnsi="Arial" w:cs="Arial"/>
                <w:sz w:val="20"/>
                <w:szCs w:val="20"/>
              </w:rPr>
            </w:pPr>
            <w:r w:rsidRPr="007573FF">
              <w:rPr>
                <w:rFonts w:ascii="Arial" w:hAnsi="Arial" w:cs="Arial"/>
                <w:sz w:val="20"/>
                <w:szCs w:val="20"/>
              </w:rPr>
              <w:t xml:space="preserve"> $                -   </w:t>
            </w:r>
          </w:p>
        </w:tc>
      </w:tr>
      <w:tr w:rsidR="004B101B" w:rsidRPr="007573FF" w:rsidTr="0009107D">
        <w:trPr>
          <w:trHeight w:val="254"/>
        </w:trPr>
        <w:tc>
          <w:tcPr>
            <w:tcW w:w="3420" w:type="dxa"/>
            <w:tcBorders>
              <w:top w:val="nil"/>
              <w:left w:val="single" w:sz="4" w:space="0" w:color="FFFFFF"/>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N/A = Not Applicable.</w:t>
            </w:r>
          </w:p>
        </w:tc>
        <w:tc>
          <w:tcPr>
            <w:tcW w:w="1350" w:type="dxa"/>
            <w:tcBorders>
              <w:top w:val="nil"/>
              <w:left w:val="nil"/>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350" w:type="dxa"/>
            <w:tcBorders>
              <w:top w:val="nil"/>
              <w:left w:val="nil"/>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0" w:type="dxa"/>
            <w:tcBorders>
              <w:top w:val="nil"/>
              <w:left w:val="nil"/>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40" w:type="dxa"/>
            <w:tcBorders>
              <w:top w:val="nil"/>
              <w:left w:val="nil"/>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29" w:type="dxa"/>
            <w:tcBorders>
              <w:top w:val="nil"/>
              <w:left w:val="nil"/>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391" w:type="dxa"/>
            <w:tcBorders>
              <w:top w:val="nil"/>
              <w:left w:val="nil"/>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050" w:type="dxa"/>
            <w:tcBorders>
              <w:top w:val="nil"/>
              <w:left w:val="nil"/>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171" w:type="dxa"/>
            <w:tcBorders>
              <w:top w:val="nil"/>
              <w:left w:val="nil"/>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c>
          <w:tcPr>
            <w:tcW w:w="1469" w:type="dxa"/>
            <w:tcBorders>
              <w:top w:val="nil"/>
              <w:left w:val="nil"/>
              <w:bottom w:val="single" w:sz="4" w:space="0" w:color="FFFFFF"/>
              <w:right w:val="single" w:sz="4" w:space="0" w:color="FFFFFF"/>
            </w:tcBorders>
            <w:shd w:val="clear" w:color="000000" w:fill="FFFFFF"/>
            <w:noWrap/>
            <w:vAlign w:val="bottom"/>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w:t>
            </w:r>
          </w:p>
        </w:tc>
      </w:tr>
      <w:tr w:rsidR="007573FF" w:rsidRPr="007573FF" w:rsidTr="0009107D">
        <w:trPr>
          <w:trHeight w:val="1050"/>
        </w:trPr>
        <w:tc>
          <w:tcPr>
            <w:tcW w:w="14940" w:type="dxa"/>
            <w:gridSpan w:val="10"/>
            <w:tcBorders>
              <w:top w:val="single" w:sz="4" w:space="0" w:color="FFFFFF"/>
              <w:left w:val="single" w:sz="4" w:space="0" w:color="FFFFFF"/>
              <w:bottom w:val="single" w:sz="4" w:space="0" w:color="FFFFFF"/>
              <w:right w:val="single" w:sz="4" w:space="0" w:color="FFFFFF"/>
            </w:tcBorders>
            <w:shd w:val="clear" w:color="000000" w:fill="FFFFFF"/>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xml:space="preserve">(a) We have assumed there are 7 existing slabstock foam producers and 6 existing molded/rebond foam producers for a total of 13 existing foam producers (i.e., respondents) that are major sources and subject </w:t>
            </w:r>
            <w:proofErr w:type="spellStart"/>
            <w:r w:rsidRPr="007573FF">
              <w:rPr>
                <w:rFonts w:ascii="Arial" w:hAnsi="Arial" w:cs="Arial"/>
                <w:sz w:val="20"/>
                <w:szCs w:val="20"/>
              </w:rPr>
              <w:t>ot</w:t>
            </w:r>
            <w:proofErr w:type="spellEnd"/>
            <w:r w:rsidRPr="007573FF">
              <w:rPr>
                <w:rFonts w:ascii="Arial" w:hAnsi="Arial" w:cs="Arial"/>
                <w:sz w:val="20"/>
                <w:szCs w:val="20"/>
              </w:rPr>
              <w:t xml:space="preserve"> the NESHAP subpart III.  We have further assumed there will be no new foam producers commencing operations over the period of this ICR.  However, we have assumed that 1 existing respondent a year will be conducting some type of modification but they will continue to meet compliance requirements while the reconstruction/modification application is under review.  Therefore the average number of respondents per year for this ICR is estimated to be 13.</w:t>
            </w:r>
          </w:p>
        </w:tc>
      </w:tr>
      <w:tr w:rsidR="007573FF" w:rsidRPr="007573FF" w:rsidTr="0009107D">
        <w:trPr>
          <w:trHeight w:val="1069"/>
        </w:trPr>
        <w:tc>
          <w:tcPr>
            <w:tcW w:w="14940" w:type="dxa"/>
            <w:gridSpan w:val="10"/>
            <w:tcBorders>
              <w:top w:val="single" w:sz="4" w:space="0" w:color="FFFFFF"/>
              <w:left w:val="single" w:sz="4" w:space="0" w:color="FFFFFF"/>
              <w:bottom w:val="single" w:sz="4" w:space="0" w:color="FFFFFF"/>
              <w:right w:val="single" w:sz="4" w:space="0" w:color="FFFFFF"/>
            </w:tcBorders>
            <w:shd w:val="clear" w:color="000000" w:fill="FFFFFF"/>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 xml:space="preserve">(b) This ICR uses the following labor rates: Managerial $104.92 ($49.96 + 110%); Technical $51.62 ($24.58 + 110%); and Clerical $41.66 ($19.84 + 110%).  These rates are from the </w:t>
            </w:r>
            <w:proofErr w:type="spellStart"/>
            <w:r w:rsidRPr="007573FF">
              <w:rPr>
                <w:rFonts w:ascii="Arial" w:hAnsi="Arial" w:cs="Arial"/>
                <w:sz w:val="20"/>
                <w:szCs w:val="20"/>
              </w:rPr>
              <w:t>U.S.Department</w:t>
            </w:r>
            <w:proofErr w:type="spellEnd"/>
            <w:r w:rsidRPr="007573FF">
              <w:rPr>
                <w:rFonts w:ascii="Arial" w:hAnsi="Arial" w:cs="Arial"/>
                <w:sz w:val="20"/>
                <w:szCs w:val="20"/>
              </w:rPr>
              <w:t xml:space="preserve"> of Labor, Bureau of Labor Statistics, Occupational earnings tables:  United States, December 2009 - January 2011 (average reference date July 2010) Table 4. Full-time private industry workers:  Mean and median hourly, weekly, and annual earnings and mean weekly and annual hours.  The rates have been increased by 110% to account for the benefit packages available to those employed by private industry.  This ICR assumes managerial hours are 5% of the technical hours and clerical hours are 10% of technical hours.</w:t>
            </w:r>
          </w:p>
        </w:tc>
      </w:tr>
      <w:tr w:rsidR="007573FF" w:rsidRPr="007573FF" w:rsidTr="0009107D">
        <w:trPr>
          <w:trHeight w:val="329"/>
        </w:trPr>
        <w:tc>
          <w:tcPr>
            <w:tcW w:w="14940" w:type="dxa"/>
            <w:gridSpan w:val="10"/>
            <w:tcBorders>
              <w:top w:val="nil"/>
              <w:left w:val="single" w:sz="4" w:space="0" w:color="FFFFFF"/>
              <w:bottom w:val="single" w:sz="4" w:space="0" w:color="FFFFFF"/>
              <w:right w:val="single" w:sz="4" w:space="0" w:color="FFFFFF"/>
            </w:tcBorders>
            <w:shd w:val="clear" w:color="000000" w:fill="FFFFFF"/>
            <w:noWrap/>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(c) Molded/rebond foam producers only have recordkeeping and reporting requirements.</w:t>
            </w:r>
          </w:p>
        </w:tc>
      </w:tr>
      <w:tr w:rsidR="007573FF" w:rsidRPr="007573FF" w:rsidTr="0009107D">
        <w:trPr>
          <w:trHeight w:val="329"/>
        </w:trPr>
        <w:tc>
          <w:tcPr>
            <w:tcW w:w="14940" w:type="dxa"/>
            <w:gridSpan w:val="10"/>
            <w:tcBorders>
              <w:top w:val="nil"/>
              <w:left w:val="single" w:sz="4" w:space="0" w:color="FFFFFF"/>
              <w:bottom w:val="single" w:sz="4" w:space="0" w:color="FFFFFF"/>
              <w:right w:val="single" w:sz="4" w:space="0" w:color="FFFFFF"/>
            </w:tcBorders>
            <w:shd w:val="clear" w:color="000000" w:fill="FFFFFF"/>
            <w:noWrap/>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(d) We have assumed that all existing sources are in compliance with the initial rule requirements.</w:t>
            </w:r>
          </w:p>
        </w:tc>
      </w:tr>
      <w:tr w:rsidR="007573FF" w:rsidRPr="007573FF" w:rsidTr="0009107D">
        <w:trPr>
          <w:trHeight w:val="284"/>
        </w:trPr>
        <w:tc>
          <w:tcPr>
            <w:tcW w:w="14940" w:type="dxa"/>
            <w:gridSpan w:val="10"/>
            <w:tcBorders>
              <w:top w:val="nil"/>
              <w:left w:val="single" w:sz="4" w:space="0" w:color="FFFFFF"/>
              <w:bottom w:val="single" w:sz="4" w:space="0" w:color="FFFFFF"/>
              <w:right w:val="single" w:sz="4" w:space="0" w:color="FFFFFF"/>
            </w:tcBorders>
            <w:shd w:val="clear" w:color="000000" w:fill="FFFFFF"/>
            <w:noWrap/>
            <w:hideMark/>
          </w:tcPr>
          <w:p w:rsidR="007573FF" w:rsidRPr="007573FF" w:rsidRDefault="007573FF" w:rsidP="007573FF">
            <w:pPr>
              <w:widowControl/>
              <w:autoSpaceDE/>
              <w:autoSpaceDN/>
              <w:adjustRightInd/>
              <w:rPr>
                <w:rFonts w:ascii="Arial" w:hAnsi="Arial" w:cs="Arial"/>
                <w:sz w:val="20"/>
                <w:szCs w:val="20"/>
              </w:rPr>
            </w:pPr>
            <w:r w:rsidRPr="007573FF">
              <w:rPr>
                <w:rFonts w:ascii="Arial" w:hAnsi="Arial" w:cs="Arial"/>
                <w:sz w:val="20"/>
                <w:szCs w:val="20"/>
              </w:rPr>
              <w:t>(e)  Only slabstock foam producers (i.e., 7 respondents) are required to submit semiannual reports.</w:t>
            </w:r>
          </w:p>
        </w:tc>
      </w:tr>
      <w:tr w:rsidR="007573FF" w:rsidRPr="007573FF" w:rsidTr="0009107D">
        <w:trPr>
          <w:trHeight w:val="269"/>
        </w:trPr>
        <w:tc>
          <w:tcPr>
            <w:tcW w:w="14940" w:type="dxa"/>
            <w:gridSpan w:val="10"/>
            <w:tcBorders>
              <w:top w:val="nil"/>
              <w:left w:val="single" w:sz="4" w:space="0" w:color="FFFFFF"/>
              <w:bottom w:val="single" w:sz="4" w:space="0" w:color="FFFFFF"/>
              <w:right w:val="single" w:sz="4" w:space="0" w:color="FFFFFF"/>
            </w:tcBorders>
            <w:shd w:val="clear" w:color="000000" w:fill="FFFFFF"/>
            <w:noWrap/>
            <w:hideMark/>
          </w:tcPr>
          <w:p w:rsidR="007573FF" w:rsidRPr="007573FF" w:rsidRDefault="007573FF" w:rsidP="0009107D">
            <w:pPr>
              <w:widowControl/>
              <w:autoSpaceDE/>
              <w:autoSpaceDN/>
              <w:adjustRightInd/>
              <w:rPr>
                <w:rFonts w:ascii="Arial" w:hAnsi="Arial" w:cs="Arial"/>
                <w:sz w:val="20"/>
                <w:szCs w:val="20"/>
              </w:rPr>
            </w:pPr>
            <w:r w:rsidRPr="007573FF">
              <w:rPr>
                <w:rFonts w:ascii="Arial" w:hAnsi="Arial" w:cs="Arial"/>
                <w:sz w:val="20"/>
                <w:szCs w:val="20"/>
              </w:rPr>
              <w:t xml:space="preserve">(f) Assumes </w:t>
            </w:r>
            <w:r w:rsidR="0009107D">
              <w:rPr>
                <w:rFonts w:ascii="Arial" w:hAnsi="Arial" w:cs="Arial"/>
                <w:sz w:val="20"/>
                <w:szCs w:val="20"/>
              </w:rPr>
              <w:t>1</w:t>
            </w:r>
            <w:r w:rsidRPr="007573FF">
              <w:rPr>
                <w:rFonts w:ascii="Arial" w:hAnsi="Arial" w:cs="Arial"/>
                <w:sz w:val="20"/>
                <w:szCs w:val="20"/>
              </w:rPr>
              <w:t xml:space="preserve"> affirmative defense reports for entire industry during the 3-yr ICR period.  For affirmative defense, hours required </w:t>
            </w:r>
            <w:r w:rsidR="004B101B" w:rsidRPr="007573FF">
              <w:rPr>
                <w:rFonts w:ascii="Arial" w:hAnsi="Arial" w:cs="Arial"/>
                <w:sz w:val="20"/>
                <w:szCs w:val="20"/>
              </w:rPr>
              <w:t>assumes 18 hours technical, 12 hours management, 0 clerical for each instance of affirmative defense.  Formulas not followed for person hours per year</w:t>
            </w:r>
          </w:p>
        </w:tc>
      </w:tr>
      <w:tr w:rsidR="007573FF" w:rsidRPr="007573FF" w:rsidTr="0009107D">
        <w:trPr>
          <w:trHeight w:val="588"/>
        </w:trPr>
        <w:tc>
          <w:tcPr>
            <w:tcW w:w="14940" w:type="dxa"/>
            <w:gridSpan w:val="10"/>
            <w:tcBorders>
              <w:top w:val="single" w:sz="4" w:space="0" w:color="FFFFFF"/>
              <w:left w:val="nil"/>
              <w:bottom w:val="single" w:sz="4" w:space="0" w:color="FFFFFF"/>
              <w:right w:val="single" w:sz="4" w:space="0" w:color="FFFFFF"/>
            </w:tcBorders>
            <w:shd w:val="clear" w:color="000000" w:fill="FFFFFF"/>
            <w:hideMark/>
          </w:tcPr>
          <w:p w:rsidR="007573FF" w:rsidRPr="007573FF" w:rsidRDefault="007573FF" w:rsidP="001D5D5C">
            <w:pPr>
              <w:widowControl/>
              <w:autoSpaceDE/>
              <w:autoSpaceDN/>
              <w:adjustRightInd/>
              <w:rPr>
                <w:rFonts w:ascii="Arial" w:hAnsi="Arial" w:cs="Arial"/>
                <w:sz w:val="20"/>
                <w:szCs w:val="20"/>
              </w:rPr>
            </w:pPr>
            <w:r w:rsidRPr="007573FF">
              <w:rPr>
                <w:rFonts w:ascii="Arial" w:hAnsi="Arial" w:cs="Arial"/>
                <w:sz w:val="20"/>
                <w:szCs w:val="20"/>
              </w:rPr>
              <w:t xml:space="preserve">(g) Total responses calculated by adding semiannual reports (7 sources * 2 responses), notification of modification/reconstruction (1 source * 1 response), </w:t>
            </w:r>
            <w:proofErr w:type="spellStart"/>
            <w:r w:rsidRPr="007573FF">
              <w:rPr>
                <w:rFonts w:ascii="Arial" w:hAnsi="Arial" w:cs="Arial"/>
                <w:sz w:val="20"/>
                <w:szCs w:val="20"/>
              </w:rPr>
              <w:t>precompliance</w:t>
            </w:r>
            <w:proofErr w:type="spellEnd"/>
            <w:r w:rsidRPr="007573FF">
              <w:rPr>
                <w:rFonts w:ascii="Arial" w:hAnsi="Arial" w:cs="Arial"/>
                <w:sz w:val="20"/>
                <w:szCs w:val="20"/>
              </w:rPr>
              <w:t xml:space="preserve"> report (1 source * 1 response), notification of compliance status (1 source * 1 response), annual compliance certifications (13 sources * 1 response), and affirmative defense (0.67 responses (</w:t>
            </w:r>
            <w:r w:rsidR="001D5D5C">
              <w:rPr>
                <w:rFonts w:ascii="Arial" w:hAnsi="Arial" w:cs="Arial"/>
                <w:sz w:val="20"/>
                <w:szCs w:val="20"/>
              </w:rPr>
              <w:t>1</w:t>
            </w:r>
            <w:r w:rsidRPr="007573FF">
              <w:rPr>
                <w:rFonts w:ascii="Arial" w:hAnsi="Arial" w:cs="Arial"/>
                <w:sz w:val="20"/>
                <w:szCs w:val="20"/>
              </w:rPr>
              <w:t xml:space="preserve"> response in 3 years))</w:t>
            </w:r>
          </w:p>
        </w:tc>
      </w:tr>
    </w:tbl>
    <w:p w:rsidR="00467B84" w:rsidRDefault="00467B84" w:rsidP="00F4590C">
      <w:pPr>
        <w:tabs>
          <w:tab w:val="center" w:pos="6480"/>
        </w:tabs>
        <w:ind w:left="270" w:hanging="270"/>
        <w:rPr>
          <w:sz w:val="18"/>
          <w:szCs w:val="18"/>
        </w:rPr>
        <w:sectPr w:rsidR="00467B84" w:rsidSect="007573FF">
          <w:pgSz w:w="15840" w:h="12240" w:orient="landscape" w:code="1"/>
          <w:pgMar w:top="907" w:right="720" w:bottom="360" w:left="720" w:header="360" w:footer="0" w:gutter="0"/>
          <w:cols w:space="720"/>
          <w:noEndnote/>
          <w:docGrid w:linePitch="326"/>
        </w:sectPr>
      </w:pPr>
    </w:p>
    <w:p w:rsidR="00F4590C" w:rsidRDefault="00F4590C" w:rsidP="007573FF">
      <w:pPr>
        <w:rPr>
          <w:sz w:val="18"/>
          <w:szCs w:val="18"/>
        </w:rPr>
      </w:pPr>
    </w:p>
    <w:p w:rsidR="00D96DFD" w:rsidRPr="00406246" w:rsidRDefault="00D96DFD" w:rsidP="007573FF">
      <w:pPr>
        <w:rPr>
          <w:sz w:val="18"/>
          <w:szCs w:val="18"/>
        </w:rPr>
      </w:pPr>
    </w:p>
    <w:tbl>
      <w:tblPr>
        <w:tblW w:w="13230" w:type="dxa"/>
        <w:tblInd w:w="108" w:type="dxa"/>
        <w:tblLayout w:type="fixed"/>
        <w:tblLook w:val="04A0"/>
      </w:tblPr>
      <w:tblGrid>
        <w:gridCol w:w="2694"/>
        <w:gridCol w:w="1312"/>
        <w:gridCol w:w="1438"/>
        <w:gridCol w:w="1126"/>
        <w:gridCol w:w="900"/>
        <w:gridCol w:w="1080"/>
        <w:gridCol w:w="1260"/>
        <w:gridCol w:w="1080"/>
        <w:gridCol w:w="1260"/>
        <w:gridCol w:w="1080"/>
      </w:tblGrid>
      <w:tr w:rsidR="005E59E4" w:rsidRPr="005E59E4" w:rsidTr="005E59E4">
        <w:trPr>
          <w:trHeight w:val="263"/>
        </w:trPr>
        <w:tc>
          <w:tcPr>
            <w:tcW w:w="13230" w:type="dxa"/>
            <w:gridSpan w:val="10"/>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5E59E4" w:rsidRPr="005E59E4" w:rsidRDefault="006C0572" w:rsidP="005E59E4">
            <w:pPr>
              <w:widowControl/>
              <w:autoSpaceDE/>
              <w:autoSpaceDN/>
              <w:adjustRightInd/>
              <w:rPr>
                <w:rFonts w:ascii="Arial" w:hAnsi="Arial" w:cs="Arial"/>
                <w:sz w:val="20"/>
                <w:szCs w:val="20"/>
              </w:rPr>
            </w:pPr>
            <w:r w:rsidRPr="006C0572">
              <w:rPr>
                <w:rFonts w:ascii="Arial" w:hAnsi="Arial" w:cs="Arial"/>
              </w:rPr>
              <w:t>Table 2: Average Annual EPA Burden: NESHAP for Flexible Polyurethane Foam Product (40 CFR part 63, subpart III)</w:t>
            </w:r>
          </w:p>
        </w:tc>
      </w:tr>
      <w:tr w:rsidR="005E59E4" w:rsidRPr="005E59E4" w:rsidTr="005E59E4">
        <w:trPr>
          <w:trHeight w:val="263"/>
        </w:trPr>
        <w:tc>
          <w:tcPr>
            <w:tcW w:w="2694"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rPr>
                <w:rFonts w:ascii="Arial" w:hAnsi="Arial" w:cs="Arial"/>
                <w:sz w:val="20"/>
                <w:szCs w:val="20"/>
              </w:rPr>
            </w:pPr>
          </w:p>
        </w:tc>
        <w:tc>
          <w:tcPr>
            <w:tcW w:w="1312"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(A)</w:t>
            </w:r>
          </w:p>
        </w:tc>
        <w:tc>
          <w:tcPr>
            <w:tcW w:w="1438"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(B)</w:t>
            </w:r>
          </w:p>
        </w:tc>
        <w:tc>
          <w:tcPr>
            <w:tcW w:w="1126"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(C)</w:t>
            </w:r>
          </w:p>
        </w:tc>
        <w:tc>
          <w:tcPr>
            <w:tcW w:w="900"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(D)</w:t>
            </w:r>
          </w:p>
        </w:tc>
        <w:tc>
          <w:tcPr>
            <w:tcW w:w="1080"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(E)</w:t>
            </w:r>
          </w:p>
        </w:tc>
        <w:tc>
          <w:tcPr>
            <w:tcW w:w="1260"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(F)</w:t>
            </w:r>
          </w:p>
        </w:tc>
        <w:tc>
          <w:tcPr>
            <w:tcW w:w="1080"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(G)</w:t>
            </w:r>
          </w:p>
        </w:tc>
        <w:tc>
          <w:tcPr>
            <w:tcW w:w="1260"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(H)</w:t>
            </w:r>
          </w:p>
        </w:tc>
        <w:tc>
          <w:tcPr>
            <w:tcW w:w="1080" w:type="dxa"/>
            <w:tcBorders>
              <w:top w:val="nil"/>
              <w:left w:val="nil"/>
              <w:bottom w:val="nil"/>
              <w:right w:val="nil"/>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(I)</w:t>
            </w:r>
          </w:p>
        </w:tc>
      </w:tr>
      <w:tr w:rsidR="005E59E4" w:rsidRPr="005E59E4" w:rsidTr="005E59E4">
        <w:trPr>
          <w:trHeight w:val="804"/>
        </w:trPr>
        <w:tc>
          <w:tcPr>
            <w:tcW w:w="2694"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rPr>
                <w:rFonts w:ascii="Arial" w:hAnsi="Arial" w:cs="Arial"/>
                <w:b/>
                <w:bCs/>
                <w:sz w:val="20"/>
                <w:szCs w:val="20"/>
              </w:rPr>
            </w:pPr>
            <w:r w:rsidRPr="005E59E4">
              <w:rPr>
                <w:rFonts w:ascii="Arial" w:hAnsi="Arial" w:cs="Arial"/>
                <w:b/>
                <w:bCs/>
                <w:sz w:val="20"/>
                <w:szCs w:val="20"/>
              </w:rPr>
              <w:t>Activity</w:t>
            </w:r>
          </w:p>
        </w:tc>
        <w:tc>
          <w:tcPr>
            <w:tcW w:w="1312" w:type="dxa"/>
            <w:tcBorders>
              <w:top w:val="single" w:sz="4" w:space="0" w:color="auto"/>
              <w:left w:val="nil"/>
              <w:bottom w:val="double" w:sz="6" w:space="0" w:color="auto"/>
              <w:right w:val="nil"/>
            </w:tcBorders>
            <w:shd w:val="clear" w:color="auto" w:fill="auto"/>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EPA Hours/ Occurrence</w:t>
            </w:r>
          </w:p>
        </w:tc>
        <w:tc>
          <w:tcPr>
            <w:tcW w:w="1438" w:type="dxa"/>
            <w:tcBorders>
              <w:top w:val="single" w:sz="4" w:space="0" w:color="auto"/>
              <w:left w:val="single" w:sz="4" w:space="0" w:color="auto"/>
              <w:bottom w:val="double" w:sz="6" w:space="0" w:color="auto"/>
              <w:right w:val="nil"/>
            </w:tcBorders>
            <w:shd w:val="clear" w:color="auto" w:fill="auto"/>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Occurrences/ Plant/Year</w:t>
            </w:r>
          </w:p>
        </w:tc>
        <w:tc>
          <w:tcPr>
            <w:tcW w:w="1126" w:type="dxa"/>
            <w:tcBorders>
              <w:top w:val="single" w:sz="4" w:space="0" w:color="auto"/>
              <w:left w:val="single" w:sz="4" w:space="0" w:color="auto"/>
              <w:bottom w:val="double" w:sz="6" w:space="0" w:color="auto"/>
              <w:right w:val="nil"/>
            </w:tcBorders>
            <w:shd w:val="clear" w:color="auto" w:fill="auto"/>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EPA Hours/ Year (C=</w:t>
            </w:r>
            <w:proofErr w:type="spellStart"/>
            <w:r w:rsidRPr="005E59E4">
              <w:rPr>
                <w:rFonts w:ascii="Arial" w:hAnsi="Arial" w:cs="Arial"/>
                <w:sz w:val="20"/>
                <w:szCs w:val="20"/>
              </w:rPr>
              <w:t>AxB</w:t>
            </w:r>
            <w:proofErr w:type="spellEnd"/>
            <w:r w:rsidRPr="005E59E4">
              <w:rPr>
                <w:rFonts w:ascii="Arial" w:hAnsi="Arial" w:cs="Arial"/>
                <w:sz w:val="20"/>
                <w:szCs w:val="20"/>
              </w:rPr>
              <w:t>)</w:t>
            </w:r>
          </w:p>
        </w:tc>
        <w:tc>
          <w:tcPr>
            <w:tcW w:w="900" w:type="dxa"/>
            <w:tcBorders>
              <w:top w:val="single" w:sz="4" w:space="0" w:color="auto"/>
              <w:left w:val="single" w:sz="4" w:space="0" w:color="auto"/>
              <w:bottom w:val="double" w:sz="6" w:space="0" w:color="auto"/>
              <w:right w:val="nil"/>
            </w:tcBorders>
            <w:shd w:val="clear" w:color="auto" w:fill="auto"/>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 xml:space="preserve">Plants/ </w:t>
            </w:r>
            <w:proofErr w:type="spellStart"/>
            <w:r w:rsidRPr="005E59E4">
              <w:rPr>
                <w:rFonts w:ascii="Arial" w:hAnsi="Arial" w:cs="Arial"/>
                <w:sz w:val="20"/>
                <w:szCs w:val="20"/>
              </w:rPr>
              <w:t>Year</w:t>
            </w:r>
            <w:r w:rsidRPr="005E59E4">
              <w:rPr>
                <w:rFonts w:ascii="Arial" w:hAnsi="Arial" w:cs="Arial"/>
                <w:sz w:val="20"/>
                <w:szCs w:val="20"/>
                <w:vertAlign w:val="superscript"/>
              </w:rPr>
              <w:t>a</w:t>
            </w:r>
            <w:proofErr w:type="spellEnd"/>
          </w:p>
        </w:tc>
        <w:tc>
          <w:tcPr>
            <w:tcW w:w="1080" w:type="dxa"/>
            <w:tcBorders>
              <w:top w:val="single" w:sz="4" w:space="0" w:color="auto"/>
              <w:left w:val="single" w:sz="4" w:space="0" w:color="auto"/>
              <w:bottom w:val="double" w:sz="6" w:space="0" w:color="auto"/>
              <w:right w:val="nil"/>
            </w:tcBorders>
            <w:shd w:val="clear" w:color="auto" w:fill="auto"/>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Technical Hours/</w:t>
            </w:r>
            <w:r>
              <w:rPr>
                <w:rFonts w:ascii="Arial" w:hAnsi="Arial" w:cs="Arial"/>
                <w:sz w:val="20"/>
                <w:szCs w:val="20"/>
              </w:rPr>
              <w:t xml:space="preserve"> </w:t>
            </w:r>
            <w:r w:rsidRPr="005E59E4">
              <w:rPr>
                <w:rFonts w:ascii="Arial" w:hAnsi="Arial" w:cs="Arial"/>
                <w:sz w:val="20"/>
                <w:szCs w:val="20"/>
              </w:rPr>
              <w:t>Year (E=C*D)</w:t>
            </w:r>
          </w:p>
        </w:tc>
        <w:tc>
          <w:tcPr>
            <w:tcW w:w="1260" w:type="dxa"/>
            <w:tcBorders>
              <w:top w:val="single" w:sz="4" w:space="0" w:color="auto"/>
              <w:left w:val="single" w:sz="4" w:space="0" w:color="auto"/>
              <w:bottom w:val="double" w:sz="6" w:space="0" w:color="auto"/>
              <w:right w:val="nil"/>
            </w:tcBorders>
            <w:shd w:val="clear" w:color="auto" w:fill="auto"/>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Managerial Hours/</w:t>
            </w:r>
            <w:r>
              <w:rPr>
                <w:rFonts w:ascii="Arial" w:hAnsi="Arial" w:cs="Arial"/>
                <w:sz w:val="20"/>
                <w:szCs w:val="20"/>
              </w:rPr>
              <w:t xml:space="preserve"> </w:t>
            </w:r>
            <w:r w:rsidRPr="005E59E4">
              <w:rPr>
                <w:rFonts w:ascii="Arial" w:hAnsi="Arial" w:cs="Arial"/>
                <w:sz w:val="20"/>
                <w:szCs w:val="20"/>
              </w:rPr>
              <w:t>Year (E*0.05)</w:t>
            </w:r>
          </w:p>
        </w:tc>
        <w:tc>
          <w:tcPr>
            <w:tcW w:w="1080" w:type="dxa"/>
            <w:tcBorders>
              <w:top w:val="single" w:sz="4" w:space="0" w:color="auto"/>
              <w:left w:val="single" w:sz="4" w:space="0" w:color="auto"/>
              <w:bottom w:val="double" w:sz="6" w:space="0" w:color="auto"/>
              <w:right w:val="nil"/>
            </w:tcBorders>
            <w:shd w:val="clear" w:color="auto" w:fill="auto"/>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Clerical Hours/</w:t>
            </w:r>
            <w:r>
              <w:rPr>
                <w:rFonts w:ascii="Arial" w:hAnsi="Arial" w:cs="Arial"/>
                <w:sz w:val="20"/>
                <w:szCs w:val="20"/>
              </w:rPr>
              <w:t xml:space="preserve"> </w:t>
            </w:r>
            <w:r w:rsidRPr="005E59E4">
              <w:rPr>
                <w:rFonts w:ascii="Arial" w:hAnsi="Arial" w:cs="Arial"/>
                <w:sz w:val="20"/>
                <w:szCs w:val="20"/>
              </w:rPr>
              <w:t>Year (E*0.10)</w:t>
            </w:r>
          </w:p>
        </w:tc>
        <w:tc>
          <w:tcPr>
            <w:tcW w:w="1260" w:type="dxa"/>
            <w:tcBorders>
              <w:top w:val="single" w:sz="4" w:space="0" w:color="auto"/>
              <w:left w:val="single" w:sz="4" w:space="0" w:color="auto"/>
              <w:bottom w:val="double" w:sz="6" w:space="0" w:color="auto"/>
              <w:right w:val="nil"/>
            </w:tcBorders>
            <w:shd w:val="clear" w:color="auto" w:fill="auto"/>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Total Hours/</w:t>
            </w:r>
            <w:r>
              <w:rPr>
                <w:rFonts w:ascii="Arial" w:hAnsi="Arial" w:cs="Arial"/>
                <w:sz w:val="20"/>
                <w:szCs w:val="20"/>
              </w:rPr>
              <w:t xml:space="preserve"> </w:t>
            </w:r>
            <w:r w:rsidRPr="005E59E4">
              <w:rPr>
                <w:rFonts w:ascii="Arial" w:hAnsi="Arial" w:cs="Arial"/>
                <w:sz w:val="20"/>
                <w:szCs w:val="20"/>
              </w:rPr>
              <w:t>Year (H=E+F+G)</w:t>
            </w:r>
          </w:p>
        </w:tc>
        <w:tc>
          <w:tcPr>
            <w:tcW w:w="1080" w:type="dxa"/>
            <w:tcBorders>
              <w:top w:val="single" w:sz="4" w:space="0" w:color="auto"/>
              <w:left w:val="single" w:sz="4" w:space="0" w:color="auto"/>
              <w:bottom w:val="double" w:sz="6" w:space="0" w:color="auto"/>
              <w:right w:val="single" w:sz="4" w:space="0" w:color="auto"/>
            </w:tcBorders>
            <w:shd w:val="clear" w:color="auto" w:fill="auto"/>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 xml:space="preserve">Total Costs/ </w:t>
            </w:r>
            <w:proofErr w:type="spellStart"/>
            <w:r w:rsidRPr="005E59E4">
              <w:rPr>
                <w:rFonts w:ascii="Arial" w:hAnsi="Arial" w:cs="Arial"/>
                <w:sz w:val="20"/>
                <w:szCs w:val="20"/>
              </w:rPr>
              <w:t>Year</w:t>
            </w:r>
            <w:r w:rsidRPr="005E59E4">
              <w:rPr>
                <w:rFonts w:ascii="Arial" w:hAnsi="Arial" w:cs="Arial"/>
                <w:sz w:val="20"/>
                <w:szCs w:val="20"/>
                <w:vertAlign w:val="superscript"/>
              </w:rPr>
              <w:t>b</w:t>
            </w:r>
            <w:proofErr w:type="spellEnd"/>
          </w:p>
        </w:tc>
      </w:tr>
      <w:tr w:rsidR="005E59E4" w:rsidRPr="005E59E4" w:rsidTr="005E59E4">
        <w:trPr>
          <w:trHeight w:val="309"/>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xml:space="preserve">Initial </w:t>
            </w:r>
            <w:proofErr w:type="spellStart"/>
            <w:r w:rsidRPr="005E59E4">
              <w:rPr>
                <w:rFonts w:ascii="Arial" w:hAnsi="Arial" w:cs="Arial"/>
                <w:sz w:val="20"/>
                <w:szCs w:val="20"/>
              </w:rPr>
              <w:t>Notification</w:t>
            </w:r>
            <w:r w:rsidRPr="005E59E4">
              <w:rPr>
                <w:rFonts w:ascii="Arial" w:hAnsi="Arial" w:cs="Arial"/>
                <w:sz w:val="20"/>
                <w:szCs w:val="20"/>
                <w:vertAlign w:val="superscript"/>
              </w:rPr>
              <w:t>c</w:t>
            </w:r>
            <w:proofErr w:type="spellEnd"/>
          </w:p>
        </w:tc>
        <w:tc>
          <w:tcPr>
            <w:tcW w:w="1312"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1438"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w:t>
            </w:r>
          </w:p>
        </w:tc>
        <w:tc>
          <w:tcPr>
            <w:tcW w:w="1126"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right"/>
              <w:rPr>
                <w:rFonts w:ascii="Arial" w:hAnsi="Arial" w:cs="Arial"/>
                <w:sz w:val="20"/>
                <w:szCs w:val="20"/>
              </w:rPr>
            </w:pPr>
            <w:r w:rsidRPr="005E59E4">
              <w:rPr>
                <w:rFonts w:ascii="Arial" w:hAnsi="Arial" w:cs="Arial"/>
                <w:sz w:val="20"/>
                <w:szCs w:val="20"/>
              </w:rPr>
              <w:t>$0</w:t>
            </w:r>
          </w:p>
        </w:tc>
      </w:tr>
      <w:tr w:rsidR="005E59E4" w:rsidRPr="005E59E4" w:rsidTr="005E59E4">
        <w:trPr>
          <w:trHeight w:val="26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xml:space="preserve">Notification of </w:t>
            </w:r>
            <w:proofErr w:type="spellStart"/>
            <w:r w:rsidRPr="005E59E4">
              <w:rPr>
                <w:rFonts w:ascii="Arial" w:hAnsi="Arial" w:cs="Arial"/>
                <w:sz w:val="20"/>
                <w:szCs w:val="20"/>
              </w:rPr>
              <w:t>Recontruction</w:t>
            </w:r>
            <w:proofErr w:type="spellEnd"/>
            <w:r w:rsidRPr="005E59E4">
              <w:rPr>
                <w:rFonts w:ascii="Arial" w:hAnsi="Arial" w:cs="Arial"/>
                <w:sz w:val="20"/>
                <w:szCs w:val="20"/>
              </w:rPr>
              <w:t>/</w:t>
            </w:r>
            <w:proofErr w:type="spellStart"/>
            <w:r w:rsidRPr="005E59E4">
              <w:rPr>
                <w:rFonts w:ascii="Arial" w:hAnsi="Arial" w:cs="Arial"/>
                <w:sz w:val="20"/>
                <w:szCs w:val="20"/>
              </w:rPr>
              <w:t>Modifcation</w:t>
            </w:r>
            <w:proofErr w:type="spellEnd"/>
          </w:p>
        </w:tc>
        <w:tc>
          <w:tcPr>
            <w:tcW w:w="1312"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1438"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1</w:t>
            </w:r>
          </w:p>
        </w:tc>
        <w:tc>
          <w:tcPr>
            <w:tcW w:w="1126"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2.0</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0.1</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0.2</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2.3</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right"/>
              <w:rPr>
                <w:rFonts w:ascii="Arial" w:hAnsi="Arial" w:cs="Arial"/>
                <w:sz w:val="20"/>
                <w:szCs w:val="20"/>
              </w:rPr>
            </w:pPr>
            <w:r w:rsidRPr="005E59E4">
              <w:rPr>
                <w:rFonts w:ascii="Arial" w:hAnsi="Arial" w:cs="Arial"/>
                <w:sz w:val="20"/>
                <w:szCs w:val="20"/>
              </w:rPr>
              <w:t>$124</w:t>
            </w:r>
          </w:p>
        </w:tc>
      </w:tr>
      <w:tr w:rsidR="005E59E4" w:rsidRPr="005E59E4" w:rsidTr="005E59E4">
        <w:trPr>
          <w:trHeight w:val="29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xml:space="preserve">Notification of Special Compliance </w:t>
            </w:r>
            <w:proofErr w:type="spellStart"/>
            <w:r w:rsidRPr="005E59E4">
              <w:rPr>
                <w:rFonts w:ascii="Arial" w:hAnsi="Arial" w:cs="Arial"/>
                <w:sz w:val="20"/>
                <w:szCs w:val="20"/>
              </w:rPr>
              <w:t>Requirements</w:t>
            </w:r>
            <w:r w:rsidRPr="005E59E4">
              <w:rPr>
                <w:rFonts w:ascii="Arial" w:hAnsi="Arial" w:cs="Arial"/>
                <w:sz w:val="20"/>
                <w:szCs w:val="20"/>
                <w:vertAlign w:val="superscript"/>
              </w:rPr>
              <w:t>d</w:t>
            </w:r>
            <w:proofErr w:type="spellEnd"/>
          </w:p>
        </w:tc>
        <w:tc>
          <w:tcPr>
            <w:tcW w:w="1312"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1438"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1</w:t>
            </w:r>
          </w:p>
        </w:tc>
        <w:tc>
          <w:tcPr>
            <w:tcW w:w="1126"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0.0</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right"/>
              <w:rPr>
                <w:rFonts w:ascii="Arial" w:hAnsi="Arial" w:cs="Arial"/>
                <w:sz w:val="20"/>
                <w:szCs w:val="20"/>
              </w:rPr>
            </w:pPr>
            <w:r w:rsidRPr="005E59E4">
              <w:rPr>
                <w:rFonts w:ascii="Arial" w:hAnsi="Arial" w:cs="Arial"/>
                <w:sz w:val="20"/>
                <w:szCs w:val="20"/>
              </w:rPr>
              <w:t>$0</w:t>
            </w:r>
          </w:p>
        </w:tc>
      </w:tr>
      <w:tr w:rsidR="005E59E4" w:rsidRPr="005E59E4" w:rsidTr="005E59E4">
        <w:trPr>
          <w:trHeight w:val="29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xml:space="preserve">Notification of Compliance </w:t>
            </w:r>
            <w:proofErr w:type="spellStart"/>
            <w:r w:rsidRPr="005E59E4">
              <w:rPr>
                <w:rFonts w:ascii="Arial" w:hAnsi="Arial" w:cs="Arial"/>
                <w:sz w:val="20"/>
                <w:szCs w:val="20"/>
              </w:rPr>
              <w:t>Status</w:t>
            </w:r>
            <w:r w:rsidRPr="005E59E4">
              <w:rPr>
                <w:rFonts w:ascii="Arial" w:hAnsi="Arial" w:cs="Arial"/>
                <w:sz w:val="20"/>
                <w:szCs w:val="20"/>
                <w:vertAlign w:val="superscript"/>
              </w:rPr>
              <w:t>d</w:t>
            </w:r>
            <w:proofErr w:type="spellEnd"/>
          </w:p>
        </w:tc>
        <w:tc>
          <w:tcPr>
            <w:tcW w:w="1312"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1438"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1</w:t>
            </w:r>
          </w:p>
        </w:tc>
        <w:tc>
          <w:tcPr>
            <w:tcW w:w="1126"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2.0</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0.1</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0.2</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2.3</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right"/>
              <w:rPr>
                <w:rFonts w:ascii="Arial" w:hAnsi="Arial" w:cs="Arial"/>
                <w:sz w:val="20"/>
                <w:szCs w:val="20"/>
              </w:rPr>
            </w:pPr>
            <w:r w:rsidRPr="005E59E4">
              <w:rPr>
                <w:rFonts w:ascii="Arial" w:hAnsi="Arial" w:cs="Arial"/>
                <w:sz w:val="20"/>
                <w:szCs w:val="20"/>
              </w:rPr>
              <w:t>$124</w:t>
            </w:r>
          </w:p>
        </w:tc>
      </w:tr>
      <w:tr w:rsidR="005E59E4" w:rsidRPr="005E59E4" w:rsidTr="005E59E4">
        <w:trPr>
          <w:trHeight w:val="29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xml:space="preserve">Semiannual </w:t>
            </w:r>
            <w:proofErr w:type="spellStart"/>
            <w:r w:rsidRPr="005E59E4">
              <w:rPr>
                <w:rFonts w:ascii="Arial" w:hAnsi="Arial" w:cs="Arial"/>
                <w:sz w:val="20"/>
                <w:szCs w:val="20"/>
              </w:rPr>
              <w:t>Reports</w:t>
            </w:r>
            <w:r w:rsidRPr="005E59E4">
              <w:rPr>
                <w:rFonts w:ascii="Arial" w:hAnsi="Arial" w:cs="Arial"/>
                <w:sz w:val="20"/>
                <w:szCs w:val="20"/>
                <w:vertAlign w:val="superscript"/>
              </w:rPr>
              <w:t>e</w:t>
            </w:r>
            <w:proofErr w:type="spellEnd"/>
          </w:p>
        </w:tc>
        <w:tc>
          <w:tcPr>
            <w:tcW w:w="1312"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1438"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1126"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4</w:t>
            </w:r>
          </w:p>
        </w:tc>
        <w:tc>
          <w:tcPr>
            <w:tcW w:w="90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7</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28.0</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1.4</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2.8</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32.2</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right"/>
              <w:rPr>
                <w:rFonts w:ascii="Arial" w:hAnsi="Arial" w:cs="Arial"/>
                <w:sz w:val="20"/>
                <w:szCs w:val="20"/>
              </w:rPr>
            </w:pPr>
            <w:r w:rsidRPr="005E59E4">
              <w:rPr>
                <w:rFonts w:ascii="Arial" w:hAnsi="Arial" w:cs="Arial"/>
                <w:sz w:val="20"/>
                <w:szCs w:val="20"/>
              </w:rPr>
              <w:t>$1,741</w:t>
            </w:r>
          </w:p>
        </w:tc>
      </w:tr>
      <w:tr w:rsidR="005E59E4" w:rsidRPr="005E59E4" w:rsidTr="005E59E4">
        <w:trPr>
          <w:trHeight w:val="29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xml:space="preserve">Annual Compliance </w:t>
            </w:r>
            <w:proofErr w:type="spellStart"/>
            <w:r w:rsidRPr="005E59E4">
              <w:rPr>
                <w:rFonts w:ascii="Arial" w:hAnsi="Arial" w:cs="Arial"/>
                <w:sz w:val="20"/>
                <w:szCs w:val="20"/>
              </w:rPr>
              <w:t>Certifications</w:t>
            </w:r>
            <w:r w:rsidRPr="005E59E4">
              <w:rPr>
                <w:rFonts w:ascii="Arial" w:hAnsi="Arial" w:cs="Arial"/>
                <w:sz w:val="20"/>
                <w:szCs w:val="20"/>
                <w:vertAlign w:val="superscript"/>
              </w:rPr>
              <w:t>f</w:t>
            </w:r>
            <w:proofErr w:type="spellEnd"/>
          </w:p>
        </w:tc>
        <w:tc>
          <w:tcPr>
            <w:tcW w:w="1312"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1438"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1</w:t>
            </w:r>
          </w:p>
        </w:tc>
        <w:tc>
          <w:tcPr>
            <w:tcW w:w="1126"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13</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26.0</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1.3</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2.6</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29.9</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right"/>
              <w:rPr>
                <w:rFonts w:ascii="Arial" w:hAnsi="Arial" w:cs="Arial"/>
                <w:sz w:val="20"/>
                <w:szCs w:val="20"/>
              </w:rPr>
            </w:pPr>
            <w:r w:rsidRPr="005E59E4">
              <w:rPr>
                <w:rFonts w:ascii="Arial" w:hAnsi="Arial" w:cs="Arial"/>
                <w:sz w:val="20"/>
                <w:szCs w:val="20"/>
              </w:rPr>
              <w:t>$1,617</w:t>
            </w:r>
          </w:p>
        </w:tc>
      </w:tr>
      <w:tr w:rsidR="005E59E4" w:rsidRPr="005E59E4" w:rsidTr="005E59E4">
        <w:trPr>
          <w:trHeight w:val="26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rPr>
                <w:rFonts w:ascii="Arial" w:hAnsi="Arial" w:cs="Arial"/>
                <w:b/>
                <w:bCs/>
                <w:sz w:val="20"/>
                <w:szCs w:val="20"/>
              </w:rPr>
            </w:pPr>
            <w:r w:rsidRPr="005E59E4">
              <w:rPr>
                <w:rFonts w:ascii="Arial" w:hAnsi="Arial" w:cs="Arial"/>
                <w:b/>
                <w:bCs/>
                <w:sz w:val="20"/>
                <w:szCs w:val="20"/>
              </w:rPr>
              <w:t xml:space="preserve">TOTAL ANNUAL BURDEN </w:t>
            </w:r>
          </w:p>
        </w:tc>
        <w:tc>
          <w:tcPr>
            <w:tcW w:w="1312" w:type="dxa"/>
            <w:tcBorders>
              <w:top w:val="nil"/>
              <w:left w:val="nil"/>
              <w:bottom w:val="single" w:sz="4" w:space="0" w:color="auto"/>
              <w:right w:val="single" w:sz="4" w:space="0" w:color="auto"/>
            </w:tcBorders>
            <w:shd w:val="clear" w:color="000000" w:fill="BFBFBF"/>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w:t>
            </w:r>
          </w:p>
        </w:tc>
        <w:tc>
          <w:tcPr>
            <w:tcW w:w="1438" w:type="dxa"/>
            <w:tcBorders>
              <w:top w:val="nil"/>
              <w:left w:val="nil"/>
              <w:bottom w:val="single" w:sz="4" w:space="0" w:color="auto"/>
              <w:right w:val="single" w:sz="4" w:space="0" w:color="auto"/>
            </w:tcBorders>
            <w:shd w:val="clear" w:color="000000" w:fill="BFBFBF"/>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w:t>
            </w:r>
          </w:p>
        </w:tc>
        <w:tc>
          <w:tcPr>
            <w:tcW w:w="1126" w:type="dxa"/>
            <w:tcBorders>
              <w:top w:val="nil"/>
              <w:left w:val="nil"/>
              <w:bottom w:val="single" w:sz="4" w:space="0" w:color="auto"/>
              <w:right w:val="single" w:sz="4" w:space="0" w:color="auto"/>
            </w:tcBorders>
            <w:shd w:val="clear" w:color="000000" w:fill="BFBFBF"/>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w:t>
            </w:r>
          </w:p>
        </w:tc>
        <w:tc>
          <w:tcPr>
            <w:tcW w:w="900" w:type="dxa"/>
            <w:tcBorders>
              <w:top w:val="nil"/>
              <w:left w:val="nil"/>
              <w:bottom w:val="single" w:sz="4" w:space="0" w:color="auto"/>
              <w:right w:val="single" w:sz="4" w:space="0" w:color="auto"/>
            </w:tcBorders>
            <w:shd w:val="clear" w:color="000000" w:fill="BFBFBF"/>
            <w:noWrap/>
            <w:vAlign w:val="bottom"/>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58.0</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2.9</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5.8</w:t>
            </w:r>
          </w:p>
        </w:tc>
        <w:tc>
          <w:tcPr>
            <w:tcW w:w="126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center"/>
              <w:rPr>
                <w:rFonts w:ascii="Arial" w:hAnsi="Arial" w:cs="Arial"/>
                <w:sz w:val="20"/>
                <w:szCs w:val="20"/>
              </w:rPr>
            </w:pPr>
            <w:r w:rsidRPr="005E59E4">
              <w:rPr>
                <w:rFonts w:ascii="Arial" w:hAnsi="Arial" w:cs="Arial"/>
                <w:sz w:val="20"/>
                <w:szCs w:val="20"/>
              </w:rPr>
              <w:t>66.7</w:t>
            </w:r>
          </w:p>
        </w:tc>
        <w:tc>
          <w:tcPr>
            <w:tcW w:w="1080" w:type="dxa"/>
            <w:tcBorders>
              <w:top w:val="nil"/>
              <w:left w:val="nil"/>
              <w:bottom w:val="single" w:sz="4" w:space="0" w:color="auto"/>
              <w:right w:val="single" w:sz="4" w:space="0" w:color="auto"/>
            </w:tcBorders>
            <w:shd w:val="clear" w:color="auto" w:fill="auto"/>
            <w:noWrap/>
            <w:vAlign w:val="bottom"/>
            <w:hideMark/>
          </w:tcPr>
          <w:p w:rsidR="005E59E4" w:rsidRPr="005E59E4" w:rsidRDefault="005E59E4" w:rsidP="005E59E4">
            <w:pPr>
              <w:widowControl/>
              <w:autoSpaceDE/>
              <w:autoSpaceDN/>
              <w:adjustRightInd/>
              <w:jc w:val="right"/>
              <w:rPr>
                <w:rFonts w:ascii="Arial" w:hAnsi="Arial" w:cs="Arial"/>
                <w:sz w:val="20"/>
                <w:szCs w:val="20"/>
              </w:rPr>
            </w:pPr>
            <w:r w:rsidRPr="005E59E4">
              <w:rPr>
                <w:rFonts w:ascii="Arial" w:hAnsi="Arial" w:cs="Arial"/>
                <w:sz w:val="20"/>
                <w:szCs w:val="20"/>
              </w:rPr>
              <w:t>$3,607</w:t>
            </w:r>
          </w:p>
        </w:tc>
      </w:tr>
      <w:tr w:rsidR="005E59E4" w:rsidRPr="005E59E4" w:rsidTr="006C0572">
        <w:trPr>
          <w:trHeight w:val="692"/>
        </w:trPr>
        <w:tc>
          <w:tcPr>
            <w:tcW w:w="13230" w:type="dxa"/>
            <w:gridSpan w:val="10"/>
            <w:tcBorders>
              <w:top w:val="nil"/>
              <w:left w:val="nil"/>
              <w:bottom w:val="nil"/>
              <w:right w:val="nil"/>
            </w:tcBorders>
            <w:shd w:val="clear" w:color="auto" w:fill="auto"/>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(a)  We have assumed there are 7 existing slabstock foam producers and 6 existing molded/rebond foam producers for a total of 13 respondents.  We have further assumed that one existing respondent a year will be conducting some type of modification at its facility and that there will be no new sources over the period of this ICR.  Therefore, the average number of respondents per year is estimated to be 13.</w:t>
            </w:r>
          </w:p>
        </w:tc>
      </w:tr>
      <w:tr w:rsidR="005E59E4" w:rsidRPr="005E59E4" w:rsidTr="006C0572">
        <w:trPr>
          <w:trHeight w:val="1161"/>
        </w:trPr>
        <w:tc>
          <w:tcPr>
            <w:tcW w:w="13230" w:type="dxa"/>
            <w:gridSpan w:val="10"/>
            <w:tcBorders>
              <w:top w:val="nil"/>
              <w:left w:val="nil"/>
              <w:bottom w:val="nil"/>
              <w:right w:val="nil"/>
            </w:tcBorders>
            <w:shd w:val="clear" w:color="auto" w:fill="auto"/>
            <w:hideMark/>
          </w:tcPr>
          <w:p w:rsidR="005E59E4" w:rsidRPr="005E59E4" w:rsidRDefault="005E59E4" w:rsidP="006C0572">
            <w:pPr>
              <w:widowControl/>
              <w:autoSpaceDE/>
              <w:autoSpaceDN/>
              <w:adjustRightInd/>
              <w:rPr>
                <w:rFonts w:ascii="Arial" w:hAnsi="Arial" w:cs="Arial"/>
                <w:sz w:val="20"/>
                <w:szCs w:val="20"/>
              </w:rPr>
            </w:pPr>
            <w:r w:rsidRPr="005E59E4">
              <w:rPr>
                <w:rFonts w:ascii="Arial" w:hAnsi="Arial" w:cs="Arial"/>
                <w:sz w:val="20"/>
                <w:szCs w:val="20"/>
              </w:rPr>
              <w:t>(b)  This ICR uses the following labor rates:  Managerial $74.73 (GS-13, Step 5, $38.92 +20% + 60%); Technical $55.45 (GS-12, Step 1, $28.88 + 20% + 60%); and Clerical $30.01 (GS-6, Step 3, $15.63 + 20% + 60%).  These rates are from the Office of Personnel Management (OPM) 2013 General Schedule which excludes locality rates of pay.  Salary Table 2013-GS.  The rates have been increased by 20% to reflect average locality pay increase from base rates and a further 60% increase to account for the benefit packages available to government employees.  This ICR assumes that Clerical hours are 10 percent of Technical hours and Managerial hours are 5 percent of Technical hours.</w:t>
            </w:r>
          </w:p>
        </w:tc>
      </w:tr>
      <w:tr w:rsidR="005E59E4" w:rsidRPr="005E59E4" w:rsidTr="005E59E4">
        <w:trPr>
          <w:trHeight w:val="534"/>
        </w:trPr>
        <w:tc>
          <w:tcPr>
            <w:tcW w:w="13230" w:type="dxa"/>
            <w:gridSpan w:val="10"/>
            <w:tcBorders>
              <w:top w:val="nil"/>
              <w:left w:val="nil"/>
              <w:bottom w:val="nil"/>
              <w:right w:val="nil"/>
            </w:tcBorders>
            <w:shd w:val="clear" w:color="auto" w:fill="auto"/>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(c)  We have assumed that all existing sources are in compliance with the initial rule requirements.  In addition, we have assumed that facilities seeking to reconstruct will continue to meet compliance requirements while application is under review.</w:t>
            </w:r>
          </w:p>
        </w:tc>
      </w:tr>
      <w:tr w:rsidR="005E59E4" w:rsidRPr="005E59E4" w:rsidTr="005E59E4">
        <w:trPr>
          <w:trHeight w:val="348"/>
        </w:trPr>
        <w:tc>
          <w:tcPr>
            <w:tcW w:w="13230" w:type="dxa"/>
            <w:gridSpan w:val="10"/>
            <w:tcBorders>
              <w:top w:val="nil"/>
              <w:left w:val="nil"/>
              <w:bottom w:val="nil"/>
              <w:right w:val="nil"/>
            </w:tcBorders>
            <w:shd w:val="clear" w:color="auto" w:fill="auto"/>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(d)  We have determined there will be no sources submitting a special compliance report for this ICR since the compliance date for this rule has passed.</w:t>
            </w:r>
          </w:p>
        </w:tc>
      </w:tr>
      <w:tr w:rsidR="005E59E4" w:rsidRPr="005E59E4" w:rsidTr="006C0572">
        <w:trPr>
          <w:trHeight w:val="270"/>
        </w:trPr>
        <w:tc>
          <w:tcPr>
            <w:tcW w:w="13230" w:type="dxa"/>
            <w:gridSpan w:val="10"/>
            <w:tcBorders>
              <w:top w:val="nil"/>
              <w:left w:val="nil"/>
              <w:bottom w:val="nil"/>
              <w:right w:val="nil"/>
            </w:tcBorders>
            <w:shd w:val="clear" w:color="auto" w:fill="auto"/>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(e)  Slabstock foam producers (i.e., 7 facilities) are required to submit semiannual reports.</w:t>
            </w:r>
          </w:p>
        </w:tc>
      </w:tr>
      <w:tr w:rsidR="005E59E4" w:rsidRPr="005E59E4" w:rsidTr="005E59E4">
        <w:trPr>
          <w:trHeight w:val="569"/>
        </w:trPr>
        <w:tc>
          <w:tcPr>
            <w:tcW w:w="13230" w:type="dxa"/>
            <w:gridSpan w:val="10"/>
            <w:tcBorders>
              <w:top w:val="nil"/>
              <w:left w:val="nil"/>
              <w:bottom w:val="nil"/>
              <w:right w:val="nil"/>
            </w:tcBorders>
            <w:shd w:val="clear" w:color="auto" w:fill="auto"/>
            <w:hideMark/>
          </w:tcPr>
          <w:p w:rsidR="005E59E4" w:rsidRPr="005E59E4" w:rsidRDefault="005E59E4" w:rsidP="005E59E4">
            <w:pPr>
              <w:widowControl/>
              <w:autoSpaceDE/>
              <w:autoSpaceDN/>
              <w:adjustRightInd/>
              <w:rPr>
                <w:rFonts w:ascii="Arial" w:hAnsi="Arial" w:cs="Arial"/>
                <w:sz w:val="20"/>
                <w:szCs w:val="20"/>
              </w:rPr>
            </w:pPr>
            <w:r w:rsidRPr="005E59E4">
              <w:rPr>
                <w:rFonts w:ascii="Arial" w:hAnsi="Arial" w:cs="Arial"/>
                <w:sz w:val="20"/>
                <w:szCs w:val="20"/>
              </w:rPr>
              <w:t xml:space="preserve">(f)  All respondents (i.e., 13 foam producers) are required to submit annual compliance certifications.  However, we have assumed that slabstock facilities will be complying with this requirement concurrently when submitting semiannual reports.  Molded/rebond foam producers would still need to meet </w:t>
            </w:r>
            <w:proofErr w:type="gramStart"/>
            <w:r w:rsidRPr="005E59E4">
              <w:rPr>
                <w:rFonts w:ascii="Arial" w:hAnsi="Arial" w:cs="Arial"/>
                <w:sz w:val="20"/>
                <w:szCs w:val="20"/>
              </w:rPr>
              <w:t>this requirements</w:t>
            </w:r>
            <w:proofErr w:type="gramEnd"/>
            <w:r w:rsidRPr="005E59E4">
              <w:rPr>
                <w:rFonts w:ascii="Arial" w:hAnsi="Arial" w:cs="Arial"/>
                <w:sz w:val="20"/>
                <w:szCs w:val="20"/>
              </w:rPr>
              <w:t xml:space="preserve"> separately.</w:t>
            </w:r>
          </w:p>
        </w:tc>
      </w:tr>
    </w:tbl>
    <w:p w:rsidR="00D02580" w:rsidRDefault="00D02580" w:rsidP="00017439">
      <w:pPr>
        <w:tabs>
          <w:tab w:val="center" w:pos="6480"/>
        </w:tabs>
        <w:ind w:firstLine="1440"/>
      </w:pPr>
    </w:p>
    <w:sectPr w:rsidR="00D02580" w:rsidSect="00F4590C">
      <w:pgSz w:w="15840" w:h="12240" w:orient="landscape" w:code="1"/>
      <w:pgMar w:top="1440" w:right="1440" w:bottom="1440" w:left="1440" w:header="1008"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476" w:rsidRDefault="00D14476">
      <w:r>
        <w:separator/>
      </w:r>
    </w:p>
  </w:endnote>
  <w:endnote w:type="continuationSeparator" w:id="0">
    <w:p w:rsidR="00D14476" w:rsidRDefault="00D14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60" w:rsidRDefault="00ED6EB4" w:rsidP="00045303">
    <w:pPr>
      <w:pStyle w:val="Footer"/>
      <w:framePr w:wrap="around" w:vAnchor="text" w:hAnchor="margin" w:xAlign="center" w:y="1"/>
      <w:rPr>
        <w:rStyle w:val="PageNumber"/>
      </w:rPr>
    </w:pPr>
    <w:r>
      <w:rPr>
        <w:rStyle w:val="PageNumber"/>
      </w:rPr>
      <w:fldChar w:fldCharType="begin"/>
    </w:r>
    <w:r w:rsidR="00AD0560">
      <w:rPr>
        <w:rStyle w:val="PageNumber"/>
      </w:rPr>
      <w:instrText xml:space="preserve">PAGE  </w:instrText>
    </w:r>
    <w:r>
      <w:rPr>
        <w:rStyle w:val="PageNumber"/>
      </w:rPr>
      <w:fldChar w:fldCharType="end"/>
    </w:r>
  </w:p>
  <w:p w:rsidR="00AD0560" w:rsidRDefault="00AD0560" w:rsidP="00DE145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60" w:rsidRDefault="00AD0560" w:rsidP="00DE145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476" w:rsidRDefault="00D14476">
      <w:r>
        <w:separator/>
      </w:r>
    </w:p>
  </w:footnote>
  <w:footnote w:type="continuationSeparator" w:id="0">
    <w:p w:rsidR="00D14476" w:rsidRDefault="00D14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60" w:rsidRDefault="00ED6EB4" w:rsidP="001B2CAA">
    <w:pPr>
      <w:pStyle w:val="Header"/>
      <w:framePr w:wrap="around" w:vAnchor="text" w:hAnchor="margin" w:xAlign="center" w:y="1"/>
      <w:rPr>
        <w:rStyle w:val="PageNumber"/>
      </w:rPr>
    </w:pPr>
    <w:r>
      <w:rPr>
        <w:rStyle w:val="PageNumber"/>
      </w:rPr>
      <w:fldChar w:fldCharType="begin"/>
    </w:r>
    <w:r w:rsidR="00AD0560">
      <w:rPr>
        <w:rStyle w:val="PageNumber"/>
      </w:rPr>
      <w:instrText xml:space="preserve">PAGE  </w:instrText>
    </w:r>
    <w:r>
      <w:rPr>
        <w:rStyle w:val="PageNumber"/>
      </w:rPr>
      <w:fldChar w:fldCharType="end"/>
    </w:r>
  </w:p>
  <w:p w:rsidR="00AD0560" w:rsidRDefault="00AD05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60" w:rsidRDefault="00ED6EB4" w:rsidP="001B2CAA">
    <w:pPr>
      <w:pStyle w:val="Header"/>
      <w:framePr w:wrap="around" w:vAnchor="text" w:hAnchor="margin" w:xAlign="center" w:y="1"/>
      <w:rPr>
        <w:rStyle w:val="PageNumber"/>
      </w:rPr>
    </w:pPr>
    <w:r>
      <w:rPr>
        <w:rStyle w:val="PageNumber"/>
      </w:rPr>
      <w:fldChar w:fldCharType="begin"/>
    </w:r>
    <w:r w:rsidR="00AD0560">
      <w:rPr>
        <w:rStyle w:val="PageNumber"/>
      </w:rPr>
      <w:instrText xml:space="preserve">PAGE  </w:instrText>
    </w:r>
    <w:r>
      <w:rPr>
        <w:rStyle w:val="PageNumber"/>
      </w:rPr>
      <w:fldChar w:fldCharType="separate"/>
    </w:r>
    <w:r w:rsidR="00397C35">
      <w:rPr>
        <w:rStyle w:val="PageNumber"/>
        <w:noProof/>
      </w:rPr>
      <w:t>16</w:t>
    </w:r>
    <w:r>
      <w:rPr>
        <w:rStyle w:val="PageNumber"/>
      </w:rPr>
      <w:fldChar w:fldCharType="end"/>
    </w:r>
  </w:p>
  <w:p w:rsidR="00AD0560" w:rsidRDefault="00AD056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4F257797"/>
    <w:multiLevelType w:val="hybridMultilevel"/>
    <w:tmpl w:val="589A9768"/>
    <w:lvl w:ilvl="0" w:tplc="A114F72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10E54B4"/>
    <w:multiLevelType w:val="hybridMultilevel"/>
    <w:tmpl w:val="0A26CB98"/>
    <w:lvl w:ilvl="0" w:tplc="1A80E0D0">
      <w:start w:val="1"/>
      <w:numFmt w:val="bullet"/>
      <w:lvlText w:val=""/>
      <w:lvlJc w:val="left"/>
      <w:pPr>
        <w:tabs>
          <w:tab w:val="num" w:pos="1080"/>
        </w:tabs>
        <w:ind w:left="108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rgetLastTabAlignment/>
    <w:doNotUseHTMLParagraphAutoSpacing/>
    <w:layoutTableRowsApart/>
    <w:doNotBreakWrappedTables/>
    <w:selectFldWithFirstOrLastChar/>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1737"/>
    <w:rsid w:val="00014D69"/>
    <w:rsid w:val="000152D5"/>
    <w:rsid w:val="00017439"/>
    <w:rsid w:val="00025FB8"/>
    <w:rsid w:val="000366B1"/>
    <w:rsid w:val="00036A14"/>
    <w:rsid w:val="00045303"/>
    <w:rsid w:val="00057166"/>
    <w:rsid w:val="00071719"/>
    <w:rsid w:val="00073232"/>
    <w:rsid w:val="00077286"/>
    <w:rsid w:val="00080321"/>
    <w:rsid w:val="000813BF"/>
    <w:rsid w:val="00084E0B"/>
    <w:rsid w:val="00086537"/>
    <w:rsid w:val="0009107D"/>
    <w:rsid w:val="000C525F"/>
    <w:rsid w:val="000D2742"/>
    <w:rsid w:val="000E187E"/>
    <w:rsid w:val="000E3106"/>
    <w:rsid w:val="000E396C"/>
    <w:rsid w:val="000F0C93"/>
    <w:rsid w:val="000F7D57"/>
    <w:rsid w:val="0010508F"/>
    <w:rsid w:val="00106CE5"/>
    <w:rsid w:val="00114ACD"/>
    <w:rsid w:val="001235EC"/>
    <w:rsid w:val="00133A25"/>
    <w:rsid w:val="00134D08"/>
    <w:rsid w:val="001431BB"/>
    <w:rsid w:val="00156BAF"/>
    <w:rsid w:val="0015700B"/>
    <w:rsid w:val="00162589"/>
    <w:rsid w:val="00184928"/>
    <w:rsid w:val="00193B02"/>
    <w:rsid w:val="001A2342"/>
    <w:rsid w:val="001A5D36"/>
    <w:rsid w:val="001B2CAA"/>
    <w:rsid w:val="001D23D0"/>
    <w:rsid w:val="001D443E"/>
    <w:rsid w:val="001D5D5C"/>
    <w:rsid w:val="00210321"/>
    <w:rsid w:val="002111B4"/>
    <w:rsid w:val="00211794"/>
    <w:rsid w:val="002144F4"/>
    <w:rsid w:val="00214A39"/>
    <w:rsid w:val="002255C9"/>
    <w:rsid w:val="00244D70"/>
    <w:rsid w:val="00281854"/>
    <w:rsid w:val="00286935"/>
    <w:rsid w:val="00296172"/>
    <w:rsid w:val="002979BE"/>
    <w:rsid w:val="00297CCA"/>
    <w:rsid w:val="002A3B69"/>
    <w:rsid w:val="002A603F"/>
    <w:rsid w:val="002C2DCC"/>
    <w:rsid w:val="002D6DF3"/>
    <w:rsid w:val="002E138C"/>
    <w:rsid w:val="002E66D6"/>
    <w:rsid w:val="00310FA4"/>
    <w:rsid w:val="00311816"/>
    <w:rsid w:val="00324284"/>
    <w:rsid w:val="00327C4E"/>
    <w:rsid w:val="00330022"/>
    <w:rsid w:val="003369BC"/>
    <w:rsid w:val="00347706"/>
    <w:rsid w:val="00354C15"/>
    <w:rsid w:val="00365D0A"/>
    <w:rsid w:val="00385F29"/>
    <w:rsid w:val="00392E49"/>
    <w:rsid w:val="00397C35"/>
    <w:rsid w:val="003C11FF"/>
    <w:rsid w:val="003C791C"/>
    <w:rsid w:val="003D2F0C"/>
    <w:rsid w:val="003D3734"/>
    <w:rsid w:val="003D7A83"/>
    <w:rsid w:val="003E1847"/>
    <w:rsid w:val="003F72EF"/>
    <w:rsid w:val="00403CE4"/>
    <w:rsid w:val="0041087C"/>
    <w:rsid w:val="00413122"/>
    <w:rsid w:val="00420CAA"/>
    <w:rsid w:val="004237E7"/>
    <w:rsid w:val="00427C15"/>
    <w:rsid w:val="00441737"/>
    <w:rsid w:val="0044488D"/>
    <w:rsid w:val="00452704"/>
    <w:rsid w:val="00457863"/>
    <w:rsid w:val="00467B84"/>
    <w:rsid w:val="0047288B"/>
    <w:rsid w:val="00474FE5"/>
    <w:rsid w:val="00480865"/>
    <w:rsid w:val="004A7534"/>
    <w:rsid w:val="004B101B"/>
    <w:rsid w:val="004C0469"/>
    <w:rsid w:val="004C1DC8"/>
    <w:rsid w:val="004C3ECE"/>
    <w:rsid w:val="004D7B55"/>
    <w:rsid w:val="004F2E1E"/>
    <w:rsid w:val="004F54FC"/>
    <w:rsid w:val="00505AD1"/>
    <w:rsid w:val="0050689A"/>
    <w:rsid w:val="00523381"/>
    <w:rsid w:val="00532D40"/>
    <w:rsid w:val="00532D46"/>
    <w:rsid w:val="00532F1A"/>
    <w:rsid w:val="005335D2"/>
    <w:rsid w:val="00533A35"/>
    <w:rsid w:val="0054710C"/>
    <w:rsid w:val="005560C8"/>
    <w:rsid w:val="0056093A"/>
    <w:rsid w:val="00560F5B"/>
    <w:rsid w:val="00570E14"/>
    <w:rsid w:val="005737E9"/>
    <w:rsid w:val="00574556"/>
    <w:rsid w:val="00581C5B"/>
    <w:rsid w:val="005848CE"/>
    <w:rsid w:val="0059305A"/>
    <w:rsid w:val="005A28C2"/>
    <w:rsid w:val="005B0AF8"/>
    <w:rsid w:val="005C66C9"/>
    <w:rsid w:val="005D25A6"/>
    <w:rsid w:val="005E59E4"/>
    <w:rsid w:val="005E5F00"/>
    <w:rsid w:val="005E7BFF"/>
    <w:rsid w:val="00603B6C"/>
    <w:rsid w:val="00605182"/>
    <w:rsid w:val="0061319F"/>
    <w:rsid w:val="0061583B"/>
    <w:rsid w:val="006260CE"/>
    <w:rsid w:val="00632C48"/>
    <w:rsid w:val="006339FA"/>
    <w:rsid w:val="006407E8"/>
    <w:rsid w:val="006457DC"/>
    <w:rsid w:val="006539AF"/>
    <w:rsid w:val="00663A02"/>
    <w:rsid w:val="00666DA2"/>
    <w:rsid w:val="00674DCC"/>
    <w:rsid w:val="006834AE"/>
    <w:rsid w:val="006866B2"/>
    <w:rsid w:val="00697752"/>
    <w:rsid w:val="006B2A3F"/>
    <w:rsid w:val="006C034E"/>
    <w:rsid w:val="006C0572"/>
    <w:rsid w:val="006C6E80"/>
    <w:rsid w:val="006C7711"/>
    <w:rsid w:val="006D5A06"/>
    <w:rsid w:val="006E6BA7"/>
    <w:rsid w:val="006F7E0F"/>
    <w:rsid w:val="00702345"/>
    <w:rsid w:val="007169FE"/>
    <w:rsid w:val="00717753"/>
    <w:rsid w:val="0072260E"/>
    <w:rsid w:val="00723F6D"/>
    <w:rsid w:val="00726A4B"/>
    <w:rsid w:val="00735701"/>
    <w:rsid w:val="00742859"/>
    <w:rsid w:val="00742B81"/>
    <w:rsid w:val="007573FF"/>
    <w:rsid w:val="00765D53"/>
    <w:rsid w:val="00780FE8"/>
    <w:rsid w:val="007829F9"/>
    <w:rsid w:val="00796474"/>
    <w:rsid w:val="007A4A02"/>
    <w:rsid w:val="007A4C42"/>
    <w:rsid w:val="007B023C"/>
    <w:rsid w:val="007B30F5"/>
    <w:rsid w:val="007C107A"/>
    <w:rsid w:val="007C5E09"/>
    <w:rsid w:val="007D2BEF"/>
    <w:rsid w:val="007E75B3"/>
    <w:rsid w:val="007E791E"/>
    <w:rsid w:val="007F52F9"/>
    <w:rsid w:val="00805EB8"/>
    <w:rsid w:val="00823E95"/>
    <w:rsid w:val="008257CE"/>
    <w:rsid w:val="008317F3"/>
    <w:rsid w:val="008374CC"/>
    <w:rsid w:val="0084372A"/>
    <w:rsid w:val="008475D7"/>
    <w:rsid w:val="00850B6A"/>
    <w:rsid w:val="0086348F"/>
    <w:rsid w:val="00863FA9"/>
    <w:rsid w:val="00864DA4"/>
    <w:rsid w:val="008656FF"/>
    <w:rsid w:val="008715A8"/>
    <w:rsid w:val="00871C8E"/>
    <w:rsid w:val="0088774F"/>
    <w:rsid w:val="008A2FA2"/>
    <w:rsid w:val="008B42E6"/>
    <w:rsid w:val="008B47FD"/>
    <w:rsid w:val="008B7763"/>
    <w:rsid w:val="008C267B"/>
    <w:rsid w:val="008C6E8C"/>
    <w:rsid w:val="008D446A"/>
    <w:rsid w:val="008D6CBB"/>
    <w:rsid w:val="008E73A3"/>
    <w:rsid w:val="009000AD"/>
    <w:rsid w:val="00902A6E"/>
    <w:rsid w:val="00905BF3"/>
    <w:rsid w:val="00940242"/>
    <w:rsid w:val="00947BE9"/>
    <w:rsid w:val="00951BF4"/>
    <w:rsid w:val="009622B7"/>
    <w:rsid w:val="00964302"/>
    <w:rsid w:val="00977950"/>
    <w:rsid w:val="009A683D"/>
    <w:rsid w:val="009B7502"/>
    <w:rsid w:val="009C2CDE"/>
    <w:rsid w:val="009D6191"/>
    <w:rsid w:val="009E1349"/>
    <w:rsid w:val="009E3E9B"/>
    <w:rsid w:val="009E49DA"/>
    <w:rsid w:val="009E5152"/>
    <w:rsid w:val="009F7218"/>
    <w:rsid w:val="00A01A74"/>
    <w:rsid w:val="00A03358"/>
    <w:rsid w:val="00A04BB5"/>
    <w:rsid w:val="00A10886"/>
    <w:rsid w:val="00A2476F"/>
    <w:rsid w:val="00A27415"/>
    <w:rsid w:val="00A3042F"/>
    <w:rsid w:val="00A30C59"/>
    <w:rsid w:val="00A32B34"/>
    <w:rsid w:val="00A516E2"/>
    <w:rsid w:val="00A542C2"/>
    <w:rsid w:val="00A56895"/>
    <w:rsid w:val="00A80F8D"/>
    <w:rsid w:val="00AB0058"/>
    <w:rsid w:val="00AB08D5"/>
    <w:rsid w:val="00AB1A7E"/>
    <w:rsid w:val="00AB43A6"/>
    <w:rsid w:val="00AB5DFD"/>
    <w:rsid w:val="00AD0560"/>
    <w:rsid w:val="00AD1E21"/>
    <w:rsid w:val="00AD6BE5"/>
    <w:rsid w:val="00AE3480"/>
    <w:rsid w:val="00AF637C"/>
    <w:rsid w:val="00AF74AC"/>
    <w:rsid w:val="00B06A95"/>
    <w:rsid w:val="00B06CB5"/>
    <w:rsid w:val="00B14F50"/>
    <w:rsid w:val="00B22870"/>
    <w:rsid w:val="00B26AAF"/>
    <w:rsid w:val="00B2764C"/>
    <w:rsid w:val="00B43DFB"/>
    <w:rsid w:val="00B4521F"/>
    <w:rsid w:val="00B5412C"/>
    <w:rsid w:val="00B621DE"/>
    <w:rsid w:val="00B627A2"/>
    <w:rsid w:val="00B6366A"/>
    <w:rsid w:val="00B65CAA"/>
    <w:rsid w:val="00B855BA"/>
    <w:rsid w:val="00BA0B8F"/>
    <w:rsid w:val="00BA377A"/>
    <w:rsid w:val="00BA6F4B"/>
    <w:rsid w:val="00BA74EB"/>
    <w:rsid w:val="00BB6186"/>
    <w:rsid w:val="00BC5A0A"/>
    <w:rsid w:val="00BC5F2C"/>
    <w:rsid w:val="00BD3E22"/>
    <w:rsid w:val="00BD6658"/>
    <w:rsid w:val="00BE21EB"/>
    <w:rsid w:val="00BE468E"/>
    <w:rsid w:val="00BE5ACD"/>
    <w:rsid w:val="00BF19C5"/>
    <w:rsid w:val="00C05B35"/>
    <w:rsid w:val="00C2569F"/>
    <w:rsid w:val="00C37422"/>
    <w:rsid w:val="00C40261"/>
    <w:rsid w:val="00C67137"/>
    <w:rsid w:val="00C70957"/>
    <w:rsid w:val="00C8400E"/>
    <w:rsid w:val="00C90987"/>
    <w:rsid w:val="00C973D0"/>
    <w:rsid w:val="00CB14BE"/>
    <w:rsid w:val="00CB27D1"/>
    <w:rsid w:val="00CB5948"/>
    <w:rsid w:val="00CC044E"/>
    <w:rsid w:val="00CC6141"/>
    <w:rsid w:val="00CD0959"/>
    <w:rsid w:val="00CD0DD9"/>
    <w:rsid w:val="00CE62F0"/>
    <w:rsid w:val="00CF2489"/>
    <w:rsid w:val="00D02580"/>
    <w:rsid w:val="00D04AB5"/>
    <w:rsid w:val="00D139CA"/>
    <w:rsid w:val="00D14476"/>
    <w:rsid w:val="00D14EC9"/>
    <w:rsid w:val="00D23E15"/>
    <w:rsid w:val="00D317B5"/>
    <w:rsid w:val="00D61A59"/>
    <w:rsid w:val="00D659E9"/>
    <w:rsid w:val="00D7739C"/>
    <w:rsid w:val="00D8433F"/>
    <w:rsid w:val="00D96DFD"/>
    <w:rsid w:val="00DA4056"/>
    <w:rsid w:val="00DB0E9C"/>
    <w:rsid w:val="00DB1C90"/>
    <w:rsid w:val="00DE1455"/>
    <w:rsid w:val="00DE1D16"/>
    <w:rsid w:val="00DE409A"/>
    <w:rsid w:val="00DF1A22"/>
    <w:rsid w:val="00E11832"/>
    <w:rsid w:val="00E1313F"/>
    <w:rsid w:val="00E16DF2"/>
    <w:rsid w:val="00E2459D"/>
    <w:rsid w:val="00E37534"/>
    <w:rsid w:val="00E405CB"/>
    <w:rsid w:val="00E40961"/>
    <w:rsid w:val="00E50CDE"/>
    <w:rsid w:val="00E5239D"/>
    <w:rsid w:val="00E661EE"/>
    <w:rsid w:val="00E67D8D"/>
    <w:rsid w:val="00E67E71"/>
    <w:rsid w:val="00EA1552"/>
    <w:rsid w:val="00EA6F06"/>
    <w:rsid w:val="00EC11D7"/>
    <w:rsid w:val="00EC2A6B"/>
    <w:rsid w:val="00EC3633"/>
    <w:rsid w:val="00ED0D00"/>
    <w:rsid w:val="00ED2176"/>
    <w:rsid w:val="00ED3847"/>
    <w:rsid w:val="00ED38C0"/>
    <w:rsid w:val="00ED6EB4"/>
    <w:rsid w:val="00EE769D"/>
    <w:rsid w:val="00EF43B0"/>
    <w:rsid w:val="00F03D4A"/>
    <w:rsid w:val="00F2156C"/>
    <w:rsid w:val="00F21C84"/>
    <w:rsid w:val="00F3070C"/>
    <w:rsid w:val="00F34E42"/>
    <w:rsid w:val="00F4590C"/>
    <w:rsid w:val="00F56F0C"/>
    <w:rsid w:val="00F64BAC"/>
    <w:rsid w:val="00F668B9"/>
    <w:rsid w:val="00F73D86"/>
    <w:rsid w:val="00F76AD1"/>
    <w:rsid w:val="00F96339"/>
    <w:rsid w:val="00FD3B01"/>
    <w:rsid w:val="00FE59C5"/>
    <w:rsid w:val="00FF0FF5"/>
    <w:rsid w:val="00FF125B"/>
    <w:rsid w:val="00FF3D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39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5239D"/>
    <w:rPr>
      <w:rFonts w:cs="Times New Roman"/>
    </w:rPr>
  </w:style>
  <w:style w:type="character" w:customStyle="1" w:styleId="1">
    <w:name w:val="1"/>
    <w:rsid w:val="00805EB8"/>
  </w:style>
  <w:style w:type="paragraph" w:styleId="Footer">
    <w:name w:val="footer"/>
    <w:basedOn w:val="Normal"/>
    <w:link w:val="FooterChar"/>
    <w:rsid w:val="00DE1455"/>
    <w:pPr>
      <w:tabs>
        <w:tab w:val="center" w:pos="4320"/>
        <w:tab w:val="right" w:pos="8640"/>
      </w:tabs>
    </w:pPr>
    <w:rPr>
      <w:lang/>
    </w:rPr>
  </w:style>
  <w:style w:type="character" w:customStyle="1" w:styleId="FooterChar">
    <w:name w:val="Footer Char"/>
    <w:link w:val="Footer"/>
    <w:semiHidden/>
    <w:locked/>
    <w:rsid w:val="00B43DFB"/>
    <w:rPr>
      <w:rFonts w:cs="Times New Roman"/>
      <w:sz w:val="24"/>
      <w:szCs w:val="24"/>
    </w:rPr>
  </w:style>
  <w:style w:type="character" w:styleId="PageNumber">
    <w:name w:val="page number"/>
    <w:rsid w:val="00DE1455"/>
    <w:rPr>
      <w:rFonts w:cs="Times New Roman"/>
    </w:rPr>
  </w:style>
  <w:style w:type="paragraph" w:styleId="Header">
    <w:name w:val="header"/>
    <w:basedOn w:val="Normal"/>
    <w:link w:val="HeaderChar"/>
    <w:rsid w:val="00045303"/>
    <w:pPr>
      <w:tabs>
        <w:tab w:val="center" w:pos="4320"/>
        <w:tab w:val="right" w:pos="8640"/>
      </w:tabs>
    </w:pPr>
    <w:rPr>
      <w:lang/>
    </w:rPr>
  </w:style>
  <w:style w:type="character" w:customStyle="1" w:styleId="HeaderChar">
    <w:name w:val="Header Char"/>
    <w:link w:val="Header"/>
    <w:semiHidden/>
    <w:locked/>
    <w:rsid w:val="00B43DFB"/>
    <w:rPr>
      <w:rFonts w:cs="Times New Roman"/>
      <w:sz w:val="24"/>
      <w:szCs w:val="24"/>
    </w:rPr>
  </w:style>
  <w:style w:type="character" w:styleId="CommentReference">
    <w:name w:val="annotation reference"/>
    <w:semiHidden/>
    <w:rsid w:val="00BE21EB"/>
    <w:rPr>
      <w:sz w:val="16"/>
      <w:szCs w:val="16"/>
    </w:rPr>
  </w:style>
  <w:style w:type="paragraph" w:styleId="CommentText">
    <w:name w:val="annotation text"/>
    <w:basedOn w:val="Normal"/>
    <w:semiHidden/>
    <w:rsid w:val="00BE21EB"/>
    <w:rPr>
      <w:sz w:val="20"/>
      <w:szCs w:val="20"/>
    </w:rPr>
  </w:style>
  <w:style w:type="paragraph" w:styleId="CommentSubject">
    <w:name w:val="annotation subject"/>
    <w:basedOn w:val="CommentText"/>
    <w:next w:val="CommentText"/>
    <w:semiHidden/>
    <w:rsid w:val="00BE21EB"/>
    <w:rPr>
      <w:b/>
      <w:bCs/>
    </w:rPr>
  </w:style>
  <w:style w:type="paragraph" w:styleId="BalloonText">
    <w:name w:val="Balloon Text"/>
    <w:basedOn w:val="Normal"/>
    <w:semiHidden/>
    <w:rsid w:val="00BE21EB"/>
    <w:rPr>
      <w:rFonts w:ascii="Tahoma" w:hAnsi="Tahoma" w:cs="Tahoma"/>
      <w:sz w:val="16"/>
      <w:szCs w:val="16"/>
    </w:rPr>
  </w:style>
  <w:style w:type="character" w:styleId="Hyperlink">
    <w:name w:val="Hyperlink"/>
    <w:rsid w:val="00CB14BE"/>
    <w:rPr>
      <w:color w:val="0563C1"/>
      <w:u w:val="single"/>
    </w:rPr>
  </w:style>
  <w:style w:type="paragraph" w:customStyle="1" w:styleId="Style1">
    <w:name w:val="Style1"/>
    <w:basedOn w:val="Normal"/>
    <w:link w:val="Style1Char"/>
    <w:qFormat/>
    <w:rsid w:val="00850B6A"/>
    <w:pPr>
      <w:widowControl/>
      <w:spacing w:line="360" w:lineRule="auto"/>
    </w:pPr>
    <w:rPr>
      <w:i/>
      <w:iCs/>
      <w:lang/>
    </w:rPr>
  </w:style>
  <w:style w:type="character" w:customStyle="1" w:styleId="Style1Char">
    <w:name w:val="Style1 Char"/>
    <w:link w:val="Style1"/>
    <w:rsid w:val="00850B6A"/>
    <w:rPr>
      <w:i/>
      <w:iCs/>
      <w:sz w:val="24"/>
      <w:szCs w:val="24"/>
    </w:rPr>
  </w:style>
</w:styles>
</file>

<file path=word/webSettings.xml><?xml version="1.0" encoding="utf-8"?>
<w:webSettings xmlns:r="http://schemas.openxmlformats.org/officeDocument/2006/relationships" xmlns:w="http://schemas.openxmlformats.org/wordprocessingml/2006/main">
  <w:divs>
    <w:div w:id="74711861">
      <w:bodyDiv w:val="1"/>
      <w:marLeft w:val="0"/>
      <w:marRight w:val="0"/>
      <w:marTop w:val="0"/>
      <w:marBottom w:val="0"/>
      <w:divBdr>
        <w:top w:val="none" w:sz="0" w:space="0" w:color="auto"/>
        <w:left w:val="none" w:sz="0" w:space="0" w:color="auto"/>
        <w:bottom w:val="none" w:sz="0" w:space="0" w:color="auto"/>
        <w:right w:val="none" w:sz="0" w:space="0" w:color="auto"/>
      </w:divBdr>
    </w:div>
    <w:div w:id="1020158688">
      <w:bodyDiv w:val="1"/>
      <w:marLeft w:val="0"/>
      <w:marRight w:val="0"/>
      <w:marTop w:val="0"/>
      <w:marBottom w:val="0"/>
      <w:divBdr>
        <w:top w:val="none" w:sz="0" w:space="0" w:color="auto"/>
        <w:left w:val="none" w:sz="0" w:space="0" w:color="auto"/>
        <w:bottom w:val="none" w:sz="0" w:space="0" w:color="auto"/>
        <w:right w:val="none" w:sz="0" w:space="0" w:color="auto"/>
      </w:divBdr>
    </w:div>
    <w:div w:id="1078165410">
      <w:bodyDiv w:val="1"/>
      <w:marLeft w:val="0"/>
      <w:marRight w:val="0"/>
      <w:marTop w:val="0"/>
      <w:marBottom w:val="0"/>
      <w:divBdr>
        <w:top w:val="none" w:sz="0" w:space="0" w:color="auto"/>
        <w:left w:val="none" w:sz="0" w:space="0" w:color="auto"/>
        <w:bottom w:val="none" w:sz="0" w:space="0" w:color="auto"/>
        <w:right w:val="none" w:sz="0" w:space="0" w:color="auto"/>
      </w:divBdr>
    </w:div>
    <w:div w:id="1438984120">
      <w:bodyDiv w:val="1"/>
      <w:marLeft w:val="0"/>
      <w:marRight w:val="0"/>
      <w:marTop w:val="0"/>
      <w:marBottom w:val="0"/>
      <w:divBdr>
        <w:top w:val="none" w:sz="0" w:space="0" w:color="auto"/>
        <w:left w:val="none" w:sz="0" w:space="0" w:color="auto"/>
        <w:bottom w:val="none" w:sz="0" w:space="0" w:color="auto"/>
        <w:right w:val="none" w:sz="0" w:space="0" w:color="auto"/>
      </w:divBdr>
    </w:div>
    <w:div w:id="14558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5934-F051-43E0-ABCC-06BF6F54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U.S. EPA</Company>
  <LinksUpToDate>false</LinksUpToDate>
  <CharactersWithSpaces>42038</CharactersWithSpaces>
  <SharedDoc>false</SharedDoc>
  <HLinks>
    <vt:vector size="12" baseType="variant">
      <vt:variant>
        <vt:i4>262217</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Victor Torres</dc:creator>
  <cp:lastModifiedBy>Courtney Kerwin</cp:lastModifiedBy>
  <cp:revision>6</cp:revision>
  <cp:lastPrinted>2013-04-17T14:45:00Z</cp:lastPrinted>
  <dcterms:created xsi:type="dcterms:W3CDTF">2013-11-04T19:04:00Z</dcterms:created>
  <dcterms:modified xsi:type="dcterms:W3CDTF">2013-11-04T19:17:00Z</dcterms:modified>
</cp:coreProperties>
</file>