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0EA" w:rsidRPr="00864A16" w:rsidRDefault="000900EA" w:rsidP="000900EA">
      <w:pPr>
        <w:jc w:val="center"/>
      </w:pPr>
      <w:bookmarkStart w:id="0" w:name="_GoBack"/>
      <w:bookmarkEnd w:id="0"/>
      <w:r w:rsidRPr="00864A16">
        <w:t>14</w:t>
      </w:r>
      <w:r>
        <w:t>6</w:t>
      </w:r>
      <w:r w:rsidRPr="00864A16">
        <w:t xml:space="preserve"> FERC ¶ 61,</w:t>
      </w:r>
      <w:r>
        <w:t>019</w:t>
      </w:r>
    </w:p>
    <w:p w:rsidR="000900EA" w:rsidRPr="00864A16" w:rsidRDefault="000900EA" w:rsidP="000900EA">
      <w:pPr>
        <w:jc w:val="center"/>
      </w:pPr>
      <w:smartTag w:uri="urn:schemas-microsoft-com:office:smarttags" w:element="place">
        <w:smartTag w:uri="urn:schemas-microsoft-com:office:smarttags" w:element="country-region">
          <w:r w:rsidRPr="00864A16">
            <w:t>UNITED STATES OF AMERICA</w:t>
          </w:r>
        </w:smartTag>
      </w:smartTag>
    </w:p>
    <w:p w:rsidR="000900EA" w:rsidRPr="00864A16" w:rsidRDefault="000900EA" w:rsidP="000900EA">
      <w:pPr>
        <w:jc w:val="center"/>
      </w:pPr>
      <w:r w:rsidRPr="00864A16">
        <w:t>FEDERAL ENERGY REGULATORY COMMISSION</w:t>
      </w:r>
    </w:p>
    <w:p w:rsidR="000900EA" w:rsidRDefault="000900EA" w:rsidP="000900EA">
      <w:pPr>
        <w:jc w:val="center"/>
      </w:pPr>
    </w:p>
    <w:p w:rsidR="000900EA" w:rsidRDefault="000900EA"/>
    <w:tbl>
      <w:tblPr>
        <w:tblW w:w="0" w:type="auto"/>
        <w:tblCellMar>
          <w:left w:w="0" w:type="dxa"/>
          <w:right w:w="0" w:type="dxa"/>
        </w:tblCellMar>
        <w:tblLook w:val="01E0" w:firstRow="1" w:lastRow="1" w:firstColumn="1" w:lastColumn="1" w:noHBand="0" w:noVBand="0"/>
      </w:tblPr>
      <w:tblGrid>
        <w:gridCol w:w="5935"/>
        <w:gridCol w:w="1532"/>
        <w:gridCol w:w="1893"/>
      </w:tblGrid>
      <w:tr w:rsidR="00524A8A" w:rsidTr="00F80ADB">
        <w:tc>
          <w:tcPr>
            <w:tcW w:w="5935" w:type="dxa"/>
            <w:shd w:val="clear" w:color="auto" w:fill="auto"/>
          </w:tcPr>
          <w:p w:rsidR="005E7051" w:rsidRDefault="00894191">
            <w:r>
              <w:t xml:space="preserve">Small Generator Interconnection </w:t>
            </w:r>
          </w:p>
          <w:p w:rsidR="00524A8A" w:rsidRDefault="005E7051">
            <w:r>
              <w:t xml:space="preserve">     </w:t>
            </w:r>
            <w:r w:rsidR="00894191">
              <w:t>Agreements and Procedures</w:t>
            </w:r>
          </w:p>
        </w:tc>
        <w:tc>
          <w:tcPr>
            <w:tcW w:w="1532" w:type="dxa"/>
            <w:shd w:val="clear" w:color="auto" w:fill="auto"/>
          </w:tcPr>
          <w:p w:rsidR="00524A8A" w:rsidRDefault="00524A8A">
            <w:pPr>
              <w:tabs>
                <w:tab w:val="left" w:pos="720"/>
                <w:tab w:val="left" w:pos="1440"/>
                <w:tab w:val="left" w:pos="2880"/>
                <w:tab w:val="left" w:pos="4320"/>
                <w:tab w:val="left" w:pos="5040"/>
                <w:tab w:val="left" w:pos="5760"/>
                <w:tab w:val="left" w:pos="6480"/>
                <w:tab w:val="left" w:pos="7200"/>
              </w:tabs>
              <w:jc w:val="right"/>
            </w:pPr>
            <w:r>
              <w:t>Docket No.</w:t>
            </w:r>
          </w:p>
        </w:tc>
        <w:tc>
          <w:tcPr>
            <w:tcW w:w="1893" w:type="dxa"/>
            <w:shd w:val="clear" w:color="auto" w:fill="auto"/>
            <w:tcMar>
              <w:left w:w="144" w:type="dxa"/>
            </w:tcMar>
          </w:tcPr>
          <w:p w:rsidR="00524A8A" w:rsidRDefault="00894191">
            <w:pPr>
              <w:tabs>
                <w:tab w:val="left" w:pos="720"/>
                <w:tab w:val="left" w:pos="1440"/>
                <w:tab w:val="left" w:pos="2880"/>
                <w:tab w:val="left" w:pos="4320"/>
                <w:tab w:val="left" w:pos="5040"/>
                <w:tab w:val="left" w:pos="5760"/>
                <w:tab w:val="left" w:pos="6480"/>
                <w:tab w:val="left" w:pos="7200"/>
              </w:tabs>
            </w:pPr>
            <w:r>
              <w:t>RM13-2-000</w:t>
            </w:r>
          </w:p>
        </w:tc>
      </w:tr>
    </w:tbl>
    <w:p w:rsidR="00524A8A" w:rsidRDefault="00524A8A"/>
    <w:p w:rsidR="00524A8A" w:rsidRDefault="00524A8A">
      <w:pPr>
        <w:jc w:val="center"/>
      </w:pPr>
      <w:r>
        <w:t>ERRATA NOTICE</w:t>
      </w:r>
    </w:p>
    <w:p w:rsidR="00524A8A" w:rsidRDefault="00524A8A"/>
    <w:p w:rsidR="00000C16" w:rsidRDefault="00000C16" w:rsidP="00000C16">
      <w:pPr>
        <w:jc w:val="center"/>
      </w:pPr>
      <w:r>
        <w:t>(</w:t>
      </w:r>
      <w:r w:rsidR="00CF2558">
        <w:t xml:space="preserve">January </w:t>
      </w:r>
      <w:r w:rsidR="000900EA">
        <w:t>1</w:t>
      </w:r>
      <w:r w:rsidR="00912851">
        <w:t>5</w:t>
      </w:r>
      <w:r>
        <w:t>, 201</w:t>
      </w:r>
      <w:r w:rsidR="00CF2558">
        <w:t>4</w:t>
      </w:r>
      <w:r>
        <w:t>)</w:t>
      </w:r>
    </w:p>
    <w:p w:rsidR="00524A8A" w:rsidRDefault="00524A8A"/>
    <w:p w:rsidR="00524A8A" w:rsidRDefault="00524A8A">
      <w:r>
        <w:tab/>
        <w:t xml:space="preserve">On </w:t>
      </w:r>
      <w:r w:rsidR="00CF2558">
        <w:t>November 22</w:t>
      </w:r>
      <w:r>
        <w:t xml:space="preserve">, 2013, the Commission issued an order in the above-referenced docket.  </w:t>
      </w:r>
      <w:proofErr w:type="gramStart"/>
      <w:r w:rsidR="00894191">
        <w:rPr>
          <w:i/>
        </w:rPr>
        <w:t>Small Generator Interconnection Agreements and Procedures</w:t>
      </w:r>
      <w:r>
        <w:rPr>
          <w:i/>
        </w:rPr>
        <w:t>,</w:t>
      </w:r>
      <w:r>
        <w:t xml:space="preserve"> 14</w:t>
      </w:r>
      <w:r w:rsidR="00CF2558">
        <w:t>5</w:t>
      </w:r>
      <w:r>
        <w:t xml:space="preserve"> FERC </w:t>
      </w:r>
      <w:r w:rsidR="00000C16">
        <w:t xml:space="preserve">           </w:t>
      </w:r>
      <w:r>
        <w:t>¶ 61,</w:t>
      </w:r>
      <w:r w:rsidR="00CF2558">
        <w:t>15</w:t>
      </w:r>
      <w:r w:rsidR="00894191">
        <w:t>9</w:t>
      </w:r>
      <w:r>
        <w:t xml:space="preserve"> (2013).</w:t>
      </w:r>
      <w:proofErr w:type="gramEnd"/>
      <w:r>
        <w:t xml:space="preserve">  </w:t>
      </w:r>
      <w:r w:rsidR="008103A0">
        <w:rPr>
          <w:shd w:val="clear" w:color="auto" w:fill="FFFFFF"/>
        </w:rPr>
        <w:t xml:space="preserve">This errata notice serves to correct references to Small Generator Interconnection Procedures (SGIP) section numbers in the order and the </w:t>
      </w:r>
      <w:r w:rsidR="008103A0">
        <w:rPr>
          <w:i/>
          <w:iCs/>
          <w:shd w:val="clear" w:color="auto" w:fill="FFFFFF"/>
        </w:rPr>
        <w:t xml:space="preserve">pro forma </w:t>
      </w:r>
      <w:r w:rsidR="008103A0">
        <w:rPr>
          <w:shd w:val="clear" w:color="auto" w:fill="FFFFFF"/>
        </w:rPr>
        <w:t>SGIP, and to make other typographical corrections.</w:t>
      </w:r>
      <w:r w:rsidR="002C4ED7">
        <w:rPr>
          <w:szCs w:val="26"/>
          <w:shd w:val="clear" w:color="auto" w:fill="FFFFFF"/>
        </w:rPr>
        <w:t xml:space="preserve"> </w:t>
      </w:r>
      <w:r w:rsidR="00F80ADB">
        <w:rPr>
          <w:szCs w:val="26"/>
          <w:shd w:val="clear" w:color="auto" w:fill="FFFFFF"/>
        </w:rPr>
        <w:t xml:space="preserve"> </w:t>
      </w:r>
      <w:r w:rsidR="00894191">
        <w:t>The order is revised as follows:</w:t>
      </w:r>
    </w:p>
    <w:p w:rsidR="00524A8A" w:rsidRDefault="00524A8A"/>
    <w:p w:rsidR="00FC053B" w:rsidRDefault="002D23F7" w:rsidP="00243805">
      <w:pPr>
        <w:numPr>
          <w:ilvl w:val="0"/>
          <w:numId w:val="2"/>
        </w:numPr>
        <w:ind w:hanging="720"/>
      </w:pPr>
      <w:r>
        <w:t xml:space="preserve">Footnote </w:t>
      </w:r>
      <w:r w:rsidR="001A2A35">
        <w:t>221</w:t>
      </w:r>
      <w:r>
        <w:t xml:space="preserve"> should read, </w:t>
      </w:r>
    </w:p>
    <w:p w:rsidR="00FC053B" w:rsidRDefault="00FC053B" w:rsidP="00FC053B">
      <w:pPr>
        <w:ind w:left="720"/>
      </w:pPr>
    </w:p>
    <w:p w:rsidR="002D23F7" w:rsidRDefault="002D23F7" w:rsidP="001A15E9">
      <w:pPr>
        <w:ind w:left="720"/>
      </w:pPr>
      <w:r>
        <w:t>“</w:t>
      </w:r>
      <w:r w:rsidR="001A2A35">
        <w:t>The Commission adds the following language to the first paragraph of section 2.1 of the SGIP:</w:t>
      </w:r>
    </w:p>
    <w:p w:rsidR="001A2A35" w:rsidRDefault="001A2A35" w:rsidP="00894191"/>
    <w:p w:rsidR="001A2A35" w:rsidRDefault="001A2A35" w:rsidP="001A15E9">
      <w:pPr>
        <w:ind w:left="720"/>
      </w:pPr>
      <w:r>
        <w:t>However, Fast Track eligibility is distinct from the Fast Track Process itself, and eligibility does not imply or indicate that a Small Generating Facility will pass the Fast Track screens in section 2.2.1 below or the Supplemental Review screens in section 2.4.4 below.</w:t>
      </w:r>
      <w:r w:rsidR="002C6CE2">
        <w:t>”</w:t>
      </w:r>
    </w:p>
    <w:p w:rsidR="00597723" w:rsidRDefault="00597723" w:rsidP="00597723"/>
    <w:p w:rsidR="00FC053B" w:rsidRDefault="00597723" w:rsidP="00597723">
      <w:pPr>
        <w:numPr>
          <w:ilvl w:val="0"/>
          <w:numId w:val="2"/>
        </w:numPr>
        <w:ind w:hanging="720"/>
      </w:pPr>
      <w:r>
        <w:t xml:space="preserve">The third sentence of paragraph 142 should read, </w:t>
      </w:r>
    </w:p>
    <w:p w:rsidR="00FC053B" w:rsidRDefault="00FC053B" w:rsidP="00FC053B">
      <w:pPr>
        <w:ind w:left="720"/>
      </w:pPr>
    </w:p>
    <w:p w:rsidR="00597723" w:rsidRDefault="00597723" w:rsidP="001A15E9">
      <w:pPr>
        <w:ind w:left="720"/>
      </w:pPr>
      <w:r>
        <w:t>“Regarding NRECA, EEI &amp; APPA’s assertion that the use of 100 percent of minimum load limits the flexibility to move loads and the ability to deploy additional sectionalizing devices for reliability enhancement, we note that one of the factors to be considered in the safety and reliability screen of the supplemental review asks whether operational flexibility is reduced by the proposed Small Generating Facility (see SGIP section 2.4.4.3.5).”</w:t>
      </w:r>
    </w:p>
    <w:p w:rsidR="0013688D" w:rsidRDefault="0013688D" w:rsidP="0013688D">
      <w:pPr>
        <w:ind w:left="720"/>
      </w:pPr>
    </w:p>
    <w:p w:rsidR="005E7051" w:rsidRDefault="0013688D" w:rsidP="00597723">
      <w:pPr>
        <w:numPr>
          <w:ilvl w:val="0"/>
          <w:numId w:val="2"/>
        </w:numPr>
        <w:ind w:hanging="720"/>
      </w:pPr>
      <w:r>
        <w:t xml:space="preserve">The last sentence of paragraph 182 should read, </w:t>
      </w:r>
    </w:p>
    <w:p w:rsidR="005E7051" w:rsidRDefault="005E7051" w:rsidP="005E7051">
      <w:pPr>
        <w:ind w:left="720"/>
      </w:pPr>
    </w:p>
    <w:p w:rsidR="0013688D" w:rsidRDefault="0013688D" w:rsidP="005E7051">
      <w:pPr>
        <w:ind w:left="720"/>
      </w:pPr>
      <w:r>
        <w:t xml:space="preserve">“We do, however, modify section 2.4.5.2 to include language that the Transmission Provider will provide an interconnection agreement to the Interconnection Customer if the Interconnection Customer agrees to pay for the </w:t>
      </w:r>
      <w:r>
        <w:lastRenderedPageBreak/>
        <w:t>modifications to the Transmission Provider’s system, similar to the language in section 2.3.1 of the SGIP.”</w:t>
      </w:r>
    </w:p>
    <w:p w:rsidR="007E1178" w:rsidRDefault="007E1178" w:rsidP="007E1178">
      <w:pPr>
        <w:ind w:left="720"/>
      </w:pPr>
    </w:p>
    <w:p w:rsidR="005E7051" w:rsidRDefault="007E1178" w:rsidP="00597723">
      <w:pPr>
        <w:numPr>
          <w:ilvl w:val="0"/>
          <w:numId w:val="2"/>
        </w:numPr>
        <w:ind w:hanging="720"/>
      </w:pPr>
      <w:r>
        <w:t xml:space="preserve">Footnote 449 should read, </w:t>
      </w:r>
    </w:p>
    <w:p w:rsidR="005E7051" w:rsidRDefault="005E7051" w:rsidP="005E7051">
      <w:pPr>
        <w:ind w:left="720"/>
      </w:pPr>
    </w:p>
    <w:p w:rsidR="007E1178" w:rsidRDefault="007E1178" w:rsidP="005E7051">
      <w:pPr>
        <w:ind w:left="720"/>
      </w:pPr>
      <w:proofErr w:type="gramStart"/>
      <w:r>
        <w:t>“NRECA, EEI &amp; APPA at 29 (quoting the NOPR, FERC Stats.</w:t>
      </w:r>
      <w:proofErr w:type="gramEnd"/>
      <w:r>
        <w:t xml:space="preserve"> </w:t>
      </w:r>
      <w:proofErr w:type="gramStart"/>
      <w:r>
        <w:t xml:space="preserve">&amp; </w:t>
      </w:r>
      <w:proofErr w:type="spellStart"/>
      <w:r>
        <w:t>Regs</w:t>
      </w:r>
      <w:proofErr w:type="spellEnd"/>
      <w:r>
        <w:t>.</w:t>
      </w:r>
      <w:proofErr w:type="gramEnd"/>
      <w:r>
        <w:t xml:space="preserve"> ¶ 32,697 at P</w:t>
      </w:r>
      <w:r w:rsidR="001C19EB">
        <w:t xml:space="preserve"> </w:t>
      </w:r>
      <w:r>
        <w:t>1, n. 4) (emphasis added).</w:t>
      </w:r>
    </w:p>
    <w:p w:rsidR="00DD3A27" w:rsidRDefault="00DD3A27" w:rsidP="00DD3A27"/>
    <w:p w:rsidR="005E7051" w:rsidRDefault="00DD3A27" w:rsidP="00DD3A27">
      <w:pPr>
        <w:numPr>
          <w:ilvl w:val="0"/>
          <w:numId w:val="2"/>
        </w:numPr>
        <w:ind w:hanging="720"/>
      </w:pPr>
      <w:r>
        <w:t xml:space="preserve">The last sentence of the first paragraph in section 2.1 </w:t>
      </w:r>
      <w:r w:rsidR="00794601">
        <w:t>of</w:t>
      </w:r>
      <w:r>
        <w:t xml:space="preserve"> Appendix C</w:t>
      </w:r>
      <w:r w:rsidR="001A15E9">
        <w:t xml:space="preserve">, </w:t>
      </w:r>
      <w:r>
        <w:t xml:space="preserve">Revisions to the </w:t>
      </w:r>
      <w:r w:rsidRPr="00DD3A27">
        <w:rPr>
          <w:i/>
        </w:rPr>
        <w:t>Pro Fo</w:t>
      </w:r>
      <w:r>
        <w:rPr>
          <w:i/>
        </w:rPr>
        <w:t>r</w:t>
      </w:r>
      <w:r w:rsidRPr="00DD3A27">
        <w:rPr>
          <w:i/>
        </w:rPr>
        <w:t>ma</w:t>
      </w:r>
      <w:r>
        <w:t xml:space="preserve"> SGIP</w:t>
      </w:r>
      <w:r w:rsidR="001A15E9">
        <w:t>,</w:t>
      </w:r>
      <w:r>
        <w:t xml:space="preserve"> should read</w:t>
      </w:r>
      <w:r w:rsidR="005E7051">
        <w:t>,</w:t>
      </w:r>
      <w:r w:rsidRPr="00DD3A27">
        <w:t xml:space="preserve"> </w:t>
      </w:r>
    </w:p>
    <w:p w:rsidR="005E7051" w:rsidRDefault="005E7051" w:rsidP="005E7051">
      <w:pPr>
        <w:ind w:left="720"/>
      </w:pPr>
    </w:p>
    <w:p w:rsidR="00DD3A27" w:rsidRDefault="00DD3A27" w:rsidP="005E7051">
      <w:pPr>
        <w:ind w:left="720"/>
      </w:pPr>
      <w:r>
        <w:t>“</w:t>
      </w:r>
      <w:r w:rsidRPr="00C632CA">
        <w:rPr>
          <w:u w:val="single"/>
        </w:rPr>
        <w:t>However, Fast Track eligibility is distinct from the Fast Track Process itself, and eligibility does not imply or indicate that a Small Generating Facility will pass the Fast Track screens in section 2.2.1 below or the Supplemental Review screens in section 2.4.4 below.</w:t>
      </w:r>
      <w:r>
        <w:t>”</w:t>
      </w:r>
    </w:p>
    <w:p w:rsidR="00DD3A27" w:rsidRDefault="00DD3A27" w:rsidP="00DD3A27">
      <w:pPr>
        <w:ind w:left="720"/>
      </w:pPr>
    </w:p>
    <w:p w:rsidR="00616C15" w:rsidRDefault="00794601" w:rsidP="00243805">
      <w:pPr>
        <w:numPr>
          <w:ilvl w:val="0"/>
          <w:numId w:val="2"/>
        </w:numPr>
        <w:ind w:hanging="720"/>
      </w:pPr>
      <w:r>
        <w:t>The table in section 2.2.1.6</w:t>
      </w:r>
      <w:r w:rsidRPr="00794601">
        <w:t xml:space="preserve"> </w:t>
      </w:r>
      <w:r>
        <w:t>of Appendix C</w:t>
      </w:r>
      <w:r w:rsidR="001A15E9">
        <w:t>,</w:t>
      </w:r>
      <w:r>
        <w:t xml:space="preserve"> Revisions to the </w:t>
      </w:r>
      <w:r w:rsidRPr="00DD3A27">
        <w:rPr>
          <w:i/>
        </w:rPr>
        <w:t>Pro Fo</w:t>
      </w:r>
      <w:r>
        <w:rPr>
          <w:i/>
        </w:rPr>
        <w:t>r</w:t>
      </w:r>
      <w:r w:rsidRPr="00DD3A27">
        <w:rPr>
          <w:i/>
        </w:rPr>
        <w:t>ma</w:t>
      </w:r>
      <w:r>
        <w:t xml:space="preserve"> SGIP</w:t>
      </w:r>
      <w:r w:rsidR="001A15E9">
        <w:t>,</w:t>
      </w:r>
      <w:r>
        <w:t xml:space="preserve"> should </w:t>
      </w:r>
      <w:r w:rsidR="00F80ADB">
        <w:t>read</w:t>
      </w:r>
      <w:r>
        <w:t xml:space="preserve"> as follows:</w:t>
      </w:r>
    </w:p>
    <w:p w:rsidR="00794601" w:rsidRDefault="00794601" w:rsidP="00794601">
      <w:pPr>
        <w:pStyle w:val="ListParagraph"/>
      </w:pPr>
    </w:p>
    <w:tbl>
      <w:tblPr>
        <w:tblW w:w="0" w:type="auto"/>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2"/>
        <w:gridCol w:w="2952"/>
        <w:gridCol w:w="2952"/>
      </w:tblGrid>
      <w:tr w:rsidR="00794601" w:rsidRPr="00794601" w:rsidTr="00794601">
        <w:tc>
          <w:tcPr>
            <w:tcW w:w="2952" w:type="dxa"/>
          </w:tcPr>
          <w:p w:rsidR="00794601" w:rsidRPr="00794601" w:rsidRDefault="00794601" w:rsidP="00794601">
            <w:pPr>
              <w:rPr>
                <w:b/>
                <w:sz w:val="24"/>
                <w:szCs w:val="20"/>
              </w:rPr>
            </w:pPr>
            <w:r w:rsidRPr="00794601">
              <w:rPr>
                <w:b/>
                <w:sz w:val="24"/>
                <w:szCs w:val="20"/>
              </w:rPr>
              <w:t>Primary Distribution Line Type</w:t>
            </w:r>
          </w:p>
        </w:tc>
        <w:tc>
          <w:tcPr>
            <w:tcW w:w="2952" w:type="dxa"/>
          </w:tcPr>
          <w:p w:rsidR="00794601" w:rsidRPr="00794601" w:rsidRDefault="00794601" w:rsidP="00794601">
            <w:pPr>
              <w:rPr>
                <w:b/>
                <w:sz w:val="24"/>
                <w:szCs w:val="20"/>
              </w:rPr>
            </w:pPr>
            <w:r w:rsidRPr="00794601">
              <w:rPr>
                <w:b/>
                <w:sz w:val="24"/>
                <w:szCs w:val="20"/>
              </w:rPr>
              <w:t>Type of Interconnection to Primary Distribution Line</w:t>
            </w:r>
          </w:p>
        </w:tc>
        <w:tc>
          <w:tcPr>
            <w:tcW w:w="2952" w:type="dxa"/>
          </w:tcPr>
          <w:p w:rsidR="00794601" w:rsidRPr="00794601" w:rsidRDefault="00794601" w:rsidP="00794601">
            <w:pPr>
              <w:rPr>
                <w:b/>
                <w:sz w:val="24"/>
                <w:szCs w:val="20"/>
              </w:rPr>
            </w:pPr>
            <w:r w:rsidRPr="00794601">
              <w:rPr>
                <w:b/>
                <w:sz w:val="24"/>
                <w:szCs w:val="20"/>
              </w:rPr>
              <w:t>Result/Criteria</w:t>
            </w:r>
          </w:p>
        </w:tc>
      </w:tr>
      <w:tr w:rsidR="00794601" w:rsidRPr="00794601" w:rsidTr="00794601">
        <w:tc>
          <w:tcPr>
            <w:tcW w:w="2952" w:type="dxa"/>
          </w:tcPr>
          <w:p w:rsidR="00794601" w:rsidRPr="00794601" w:rsidRDefault="00794601" w:rsidP="00794601">
            <w:pPr>
              <w:rPr>
                <w:sz w:val="24"/>
                <w:szCs w:val="20"/>
              </w:rPr>
            </w:pPr>
            <w:r w:rsidRPr="00794601">
              <w:rPr>
                <w:sz w:val="24"/>
                <w:szCs w:val="20"/>
              </w:rPr>
              <w:t>Three-phase, three wire</w:t>
            </w:r>
          </w:p>
        </w:tc>
        <w:tc>
          <w:tcPr>
            <w:tcW w:w="2952" w:type="dxa"/>
          </w:tcPr>
          <w:p w:rsidR="00794601" w:rsidRPr="00794601" w:rsidRDefault="00794601" w:rsidP="00794601">
            <w:pPr>
              <w:rPr>
                <w:sz w:val="24"/>
                <w:szCs w:val="20"/>
              </w:rPr>
            </w:pPr>
            <w:r w:rsidRPr="00794601">
              <w:rPr>
                <w:sz w:val="24"/>
                <w:szCs w:val="20"/>
              </w:rPr>
              <w:t>3-phase or single phase, phase-to-phase</w:t>
            </w:r>
          </w:p>
        </w:tc>
        <w:tc>
          <w:tcPr>
            <w:tcW w:w="2952" w:type="dxa"/>
          </w:tcPr>
          <w:p w:rsidR="00794601" w:rsidRPr="00794601" w:rsidRDefault="00794601" w:rsidP="00794601">
            <w:pPr>
              <w:rPr>
                <w:sz w:val="24"/>
                <w:szCs w:val="20"/>
              </w:rPr>
            </w:pPr>
            <w:r w:rsidRPr="00794601">
              <w:rPr>
                <w:sz w:val="24"/>
                <w:szCs w:val="20"/>
              </w:rPr>
              <w:t>Pass screen</w:t>
            </w:r>
          </w:p>
        </w:tc>
      </w:tr>
      <w:tr w:rsidR="00794601" w:rsidRPr="00794601" w:rsidTr="00794601">
        <w:tc>
          <w:tcPr>
            <w:tcW w:w="2952" w:type="dxa"/>
          </w:tcPr>
          <w:p w:rsidR="00794601" w:rsidRPr="00794601" w:rsidRDefault="00794601" w:rsidP="00794601">
            <w:pPr>
              <w:rPr>
                <w:sz w:val="24"/>
                <w:szCs w:val="20"/>
              </w:rPr>
            </w:pPr>
            <w:r w:rsidRPr="00794601">
              <w:rPr>
                <w:sz w:val="24"/>
                <w:szCs w:val="20"/>
              </w:rPr>
              <w:t>Three-phase, four wire</w:t>
            </w:r>
          </w:p>
        </w:tc>
        <w:tc>
          <w:tcPr>
            <w:tcW w:w="2952" w:type="dxa"/>
          </w:tcPr>
          <w:p w:rsidR="00794601" w:rsidRPr="00794601" w:rsidRDefault="00794601" w:rsidP="00794601">
            <w:pPr>
              <w:rPr>
                <w:sz w:val="24"/>
                <w:szCs w:val="20"/>
              </w:rPr>
            </w:pPr>
            <w:r w:rsidRPr="00794601">
              <w:rPr>
                <w:sz w:val="24"/>
                <w:szCs w:val="20"/>
              </w:rPr>
              <w:t>Effectively-grounded 3 phase or Single-phase, line-to-neutral</w:t>
            </w:r>
          </w:p>
        </w:tc>
        <w:tc>
          <w:tcPr>
            <w:tcW w:w="2952" w:type="dxa"/>
          </w:tcPr>
          <w:p w:rsidR="00794601" w:rsidRPr="00794601" w:rsidRDefault="00794601" w:rsidP="00794601">
            <w:pPr>
              <w:rPr>
                <w:sz w:val="24"/>
                <w:szCs w:val="20"/>
              </w:rPr>
            </w:pPr>
            <w:r w:rsidRPr="00794601">
              <w:rPr>
                <w:sz w:val="24"/>
                <w:szCs w:val="20"/>
              </w:rPr>
              <w:t>Pass screen</w:t>
            </w:r>
          </w:p>
        </w:tc>
      </w:tr>
    </w:tbl>
    <w:p w:rsidR="00794601" w:rsidRDefault="00794601" w:rsidP="00794601"/>
    <w:p w:rsidR="00C632CA" w:rsidRDefault="00C632CA" w:rsidP="00C632CA">
      <w:pPr>
        <w:ind w:left="720"/>
      </w:pPr>
    </w:p>
    <w:p w:rsidR="005E7051" w:rsidRPr="005E7051" w:rsidRDefault="00F711CB" w:rsidP="00DB268B">
      <w:pPr>
        <w:numPr>
          <w:ilvl w:val="0"/>
          <w:numId w:val="2"/>
        </w:numPr>
        <w:ind w:hanging="720"/>
        <w:rPr>
          <w:rFonts w:eastAsia="Calibri"/>
          <w:szCs w:val="26"/>
          <w:u w:val="single"/>
        </w:rPr>
      </w:pPr>
      <w:r>
        <w:t>The first sentence of s</w:t>
      </w:r>
      <w:r w:rsidR="00C632CA">
        <w:t>ection 2.4.4.1.1</w:t>
      </w:r>
      <w:r w:rsidR="00C632CA" w:rsidRPr="00794601">
        <w:t xml:space="preserve"> </w:t>
      </w:r>
      <w:r w:rsidR="00C632CA">
        <w:t>of Appendix C</w:t>
      </w:r>
      <w:r w:rsidR="001A15E9">
        <w:t xml:space="preserve">, </w:t>
      </w:r>
      <w:r w:rsidR="00C632CA">
        <w:t xml:space="preserve">Revisions to the </w:t>
      </w:r>
      <w:r w:rsidR="00C632CA" w:rsidRPr="00F711CB">
        <w:rPr>
          <w:i/>
        </w:rPr>
        <w:t>Pro Forma</w:t>
      </w:r>
      <w:r w:rsidR="00C632CA">
        <w:t xml:space="preserve"> SGIP</w:t>
      </w:r>
      <w:r w:rsidR="001A15E9">
        <w:t>,</w:t>
      </w:r>
      <w:r w:rsidR="00C632CA">
        <w:t xml:space="preserve"> should read</w:t>
      </w:r>
      <w:r w:rsidR="005E7051">
        <w:t>,</w:t>
      </w:r>
      <w:r w:rsidR="00C632CA">
        <w:t xml:space="preserve"> </w:t>
      </w:r>
    </w:p>
    <w:p w:rsidR="005E7051" w:rsidRDefault="005E7051" w:rsidP="005E7051">
      <w:pPr>
        <w:ind w:left="720"/>
      </w:pPr>
    </w:p>
    <w:p w:rsidR="00C632CA" w:rsidRPr="00F711CB" w:rsidRDefault="00F711CB" w:rsidP="005E7051">
      <w:pPr>
        <w:ind w:left="720"/>
        <w:rPr>
          <w:rFonts w:eastAsia="Calibri"/>
          <w:szCs w:val="26"/>
          <w:u w:val="single"/>
        </w:rPr>
      </w:pPr>
      <w:r>
        <w:t>“</w:t>
      </w:r>
      <w:r w:rsidR="00C632CA" w:rsidRPr="00F711CB">
        <w:rPr>
          <w:rFonts w:eastAsia="Calibri"/>
          <w:szCs w:val="26"/>
          <w:u w:val="single"/>
        </w:rPr>
        <w:t>The type of generation used by the proposed Small Generating Facility will be taken into account when calculating, estimating, or determining circuit or line section minimum load relevant for the application of screen 2.4.4.1.</w:t>
      </w:r>
      <w:r w:rsidRPr="00F711CB">
        <w:rPr>
          <w:rFonts w:eastAsia="Calibri"/>
          <w:szCs w:val="26"/>
        </w:rPr>
        <w:t>”</w:t>
      </w:r>
    </w:p>
    <w:p w:rsidR="00E9717B" w:rsidRDefault="00E9717B" w:rsidP="00842D39">
      <w:pPr>
        <w:spacing w:line="276" w:lineRule="auto"/>
        <w:ind w:left="2160" w:hanging="1440"/>
        <w:rPr>
          <w:rFonts w:eastAsia="Calibri"/>
          <w:szCs w:val="26"/>
          <w:u w:val="single"/>
        </w:rPr>
      </w:pPr>
    </w:p>
    <w:p w:rsidR="00E9717B" w:rsidRDefault="00E9717B" w:rsidP="00DB268B">
      <w:pPr>
        <w:numPr>
          <w:ilvl w:val="0"/>
          <w:numId w:val="2"/>
        </w:numPr>
        <w:ind w:hanging="720"/>
      </w:pPr>
      <w:r>
        <w:t>Sections 2.4.5.1, 2.4.5.2, and 2.4.5.3</w:t>
      </w:r>
      <w:r w:rsidRPr="00794601">
        <w:t xml:space="preserve"> </w:t>
      </w:r>
      <w:r>
        <w:t>of Appendix C</w:t>
      </w:r>
      <w:r w:rsidR="001A15E9">
        <w:t xml:space="preserve">, </w:t>
      </w:r>
      <w:r>
        <w:t xml:space="preserve">Revisions to the </w:t>
      </w:r>
      <w:r w:rsidRPr="00DD3A27">
        <w:rPr>
          <w:i/>
        </w:rPr>
        <w:t>Pro Fo</w:t>
      </w:r>
      <w:r>
        <w:rPr>
          <w:i/>
        </w:rPr>
        <w:t>r</w:t>
      </w:r>
      <w:r w:rsidRPr="00DD3A27">
        <w:rPr>
          <w:i/>
        </w:rPr>
        <w:t>ma</w:t>
      </w:r>
      <w:r>
        <w:t xml:space="preserve"> SGIP</w:t>
      </w:r>
      <w:r w:rsidR="001A15E9">
        <w:t>,</w:t>
      </w:r>
      <w:r>
        <w:t xml:space="preserve"> should read as follows:</w:t>
      </w:r>
    </w:p>
    <w:p w:rsidR="00E9717B" w:rsidRDefault="00E9717B" w:rsidP="00DB268B"/>
    <w:p w:rsidR="00E9717B" w:rsidRPr="00E9717B" w:rsidRDefault="001A15E9" w:rsidP="00DB268B">
      <w:pPr>
        <w:ind w:left="2160" w:hanging="1440"/>
        <w:rPr>
          <w:rFonts w:eastAsia="Calibri"/>
          <w:szCs w:val="26"/>
          <w:u w:val="single"/>
        </w:rPr>
      </w:pPr>
      <w:r w:rsidRPr="001A15E9">
        <w:rPr>
          <w:rFonts w:eastAsia="Calibri"/>
          <w:szCs w:val="26"/>
        </w:rPr>
        <w:t>“</w:t>
      </w:r>
      <w:r w:rsidR="00E9717B" w:rsidRPr="00E9717B">
        <w:rPr>
          <w:rFonts w:eastAsia="Calibri"/>
          <w:szCs w:val="26"/>
          <w:u w:val="single"/>
        </w:rPr>
        <w:t>2.4.5.1</w:t>
      </w:r>
      <w:r w:rsidR="00E9717B" w:rsidRPr="00E9717B">
        <w:rPr>
          <w:rFonts w:eastAsia="Calibri"/>
          <w:szCs w:val="26"/>
          <w:u w:val="single"/>
        </w:rPr>
        <w:tab/>
        <w:t>If the proposed interconnection passes the supplemental screens in sections 2.4.</w:t>
      </w:r>
      <w:r w:rsidR="00E9717B">
        <w:rPr>
          <w:rFonts w:eastAsia="Calibri"/>
          <w:szCs w:val="26"/>
          <w:u w:val="single"/>
        </w:rPr>
        <w:t>4</w:t>
      </w:r>
      <w:r w:rsidR="00E9717B" w:rsidRPr="00E9717B">
        <w:rPr>
          <w:rFonts w:eastAsia="Calibri"/>
          <w:szCs w:val="26"/>
          <w:u w:val="single"/>
        </w:rPr>
        <w:t>.1, 2.4.</w:t>
      </w:r>
      <w:r w:rsidR="00E9717B">
        <w:rPr>
          <w:rFonts w:eastAsia="Calibri"/>
          <w:szCs w:val="26"/>
          <w:u w:val="single"/>
        </w:rPr>
        <w:t>4</w:t>
      </w:r>
      <w:r w:rsidR="00E9717B" w:rsidRPr="00E9717B">
        <w:rPr>
          <w:rFonts w:eastAsia="Calibri"/>
          <w:szCs w:val="26"/>
          <w:u w:val="single"/>
        </w:rPr>
        <w:t>.2, and 2.4.</w:t>
      </w:r>
      <w:r w:rsidR="00E9717B">
        <w:rPr>
          <w:rFonts w:eastAsia="Calibri"/>
          <w:szCs w:val="26"/>
          <w:u w:val="single"/>
        </w:rPr>
        <w:t>4</w:t>
      </w:r>
      <w:r w:rsidR="00E9717B" w:rsidRPr="00E9717B">
        <w:rPr>
          <w:rFonts w:eastAsia="Calibri"/>
          <w:szCs w:val="26"/>
          <w:u w:val="single"/>
        </w:rPr>
        <w:t xml:space="preserve">.3 above and does not require construction of facilities by the Transmission Provider on its own system, the interconnection agreement shall be provided within ten </w:t>
      </w:r>
      <w:r w:rsidR="00E9717B" w:rsidRPr="00E9717B">
        <w:rPr>
          <w:rFonts w:eastAsia="Calibri"/>
          <w:szCs w:val="26"/>
          <w:u w:val="single"/>
        </w:rPr>
        <w:lastRenderedPageBreak/>
        <w:t xml:space="preserve">Business Days after the notification of the supplemental review results. </w:t>
      </w:r>
    </w:p>
    <w:p w:rsidR="00E9717B" w:rsidRPr="00E9717B" w:rsidRDefault="00E9717B" w:rsidP="00DB268B">
      <w:pPr>
        <w:ind w:left="1440"/>
        <w:rPr>
          <w:rFonts w:eastAsia="Calibri"/>
          <w:szCs w:val="26"/>
          <w:u w:val="single"/>
        </w:rPr>
      </w:pPr>
    </w:p>
    <w:p w:rsidR="00E9717B" w:rsidRPr="00E9717B" w:rsidRDefault="00E9717B" w:rsidP="00DB268B">
      <w:pPr>
        <w:ind w:left="2160" w:hanging="1440"/>
        <w:rPr>
          <w:rFonts w:eastAsia="Calibri"/>
          <w:szCs w:val="26"/>
          <w:u w:val="single"/>
        </w:rPr>
      </w:pPr>
      <w:r w:rsidRPr="00E9717B">
        <w:rPr>
          <w:rFonts w:eastAsia="Calibri"/>
          <w:szCs w:val="26"/>
          <w:u w:val="single"/>
        </w:rPr>
        <w:t xml:space="preserve">2.4.5.2  </w:t>
      </w:r>
      <w:r w:rsidRPr="00E9717B">
        <w:rPr>
          <w:rFonts w:eastAsia="Calibri"/>
          <w:szCs w:val="26"/>
          <w:u w:val="single"/>
        </w:rPr>
        <w:tab/>
        <w:t>If interconnection facilities or minor modifications to the Transmission Provider's system are required for the proposed interconnection to pass the supplemental screens in sections 2.4.</w:t>
      </w:r>
      <w:r>
        <w:rPr>
          <w:rFonts w:eastAsia="Calibri"/>
          <w:szCs w:val="26"/>
          <w:u w:val="single"/>
        </w:rPr>
        <w:t>4</w:t>
      </w:r>
      <w:r w:rsidRPr="00E9717B">
        <w:rPr>
          <w:rFonts w:eastAsia="Calibri"/>
          <w:szCs w:val="26"/>
          <w:u w:val="single"/>
        </w:rPr>
        <w:t>.1, 2.4.</w:t>
      </w:r>
      <w:r>
        <w:rPr>
          <w:rFonts w:eastAsia="Calibri"/>
          <w:szCs w:val="26"/>
          <w:u w:val="single"/>
        </w:rPr>
        <w:t>4</w:t>
      </w:r>
      <w:r w:rsidRPr="00E9717B">
        <w:rPr>
          <w:rFonts w:eastAsia="Calibri"/>
          <w:szCs w:val="26"/>
          <w:u w:val="single"/>
        </w:rPr>
        <w:t>.2, and 2.4.</w:t>
      </w:r>
      <w:r>
        <w:rPr>
          <w:rFonts w:eastAsia="Calibri"/>
          <w:szCs w:val="26"/>
          <w:u w:val="single"/>
        </w:rPr>
        <w:t>4</w:t>
      </w:r>
      <w:r w:rsidRPr="00E9717B">
        <w:rPr>
          <w:rFonts w:eastAsia="Calibri"/>
          <w:szCs w:val="26"/>
          <w:u w:val="single"/>
        </w:rPr>
        <w:t xml:space="preserve">.3 above, and the Interconnection Customer agrees to pay for the modifications to the Transmission Provider’s electric system, the interconnection agreement, along with a non-binding good faith estimate for the interconnection facilities and/or minor modifications, shall be provided to the Interconnection Customer within 15 Business Days after receiving written notification of the supplemental review results. </w:t>
      </w:r>
    </w:p>
    <w:p w:rsidR="00E9717B" w:rsidRPr="00E9717B" w:rsidRDefault="00E9717B" w:rsidP="00DB268B">
      <w:pPr>
        <w:ind w:left="2880" w:hanging="1440"/>
        <w:rPr>
          <w:rFonts w:eastAsia="Calibri"/>
          <w:szCs w:val="26"/>
          <w:u w:val="single"/>
        </w:rPr>
      </w:pPr>
    </w:p>
    <w:p w:rsidR="00E9717B" w:rsidRPr="001A15E9" w:rsidRDefault="00E9717B" w:rsidP="00DB268B">
      <w:pPr>
        <w:ind w:left="2160" w:hanging="1440"/>
        <w:rPr>
          <w:rFonts w:eastAsia="Calibri"/>
          <w:szCs w:val="26"/>
        </w:rPr>
      </w:pPr>
      <w:r w:rsidRPr="00E9717B">
        <w:rPr>
          <w:rFonts w:eastAsia="Calibri"/>
          <w:szCs w:val="26"/>
          <w:u w:val="single"/>
        </w:rPr>
        <w:t>2.4.5.3</w:t>
      </w:r>
      <w:r w:rsidRPr="00E9717B">
        <w:rPr>
          <w:rFonts w:eastAsia="Calibri"/>
          <w:szCs w:val="26"/>
          <w:u w:val="single"/>
        </w:rPr>
        <w:tab/>
        <w:t>If the proposed interconnection would require more than interconnection facilities or minor modifications to the Transmission Provider’s system to pass the supplemental screens in sections 2.4.</w:t>
      </w:r>
      <w:r>
        <w:rPr>
          <w:rFonts w:eastAsia="Calibri"/>
          <w:szCs w:val="26"/>
          <w:u w:val="single"/>
        </w:rPr>
        <w:t>4</w:t>
      </w:r>
      <w:r w:rsidRPr="00E9717B">
        <w:rPr>
          <w:rFonts w:eastAsia="Calibri"/>
          <w:szCs w:val="26"/>
          <w:u w:val="single"/>
        </w:rPr>
        <w:t>.1, 2.4.</w:t>
      </w:r>
      <w:r>
        <w:rPr>
          <w:rFonts w:eastAsia="Calibri"/>
          <w:szCs w:val="26"/>
          <w:u w:val="single"/>
        </w:rPr>
        <w:t>4</w:t>
      </w:r>
      <w:r w:rsidRPr="00E9717B">
        <w:rPr>
          <w:rFonts w:eastAsia="Calibri"/>
          <w:szCs w:val="26"/>
          <w:u w:val="single"/>
        </w:rPr>
        <w:t>.2, and 2.4.</w:t>
      </w:r>
      <w:r>
        <w:rPr>
          <w:rFonts w:eastAsia="Calibri"/>
          <w:szCs w:val="26"/>
          <w:u w:val="single"/>
        </w:rPr>
        <w:t>4</w:t>
      </w:r>
      <w:r w:rsidRPr="00E9717B">
        <w:rPr>
          <w:rFonts w:eastAsia="Calibri"/>
          <w:szCs w:val="26"/>
          <w:u w:val="single"/>
        </w:rPr>
        <w:t>.3 above, the Transmission Provider shall notify the Interconnection Customer, at the same time it notifies the Interconnection Customer with the supplemental review results, that the Interconnection Request shall be evaluated under the section 3 Study Process unless the Interconnection Customer withdraws its Small Generating Facility.</w:t>
      </w:r>
      <w:r w:rsidR="001A15E9">
        <w:rPr>
          <w:rFonts w:eastAsia="Calibri"/>
          <w:szCs w:val="26"/>
        </w:rPr>
        <w:t>”</w:t>
      </w:r>
    </w:p>
    <w:p w:rsidR="00E9717B" w:rsidRDefault="00E9717B" w:rsidP="00DB268B"/>
    <w:p w:rsidR="00F711CB" w:rsidRDefault="00F711CB" w:rsidP="00DB268B">
      <w:pPr>
        <w:numPr>
          <w:ilvl w:val="0"/>
          <w:numId w:val="2"/>
        </w:numPr>
        <w:ind w:hanging="720"/>
      </w:pPr>
      <w:r>
        <w:t>Section 10</w:t>
      </w:r>
      <w:r w:rsidRPr="00794601">
        <w:t xml:space="preserve"> </w:t>
      </w:r>
      <w:r>
        <w:t>of Attachment 8 (Facilities Study Agreement) to Appendix C</w:t>
      </w:r>
      <w:r w:rsidR="001A15E9">
        <w:t>,</w:t>
      </w:r>
      <w:r>
        <w:t xml:space="preserve"> Revisions to the </w:t>
      </w:r>
      <w:r w:rsidRPr="00DD3A27">
        <w:rPr>
          <w:i/>
        </w:rPr>
        <w:t>Pro Fo</w:t>
      </w:r>
      <w:r>
        <w:rPr>
          <w:i/>
        </w:rPr>
        <w:t>r</w:t>
      </w:r>
      <w:r w:rsidRPr="00DD3A27">
        <w:rPr>
          <w:i/>
        </w:rPr>
        <w:t>ma</w:t>
      </w:r>
      <w:r>
        <w:t xml:space="preserve"> SGIP</w:t>
      </w:r>
      <w:r w:rsidR="001A15E9">
        <w:t>,</w:t>
      </w:r>
      <w:r>
        <w:t xml:space="preserve"> should read as follows:</w:t>
      </w:r>
    </w:p>
    <w:p w:rsidR="00F711CB" w:rsidRPr="00F711CB" w:rsidRDefault="00F711CB" w:rsidP="00DB268B">
      <w:pPr>
        <w:rPr>
          <w:szCs w:val="26"/>
        </w:rPr>
      </w:pPr>
    </w:p>
    <w:p w:rsidR="00F711CB" w:rsidRPr="001A15E9" w:rsidRDefault="001A15E9" w:rsidP="00DB268B">
      <w:pPr>
        <w:ind w:left="1440" w:hanging="720"/>
        <w:rPr>
          <w:rFonts w:eastAsia="Calibri"/>
          <w:szCs w:val="26"/>
        </w:rPr>
      </w:pPr>
      <w:r w:rsidRPr="001A15E9">
        <w:rPr>
          <w:rFonts w:eastAsia="Calibri"/>
          <w:szCs w:val="26"/>
        </w:rPr>
        <w:t>“</w:t>
      </w:r>
      <w:r w:rsidR="00F711CB" w:rsidRPr="00F711CB">
        <w:rPr>
          <w:rFonts w:eastAsia="Calibri"/>
          <w:szCs w:val="26"/>
          <w:u w:val="single"/>
        </w:rPr>
        <w:t>10.0</w:t>
      </w:r>
      <w:r w:rsidR="00F711CB" w:rsidRPr="00F711CB">
        <w:rPr>
          <w:rFonts w:eastAsia="Calibri"/>
          <w:szCs w:val="26"/>
          <w:u w:val="single"/>
        </w:rPr>
        <w:tab/>
        <w:t>Within ten Business Days of providing a draft Interconnection Facilities Study report to Interconnection Customer, Transmission Provider and Interconnection Customer shall meet to discuss the results of the Interconnection Facilities Study.</w:t>
      </w:r>
      <w:r>
        <w:rPr>
          <w:rFonts w:eastAsia="Calibri"/>
          <w:szCs w:val="26"/>
        </w:rPr>
        <w:t>”</w:t>
      </w:r>
    </w:p>
    <w:p w:rsidR="00E9717B" w:rsidRDefault="00E9717B" w:rsidP="00842D39">
      <w:pPr>
        <w:spacing w:line="276" w:lineRule="auto"/>
        <w:ind w:left="2160" w:hanging="1440"/>
      </w:pPr>
    </w:p>
    <w:p w:rsidR="00000C16" w:rsidRDefault="00000C16" w:rsidP="0048540A">
      <w:pPr>
        <w:rPr>
          <w:szCs w:val="26"/>
        </w:rPr>
      </w:pPr>
    </w:p>
    <w:p w:rsidR="0048540A" w:rsidRDefault="0048540A" w:rsidP="0048540A"/>
    <w:p w:rsidR="0048540A" w:rsidRDefault="0048540A" w:rsidP="0048540A"/>
    <w:p w:rsidR="0048540A" w:rsidRDefault="0048540A" w:rsidP="0048540A"/>
    <w:p w:rsidR="0048540A" w:rsidRDefault="0048540A" w:rsidP="0048540A"/>
    <w:p w:rsidR="0048540A" w:rsidRPr="0048540A" w:rsidRDefault="0048540A" w:rsidP="0048540A">
      <w:pPr>
        <w:ind w:firstLine="2606"/>
        <w:jc w:val="center"/>
      </w:pPr>
      <w:r w:rsidRPr="0048540A">
        <w:t>Nathaniel J. Davis, Sr.,</w:t>
      </w:r>
    </w:p>
    <w:p w:rsidR="0048540A" w:rsidRPr="0048540A" w:rsidRDefault="0048540A" w:rsidP="0048540A">
      <w:pPr>
        <w:ind w:firstLine="2606"/>
        <w:jc w:val="center"/>
      </w:pPr>
      <w:r w:rsidRPr="0048540A">
        <w:t>Deputy Secretary.</w:t>
      </w:r>
    </w:p>
    <w:p w:rsidR="0048540A" w:rsidRDefault="0048540A" w:rsidP="0048540A"/>
    <w:sectPr w:rsidR="0048540A">
      <w:footerReference w:type="even" r:id="rId11"/>
      <w:footerReference w:type="first" r:id="rId12"/>
      <w:footnotePr>
        <w:numStart w:val="62"/>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990" w:rsidRDefault="00514990">
      <w:r>
        <w:separator/>
      </w:r>
    </w:p>
  </w:endnote>
  <w:endnote w:type="continuationSeparator" w:id="0">
    <w:p w:rsidR="00514990" w:rsidRDefault="0051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82" w:rsidRDefault="00AC5382">
    <w:pPr>
      <w:pStyle w:val="Footer"/>
      <w:jc w:val="center"/>
      <w:rPr>
        <w:color w:val="FF0000"/>
      </w:rPr>
    </w:pPr>
    <w:bookmarkStart w:id="1" w:name="aliashFooterPlain1FooterEvenPages"/>
    <w:r>
      <w:rPr>
        <w:color w:val="FF0000"/>
      </w:rPr>
      <w:t>Public</w:t>
    </w:r>
  </w:p>
  <w:bookmarkEnd w:id="1"/>
  <w:p w:rsidR="00AC5382" w:rsidRDefault="00AC5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82" w:rsidRDefault="00AC5382">
    <w:pPr>
      <w:pStyle w:val="Footer"/>
      <w:jc w:val="center"/>
      <w:rPr>
        <w:color w:val="FF0000"/>
      </w:rPr>
    </w:pPr>
    <w:bookmarkStart w:id="2" w:name="aliashFooterPlain1FooterFirstPage"/>
    <w:r>
      <w:rPr>
        <w:color w:val="FF0000"/>
      </w:rPr>
      <w:t>Public</w:t>
    </w:r>
  </w:p>
  <w:bookmarkEnd w:id="2"/>
  <w:p w:rsidR="00AC5382" w:rsidRDefault="00AC5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990" w:rsidRDefault="00514990">
      <w:r>
        <w:separator/>
      </w:r>
    </w:p>
  </w:footnote>
  <w:footnote w:type="continuationSeparator" w:id="0">
    <w:p w:rsidR="00514990" w:rsidRDefault="00514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85988"/>
    <w:multiLevelType w:val="hybridMultilevel"/>
    <w:tmpl w:val="81727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Start w:val="6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A8A"/>
    <w:rsid w:val="00000C16"/>
    <w:rsid w:val="000900EA"/>
    <w:rsid w:val="000D03C8"/>
    <w:rsid w:val="0013688D"/>
    <w:rsid w:val="001A15E9"/>
    <w:rsid w:val="001A2A35"/>
    <w:rsid w:val="001C19EB"/>
    <w:rsid w:val="00243805"/>
    <w:rsid w:val="002C4ED7"/>
    <w:rsid w:val="002C6CE2"/>
    <w:rsid w:val="002D23F7"/>
    <w:rsid w:val="00303D11"/>
    <w:rsid w:val="00422FCB"/>
    <w:rsid w:val="0048540A"/>
    <w:rsid w:val="004F5E03"/>
    <w:rsid w:val="00514990"/>
    <w:rsid w:val="00524A8A"/>
    <w:rsid w:val="00557585"/>
    <w:rsid w:val="00597723"/>
    <w:rsid w:val="005E60BE"/>
    <w:rsid w:val="005E7051"/>
    <w:rsid w:val="00616C15"/>
    <w:rsid w:val="006C00F4"/>
    <w:rsid w:val="007127B3"/>
    <w:rsid w:val="00794601"/>
    <w:rsid w:val="007A036A"/>
    <w:rsid w:val="007E1178"/>
    <w:rsid w:val="008103A0"/>
    <w:rsid w:val="00842D39"/>
    <w:rsid w:val="00894191"/>
    <w:rsid w:val="008A33EE"/>
    <w:rsid w:val="008C1792"/>
    <w:rsid w:val="00912851"/>
    <w:rsid w:val="009D1541"/>
    <w:rsid w:val="00A669B4"/>
    <w:rsid w:val="00AC5382"/>
    <w:rsid w:val="00AE61A5"/>
    <w:rsid w:val="00BA06C7"/>
    <w:rsid w:val="00BA7978"/>
    <w:rsid w:val="00BC5378"/>
    <w:rsid w:val="00C01A6F"/>
    <w:rsid w:val="00C632CA"/>
    <w:rsid w:val="00CF2558"/>
    <w:rsid w:val="00DB268B"/>
    <w:rsid w:val="00DD17BC"/>
    <w:rsid w:val="00DD3A27"/>
    <w:rsid w:val="00E80EEC"/>
    <w:rsid w:val="00E9717B"/>
    <w:rsid w:val="00F55AD5"/>
    <w:rsid w:val="00F711CB"/>
    <w:rsid w:val="00F80ADB"/>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pPr>
      <w:numPr>
        <w:numId w:val="1"/>
      </w:numPr>
    </w:pPr>
  </w:style>
  <w:style w:type="character" w:styleId="FootnoteReference">
    <w:name w:val="footnote reference"/>
    <w:aliases w:val="Style 12,fr,o,o1,fr1,o2,fr2,o3,fr3,Style 15,Style 17,Style 9,Style 18,(NECG) Footnote Reference,Style 20,Style 7,Styl,Style 8,Style 28"/>
    <w:rPr>
      <w:rFonts w:ascii="Times New Roman" w:hAnsi="Times New Roman"/>
      <w:b/>
      <w:sz w:val="26"/>
      <w:szCs w:val="26"/>
      <w:vertAlign w:val="superscript"/>
    </w:rPr>
  </w:style>
  <w:style w:type="paragraph" w:styleId="FootnoteText">
    <w:name w:val="footnote text"/>
    <w:basedOn w:val="Normal"/>
    <w:pPr>
      <w:spacing w:after="260"/>
      <w:ind w:firstLine="720"/>
    </w:pPr>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D1541"/>
    <w:rPr>
      <w:rFonts w:ascii="Tahoma" w:hAnsi="Tahoma" w:cs="Tahoma"/>
      <w:sz w:val="16"/>
      <w:szCs w:val="16"/>
    </w:rPr>
  </w:style>
  <w:style w:type="paragraph" w:styleId="ListParagraph">
    <w:name w:val="List Paragraph"/>
    <w:basedOn w:val="Normal"/>
    <w:uiPriority w:val="34"/>
    <w:qFormat/>
    <w:rsid w:val="007946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pPr>
      <w:numPr>
        <w:numId w:val="1"/>
      </w:numPr>
    </w:pPr>
  </w:style>
  <w:style w:type="character" w:styleId="FootnoteReference">
    <w:name w:val="footnote reference"/>
    <w:aliases w:val="Style 12,fr,o,o1,fr1,o2,fr2,o3,fr3,Style 15,Style 17,Style 9,Style 18,(NECG) Footnote Reference,Style 20,Style 7,Styl,Style 8,Style 28"/>
    <w:rPr>
      <w:rFonts w:ascii="Times New Roman" w:hAnsi="Times New Roman"/>
      <w:b/>
      <w:sz w:val="26"/>
      <w:szCs w:val="26"/>
      <w:vertAlign w:val="superscript"/>
    </w:rPr>
  </w:style>
  <w:style w:type="paragraph" w:styleId="FootnoteText">
    <w:name w:val="footnote text"/>
    <w:basedOn w:val="Normal"/>
    <w:pPr>
      <w:spacing w:after="260"/>
      <w:ind w:firstLine="720"/>
    </w:pPr>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D1541"/>
    <w:rPr>
      <w:rFonts w:ascii="Tahoma" w:hAnsi="Tahoma" w:cs="Tahoma"/>
      <w:sz w:val="16"/>
      <w:szCs w:val="16"/>
    </w:rPr>
  </w:style>
  <w:style w:type="paragraph" w:styleId="ListParagraph">
    <w:name w:val="List Paragraph"/>
    <w:basedOn w:val="Normal"/>
    <w:uiPriority w:val="34"/>
    <w:qFormat/>
    <w:rsid w:val="007946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48D9A68-04AA-4A77-9F33-E3957CC0879B}">
  <ds:schemaRefs>
    <ds:schemaRef ds:uri="http://schemas.microsoft.com/sharepoint/v3/contenttype/forms"/>
  </ds:schemaRefs>
</ds:datastoreItem>
</file>

<file path=customXml/itemProps2.xml><?xml version="1.0" encoding="utf-8"?>
<ds:datastoreItem xmlns:ds="http://schemas.openxmlformats.org/officeDocument/2006/customXml" ds:itemID="{209C246E-E386-4B91-997A-2AEC9FFA0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5DCA012-81D8-4B9A-AA9B-B302052DCFED}">
  <ds:schemaRefs>
    <ds:schemaRef ds:uri="http://schemas.microsoft.com/office/2006/metadata/propertie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5213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cp:lastPrinted>2014-01-15T13:57:00Z</cp:lastPrinted>
  <dcterms:created xsi:type="dcterms:W3CDTF">2014-01-17T14:46:00Z</dcterms:created>
  <dcterms:modified xsi:type="dcterms:W3CDTF">2014-01-17T14:46:00Z</dcterms:modified>
  <dc:identifier/>
  <cp:version/>
</cp:coreProperties>
</file>