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BDCE69" w14:textId="77777777" w:rsidR="00EB3E6F" w:rsidRPr="00C65030" w:rsidRDefault="00FD66F1" w:rsidP="008A5F46">
      <w:pPr>
        <w:spacing w:after="0" w:line="240" w:lineRule="auto"/>
        <w:jc w:val="center"/>
        <w:rPr>
          <w:rFonts w:ascii="Times New Roman" w:hAnsi="Times New Roman" w:cs="Times New Roman"/>
          <w:sz w:val="26"/>
          <w:szCs w:val="26"/>
        </w:rPr>
      </w:pPr>
      <w:r w:rsidRPr="00C65030">
        <w:rPr>
          <w:rFonts w:ascii="Times New Roman" w:hAnsi="Times New Roman" w:cs="Times New Roman"/>
          <w:sz w:val="26"/>
          <w:szCs w:val="26"/>
        </w:rPr>
        <w:t>Supporting Statement</w:t>
      </w:r>
    </w:p>
    <w:p w14:paraId="5ED512AC" w14:textId="63381283" w:rsidR="003414BF" w:rsidRPr="00C65030" w:rsidRDefault="00FD66F1" w:rsidP="008A5F46">
      <w:pPr>
        <w:spacing w:after="0" w:line="240" w:lineRule="auto"/>
        <w:jc w:val="center"/>
        <w:rPr>
          <w:rFonts w:ascii="Times New Roman" w:hAnsi="Times New Roman" w:cs="Times New Roman"/>
          <w:b/>
          <w:sz w:val="26"/>
          <w:szCs w:val="26"/>
        </w:rPr>
      </w:pPr>
      <w:r w:rsidRPr="00C65030">
        <w:rPr>
          <w:rFonts w:ascii="Times New Roman" w:hAnsi="Times New Roman" w:cs="Times New Roman"/>
          <w:b/>
          <w:sz w:val="26"/>
          <w:szCs w:val="26"/>
        </w:rPr>
        <w:t>FERC-</w:t>
      </w:r>
      <w:r w:rsidR="00A469D6" w:rsidRPr="00C65030">
        <w:rPr>
          <w:rFonts w:ascii="Times New Roman" w:hAnsi="Times New Roman" w:cs="Times New Roman"/>
          <w:b/>
          <w:sz w:val="26"/>
          <w:szCs w:val="26"/>
        </w:rPr>
        <w:t>923</w:t>
      </w:r>
      <w:r w:rsidRPr="00C65030">
        <w:rPr>
          <w:rFonts w:ascii="Times New Roman" w:hAnsi="Times New Roman" w:cs="Times New Roman"/>
          <w:b/>
          <w:sz w:val="26"/>
          <w:szCs w:val="26"/>
        </w:rPr>
        <w:t xml:space="preserve"> </w:t>
      </w:r>
      <w:r w:rsidR="00E279E5" w:rsidRPr="00C65030">
        <w:rPr>
          <w:rFonts w:ascii="Times New Roman" w:hAnsi="Times New Roman" w:cs="Times New Roman"/>
          <w:b/>
          <w:sz w:val="26"/>
          <w:szCs w:val="26"/>
        </w:rPr>
        <w:t>(</w:t>
      </w:r>
      <w:r w:rsidR="00A469D6" w:rsidRPr="00C65030">
        <w:rPr>
          <w:rFonts w:ascii="Times New Roman" w:hAnsi="Times New Roman" w:cs="Times New Roman"/>
          <w:b/>
          <w:sz w:val="26"/>
          <w:szCs w:val="26"/>
        </w:rPr>
        <w:t xml:space="preserve">Communication of Operational Information </w:t>
      </w:r>
    </w:p>
    <w:p w14:paraId="673B138D" w14:textId="49C8300D" w:rsidR="00A469D6" w:rsidRPr="00C65030" w:rsidRDefault="00A469D6" w:rsidP="00BA35A1">
      <w:pPr>
        <w:spacing w:after="0" w:line="240" w:lineRule="auto"/>
        <w:jc w:val="center"/>
        <w:rPr>
          <w:rFonts w:ascii="Times New Roman" w:hAnsi="Times New Roman" w:cs="Times New Roman"/>
          <w:b/>
          <w:sz w:val="26"/>
          <w:szCs w:val="26"/>
        </w:rPr>
      </w:pPr>
      <w:proofErr w:type="gramStart"/>
      <w:r w:rsidRPr="00C65030">
        <w:rPr>
          <w:rFonts w:ascii="Times New Roman" w:hAnsi="Times New Roman" w:cs="Times New Roman"/>
          <w:b/>
          <w:sz w:val="26"/>
          <w:szCs w:val="26"/>
        </w:rPr>
        <w:t>between</w:t>
      </w:r>
      <w:proofErr w:type="gramEnd"/>
      <w:r w:rsidRPr="00C65030">
        <w:rPr>
          <w:rFonts w:ascii="Times New Roman" w:hAnsi="Times New Roman" w:cs="Times New Roman"/>
          <w:b/>
          <w:sz w:val="26"/>
          <w:szCs w:val="26"/>
        </w:rPr>
        <w:t xml:space="preserve"> Natural Gas Pipelines and Electric Transmission Operators</w:t>
      </w:r>
      <w:r w:rsidR="00E279E5" w:rsidRPr="00C65030">
        <w:rPr>
          <w:rFonts w:ascii="Times New Roman" w:hAnsi="Times New Roman" w:cs="Times New Roman"/>
          <w:b/>
          <w:sz w:val="26"/>
          <w:szCs w:val="26"/>
        </w:rPr>
        <w:t>)</w:t>
      </w:r>
      <w:r w:rsidR="00CB7AD2" w:rsidRPr="00C65030">
        <w:rPr>
          <w:rFonts w:ascii="Times New Roman" w:hAnsi="Times New Roman" w:cs="Times New Roman"/>
          <w:b/>
          <w:sz w:val="26"/>
          <w:szCs w:val="26"/>
        </w:rPr>
        <w:t>,</w:t>
      </w:r>
    </w:p>
    <w:p w14:paraId="36BDCE6E" w14:textId="0EA0929F" w:rsidR="00A72E7B" w:rsidRPr="00C65030" w:rsidRDefault="009761B2" w:rsidP="009761B2">
      <w:pPr>
        <w:spacing w:after="0" w:line="240" w:lineRule="auto"/>
        <w:jc w:val="center"/>
        <w:rPr>
          <w:rFonts w:ascii="Times New Roman" w:hAnsi="Times New Roman" w:cs="Times New Roman"/>
          <w:sz w:val="26"/>
          <w:szCs w:val="26"/>
        </w:rPr>
      </w:pPr>
      <w:proofErr w:type="gramStart"/>
      <w:r w:rsidRPr="00C65030">
        <w:rPr>
          <w:rFonts w:ascii="Times New Roman" w:hAnsi="Times New Roman" w:cs="Times New Roman"/>
          <w:b/>
          <w:sz w:val="26"/>
          <w:szCs w:val="26"/>
        </w:rPr>
        <w:t xml:space="preserve">Final </w:t>
      </w:r>
      <w:r w:rsidRPr="00703ECC">
        <w:rPr>
          <w:rFonts w:ascii="Times New Roman" w:hAnsi="Times New Roman" w:cs="Times New Roman"/>
          <w:b/>
          <w:sz w:val="26"/>
          <w:szCs w:val="26"/>
        </w:rPr>
        <w:t>Rule</w:t>
      </w:r>
      <w:bookmarkStart w:id="0" w:name="_Ref370714612"/>
      <w:r w:rsidRPr="00703ECC">
        <w:rPr>
          <w:rStyle w:val="FootnoteReference"/>
          <w:rFonts w:ascii="Times New Roman" w:hAnsi="Times New Roman" w:cs="Times New Roman"/>
          <w:b/>
          <w:sz w:val="26"/>
          <w:szCs w:val="26"/>
          <w:vertAlign w:val="superscript"/>
        </w:rPr>
        <w:footnoteReference w:id="1"/>
      </w:r>
      <w:bookmarkEnd w:id="0"/>
      <w:r w:rsidRPr="00703ECC">
        <w:rPr>
          <w:rFonts w:ascii="Times New Roman" w:hAnsi="Times New Roman" w:cs="Times New Roman"/>
          <w:b/>
          <w:sz w:val="26"/>
          <w:szCs w:val="26"/>
        </w:rPr>
        <w:t xml:space="preserve">, issued </w:t>
      </w:r>
      <w:r w:rsidR="00703ECC" w:rsidRPr="00703ECC">
        <w:rPr>
          <w:rFonts w:ascii="Times New Roman" w:hAnsi="Times New Roman" w:cs="Times New Roman"/>
          <w:b/>
          <w:sz w:val="26"/>
          <w:szCs w:val="26"/>
        </w:rPr>
        <w:t>11</w:t>
      </w:r>
      <w:r w:rsidRPr="00703ECC">
        <w:rPr>
          <w:rFonts w:ascii="Times New Roman" w:hAnsi="Times New Roman" w:cs="Times New Roman"/>
          <w:b/>
          <w:sz w:val="26"/>
          <w:szCs w:val="26"/>
        </w:rPr>
        <w:t>/</w:t>
      </w:r>
      <w:r w:rsidR="00703ECC" w:rsidRPr="00703ECC">
        <w:rPr>
          <w:rFonts w:ascii="Times New Roman" w:hAnsi="Times New Roman" w:cs="Times New Roman"/>
          <w:b/>
          <w:sz w:val="26"/>
          <w:szCs w:val="26"/>
        </w:rPr>
        <w:t>15/</w:t>
      </w:r>
      <w:r w:rsidRPr="00703ECC">
        <w:rPr>
          <w:rFonts w:ascii="Times New Roman" w:hAnsi="Times New Roman" w:cs="Times New Roman"/>
          <w:b/>
          <w:sz w:val="26"/>
          <w:szCs w:val="26"/>
        </w:rPr>
        <w:t xml:space="preserve">2013, </w:t>
      </w:r>
      <w:r w:rsidR="00CB7AD2" w:rsidRPr="00703ECC">
        <w:rPr>
          <w:rFonts w:ascii="Times New Roman" w:hAnsi="Times New Roman" w:cs="Times New Roman"/>
          <w:b/>
          <w:sz w:val="26"/>
          <w:szCs w:val="26"/>
        </w:rPr>
        <w:t>in</w:t>
      </w:r>
      <w:r w:rsidR="00CB7AD2" w:rsidRPr="00C65030">
        <w:rPr>
          <w:rFonts w:ascii="Times New Roman" w:hAnsi="Times New Roman" w:cs="Times New Roman"/>
          <w:b/>
          <w:sz w:val="26"/>
          <w:szCs w:val="26"/>
        </w:rPr>
        <w:t xml:space="preserve"> </w:t>
      </w:r>
      <w:r w:rsidR="005A5936" w:rsidRPr="00C65030">
        <w:rPr>
          <w:rFonts w:ascii="Times New Roman" w:hAnsi="Times New Roman" w:cs="Times New Roman"/>
          <w:b/>
          <w:sz w:val="26"/>
          <w:szCs w:val="26"/>
        </w:rPr>
        <w:t>Docket No.</w:t>
      </w:r>
      <w:proofErr w:type="gramEnd"/>
      <w:r w:rsidR="005A5936" w:rsidRPr="00C65030">
        <w:rPr>
          <w:rFonts w:ascii="Times New Roman" w:hAnsi="Times New Roman" w:cs="Times New Roman"/>
          <w:b/>
          <w:sz w:val="26"/>
          <w:szCs w:val="26"/>
        </w:rPr>
        <w:t xml:space="preserve"> </w:t>
      </w:r>
      <w:r w:rsidR="00CB7AD2" w:rsidRPr="00C65030">
        <w:rPr>
          <w:rFonts w:ascii="Times New Roman" w:hAnsi="Times New Roman" w:cs="Times New Roman"/>
          <w:b/>
          <w:sz w:val="26"/>
          <w:szCs w:val="26"/>
        </w:rPr>
        <w:t>RM13-17</w:t>
      </w:r>
      <w:r w:rsidRPr="00C65030">
        <w:rPr>
          <w:rFonts w:ascii="Times New Roman" w:hAnsi="Times New Roman" w:cs="Times New Roman"/>
          <w:b/>
          <w:sz w:val="26"/>
          <w:szCs w:val="26"/>
        </w:rPr>
        <w:t>-000</w:t>
      </w:r>
    </w:p>
    <w:p w14:paraId="2FBA8F0A" w14:textId="77777777" w:rsidR="00DC6E49" w:rsidRPr="00C65030" w:rsidRDefault="00DC6E49" w:rsidP="008A5F46">
      <w:pPr>
        <w:spacing w:after="0" w:line="240" w:lineRule="auto"/>
        <w:rPr>
          <w:rFonts w:ascii="Times New Roman" w:hAnsi="Times New Roman" w:cs="Times New Roman"/>
          <w:sz w:val="26"/>
          <w:szCs w:val="26"/>
        </w:rPr>
      </w:pPr>
    </w:p>
    <w:p w14:paraId="36BDCE6F" w14:textId="68575BC7" w:rsidR="0002242D" w:rsidRPr="00C65030" w:rsidRDefault="000B0027" w:rsidP="008A5F46">
      <w:p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Background</w:t>
      </w:r>
    </w:p>
    <w:p w14:paraId="69951ADA" w14:textId="77777777" w:rsidR="00E21459" w:rsidRDefault="00E21459" w:rsidP="001F54AF">
      <w:pPr>
        <w:spacing w:after="0" w:line="240" w:lineRule="auto"/>
        <w:rPr>
          <w:rFonts w:ascii="Times New Roman" w:hAnsi="Times New Roman" w:cs="Times New Roman"/>
          <w:sz w:val="26"/>
          <w:szCs w:val="26"/>
        </w:rPr>
      </w:pPr>
    </w:p>
    <w:p w14:paraId="26B6DF25" w14:textId="51A018F4" w:rsidR="001F54AF" w:rsidRDefault="000B0027" w:rsidP="001F54AF">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The Federal Energy Regulatory Commission (FERC or Commission) is revis</w:t>
      </w:r>
      <w:r w:rsidR="00FF70A8" w:rsidRPr="00C65030">
        <w:rPr>
          <w:rFonts w:ascii="Times New Roman" w:hAnsi="Times New Roman" w:cs="Times New Roman"/>
          <w:sz w:val="26"/>
          <w:szCs w:val="26"/>
        </w:rPr>
        <w:t>ing</w:t>
      </w:r>
      <w:r w:rsidRPr="00C65030">
        <w:rPr>
          <w:rFonts w:ascii="Times New Roman" w:hAnsi="Times New Roman" w:cs="Times New Roman"/>
          <w:sz w:val="26"/>
          <w:szCs w:val="26"/>
        </w:rPr>
        <w:t xml:space="preserve"> its regulations </w:t>
      </w:r>
      <w:r w:rsidR="0029028C" w:rsidRPr="00C65030">
        <w:rPr>
          <w:rFonts w:ascii="Times New Roman" w:hAnsi="Times New Roman" w:cs="Times New Roman"/>
          <w:sz w:val="26"/>
          <w:szCs w:val="26"/>
        </w:rPr>
        <w:t xml:space="preserve">(at </w:t>
      </w:r>
      <w:r w:rsidR="00B50B00">
        <w:rPr>
          <w:rFonts w:ascii="Times New Roman" w:hAnsi="Times New Roman" w:cs="Times New Roman"/>
          <w:sz w:val="26"/>
          <w:szCs w:val="26"/>
        </w:rPr>
        <w:t>new</w:t>
      </w:r>
      <w:r w:rsidR="00B50B00" w:rsidRPr="00C65030">
        <w:rPr>
          <w:rFonts w:ascii="Times New Roman" w:hAnsi="Times New Roman" w:cs="Times New Roman"/>
          <w:sz w:val="26"/>
          <w:szCs w:val="26"/>
        </w:rPr>
        <w:t xml:space="preserve"> </w:t>
      </w:r>
      <w:r w:rsidR="0029028C" w:rsidRPr="00C65030">
        <w:rPr>
          <w:rFonts w:ascii="Times New Roman" w:hAnsi="Times New Roman" w:cs="Times New Roman"/>
          <w:sz w:val="26"/>
          <w:szCs w:val="26"/>
        </w:rPr>
        <w:t>18CFR</w:t>
      </w:r>
      <w:r w:rsidR="0023336D">
        <w:rPr>
          <w:rFonts w:ascii="Times New Roman" w:hAnsi="Times New Roman" w:cs="Times New Roman"/>
          <w:sz w:val="26"/>
          <w:szCs w:val="26"/>
        </w:rPr>
        <w:t xml:space="preserve"> </w:t>
      </w:r>
      <w:r w:rsidR="0029028C" w:rsidRPr="00C65030">
        <w:rPr>
          <w:rFonts w:ascii="Times New Roman" w:hAnsi="Times New Roman" w:cs="Times New Roman"/>
          <w:sz w:val="26"/>
          <w:szCs w:val="26"/>
        </w:rPr>
        <w:t>38.2</w:t>
      </w:r>
      <w:r w:rsidR="004C5A7C">
        <w:rPr>
          <w:rFonts w:ascii="Times New Roman" w:hAnsi="Times New Roman" w:cs="Times New Roman"/>
          <w:sz w:val="26"/>
          <w:szCs w:val="26"/>
        </w:rPr>
        <w:t xml:space="preserve"> </w:t>
      </w:r>
      <w:r w:rsidR="0029028C" w:rsidRPr="00C65030">
        <w:rPr>
          <w:rFonts w:ascii="Times New Roman" w:hAnsi="Times New Roman" w:cs="Times New Roman"/>
          <w:sz w:val="26"/>
          <w:szCs w:val="26"/>
        </w:rPr>
        <w:t xml:space="preserve">and 284.12(b)(4)) </w:t>
      </w:r>
      <w:r w:rsidRPr="00C65030">
        <w:rPr>
          <w:rFonts w:ascii="Times New Roman" w:hAnsi="Times New Roman" w:cs="Times New Roman"/>
          <w:sz w:val="26"/>
          <w:szCs w:val="26"/>
        </w:rPr>
        <w:t xml:space="preserve">to provide explicit authority to interstate natural gas pipelines and public utilities that own, operate, or control facilities used for the transmission of electric energy in interstate commerce to share non-public, operational information with each other for the purpose of promoting reliable service and operational planning on either the pipeline’s </w:t>
      </w:r>
      <w:r w:rsidR="00E36E32" w:rsidRPr="00C65030">
        <w:rPr>
          <w:rFonts w:ascii="Times New Roman" w:hAnsi="Times New Roman" w:cs="Times New Roman"/>
          <w:sz w:val="26"/>
          <w:szCs w:val="26"/>
        </w:rPr>
        <w:t xml:space="preserve">or public utility’s </w:t>
      </w:r>
      <w:r w:rsidRPr="00C65030">
        <w:rPr>
          <w:rFonts w:ascii="Times New Roman" w:hAnsi="Times New Roman" w:cs="Times New Roman"/>
          <w:sz w:val="26"/>
          <w:szCs w:val="26"/>
        </w:rPr>
        <w:t>system.</w:t>
      </w:r>
      <w:r w:rsidR="002157DB" w:rsidRPr="00C65030">
        <w:rPr>
          <w:rStyle w:val="FootnoteReference"/>
          <w:rFonts w:ascii="Times New Roman" w:hAnsi="Times New Roman" w:cs="Times New Roman"/>
          <w:sz w:val="26"/>
          <w:szCs w:val="26"/>
          <w:vertAlign w:val="superscript"/>
        </w:rPr>
        <w:footnoteReference w:id="2"/>
      </w:r>
      <w:r w:rsidRPr="00C65030">
        <w:rPr>
          <w:rFonts w:ascii="Times New Roman" w:hAnsi="Times New Roman" w:cs="Times New Roman"/>
          <w:sz w:val="26"/>
          <w:szCs w:val="26"/>
        </w:rPr>
        <w:t xml:space="preserve">   </w:t>
      </w:r>
      <w:r w:rsidR="001F54AF" w:rsidRPr="00C65030">
        <w:rPr>
          <w:rFonts w:ascii="Times New Roman" w:hAnsi="Times New Roman" w:cs="Times New Roman"/>
          <w:sz w:val="26"/>
          <w:szCs w:val="26"/>
        </w:rPr>
        <w:t>Th</w:t>
      </w:r>
      <w:r w:rsidR="00A3299A">
        <w:rPr>
          <w:rFonts w:ascii="Times New Roman" w:hAnsi="Times New Roman" w:cs="Times New Roman"/>
          <w:sz w:val="26"/>
          <w:szCs w:val="26"/>
        </w:rPr>
        <w:t>at</w:t>
      </w:r>
      <w:r w:rsidR="001F54AF" w:rsidRPr="00C65030">
        <w:rPr>
          <w:rFonts w:ascii="Times New Roman" w:hAnsi="Times New Roman" w:cs="Times New Roman"/>
          <w:sz w:val="26"/>
          <w:szCs w:val="26"/>
        </w:rPr>
        <w:t xml:space="preserve"> information will not be submitted to FERC; rather the non-public</w:t>
      </w:r>
      <w:r w:rsidR="0023336D" w:rsidRPr="0023336D">
        <w:rPr>
          <w:rFonts w:ascii="Times New Roman" w:hAnsi="Times New Roman" w:cs="Times New Roman"/>
          <w:sz w:val="26"/>
          <w:szCs w:val="26"/>
        </w:rPr>
        <w:t>, operational</w:t>
      </w:r>
      <w:r w:rsidR="001F54AF" w:rsidRPr="00C65030">
        <w:rPr>
          <w:rFonts w:ascii="Times New Roman" w:hAnsi="Times New Roman" w:cs="Times New Roman"/>
          <w:sz w:val="26"/>
          <w:szCs w:val="26"/>
        </w:rPr>
        <w:t xml:space="preserve"> information will be shared voluntarily between </w:t>
      </w:r>
      <w:r w:rsidR="0023336D">
        <w:rPr>
          <w:rFonts w:ascii="Times New Roman" w:hAnsi="Times New Roman" w:cs="Times New Roman"/>
          <w:sz w:val="26"/>
          <w:szCs w:val="26"/>
        </w:rPr>
        <w:t>transmission operators</w:t>
      </w:r>
      <w:r w:rsidR="001F54AF" w:rsidRPr="00C65030">
        <w:rPr>
          <w:rFonts w:ascii="Times New Roman" w:hAnsi="Times New Roman" w:cs="Times New Roman"/>
          <w:sz w:val="26"/>
          <w:szCs w:val="26"/>
        </w:rPr>
        <w:t xml:space="preserve">.  FERC is not prescribing the content, medium, format, or frequency for the information sharing and communications; those decisions will be made by the </w:t>
      </w:r>
      <w:r w:rsidR="0023336D">
        <w:rPr>
          <w:rFonts w:ascii="Times New Roman" w:hAnsi="Times New Roman" w:cs="Times New Roman"/>
          <w:sz w:val="26"/>
          <w:szCs w:val="26"/>
        </w:rPr>
        <w:t>transmission operators</w:t>
      </w:r>
      <w:r w:rsidR="001F54AF" w:rsidRPr="00C65030">
        <w:rPr>
          <w:rFonts w:ascii="Times New Roman" w:hAnsi="Times New Roman" w:cs="Times New Roman"/>
          <w:sz w:val="26"/>
          <w:szCs w:val="26"/>
        </w:rPr>
        <w:t>, depending on their needs and the situation.</w:t>
      </w:r>
    </w:p>
    <w:p w14:paraId="51FB6B39" w14:textId="77777777" w:rsidR="00A3299A" w:rsidRDefault="00A3299A" w:rsidP="001F54AF">
      <w:pPr>
        <w:spacing w:after="0" w:line="240" w:lineRule="auto"/>
        <w:rPr>
          <w:rFonts w:ascii="Times New Roman" w:hAnsi="Times New Roman" w:cs="Times New Roman"/>
          <w:sz w:val="26"/>
          <w:szCs w:val="26"/>
        </w:rPr>
      </w:pPr>
    </w:p>
    <w:p w14:paraId="354D5647" w14:textId="45DBDEF3" w:rsidR="00A3299A" w:rsidRPr="00C65030" w:rsidRDefault="00A3299A" w:rsidP="001F54AF">
      <w:pPr>
        <w:spacing w:after="0" w:line="240" w:lineRule="auto"/>
        <w:rPr>
          <w:rFonts w:ascii="Times New Roman" w:hAnsi="Times New Roman" w:cs="Times New Roman"/>
          <w:sz w:val="26"/>
          <w:szCs w:val="26"/>
        </w:rPr>
      </w:pPr>
      <w:r>
        <w:rPr>
          <w:rFonts w:ascii="Times New Roman" w:hAnsi="Times New Roman" w:cs="Times New Roman"/>
          <w:sz w:val="26"/>
          <w:szCs w:val="26"/>
        </w:rPr>
        <w:t>In addition, FERC estimates that a total of 12 tariff filings may be submitted to FERC by a few of the electric and gas transmission operators to enable them to establish this type of communication.</w:t>
      </w:r>
    </w:p>
    <w:p w14:paraId="509B6715" w14:textId="77777777" w:rsidR="001F54AF" w:rsidRPr="00C65030" w:rsidRDefault="001F54AF" w:rsidP="008A5F46">
      <w:pPr>
        <w:spacing w:after="0" w:line="240" w:lineRule="auto"/>
        <w:rPr>
          <w:rFonts w:ascii="Times New Roman" w:hAnsi="Times New Roman" w:cs="Times New Roman"/>
          <w:sz w:val="26"/>
          <w:szCs w:val="26"/>
        </w:rPr>
      </w:pPr>
    </w:p>
    <w:p w14:paraId="227D9A33" w14:textId="09438546" w:rsidR="00B50B00" w:rsidRDefault="002157DB" w:rsidP="00B2525C">
      <w:pPr>
        <w:pStyle w:val="FERCparanumber"/>
        <w:numPr>
          <w:ilvl w:val="0"/>
          <w:numId w:val="0"/>
        </w:numPr>
        <w:spacing w:line="240" w:lineRule="auto"/>
        <w:rPr>
          <w:szCs w:val="26"/>
        </w:rPr>
      </w:pPr>
      <w:r w:rsidRPr="00C65030">
        <w:rPr>
          <w:szCs w:val="26"/>
        </w:rPr>
        <w:t xml:space="preserve">This </w:t>
      </w:r>
      <w:r w:rsidR="007B3326" w:rsidRPr="00C65030">
        <w:rPr>
          <w:szCs w:val="26"/>
        </w:rPr>
        <w:t>final rule</w:t>
      </w:r>
      <w:r w:rsidRPr="00C65030">
        <w:rPr>
          <w:szCs w:val="26"/>
        </w:rPr>
        <w:t xml:space="preserve"> will help </w:t>
      </w:r>
      <w:r w:rsidR="00276278">
        <w:rPr>
          <w:szCs w:val="26"/>
        </w:rPr>
        <w:t>maintain</w:t>
      </w:r>
      <w:r w:rsidRPr="00C65030">
        <w:rPr>
          <w:szCs w:val="26"/>
        </w:rPr>
        <w:t xml:space="preserve"> the reliability of </w:t>
      </w:r>
      <w:r w:rsidR="00276278">
        <w:rPr>
          <w:szCs w:val="26"/>
        </w:rPr>
        <w:t xml:space="preserve">interstate </w:t>
      </w:r>
      <w:r w:rsidR="0072049B" w:rsidRPr="00C65030">
        <w:rPr>
          <w:szCs w:val="26"/>
        </w:rPr>
        <w:t xml:space="preserve">natural gas </w:t>
      </w:r>
      <w:r w:rsidRPr="00C65030">
        <w:rPr>
          <w:szCs w:val="26"/>
        </w:rPr>
        <w:t xml:space="preserve">pipeline and public utility transmission service by permitting transmission operators to share the information that they deem necessary </w:t>
      </w:r>
      <w:r w:rsidR="0072049B" w:rsidRPr="00C65030">
        <w:rPr>
          <w:szCs w:val="26"/>
        </w:rPr>
        <w:t xml:space="preserve">with each other </w:t>
      </w:r>
      <w:r w:rsidRPr="00C65030">
        <w:rPr>
          <w:szCs w:val="26"/>
        </w:rPr>
        <w:t>to promote the reliability and integrity of their systems.</w:t>
      </w:r>
      <w:r w:rsidR="00151695">
        <w:rPr>
          <w:szCs w:val="26"/>
        </w:rPr>
        <w:t xml:space="preserve"> </w:t>
      </w:r>
    </w:p>
    <w:p w14:paraId="194CC1F1" w14:textId="77777777" w:rsidR="00B2525C" w:rsidRDefault="00B2525C" w:rsidP="00B2525C">
      <w:pPr>
        <w:pStyle w:val="FERCparanumber"/>
        <w:numPr>
          <w:ilvl w:val="0"/>
          <w:numId w:val="0"/>
        </w:numPr>
        <w:spacing w:line="240" w:lineRule="auto"/>
        <w:rPr>
          <w:szCs w:val="26"/>
        </w:rPr>
      </w:pPr>
    </w:p>
    <w:p w14:paraId="2CB6CFB1" w14:textId="77777777" w:rsidR="00B50B00" w:rsidRDefault="00151695" w:rsidP="00B2525C">
      <w:pPr>
        <w:pStyle w:val="FERCparanumber"/>
        <w:numPr>
          <w:ilvl w:val="0"/>
          <w:numId w:val="0"/>
        </w:numPr>
        <w:spacing w:line="240" w:lineRule="auto"/>
      </w:pPr>
      <w:r>
        <w:t>Since</w:t>
      </w:r>
      <w:r w:rsidRPr="00332BFC">
        <w:t xml:space="preserve"> February 2012, the Commission </w:t>
      </w:r>
      <w:r>
        <w:t>has requested</w:t>
      </w:r>
      <w:r w:rsidRPr="00332BFC">
        <w:t xml:space="preserve"> comment and conducted multiple technical conferences on various aspects of gas-electric interdependence and coordination in order to better understand the interface between the electric and natural gas pipeline industries and identify areas for improved coordination.</w:t>
      </w:r>
      <w:r>
        <w:t xml:space="preserve">  On December 7, 2012, the Commission issued a Notice of Request for Comments and Technical Conference </w:t>
      </w:r>
      <w:r>
        <w:lastRenderedPageBreak/>
        <w:t>regarding information sharing and communication issues between the natural gas and electricity industries.</w:t>
      </w:r>
      <w:r w:rsidRPr="00B2525C">
        <w:rPr>
          <w:rStyle w:val="FootnoteReference"/>
          <w:vertAlign w:val="superscript"/>
        </w:rPr>
        <w:footnoteReference w:id="3"/>
      </w:r>
      <w:r w:rsidRPr="00B2525C">
        <w:rPr>
          <w:vertAlign w:val="superscript"/>
        </w:rPr>
        <w:t xml:space="preserve"> </w:t>
      </w:r>
      <w:r>
        <w:t xml:space="preserve"> </w:t>
      </w:r>
      <w:r w:rsidRPr="00332BFC">
        <w:t>In response, natural gas and electric industry participants described a variety of actions that are currently being taken to improve communications and information sharing between the two industries.  While several entities acknowledged that system reliability and contingency planning could be further enhanced by the sharing of non-public, operational information directly between transmission operators, several transmission operators pointed out that there is general reluctance to share such information because of concerns that doing so could be a violation of current laws, regulations or tariffs, including the Commission’s prohibition on undue discrimination</w:t>
      </w:r>
      <w:r>
        <w:t>.</w:t>
      </w:r>
      <w:r w:rsidRPr="00332BFC">
        <w:t xml:space="preserve">  Accordingly, multiple industry participants requested that, in order to facilitate the exchange of information between transmission operators, the Commission should more clearly identify the types of operational information that may be shared between transmission operators and clarify that the sharing of such information does not violate the prohibition against undue discrimination.  </w:t>
      </w:r>
    </w:p>
    <w:p w14:paraId="7E14F4FA" w14:textId="77777777" w:rsidR="00B2525C" w:rsidRDefault="00B2525C" w:rsidP="00B2525C">
      <w:pPr>
        <w:pStyle w:val="FERCparanumber"/>
        <w:numPr>
          <w:ilvl w:val="0"/>
          <w:numId w:val="0"/>
        </w:numPr>
        <w:spacing w:line="240" w:lineRule="auto"/>
      </w:pPr>
    </w:p>
    <w:p w14:paraId="5E7845F1" w14:textId="435B6A0B" w:rsidR="00D66253" w:rsidRPr="00332BFC" w:rsidRDefault="00276278" w:rsidP="00B2525C">
      <w:pPr>
        <w:pStyle w:val="FERCparanumber"/>
        <w:numPr>
          <w:ilvl w:val="0"/>
          <w:numId w:val="0"/>
        </w:numPr>
        <w:spacing w:line="240" w:lineRule="auto"/>
      </w:pPr>
      <w:r>
        <w:t>O</w:t>
      </w:r>
      <w:r w:rsidRPr="008F3A4F">
        <w:t xml:space="preserve">n </w:t>
      </w:r>
      <w:r>
        <w:t>July 18, 2013</w:t>
      </w:r>
      <w:r w:rsidRPr="008F3A4F">
        <w:t>, the Commission</w:t>
      </w:r>
      <w:r>
        <w:t xml:space="preserve"> issued the NOPR and, in response, t</w:t>
      </w:r>
      <w:r w:rsidRPr="00276278">
        <w:t>hirty-three parties fi</w:t>
      </w:r>
      <w:r>
        <w:t>led comments.</w:t>
      </w:r>
      <w:r w:rsidRPr="00276278">
        <w:t xml:space="preserve">  Of these, 30 supported or did not oppose the NOPR and three opposed it.  In general, most commenters support the proposed rule to help promote the reliability and efficiency of the natural gas and electric systems by eliminating legal uncertainty regarding the ability of interstate natural gas pipelines and electric transmission operators to exchange non-public, operational information.</w:t>
      </w:r>
      <w:r w:rsidR="00D66253">
        <w:t xml:space="preserve">  Some commenters, particularly from the New England region</w:t>
      </w:r>
      <w:r w:rsidR="003C3D31">
        <w:t>,</w:t>
      </w:r>
      <w:r w:rsidR="00D66253">
        <w:t xml:space="preserve"> expressed urgency in the Commission’s issuance of a final rule adopting the proposed regulations.  For example, in filed comments</w:t>
      </w:r>
      <w:r w:rsidR="00B50B00">
        <w:t>,</w:t>
      </w:r>
      <w:r w:rsidR="00D66253">
        <w:t xml:space="preserve"> the </w:t>
      </w:r>
      <w:r w:rsidR="00D66253" w:rsidRPr="00D66253">
        <w:t>N</w:t>
      </w:r>
      <w:r w:rsidR="00D66253">
        <w:t xml:space="preserve">ew </w:t>
      </w:r>
      <w:r w:rsidR="00D66253" w:rsidRPr="00D66253">
        <w:t>E</w:t>
      </w:r>
      <w:r w:rsidR="00D66253">
        <w:t xml:space="preserve">ngland </w:t>
      </w:r>
      <w:r w:rsidR="00D66253" w:rsidRPr="00D66253">
        <w:t>S</w:t>
      </w:r>
      <w:r w:rsidR="00D66253">
        <w:t xml:space="preserve">tates Committee on </w:t>
      </w:r>
      <w:r w:rsidR="00D66253" w:rsidRPr="00D66253">
        <w:t>E</w:t>
      </w:r>
      <w:r w:rsidR="00D66253">
        <w:t>lectricity</w:t>
      </w:r>
      <w:r w:rsidR="00D66253" w:rsidRPr="00D66253">
        <w:t xml:space="preserve"> </w:t>
      </w:r>
      <w:r w:rsidR="00D66253">
        <w:t>(NESCOE) urged</w:t>
      </w:r>
      <w:r w:rsidR="00D66253" w:rsidRPr="00D66253">
        <w:t xml:space="preserve"> the adoption of a final rule before next winter.  </w:t>
      </w:r>
      <w:r w:rsidR="00D66253">
        <w:t>NESCOE suggested</w:t>
      </w:r>
      <w:r w:rsidR="00D66253" w:rsidRPr="00D66253">
        <w:t xml:space="preserve"> that the implementation of these revisions in the near-term would provide regions like New England with certainty and flexibility to put in place what has the strong potential to be an effective and low cost reliability measure.  ISO-NE also </w:t>
      </w:r>
      <w:r w:rsidR="00D66253">
        <w:t>requested</w:t>
      </w:r>
      <w:r w:rsidR="00D66253" w:rsidRPr="00D66253">
        <w:t xml:space="preserve"> that the final regulations be effective as soon as possible.  ISO-NE state</w:t>
      </w:r>
      <w:r w:rsidR="00D66253">
        <w:t>d</w:t>
      </w:r>
      <w:r w:rsidR="00D66253" w:rsidRPr="00D66253">
        <w:t xml:space="preserve"> that this will allow it to make conforming changes to its Information Policy in time for the upcoming winter, where demand for gas for home heating competes with electric generation.  </w:t>
      </w:r>
      <w:r w:rsidR="00151695" w:rsidRPr="00B2525C">
        <w:rPr>
          <w:vertAlign w:val="superscript"/>
        </w:rPr>
        <w:t xml:space="preserve"> </w:t>
      </w:r>
      <w:r w:rsidR="00151695" w:rsidRPr="00332BFC">
        <w:t xml:space="preserve">   </w:t>
      </w:r>
    </w:p>
    <w:p w14:paraId="643C1E3A" w14:textId="77777777" w:rsidR="006A23F7" w:rsidRPr="00C65030" w:rsidRDefault="006A23F7" w:rsidP="008A5F46">
      <w:pPr>
        <w:spacing w:after="0" w:line="240" w:lineRule="auto"/>
        <w:rPr>
          <w:rFonts w:ascii="Times New Roman" w:hAnsi="Times New Roman" w:cs="Times New Roman"/>
          <w:sz w:val="26"/>
          <w:szCs w:val="26"/>
        </w:rPr>
      </w:pPr>
    </w:p>
    <w:p w14:paraId="36BDCE71" w14:textId="77777777" w:rsidR="00A72E7B" w:rsidRPr="00C65030" w:rsidRDefault="00A72E7B"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CIRCUMSTANCES THAT MAKE THE COLLECTION OF INFORMATION NECESSARY</w:t>
      </w:r>
    </w:p>
    <w:p w14:paraId="526ECE2B" w14:textId="77777777" w:rsidR="00E21459" w:rsidRDefault="00E21459" w:rsidP="008A5F46">
      <w:pPr>
        <w:pStyle w:val="FERCparanumber"/>
        <w:numPr>
          <w:ilvl w:val="0"/>
          <w:numId w:val="0"/>
        </w:numPr>
        <w:spacing w:line="240" w:lineRule="auto"/>
        <w:rPr>
          <w:szCs w:val="26"/>
        </w:rPr>
      </w:pPr>
    </w:p>
    <w:p w14:paraId="25B4AF27" w14:textId="063F2F15" w:rsidR="00F00F78" w:rsidRPr="00C65030" w:rsidRDefault="00CA5FC3" w:rsidP="008A5F46">
      <w:pPr>
        <w:pStyle w:val="FERCparanumber"/>
        <w:numPr>
          <w:ilvl w:val="0"/>
          <w:numId w:val="0"/>
        </w:numPr>
        <w:spacing w:line="240" w:lineRule="auto"/>
        <w:rPr>
          <w:szCs w:val="26"/>
        </w:rPr>
      </w:pPr>
      <w:r w:rsidRPr="00C65030">
        <w:rPr>
          <w:szCs w:val="26"/>
        </w:rPr>
        <w:lastRenderedPageBreak/>
        <w:t>In recent years, reliance on natural gas as a fuel for electric generation has steadily increased.</w:t>
      </w:r>
      <w:r w:rsidR="002157DB" w:rsidRPr="00C65030">
        <w:rPr>
          <w:rStyle w:val="FootnoteReference"/>
          <w:szCs w:val="26"/>
          <w:vertAlign w:val="superscript"/>
        </w:rPr>
        <w:footnoteReference w:id="4"/>
      </w:r>
      <w:r w:rsidRPr="00C65030">
        <w:rPr>
          <w:szCs w:val="26"/>
          <w:vertAlign w:val="superscript"/>
        </w:rPr>
        <w:t xml:space="preserve">   </w:t>
      </w:r>
      <w:r w:rsidRPr="00C65030">
        <w:rPr>
          <w:szCs w:val="26"/>
        </w:rPr>
        <w:t>This trend is expected to continue into the future, resulting in greater interdependence between the natural gas and electric industries.</w:t>
      </w:r>
      <w:r w:rsidR="00684A1D" w:rsidRPr="00C65030">
        <w:rPr>
          <w:rStyle w:val="FootnoteReference"/>
          <w:szCs w:val="26"/>
          <w:vertAlign w:val="superscript"/>
        </w:rPr>
        <w:footnoteReference w:id="5"/>
      </w:r>
      <w:r w:rsidRPr="00C65030">
        <w:rPr>
          <w:szCs w:val="26"/>
        </w:rPr>
        <w:t xml:space="preserve">  Several events over the last few years, such as the Southwest Cold Weather Event,</w:t>
      </w:r>
      <w:r w:rsidR="000A1A74" w:rsidRPr="00C65030">
        <w:rPr>
          <w:rStyle w:val="FootnoteReference"/>
          <w:szCs w:val="26"/>
          <w:vertAlign w:val="superscript"/>
        </w:rPr>
        <w:footnoteReference w:id="6"/>
      </w:r>
      <w:r w:rsidRPr="00C65030">
        <w:rPr>
          <w:szCs w:val="26"/>
          <w:vertAlign w:val="superscript"/>
        </w:rPr>
        <w:t xml:space="preserve"> </w:t>
      </w:r>
      <w:r w:rsidRPr="00C65030">
        <w:rPr>
          <w:szCs w:val="26"/>
        </w:rPr>
        <w:t xml:space="preserve">demonstrated the crucial interconnection between natural gas pipelines and electric transmission operators and the need for robust communication between these industry sectors to ensure that both systems operate safely and effectively for the benefit of their customers.  </w:t>
      </w:r>
      <w:r w:rsidR="00F11F42" w:rsidRPr="00C65030">
        <w:rPr>
          <w:szCs w:val="26"/>
        </w:rPr>
        <w:t xml:space="preserve"> </w:t>
      </w:r>
    </w:p>
    <w:p w14:paraId="47DE54B3" w14:textId="77777777" w:rsidR="00F00F78" w:rsidRPr="00C65030" w:rsidRDefault="00F00F78" w:rsidP="008A5F46">
      <w:pPr>
        <w:pStyle w:val="FERCparanumber"/>
        <w:numPr>
          <w:ilvl w:val="0"/>
          <w:numId w:val="0"/>
        </w:numPr>
        <w:spacing w:line="240" w:lineRule="auto"/>
        <w:rPr>
          <w:szCs w:val="26"/>
        </w:rPr>
      </w:pPr>
    </w:p>
    <w:p w14:paraId="600352B7" w14:textId="66D151B0" w:rsidR="005C1EA8" w:rsidRPr="00C65030" w:rsidRDefault="009618EE"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As highlighted further in # 8</w:t>
      </w:r>
      <w:r w:rsidR="004C1D01" w:rsidRPr="00C65030">
        <w:rPr>
          <w:rFonts w:ascii="Times New Roman" w:hAnsi="Times New Roman" w:cs="Times New Roman"/>
          <w:sz w:val="26"/>
          <w:szCs w:val="26"/>
        </w:rPr>
        <w:t xml:space="preserve"> below, the Commission</w:t>
      </w:r>
      <w:r w:rsidR="008A2913" w:rsidRPr="00C65030">
        <w:rPr>
          <w:rFonts w:ascii="Times New Roman" w:hAnsi="Times New Roman" w:cs="Times New Roman"/>
          <w:sz w:val="26"/>
          <w:szCs w:val="26"/>
        </w:rPr>
        <w:t xml:space="preserve"> has compiled inputs from various entities to better understand the interface between the electric and natural gas pipeline industries and identify areas for improved coordination and communication</w:t>
      </w:r>
      <w:r w:rsidR="000F5F03" w:rsidRPr="00C65030">
        <w:rPr>
          <w:rFonts w:ascii="Times New Roman" w:hAnsi="Times New Roman" w:cs="Times New Roman"/>
          <w:sz w:val="26"/>
          <w:szCs w:val="26"/>
        </w:rPr>
        <w:t xml:space="preserve"> between their operators</w:t>
      </w:r>
      <w:r w:rsidR="008A2913" w:rsidRPr="00C65030">
        <w:rPr>
          <w:rFonts w:ascii="Times New Roman" w:hAnsi="Times New Roman" w:cs="Times New Roman"/>
          <w:sz w:val="26"/>
          <w:szCs w:val="26"/>
        </w:rPr>
        <w:t xml:space="preserve">. </w:t>
      </w:r>
      <w:r w:rsidR="00151B14">
        <w:rPr>
          <w:rFonts w:ascii="Times New Roman" w:hAnsi="Times New Roman" w:cs="Times New Roman"/>
          <w:sz w:val="26"/>
          <w:szCs w:val="26"/>
        </w:rPr>
        <w:t xml:space="preserve"> </w:t>
      </w:r>
      <w:r w:rsidR="008A2913" w:rsidRPr="00C65030">
        <w:rPr>
          <w:rFonts w:ascii="Times New Roman" w:hAnsi="Times New Roman" w:cs="Times New Roman"/>
          <w:sz w:val="26"/>
          <w:szCs w:val="26"/>
        </w:rPr>
        <w:t xml:space="preserve">Specifically, and </w:t>
      </w:r>
      <w:r w:rsidR="000467C1" w:rsidRPr="00C65030">
        <w:rPr>
          <w:rFonts w:ascii="Times New Roman" w:hAnsi="Times New Roman" w:cs="Times New Roman"/>
          <w:sz w:val="26"/>
          <w:szCs w:val="26"/>
        </w:rPr>
        <w:t>after</w:t>
      </w:r>
      <w:r w:rsidR="008A2913" w:rsidRPr="00C65030">
        <w:rPr>
          <w:rFonts w:ascii="Times New Roman" w:hAnsi="Times New Roman" w:cs="Times New Roman"/>
          <w:sz w:val="26"/>
          <w:szCs w:val="26"/>
        </w:rPr>
        <w:t xml:space="preserve"> several </w:t>
      </w:r>
      <w:r w:rsidR="000F5F03" w:rsidRPr="00C65030">
        <w:rPr>
          <w:rFonts w:ascii="Times New Roman" w:hAnsi="Times New Roman" w:cs="Times New Roman"/>
          <w:sz w:val="26"/>
          <w:szCs w:val="26"/>
        </w:rPr>
        <w:t xml:space="preserve">regional </w:t>
      </w:r>
      <w:r w:rsidR="00151B14">
        <w:rPr>
          <w:rFonts w:ascii="Times New Roman" w:hAnsi="Times New Roman" w:cs="Times New Roman"/>
          <w:sz w:val="26"/>
          <w:szCs w:val="26"/>
        </w:rPr>
        <w:t xml:space="preserve">and national </w:t>
      </w:r>
      <w:r w:rsidR="000F5F03" w:rsidRPr="00C65030">
        <w:rPr>
          <w:rFonts w:ascii="Times New Roman" w:hAnsi="Times New Roman" w:cs="Times New Roman"/>
          <w:sz w:val="26"/>
          <w:szCs w:val="26"/>
        </w:rPr>
        <w:t>conferences</w:t>
      </w:r>
      <w:r w:rsidR="00F77359" w:rsidRPr="00C65030">
        <w:rPr>
          <w:rFonts w:ascii="Times New Roman" w:hAnsi="Times New Roman" w:cs="Times New Roman"/>
          <w:sz w:val="26"/>
          <w:szCs w:val="26"/>
        </w:rPr>
        <w:t>, it was established that</w:t>
      </w:r>
      <w:r w:rsidR="00F11F42" w:rsidRPr="00C65030">
        <w:rPr>
          <w:rFonts w:ascii="Times New Roman" w:eastAsia="Times New Roman" w:hAnsi="Times New Roman" w:cs="Times New Roman"/>
          <w:sz w:val="26"/>
          <w:szCs w:val="26"/>
        </w:rPr>
        <w:t xml:space="preserve"> further sharing of non-public, operational information between transmission operators could enhance system reliability and contingency planning in both industries.  </w:t>
      </w:r>
      <w:r w:rsidR="00F77359" w:rsidRPr="00C65030">
        <w:rPr>
          <w:rFonts w:ascii="Times New Roman" w:eastAsia="Times New Roman" w:hAnsi="Times New Roman" w:cs="Times New Roman"/>
          <w:sz w:val="26"/>
          <w:szCs w:val="26"/>
        </w:rPr>
        <w:t>However, some members of the public have</w:t>
      </w:r>
      <w:r w:rsidR="00F77359" w:rsidRPr="00C65030">
        <w:rPr>
          <w:rFonts w:ascii="Times New Roman" w:hAnsi="Times New Roman" w:cs="Times New Roman"/>
          <w:sz w:val="26"/>
          <w:szCs w:val="26"/>
        </w:rPr>
        <w:t xml:space="preserve"> indicated</w:t>
      </w:r>
      <w:r w:rsidR="00BF7A12" w:rsidRPr="00C65030">
        <w:rPr>
          <w:rFonts w:ascii="Times New Roman" w:hAnsi="Times New Roman" w:cs="Times New Roman"/>
          <w:sz w:val="26"/>
          <w:szCs w:val="26"/>
        </w:rPr>
        <w:t xml:space="preserve"> that there is a real or perceived prohibition (statutory </w:t>
      </w:r>
      <w:r w:rsidR="00517510" w:rsidRPr="00C65030">
        <w:rPr>
          <w:rFonts w:ascii="Times New Roman" w:hAnsi="Times New Roman" w:cs="Times New Roman"/>
          <w:sz w:val="26"/>
          <w:szCs w:val="26"/>
        </w:rPr>
        <w:t>and/</w:t>
      </w:r>
      <w:r w:rsidR="00BF7A12" w:rsidRPr="00C65030">
        <w:rPr>
          <w:rFonts w:ascii="Times New Roman" w:hAnsi="Times New Roman" w:cs="Times New Roman"/>
          <w:sz w:val="26"/>
          <w:szCs w:val="26"/>
        </w:rPr>
        <w:t xml:space="preserve">or regulatory) on the sharing of certain non-public information.  </w:t>
      </w:r>
      <w:r w:rsidR="00AA4096" w:rsidRPr="00C65030">
        <w:rPr>
          <w:rFonts w:ascii="Times New Roman" w:hAnsi="Times New Roman" w:cs="Times New Roman"/>
          <w:sz w:val="26"/>
          <w:szCs w:val="26"/>
        </w:rPr>
        <w:t>For example, several transmission operators pointed out that there is general reluctance to share information because of concerns that do</w:t>
      </w:r>
      <w:r w:rsidR="00E57911">
        <w:rPr>
          <w:rFonts w:ascii="Times New Roman" w:hAnsi="Times New Roman" w:cs="Times New Roman"/>
          <w:sz w:val="26"/>
          <w:szCs w:val="26"/>
        </w:rPr>
        <w:t>ing</w:t>
      </w:r>
      <w:r w:rsidR="00AA4096" w:rsidRPr="00C65030">
        <w:rPr>
          <w:rFonts w:ascii="Times New Roman" w:hAnsi="Times New Roman" w:cs="Times New Roman"/>
          <w:sz w:val="26"/>
          <w:szCs w:val="26"/>
        </w:rPr>
        <w:t xml:space="preserve"> so could be a violation of current laws</w:t>
      </w:r>
      <w:r w:rsidR="00CB1A38" w:rsidRPr="00C65030">
        <w:rPr>
          <w:rFonts w:ascii="Times New Roman" w:hAnsi="Times New Roman" w:cs="Times New Roman"/>
          <w:sz w:val="26"/>
          <w:szCs w:val="26"/>
        </w:rPr>
        <w:t xml:space="preserve"> (Federal Power Act and</w:t>
      </w:r>
      <w:r w:rsidR="00E57911">
        <w:rPr>
          <w:rFonts w:ascii="Times New Roman" w:hAnsi="Times New Roman" w:cs="Times New Roman"/>
          <w:sz w:val="26"/>
          <w:szCs w:val="26"/>
        </w:rPr>
        <w:t>/or</w:t>
      </w:r>
      <w:r w:rsidR="00CB1A38" w:rsidRPr="00C65030">
        <w:rPr>
          <w:rFonts w:ascii="Times New Roman" w:hAnsi="Times New Roman" w:cs="Times New Roman"/>
          <w:sz w:val="26"/>
          <w:szCs w:val="26"/>
        </w:rPr>
        <w:t xml:space="preserve"> Natural Gas Act)</w:t>
      </w:r>
      <w:r w:rsidR="00AA4096" w:rsidRPr="00C65030">
        <w:rPr>
          <w:rFonts w:ascii="Times New Roman" w:hAnsi="Times New Roman" w:cs="Times New Roman"/>
          <w:sz w:val="26"/>
          <w:szCs w:val="26"/>
        </w:rPr>
        <w:t xml:space="preserve">, regulations or tariffs.  Electric generators expressed concern about the communication of generator-specific information between an electric transmission operator and a pipeline operator without the generator’s knowledge.  </w:t>
      </w:r>
      <w:r w:rsidR="00EF7C9B" w:rsidRPr="00C65030">
        <w:rPr>
          <w:rFonts w:ascii="Times New Roman" w:hAnsi="Times New Roman" w:cs="Times New Roman"/>
          <w:sz w:val="26"/>
          <w:szCs w:val="26"/>
        </w:rPr>
        <w:t>Other comments expressed concern regarding the potential harm to industry participants or the potential for improper use of material resulting from increase</w:t>
      </w:r>
      <w:r w:rsidR="00176B28" w:rsidRPr="00C65030">
        <w:rPr>
          <w:rFonts w:ascii="Times New Roman" w:hAnsi="Times New Roman" w:cs="Times New Roman"/>
          <w:sz w:val="26"/>
          <w:szCs w:val="26"/>
        </w:rPr>
        <w:t>d</w:t>
      </w:r>
      <w:r w:rsidR="00EF7C9B" w:rsidRPr="00C65030">
        <w:rPr>
          <w:rFonts w:ascii="Times New Roman" w:hAnsi="Times New Roman" w:cs="Times New Roman"/>
          <w:sz w:val="26"/>
          <w:szCs w:val="26"/>
        </w:rPr>
        <w:t xml:space="preserve"> communication.</w:t>
      </w:r>
      <w:r w:rsidR="00BF7366" w:rsidRPr="00BF7366">
        <w:rPr>
          <w:rStyle w:val="FootnoteReference"/>
          <w:rFonts w:ascii="Times New Roman" w:hAnsi="Times New Roman" w:cs="Times New Roman"/>
          <w:sz w:val="26"/>
          <w:szCs w:val="26"/>
          <w:vertAlign w:val="superscript"/>
        </w:rPr>
        <w:footnoteReference w:id="7"/>
      </w:r>
    </w:p>
    <w:p w14:paraId="7AC4C31C" w14:textId="77777777" w:rsidR="005C1EA8" w:rsidRPr="00C65030" w:rsidRDefault="005C1EA8" w:rsidP="008A5F46">
      <w:pPr>
        <w:spacing w:after="0" w:line="240" w:lineRule="auto"/>
        <w:rPr>
          <w:rFonts w:ascii="Times New Roman" w:hAnsi="Times New Roman" w:cs="Times New Roman"/>
          <w:sz w:val="26"/>
          <w:szCs w:val="26"/>
        </w:rPr>
      </w:pPr>
    </w:p>
    <w:p w14:paraId="29480438" w14:textId="7A8927B2" w:rsidR="00EA01DB" w:rsidRPr="00C65030" w:rsidRDefault="00EF7C9B"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This proceeding seeks to address those concerns</w:t>
      </w:r>
      <w:r w:rsidR="00731AC3" w:rsidRPr="00C65030">
        <w:rPr>
          <w:rFonts w:ascii="Times New Roman" w:hAnsi="Times New Roman" w:cs="Times New Roman"/>
          <w:sz w:val="26"/>
          <w:szCs w:val="26"/>
        </w:rPr>
        <w:t>, and the Commission is revis</w:t>
      </w:r>
      <w:r w:rsidR="005C1EA8" w:rsidRPr="00C65030">
        <w:rPr>
          <w:rFonts w:ascii="Times New Roman" w:hAnsi="Times New Roman" w:cs="Times New Roman"/>
          <w:sz w:val="26"/>
          <w:szCs w:val="26"/>
        </w:rPr>
        <w:t>ing</w:t>
      </w:r>
      <w:r w:rsidR="00731AC3" w:rsidRPr="00C65030">
        <w:rPr>
          <w:rFonts w:ascii="Times New Roman" w:hAnsi="Times New Roman" w:cs="Times New Roman"/>
          <w:sz w:val="26"/>
          <w:szCs w:val="26"/>
        </w:rPr>
        <w:t xml:space="preserve"> its regulations to authorize expressly the exchange of non-public, operational information between electric transmission operators and interstate natural gas pipelines.  </w:t>
      </w:r>
    </w:p>
    <w:p w14:paraId="242EE3EB" w14:textId="77777777" w:rsidR="00EA01DB" w:rsidRPr="00C65030" w:rsidRDefault="00EA01DB" w:rsidP="008A5F46">
      <w:pPr>
        <w:spacing w:after="0" w:line="240" w:lineRule="auto"/>
        <w:rPr>
          <w:rFonts w:ascii="Times New Roman" w:hAnsi="Times New Roman" w:cs="Times New Roman"/>
          <w:sz w:val="26"/>
          <w:szCs w:val="26"/>
        </w:rPr>
      </w:pPr>
    </w:p>
    <w:p w14:paraId="264D6F7C" w14:textId="79675FA5" w:rsidR="00CB71BD" w:rsidRPr="00B2525C" w:rsidRDefault="00731AC3" w:rsidP="008A5F46">
      <w:pPr>
        <w:spacing w:after="0" w:line="240" w:lineRule="auto"/>
        <w:rPr>
          <w:rFonts w:ascii="Times New Roman" w:hAnsi="Times New Roman" w:cs="Times New Roman"/>
          <w:sz w:val="26"/>
          <w:szCs w:val="26"/>
        </w:rPr>
      </w:pPr>
      <w:r w:rsidRPr="00B2525C">
        <w:rPr>
          <w:rFonts w:ascii="Times New Roman" w:hAnsi="Times New Roman" w:cs="Times New Roman"/>
          <w:sz w:val="26"/>
          <w:szCs w:val="26"/>
        </w:rPr>
        <w:lastRenderedPageBreak/>
        <w:t xml:space="preserve">The </w:t>
      </w:r>
      <w:r w:rsidR="00B50B00" w:rsidRPr="00B2525C">
        <w:rPr>
          <w:rFonts w:ascii="Times New Roman" w:hAnsi="Times New Roman" w:cs="Times New Roman"/>
          <w:sz w:val="26"/>
          <w:szCs w:val="26"/>
        </w:rPr>
        <w:t xml:space="preserve">new </w:t>
      </w:r>
      <w:r w:rsidRPr="00B2525C">
        <w:rPr>
          <w:rFonts w:ascii="Times New Roman" w:hAnsi="Times New Roman" w:cs="Times New Roman"/>
          <w:sz w:val="26"/>
          <w:szCs w:val="26"/>
        </w:rPr>
        <w:t xml:space="preserve">regulations are </w:t>
      </w:r>
      <w:r w:rsidR="00A805A6" w:rsidRPr="00B2525C">
        <w:rPr>
          <w:rFonts w:ascii="Times New Roman" w:hAnsi="Times New Roman" w:cs="Times New Roman"/>
          <w:sz w:val="26"/>
          <w:szCs w:val="26"/>
        </w:rPr>
        <w:t>in</w:t>
      </w:r>
      <w:r w:rsidR="00CB71BD" w:rsidRPr="00B2525C">
        <w:rPr>
          <w:rFonts w:ascii="Times New Roman" w:hAnsi="Times New Roman" w:cs="Times New Roman"/>
          <w:sz w:val="26"/>
          <w:szCs w:val="26"/>
        </w:rPr>
        <w:t xml:space="preserve"> 18CFR:</w:t>
      </w:r>
      <w:r w:rsidR="00A805A6" w:rsidRPr="00B2525C">
        <w:rPr>
          <w:rFonts w:ascii="Times New Roman" w:hAnsi="Times New Roman" w:cs="Times New Roman"/>
          <w:sz w:val="26"/>
          <w:szCs w:val="26"/>
        </w:rPr>
        <w:t xml:space="preserve"> </w:t>
      </w:r>
    </w:p>
    <w:p w14:paraId="303EA664" w14:textId="55337B41" w:rsidR="00CB71BD" w:rsidRPr="00B2525C" w:rsidRDefault="00731AC3" w:rsidP="00B2525C">
      <w:pPr>
        <w:pStyle w:val="ListParagraph"/>
        <w:numPr>
          <w:ilvl w:val="0"/>
          <w:numId w:val="11"/>
        </w:numPr>
        <w:spacing w:after="0" w:line="240" w:lineRule="auto"/>
        <w:rPr>
          <w:rFonts w:ascii="Times New Roman" w:hAnsi="Times New Roman" w:cs="Times New Roman"/>
          <w:sz w:val="26"/>
          <w:szCs w:val="26"/>
        </w:rPr>
      </w:pPr>
      <w:r w:rsidRPr="00B2525C">
        <w:rPr>
          <w:rFonts w:ascii="Times New Roman" w:hAnsi="Times New Roman" w:cs="Times New Roman"/>
          <w:sz w:val="26"/>
          <w:szCs w:val="26"/>
        </w:rPr>
        <w:t>38.</w:t>
      </w:r>
      <w:r w:rsidR="00151B14" w:rsidRPr="00B2525C">
        <w:rPr>
          <w:rFonts w:ascii="Times New Roman" w:hAnsi="Times New Roman" w:cs="Times New Roman"/>
          <w:sz w:val="26"/>
          <w:szCs w:val="26"/>
        </w:rPr>
        <w:t>2</w:t>
      </w:r>
      <w:r w:rsidR="00A805A6" w:rsidRPr="00B2525C">
        <w:rPr>
          <w:rFonts w:ascii="Times New Roman" w:hAnsi="Times New Roman" w:cs="Times New Roman"/>
          <w:sz w:val="26"/>
          <w:szCs w:val="26"/>
        </w:rPr>
        <w:t xml:space="preserve"> </w:t>
      </w:r>
      <w:r w:rsidRPr="00B2525C">
        <w:rPr>
          <w:rFonts w:ascii="Times New Roman" w:hAnsi="Times New Roman" w:cs="Times New Roman"/>
          <w:sz w:val="26"/>
          <w:szCs w:val="26"/>
        </w:rPr>
        <w:t>which applies to any public utility that owns, operates, or controls facilities used for the transmission of electric energy in interstate commerce subject to a No-Conduit Rule</w:t>
      </w:r>
      <w:r w:rsidR="00A805A6" w:rsidRPr="00B2525C">
        <w:rPr>
          <w:rFonts w:ascii="Times New Roman" w:hAnsi="Times New Roman" w:cs="Times New Roman"/>
          <w:sz w:val="26"/>
          <w:szCs w:val="26"/>
        </w:rPr>
        <w:t xml:space="preserve">, and </w:t>
      </w:r>
    </w:p>
    <w:p w14:paraId="78C2848A" w14:textId="77777777" w:rsidR="00B50B00" w:rsidRPr="00B2525C" w:rsidRDefault="00731AC3" w:rsidP="00B2525C">
      <w:pPr>
        <w:pStyle w:val="ListParagraph"/>
        <w:numPr>
          <w:ilvl w:val="0"/>
          <w:numId w:val="11"/>
        </w:numPr>
        <w:spacing w:after="0" w:line="240" w:lineRule="auto"/>
        <w:rPr>
          <w:rFonts w:ascii="Times New Roman" w:hAnsi="Times New Roman" w:cs="Times New Roman"/>
          <w:sz w:val="26"/>
          <w:szCs w:val="26"/>
        </w:rPr>
      </w:pPr>
      <w:r w:rsidRPr="00B2525C">
        <w:rPr>
          <w:rFonts w:ascii="Times New Roman" w:hAnsi="Times New Roman" w:cs="Times New Roman"/>
          <w:sz w:val="26"/>
          <w:szCs w:val="26"/>
        </w:rPr>
        <w:t>284.12(b</w:t>
      </w:r>
      <w:proofErr w:type="gramStart"/>
      <w:r w:rsidRPr="00B2525C">
        <w:rPr>
          <w:rFonts w:ascii="Times New Roman" w:hAnsi="Times New Roman" w:cs="Times New Roman"/>
          <w:sz w:val="26"/>
          <w:szCs w:val="26"/>
        </w:rPr>
        <w:t>)</w:t>
      </w:r>
      <w:r w:rsidR="00151B14" w:rsidRPr="00B2525C">
        <w:rPr>
          <w:rFonts w:ascii="Times New Roman" w:hAnsi="Times New Roman" w:cs="Times New Roman"/>
          <w:sz w:val="26"/>
          <w:szCs w:val="26"/>
        </w:rPr>
        <w:t>(</w:t>
      </w:r>
      <w:proofErr w:type="gramEnd"/>
      <w:r w:rsidR="00151B14" w:rsidRPr="00B2525C">
        <w:rPr>
          <w:rFonts w:ascii="Times New Roman" w:hAnsi="Times New Roman" w:cs="Times New Roman"/>
          <w:sz w:val="26"/>
          <w:szCs w:val="26"/>
        </w:rPr>
        <w:t>4)</w:t>
      </w:r>
      <w:r w:rsidRPr="00B2525C">
        <w:rPr>
          <w:rFonts w:ascii="Times New Roman" w:hAnsi="Times New Roman" w:cs="Times New Roman"/>
          <w:sz w:val="26"/>
          <w:szCs w:val="26"/>
        </w:rPr>
        <w:t xml:space="preserve">, which applies to any interstate pipeline. </w:t>
      </w:r>
      <w:r w:rsidR="00A805A6" w:rsidRPr="00B2525C">
        <w:rPr>
          <w:rFonts w:ascii="Times New Roman" w:hAnsi="Times New Roman" w:cs="Times New Roman"/>
          <w:sz w:val="26"/>
          <w:szCs w:val="26"/>
        </w:rPr>
        <w:t xml:space="preserve"> </w:t>
      </w:r>
    </w:p>
    <w:p w14:paraId="7DA709CB" w14:textId="793CAA2B" w:rsidR="00731AC3" w:rsidRPr="00B2525C" w:rsidRDefault="00A805A6" w:rsidP="00B50B00">
      <w:pPr>
        <w:spacing w:after="0" w:line="240" w:lineRule="auto"/>
        <w:rPr>
          <w:rFonts w:ascii="Times New Roman" w:hAnsi="Times New Roman" w:cs="Times New Roman"/>
          <w:sz w:val="26"/>
          <w:szCs w:val="26"/>
        </w:rPr>
      </w:pPr>
      <w:r w:rsidRPr="00B2525C">
        <w:rPr>
          <w:rFonts w:ascii="Times New Roman" w:hAnsi="Times New Roman" w:cs="Times New Roman"/>
          <w:sz w:val="26"/>
          <w:szCs w:val="26"/>
        </w:rPr>
        <w:t xml:space="preserve">The </w:t>
      </w:r>
      <w:r w:rsidR="00B50B00" w:rsidRPr="00B2525C">
        <w:rPr>
          <w:rFonts w:ascii="Times New Roman" w:hAnsi="Times New Roman" w:cs="Times New Roman"/>
          <w:sz w:val="26"/>
          <w:szCs w:val="26"/>
        </w:rPr>
        <w:t>new</w:t>
      </w:r>
      <w:r w:rsidRPr="00B2525C">
        <w:rPr>
          <w:rFonts w:ascii="Times New Roman" w:hAnsi="Times New Roman" w:cs="Times New Roman"/>
          <w:sz w:val="26"/>
          <w:szCs w:val="26"/>
        </w:rPr>
        <w:t xml:space="preserve"> sections 38.</w:t>
      </w:r>
      <w:r w:rsidR="00151B14" w:rsidRPr="00B2525C">
        <w:rPr>
          <w:rFonts w:ascii="Times New Roman" w:hAnsi="Times New Roman" w:cs="Times New Roman"/>
          <w:sz w:val="26"/>
          <w:szCs w:val="26"/>
        </w:rPr>
        <w:t>2</w:t>
      </w:r>
      <w:r w:rsidRPr="00B2525C">
        <w:rPr>
          <w:rFonts w:ascii="Times New Roman" w:hAnsi="Times New Roman" w:cs="Times New Roman"/>
          <w:sz w:val="26"/>
          <w:szCs w:val="26"/>
        </w:rPr>
        <w:t xml:space="preserve"> and 284.12(b)</w:t>
      </w:r>
      <w:r w:rsidR="00151B14" w:rsidRPr="00B2525C">
        <w:rPr>
          <w:rFonts w:ascii="Times New Roman" w:hAnsi="Times New Roman" w:cs="Times New Roman"/>
          <w:sz w:val="26"/>
          <w:szCs w:val="26"/>
        </w:rPr>
        <w:t>(4)</w:t>
      </w:r>
      <w:r w:rsidRPr="00B2525C">
        <w:rPr>
          <w:rFonts w:ascii="Times New Roman" w:hAnsi="Times New Roman" w:cs="Times New Roman"/>
          <w:sz w:val="26"/>
          <w:szCs w:val="26"/>
        </w:rPr>
        <w:t xml:space="preserve"> will authorize public utilities providing transmission service and </w:t>
      </w:r>
      <w:r w:rsidR="00151B14" w:rsidRPr="00B2525C">
        <w:rPr>
          <w:rFonts w:ascii="Times New Roman" w:hAnsi="Times New Roman" w:cs="Times New Roman"/>
          <w:sz w:val="26"/>
          <w:szCs w:val="26"/>
        </w:rPr>
        <w:t xml:space="preserve">interstate </w:t>
      </w:r>
      <w:r w:rsidRPr="00B2525C">
        <w:rPr>
          <w:rFonts w:ascii="Times New Roman" w:hAnsi="Times New Roman" w:cs="Times New Roman"/>
          <w:sz w:val="26"/>
          <w:szCs w:val="26"/>
        </w:rPr>
        <w:t>natural gas pipelines to share non-public, operational information when such information is for the purpose of promoting reliable service or operational planning.</w:t>
      </w:r>
    </w:p>
    <w:p w14:paraId="252B996C" w14:textId="77777777" w:rsidR="00BF7A12" w:rsidRPr="00C65030" w:rsidRDefault="00BF7A12" w:rsidP="008A5F46">
      <w:pPr>
        <w:spacing w:after="0" w:line="240" w:lineRule="auto"/>
        <w:rPr>
          <w:rFonts w:ascii="Times New Roman" w:hAnsi="Times New Roman" w:cs="Times New Roman"/>
          <w:sz w:val="26"/>
          <w:szCs w:val="26"/>
        </w:rPr>
      </w:pPr>
    </w:p>
    <w:p w14:paraId="36BDCE74" w14:textId="77777777" w:rsidR="00A72E7B" w:rsidRPr="00C65030" w:rsidRDefault="00EB3E6F"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HOW, BY WHOM, AND FOR WHAT PURPOSE THE INFORMATION IS TO BE USED AND THE CONSEQUENCES OF NOT COLLECTING THE INFORMATION</w:t>
      </w:r>
    </w:p>
    <w:p w14:paraId="7FE818C4" w14:textId="77777777" w:rsidR="00E21459" w:rsidRDefault="00E21459" w:rsidP="008A5F46">
      <w:pPr>
        <w:spacing w:after="0" w:line="240" w:lineRule="auto"/>
        <w:rPr>
          <w:rFonts w:ascii="Times New Roman" w:hAnsi="Times New Roman" w:cs="Times New Roman"/>
          <w:sz w:val="26"/>
          <w:szCs w:val="26"/>
        </w:rPr>
      </w:pPr>
    </w:p>
    <w:p w14:paraId="36BDCE75" w14:textId="6B2C833A" w:rsidR="00EB3E6F" w:rsidRPr="00C65030" w:rsidRDefault="009D7EB8"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Note that this non-public information will be communicated and shared between </w:t>
      </w:r>
      <w:r w:rsidR="00151B14">
        <w:rPr>
          <w:rFonts w:ascii="Times New Roman" w:hAnsi="Times New Roman" w:cs="Times New Roman"/>
          <w:sz w:val="26"/>
          <w:szCs w:val="26"/>
        </w:rPr>
        <w:t>transmission operators</w:t>
      </w:r>
      <w:r w:rsidRPr="00C65030">
        <w:rPr>
          <w:rFonts w:ascii="Times New Roman" w:hAnsi="Times New Roman" w:cs="Times New Roman"/>
          <w:sz w:val="26"/>
          <w:szCs w:val="26"/>
        </w:rPr>
        <w:t xml:space="preserve"> and is not being submitted to FERC.</w:t>
      </w:r>
      <w:r w:rsidR="00244B38">
        <w:rPr>
          <w:rFonts w:ascii="Times New Roman" w:hAnsi="Times New Roman" w:cs="Times New Roman"/>
          <w:sz w:val="26"/>
          <w:szCs w:val="26"/>
        </w:rPr>
        <w:t xml:space="preserve">  The only information being submitted to FERC </w:t>
      </w:r>
      <w:r w:rsidR="00E21459">
        <w:rPr>
          <w:rFonts w:ascii="Times New Roman" w:hAnsi="Times New Roman" w:cs="Times New Roman"/>
          <w:sz w:val="26"/>
          <w:szCs w:val="26"/>
        </w:rPr>
        <w:t>is</w:t>
      </w:r>
      <w:r w:rsidR="00244B38">
        <w:rPr>
          <w:rFonts w:ascii="Times New Roman" w:hAnsi="Times New Roman" w:cs="Times New Roman"/>
          <w:sz w:val="26"/>
          <w:szCs w:val="26"/>
        </w:rPr>
        <w:t xml:space="preserve"> the estimated 12 tariff filings to enable the communications.</w:t>
      </w:r>
    </w:p>
    <w:p w14:paraId="61348A3F" w14:textId="77777777" w:rsidR="00C25AA2" w:rsidRPr="00C65030" w:rsidRDefault="00C25AA2" w:rsidP="008A5F46">
      <w:pPr>
        <w:spacing w:after="0" w:line="240" w:lineRule="auto"/>
        <w:rPr>
          <w:rFonts w:ascii="Times New Roman" w:hAnsi="Times New Roman" w:cs="Times New Roman"/>
          <w:sz w:val="26"/>
          <w:szCs w:val="26"/>
        </w:rPr>
      </w:pPr>
    </w:p>
    <w:p w14:paraId="36DBFF91" w14:textId="4000F233" w:rsidR="009D7EB8" w:rsidRPr="00C65030" w:rsidRDefault="00C25AA2"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Entities from both</w:t>
      </w:r>
      <w:r w:rsidR="0048685B" w:rsidRPr="00C65030">
        <w:rPr>
          <w:rFonts w:ascii="Times New Roman" w:hAnsi="Times New Roman" w:cs="Times New Roman"/>
          <w:sz w:val="26"/>
          <w:szCs w:val="26"/>
        </w:rPr>
        <w:t xml:space="preserve"> electric and natural gas</w:t>
      </w:r>
      <w:r w:rsidRPr="00C65030">
        <w:rPr>
          <w:rFonts w:ascii="Times New Roman" w:hAnsi="Times New Roman" w:cs="Times New Roman"/>
          <w:sz w:val="26"/>
          <w:szCs w:val="26"/>
        </w:rPr>
        <w:t xml:space="preserve"> industries have already begun efforts to improve coordination, however further sharing of non-public, operational information between transmission operators could enhance system reliability and contingency planning in both industries.  </w:t>
      </w:r>
      <w:r w:rsidR="00AC74D9" w:rsidRPr="00C65030">
        <w:rPr>
          <w:rFonts w:ascii="Times New Roman" w:hAnsi="Times New Roman" w:cs="Times New Roman"/>
          <w:sz w:val="26"/>
          <w:szCs w:val="26"/>
        </w:rPr>
        <w:t>The information sharing and communications between industry entities are voluntary</w:t>
      </w:r>
      <w:r w:rsidR="00E57911">
        <w:rPr>
          <w:rFonts w:ascii="Times New Roman" w:hAnsi="Times New Roman" w:cs="Times New Roman"/>
          <w:sz w:val="26"/>
          <w:szCs w:val="26"/>
        </w:rPr>
        <w:t>;</w:t>
      </w:r>
      <w:r w:rsidR="00AC74D9" w:rsidRPr="00C65030">
        <w:rPr>
          <w:rFonts w:ascii="Times New Roman" w:hAnsi="Times New Roman" w:cs="Times New Roman"/>
          <w:sz w:val="26"/>
          <w:szCs w:val="26"/>
        </w:rPr>
        <w:t xml:space="preserve"> there are restrictions on providing the non-public information to third parties or marketing entities.</w:t>
      </w:r>
    </w:p>
    <w:p w14:paraId="36BDCE76" w14:textId="77777777" w:rsidR="00EB3E6F" w:rsidRPr="00C65030" w:rsidRDefault="00EB3E6F" w:rsidP="008A5F46">
      <w:pPr>
        <w:spacing w:after="0" w:line="240" w:lineRule="auto"/>
        <w:rPr>
          <w:rFonts w:ascii="Times New Roman" w:hAnsi="Times New Roman" w:cs="Times New Roman"/>
          <w:sz w:val="26"/>
          <w:szCs w:val="26"/>
        </w:rPr>
      </w:pPr>
    </w:p>
    <w:p w14:paraId="36BDCE77" w14:textId="77777777" w:rsidR="00EB3E6F" w:rsidRPr="00C65030" w:rsidRDefault="00EB3E6F"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DESCRIBE ANY CONSIDERATION OF THE USE OF IMPROVED INFORMATION TECHNOLOGY TO REDUCE THE BURDEN AND TECHNICAL OR LEGAL OBSTACLES TO REDUCING BURDEN</w:t>
      </w:r>
    </w:p>
    <w:p w14:paraId="25B3461A" w14:textId="77777777" w:rsidR="00E21459" w:rsidRDefault="00E21459" w:rsidP="008A5F46">
      <w:pPr>
        <w:spacing w:after="0" w:line="240" w:lineRule="auto"/>
        <w:rPr>
          <w:rFonts w:ascii="Times New Roman" w:hAnsi="Times New Roman" w:cs="Times New Roman"/>
          <w:sz w:val="26"/>
          <w:szCs w:val="26"/>
        </w:rPr>
      </w:pPr>
    </w:p>
    <w:p w14:paraId="36BDCE78" w14:textId="595EFC48" w:rsidR="00EB3E6F" w:rsidRDefault="009900F8"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FERC is removing actual </w:t>
      </w:r>
      <w:r w:rsidR="007E0511" w:rsidRPr="00C65030">
        <w:rPr>
          <w:rFonts w:ascii="Times New Roman" w:hAnsi="Times New Roman" w:cs="Times New Roman"/>
          <w:sz w:val="26"/>
          <w:szCs w:val="26"/>
        </w:rPr>
        <w:t xml:space="preserve">or perceived impediments to the </w:t>
      </w:r>
      <w:r w:rsidRPr="00C65030">
        <w:rPr>
          <w:rFonts w:ascii="Times New Roman" w:hAnsi="Times New Roman" w:cs="Times New Roman"/>
          <w:sz w:val="26"/>
          <w:szCs w:val="26"/>
        </w:rPr>
        <w:t xml:space="preserve">information sharing and communications </w:t>
      </w:r>
      <w:r w:rsidR="00193DFA">
        <w:rPr>
          <w:rFonts w:ascii="Times New Roman" w:hAnsi="Times New Roman" w:cs="Times New Roman"/>
          <w:sz w:val="26"/>
          <w:szCs w:val="26"/>
        </w:rPr>
        <w:t xml:space="preserve">of non-public, operational </w:t>
      </w:r>
      <w:r w:rsidRPr="00C65030">
        <w:rPr>
          <w:rFonts w:ascii="Times New Roman" w:hAnsi="Times New Roman" w:cs="Times New Roman"/>
          <w:sz w:val="26"/>
          <w:szCs w:val="26"/>
        </w:rPr>
        <w:t xml:space="preserve">between </w:t>
      </w:r>
      <w:r w:rsidR="00193DFA">
        <w:rPr>
          <w:rFonts w:ascii="Times New Roman" w:hAnsi="Times New Roman" w:cs="Times New Roman"/>
          <w:sz w:val="26"/>
          <w:szCs w:val="26"/>
        </w:rPr>
        <w:t>transmission operators</w:t>
      </w:r>
      <w:r w:rsidRPr="00C65030">
        <w:rPr>
          <w:rFonts w:ascii="Times New Roman" w:hAnsi="Times New Roman" w:cs="Times New Roman"/>
          <w:sz w:val="26"/>
          <w:szCs w:val="26"/>
        </w:rPr>
        <w:t>.</w:t>
      </w:r>
      <w:r w:rsidR="007E0511" w:rsidRPr="00C65030">
        <w:rPr>
          <w:rFonts w:ascii="Times New Roman" w:hAnsi="Times New Roman" w:cs="Times New Roman"/>
          <w:sz w:val="26"/>
          <w:szCs w:val="26"/>
        </w:rPr>
        <w:t xml:space="preserve">  </w:t>
      </w:r>
      <w:r w:rsidR="00193DFA">
        <w:rPr>
          <w:rFonts w:ascii="Times New Roman" w:hAnsi="Times New Roman" w:cs="Times New Roman"/>
          <w:sz w:val="26"/>
          <w:szCs w:val="26"/>
        </w:rPr>
        <w:t xml:space="preserve">The permitted communications are voluntary.  </w:t>
      </w:r>
      <w:r w:rsidR="00C25AA2" w:rsidRPr="00C65030">
        <w:rPr>
          <w:rFonts w:ascii="Times New Roman" w:hAnsi="Times New Roman" w:cs="Times New Roman"/>
          <w:sz w:val="26"/>
          <w:szCs w:val="26"/>
        </w:rPr>
        <w:t xml:space="preserve">FERC is not prescribing the </w:t>
      </w:r>
      <w:r w:rsidRPr="00C65030">
        <w:rPr>
          <w:rFonts w:ascii="Times New Roman" w:hAnsi="Times New Roman" w:cs="Times New Roman"/>
          <w:sz w:val="26"/>
          <w:szCs w:val="26"/>
        </w:rPr>
        <w:t xml:space="preserve">content, </w:t>
      </w:r>
      <w:r w:rsidR="00C25AA2" w:rsidRPr="00C65030">
        <w:rPr>
          <w:rFonts w:ascii="Times New Roman" w:hAnsi="Times New Roman" w:cs="Times New Roman"/>
          <w:sz w:val="26"/>
          <w:szCs w:val="26"/>
        </w:rPr>
        <w:t>medium</w:t>
      </w:r>
      <w:r w:rsidRPr="00C65030">
        <w:rPr>
          <w:rFonts w:ascii="Times New Roman" w:hAnsi="Times New Roman" w:cs="Times New Roman"/>
          <w:sz w:val="26"/>
          <w:szCs w:val="26"/>
        </w:rPr>
        <w:t>,</w:t>
      </w:r>
      <w:r w:rsidR="00C25AA2" w:rsidRPr="00C65030">
        <w:rPr>
          <w:rFonts w:ascii="Times New Roman" w:hAnsi="Times New Roman" w:cs="Times New Roman"/>
          <w:sz w:val="26"/>
          <w:szCs w:val="26"/>
        </w:rPr>
        <w:t xml:space="preserve"> format</w:t>
      </w:r>
      <w:r w:rsidRPr="00C65030">
        <w:rPr>
          <w:rFonts w:ascii="Times New Roman" w:hAnsi="Times New Roman" w:cs="Times New Roman"/>
          <w:sz w:val="26"/>
          <w:szCs w:val="26"/>
        </w:rPr>
        <w:t>,</w:t>
      </w:r>
      <w:r w:rsidR="00C25AA2" w:rsidRPr="00C65030">
        <w:rPr>
          <w:rFonts w:ascii="Times New Roman" w:hAnsi="Times New Roman" w:cs="Times New Roman"/>
          <w:sz w:val="26"/>
          <w:szCs w:val="26"/>
        </w:rPr>
        <w:t xml:space="preserve"> </w:t>
      </w:r>
      <w:r w:rsidR="0048685B" w:rsidRPr="00C65030">
        <w:rPr>
          <w:rFonts w:ascii="Times New Roman" w:hAnsi="Times New Roman" w:cs="Times New Roman"/>
          <w:sz w:val="26"/>
          <w:szCs w:val="26"/>
        </w:rPr>
        <w:t>or</w:t>
      </w:r>
      <w:r w:rsidR="00C25AA2" w:rsidRPr="00C65030">
        <w:rPr>
          <w:rFonts w:ascii="Times New Roman" w:hAnsi="Times New Roman" w:cs="Times New Roman"/>
          <w:sz w:val="26"/>
          <w:szCs w:val="26"/>
        </w:rPr>
        <w:t xml:space="preserve"> frequency for th</w:t>
      </w:r>
      <w:r w:rsidR="00D02C22" w:rsidRPr="00C65030">
        <w:rPr>
          <w:rFonts w:ascii="Times New Roman" w:hAnsi="Times New Roman" w:cs="Times New Roman"/>
          <w:sz w:val="26"/>
          <w:szCs w:val="26"/>
        </w:rPr>
        <w:t>e</w:t>
      </w:r>
      <w:r w:rsidR="00C25AA2" w:rsidRPr="00C65030">
        <w:rPr>
          <w:rFonts w:ascii="Times New Roman" w:hAnsi="Times New Roman" w:cs="Times New Roman"/>
          <w:sz w:val="26"/>
          <w:szCs w:val="26"/>
        </w:rPr>
        <w:t xml:space="preserve"> information sharing</w:t>
      </w:r>
      <w:r w:rsidR="00D02C22" w:rsidRPr="00C65030">
        <w:rPr>
          <w:rFonts w:ascii="Times New Roman" w:hAnsi="Times New Roman" w:cs="Times New Roman"/>
          <w:sz w:val="26"/>
          <w:szCs w:val="26"/>
        </w:rPr>
        <w:t xml:space="preserve"> and communications</w:t>
      </w:r>
      <w:r w:rsidR="00011FDF">
        <w:rPr>
          <w:rFonts w:ascii="Times New Roman" w:hAnsi="Times New Roman" w:cs="Times New Roman"/>
          <w:sz w:val="26"/>
          <w:szCs w:val="26"/>
        </w:rPr>
        <w:t>; those</w:t>
      </w:r>
      <w:r w:rsidR="00C25AA2" w:rsidRPr="00C65030">
        <w:rPr>
          <w:rFonts w:ascii="Times New Roman" w:hAnsi="Times New Roman" w:cs="Times New Roman"/>
          <w:sz w:val="26"/>
          <w:szCs w:val="26"/>
        </w:rPr>
        <w:t xml:space="preserve"> decisions</w:t>
      </w:r>
      <w:r w:rsidR="00011FDF">
        <w:rPr>
          <w:rFonts w:ascii="Times New Roman" w:hAnsi="Times New Roman" w:cs="Times New Roman"/>
          <w:sz w:val="26"/>
          <w:szCs w:val="26"/>
        </w:rPr>
        <w:t xml:space="preserve"> </w:t>
      </w:r>
      <w:r w:rsidR="00C25AA2" w:rsidRPr="00C65030">
        <w:rPr>
          <w:rFonts w:ascii="Times New Roman" w:hAnsi="Times New Roman" w:cs="Times New Roman"/>
          <w:sz w:val="26"/>
          <w:szCs w:val="26"/>
        </w:rPr>
        <w:t xml:space="preserve">will be made by the </w:t>
      </w:r>
      <w:r w:rsidR="00193DFA">
        <w:rPr>
          <w:rFonts w:ascii="Times New Roman" w:hAnsi="Times New Roman" w:cs="Times New Roman"/>
          <w:sz w:val="26"/>
          <w:szCs w:val="26"/>
        </w:rPr>
        <w:t>transmission</w:t>
      </w:r>
      <w:r w:rsidR="00C30E49">
        <w:rPr>
          <w:rFonts w:ascii="Times New Roman" w:hAnsi="Times New Roman" w:cs="Times New Roman"/>
          <w:sz w:val="26"/>
          <w:szCs w:val="26"/>
        </w:rPr>
        <w:t xml:space="preserve"> operators</w:t>
      </w:r>
      <w:r w:rsidR="00F54F21" w:rsidRPr="00C65030">
        <w:rPr>
          <w:rFonts w:ascii="Times New Roman" w:hAnsi="Times New Roman" w:cs="Times New Roman"/>
          <w:sz w:val="26"/>
          <w:szCs w:val="26"/>
        </w:rPr>
        <w:t>,</w:t>
      </w:r>
      <w:r w:rsidR="00AC74D9" w:rsidRPr="00C65030">
        <w:rPr>
          <w:rFonts w:ascii="Times New Roman" w:hAnsi="Times New Roman" w:cs="Times New Roman"/>
          <w:sz w:val="26"/>
          <w:szCs w:val="26"/>
        </w:rPr>
        <w:t xml:space="preserve"> depend</w:t>
      </w:r>
      <w:r w:rsidR="00F54F21" w:rsidRPr="00C65030">
        <w:rPr>
          <w:rFonts w:ascii="Times New Roman" w:hAnsi="Times New Roman" w:cs="Times New Roman"/>
          <w:sz w:val="26"/>
          <w:szCs w:val="26"/>
        </w:rPr>
        <w:t>ing</w:t>
      </w:r>
      <w:r w:rsidR="00AC74D9" w:rsidRPr="00C65030">
        <w:rPr>
          <w:rFonts w:ascii="Times New Roman" w:hAnsi="Times New Roman" w:cs="Times New Roman"/>
          <w:sz w:val="26"/>
          <w:szCs w:val="26"/>
        </w:rPr>
        <w:t xml:space="preserve"> on their needs</w:t>
      </w:r>
      <w:r w:rsidR="00193DFA">
        <w:rPr>
          <w:rFonts w:ascii="Times New Roman" w:hAnsi="Times New Roman" w:cs="Times New Roman"/>
          <w:sz w:val="26"/>
          <w:szCs w:val="26"/>
        </w:rPr>
        <w:t xml:space="preserve"> for maintaining reliability or operational planning</w:t>
      </w:r>
      <w:r w:rsidR="00AC74D9" w:rsidRPr="00C65030">
        <w:rPr>
          <w:rFonts w:ascii="Times New Roman" w:hAnsi="Times New Roman" w:cs="Times New Roman"/>
          <w:sz w:val="26"/>
          <w:szCs w:val="26"/>
        </w:rPr>
        <w:t>.</w:t>
      </w:r>
      <w:r w:rsidRPr="00C65030">
        <w:rPr>
          <w:rFonts w:ascii="Times New Roman" w:hAnsi="Times New Roman" w:cs="Times New Roman"/>
          <w:sz w:val="26"/>
          <w:szCs w:val="26"/>
        </w:rPr>
        <w:t xml:space="preserve">  </w:t>
      </w:r>
    </w:p>
    <w:p w14:paraId="51D0090B" w14:textId="77777777" w:rsidR="00244B38" w:rsidRDefault="00244B38" w:rsidP="008A5F46">
      <w:pPr>
        <w:spacing w:after="0" w:line="240" w:lineRule="auto"/>
        <w:rPr>
          <w:rFonts w:ascii="Times New Roman" w:hAnsi="Times New Roman" w:cs="Times New Roman"/>
          <w:sz w:val="26"/>
          <w:szCs w:val="26"/>
        </w:rPr>
      </w:pPr>
    </w:p>
    <w:p w14:paraId="34F7DC37" w14:textId="503D3553" w:rsidR="00244B38" w:rsidRPr="00C65030" w:rsidRDefault="00244B38" w:rsidP="008A5F4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005C2E81">
        <w:rPr>
          <w:rFonts w:ascii="Times New Roman" w:hAnsi="Times New Roman" w:cs="Times New Roman"/>
          <w:sz w:val="26"/>
          <w:szCs w:val="26"/>
        </w:rPr>
        <w:t xml:space="preserve">estimated </w:t>
      </w:r>
      <w:r>
        <w:rPr>
          <w:rFonts w:ascii="Times New Roman" w:hAnsi="Times New Roman" w:cs="Times New Roman"/>
          <w:sz w:val="26"/>
          <w:szCs w:val="26"/>
        </w:rPr>
        <w:t>12 tariff filings</w:t>
      </w:r>
      <w:r w:rsidR="005C2E81">
        <w:rPr>
          <w:rFonts w:ascii="Times New Roman" w:hAnsi="Times New Roman" w:cs="Times New Roman"/>
          <w:sz w:val="26"/>
          <w:szCs w:val="26"/>
        </w:rPr>
        <w:t xml:space="preserve"> to enable the above information </w:t>
      </w:r>
      <w:r w:rsidR="005F0F3A">
        <w:rPr>
          <w:rFonts w:ascii="Times New Roman" w:hAnsi="Times New Roman" w:cs="Times New Roman"/>
          <w:sz w:val="26"/>
          <w:szCs w:val="26"/>
        </w:rPr>
        <w:t xml:space="preserve">communications and </w:t>
      </w:r>
      <w:r w:rsidR="005C2E81">
        <w:rPr>
          <w:rFonts w:ascii="Times New Roman" w:hAnsi="Times New Roman" w:cs="Times New Roman"/>
          <w:sz w:val="26"/>
          <w:szCs w:val="26"/>
        </w:rPr>
        <w:t xml:space="preserve">sharing </w:t>
      </w:r>
      <w:r>
        <w:rPr>
          <w:rFonts w:ascii="Times New Roman" w:hAnsi="Times New Roman" w:cs="Times New Roman"/>
          <w:sz w:val="26"/>
          <w:szCs w:val="26"/>
        </w:rPr>
        <w:t>will be submitted through FERC</w:t>
      </w:r>
      <w:r w:rsidR="005F0F3A">
        <w:rPr>
          <w:rFonts w:ascii="Times New Roman" w:hAnsi="Times New Roman" w:cs="Times New Roman"/>
          <w:sz w:val="26"/>
          <w:szCs w:val="26"/>
        </w:rPr>
        <w:t>’s</w:t>
      </w:r>
      <w:r>
        <w:rPr>
          <w:rFonts w:ascii="Times New Roman" w:hAnsi="Times New Roman" w:cs="Times New Roman"/>
          <w:sz w:val="26"/>
          <w:szCs w:val="26"/>
        </w:rPr>
        <w:t xml:space="preserve"> electronic </w:t>
      </w:r>
      <w:proofErr w:type="spellStart"/>
      <w:r>
        <w:rPr>
          <w:rFonts w:ascii="Times New Roman" w:hAnsi="Times New Roman" w:cs="Times New Roman"/>
          <w:sz w:val="26"/>
          <w:szCs w:val="26"/>
        </w:rPr>
        <w:t>eTariff</w:t>
      </w:r>
      <w:proofErr w:type="spellEnd"/>
      <w:r>
        <w:rPr>
          <w:rFonts w:ascii="Times New Roman" w:hAnsi="Times New Roman" w:cs="Times New Roman"/>
          <w:sz w:val="26"/>
          <w:szCs w:val="26"/>
        </w:rPr>
        <w:t xml:space="preserve"> system.</w:t>
      </w:r>
    </w:p>
    <w:p w14:paraId="7185DE0C" w14:textId="77777777" w:rsidR="007E0511" w:rsidRPr="00C65030" w:rsidRDefault="007E0511" w:rsidP="008A5F46">
      <w:pPr>
        <w:spacing w:after="0" w:line="240" w:lineRule="auto"/>
        <w:rPr>
          <w:rFonts w:ascii="Times New Roman" w:hAnsi="Times New Roman" w:cs="Times New Roman"/>
          <w:sz w:val="26"/>
          <w:szCs w:val="26"/>
        </w:rPr>
      </w:pPr>
    </w:p>
    <w:p w14:paraId="36BDCE7A" w14:textId="0BF7B7B3" w:rsidR="00EB3E6F" w:rsidRPr="00C65030" w:rsidRDefault="00EB3E6F"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DESCRIBE EFFORTS TO IDENTIF</w:t>
      </w:r>
      <w:r w:rsidR="007B34CE" w:rsidRPr="00C65030">
        <w:rPr>
          <w:rFonts w:ascii="Times New Roman" w:hAnsi="Times New Roman" w:cs="Times New Roman"/>
          <w:b/>
          <w:sz w:val="26"/>
          <w:szCs w:val="26"/>
        </w:rPr>
        <w:t>Y</w:t>
      </w:r>
      <w:r w:rsidRPr="00C65030">
        <w:rPr>
          <w:rFonts w:ascii="Times New Roman" w:hAnsi="Times New Roman" w:cs="Times New Roman"/>
          <w:b/>
          <w:sz w:val="26"/>
          <w:szCs w:val="26"/>
        </w:rPr>
        <w:t xml:space="preserve"> DUPLICATION AND SHOW SPECIFICALLY WHY ANY SIMILAR INFORMATION ALREADY </w:t>
      </w:r>
      <w:r w:rsidRPr="00C65030">
        <w:rPr>
          <w:rFonts w:ascii="Times New Roman" w:hAnsi="Times New Roman" w:cs="Times New Roman"/>
          <w:b/>
          <w:sz w:val="26"/>
          <w:szCs w:val="26"/>
        </w:rPr>
        <w:lastRenderedPageBreak/>
        <w:t>AVAILABLE CANNOT BE USED OR MODIFIED FOR USE FOR THE PURPOSE(S) DESCRIBED IN INSTRUCTION NO. 2</w:t>
      </w:r>
    </w:p>
    <w:p w14:paraId="1833FB02" w14:textId="77777777" w:rsidR="00E21459" w:rsidRDefault="00E21459" w:rsidP="008A5F46">
      <w:pPr>
        <w:pStyle w:val="ListParagraph"/>
        <w:tabs>
          <w:tab w:val="left" w:pos="900"/>
        </w:tabs>
        <w:spacing w:after="0" w:line="240" w:lineRule="auto"/>
        <w:ind w:left="0"/>
        <w:rPr>
          <w:rFonts w:ascii="Times New Roman" w:hAnsi="Times New Roman" w:cs="Times New Roman"/>
          <w:sz w:val="26"/>
          <w:szCs w:val="26"/>
        </w:rPr>
      </w:pPr>
    </w:p>
    <w:p w14:paraId="6C3B80B0" w14:textId="3A2F030B" w:rsidR="007E0511" w:rsidRPr="00C65030" w:rsidRDefault="00FC57BC" w:rsidP="008A5F46">
      <w:pPr>
        <w:pStyle w:val="ListParagraph"/>
        <w:tabs>
          <w:tab w:val="left" w:pos="900"/>
        </w:tabs>
        <w:spacing w:after="0" w:line="240" w:lineRule="auto"/>
        <w:ind w:left="0"/>
        <w:rPr>
          <w:rFonts w:ascii="Times New Roman" w:hAnsi="Times New Roman" w:cs="Times New Roman"/>
          <w:sz w:val="26"/>
          <w:szCs w:val="26"/>
        </w:rPr>
      </w:pPr>
      <w:r w:rsidRPr="00C65030">
        <w:rPr>
          <w:rFonts w:ascii="Times New Roman" w:hAnsi="Times New Roman" w:cs="Times New Roman"/>
          <w:sz w:val="26"/>
          <w:szCs w:val="26"/>
        </w:rPr>
        <w:t>As detailed in #8 below, the Commission has issued multiple notices and held several conferences to obtain public feedback and comments on the situation, challenges, issues, and possible areas for improvement</w:t>
      </w:r>
      <w:r w:rsidR="00201347">
        <w:rPr>
          <w:rFonts w:ascii="Times New Roman" w:hAnsi="Times New Roman" w:cs="Times New Roman"/>
          <w:sz w:val="26"/>
          <w:szCs w:val="26"/>
        </w:rPr>
        <w:t xml:space="preserve"> in natural gas and electric communications</w:t>
      </w:r>
      <w:r w:rsidRPr="00C65030">
        <w:rPr>
          <w:rFonts w:ascii="Times New Roman" w:hAnsi="Times New Roman" w:cs="Times New Roman"/>
          <w:sz w:val="26"/>
          <w:szCs w:val="26"/>
        </w:rPr>
        <w:t xml:space="preserve">.  The </w:t>
      </w:r>
      <w:r w:rsidR="00201347">
        <w:rPr>
          <w:rFonts w:ascii="Times New Roman" w:hAnsi="Times New Roman" w:cs="Times New Roman"/>
          <w:sz w:val="26"/>
          <w:szCs w:val="26"/>
        </w:rPr>
        <w:t>operational information</w:t>
      </w:r>
      <w:r w:rsidRPr="00C65030">
        <w:rPr>
          <w:rFonts w:ascii="Times New Roman" w:hAnsi="Times New Roman" w:cs="Times New Roman"/>
          <w:sz w:val="26"/>
          <w:szCs w:val="26"/>
        </w:rPr>
        <w:t xml:space="preserve"> the </w:t>
      </w:r>
      <w:r w:rsidR="00201347">
        <w:rPr>
          <w:rFonts w:ascii="Times New Roman" w:hAnsi="Times New Roman" w:cs="Times New Roman"/>
          <w:sz w:val="26"/>
          <w:szCs w:val="26"/>
        </w:rPr>
        <w:t>transmission operators</w:t>
      </w:r>
      <w:r w:rsidRPr="00C65030">
        <w:rPr>
          <w:rFonts w:ascii="Times New Roman" w:hAnsi="Times New Roman" w:cs="Times New Roman"/>
          <w:sz w:val="26"/>
          <w:szCs w:val="26"/>
        </w:rPr>
        <w:t xml:space="preserve"> may choose to share </w:t>
      </w:r>
      <w:r w:rsidR="00201347">
        <w:rPr>
          <w:rFonts w:ascii="Times New Roman" w:hAnsi="Times New Roman" w:cs="Times New Roman"/>
          <w:sz w:val="26"/>
          <w:szCs w:val="26"/>
        </w:rPr>
        <w:t>is</w:t>
      </w:r>
      <w:r w:rsidRPr="00C65030">
        <w:rPr>
          <w:rFonts w:ascii="Times New Roman" w:hAnsi="Times New Roman" w:cs="Times New Roman"/>
          <w:sz w:val="26"/>
          <w:szCs w:val="26"/>
        </w:rPr>
        <w:t xml:space="preserve"> non-public and in many cases current or time-sensitive operational data.  </w:t>
      </w:r>
      <w:r w:rsidR="00244B38">
        <w:rPr>
          <w:rFonts w:ascii="Times New Roman" w:hAnsi="Times New Roman" w:cs="Times New Roman"/>
          <w:sz w:val="26"/>
          <w:szCs w:val="26"/>
        </w:rPr>
        <w:t xml:space="preserve">The tariff filings are generally public.  </w:t>
      </w:r>
      <w:r w:rsidRPr="00C65030">
        <w:rPr>
          <w:rFonts w:ascii="Times New Roman" w:hAnsi="Times New Roman" w:cs="Times New Roman"/>
          <w:sz w:val="26"/>
          <w:szCs w:val="26"/>
        </w:rPr>
        <w:t xml:space="preserve">The information is not </w:t>
      </w:r>
      <w:r w:rsidR="00201347">
        <w:rPr>
          <w:rFonts w:ascii="Times New Roman" w:hAnsi="Times New Roman" w:cs="Times New Roman"/>
          <w:sz w:val="26"/>
          <w:szCs w:val="26"/>
        </w:rPr>
        <w:t xml:space="preserve">publicly </w:t>
      </w:r>
      <w:r w:rsidRPr="00C65030">
        <w:rPr>
          <w:rFonts w:ascii="Times New Roman" w:hAnsi="Times New Roman" w:cs="Times New Roman"/>
          <w:sz w:val="26"/>
          <w:szCs w:val="26"/>
        </w:rPr>
        <w:t>available elsewhere.</w:t>
      </w:r>
    </w:p>
    <w:p w14:paraId="15174ADF" w14:textId="46A60833" w:rsidR="00FC57BC" w:rsidRPr="00C65030" w:rsidRDefault="00FC57BC" w:rsidP="008A5F46">
      <w:pPr>
        <w:pStyle w:val="ListParagraph"/>
        <w:spacing w:after="0" w:line="240" w:lineRule="auto"/>
        <w:ind w:left="0"/>
        <w:rPr>
          <w:rFonts w:ascii="Times New Roman" w:hAnsi="Times New Roman" w:cs="Times New Roman"/>
          <w:sz w:val="26"/>
          <w:szCs w:val="26"/>
        </w:rPr>
      </w:pPr>
      <w:r w:rsidRPr="00C65030">
        <w:rPr>
          <w:rFonts w:ascii="Times New Roman" w:hAnsi="Times New Roman" w:cs="Times New Roman"/>
          <w:sz w:val="26"/>
          <w:szCs w:val="26"/>
        </w:rPr>
        <w:t xml:space="preserve"> </w:t>
      </w:r>
    </w:p>
    <w:p w14:paraId="36BDCE7D" w14:textId="77777777" w:rsidR="00EB3E6F" w:rsidRPr="00C65030" w:rsidRDefault="00EB3E6F"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METHODS USED TO MINIMIZE THE BURDEN IN COLLECTION OF INFORMATION INVOLVING SMALL ENTITIES</w:t>
      </w:r>
    </w:p>
    <w:p w14:paraId="1D313F17" w14:textId="77777777" w:rsidR="00E21459" w:rsidRDefault="00E21459" w:rsidP="00447367">
      <w:pPr>
        <w:spacing w:after="0" w:line="240" w:lineRule="auto"/>
        <w:rPr>
          <w:rFonts w:ascii="Times New Roman" w:hAnsi="Times New Roman" w:cs="Times New Roman"/>
          <w:sz w:val="26"/>
          <w:szCs w:val="26"/>
        </w:rPr>
      </w:pPr>
    </w:p>
    <w:p w14:paraId="7ED5632D" w14:textId="78C5E549" w:rsidR="00447367" w:rsidRDefault="00242B6B" w:rsidP="00447367">
      <w:pPr>
        <w:spacing w:after="0" w:line="240" w:lineRule="auto"/>
        <w:rPr>
          <w:rFonts w:ascii="Times New Roman" w:hAnsi="Times New Roman" w:cs="Times New Roman"/>
          <w:sz w:val="26"/>
          <w:szCs w:val="26"/>
        </w:rPr>
      </w:pPr>
      <w:r w:rsidRPr="00447367">
        <w:rPr>
          <w:rFonts w:ascii="Times New Roman" w:hAnsi="Times New Roman" w:cs="Times New Roman"/>
          <w:sz w:val="26"/>
          <w:szCs w:val="26"/>
        </w:rPr>
        <w:t xml:space="preserve">The SBA </w:t>
      </w:r>
      <w:r w:rsidR="00C30E49" w:rsidRPr="00447367">
        <w:rPr>
          <w:rFonts w:ascii="Times New Roman" w:hAnsi="Times New Roman" w:cs="Times New Roman"/>
          <w:sz w:val="26"/>
          <w:szCs w:val="26"/>
        </w:rPr>
        <w:t xml:space="preserve">(Small Business Administration) </w:t>
      </w:r>
      <w:r w:rsidRPr="00447367">
        <w:rPr>
          <w:rFonts w:ascii="Times New Roman" w:hAnsi="Times New Roman" w:cs="Times New Roman"/>
          <w:sz w:val="26"/>
          <w:szCs w:val="26"/>
        </w:rPr>
        <w:t>has established a size standard for electric utilities, electric power distribution, and electric bulk power transmission and control, stating that a firm is small if, including its affiliates, it is primarily engaged in the transmission, generation and/or distribution of electric energy for sale and its total electric output for the preceding fiscal year did not exceed four million megawatt hours.</w:t>
      </w:r>
      <w:r w:rsidRPr="00447367">
        <w:rPr>
          <w:rStyle w:val="FootnoteReference"/>
          <w:rFonts w:ascii="Times New Roman" w:hAnsi="Times New Roman" w:cs="Times New Roman"/>
          <w:sz w:val="26"/>
          <w:szCs w:val="26"/>
          <w:vertAlign w:val="superscript"/>
        </w:rPr>
        <w:footnoteReference w:id="8"/>
      </w:r>
      <w:r w:rsidRPr="00447367">
        <w:rPr>
          <w:rFonts w:ascii="Times New Roman" w:hAnsi="Times New Roman" w:cs="Times New Roman"/>
          <w:sz w:val="26"/>
          <w:szCs w:val="26"/>
        </w:rPr>
        <w:t xml:space="preserve">   For pipeline transportation of natural gas, the SBA defines a small entity as having a maximum annual receipt of $25.5 million dollars.</w:t>
      </w:r>
      <w:r w:rsidRPr="00447367">
        <w:rPr>
          <w:rStyle w:val="FootnoteReference"/>
          <w:rFonts w:ascii="Times New Roman" w:hAnsi="Times New Roman" w:cs="Times New Roman"/>
          <w:sz w:val="26"/>
          <w:szCs w:val="26"/>
          <w:vertAlign w:val="superscript"/>
        </w:rPr>
        <w:footnoteReference w:id="9"/>
      </w:r>
      <w:r w:rsidRPr="00447367">
        <w:rPr>
          <w:rFonts w:ascii="Times New Roman" w:hAnsi="Times New Roman" w:cs="Times New Roman"/>
          <w:sz w:val="26"/>
          <w:szCs w:val="26"/>
        </w:rPr>
        <w:t xml:space="preserve">   </w:t>
      </w:r>
    </w:p>
    <w:p w14:paraId="59B11029" w14:textId="77777777" w:rsidR="00447367" w:rsidRDefault="00447367" w:rsidP="00447367">
      <w:pPr>
        <w:spacing w:after="0" w:line="240" w:lineRule="auto"/>
        <w:rPr>
          <w:rFonts w:ascii="Times New Roman" w:hAnsi="Times New Roman" w:cs="Times New Roman"/>
          <w:sz w:val="26"/>
          <w:szCs w:val="26"/>
        </w:rPr>
      </w:pPr>
    </w:p>
    <w:p w14:paraId="048FD833" w14:textId="5AFA0D0A" w:rsidR="00C95174" w:rsidRPr="00447367" w:rsidRDefault="00447367" w:rsidP="00447367">
      <w:pPr>
        <w:spacing w:after="0" w:line="240" w:lineRule="auto"/>
        <w:rPr>
          <w:rFonts w:ascii="Times New Roman" w:hAnsi="Times New Roman" w:cs="Times New Roman"/>
          <w:sz w:val="26"/>
          <w:szCs w:val="26"/>
        </w:rPr>
      </w:pPr>
      <w:r w:rsidRPr="00447367">
        <w:rPr>
          <w:rFonts w:ascii="Times New Roman" w:hAnsi="Times New Roman" w:cs="Times New Roman"/>
          <w:sz w:val="26"/>
          <w:szCs w:val="26"/>
        </w:rPr>
        <w:t>The information sharing is voluntary</w:t>
      </w:r>
      <w:r>
        <w:rPr>
          <w:rFonts w:ascii="Times New Roman" w:hAnsi="Times New Roman" w:cs="Times New Roman"/>
          <w:sz w:val="26"/>
          <w:szCs w:val="26"/>
        </w:rPr>
        <w:t xml:space="preserve"> (</w:t>
      </w:r>
      <w:r w:rsidRPr="00447367">
        <w:rPr>
          <w:rFonts w:ascii="Times New Roman" w:hAnsi="Times New Roman" w:cs="Times New Roman"/>
          <w:sz w:val="26"/>
          <w:szCs w:val="26"/>
        </w:rPr>
        <w:t>regardless of size</w:t>
      </w:r>
      <w:r>
        <w:rPr>
          <w:rFonts w:ascii="Times New Roman" w:hAnsi="Times New Roman" w:cs="Times New Roman"/>
          <w:sz w:val="26"/>
          <w:szCs w:val="26"/>
        </w:rPr>
        <w:t>)</w:t>
      </w:r>
      <w:r w:rsidRPr="00447367">
        <w:rPr>
          <w:rFonts w:ascii="Times New Roman" w:hAnsi="Times New Roman" w:cs="Times New Roman"/>
          <w:sz w:val="26"/>
          <w:szCs w:val="26"/>
        </w:rPr>
        <w:t xml:space="preserve"> and between transmission operators that believe sharing the non-public, operational information is useful for the purposes of reliability and operational planning.  </w:t>
      </w:r>
      <w:r w:rsidR="00130FE3" w:rsidRPr="00447367">
        <w:rPr>
          <w:rFonts w:ascii="Times New Roman" w:eastAsia="Times New Roman" w:hAnsi="Times New Roman" w:cs="Times New Roman"/>
          <w:sz w:val="26"/>
          <w:szCs w:val="26"/>
        </w:rPr>
        <w:t>The Commission estimates a total of 39 “small” entities</w:t>
      </w:r>
      <w:r w:rsidR="00130FE3" w:rsidRPr="00447367">
        <w:rPr>
          <w:rFonts w:ascii="Times New Roman" w:eastAsia="Times New Roman" w:hAnsi="Times New Roman" w:cs="Times New Roman"/>
          <w:sz w:val="26"/>
          <w:szCs w:val="26"/>
          <w:vertAlign w:val="superscript"/>
        </w:rPr>
        <w:footnoteReference w:id="10"/>
      </w:r>
      <w:r w:rsidR="00130FE3" w:rsidRPr="00447367">
        <w:rPr>
          <w:rFonts w:ascii="Times New Roman" w:eastAsia="Times New Roman" w:hAnsi="Times New Roman" w:cs="Times New Roman"/>
          <w:sz w:val="26"/>
          <w:szCs w:val="26"/>
        </w:rPr>
        <w:t xml:space="preserve"> (or 12.8% of the total of 304 entities), and an average annual cost for each entity of $376.</w:t>
      </w:r>
      <w:r w:rsidR="00130FE3" w:rsidRPr="00447367">
        <w:rPr>
          <w:rFonts w:ascii="Times New Roman" w:eastAsia="Times New Roman" w:hAnsi="Times New Roman" w:cs="Times New Roman"/>
          <w:sz w:val="26"/>
          <w:szCs w:val="26"/>
          <w:vertAlign w:val="superscript"/>
        </w:rPr>
        <w:footnoteReference w:id="11"/>
      </w:r>
      <w:r w:rsidR="00130FE3" w:rsidRPr="00447367">
        <w:rPr>
          <w:rFonts w:ascii="Times New Roman" w:eastAsia="Times New Roman" w:hAnsi="Times New Roman" w:cs="Times New Roman"/>
          <w:sz w:val="26"/>
          <w:szCs w:val="26"/>
          <w:vertAlign w:val="superscript"/>
        </w:rPr>
        <w:t xml:space="preserve"> </w:t>
      </w:r>
      <w:r w:rsidR="00130FE3" w:rsidRPr="00447367">
        <w:rPr>
          <w:rFonts w:ascii="Times New Roman" w:hAnsi="Times New Roman" w:cs="Times New Roman"/>
          <w:sz w:val="26"/>
          <w:szCs w:val="26"/>
        </w:rPr>
        <w:t xml:space="preserve">  </w:t>
      </w:r>
    </w:p>
    <w:p w14:paraId="67256E75" w14:textId="77777777" w:rsidR="00447367" w:rsidRPr="00447367" w:rsidRDefault="00447367" w:rsidP="00C30E49">
      <w:pPr>
        <w:pStyle w:val="FERCparanumber"/>
        <w:numPr>
          <w:ilvl w:val="0"/>
          <w:numId w:val="0"/>
        </w:numPr>
        <w:spacing w:line="240" w:lineRule="auto"/>
      </w:pPr>
    </w:p>
    <w:p w14:paraId="7BA1F3BB" w14:textId="1C0F995C" w:rsidR="00DD4B9F" w:rsidRPr="00447367" w:rsidRDefault="00F437D3" w:rsidP="00C30E49">
      <w:pPr>
        <w:pStyle w:val="FERCparanumber"/>
        <w:numPr>
          <w:ilvl w:val="0"/>
          <w:numId w:val="0"/>
        </w:numPr>
        <w:spacing w:line="240" w:lineRule="auto"/>
        <w:rPr>
          <w:szCs w:val="26"/>
        </w:rPr>
      </w:pPr>
      <w:r>
        <w:t>None</w:t>
      </w:r>
      <w:r w:rsidR="00447367" w:rsidRPr="00447367">
        <w:t xml:space="preserve"> of the 8 entities that are e</w:t>
      </w:r>
      <w:r w:rsidR="00244B38">
        <w:t>xpect</w:t>
      </w:r>
      <w:r w:rsidR="00447367" w:rsidRPr="00447367">
        <w:t xml:space="preserve">ed to make </w:t>
      </w:r>
      <w:r w:rsidR="00244B38">
        <w:t xml:space="preserve">the </w:t>
      </w:r>
      <w:r w:rsidR="00447367" w:rsidRPr="00447367">
        <w:t xml:space="preserve">tariff filings </w:t>
      </w:r>
      <w:r w:rsidR="00244B38">
        <w:t>is</w:t>
      </w:r>
      <w:r w:rsidR="00447367" w:rsidRPr="00447367">
        <w:t xml:space="preserve"> “small”.</w:t>
      </w:r>
    </w:p>
    <w:p w14:paraId="2420AE7E" w14:textId="77777777" w:rsidR="00B50210" w:rsidRPr="00447367" w:rsidRDefault="00C95174" w:rsidP="008A5F46">
      <w:pPr>
        <w:spacing w:after="0" w:line="240" w:lineRule="auto"/>
        <w:rPr>
          <w:rFonts w:ascii="Times New Roman" w:hAnsi="Times New Roman" w:cs="Times New Roman"/>
          <w:b/>
          <w:sz w:val="26"/>
          <w:szCs w:val="26"/>
        </w:rPr>
      </w:pPr>
      <w:r w:rsidRPr="00447367">
        <w:rPr>
          <w:rFonts w:ascii="Times New Roman" w:hAnsi="Times New Roman" w:cs="Times New Roman"/>
          <w:b/>
          <w:sz w:val="26"/>
          <w:szCs w:val="26"/>
        </w:rPr>
        <w:t xml:space="preserve"> </w:t>
      </w:r>
    </w:p>
    <w:p w14:paraId="36BDCE80" w14:textId="77777777" w:rsidR="00EB3E6F" w:rsidRPr="00C65030" w:rsidRDefault="00EB3E6F" w:rsidP="008A5F46">
      <w:pPr>
        <w:pStyle w:val="ListParagraph"/>
        <w:numPr>
          <w:ilvl w:val="0"/>
          <w:numId w:val="1"/>
        </w:numPr>
        <w:spacing w:after="0" w:line="240" w:lineRule="auto"/>
        <w:rPr>
          <w:rFonts w:ascii="Times New Roman" w:hAnsi="Times New Roman" w:cs="Times New Roman"/>
          <w:b/>
          <w:sz w:val="26"/>
          <w:szCs w:val="26"/>
        </w:rPr>
      </w:pPr>
      <w:r w:rsidRPr="00447367">
        <w:rPr>
          <w:rFonts w:ascii="Times New Roman" w:hAnsi="Times New Roman" w:cs="Times New Roman"/>
          <w:b/>
          <w:sz w:val="26"/>
          <w:szCs w:val="26"/>
        </w:rPr>
        <w:lastRenderedPageBreak/>
        <w:t>CONSEQUENCE TO FEDERAL</w:t>
      </w:r>
      <w:r w:rsidRPr="00C65030">
        <w:rPr>
          <w:rFonts w:ascii="Times New Roman" w:hAnsi="Times New Roman" w:cs="Times New Roman"/>
          <w:b/>
          <w:sz w:val="26"/>
          <w:szCs w:val="26"/>
        </w:rPr>
        <w:t xml:space="preserve"> PROGRAM IF COLLECTION WERE CONDUCTED LESS FREQUENTLY</w:t>
      </w:r>
    </w:p>
    <w:p w14:paraId="054E1426" w14:textId="77777777" w:rsidR="00E21459" w:rsidRDefault="00E21459" w:rsidP="008A5F46">
      <w:pPr>
        <w:spacing w:after="0" w:line="240" w:lineRule="auto"/>
        <w:rPr>
          <w:rFonts w:ascii="Times New Roman" w:hAnsi="Times New Roman" w:cs="Times New Roman"/>
          <w:sz w:val="26"/>
          <w:szCs w:val="26"/>
        </w:rPr>
      </w:pPr>
    </w:p>
    <w:p w14:paraId="36BDCE81" w14:textId="56BBE520" w:rsidR="00EB3E6F" w:rsidRDefault="005A7A97"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The frequency and content </w:t>
      </w:r>
      <w:r w:rsidR="005140CA" w:rsidRPr="00C65030">
        <w:rPr>
          <w:rFonts w:ascii="Times New Roman" w:hAnsi="Times New Roman" w:cs="Times New Roman"/>
          <w:sz w:val="26"/>
          <w:szCs w:val="26"/>
        </w:rPr>
        <w:t xml:space="preserve">of the information </w:t>
      </w:r>
      <w:r w:rsidRPr="00C65030">
        <w:rPr>
          <w:rFonts w:ascii="Times New Roman" w:hAnsi="Times New Roman" w:cs="Times New Roman"/>
          <w:sz w:val="26"/>
          <w:szCs w:val="26"/>
        </w:rPr>
        <w:t>being shared</w:t>
      </w:r>
      <w:r w:rsidR="005140CA" w:rsidRPr="00C65030">
        <w:rPr>
          <w:rFonts w:ascii="Times New Roman" w:hAnsi="Times New Roman" w:cs="Times New Roman"/>
          <w:sz w:val="26"/>
          <w:szCs w:val="26"/>
        </w:rPr>
        <w:t xml:space="preserve"> is not </w:t>
      </w:r>
      <w:r w:rsidR="00C74722">
        <w:rPr>
          <w:rFonts w:ascii="Times New Roman" w:hAnsi="Times New Roman" w:cs="Times New Roman"/>
          <w:sz w:val="26"/>
          <w:szCs w:val="26"/>
        </w:rPr>
        <w:t>mandated</w:t>
      </w:r>
      <w:r w:rsidR="00C74722" w:rsidRPr="00C65030">
        <w:rPr>
          <w:rFonts w:ascii="Times New Roman" w:hAnsi="Times New Roman" w:cs="Times New Roman"/>
          <w:sz w:val="26"/>
          <w:szCs w:val="26"/>
        </w:rPr>
        <w:t xml:space="preserve"> </w:t>
      </w:r>
      <w:r w:rsidR="005140CA" w:rsidRPr="00C65030">
        <w:rPr>
          <w:rFonts w:ascii="Times New Roman" w:hAnsi="Times New Roman" w:cs="Times New Roman"/>
          <w:sz w:val="26"/>
          <w:szCs w:val="26"/>
        </w:rPr>
        <w:t>by FERC; rather it is determined by the affected entities based on operational circumstances.</w:t>
      </w:r>
      <w:r w:rsidR="003C796E" w:rsidRPr="00C65030">
        <w:rPr>
          <w:rFonts w:ascii="Times New Roman" w:hAnsi="Times New Roman" w:cs="Times New Roman"/>
          <w:sz w:val="26"/>
          <w:szCs w:val="26"/>
        </w:rPr>
        <w:t xml:space="preserve"> </w:t>
      </w:r>
      <w:r w:rsidR="00C74722">
        <w:rPr>
          <w:rFonts w:ascii="Times New Roman" w:hAnsi="Times New Roman" w:cs="Times New Roman"/>
          <w:sz w:val="26"/>
          <w:szCs w:val="26"/>
        </w:rPr>
        <w:t>(</w:t>
      </w:r>
      <w:r w:rsidR="00C74722" w:rsidRPr="00C74722">
        <w:rPr>
          <w:rFonts w:ascii="Times New Roman" w:hAnsi="Times New Roman" w:cs="Times New Roman"/>
          <w:sz w:val="26"/>
          <w:szCs w:val="26"/>
        </w:rPr>
        <w:t>FERC, however, estimates the frequency of this information sharing to be 12 times per year</w:t>
      </w:r>
      <w:r w:rsidR="005F0F3A">
        <w:rPr>
          <w:rFonts w:ascii="Times New Roman" w:hAnsi="Times New Roman" w:cs="Times New Roman"/>
          <w:sz w:val="26"/>
          <w:szCs w:val="26"/>
        </w:rPr>
        <w:t>, based on operational circumstances and needs</w:t>
      </w:r>
      <w:r w:rsidR="00C74722" w:rsidRPr="00C74722">
        <w:rPr>
          <w:rFonts w:ascii="Times New Roman" w:hAnsi="Times New Roman" w:cs="Times New Roman"/>
          <w:sz w:val="26"/>
          <w:szCs w:val="26"/>
        </w:rPr>
        <w:t>.</w:t>
      </w:r>
      <w:r w:rsidR="00C74722">
        <w:rPr>
          <w:rFonts w:ascii="Times New Roman" w:hAnsi="Times New Roman" w:cs="Times New Roman"/>
          <w:sz w:val="26"/>
          <w:szCs w:val="26"/>
        </w:rPr>
        <w:t>)</w:t>
      </w:r>
      <w:r w:rsidR="00C74722" w:rsidRPr="00C74722">
        <w:rPr>
          <w:rFonts w:ascii="Times New Roman" w:hAnsi="Times New Roman" w:cs="Times New Roman"/>
          <w:sz w:val="26"/>
          <w:szCs w:val="26"/>
        </w:rPr>
        <w:t xml:space="preserve">  </w:t>
      </w:r>
      <w:r w:rsidR="003C796E" w:rsidRPr="00C65030">
        <w:rPr>
          <w:rFonts w:ascii="Times New Roman" w:hAnsi="Times New Roman" w:cs="Times New Roman"/>
          <w:sz w:val="26"/>
          <w:szCs w:val="26"/>
        </w:rPr>
        <w:t xml:space="preserve">The goal of the inter-industry communications is to </w:t>
      </w:r>
      <w:r w:rsidR="00EC696B">
        <w:rPr>
          <w:rFonts w:ascii="Times New Roman" w:hAnsi="Times New Roman" w:cs="Times New Roman"/>
          <w:sz w:val="26"/>
          <w:szCs w:val="26"/>
        </w:rPr>
        <w:t>promote</w:t>
      </w:r>
      <w:r w:rsidR="00EC696B" w:rsidRPr="00C65030">
        <w:rPr>
          <w:rFonts w:ascii="Times New Roman" w:hAnsi="Times New Roman" w:cs="Times New Roman"/>
          <w:sz w:val="26"/>
          <w:szCs w:val="26"/>
        </w:rPr>
        <w:t xml:space="preserve"> </w:t>
      </w:r>
      <w:r w:rsidR="003C796E" w:rsidRPr="00C65030">
        <w:rPr>
          <w:rFonts w:ascii="Times New Roman" w:hAnsi="Times New Roman" w:cs="Times New Roman"/>
          <w:sz w:val="26"/>
          <w:szCs w:val="26"/>
        </w:rPr>
        <w:t>operational planning and reliability o</w:t>
      </w:r>
      <w:r w:rsidR="00EC696B">
        <w:rPr>
          <w:rFonts w:ascii="Times New Roman" w:hAnsi="Times New Roman" w:cs="Times New Roman"/>
          <w:sz w:val="26"/>
          <w:szCs w:val="26"/>
        </w:rPr>
        <w:t xml:space="preserve">n either the interstate natural gas pipeline’s or utility’s </w:t>
      </w:r>
      <w:r w:rsidR="003C796E" w:rsidRPr="00C65030">
        <w:rPr>
          <w:rFonts w:ascii="Times New Roman" w:hAnsi="Times New Roman" w:cs="Times New Roman"/>
          <w:sz w:val="26"/>
          <w:szCs w:val="26"/>
        </w:rPr>
        <w:t>system.</w:t>
      </w:r>
      <w:r w:rsidR="00244B38">
        <w:rPr>
          <w:rFonts w:ascii="Times New Roman" w:hAnsi="Times New Roman" w:cs="Times New Roman"/>
          <w:sz w:val="26"/>
          <w:szCs w:val="26"/>
        </w:rPr>
        <w:t xml:space="preserve">  </w:t>
      </w:r>
    </w:p>
    <w:p w14:paraId="64A3DAF7" w14:textId="77777777" w:rsidR="00C74722" w:rsidRDefault="00C74722" w:rsidP="008A5F46">
      <w:pPr>
        <w:spacing w:after="0" w:line="240" w:lineRule="auto"/>
        <w:rPr>
          <w:rFonts w:ascii="Times New Roman" w:hAnsi="Times New Roman" w:cs="Times New Roman"/>
          <w:sz w:val="26"/>
          <w:szCs w:val="26"/>
        </w:rPr>
      </w:pPr>
    </w:p>
    <w:p w14:paraId="36BDCE82" w14:textId="4762CD86" w:rsidR="00EB3E6F" w:rsidRDefault="00C74722" w:rsidP="008A5F4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requirement to </w:t>
      </w:r>
      <w:r w:rsidR="005F0F3A">
        <w:rPr>
          <w:rFonts w:ascii="Times New Roman" w:hAnsi="Times New Roman" w:cs="Times New Roman"/>
          <w:sz w:val="26"/>
          <w:szCs w:val="26"/>
        </w:rPr>
        <w:t>submit</w:t>
      </w:r>
      <w:r>
        <w:rPr>
          <w:rFonts w:ascii="Times New Roman" w:hAnsi="Times New Roman" w:cs="Times New Roman"/>
          <w:sz w:val="26"/>
          <w:szCs w:val="26"/>
        </w:rPr>
        <w:t xml:space="preserve"> the tariff filing </w:t>
      </w:r>
      <w:r w:rsidR="005F0F3A">
        <w:rPr>
          <w:rFonts w:ascii="Times New Roman" w:hAnsi="Times New Roman" w:cs="Times New Roman"/>
          <w:sz w:val="26"/>
          <w:szCs w:val="26"/>
        </w:rPr>
        <w:t xml:space="preserve">to FERC </w:t>
      </w:r>
      <w:r>
        <w:rPr>
          <w:rFonts w:ascii="Times New Roman" w:hAnsi="Times New Roman" w:cs="Times New Roman"/>
          <w:sz w:val="26"/>
          <w:szCs w:val="26"/>
        </w:rPr>
        <w:t xml:space="preserve">enables the transmission operators to have these inter-industry communications </w:t>
      </w:r>
      <w:r w:rsidRPr="00C74722">
        <w:rPr>
          <w:rFonts w:ascii="Times New Roman" w:hAnsi="Times New Roman" w:cs="Times New Roman"/>
          <w:sz w:val="26"/>
          <w:szCs w:val="26"/>
        </w:rPr>
        <w:t xml:space="preserve">to </w:t>
      </w:r>
      <w:r>
        <w:rPr>
          <w:rFonts w:ascii="Times New Roman" w:hAnsi="Times New Roman" w:cs="Times New Roman"/>
          <w:sz w:val="26"/>
          <w:szCs w:val="26"/>
        </w:rPr>
        <w:t>improve</w:t>
      </w:r>
      <w:r w:rsidRPr="00C74722">
        <w:rPr>
          <w:rFonts w:ascii="Times New Roman" w:hAnsi="Times New Roman" w:cs="Times New Roman"/>
          <w:sz w:val="26"/>
          <w:szCs w:val="26"/>
        </w:rPr>
        <w:t xml:space="preserve"> operational planning and reliability on either the interstate natural gas p</w:t>
      </w:r>
      <w:r>
        <w:rPr>
          <w:rFonts w:ascii="Times New Roman" w:hAnsi="Times New Roman" w:cs="Times New Roman"/>
          <w:sz w:val="26"/>
          <w:szCs w:val="26"/>
        </w:rPr>
        <w:t xml:space="preserve">ipeline’s or utility’s system. </w:t>
      </w:r>
    </w:p>
    <w:p w14:paraId="3473577C" w14:textId="77777777" w:rsidR="005F0F3A" w:rsidRPr="00C65030" w:rsidRDefault="005F0F3A" w:rsidP="008A5F46">
      <w:pPr>
        <w:spacing w:after="0" w:line="240" w:lineRule="auto"/>
        <w:rPr>
          <w:rFonts w:ascii="Times New Roman" w:hAnsi="Times New Roman" w:cs="Times New Roman"/>
          <w:sz w:val="26"/>
          <w:szCs w:val="26"/>
        </w:rPr>
      </w:pPr>
    </w:p>
    <w:p w14:paraId="36BDCE83" w14:textId="77777777" w:rsidR="00EB3E6F" w:rsidRPr="00C65030" w:rsidRDefault="00EB3E6F"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EXPLAIN ANY SPECIAL CIRCUMSTANCES RELATING TO THE INFORMATION COLLECTION</w:t>
      </w:r>
    </w:p>
    <w:p w14:paraId="5F2E0511" w14:textId="77777777" w:rsidR="002B4095" w:rsidRDefault="002B4095" w:rsidP="008A5F46">
      <w:pPr>
        <w:spacing w:after="0" w:line="240" w:lineRule="auto"/>
        <w:rPr>
          <w:rFonts w:ascii="Times New Roman" w:hAnsi="Times New Roman" w:cs="Times New Roman"/>
          <w:sz w:val="26"/>
          <w:szCs w:val="26"/>
        </w:rPr>
      </w:pPr>
    </w:p>
    <w:p w14:paraId="36BDCE84" w14:textId="45BEB681" w:rsidR="00EB3E6F" w:rsidRPr="00C65030" w:rsidRDefault="005140CA"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There are no special circumstances.</w:t>
      </w:r>
    </w:p>
    <w:p w14:paraId="36BDCE85" w14:textId="77777777" w:rsidR="00EB3E6F" w:rsidRPr="00C65030" w:rsidRDefault="00EB3E6F" w:rsidP="008A5F46">
      <w:pPr>
        <w:spacing w:after="0" w:line="240" w:lineRule="auto"/>
        <w:rPr>
          <w:rFonts w:ascii="Times New Roman" w:hAnsi="Times New Roman" w:cs="Times New Roman"/>
          <w:sz w:val="26"/>
          <w:szCs w:val="26"/>
        </w:rPr>
      </w:pPr>
    </w:p>
    <w:p w14:paraId="36BDCE86" w14:textId="77777777" w:rsidR="00EB3E6F" w:rsidRPr="00C65030" w:rsidRDefault="00EB3E6F"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DESCRIBE EFFORTS TO CONSULT OUTSIDE THE AGENCY: SUMMARIZE PUBLIC COMMENTS AND THE AGENCY’S RESPONSE</w:t>
      </w:r>
    </w:p>
    <w:p w14:paraId="03854C60" w14:textId="77777777" w:rsidR="002B4095" w:rsidRDefault="002B4095" w:rsidP="008A5F46">
      <w:pPr>
        <w:spacing w:after="0" w:line="240" w:lineRule="auto"/>
        <w:rPr>
          <w:rFonts w:ascii="Times New Roman" w:hAnsi="Times New Roman" w:cs="Times New Roman"/>
          <w:sz w:val="26"/>
          <w:szCs w:val="26"/>
        </w:rPr>
      </w:pPr>
    </w:p>
    <w:p w14:paraId="2697A526" w14:textId="11CBE667" w:rsidR="000549A8" w:rsidRPr="00C65030" w:rsidRDefault="000549A8"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On February 15, 2012, the Commission issued a notice in Docket No. AD12-12-000 requesting comments on various aspects of gas-electric interdependence and coordination in response to questions posed by members of the Commission.   In order to better understand the interface between the electric and natural gas pipeline industries and identify areas for improved coordination, the questions covered a variety of topics including market structure and rules, scheduling, communications, infrastructure and reliability.  In response to the notice, the Commission received comments from 79 entities, with some raising concerns that current laws, regulations, or tariffs may hinder the sharing of such information.</w:t>
      </w:r>
    </w:p>
    <w:p w14:paraId="3E40639E" w14:textId="77777777" w:rsidR="000549A8" w:rsidRPr="00C65030" w:rsidRDefault="000549A8" w:rsidP="008A5F46">
      <w:pPr>
        <w:spacing w:after="0" w:line="240" w:lineRule="auto"/>
        <w:rPr>
          <w:rFonts w:ascii="Times New Roman" w:hAnsi="Times New Roman" w:cs="Times New Roman"/>
          <w:sz w:val="26"/>
          <w:szCs w:val="26"/>
        </w:rPr>
      </w:pPr>
    </w:p>
    <w:p w14:paraId="6A12EADE" w14:textId="65E5D9FE" w:rsidR="000549A8" w:rsidRPr="00C65030" w:rsidRDefault="000549A8" w:rsidP="008A5F46">
      <w:pPr>
        <w:spacing w:after="0" w:line="240" w:lineRule="auto"/>
        <w:rPr>
          <w:rFonts w:ascii="Times New Roman" w:hAnsi="Times New Roman" w:cs="Times New Roman"/>
          <w:sz w:val="26"/>
          <w:szCs w:val="26"/>
          <w:vertAlign w:val="superscript"/>
        </w:rPr>
      </w:pPr>
      <w:r w:rsidRPr="00C65030">
        <w:rPr>
          <w:rFonts w:ascii="Times New Roman" w:hAnsi="Times New Roman" w:cs="Times New Roman"/>
          <w:sz w:val="26"/>
          <w:szCs w:val="26"/>
        </w:rPr>
        <w:t xml:space="preserve">During August 2012, the Commission convened five regional conferences for the purpose of exploring these issues and obtaining further information from the electric and natural gas industries regarding coordination between the industries.  Representatives from a cross-section of both industries attended the regional conferences, with total attendance exceeding 1,200 registrants.  Among the topics discussed at the conferences were communications, coordination, and information-sharing.  Participants at multiple conferences again expressed concern that Commission rules and policies could be impeding further efforts to improve communication between the industries.   Some natural gas pipelines and Regional Transmission Organizations and Independent System Operators (RTOs/ISOs) also noted that, although they make significant amounts of </w:t>
      </w:r>
      <w:r w:rsidRPr="00C65030">
        <w:rPr>
          <w:rFonts w:ascii="Times New Roman" w:hAnsi="Times New Roman" w:cs="Times New Roman"/>
          <w:sz w:val="26"/>
          <w:szCs w:val="26"/>
        </w:rPr>
        <w:lastRenderedPageBreak/>
        <w:t>operational information publicly available, there is reluctance to share information on a more granular level because of concerns about violating statutory prohibitions against undue preference for any customer or customer class.</w:t>
      </w:r>
      <w:r w:rsidR="00117404" w:rsidRPr="00C65030">
        <w:rPr>
          <w:rStyle w:val="FootnoteReference"/>
          <w:rFonts w:ascii="Times New Roman" w:hAnsi="Times New Roman" w:cs="Times New Roman"/>
          <w:sz w:val="26"/>
          <w:szCs w:val="26"/>
          <w:vertAlign w:val="superscript"/>
        </w:rPr>
        <w:footnoteReference w:id="12"/>
      </w:r>
    </w:p>
    <w:p w14:paraId="22A7712F" w14:textId="72C92BB9" w:rsidR="000549A8" w:rsidRPr="00C65030" w:rsidRDefault="000549A8"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 </w:t>
      </w:r>
    </w:p>
    <w:p w14:paraId="0CADCB67" w14:textId="3DE8D225" w:rsidR="000549A8" w:rsidRPr="00C65030" w:rsidRDefault="000549A8"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On November 15, 2012, the Commission issued an order directing further technical conferences and reports.   In the November 15 Order, the Commission acknowledged the concerns regarding communications between the two industries, but found that there was little specific discussion of potential clarifications or potential changes to the Commission’s regulations.   The Commission, therefore, directed Commission staff to convene a technical conference to identify areas in which additional Commission guidance or potential regulatory changes could be considered.</w:t>
      </w:r>
      <w:r w:rsidR="00117404" w:rsidRPr="00C65030">
        <w:rPr>
          <w:rStyle w:val="FootnoteReference"/>
          <w:rFonts w:ascii="Times New Roman" w:hAnsi="Times New Roman" w:cs="Times New Roman"/>
          <w:sz w:val="26"/>
          <w:szCs w:val="26"/>
          <w:vertAlign w:val="superscript"/>
        </w:rPr>
        <w:footnoteReference w:id="13"/>
      </w:r>
    </w:p>
    <w:p w14:paraId="1C881EED" w14:textId="77777777" w:rsidR="000549A8" w:rsidRPr="00C65030" w:rsidRDefault="000549A8" w:rsidP="008A5F46">
      <w:pPr>
        <w:spacing w:after="0" w:line="240" w:lineRule="auto"/>
        <w:rPr>
          <w:rFonts w:ascii="Times New Roman" w:hAnsi="Times New Roman" w:cs="Times New Roman"/>
          <w:sz w:val="26"/>
          <w:szCs w:val="26"/>
        </w:rPr>
      </w:pPr>
    </w:p>
    <w:p w14:paraId="36BDCE88" w14:textId="45840007" w:rsidR="00EB3E6F" w:rsidRPr="00C65030" w:rsidRDefault="000549A8"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Pursuant to the November 15 Order, on December 7, 2012,</w:t>
      </w:r>
      <w:r w:rsidR="002B4095">
        <w:rPr>
          <w:rFonts w:ascii="Times New Roman" w:hAnsi="Times New Roman" w:cs="Times New Roman"/>
          <w:sz w:val="26"/>
          <w:szCs w:val="26"/>
        </w:rPr>
        <w:t xml:space="preserve"> the Commission issued</w:t>
      </w:r>
      <w:r w:rsidRPr="00C65030">
        <w:rPr>
          <w:rFonts w:ascii="Times New Roman" w:hAnsi="Times New Roman" w:cs="Times New Roman"/>
          <w:sz w:val="26"/>
          <w:szCs w:val="26"/>
        </w:rPr>
        <w:t xml:space="preserve"> a Notice of Request for Comments and Technical Conference to be held </w:t>
      </w:r>
      <w:r w:rsidR="002B4095">
        <w:rPr>
          <w:rFonts w:ascii="Times New Roman" w:hAnsi="Times New Roman" w:cs="Times New Roman"/>
          <w:sz w:val="26"/>
          <w:szCs w:val="26"/>
        </w:rPr>
        <w:t xml:space="preserve">on February 13, 2013 </w:t>
      </w:r>
      <w:r w:rsidRPr="00C65030">
        <w:rPr>
          <w:rFonts w:ascii="Times New Roman" w:hAnsi="Times New Roman" w:cs="Times New Roman"/>
          <w:sz w:val="26"/>
          <w:szCs w:val="26"/>
        </w:rPr>
        <w:t>on information sharing and communication issues between the natural gas and electricity industries.</w:t>
      </w:r>
      <w:r w:rsidR="00117404" w:rsidRPr="00C65030">
        <w:rPr>
          <w:rFonts w:ascii="Times New Roman" w:eastAsia="Times New Roman" w:hAnsi="Times New Roman" w:cs="Times New Roman"/>
          <w:b/>
          <w:sz w:val="26"/>
          <w:szCs w:val="26"/>
          <w:vertAlign w:val="superscript"/>
        </w:rPr>
        <w:t xml:space="preserve"> </w:t>
      </w:r>
      <w:r w:rsidR="00117404" w:rsidRPr="00C65030">
        <w:rPr>
          <w:rFonts w:ascii="Times New Roman" w:eastAsia="Times New Roman" w:hAnsi="Times New Roman" w:cs="Times New Roman"/>
          <w:sz w:val="26"/>
          <w:szCs w:val="26"/>
          <w:vertAlign w:val="superscript"/>
        </w:rPr>
        <w:footnoteReference w:id="14"/>
      </w:r>
      <w:r w:rsidR="002B4095">
        <w:rPr>
          <w:rFonts w:ascii="Times New Roman" w:hAnsi="Times New Roman" w:cs="Times New Roman"/>
          <w:sz w:val="26"/>
          <w:szCs w:val="26"/>
        </w:rPr>
        <w:t xml:space="preserve">  The Commission asked i</w:t>
      </w:r>
      <w:r w:rsidRPr="00C65030">
        <w:rPr>
          <w:rFonts w:ascii="Times New Roman" w:hAnsi="Times New Roman" w:cs="Times New Roman"/>
          <w:sz w:val="26"/>
          <w:szCs w:val="26"/>
        </w:rPr>
        <w:t xml:space="preserve">nterested parties to file comments prior to the technical conference on three questions related to communications and information sharing.  Twenty-seven comments were filed in response to the December 7 Notice, and more than 350 persons, representing a cross-section of industry, registered for the technical conference.       </w:t>
      </w:r>
    </w:p>
    <w:p w14:paraId="5C36A3CC" w14:textId="77777777" w:rsidR="000549A8" w:rsidRPr="00C65030" w:rsidRDefault="000549A8" w:rsidP="008A5F46">
      <w:pPr>
        <w:spacing w:after="0" w:line="240" w:lineRule="auto"/>
        <w:rPr>
          <w:rFonts w:ascii="Times New Roman" w:hAnsi="Times New Roman" w:cs="Times New Roman"/>
          <w:sz w:val="26"/>
          <w:szCs w:val="26"/>
        </w:rPr>
      </w:pPr>
    </w:p>
    <w:p w14:paraId="32427E94" w14:textId="2D7B9995" w:rsidR="005468B7" w:rsidRPr="00C65030" w:rsidRDefault="005468B7"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On </w:t>
      </w:r>
      <w:r w:rsidR="009D5A74">
        <w:rPr>
          <w:rFonts w:ascii="Times New Roman" w:hAnsi="Times New Roman" w:cs="Times New Roman"/>
          <w:sz w:val="26"/>
          <w:szCs w:val="26"/>
        </w:rPr>
        <w:t xml:space="preserve">July 18, </w:t>
      </w:r>
      <w:r w:rsidRPr="00C65030">
        <w:rPr>
          <w:rFonts w:ascii="Times New Roman" w:hAnsi="Times New Roman" w:cs="Times New Roman"/>
          <w:sz w:val="26"/>
          <w:szCs w:val="26"/>
        </w:rPr>
        <w:t>2013</w:t>
      </w:r>
      <w:r w:rsidR="00BF2868">
        <w:rPr>
          <w:rFonts w:ascii="Times New Roman" w:hAnsi="Times New Roman" w:cs="Times New Roman"/>
          <w:sz w:val="26"/>
          <w:szCs w:val="26"/>
        </w:rPr>
        <w:t>,</w:t>
      </w:r>
      <w:r w:rsidRPr="00C65030">
        <w:rPr>
          <w:rFonts w:ascii="Times New Roman" w:hAnsi="Times New Roman" w:cs="Times New Roman"/>
          <w:sz w:val="26"/>
          <w:szCs w:val="26"/>
        </w:rPr>
        <w:t xml:space="preserve"> the Commission issued </w:t>
      </w:r>
      <w:r w:rsidR="00A4295D">
        <w:rPr>
          <w:rFonts w:ascii="Times New Roman" w:hAnsi="Times New Roman" w:cs="Times New Roman"/>
          <w:sz w:val="26"/>
          <w:szCs w:val="26"/>
        </w:rPr>
        <w:t>a</w:t>
      </w:r>
      <w:r w:rsidRPr="00C65030">
        <w:rPr>
          <w:rFonts w:ascii="Times New Roman" w:hAnsi="Times New Roman" w:cs="Times New Roman"/>
          <w:sz w:val="26"/>
          <w:szCs w:val="26"/>
        </w:rPr>
        <w:t xml:space="preserve"> Notice of Proposed Rulemaking in Docket RM13-17.</w:t>
      </w:r>
      <w:r w:rsidRPr="00C65030">
        <w:rPr>
          <w:rFonts w:ascii="Times New Roman" w:hAnsi="Times New Roman" w:cs="Times New Roman"/>
          <w:sz w:val="26"/>
          <w:szCs w:val="26"/>
          <w:vertAlign w:val="superscript"/>
        </w:rPr>
        <w:fldChar w:fldCharType="begin"/>
      </w:r>
      <w:r w:rsidRPr="00C65030">
        <w:rPr>
          <w:rFonts w:ascii="Times New Roman" w:hAnsi="Times New Roman" w:cs="Times New Roman"/>
          <w:sz w:val="26"/>
          <w:szCs w:val="26"/>
          <w:vertAlign w:val="superscript"/>
        </w:rPr>
        <w:instrText xml:space="preserve"> NOTEREF _Ref370714612 \h  \* MERGEFORMAT </w:instrText>
      </w:r>
      <w:r w:rsidRPr="00C65030">
        <w:rPr>
          <w:rFonts w:ascii="Times New Roman" w:hAnsi="Times New Roman" w:cs="Times New Roman"/>
          <w:sz w:val="26"/>
          <w:szCs w:val="26"/>
          <w:vertAlign w:val="superscript"/>
        </w:rPr>
      </w:r>
      <w:r w:rsidRPr="00C65030">
        <w:rPr>
          <w:rFonts w:ascii="Times New Roman" w:hAnsi="Times New Roman" w:cs="Times New Roman"/>
          <w:sz w:val="26"/>
          <w:szCs w:val="26"/>
          <w:vertAlign w:val="superscript"/>
        </w:rPr>
        <w:fldChar w:fldCharType="separate"/>
      </w:r>
      <w:r w:rsidR="002B4095">
        <w:rPr>
          <w:rFonts w:ascii="Times New Roman" w:hAnsi="Times New Roman" w:cs="Times New Roman"/>
          <w:sz w:val="26"/>
          <w:szCs w:val="26"/>
          <w:vertAlign w:val="superscript"/>
        </w:rPr>
        <w:t>1</w:t>
      </w:r>
      <w:r w:rsidRPr="00C65030">
        <w:rPr>
          <w:rFonts w:ascii="Times New Roman" w:hAnsi="Times New Roman" w:cs="Times New Roman"/>
          <w:sz w:val="26"/>
          <w:szCs w:val="26"/>
          <w:vertAlign w:val="superscript"/>
        </w:rPr>
        <w:fldChar w:fldCharType="end"/>
      </w:r>
      <w:r w:rsidR="002F22FC" w:rsidRPr="00C65030">
        <w:rPr>
          <w:rFonts w:ascii="Times New Roman" w:hAnsi="Times New Roman" w:cs="Times New Roman"/>
          <w:sz w:val="26"/>
          <w:szCs w:val="26"/>
          <w:vertAlign w:val="superscript"/>
        </w:rPr>
        <w:t xml:space="preserve">, </w:t>
      </w:r>
      <w:r w:rsidR="002F22FC" w:rsidRPr="00C65030">
        <w:rPr>
          <w:rStyle w:val="FootnoteReference"/>
          <w:rFonts w:ascii="Times New Roman" w:hAnsi="Times New Roman" w:cs="Times New Roman"/>
          <w:sz w:val="26"/>
          <w:szCs w:val="26"/>
          <w:vertAlign w:val="superscript"/>
        </w:rPr>
        <w:footnoteReference w:id="15"/>
      </w:r>
      <w:r w:rsidRPr="00C65030">
        <w:rPr>
          <w:rFonts w:ascii="Times New Roman" w:hAnsi="Times New Roman" w:cs="Times New Roman"/>
          <w:sz w:val="26"/>
          <w:szCs w:val="26"/>
        </w:rPr>
        <w:t xml:space="preserve">  </w:t>
      </w:r>
      <w:proofErr w:type="gramStart"/>
      <w:r w:rsidRPr="00C65030">
        <w:rPr>
          <w:rFonts w:ascii="Times New Roman" w:hAnsi="Times New Roman" w:cs="Times New Roman"/>
          <w:sz w:val="26"/>
          <w:szCs w:val="26"/>
        </w:rPr>
        <w:t>In</w:t>
      </w:r>
      <w:proofErr w:type="gramEnd"/>
      <w:r w:rsidRPr="00C65030">
        <w:rPr>
          <w:rFonts w:ascii="Times New Roman" w:hAnsi="Times New Roman" w:cs="Times New Roman"/>
          <w:sz w:val="26"/>
          <w:szCs w:val="26"/>
        </w:rPr>
        <w:t xml:space="preserve"> response</w:t>
      </w:r>
      <w:r w:rsidR="00A4295D">
        <w:rPr>
          <w:rFonts w:ascii="Times New Roman" w:hAnsi="Times New Roman" w:cs="Times New Roman"/>
          <w:sz w:val="26"/>
          <w:szCs w:val="26"/>
        </w:rPr>
        <w:t xml:space="preserve"> to the NOPR</w:t>
      </w:r>
      <w:r w:rsidRPr="00C65030">
        <w:rPr>
          <w:rFonts w:ascii="Times New Roman" w:hAnsi="Times New Roman" w:cs="Times New Roman"/>
          <w:sz w:val="26"/>
          <w:szCs w:val="26"/>
        </w:rPr>
        <w:t>, 3</w:t>
      </w:r>
      <w:r w:rsidR="009D5A74">
        <w:rPr>
          <w:rFonts w:ascii="Times New Roman" w:hAnsi="Times New Roman" w:cs="Times New Roman"/>
          <w:sz w:val="26"/>
          <w:szCs w:val="26"/>
        </w:rPr>
        <w:t>4</w:t>
      </w:r>
      <w:r w:rsidRPr="00C65030">
        <w:rPr>
          <w:rFonts w:ascii="Times New Roman" w:hAnsi="Times New Roman" w:cs="Times New Roman"/>
          <w:sz w:val="26"/>
          <w:szCs w:val="26"/>
        </w:rPr>
        <w:t xml:space="preserve"> comments and reply comments were </w:t>
      </w:r>
      <w:r w:rsidR="009D5A74" w:rsidRPr="009D5A74">
        <w:rPr>
          <w:rFonts w:ascii="Times New Roman" w:hAnsi="Times New Roman" w:cs="Times New Roman"/>
          <w:sz w:val="26"/>
          <w:szCs w:val="26"/>
        </w:rPr>
        <w:t>received from Regional Transmission Organizations and Independent System Operators (RTOs/ISOs), electric utilities, interstate natural gas pipelines, LDCs, state regulators, generators, and other parties</w:t>
      </w:r>
      <w:r w:rsidRPr="00C65030">
        <w:rPr>
          <w:rFonts w:ascii="Times New Roman" w:hAnsi="Times New Roman" w:cs="Times New Roman"/>
          <w:sz w:val="26"/>
          <w:szCs w:val="26"/>
        </w:rPr>
        <w:t>.  The Commission responds to the comments in the Final Rule</w:t>
      </w:r>
      <w:r w:rsidR="00C03B0A">
        <w:rPr>
          <w:rFonts w:ascii="Times New Roman" w:hAnsi="Times New Roman" w:cs="Times New Roman"/>
          <w:sz w:val="26"/>
          <w:szCs w:val="26"/>
        </w:rPr>
        <w:t>, but n</w:t>
      </w:r>
      <w:r w:rsidR="00C03B0A" w:rsidRPr="00FF5C15">
        <w:rPr>
          <w:rFonts w:ascii="Times New Roman" w:hAnsi="Times New Roman" w:cs="Times New Roman"/>
          <w:sz w:val="26"/>
          <w:szCs w:val="26"/>
        </w:rPr>
        <w:t>o filed comments addressed the proposed Information Collection Statement, including the estimated public reporting burden.</w:t>
      </w:r>
      <w:r w:rsidR="00C03B0A">
        <w:t xml:space="preserve">  </w:t>
      </w:r>
    </w:p>
    <w:p w14:paraId="54DE3E8A" w14:textId="77777777" w:rsidR="002F1AF6" w:rsidRDefault="002F1AF6" w:rsidP="008A5F46">
      <w:pPr>
        <w:spacing w:after="0" w:line="240" w:lineRule="auto"/>
        <w:rPr>
          <w:rFonts w:ascii="Times New Roman" w:hAnsi="Times New Roman" w:cs="Times New Roman"/>
          <w:sz w:val="26"/>
          <w:szCs w:val="26"/>
        </w:rPr>
      </w:pPr>
    </w:p>
    <w:p w14:paraId="730D2FEC" w14:textId="77777777" w:rsidR="00BF7366" w:rsidRPr="00C65030" w:rsidRDefault="00BF7366" w:rsidP="008A5F46">
      <w:pPr>
        <w:spacing w:after="0" w:line="240" w:lineRule="auto"/>
        <w:rPr>
          <w:rFonts w:ascii="Times New Roman" w:hAnsi="Times New Roman" w:cs="Times New Roman"/>
          <w:sz w:val="26"/>
          <w:szCs w:val="26"/>
        </w:rPr>
      </w:pPr>
    </w:p>
    <w:p w14:paraId="0922725B" w14:textId="4CFBA230" w:rsidR="00C32AF1" w:rsidRPr="00C65030" w:rsidRDefault="00BF7366" w:rsidP="008A5F46">
      <w:pPr>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R</w:t>
      </w:r>
      <w:r w:rsidRPr="00C65030">
        <w:rPr>
          <w:rFonts w:ascii="Times New Roman" w:hAnsi="Times New Roman" w:cs="Times New Roman"/>
          <w:sz w:val="26"/>
          <w:szCs w:val="26"/>
        </w:rPr>
        <w:t xml:space="preserve">epresentatives of the </w:t>
      </w:r>
      <w:r>
        <w:rPr>
          <w:rFonts w:ascii="Times New Roman" w:hAnsi="Times New Roman" w:cs="Times New Roman"/>
          <w:sz w:val="26"/>
          <w:szCs w:val="26"/>
        </w:rPr>
        <w:t>RTOs/</w:t>
      </w:r>
      <w:r w:rsidRPr="00C65030">
        <w:rPr>
          <w:rFonts w:ascii="Times New Roman" w:hAnsi="Times New Roman" w:cs="Times New Roman"/>
          <w:sz w:val="26"/>
          <w:szCs w:val="26"/>
        </w:rPr>
        <w:t>ISOs made presentations</w:t>
      </w:r>
      <w:r>
        <w:rPr>
          <w:rFonts w:ascii="Times New Roman" w:hAnsi="Times New Roman" w:cs="Times New Roman"/>
          <w:sz w:val="26"/>
          <w:szCs w:val="26"/>
        </w:rPr>
        <w:t xml:space="preserve"> a</w:t>
      </w:r>
      <w:r w:rsidR="00AE7575" w:rsidRPr="00C65030">
        <w:rPr>
          <w:rFonts w:ascii="Times New Roman" w:hAnsi="Times New Roman" w:cs="Times New Roman"/>
          <w:sz w:val="26"/>
          <w:szCs w:val="26"/>
        </w:rPr>
        <w:t xml:space="preserve">t </w:t>
      </w:r>
      <w:r>
        <w:rPr>
          <w:rFonts w:ascii="Times New Roman" w:hAnsi="Times New Roman" w:cs="Times New Roman"/>
          <w:sz w:val="26"/>
          <w:szCs w:val="26"/>
        </w:rPr>
        <w:t xml:space="preserve">a recent </w:t>
      </w:r>
      <w:r w:rsidR="00AE7575" w:rsidRPr="00C65030">
        <w:rPr>
          <w:rFonts w:ascii="Times New Roman" w:hAnsi="Times New Roman" w:cs="Times New Roman"/>
          <w:sz w:val="26"/>
          <w:szCs w:val="26"/>
        </w:rPr>
        <w:t xml:space="preserve">Commission meeting </w:t>
      </w:r>
      <w:r w:rsidRPr="00C65030">
        <w:rPr>
          <w:rFonts w:ascii="Times New Roman" w:hAnsi="Times New Roman" w:cs="Times New Roman"/>
          <w:sz w:val="26"/>
          <w:szCs w:val="26"/>
        </w:rPr>
        <w:t>on 10/17/2013</w:t>
      </w:r>
      <w:r>
        <w:rPr>
          <w:rFonts w:ascii="Times New Roman" w:hAnsi="Times New Roman" w:cs="Times New Roman"/>
          <w:sz w:val="26"/>
          <w:szCs w:val="26"/>
        </w:rPr>
        <w:t xml:space="preserve"> in separate Docket No. </w:t>
      </w:r>
      <w:proofErr w:type="gramStart"/>
      <w:r>
        <w:rPr>
          <w:rFonts w:ascii="Times New Roman" w:hAnsi="Times New Roman" w:cs="Times New Roman"/>
          <w:sz w:val="26"/>
          <w:szCs w:val="26"/>
        </w:rPr>
        <w:t>AD12-12.</w:t>
      </w:r>
      <w:proofErr w:type="gramEnd"/>
      <w:r w:rsidR="00C32AF1" w:rsidRPr="00C65030">
        <w:rPr>
          <w:rFonts w:ascii="Times New Roman" w:hAnsi="Times New Roman" w:cs="Times New Roman"/>
          <w:sz w:val="26"/>
          <w:szCs w:val="26"/>
        </w:rPr>
        <w:t xml:space="preserve">  </w:t>
      </w:r>
      <w:r>
        <w:rPr>
          <w:rFonts w:ascii="Times New Roman" w:hAnsi="Times New Roman" w:cs="Times New Roman"/>
          <w:sz w:val="26"/>
          <w:szCs w:val="26"/>
        </w:rPr>
        <w:t xml:space="preserve">Their presentations gave further evidence of the need for the final rule in RM13-17.  </w:t>
      </w:r>
      <w:r w:rsidR="00C32AF1" w:rsidRPr="00C65030">
        <w:rPr>
          <w:rFonts w:ascii="Times New Roman" w:hAnsi="Times New Roman" w:cs="Times New Roman"/>
          <w:sz w:val="26"/>
          <w:szCs w:val="26"/>
        </w:rPr>
        <w:t xml:space="preserve">Links </w:t>
      </w:r>
      <w:r w:rsidR="00DD3DBB" w:rsidRPr="00C65030">
        <w:rPr>
          <w:rFonts w:ascii="Times New Roman" w:hAnsi="Times New Roman" w:cs="Times New Roman"/>
          <w:sz w:val="26"/>
          <w:szCs w:val="26"/>
        </w:rPr>
        <w:t xml:space="preserve">to the </w:t>
      </w:r>
      <w:r w:rsidR="00A4295D">
        <w:rPr>
          <w:rFonts w:ascii="Times New Roman" w:hAnsi="Times New Roman" w:cs="Times New Roman"/>
          <w:sz w:val="26"/>
          <w:szCs w:val="26"/>
        </w:rPr>
        <w:t>RTO/</w:t>
      </w:r>
      <w:r w:rsidR="00DD3DBB" w:rsidRPr="00C65030">
        <w:rPr>
          <w:rFonts w:ascii="Times New Roman" w:hAnsi="Times New Roman" w:cs="Times New Roman"/>
          <w:sz w:val="26"/>
          <w:szCs w:val="26"/>
        </w:rPr>
        <w:t xml:space="preserve">ISO presentations </w:t>
      </w:r>
      <w:r w:rsidR="00C32AF1" w:rsidRPr="00C65030">
        <w:rPr>
          <w:rFonts w:ascii="Times New Roman" w:hAnsi="Times New Roman" w:cs="Times New Roman"/>
          <w:sz w:val="26"/>
          <w:szCs w:val="26"/>
        </w:rPr>
        <w:t>follow:</w:t>
      </w:r>
    </w:p>
    <w:p w14:paraId="45B5E218" w14:textId="0588C8E1" w:rsidR="00C32AF1" w:rsidRPr="00C65030" w:rsidRDefault="00C32AF1" w:rsidP="00C32AF1">
      <w:pPr>
        <w:pStyle w:val="ListParagraph"/>
        <w:numPr>
          <w:ilvl w:val="0"/>
          <w:numId w:val="7"/>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ISO New England, at </w:t>
      </w:r>
      <w:hyperlink r:id="rId9" w:history="1">
        <w:r w:rsidRPr="00C65030">
          <w:rPr>
            <w:rStyle w:val="Hyperlink"/>
            <w:rFonts w:ascii="Times New Roman" w:hAnsi="Times New Roman" w:cs="Times New Roman"/>
            <w:sz w:val="26"/>
            <w:szCs w:val="26"/>
          </w:rPr>
          <w:t>http://elibrary.ferc.gov/idmws/common/opennat.asp?fileID=13373125</w:t>
        </w:r>
      </w:hyperlink>
      <w:r w:rsidRPr="00C65030">
        <w:rPr>
          <w:rFonts w:ascii="Times New Roman" w:hAnsi="Times New Roman" w:cs="Times New Roman"/>
          <w:sz w:val="26"/>
          <w:szCs w:val="26"/>
        </w:rPr>
        <w:t xml:space="preserve"> </w:t>
      </w:r>
    </w:p>
    <w:p w14:paraId="2DB8FCA5" w14:textId="56C83D68" w:rsidR="00C32AF1" w:rsidRPr="00C65030" w:rsidRDefault="00C32AF1" w:rsidP="00C32AF1">
      <w:pPr>
        <w:pStyle w:val="ListParagraph"/>
        <w:numPr>
          <w:ilvl w:val="0"/>
          <w:numId w:val="7"/>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PJM, at </w:t>
      </w:r>
      <w:hyperlink r:id="rId10" w:history="1">
        <w:r w:rsidRPr="00C65030">
          <w:rPr>
            <w:rStyle w:val="Hyperlink"/>
            <w:rFonts w:ascii="Times New Roman" w:hAnsi="Times New Roman" w:cs="Times New Roman"/>
            <w:sz w:val="26"/>
            <w:szCs w:val="26"/>
          </w:rPr>
          <w:t>http://elibrary.ferc.gov/idmws/common/opennat.asp?fileID=13373151</w:t>
        </w:r>
      </w:hyperlink>
      <w:r w:rsidRPr="00C65030">
        <w:rPr>
          <w:rFonts w:ascii="Times New Roman" w:hAnsi="Times New Roman" w:cs="Times New Roman"/>
          <w:sz w:val="26"/>
          <w:szCs w:val="26"/>
        </w:rPr>
        <w:t xml:space="preserve"> </w:t>
      </w:r>
    </w:p>
    <w:p w14:paraId="5AE89F83" w14:textId="7AEC7A66" w:rsidR="00C32AF1" w:rsidRPr="00C65030" w:rsidRDefault="00C32AF1" w:rsidP="00C32AF1">
      <w:pPr>
        <w:pStyle w:val="ListParagraph"/>
        <w:numPr>
          <w:ilvl w:val="0"/>
          <w:numId w:val="7"/>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California Independent System Operator Corporation, at </w:t>
      </w:r>
      <w:hyperlink r:id="rId11" w:history="1">
        <w:r w:rsidRPr="00C65030">
          <w:rPr>
            <w:rStyle w:val="Hyperlink"/>
            <w:rFonts w:ascii="Times New Roman" w:hAnsi="Times New Roman" w:cs="Times New Roman"/>
            <w:sz w:val="26"/>
            <w:szCs w:val="26"/>
          </w:rPr>
          <w:t>http://elibrary.ferc.gov/idmws/common/opennat.asp?fileID=13373167</w:t>
        </w:r>
      </w:hyperlink>
      <w:r w:rsidRPr="00C65030">
        <w:rPr>
          <w:rFonts w:ascii="Times New Roman" w:hAnsi="Times New Roman" w:cs="Times New Roman"/>
          <w:sz w:val="26"/>
          <w:szCs w:val="26"/>
        </w:rPr>
        <w:t xml:space="preserve"> </w:t>
      </w:r>
    </w:p>
    <w:p w14:paraId="58CC2639" w14:textId="28434B0B" w:rsidR="00C32AF1" w:rsidRPr="00C65030" w:rsidRDefault="00C32AF1" w:rsidP="00C32AF1">
      <w:pPr>
        <w:pStyle w:val="ListParagraph"/>
        <w:numPr>
          <w:ilvl w:val="0"/>
          <w:numId w:val="7"/>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ERCOT, at </w:t>
      </w:r>
      <w:hyperlink r:id="rId12" w:history="1">
        <w:r w:rsidRPr="00C65030">
          <w:rPr>
            <w:rStyle w:val="Hyperlink"/>
            <w:rFonts w:ascii="Times New Roman" w:hAnsi="Times New Roman" w:cs="Times New Roman"/>
            <w:sz w:val="26"/>
            <w:szCs w:val="26"/>
          </w:rPr>
          <w:t>http://elibrary.ferc.gov/idmws/common/opennat.asp?fileID=13373186</w:t>
        </w:r>
      </w:hyperlink>
      <w:r w:rsidRPr="00C65030">
        <w:rPr>
          <w:rFonts w:ascii="Times New Roman" w:hAnsi="Times New Roman" w:cs="Times New Roman"/>
          <w:sz w:val="26"/>
          <w:szCs w:val="26"/>
        </w:rPr>
        <w:t xml:space="preserve"> </w:t>
      </w:r>
    </w:p>
    <w:p w14:paraId="38A2AAD4" w14:textId="0C07C773" w:rsidR="00C32AF1" w:rsidRPr="00C65030" w:rsidRDefault="00C32AF1" w:rsidP="00AE7575">
      <w:pPr>
        <w:pStyle w:val="ListParagraph"/>
        <w:numPr>
          <w:ilvl w:val="0"/>
          <w:numId w:val="7"/>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MISO, at </w:t>
      </w:r>
      <w:hyperlink r:id="rId13" w:history="1">
        <w:r w:rsidR="00AE7575" w:rsidRPr="00C65030">
          <w:rPr>
            <w:rStyle w:val="Hyperlink"/>
            <w:rFonts w:ascii="Times New Roman" w:hAnsi="Times New Roman" w:cs="Times New Roman"/>
            <w:sz w:val="26"/>
            <w:szCs w:val="26"/>
          </w:rPr>
          <w:t>http://elibrary.ferc.gov/idmws/common/opennat.asp?fileID=13373196</w:t>
        </w:r>
      </w:hyperlink>
      <w:r w:rsidR="00AE7575" w:rsidRPr="00C65030">
        <w:rPr>
          <w:rFonts w:ascii="Times New Roman" w:hAnsi="Times New Roman" w:cs="Times New Roman"/>
          <w:sz w:val="26"/>
          <w:szCs w:val="26"/>
        </w:rPr>
        <w:t xml:space="preserve"> </w:t>
      </w:r>
    </w:p>
    <w:p w14:paraId="217B47E4" w14:textId="010DE099" w:rsidR="00AE7575" w:rsidRPr="00C65030" w:rsidRDefault="00AE7575" w:rsidP="00DD3DBB">
      <w:pPr>
        <w:pStyle w:val="ListParagraph"/>
        <w:numPr>
          <w:ilvl w:val="0"/>
          <w:numId w:val="7"/>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New York ISO, at </w:t>
      </w:r>
      <w:hyperlink r:id="rId14" w:history="1">
        <w:r w:rsidR="00DD3DBB" w:rsidRPr="00C65030">
          <w:rPr>
            <w:rStyle w:val="Hyperlink"/>
            <w:rFonts w:ascii="Times New Roman" w:hAnsi="Times New Roman" w:cs="Times New Roman"/>
            <w:sz w:val="26"/>
            <w:szCs w:val="26"/>
          </w:rPr>
          <w:t>http://elibrary.ferc.gov/idmws/common/opennat.asp?fileID=13373217</w:t>
        </w:r>
      </w:hyperlink>
      <w:r w:rsidR="00DD3DBB" w:rsidRPr="00C65030">
        <w:rPr>
          <w:rFonts w:ascii="Times New Roman" w:hAnsi="Times New Roman" w:cs="Times New Roman"/>
          <w:sz w:val="26"/>
          <w:szCs w:val="26"/>
        </w:rPr>
        <w:t xml:space="preserve"> </w:t>
      </w:r>
    </w:p>
    <w:p w14:paraId="0C6E0C9A" w14:textId="2D24D620" w:rsidR="00DD3DBB" w:rsidRPr="00C65030" w:rsidRDefault="00DD3DBB" w:rsidP="00DD3DBB">
      <w:pPr>
        <w:pStyle w:val="ListParagraph"/>
        <w:numPr>
          <w:ilvl w:val="0"/>
          <w:numId w:val="7"/>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Southwest Power Pool (SPP), at </w:t>
      </w:r>
      <w:hyperlink r:id="rId15" w:history="1">
        <w:r w:rsidRPr="00C65030">
          <w:rPr>
            <w:rStyle w:val="Hyperlink"/>
            <w:rFonts w:ascii="Times New Roman" w:hAnsi="Times New Roman" w:cs="Times New Roman"/>
            <w:sz w:val="26"/>
            <w:szCs w:val="26"/>
          </w:rPr>
          <w:t>http://elibrary.ferc.gov/idmws/common/opennat.asp?fileID=13373224</w:t>
        </w:r>
      </w:hyperlink>
      <w:r w:rsidRPr="00C65030">
        <w:rPr>
          <w:rFonts w:ascii="Times New Roman" w:hAnsi="Times New Roman" w:cs="Times New Roman"/>
          <w:sz w:val="26"/>
          <w:szCs w:val="26"/>
        </w:rPr>
        <w:t xml:space="preserve"> </w:t>
      </w:r>
    </w:p>
    <w:p w14:paraId="4A05D35F" w14:textId="77777777" w:rsidR="00577200" w:rsidRDefault="00577200" w:rsidP="008A5F46">
      <w:pPr>
        <w:spacing w:after="0" w:line="240" w:lineRule="auto"/>
        <w:rPr>
          <w:rFonts w:ascii="Times New Roman" w:hAnsi="Times New Roman" w:cs="Times New Roman"/>
          <w:sz w:val="26"/>
          <w:szCs w:val="26"/>
        </w:rPr>
      </w:pPr>
    </w:p>
    <w:p w14:paraId="55AFB654" w14:textId="49E140B5" w:rsidR="00DD3DBB" w:rsidRPr="00C65030" w:rsidRDefault="00FE5E46" w:rsidP="008A5F46">
      <w:pPr>
        <w:spacing w:after="0" w:line="240" w:lineRule="auto"/>
        <w:rPr>
          <w:rFonts w:ascii="Times New Roman" w:hAnsi="Times New Roman" w:cs="Times New Roman"/>
          <w:sz w:val="26"/>
          <w:szCs w:val="26"/>
        </w:rPr>
      </w:pPr>
      <w:r>
        <w:rPr>
          <w:rFonts w:ascii="Times New Roman" w:hAnsi="Times New Roman" w:cs="Times New Roman"/>
          <w:sz w:val="26"/>
          <w:szCs w:val="26"/>
        </w:rPr>
        <w:t>In those presentations, m</w:t>
      </w:r>
      <w:r w:rsidR="00DD3DBB" w:rsidRPr="00C65030">
        <w:rPr>
          <w:rFonts w:ascii="Times New Roman" w:hAnsi="Times New Roman" w:cs="Times New Roman"/>
          <w:sz w:val="26"/>
          <w:szCs w:val="26"/>
        </w:rPr>
        <w:t xml:space="preserve">any of the </w:t>
      </w:r>
      <w:r w:rsidR="00A4295D">
        <w:rPr>
          <w:rFonts w:ascii="Times New Roman" w:hAnsi="Times New Roman" w:cs="Times New Roman"/>
          <w:sz w:val="26"/>
          <w:szCs w:val="26"/>
        </w:rPr>
        <w:t>RTOs/</w:t>
      </w:r>
      <w:r w:rsidR="00DD3DBB" w:rsidRPr="00C65030">
        <w:rPr>
          <w:rFonts w:ascii="Times New Roman" w:hAnsi="Times New Roman" w:cs="Times New Roman"/>
          <w:sz w:val="26"/>
          <w:szCs w:val="26"/>
        </w:rPr>
        <w:t xml:space="preserve">ISOs talked of their efforts to expand communications </w:t>
      </w:r>
      <w:r w:rsidR="00504D2E" w:rsidRPr="00C65030">
        <w:rPr>
          <w:rFonts w:ascii="Times New Roman" w:hAnsi="Times New Roman" w:cs="Times New Roman"/>
          <w:sz w:val="26"/>
          <w:szCs w:val="26"/>
        </w:rPr>
        <w:t xml:space="preserve">and coordination </w:t>
      </w:r>
      <w:r w:rsidR="00DD3DBB" w:rsidRPr="00C65030">
        <w:rPr>
          <w:rFonts w:ascii="Times New Roman" w:hAnsi="Times New Roman" w:cs="Times New Roman"/>
          <w:sz w:val="26"/>
          <w:szCs w:val="26"/>
        </w:rPr>
        <w:t xml:space="preserve">and/or the need for </w:t>
      </w:r>
      <w:r w:rsidR="00504D2E" w:rsidRPr="00C65030">
        <w:rPr>
          <w:rFonts w:ascii="Times New Roman" w:hAnsi="Times New Roman" w:cs="Times New Roman"/>
          <w:sz w:val="26"/>
          <w:szCs w:val="26"/>
        </w:rPr>
        <w:t>continuing improvements in those areas.</w:t>
      </w:r>
      <w:r w:rsidR="00966101" w:rsidRPr="00C65030">
        <w:rPr>
          <w:rFonts w:ascii="Times New Roman" w:hAnsi="Times New Roman" w:cs="Times New Roman"/>
          <w:sz w:val="26"/>
          <w:szCs w:val="26"/>
        </w:rPr>
        <w:t xml:space="preserve">  Their presentations included the following information.</w:t>
      </w:r>
    </w:p>
    <w:p w14:paraId="7B76CCE8" w14:textId="7FE8265D" w:rsidR="00504D2E" w:rsidRPr="00C65030" w:rsidRDefault="00504D2E" w:rsidP="00504D2E">
      <w:pPr>
        <w:pStyle w:val="ListParagraph"/>
        <w:numPr>
          <w:ilvl w:val="0"/>
          <w:numId w:val="8"/>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SPP said that “[r]</w:t>
      </w:r>
      <w:proofErr w:type="spellStart"/>
      <w:r w:rsidRPr="00C65030">
        <w:rPr>
          <w:rFonts w:ascii="Times New Roman" w:hAnsi="Times New Roman" w:cs="Times New Roman"/>
          <w:sz w:val="26"/>
          <w:szCs w:val="26"/>
        </w:rPr>
        <w:t>epresentatives</w:t>
      </w:r>
      <w:proofErr w:type="spellEnd"/>
      <w:r w:rsidRPr="00C65030">
        <w:rPr>
          <w:rFonts w:ascii="Times New Roman" w:hAnsi="Times New Roman" w:cs="Times New Roman"/>
          <w:sz w:val="26"/>
          <w:szCs w:val="26"/>
        </w:rPr>
        <w:t xml:space="preserve"> from SPP's Operations team met with the two primary gas pipeline operators in the SPP region as well as a gas marketing company involved in the region. SPP has observed numerous beneficial outcomes from these meetings, including: (1) a greater familiarity between SPP Operations and the pipeline companies' operations team with improved communications for both normal and emergency operational scenarios, (2) insight helpful to SPP's development of gas data displays and other SPP operations tools, and (3) the beginning stages of development for a weather-alert process to improve coordinated awareness of and preparedness for adverse weather conditions that could impact reliability....</w:t>
      </w:r>
    </w:p>
    <w:p w14:paraId="6FECFCA9" w14:textId="77777777" w:rsidR="00504D2E" w:rsidRPr="00C65030" w:rsidRDefault="00504D2E" w:rsidP="00504D2E">
      <w:pPr>
        <w:pStyle w:val="ListParagraph"/>
        <w:spacing w:after="0" w:line="240" w:lineRule="auto"/>
        <w:rPr>
          <w:rFonts w:ascii="Times New Roman" w:hAnsi="Times New Roman" w:cs="Times New Roman"/>
          <w:sz w:val="26"/>
          <w:szCs w:val="26"/>
        </w:rPr>
      </w:pPr>
      <w:r w:rsidRPr="00C65030">
        <w:rPr>
          <w:rFonts w:ascii="Times New Roman" w:hAnsi="Times New Roman" w:cs="Times New Roman"/>
          <w:sz w:val="26"/>
          <w:szCs w:val="26"/>
        </w:rPr>
        <w:t>SPP spent the summer months furthering its efforts of outreach and interaction</w:t>
      </w:r>
    </w:p>
    <w:p w14:paraId="71A5C6CB" w14:textId="77777777" w:rsidR="00504D2E" w:rsidRPr="00C65030" w:rsidRDefault="00504D2E" w:rsidP="00504D2E">
      <w:pPr>
        <w:pStyle w:val="ListParagraph"/>
        <w:spacing w:after="0" w:line="240" w:lineRule="auto"/>
        <w:rPr>
          <w:rFonts w:ascii="Times New Roman" w:hAnsi="Times New Roman" w:cs="Times New Roman"/>
          <w:sz w:val="26"/>
          <w:szCs w:val="26"/>
        </w:rPr>
      </w:pPr>
      <w:proofErr w:type="gramStart"/>
      <w:r w:rsidRPr="00C65030">
        <w:rPr>
          <w:rFonts w:ascii="Times New Roman" w:hAnsi="Times New Roman" w:cs="Times New Roman"/>
          <w:sz w:val="26"/>
          <w:szCs w:val="26"/>
        </w:rPr>
        <w:t>with</w:t>
      </w:r>
      <w:proofErr w:type="gramEnd"/>
      <w:r w:rsidRPr="00C65030">
        <w:rPr>
          <w:rFonts w:ascii="Times New Roman" w:hAnsi="Times New Roman" w:cs="Times New Roman"/>
          <w:sz w:val="26"/>
          <w:szCs w:val="26"/>
        </w:rPr>
        <w:t xml:space="preserve"> gas-industry professionals and development of tools to enhance operational</w:t>
      </w:r>
    </w:p>
    <w:p w14:paraId="1FF92178" w14:textId="1D3F964D" w:rsidR="00504D2E" w:rsidRPr="00C65030" w:rsidRDefault="00504D2E" w:rsidP="00504D2E">
      <w:pPr>
        <w:pStyle w:val="ListParagraph"/>
        <w:spacing w:after="0" w:line="240" w:lineRule="auto"/>
        <w:rPr>
          <w:rFonts w:ascii="Times New Roman" w:hAnsi="Times New Roman" w:cs="Times New Roman"/>
          <w:sz w:val="26"/>
          <w:szCs w:val="26"/>
        </w:rPr>
      </w:pPr>
      <w:proofErr w:type="gramStart"/>
      <w:r w:rsidRPr="00C65030">
        <w:rPr>
          <w:rFonts w:ascii="Times New Roman" w:hAnsi="Times New Roman" w:cs="Times New Roman"/>
          <w:sz w:val="26"/>
          <w:szCs w:val="26"/>
        </w:rPr>
        <w:t>awareness</w:t>
      </w:r>
      <w:proofErr w:type="gramEnd"/>
      <w:r w:rsidRPr="00C65030">
        <w:rPr>
          <w:rFonts w:ascii="Times New Roman" w:hAnsi="Times New Roman" w:cs="Times New Roman"/>
          <w:sz w:val="26"/>
          <w:szCs w:val="26"/>
        </w:rPr>
        <w:t>, all as overseen by SPP's Task Force. SPP's efforts in this regard will continue</w:t>
      </w:r>
      <w:r w:rsidR="00A0348F">
        <w:rPr>
          <w:rFonts w:ascii="Times New Roman" w:hAnsi="Times New Roman" w:cs="Times New Roman"/>
          <w:sz w:val="26"/>
          <w:szCs w:val="26"/>
        </w:rPr>
        <w:t xml:space="preserve"> </w:t>
      </w:r>
      <w:r w:rsidRPr="00C65030">
        <w:rPr>
          <w:rFonts w:ascii="Times New Roman" w:hAnsi="Times New Roman" w:cs="Times New Roman"/>
          <w:sz w:val="26"/>
          <w:szCs w:val="26"/>
        </w:rPr>
        <w:t>as it prepares for the upcoming winter season.”</w:t>
      </w:r>
    </w:p>
    <w:p w14:paraId="03F95EC5" w14:textId="61D52E3C" w:rsidR="00504D2E" w:rsidRPr="00C65030" w:rsidRDefault="00504D2E" w:rsidP="00504D2E">
      <w:pPr>
        <w:pStyle w:val="ListParagraph"/>
        <w:numPr>
          <w:ilvl w:val="0"/>
          <w:numId w:val="8"/>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MISO </w:t>
      </w:r>
    </w:p>
    <w:p w14:paraId="1FEFF507" w14:textId="6A853E25" w:rsidR="00504D2E" w:rsidRPr="00C65030" w:rsidRDefault="00504D2E" w:rsidP="00504D2E">
      <w:pPr>
        <w:pStyle w:val="ListParagraph"/>
        <w:numPr>
          <w:ilvl w:val="1"/>
          <w:numId w:val="8"/>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“MISO kicked off a 6-month coordination field trial with ANR Pipeline Company this October.</w:t>
      </w:r>
    </w:p>
    <w:p w14:paraId="0747E2A3" w14:textId="5FC9867C" w:rsidR="00504D2E" w:rsidRPr="00C65030" w:rsidRDefault="00504D2E" w:rsidP="00504D2E">
      <w:pPr>
        <w:pStyle w:val="ListParagraph"/>
        <w:numPr>
          <w:ilvl w:val="1"/>
          <w:numId w:val="8"/>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The field trial aims to further coordination between industries, enhance operator situational awareness and improve reliability.”</w:t>
      </w:r>
    </w:p>
    <w:p w14:paraId="04A84042" w14:textId="3A23C089" w:rsidR="00C32AF1" w:rsidRPr="00C65030" w:rsidRDefault="00E157A0" w:rsidP="00E157A0">
      <w:pPr>
        <w:pStyle w:val="ListParagraph"/>
        <w:numPr>
          <w:ilvl w:val="0"/>
          <w:numId w:val="8"/>
        </w:num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California Independent System Operator Corporation</w:t>
      </w:r>
      <w:r w:rsidR="00504D2E" w:rsidRPr="00C65030">
        <w:rPr>
          <w:rFonts w:ascii="Times New Roman" w:hAnsi="Times New Roman" w:cs="Times New Roman"/>
          <w:sz w:val="26"/>
          <w:szCs w:val="26"/>
        </w:rPr>
        <w:t xml:space="preserve"> </w:t>
      </w:r>
      <w:r w:rsidR="00AC0ADD" w:rsidRPr="00C65030">
        <w:rPr>
          <w:rFonts w:ascii="Times New Roman" w:hAnsi="Times New Roman" w:cs="Times New Roman"/>
          <w:sz w:val="26"/>
          <w:szCs w:val="26"/>
        </w:rPr>
        <w:t>said</w:t>
      </w:r>
      <w:r w:rsidR="00504D2E" w:rsidRPr="00C65030">
        <w:rPr>
          <w:rFonts w:ascii="Times New Roman" w:hAnsi="Times New Roman" w:cs="Times New Roman"/>
          <w:sz w:val="26"/>
          <w:szCs w:val="26"/>
        </w:rPr>
        <w:t xml:space="preserve"> that “[d]</w:t>
      </w:r>
      <w:proofErr w:type="spellStart"/>
      <w:r w:rsidR="00504D2E" w:rsidRPr="00C65030">
        <w:rPr>
          <w:rFonts w:ascii="Times New Roman" w:hAnsi="Times New Roman" w:cs="Times New Roman"/>
          <w:sz w:val="26"/>
          <w:szCs w:val="26"/>
        </w:rPr>
        <w:t>uring</w:t>
      </w:r>
      <w:proofErr w:type="spellEnd"/>
      <w:r w:rsidR="00504D2E" w:rsidRPr="00C65030">
        <w:rPr>
          <w:rFonts w:ascii="Times New Roman" w:hAnsi="Times New Roman" w:cs="Times New Roman"/>
          <w:sz w:val="26"/>
          <w:szCs w:val="26"/>
        </w:rPr>
        <w:t xml:space="preserve"> the summer of 2013, the ISO continued its efforts to enhance coordination with natural gas pipeline operators. </w:t>
      </w:r>
      <w:r w:rsidR="001B5D52">
        <w:rPr>
          <w:rFonts w:ascii="Times New Roman" w:hAnsi="Times New Roman" w:cs="Times New Roman"/>
          <w:sz w:val="26"/>
          <w:szCs w:val="26"/>
        </w:rPr>
        <w:t xml:space="preserve"> </w:t>
      </w:r>
      <w:r w:rsidR="00504D2E" w:rsidRPr="00C65030">
        <w:rPr>
          <w:rFonts w:ascii="Times New Roman" w:hAnsi="Times New Roman" w:cs="Times New Roman"/>
          <w:sz w:val="26"/>
          <w:szCs w:val="26"/>
        </w:rPr>
        <w:t>As a result of additional</w:t>
      </w:r>
      <w:r w:rsidRPr="00C65030">
        <w:rPr>
          <w:rFonts w:ascii="Times New Roman" w:hAnsi="Times New Roman" w:cs="Times New Roman"/>
          <w:sz w:val="26"/>
          <w:szCs w:val="26"/>
        </w:rPr>
        <w:t xml:space="preserve"> </w:t>
      </w:r>
      <w:r w:rsidR="00504D2E" w:rsidRPr="00C65030">
        <w:rPr>
          <w:rFonts w:ascii="Times New Roman" w:hAnsi="Times New Roman" w:cs="Times New Roman"/>
          <w:sz w:val="26"/>
          <w:szCs w:val="26"/>
        </w:rPr>
        <w:t xml:space="preserve">discussions this summer, </w:t>
      </w:r>
      <w:r w:rsidR="00504D2E" w:rsidRPr="00C65030">
        <w:rPr>
          <w:rFonts w:ascii="Times New Roman" w:hAnsi="Times New Roman" w:cs="Times New Roman"/>
          <w:sz w:val="26"/>
          <w:szCs w:val="26"/>
        </w:rPr>
        <w:lastRenderedPageBreak/>
        <w:t>gas pipeline operators are now utilizing the ISO’s</w:t>
      </w:r>
      <w:r w:rsidRPr="00C65030">
        <w:rPr>
          <w:rFonts w:ascii="Times New Roman" w:hAnsi="Times New Roman" w:cs="Times New Roman"/>
          <w:sz w:val="26"/>
          <w:szCs w:val="26"/>
        </w:rPr>
        <w:t xml:space="preserve"> </w:t>
      </w:r>
      <w:r w:rsidR="00504D2E" w:rsidRPr="00C65030">
        <w:rPr>
          <w:rFonts w:ascii="Times New Roman" w:hAnsi="Times New Roman" w:cs="Times New Roman"/>
          <w:sz w:val="26"/>
          <w:szCs w:val="26"/>
        </w:rPr>
        <w:t xml:space="preserve">notifications that restrict maintenance on the electric system. </w:t>
      </w:r>
      <w:r w:rsidR="001B5D52">
        <w:rPr>
          <w:rFonts w:ascii="Times New Roman" w:hAnsi="Times New Roman" w:cs="Times New Roman"/>
          <w:sz w:val="26"/>
          <w:szCs w:val="26"/>
        </w:rPr>
        <w:t xml:space="preserve"> </w:t>
      </w:r>
      <w:r w:rsidR="00504D2E" w:rsidRPr="00C65030">
        <w:rPr>
          <w:rFonts w:ascii="Times New Roman" w:hAnsi="Times New Roman" w:cs="Times New Roman"/>
          <w:sz w:val="26"/>
          <w:szCs w:val="26"/>
        </w:rPr>
        <w:t>Gas pipeline operators</w:t>
      </w:r>
      <w:r w:rsidRPr="00C65030">
        <w:rPr>
          <w:rFonts w:ascii="Times New Roman" w:hAnsi="Times New Roman" w:cs="Times New Roman"/>
          <w:sz w:val="26"/>
          <w:szCs w:val="26"/>
        </w:rPr>
        <w:t xml:space="preserve"> </w:t>
      </w:r>
      <w:r w:rsidR="00504D2E" w:rsidRPr="00C65030">
        <w:rPr>
          <w:rFonts w:ascii="Times New Roman" w:hAnsi="Times New Roman" w:cs="Times New Roman"/>
          <w:sz w:val="26"/>
          <w:szCs w:val="26"/>
        </w:rPr>
        <w:t xml:space="preserve">have informed the ISO </w:t>
      </w:r>
      <w:proofErr w:type="gramStart"/>
      <w:r w:rsidR="00504D2E" w:rsidRPr="00C65030">
        <w:rPr>
          <w:rFonts w:ascii="Times New Roman" w:hAnsi="Times New Roman" w:cs="Times New Roman"/>
          <w:sz w:val="26"/>
          <w:szCs w:val="26"/>
        </w:rPr>
        <w:t>that,</w:t>
      </w:r>
      <w:proofErr w:type="gramEnd"/>
      <w:r w:rsidR="00504D2E" w:rsidRPr="00C65030">
        <w:rPr>
          <w:rFonts w:ascii="Times New Roman" w:hAnsi="Times New Roman" w:cs="Times New Roman"/>
          <w:sz w:val="26"/>
          <w:szCs w:val="26"/>
        </w:rPr>
        <w:t xml:space="preserve"> based on the location of the ISO’s restricted</w:t>
      </w:r>
      <w:r w:rsidRPr="00C65030">
        <w:rPr>
          <w:rFonts w:ascii="Times New Roman" w:hAnsi="Times New Roman" w:cs="Times New Roman"/>
          <w:sz w:val="26"/>
          <w:szCs w:val="26"/>
        </w:rPr>
        <w:t xml:space="preserve"> </w:t>
      </w:r>
      <w:r w:rsidR="00504D2E" w:rsidRPr="00C65030">
        <w:rPr>
          <w:rFonts w:ascii="Times New Roman" w:hAnsi="Times New Roman" w:cs="Times New Roman"/>
          <w:sz w:val="26"/>
          <w:szCs w:val="26"/>
        </w:rPr>
        <w:t>maintenance notice, they are voluntarily restricting their work in that specific area.</w:t>
      </w:r>
      <w:r w:rsidRPr="00C65030">
        <w:rPr>
          <w:rFonts w:ascii="Times New Roman" w:hAnsi="Times New Roman" w:cs="Times New Roman"/>
          <w:sz w:val="26"/>
          <w:szCs w:val="26"/>
        </w:rPr>
        <w:t xml:space="preserve">  </w:t>
      </w:r>
      <w:r w:rsidR="00504D2E" w:rsidRPr="00C65030">
        <w:rPr>
          <w:rFonts w:ascii="Times New Roman" w:hAnsi="Times New Roman" w:cs="Times New Roman"/>
          <w:sz w:val="26"/>
          <w:szCs w:val="26"/>
        </w:rPr>
        <w:t>They will respond to ISO restricted maintenance notices by ceasing non-critical work</w:t>
      </w:r>
      <w:r w:rsidRPr="00C65030">
        <w:rPr>
          <w:rFonts w:ascii="Times New Roman" w:hAnsi="Times New Roman" w:cs="Times New Roman"/>
          <w:sz w:val="26"/>
          <w:szCs w:val="26"/>
        </w:rPr>
        <w:t xml:space="preserve"> </w:t>
      </w:r>
      <w:r w:rsidR="00504D2E" w:rsidRPr="00C65030">
        <w:rPr>
          <w:rFonts w:ascii="Times New Roman" w:hAnsi="Times New Roman" w:cs="Times New Roman"/>
          <w:sz w:val="26"/>
          <w:szCs w:val="26"/>
        </w:rPr>
        <w:t>and, in connection with critical work, contacting the ISO if they have specific</w:t>
      </w:r>
      <w:r w:rsidRPr="00C65030">
        <w:rPr>
          <w:rFonts w:ascii="Times New Roman" w:hAnsi="Times New Roman" w:cs="Times New Roman"/>
          <w:sz w:val="26"/>
          <w:szCs w:val="26"/>
        </w:rPr>
        <w:t xml:space="preserve"> </w:t>
      </w:r>
      <w:r w:rsidR="00504D2E" w:rsidRPr="00C65030">
        <w:rPr>
          <w:rFonts w:ascii="Times New Roman" w:hAnsi="Times New Roman" w:cs="Times New Roman"/>
          <w:sz w:val="26"/>
          <w:szCs w:val="26"/>
        </w:rPr>
        <w:t>questions regarding the precise location or timing of the ISO’s concerns.</w:t>
      </w:r>
      <w:r w:rsidRPr="00C65030">
        <w:rPr>
          <w:rFonts w:ascii="Times New Roman" w:hAnsi="Times New Roman" w:cs="Times New Roman"/>
          <w:sz w:val="26"/>
          <w:szCs w:val="26"/>
        </w:rPr>
        <w:t>...</w:t>
      </w:r>
    </w:p>
    <w:p w14:paraId="0973DE3D" w14:textId="22E3A4DE" w:rsidR="00E157A0" w:rsidRPr="00C65030" w:rsidRDefault="00E157A0" w:rsidP="00E157A0">
      <w:pPr>
        <w:pStyle w:val="ListParagraph"/>
        <w:spacing w:after="0" w:line="240" w:lineRule="auto"/>
        <w:rPr>
          <w:rFonts w:ascii="Times New Roman" w:hAnsi="Times New Roman" w:cs="Times New Roman"/>
          <w:sz w:val="26"/>
          <w:szCs w:val="26"/>
        </w:rPr>
      </w:pPr>
      <w:r w:rsidRPr="00C65030">
        <w:rPr>
          <w:rFonts w:ascii="Times New Roman" w:hAnsi="Times New Roman" w:cs="Times New Roman"/>
          <w:sz w:val="26"/>
          <w:szCs w:val="26"/>
        </w:rPr>
        <w:t>Looking beyond the coming winter, the Commission should continue to</w:t>
      </w:r>
      <w:r w:rsidR="001B5D52">
        <w:rPr>
          <w:rFonts w:ascii="Times New Roman" w:hAnsi="Times New Roman" w:cs="Times New Roman"/>
          <w:sz w:val="26"/>
          <w:szCs w:val="26"/>
        </w:rPr>
        <w:t xml:space="preserve"> </w:t>
      </w:r>
      <w:r w:rsidRPr="00C65030">
        <w:rPr>
          <w:rFonts w:ascii="Times New Roman" w:hAnsi="Times New Roman" w:cs="Times New Roman"/>
          <w:sz w:val="26"/>
          <w:szCs w:val="26"/>
        </w:rPr>
        <w:t>provide electric and gas system operators as much flexibility as possible to tailor</w:t>
      </w:r>
      <w:r w:rsidR="001B5D52">
        <w:rPr>
          <w:rFonts w:ascii="Times New Roman" w:hAnsi="Times New Roman" w:cs="Times New Roman"/>
          <w:sz w:val="26"/>
          <w:szCs w:val="26"/>
        </w:rPr>
        <w:t xml:space="preserve"> </w:t>
      </w:r>
      <w:r w:rsidRPr="00C65030">
        <w:rPr>
          <w:rFonts w:ascii="Times New Roman" w:hAnsi="Times New Roman" w:cs="Times New Roman"/>
          <w:sz w:val="26"/>
          <w:szCs w:val="26"/>
        </w:rPr>
        <w:t>their coordination activities to the specific facts they may face. In this manner, the</w:t>
      </w:r>
    </w:p>
    <w:p w14:paraId="411357AB" w14:textId="6C59077D" w:rsidR="00FE5E46" w:rsidRDefault="00E157A0" w:rsidP="00FE5E46">
      <w:pPr>
        <w:pStyle w:val="ListParagraph"/>
        <w:spacing w:after="0" w:line="240" w:lineRule="auto"/>
        <w:rPr>
          <w:rFonts w:ascii="Times New Roman" w:hAnsi="Times New Roman" w:cs="Times New Roman"/>
          <w:sz w:val="26"/>
          <w:szCs w:val="26"/>
        </w:rPr>
      </w:pPr>
      <w:r w:rsidRPr="00C65030">
        <w:rPr>
          <w:rFonts w:ascii="Times New Roman" w:hAnsi="Times New Roman" w:cs="Times New Roman"/>
          <w:sz w:val="26"/>
          <w:szCs w:val="26"/>
        </w:rPr>
        <w:t>Commission can promote coordination activities between electric transmission</w:t>
      </w:r>
      <w:r w:rsidR="001B5D52">
        <w:rPr>
          <w:rFonts w:ascii="Times New Roman" w:hAnsi="Times New Roman" w:cs="Times New Roman"/>
          <w:sz w:val="26"/>
          <w:szCs w:val="26"/>
        </w:rPr>
        <w:t xml:space="preserve"> </w:t>
      </w:r>
      <w:r w:rsidRPr="00C65030">
        <w:rPr>
          <w:rFonts w:ascii="Times New Roman" w:hAnsi="Times New Roman" w:cs="Times New Roman"/>
          <w:sz w:val="26"/>
          <w:szCs w:val="26"/>
        </w:rPr>
        <w:t>providers and natural gas pipelines as well as allow regions to identify and solve</w:t>
      </w:r>
      <w:r w:rsidR="001B5D52">
        <w:rPr>
          <w:rFonts w:ascii="Times New Roman" w:hAnsi="Times New Roman" w:cs="Times New Roman"/>
          <w:sz w:val="26"/>
          <w:szCs w:val="26"/>
        </w:rPr>
        <w:t xml:space="preserve"> </w:t>
      </w:r>
      <w:r w:rsidRPr="00C65030">
        <w:rPr>
          <w:rFonts w:ascii="Times New Roman" w:hAnsi="Times New Roman" w:cs="Times New Roman"/>
          <w:sz w:val="26"/>
          <w:szCs w:val="26"/>
        </w:rPr>
        <w:t>regional issues.”</w:t>
      </w:r>
    </w:p>
    <w:p w14:paraId="4AA6CBB2" w14:textId="1E17115E" w:rsidR="005468B7" w:rsidRPr="00FE5E46" w:rsidRDefault="00FE5E46" w:rsidP="00FE5E46">
      <w:pPr>
        <w:pStyle w:val="ListParagraph"/>
        <w:numPr>
          <w:ilvl w:val="0"/>
          <w:numId w:val="8"/>
        </w:numPr>
        <w:spacing w:after="0" w:line="240" w:lineRule="auto"/>
        <w:rPr>
          <w:rFonts w:ascii="Times New Roman" w:hAnsi="Times New Roman" w:cs="Times New Roman"/>
          <w:sz w:val="26"/>
          <w:szCs w:val="26"/>
        </w:rPr>
      </w:pPr>
      <w:r w:rsidRPr="00FE5E46">
        <w:rPr>
          <w:rFonts w:ascii="Times New Roman" w:hAnsi="Times New Roman" w:cs="Times New Roman"/>
          <w:sz w:val="26"/>
          <w:szCs w:val="26"/>
        </w:rPr>
        <w:t>ISO NE supported allowing the sharing of non-public information and “[r]</w:t>
      </w:r>
      <w:proofErr w:type="spellStart"/>
      <w:r w:rsidRPr="00FE5E46">
        <w:rPr>
          <w:rFonts w:ascii="Times New Roman" w:hAnsi="Times New Roman" w:cs="Times New Roman"/>
          <w:sz w:val="26"/>
          <w:szCs w:val="26"/>
        </w:rPr>
        <w:t>equested</w:t>
      </w:r>
      <w:proofErr w:type="spellEnd"/>
      <w:r w:rsidRPr="00FE5E46">
        <w:rPr>
          <w:rFonts w:ascii="Times New Roman" w:hAnsi="Times New Roman" w:cs="Times New Roman"/>
          <w:sz w:val="26"/>
          <w:szCs w:val="26"/>
        </w:rPr>
        <w:t xml:space="preserve"> that the regulations be effective prior to the upcoming winter”.</w:t>
      </w:r>
    </w:p>
    <w:p w14:paraId="0D6A3A93" w14:textId="77777777" w:rsidR="00FE5E46" w:rsidRPr="00C65030" w:rsidRDefault="00FE5E46" w:rsidP="008A5F46">
      <w:pPr>
        <w:spacing w:after="0" w:line="240" w:lineRule="auto"/>
        <w:rPr>
          <w:rFonts w:ascii="Times New Roman" w:hAnsi="Times New Roman" w:cs="Times New Roman"/>
          <w:sz w:val="26"/>
          <w:szCs w:val="26"/>
        </w:rPr>
      </w:pPr>
    </w:p>
    <w:p w14:paraId="1163D104" w14:textId="77777777" w:rsidR="005468B7" w:rsidRPr="00C65030" w:rsidRDefault="005468B7" w:rsidP="005468B7">
      <w:pPr>
        <w:spacing w:after="0" w:line="240" w:lineRule="auto"/>
        <w:rPr>
          <w:rFonts w:ascii="Times New Roman" w:hAnsi="Times New Roman" w:cs="Times New Roman"/>
          <w:sz w:val="26"/>
          <w:szCs w:val="26"/>
          <w:vertAlign w:val="superscript"/>
        </w:rPr>
      </w:pPr>
      <w:r w:rsidRPr="00A0348F">
        <w:rPr>
          <w:rFonts w:ascii="Times New Roman" w:hAnsi="Times New Roman" w:cs="Times New Roman"/>
          <w:sz w:val="26"/>
          <w:szCs w:val="26"/>
        </w:rPr>
        <w:t>The public comments, presentations, staff reports, notices, and agendas, etc. are available in FERC’s eLibrary system.</w:t>
      </w:r>
      <w:r w:rsidRPr="00A0348F">
        <w:rPr>
          <w:rFonts w:ascii="Times New Roman" w:hAnsi="Times New Roman" w:cs="Times New Roman"/>
          <w:sz w:val="26"/>
          <w:szCs w:val="26"/>
          <w:vertAlign w:val="superscript"/>
        </w:rPr>
        <w:footnoteReference w:id="16"/>
      </w:r>
      <w:r w:rsidRPr="00C65030">
        <w:rPr>
          <w:rFonts w:ascii="Times New Roman" w:hAnsi="Times New Roman" w:cs="Times New Roman"/>
          <w:sz w:val="26"/>
          <w:szCs w:val="26"/>
          <w:vertAlign w:val="superscript"/>
        </w:rPr>
        <w:t xml:space="preserve"> </w:t>
      </w:r>
    </w:p>
    <w:p w14:paraId="7BE14221" w14:textId="77777777" w:rsidR="005468B7" w:rsidRPr="00C65030" w:rsidRDefault="005468B7" w:rsidP="008A5F46">
      <w:pPr>
        <w:spacing w:after="0" w:line="240" w:lineRule="auto"/>
        <w:rPr>
          <w:rFonts w:ascii="Times New Roman" w:hAnsi="Times New Roman" w:cs="Times New Roman"/>
          <w:sz w:val="26"/>
          <w:szCs w:val="26"/>
        </w:rPr>
      </w:pPr>
    </w:p>
    <w:p w14:paraId="36BDCE89" w14:textId="77777777" w:rsidR="00EB3E6F" w:rsidRPr="00C65030" w:rsidRDefault="00D80FBD"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EXPLAIN ANY PAYMENT OR GIFTS TO RESPONDENTS</w:t>
      </w:r>
    </w:p>
    <w:p w14:paraId="2E813A53" w14:textId="77777777" w:rsidR="001B5D52" w:rsidRDefault="001B5D52" w:rsidP="008A5F46">
      <w:pPr>
        <w:spacing w:after="0" w:line="240" w:lineRule="auto"/>
        <w:rPr>
          <w:rFonts w:ascii="Times New Roman" w:hAnsi="Times New Roman" w:cs="Times New Roman"/>
          <w:sz w:val="26"/>
          <w:szCs w:val="26"/>
        </w:rPr>
      </w:pPr>
    </w:p>
    <w:p w14:paraId="36BDCE8A" w14:textId="52416CA3" w:rsidR="00D80FBD" w:rsidRPr="00C65030" w:rsidRDefault="00280FB6"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The Commission does not make payments or provide gifts for respondents related to this collection.</w:t>
      </w:r>
    </w:p>
    <w:p w14:paraId="36BDCE8B" w14:textId="77777777" w:rsidR="00D80FBD" w:rsidRPr="00C65030" w:rsidRDefault="00D80FBD" w:rsidP="008A5F46">
      <w:pPr>
        <w:spacing w:after="0" w:line="240" w:lineRule="auto"/>
        <w:rPr>
          <w:rFonts w:ascii="Times New Roman" w:hAnsi="Times New Roman" w:cs="Times New Roman"/>
          <w:sz w:val="26"/>
          <w:szCs w:val="26"/>
        </w:rPr>
      </w:pPr>
    </w:p>
    <w:p w14:paraId="36BDCE8C" w14:textId="77777777" w:rsidR="00D80FBD" w:rsidRPr="00C65030" w:rsidRDefault="00D80FBD"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DESCRIBE ANY ASSURANCE OF CONFIDENTIALITY PROVIDED TO RESPONDENTS</w:t>
      </w:r>
    </w:p>
    <w:p w14:paraId="2EA75BFE" w14:textId="77777777" w:rsidR="001B5D52" w:rsidRDefault="001B5D52" w:rsidP="008A5F46">
      <w:pPr>
        <w:spacing w:after="0" w:line="240" w:lineRule="auto"/>
        <w:rPr>
          <w:rFonts w:ascii="Times New Roman" w:hAnsi="Times New Roman" w:cs="Times New Roman"/>
          <w:sz w:val="26"/>
          <w:szCs w:val="26"/>
        </w:rPr>
      </w:pPr>
    </w:p>
    <w:p w14:paraId="36BDCE8D" w14:textId="5F55816A" w:rsidR="00D80FBD" w:rsidRDefault="00C0689E"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The sharing of the non-public</w:t>
      </w:r>
      <w:r w:rsidR="00780ABD" w:rsidRPr="00C65030">
        <w:rPr>
          <w:rFonts w:ascii="Times New Roman" w:hAnsi="Times New Roman" w:cs="Times New Roman"/>
          <w:sz w:val="26"/>
          <w:szCs w:val="26"/>
        </w:rPr>
        <w:t xml:space="preserve"> </w:t>
      </w:r>
      <w:r w:rsidRPr="00C65030">
        <w:rPr>
          <w:rFonts w:ascii="Times New Roman" w:hAnsi="Times New Roman" w:cs="Times New Roman"/>
          <w:sz w:val="26"/>
          <w:szCs w:val="26"/>
        </w:rPr>
        <w:t xml:space="preserve">data occurs between </w:t>
      </w:r>
      <w:r w:rsidR="001060C1">
        <w:rPr>
          <w:rFonts w:ascii="Times New Roman" w:hAnsi="Times New Roman" w:cs="Times New Roman"/>
          <w:sz w:val="26"/>
          <w:szCs w:val="26"/>
        </w:rPr>
        <w:t>transmission operators</w:t>
      </w:r>
      <w:r w:rsidRPr="00C65030">
        <w:rPr>
          <w:rFonts w:ascii="Times New Roman" w:hAnsi="Times New Roman" w:cs="Times New Roman"/>
          <w:sz w:val="26"/>
          <w:szCs w:val="26"/>
        </w:rPr>
        <w:t>; the data are not provided to FERC.</w:t>
      </w:r>
      <w:r w:rsidR="00780ABD" w:rsidRPr="00C65030">
        <w:rPr>
          <w:rFonts w:ascii="Times New Roman" w:hAnsi="Times New Roman" w:cs="Times New Roman"/>
          <w:sz w:val="26"/>
          <w:szCs w:val="26"/>
        </w:rPr>
        <w:t xml:space="preserve"> </w:t>
      </w:r>
      <w:r w:rsidR="002F2CF6" w:rsidRPr="00C65030">
        <w:rPr>
          <w:rFonts w:ascii="Times New Roman" w:hAnsi="Times New Roman" w:cs="Times New Roman"/>
          <w:sz w:val="26"/>
          <w:szCs w:val="26"/>
        </w:rPr>
        <w:t xml:space="preserve"> </w:t>
      </w:r>
      <w:r w:rsidR="00780ABD" w:rsidRPr="00C65030">
        <w:rPr>
          <w:rFonts w:ascii="Times New Roman" w:hAnsi="Times New Roman" w:cs="Times New Roman"/>
          <w:sz w:val="26"/>
          <w:szCs w:val="26"/>
        </w:rPr>
        <w:t xml:space="preserve"> R</w:t>
      </w:r>
      <w:r w:rsidR="00E320B0" w:rsidRPr="00C65030">
        <w:rPr>
          <w:rFonts w:ascii="Times New Roman" w:hAnsi="Times New Roman" w:cs="Times New Roman"/>
          <w:sz w:val="26"/>
          <w:szCs w:val="26"/>
        </w:rPr>
        <w:t>ecipients of th</w:t>
      </w:r>
      <w:r w:rsidR="002145E2" w:rsidRPr="00C65030">
        <w:rPr>
          <w:rFonts w:ascii="Times New Roman" w:hAnsi="Times New Roman" w:cs="Times New Roman"/>
          <w:sz w:val="26"/>
          <w:szCs w:val="26"/>
        </w:rPr>
        <w:t>e</w:t>
      </w:r>
      <w:r w:rsidR="00E320B0" w:rsidRPr="00C65030">
        <w:rPr>
          <w:rFonts w:ascii="Times New Roman" w:hAnsi="Times New Roman" w:cs="Times New Roman"/>
          <w:sz w:val="26"/>
          <w:szCs w:val="26"/>
        </w:rPr>
        <w:t xml:space="preserve"> non-public, operational information </w:t>
      </w:r>
      <w:r w:rsidR="001060C1">
        <w:rPr>
          <w:rFonts w:ascii="Times New Roman" w:hAnsi="Times New Roman" w:cs="Times New Roman"/>
          <w:sz w:val="26"/>
          <w:szCs w:val="26"/>
        </w:rPr>
        <w:t>are</w:t>
      </w:r>
      <w:r w:rsidR="00E320B0" w:rsidRPr="00C65030">
        <w:rPr>
          <w:rFonts w:ascii="Times New Roman" w:hAnsi="Times New Roman" w:cs="Times New Roman"/>
          <w:sz w:val="26"/>
          <w:szCs w:val="26"/>
        </w:rPr>
        <w:t xml:space="preserve"> subject to a No-Conduit Rule that prohibits subsequent disclosure of that information to a third party</w:t>
      </w:r>
      <w:r w:rsidR="001060C1">
        <w:rPr>
          <w:rFonts w:ascii="Times New Roman" w:hAnsi="Times New Roman" w:cs="Times New Roman"/>
          <w:sz w:val="26"/>
          <w:szCs w:val="26"/>
        </w:rPr>
        <w:t xml:space="preserve"> or marketing function employee</w:t>
      </w:r>
      <w:r w:rsidR="00E320B0" w:rsidRPr="00C65030">
        <w:rPr>
          <w:rFonts w:ascii="Times New Roman" w:hAnsi="Times New Roman" w:cs="Times New Roman"/>
          <w:sz w:val="26"/>
          <w:szCs w:val="26"/>
        </w:rPr>
        <w:t>.</w:t>
      </w:r>
    </w:p>
    <w:p w14:paraId="0B23B465" w14:textId="77777777" w:rsidR="00BF2868" w:rsidRDefault="00BF2868" w:rsidP="008A5F46">
      <w:pPr>
        <w:spacing w:after="0" w:line="240" w:lineRule="auto"/>
        <w:rPr>
          <w:rFonts w:ascii="Times New Roman" w:hAnsi="Times New Roman" w:cs="Times New Roman"/>
          <w:sz w:val="26"/>
          <w:szCs w:val="26"/>
        </w:rPr>
      </w:pPr>
    </w:p>
    <w:p w14:paraId="73CC4867" w14:textId="2A8B74EE" w:rsidR="00BF2868" w:rsidRDefault="00BF2868" w:rsidP="008A5F46">
      <w:pPr>
        <w:spacing w:after="0" w:line="240" w:lineRule="auto"/>
        <w:rPr>
          <w:rFonts w:ascii="Times New Roman" w:hAnsi="Times New Roman" w:cs="Times New Roman"/>
          <w:sz w:val="26"/>
          <w:szCs w:val="26"/>
        </w:rPr>
      </w:pPr>
      <w:r>
        <w:rPr>
          <w:rFonts w:ascii="Times New Roman" w:hAnsi="Times New Roman" w:cs="Times New Roman"/>
          <w:sz w:val="26"/>
          <w:szCs w:val="26"/>
        </w:rPr>
        <w:t>The tariff filings are generally public information.  Filers may request special treatment under 18 CFR 388.112.</w:t>
      </w:r>
    </w:p>
    <w:p w14:paraId="36BDCE8E" w14:textId="77777777" w:rsidR="00D80FBD" w:rsidRPr="00C65030" w:rsidRDefault="00D80FBD" w:rsidP="008A5F46">
      <w:pPr>
        <w:spacing w:after="0" w:line="240" w:lineRule="auto"/>
        <w:rPr>
          <w:rFonts w:ascii="Times New Roman" w:hAnsi="Times New Roman" w:cs="Times New Roman"/>
          <w:sz w:val="26"/>
          <w:szCs w:val="26"/>
        </w:rPr>
      </w:pPr>
    </w:p>
    <w:p w14:paraId="36BDCE8F" w14:textId="77777777" w:rsidR="00D80FBD" w:rsidRPr="00C65030" w:rsidRDefault="00D80FBD"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PROVIDE ADDITIONAL JUSTIFICATION FOR ANY QUESTIONS OF A SENSITIVE NATURE</w:t>
      </w:r>
    </w:p>
    <w:p w14:paraId="6580F0F1" w14:textId="77777777" w:rsidR="001B5D52" w:rsidRDefault="001B5D52" w:rsidP="008A5F46">
      <w:pPr>
        <w:spacing w:after="0" w:line="240" w:lineRule="auto"/>
        <w:rPr>
          <w:rFonts w:ascii="Times New Roman" w:hAnsi="Times New Roman" w:cs="Times New Roman"/>
          <w:sz w:val="26"/>
          <w:szCs w:val="26"/>
        </w:rPr>
      </w:pPr>
    </w:p>
    <w:p w14:paraId="36BDCE91" w14:textId="3FC00204" w:rsidR="00D80FBD" w:rsidRPr="00C65030" w:rsidRDefault="00C0689E"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lastRenderedPageBreak/>
        <w:t xml:space="preserve">The </w:t>
      </w:r>
      <w:r w:rsidR="00C434FE">
        <w:rPr>
          <w:rFonts w:ascii="Times New Roman" w:hAnsi="Times New Roman" w:cs="Times New Roman"/>
          <w:sz w:val="26"/>
          <w:szCs w:val="26"/>
        </w:rPr>
        <w:t xml:space="preserve">voluntary </w:t>
      </w:r>
      <w:r w:rsidRPr="00C65030">
        <w:rPr>
          <w:rFonts w:ascii="Times New Roman" w:hAnsi="Times New Roman" w:cs="Times New Roman"/>
          <w:sz w:val="26"/>
          <w:szCs w:val="26"/>
        </w:rPr>
        <w:t>sharing of the non-public</w:t>
      </w:r>
      <w:r w:rsidR="00C434FE">
        <w:rPr>
          <w:rFonts w:ascii="Times New Roman" w:hAnsi="Times New Roman" w:cs="Times New Roman"/>
          <w:sz w:val="26"/>
          <w:szCs w:val="26"/>
        </w:rPr>
        <w:t>, operational information</w:t>
      </w:r>
      <w:r w:rsidRPr="00C65030">
        <w:rPr>
          <w:rFonts w:ascii="Times New Roman" w:hAnsi="Times New Roman" w:cs="Times New Roman"/>
          <w:sz w:val="26"/>
          <w:szCs w:val="26"/>
        </w:rPr>
        <w:t xml:space="preserve"> occurs between </w:t>
      </w:r>
      <w:r w:rsidR="00C434FE">
        <w:rPr>
          <w:rFonts w:ascii="Times New Roman" w:hAnsi="Times New Roman" w:cs="Times New Roman"/>
          <w:sz w:val="26"/>
          <w:szCs w:val="26"/>
        </w:rPr>
        <w:t>transmission operators</w:t>
      </w:r>
      <w:r w:rsidRPr="00C65030">
        <w:rPr>
          <w:rFonts w:ascii="Times New Roman" w:hAnsi="Times New Roman" w:cs="Times New Roman"/>
          <w:sz w:val="26"/>
          <w:szCs w:val="26"/>
        </w:rPr>
        <w:t xml:space="preserve">; the data are not provided to FERC.  The content </w:t>
      </w:r>
      <w:r w:rsidR="006E7D84" w:rsidRPr="00C65030">
        <w:rPr>
          <w:rFonts w:ascii="Times New Roman" w:hAnsi="Times New Roman" w:cs="Times New Roman"/>
          <w:sz w:val="26"/>
          <w:szCs w:val="26"/>
        </w:rPr>
        <w:t xml:space="preserve">and frequency </w:t>
      </w:r>
      <w:r w:rsidRPr="00C65030">
        <w:rPr>
          <w:rFonts w:ascii="Times New Roman" w:hAnsi="Times New Roman" w:cs="Times New Roman"/>
          <w:sz w:val="26"/>
          <w:szCs w:val="26"/>
        </w:rPr>
        <w:t xml:space="preserve">of the data being shared is determined by the entities involved </w:t>
      </w:r>
      <w:r w:rsidR="002F2CF6" w:rsidRPr="00C65030">
        <w:rPr>
          <w:rFonts w:ascii="Times New Roman" w:hAnsi="Times New Roman" w:cs="Times New Roman"/>
          <w:sz w:val="26"/>
          <w:szCs w:val="26"/>
        </w:rPr>
        <w:t>based on</w:t>
      </w:r>
      <w:r w:rsidRPr="00C65030">
        <w:rPr>
          <w:rFonts w:ascii="Times New Roman" w:hAnsi="Times New Roman" w:cs="Times New Roman"/>
          <w:sz w:val="26"/>
          <w:szCs w:val="26"/>
        </w:rPr>
        <w:t xml:space="preserve"> reliability needs and the operational situation.</w:t>
      </w:r>
    </w:p>
    <w:p w14:paraId="64FC753F" w14:textId="77777777" w:rsidR="00C0689E" w:rsidRPr="00C65030" w:rsidRDefault="00C0689E" w:rsidP="008A5F46">
      <w:pPr>
        <w:spacing w:after="0" w:line="240" w:lineRule="auto"/>
        <w:rPr>
          <w:rFonts w:ascii="Times New Roman" w:hAnsi="Times New Roman" w:cs="Times New Roman"/>
          <w:sz w:val="26"/>
          <w:szCs w:val="26"/>
        </w:rPr>
      </w:pPr>
    </w:p>
    <w:p w14:paraId="36BDCE92" w14:textId="77777777" w:rsidR="00D80FBD" w:rsidRPr="00C65030" w:rsidRDefault="00D80FBD"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ESTIMATED BURDEN OF COLLECTION OF INFORMATION</w:t>
      </w:r>
    </w:p>
    <w:p w14:paraId="1EA84D4E" w14:textId="77777777" w:rsidR="001B5D52" w:rsidRDefault="001B5D52" w:rsidP="00742105">
      <w:pPr>
        <w:pStyle w:val="FERCparanumber"/>
        <w:numPr>
          <w:ilvl w:val="0"/>
          <w:numId w:val="0"/>
        </w:numPr>
        <w:spacing w:line="240" w:lineRule="auto"/>
        <w:rPr>
          <w:szCs w:val="26"/>
        </w:rPr>
      </w:pPr>
    </w:p>
    <w:p w14:paraId="15CA5EEB" w14:textId="77777777" w:rsidR="00BF2868" w:rsidRDefault="0077597A" w:rsidP="00742105">
      <w:pPr>
        <w:pStyle w:val="FERCparanumber"/>
        <w:numPr>
          <w:ilvl w:val="0"/>
          <w:numId w:val="0"/>
        </w:numPr>
        <w:spacing w:line="240" w:lineRule="auto"/>
        <w:rPr>
          <w:szCs w:val="26"/>
        </w:rPr>
      </w:pPr>
      <w:r w:rsidRPr="00B34662">
        <w:rPr>
          <w:szCs w:val="26"/>
        </w:rPr>
        <w:t xml:space="preserve">The communications and information sharing are voluntary, take place between various industry entities (and are not submitted to the Commission), and are intended to promote reliable service and operational planning.  While the extent of such communications likely will vary significantly across the country, the estimates </w:t>
      </w:r>
      <w:r w:rsidR="00E762F8">
        <w:rPr>
          <w:szCs w:val="26"/>
        </w:rPr>
        <w:t xml:space="preserve">below </w:t>
      </w:r>
      <w:r w:rsidRPr="00B34662">
        <w:rPr>
          <w:szCs w:val="26"/>
        </w:rPr>
        <w:t xml:space="preserve">represent an expected average.  </w:t>
      </w:r>
    </w:p>
    <w:p w14:paraId="3F899043" w14:textId="77777777" w:rsidR="00BF2868" w:rsidRDefault="00BF2868" w:rsidP="00742105">
      <w:pPr>
        <w:pStyle w:val="FERCparanumber"/>
        <w:numPr>
          <w:ilvl w:val="0"/>
          <w:numId w:val="0"/>
        </w:numPr>
        <w:spacing w:line="240" w:lineRule="auto"/>
        <w:rPr>
          <w:szCs w:val="26"/>
        </w:rPr>
      </w:pPr>
    </w:p>
    <w:p w14:paraId="2D383621" w14:textId="0FA81DBD" w:rsidR="0077597A" w:rsidRPr="00B34662" w:rsidRDefault="00E762F8" w:rsidP="00742105">
      <w:pPr>
        <w:pStyle w:val="FERCparanumber"/>
        <w:numPr>
          <w:ilvl w:val="0"/>
          <w:numId w:val="0"/>
        </w:numPr>
        <w:spacing w:line="240" w:lineRule="auto"/>
        <w:rPr>
          <w:szCs w:val="26"/>
        </w:rPr>
      </w:pPr>
      <w:r w:rsidRPr="00E762F8">
        <w:rPr>
          <w:szCs w:val="26"/>
        </w:rPr>
        <w:t xml:space="preserve">In addition to the communications between entities, tariffs may be </w:t>
      </w:r>
      <w:r w:rsidR="00BF2868">
        <w:rPr>
          <w:szCs w:val="26"/>
        </w:rPr>
        <w:t>submitted to FERC</w:t>
      </w:r>
      <w:r w:rsidRPr="00E762F8">
        <w:rPr>
          <w:szCs w:val="26"/>
        </w:rPr>
        <w:t xml:space="preserve"> to remove current pro</w:t>
      </w:r>
      <w:r w:rsidR="00BF2868">
        <w:rPr>
          <w:szCs w:val="26"/>
        </w:rPr>
        <w:t>hibi</w:t>
      </w:r>
      <w:r w:rsidRPr="00E762F8">
        <w:rPr>
          <w:szCs w:val="26"/>
        </w:rPr>
        <w:t xml:space="preserve">tions on these communications.  Tariffs are normally included under other OMB Control Nos. for gas and electric </w:t>
      </w:r>
      <w:proofErr w:type="gramStart"/>
      <w:r w:rsidRPr="00E762F8">
        <w:rPr>
          <w:szCs w:val="26"/>
        </w:rPr>
        <w:t>entities,</w:t>
      </w:r>
      <w:proofErr w:type="gramEnd"/>
      <w:r w:rsidRPr="00E762F8">
        <w:rPr>
          <w:szCs w:val="26"/>
        </w:rPr>
        <w:t xml:space="preserve"> however the tariffs related to this final rule are included here in FERC-923.</w:t>
      </w:r>
    </w:p>
    <w:p w14:paraId="723D2614" w14:textId="77777777" w:rsidR="00B225B4" w:rsidRDefault="00B225B4" w:rsidP="008A5F46">
      <w:pPr>
        <w:pStyle w:val="FERCparanumber"/>
        <w:numPr>
          <w:ilvl w:val="0"/>
          <w:numId w:val="0"/>
        </w:numPr>
        <w:spacing w:line="240" w:lineRule="auto"/>
        <w:rPr>
          <w:szCs w:val="26"/>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23"/>
        <w:gridCol w:w="1670"/>
        <w:gridCol w:w="1177"/>
        <w:gridCol w:w="1713"/>
        <w:gridCol w:w="1387"/>
      </w:tblGrid>
      <w:tr w:rsidR="00B34662" w:rsidRPr="00B34662" w14:paraId="65C69940" w14:textId="77777777" w:rsidTr="00020627">
        <w:tc>
          <w:tcPr>
            <w:tcW w:w="9738" w:type="dxa"/>
            <w:gridSpan w:val="6"/>
            <w:shd w:val="clear" w:color="auto" w:fill="D9D9D9"/>
          </w:tcPr>
          <w:p w14:paraId="7D42B3AB" w14:textId="77777777" w:rsidR="00B34662" w:rsidRPr="00B34662" w:rsidRDefault="00B34662" w:rsidP="00B34662">
            <w:pPr>
              <w:tabs>
                <w:tab w:val="left" w:pos="720"/>
              </w:tabs>
              <w:autoSpaceDE w:val="0"/>
              <w:autoSpaceDN w:val="0"/>
              <w:adjustRightInd w:val="0"/>
              <w:spacing w:after="0" w:line="240" w:lineRule="auto"/>
              <w:jc w:val="center"/>
              <w:rPr>
                <w:rFonts w:ascii="Times New Roman" w:hAnsi="Times New Roman" w:cs="Times New Roman"/>
                <w:b/>
                <w:sz w:val="24"/>
                <w:szCs w:val="24"/>
              </w:rPr>
            </w:pPr>
            <w:r w:rsidRPr="00B34662">
              <w:rPr>
                <w:rFonts w:ascii="Times New Roman" w:eastAsia="Times New Roman" w:hAnsi="Times New Roman" w:cs="Times New Roman"/>
                <w:b/>
                <w:sz w:val="24"/>
                <w:szCs w:val="24"/>
              </w:rPr>
              <w:t xml:space="preserve">FERC-923, </w:t>
            </w:r>
            <w:r w:rsidRPr="00B34662">
              <w:rPr>
                <w:rFonts w:ascii="Times New Roman" w:hAnsi="Times New Roman" w:cs="Times New Roman"/>
                <w:b/>
                <w:sz w:val="24"/>
                <w:szCs w:val="24"/>
              </w:rPr>
              <w:t>Communication of Operational Information Between</w:t>
            </w:r>
          </w:p>
          <w:p w14:paraId="02F3B018" w14:textId="77777777" w:rsidR="00B34662" w:rsidRPr="00B34662" w:rsidRDefault="00B34662" w:rsidP="00B34662">
            <w:pPr>
              <w:tabs>
                <w:tab w:val="left" w:pos="720"/>
              </w:tabs>
              <w:autoSpaceDE w:val="0"/>
              <w:autoSpaceDN w:val="0"/>
              <w:adjustRightInd w:val="0"/>
              <w:spacing w:after="0" w:line="240" w:lineRule="auto"/>
              <w:jc w:val="center"/>
              <w:rPr>
                <w:rFonts w:ascii="Times New Roman" w:hAnsi="Times New Roman" w:cs="Times New Roman"/>
                <w:b/>
                <w:sz w:val="24"/>
                <w:szCs w:val="24"/>
              </w:rPr>
            </w:pPr>
            <w:r w:rsidRPr="00B34662">
              <w:rPr>
                <w:rFonts w:ascii="Times New Roman" w:hAnsi="Times New Roman" w:cs="Times New Roman"/>
                <w:b/>
                <w:sz w:val="24"/>
                <w:szCs w:val="24"/>
              </w:rPr>
              <w:t>Natural Gas Pipelines and Electric Transmission Operators,</w:t>
            </w:r>
          </w:p>
          <w:p w14:paraId="59B73DB1"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Final Rule in Docket No. RM13-17</w:t>
            </w:r>
            <w:r w:rsidRPr="00B34662">
              <w:rPr>
                <w:rFonts w:ascii="Times New Roman" w:eastAsia="Times New Roman" w:hAnsi="Times New Roman" w:cs="Times New Roman"/>
                <w:b/>
                <w:sz w:val="24"/>
                <w:szCs w:val="24"/>
                <w:vertAlign w:val="superscript"/>
              </w:rPr>
              <w:footnoteReference w:id="17"/>
            </w:r>
          </w:p>
        </w:tc>
      </w:tr>
      <w:tr w:rsidR="00B34662" w:rsidRPr="00B34662" w14:paraId="1C3D8745" w14:textId="77777777" w:rsidTr="00020627">
        <w:tc>
          <w:tcPr>
            <w:tcW w:w="2268" w:type="dxa"/>
            <w:shd w:val="clear" w:color="auto" w:fill="D9D9D9"/>
            <w:vAlign w:val="bottom"/>
          </w:tcPr>
          <w:p w14:paraId="0EF216F4"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Type of Entity</w:t>
            </w:r>
          </w:p>
          <w:p w14:paraId="786734ED"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(1)</w:t>
            </w:r>
          </w:p>
        </w:tc>
        <w:tc>
          <w:tcPr>
            <w:tcW w:w="1523" w:type="dxa"/>
            <w:shd w:val="clear" w:color="auto" w:fill="D9D9D9"/>
            <w:vAlign w:val="bottom"/>
          </w:tcPr>
          <w:p w14:paraId="2A666155"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No. of Respondents</w:t>
            </w:r>
          </w:p>
          <w:p w14:paraId="34B0CFAC"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(2)</w:t>
            </w:r>
          </w:p>
        </w:tc>
        <w:tc>
          <w:tcPr>
            <w:tcW w:w="1670" w:type="dxa"/>
            <w:shd w:val="clear" w:color="auto" w:fill="D9D9D9"/>
            <w:vAlign w:val="bottom"/>
          </w:tcPr>
          <w:p w14:paraId="7E1BD27F"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Number of Responses  Per Respondent</w:t>
            </w:r>
          </w:p>
          <w:p w14:paraId="0C674A40"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(3)</w:t>
            </w:r>
          </w:p>
        </w:tc>
        <w:tc>
          <w:tcPr>
            <w:tcW w:w="1177" w:type="dxa"/>
            <w:shd w:val="clear" w:color="auto" w:fill="D9D9D9"/>
            <w:vAlign w:val="bottom"/>
          </w:tcPr>
          <w:p w14:paraId="71983351"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Average</w:t>
            </w:r>
          </w:p>
          <w:p w14:paraId="76F5A1DC"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Burden Hours per Response</w:t>
            </w:r>
          </w:p>
          <w:p w14:paraId="484F634B"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(4)</w:t>
            </w:r>
          </w:p>
        </w:tc>
        <w:tc>
          <w:tcPr>
            <w:tcW w:w="1713" w:type="dxa"/>
            <w:shd w:val="clear" w:color="auto" w:fill="D9D9D9"/>
            <w:vAlign w:val="bottom"/>
          </w:tcPr>
          <w:p w14:paraId="28A0FD27"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Total Annual Burden Hours</w:t>
            </w:r>
          </w:p>
          <w:p w14:paraId="431C90E4"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(2)*(3)*(4)=(5)</w:t>
            </w:r>
          </w:p>
        </w:tc>
        <w:tc>
          <w:tcPr>
            <w:tcW w:w="1387" w:type="dxa"/>
            <w:shd w:val="clear" w:color="auto" w:fill="D9D9D9"/>
            <w:vAlign w:val="bottom"/>
          </w:tcPr>
          <w:p w14:paraId="39EF5EDC"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Total Annual Cost ($)</w:t>
            </w:r>
          </w:p>
          <w:p w14:paraId="2F16E435" w14:textId="77777777" w:rsidR="00B34662" w:rsidRPr="00B34662" w:rsidRDefault="00B34662" w:rsidP="00B34662">
            <w:pPr>
              <w:tabs>
                <w:tab w:val="left" w:pos="720"/>
              </w:tabs>
              <w:autoSpaceDE w:val="0"/>
              <w:autoSpaceDN w:val="0"/>
              <w:adjustRightInd w:val="0"/>
              <w:spacing w:after="0" w:line="240" w:lineRule="auto"/>
              <w:jc w:val="center"/>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(5)*($</w:t>
            </w:r>
            <w:r w:rsidRPr="00B34662" w:rsidDel="00554169">
              <w:rPr>
                <w:rFonts w:ascii="Times New Roman" w:eastAsia="Times New Roman" w:hAnsi="Times New Roman" w:cs="Times New Roman"/>
                <w:b/>
                <w:sz w:val="24"/>
                <w:szCs w:val="24"/>
              </w:rPr>
              <w:t xml:space="preserve"> </w:t>
            </w:r>
            <w:r w:rsidRPr="00B34662">
              <w:rPr>
                <w:rFonts w:ascii="Times New Roman" w:eastAsia="Times New Roman" w:hAnsi="Times New Roman" w:cs="Times New Roman"/>
                <w:b/>
                <w:sz w:val="24"/>
                <w:szCs w:val="24"/>
              </w:rPr>
              <w:t>/</w:t>
            </w:r>
            <w:proofErr w:type="spellStart"/>
            <w:r w:rsidRPr="00B34662">
              <w:rPr>
                <w:rFonts w:ascii="Times New Roman" w:eastAsia="Times New Roman" w:hAnsi="Times New Roman" w:cs="Times New Roman"/>
                <w:b/>
                <w:sz w:val="24"/>
                <w:szCs w:val="24"/>
              </w:rPr>
              <w:t>hr</w:t>
            </w:r>
            <w:proofErr w:type="spellEnd"/>
            <w:r w:rsidRPr="00B34662">
              <w:rPr>
                <w:rFonts w:ascii="Times New Roman" w:eastAsia="Times New Roman" w:hAnsi="Times New Roman" w:cs="Times New Roman"/>
                <w:b/>
                <w:sz w:val="24"/>
                <w:szCs w:val="24"/>
              </w:rPr>
              <w:t>)=(6)</w:t>
            </w:r>
            <w:r w:rsidRPr="00B34662">
              <w:rPr>
                <w:rFonts w:ascii="Times New Roman" w:eastAsia="Times New Roman" w:hAnsi="Times New Roman" w:cs="Times New Roman"/>
                <w:b/>
                <w:sz w:val="26"/>
                <w:szCs w:val="26"/>
                <w:vertAlign w:val="superscript"/>
              </w:rPr>
              <w:footnoteReference w:id="18"/>
            </w:r>
          </w:p>
        </w:tc>
      </w:tr>
      <w:tr w:rsidR="00B34662" w:rsidRPr="00B34662" w14:paraId="5C418C24" w14:textId="77777777" w:rsidTr="00020627">
        <w:trPr>
          <w:trHeight w:val="1134"/>
        </w:trPr>
        <w:tc>
          <w:tcPr>
            <w:tcW w:w="2268" w:type="dxa"/>
            <w:vAlign w:val="bottom"/>
          </w:tcPr>
          <w:p w14:paraId="7F7B1683" w14:textId="77777777" w:rsidR="00B34662" w:rsidRPr="00B34662" w:rsidRDefault="00B34662" w:rsidP="00B34662">
            <w:p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lastRenderedPageBreak/>
              <w:t>Public Utility Transmission Operator, communications</w:t>
            </w:r>
          </w:p>
        </w:tc>
        <w:tc>
          <w:tcPr>
            <w:tcW w:w="1523" w:type="dxa"/>
            <w:vAlign w:val="bottom"/>
          </w:tcPr>
          <w:p w14:paraId="301BA57D"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167</w:t>
            </w:r>
            <w:r w:rsidRPr="00B34662">
              <w:rPr>
                <w:rFonts w:ascii="Times New Roman" w:eastAsia="Times New Roman" w:hAnsi="Times New Roman" w:cs="Times New Roman"/>
                <w:sz w:val="24"/>
                <w:szCs w:val="24"/>
                <w:vertAlign w:val="superscript"/>
              </w:rPr>
              <w:footnoteReference w:id="19"/>
            </w:r>
          </w:p>
        </w:tc>
        <w:tc>
          <w:tcPr>
            <w:tcW w:w="1670" w:type="dxa"/>
            <w:vAlign w:val="bottom"/>
          </w:tcPr>
          <w:p w14:paraId="2FA876AA"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12</w:t>
            </w:r>
            <w:r w:rsidRPr="00B34662">
              <w:rPr>
                <w:rFonts w:ascii="Times New Roman" w:eastAsia="Times New Roman" w:hAnsi="Times New Roman" w:cs="Times New Roman"/>
                <w:b/>
                <w:sz w:val="24"/>
                <w:szCs w:val="24"/>
                <w:vertAlign w:val="superscript"/>
              </w:rPr>
              <w:footnoteReference w:id="20"/>
            </w:r>
          </w:p>
        </w:tc>
        <w:tc>
          <w:tcPr>
            <w:tcW w:w="1177" w:type="dxa"/>
            <w:vAlign w:val="bottom"/>
          </w:tcPr>
          <w:p w14:paraId="6CDD31D2"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0.50</w:t>
            </w:r>
          </w:p>
        </w:tc>
        <w:tc>
          <w:tcPr>
            <w:tcW w:w="1713" w:type="dxa"/>
            <w:vAlign w:val="bottom"/>
          </w:tcPr>
          <w:p w14:paraId="7CCD2BDD"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1002</w:t>
            </w:r>
          </w:p>
        </w:tc>
        <w:tc>
          <w:tcPr>
            <w:tcW w:w="1387" w:type="dxa"/>
            <w:vAlign w:val="bottom"/>
          </w:tcPr>
          <w:p w14:paraId="6618B0BF"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$60,531</w:t>
            </w:r>
          </w:p>
        </w:tc>
      </w:tr>
      <w:tr w:rsidR="00B34662" w:rsidRPr="00B34662" w14:paraId="244F7B55" w14:textId="77777777" w:rsidTr="00020627">
        <w:trPr>
          <w:trHeight w:val="602"/>
        </w:trPr>
        <w:tc>
          <w:tcPr>
            <w:tcW w:w="2268" w:type="dxa"/>
            <w:vAlign w:val="bottom"/>
          </w:tcPr>
          <w:p w14:paraId="59AA2B7A" w14:textId="77777777" w:rsidR="00B34662" w:rsidRPr="00B34662" w:rsidRDefault="00B34662" w:rsidP="00B34662">
            <w:p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Interstate Natural Gas Pipelines, communications</w:t>
            </w:r>
          </w:p>
        </w:tc>
        <w:tc>
          <w:tcPr>
            <w:tcW w:w="1523" w:type="dxa"/>
            <w:vAlign w:val="bottom"/>
          </w:tcPr>
          <w:p w14:paraId="7052BE76" w14:textId="77777777" w:rsidR="00B34662" w:rsidRPr="00B34662" w:rsidRDefault="00B34662" w:rsidP="00B34662">
            <w:pPr>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137</w:t>
            </w:r>
            <w:r w:rsidRPr="00B34662">
              <w:rPr>
                <w:rFonts w:ascii="Times New Roman" w:eastAsia="Times New Roman" w:hAnsi="Times New Roman" w:cs="Times New Roman"/>
                <w:sz w:val="24"/>
                <w:szCs w:val="24"/>
                <w:vertAlign w:val="superscript"/>
              </w:rPr>
              <w:footnoteReference w:id="21"/>
            </w:r>
          </w:p>
        </w:tc>
        <w:tc>
          <w:tcPr>
            <w:tcW w:w="1670" w:type="dxa"/>
            <w:vAlign w:val="bottom"/>
          </w:tcPr>
          <w:p w14:paraId="31619839"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12</w:t>
            </w:r>
          </w:p>
        </w:tc>
        <w:tc>
          <w:tcPr>
            <w:tcW w:w="1177" w:type="dxa"/>
            <w:vAlign w:val="bottom"/>
          </w:tcPr>
          <w:p w14:paraId="08199701"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0.50</w:t>
            </w:r>
          </w:p>
        </w:tc>
        <w:tc>
          <w:tcPr>
            <w:tcW w:w="1713" w:type="dxa"/>
            <w:vAlign w:val="bottom"/>
          </w:tcPr>
          <w:p w14:paraId="58C2C21A"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822</w:t>
            </w:r>
          </w:p>
        </w:tc>
        <w:tc>
          <w:tcPr>
            <w:tcW w:w="1387" w:type="dxa"/>
            <w:vAlign w:val="bottom"/>
          </w:tcPr>
          <w:p w14:paraId="429D36E3"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$49,657</w:t>
            </w:r>
          </w:p>
        </w:tc>
      </w:tr>
      <w:tr w:rsidR="00B34662" w:rsidRPr="00B34662" w14:paraId="310889C0" w14:textId="77777777" w:rsidTr="00020627">
        <w:tc>
          <w:tcPr>
            <w:tcW w:w="2268" w:type="dxa"/>
            <w:vAlign w:val="center"/>
          </w:tcPr>
          <w:p w14:paraId="183B2FB1" w14:textId="77777777" w:rsidR="00B34662" w:rsidRPr="00B34662" w:rsidRDefault="00B34662" w:rsidP="00B34662">
            <w:p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Public Utility Transmission Operator  (tariff change)</w:t>
            </w:r>
          </w:p>
        </w:tc>
        <w:tc>
          <w:tcPr>
            <w:tcW w:w="1523" w:type="dxa"/>
            <w:vAlign w:val="bottom"/>
          </w:tcPr>
          <w:p w14:paraId="31A15B8A"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 xml:space="preserve">4 </w:t>
            </w:r>
            <w:r w:rsidRPr="00B34662">
              <w:rPr>
                <w:rFonts w:ascii="Times New Roman" w:eastAsia="Times New Roman" w:hAnsi="Times New Roman" w:cs="Times New Roman"/>
                <w:b/>
                <w:sz w:val="26"/>
                <w:szCs w:val="26"/>
                <w:vertAlign w:val="superscript"/>
              </w:rPr>
              <w:footnoteReference w:id="22"/>
            </w:r>
          </w:p>
        </w:tc>
        <w:tc>
          <w:tcPr>
            <w:tcW w:w="1670" w:type="dxa"/>
            <w:vAlign w:val="bottom"/>
          </w:tcPr>
          <w:p w14:paraId="1641867E"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2</w:t>
            </w:r>
          </w:p>
        </w:tc>
        <w:tc>
          <w:tcPr>
            <w:tcW w:w="1177" w:type="dxa"/>
            <w:vAlign w:val="bottom"/>
          </w:tcPr>
          <w:p w14:paraId="6AD13C94"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8</w:t>
            </w:r>
            <w:r w:rsidRPr="00B34662">
              <w:rPr>
                <w:rFonts w:ascii="Times New Roman" w:eastAsia="Times New Roman" w:hAnsi="Times New Roman" w:cs="Times New Roman"/>
                <w:b/>
                <w:sz w:val="26"/>
                <w:szCs w:val="26"/>
                <w:vertAlign w:val="superscript"/>
              </w:rPr>
              <w:footnoteReference w:id="23"/>
            </w:r>
          </w:p>
        </w:tc>
        <w:tc>
          <w:tcPr>
            <w:tcW w:w="1713" w:type="dxa"/>
            <w:vAlign w:val="bottom"/>
          </w:tcPr>
          <w:p w14:paraId="780DEB6E"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64</w:t>
            </w:r>
          </w:p>
        </w:tc>
        <w:tc>
          <w:tcPr>
            <w:tcW w:w="1387" w:type="dxa"/>
            <w:vAlign w:val="bottom"/>
          </w:tcPr>
          <w:p w14:paraId="490DC9EE"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$2,832</w:t>
            </w:r>
          </w:p>
        </w:tc>
      </w:tr>
      <w:tr w:rsidR="00B34662" w:rsidRPr="00B34662" w14:paraId="193478A4" w14:textId="77777777" w:rsidTr="00020627">
        <w:tc>
          <w:tcPr>
            <w:tcW w:w="2268" w:type="dxa"/>
            <w:vAlign w:val="center"/>
          </w:tcPr>
          <w:p w14:paraId="2F995FDF" w14:textId="77777777" w:rsidR="00B34662" w:rsidRPr="00B34662" w:rsidRDefault="00B34662" w:rsidP="00B34662">
            <w:pPr>
              <w:tabs>
                <w:tab w:val="left" w:pos="90"/>
              </w:tabs>
              <w:autoSpaceDE w:val="0"/>
              <w:autoSpaceDN w:val="0"/>
              <w:adjustRightInd w:val="0"/>
              <w:spacing w:after="0" w:line="240" w:lineRule="auto"/>
              <w:ind w:left="90"/>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Interstate Natural Gas Pipelines (tariff change)</w:t>
            </w:r>
          </w:p>
        </w:tc>
        <w:tc>
          <w:tcPr>
            <w:tcW w:w="1523" w:type="dxa"/>
            <w:vAlign w:val="bottom"/>
          </w:tcPr>
          <w:p w14:paraId="29FFAEAD"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 xml:space="preserve">4 </w:t>
            </w:r>
            <w:r w:rsidRPr="00B34662">
              <w:rPr>
                <w:rFonts w:ascii="Times New Roman" w:eastAsia="Times New Roman" w:hAnsi="Times New Roman" w:cs="Times New Roman"/>
                <w:b/>
                <w:sz w:val="26"/>
                <w:szCs w:val="26"/>
                <w:vertAlign w:val="superscript"/>
              </w:rPr>
              <w:footnoteReference w:id="24"/>
            </w:r>
          </w:p>
        </w:tc>
        <w:tc>
          <w:tcPr>
            <w:tcW w:w="1670" w:type="dxa"/>
            <w:vAlign w:val="bottom"/>
          </w:tcPr>
          <w:p w14:paraId="50DCF352"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1</w:t>
            </w:r>
          </w:p>
        </w:tc>
        <w:tc>
          <w:tcPr>
            <w:tcW w:w="1177" w:type="dxa"/>
            <w:vAlign w:val="bottom"/>
          </w:tcPr>
          <w:p w14:paraId="476F6DC6"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8</w:t>
            </w:r>
            <w:r w:rsidRPr="00B34662">
              <w:rPr>
                <w:rFonts w:ascii="Times New Roman" w:eastAsia="Times New Roman" w:hAnsi="Times New Roman" w:cs="Times New Roman"/>
                <w:b/>
                <w:sz w:val="26"/>
                <w:szCs w:val="26"/>
                <w:vertAlign w:val="superscript"/>
              </w:rPr>
              <w:footnoteReference w:id="25"/>
            </w:r>
          </w:p>
        </w:tc>
        <w:tc>
          <w:tcPr>
            <w:tcW w:w="1713" w:type="dxa"/>
            <w:vAlign w:val="bottom"/>
          </w:tcPr>
          <w:p w14:paraId="18D32EBB"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32</w:t>
            </w:r>
          </w:p>
        </w:tc>
        <w:tc>
          <w:tcPr>
            <w:tcW w:w="1387" w:type="dxa"/>
            <w:vAlign w:val="bottom"/>
          </w:tcPr>
          <w:p w14:paraId="78B481B0"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$1,416</w:t>
            </w:r>
          </w:p>
          <w:p w14:paraId="3FE04143"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p>
        </w:tc>
      </w:tr>
      <w:tr w:rsidR="00B34662" w:rsidRPr="00B34662" w14:paraId="06DBEFD2" w14:textId="77777777" w:rsidTr="00020627">
        <w:tc>
          <w:tcPr>
            <w:tcW w:w="2268" w:type="dxa"/>
            <w:vAlign w:val="center"/>
          </w:tcPr>
          <w:p w14:paraId="0D04E221" w14:textId="77777777" w:rsidR="00B34662" w:rsidRPr="00B34662" w:rsidRDefault="00B34662" w:rsidP="00B34662">
            <w:p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B34662">
              <w:rPr>
                <w:rFonts w:ascii="Times New Roman" w:eastAsia="Times New Roman" w:hAnsi="Times New Roman" w:cs="Times New Roman"/>
                <w:b/>
                <w:sz w:val="24"/>
                <w:szCs w:val="24"/>
              </w:rPr>
              <w:t>Total</w:t>
            </w:r>
          </w:p>
        </w:tc>
        <w:tc>
          <w:tcPr>
            <w:tcW w:w="1523" w:type="dxa"/>
            <w:shd w:val="clear" w:color="auto" w:fill="D9D9D9" w:themeFill="background1" w:themeFillShade="D9"/>
          </w:tcPr>
          <w:p w14:paraId="0F63C875"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670" w:type="dxa"/>
            <w:shd w:val="clear" w:color="auto" w:fill="D9D9D9" w:themeFill="background1" w:themeFillShade="D9"/>
          </w:tcPr>
          <w:p w14:paraId="020DFA63"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177" w:type="dxa"/>
            <w:shd w:val="pct15" w:color="auto" w:fill="auto"/>
          </w:tcPr>
          <w:p w14:paraId="6D4B5F2F"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p>
        </w:tc>
        <w:tc>
          <w:tcPr>
            <w:tcW w:w="1713" w:type="dxa"/>
          </w:tcPr>
          <w:p w14:paraId="7F8F8941"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1,920</w:t>
            </w:r>
          </w:p>
        </w:tc>
        <w:tc>
          <w:tcPr>
            <w:tcW w:w="1387" w:type="dxa"/>
          </w:tcPr>
          <w:p w14:paraId="40918B0F"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r w:rsidRPr="00B34662">
              <w:rPr>
                <w:rFonts w:ascii="Times New Roman" w:eastAsia="Times New Roman" w:hAnsi="Times New Roman" w:cs="Times New Roman"/>
                <w:sz w:val="24"/>
                <w:szCs w:val="24"/>
              </w:rPr>
              <w:t>$114,436</w:t>
            </w:r>
          </w:p>
          <w:p w14:paraId="2A908F73" w14:textId="77777777" w:rsidR="00B34662" w:rsidRPr="00B34662" w:rsidRDefault="00B34662" w:rsidP="00B34662">
            <w:pPr>
              <w:tabs>
                <w:tab w:val="left" w:pos="720"/>
              </w:tabs>
              <w:autoSpaceDE w:val="0"/>
              <w:autoSpaceDN w:val="0"/>
              <w:adjustRightInd w:val="0"/>
              <w:spacing w:after="0" w:line="240" w:lineRule="auto"/>
              <w:jc w:val="right"/>
              <w:rPr>
                <w:rFonts w:ascii="Times New Roman" w:eastAsia="Times New Roman" w:hAnsi="Times New Roman" w:cs="Times New Roman"/>
                <w:sz w:val="24"/>
                <w:szCs w:val="24"/>
              </w:rPr>
            </w:pPr>
          </w:p>
        </w:tc>
      </w:tr>
    </w:tbl>
    <w:p w14:paraId="030DB067" w14:textId="77777777" w:rsidR="007D67DE" w:rsidRDefault="007D67DE" w:rsidP="008A5F46">
      <w:pPr>
        <w:spacing w:after="0" w:line="240" w:lineRule="auto"/>
        <w:rPr>
          <w:rFonts w:ascii="Times New Roman" w:hAnsi="Times New Roman" w:cs="Times New Roman"/>
          <w:sz w:val="26"/>
          <w:szCs w:val="26"/>
        </w:rPr>
      </w:pPr>
    </w:p>
    <w:p w14:paraId="36BDCE94" w14:textId="47BBD283" w:rsidR="00D80FBD" w:rsidRDefault="006605EA" w:rsidP="008A5F4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There is a total of 3,660 ‘responses’ per </w:t>
      </w:r>
      <w:bookmarkStart w:id="1" w:name="_GoBack"/>
      <w:bookmarkEnd w:id="1"/>
      <w:r w:rsidR="005104B8">
        <w:rPr>
          <w:rFonts w:ascii="Times New Roman" w:hAnsi="Times New Roman" w:cs="Times New Roman"/>
          <w:sz w:val="26"/>
          <w:szCs w:val="26"/>
        </w:rPr>
        <w:t>year, 3,648 of which is</w:t>
      </w:r>
      <w:r>
        <w:rPr>
          <w:rFonts w:ascii="Times New Roman" w:hAnsi="Times New Roman" w:cs="Times New Roman"/>
          <w:sz w:val="26"/>
          <w:szCs w:val="26"/>
        </w:rPr>
        <w:t xml:space="preserve"> communications between transmission operators and not submitted to FERC.  Of those 3,660 responses, only 12 [(4*2</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(4*1)] are tariff filings and are submitted to FERC.</w:t>
      </w:r>
    </w:p>
    <w:p w14:paraId="36F17137" w14:textId="77777777" w:rsidR="006605EA" w:rsidRPr="00C65030" w:rsidRDefault="006605EA" w:rsidP="008A5F46">
      <w:pPr>
        <w:spacing w:after="0" w:line="240" w:lineRule="auto"/>
        <w:rPr>
          <w:rFonts w:ascii="Times New Roman" w:hAnsi="Times New Roman" w:cs="Times New Roman"/>
          <w:sz w:val="26"/>
          <w:szCs w:val="26"/>
        </w:rPr>
      </w:pPr>
    </w:p>
    <w:p w14:paraId="36BDCE95" w14:textId="77777777" w:rsidR="00D80FBD" w:rsidRPr="00C65030" w:rsidRDefault="00E636D7"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ESTIMATE OF THE TOTAL ANNUAL COST BURDEN TO RESPONDENTS</w:t>
      </w:r>
    </w:p>
    <w:p w14:paraId="3F351DC2" w14:textId="77777777" w:rsidR="007D67DE" w:rsidRDefault="007D67DE" w:rsidP="008A5F46">
      <w:pPr>
        <w:spacing w:after="0" w:line="240" w:lineRule="auto"/>
        <w:rPr>
          <w:rFonts w:ascii="Times New Roman" w:hAnsi="Times New Roman" w:cs="Times New Roman"/>
          <w:sz w:val="26"/>
          <w:szCs w:val="26"/>
        </w:rPr>
      </w:pPr>
    </w:p>
    <w:p w14:paraId="36BDCE96" w14:textId="4A081265" w:rsidR="00E636D7" w:rsidRPr="00C65030" w:rsidRDefault="00F54C4C"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lastRenderedPageBreak/>
        <w:t xml:space="preserve">There </w:t>
      </w:r>
      <w:proofErr w:type="gramStart"/>
      <w:r w:rsidR="00392BC6" w:rsidRPr="00C65030">
        <w:rPr>
          <w:rFonts w:ascii="Times New Roman" w:hAnsi="Times New Roman" w:cs="Times New Roman"/>
          <w:sz w:val="26"/>
          <w:szCs w:val="26"/>
        </w:rPr>
        <w:t>are</w:t>
      </w:r>
      <w:proofErr w:type="gramEnd"/>
      <w:r w:rsidRPr="00C65030">
        <w:rPr>
          <w:rFonts w:ascii="Times New Roman" w:hAnsi="Times New Roman" w:cs="Times New Roman"/>
          <w:sz w:val="26"/>
          <w:szCs w:val="26"/>
        </w:rPr>
        <w:t xml:space="preserve"> no start-up</w:t>
      </w:r>
      <w:r w:rsidR="00392BC6" w:rsidRPr="00C65030">
        <w:rPr>
          <w:rFonts w:ascii="Times New Roman" w:hAnsi="Times New Roman" w:cs="Times New Roman"/>
          <w:sz w:val="26"/>
          <w:szCs w:val="26"/>
        </w:rPr>
        <w:t>, capital,</w:t>
      </w:r>
      <w:r w:rsidRPr="00C65030">
        <w:rPr>
          <w:rFonts w:ascii="Times New Roman" w:hAnsi="Times New Roman" w:cs="Times New Roman"/>
          <w:sz w:val="26"/>
          <w:szCs w:val="26"/>
        </w:rPr>
        <w:t xml:space="preserve"> or other non-labor hour cost</w:t>
      </w:r>
      <w:r w:rsidR="00035965" w:rsidRPr="00C65030">
        <w:rPr>
          <w:rFonts w:ascii="Times New Roman" w:hAnsi="Times New Roman" w:cs="Times New Roman"/>
          <w:sz w:val="26"/>
          <w:szCs w:val="26"/>
        </w:rPr>
        <w:t>s.</w:t>
      </w:r>
      <w:r w:rsidRPr="00C65030">
        <w:rPr>
          <w:rFonts w:ascii="Times New Roman" w:hAnsi="Times New Roman" w:cs="Times New Roman"/>
          <w:sz w:val="26"/>
          <w:szCs w:val="26"/>
        </w:rPr>
        <w:t xml:space="preserve"> </w:t>
      </w:r>
      <w:r w:rsidR="00035965" w:rsidRPr="00C65030">
        <w:rPr>
          <w:rFonts w:ascii="Times New Roman" w:hAnsi="Times New Roman" w:cs="Times New Roman"/>
          <w:sz w:val="26"/>
          <w:szCs w:val="26"/>
        </w:rPr>
        <w:t xml:space="preserve"> All costs are related to burden and included in #12.</w:t>
      </w:r>
    </w:p>
    <w:p w14:paraId="36BDCE97" w14:textId="77777777" w:rsidR="00E636D7" w:rsidRPr="00C65030" w:rsidRDefault="00E636D7" w:rsidP="008A5F46">
      <w:pPr>
        <w:spacing w:after="0" w:line="240" w:lineRule="auto"/>
        <w:rPr>
          <w:rFonts w:ascii="Times New Roman" w:hAnsi="Times New Roman" w:cs="Times New Roman"/>
          <w:sz w:val="26"/>
          <w:szCs w:val="26"/>
        </w:rPr>
      </w:pPr>
    </w:p>
    <w:p w14:paraId="36BDCE98" w14:textId="77777777" w:rsidR="00E636D7" w:rsidRPr="00C65030" w:rsidRDefault="00A276F5"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ESTIMATED ANNUALIZED COST TO FEDERAL GOVERNMENT</w:t>
      </w:r>
    </w:p>
    <w:p w14:paraId="2D3084D3" w14:textId="77777777" w:rsidR="007D67DE" w:rsidRDefault="007D67DE" w:rsidP="00BA7143">
      <w:pPr>
        <w:spacing w:after="0" w:line="240" w:lineRule="auto"/>
        <w:rPr>
          <w:rFonts w:ascii="Times New Roman" w:hAnsi="Times New Roman" w:cs="Times New Roman"/>
          <w:sz w:val="26"/>
          <w:szCs w:val="26"/>
        </w:rPr>
      </w:pPr>
    </w:p>
    <w:p w14:paraId="2303943C" w14:textId="72F8BBB5" w:rsidR="00F54C4C" w:rsidRPr="00C65030" w:rsidRDefault="00F54C4C" w:rsidP="008A5F46">
      <w:pPr>
        <w:spacing w:line="240" w:lineRule="auto"/>
        <w:rPr>
          <w:rFonts w:ascii="Times New Roman" w:hAnsi="Times New Roman" w:cs="Times New Roman"/>
          <w:sz w:val="26"/>
          <w:szCs w:val="26"/>
        </w:rPr>
      </w:pPr>
      <w:r w:rsidRPr="00C65030">
        <w:rPr>
          <w:rFonts w:ascii="Times New Roman" w:hAnsi="Times New Roman" w:cs="Times New Roman"/>
          <w:sz w:val="26"/>
          <w:szCs w:val="26"/>
        </w:rPr>
        <w:t xml:space="preserve">The estimated </w:t>
      </w:r>
      <w:r w:rsidR="00992DB0">
        <w:rPr>
          <w:rFonts w:ascii="Times New Roman" w:hAnsi="Times New Roman" w:cs="Times New Roman"/>
          <w:sz w:val="26"/>
          <w:szCs w:val="26"/>
        </w:rPr>
        <w:t xml:space="preserve">annual </w:t>
      </w:r>
      <w:r w:rsidR="00392BC6" w:rsidRPr="00C65030">
        <w:rPr>
          <w:rFonts w:ascii="Times New Roman" w:hAnsi="Times New Roman" w:cs="Times New Roman"/>
          <w:sz w:val="26"/>
          <w:szCs w:val="26"/>
        </w:rPr>
        <w:t>f</w:t>
      </w:r>
      <w:r w:rsidRPr="00C65030">
        <w:rPr>
          <w:rFonts w:ascii="Times New Roman" w:hAnsi="Times New Roman" w:cs="Times New Roman"/>
          <w:sz w:val="26"/>
          <w:szCs w:val="26"/>
        </w:rPr>
        <w:t xml:space="preserve">ederal </w:t>
      </w:r>
      <w:r w:rsidR="00392BC6" w:rsidRPr="00C65030">
        <w:rPr>
          <w:rFonts w:ascii="Times New Roman" w:hAnsi="Times New Roman" w:cs="Times New Roman"/>
          <w:sz w:val="26"/>
          <w:szCs w:val="26"/>
        </w:rPr>
        <w:t>c</w:t>
      </w:r>
      <w:r w:rsidRPr="00C65030">
        <w:rPr>
          <w:rFonts w:ascii="Times New Roman" w:hAnsi="Times New Roman" w:cs="Times New Roman"/>
          <w:sz w:val="26"/>
          <w:szCs w:val="26"/>
        </w:rPr>
        <w:t>ost</w:t>
      </w:r>
      <w:r w:rsidR="00992DB0">
        <w:rPr>
          <w:rFonts w:ascii="Times New Roman" w:hAnsi="Times New Roman" w:cs="Times New Roman"/>
          <w:sz w:val="26"/>
          <w:szCs w:val="26"/>
        </w:rPr>
        <w:t>s</w:t>
      </w:r>
      <w:r w:rsidRPr="00C65030">
        <w:rPr>
          <w:rFonts w:ascii="Times New Roman" w:hAnsi="Times New Roman" w:cs="Times New Roman"/>
          <w:sz w:val="26"/>
          <w:szCs w:val="26"/>
        </w:rPr>
        <w:t xml:space="preserve"> follow.  </w:t>
      </w:r>
    </w:p>
    <w:tbl>
      <w:tblPr>
        <w:tblStyle w:val="TableGrid"/>
        <w:tblW w:w="0" w:type="auto"/>
        <w:tblLook w:val="01E0" w:firstRow="1" w:lastRow="1" w:firstColumn="1" w:lastColumn="1" w:noHBand="0" w:noVBand="0"/>
      </w:tblPr>
      <w:tblGrid>
        <w:gridCol w:w="3222"/>
        <w:gridCol w:w="4266"/>
      </w:tblGrid>
      <w:tr w:rsidR="00F557D5" w:rsidRPr="009C7AF2" w14:paraId="25E1739C" w14:textId="77777777" w:rsidTr="00F557D5">
        <w:tc>
          <w:tcPr>
            <w:tcW w:w="3222"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5B5A8C0D" w14:textId="77777777" w:rsidR="00F557D5" w:rsidRPr="009C7AF2" w:rsidRDefault="00F557D5" w:rsidP="008A5F46">
            <w:pPr>
              <w:rPr>
                <w:b/>
                <w:sz w:val="26"/>
                <w:szCs w:val="26"/>
              </w:rPr>
            </w:pPr>
            <w:r w:rsidRPr="009C7AF2">
              <w:rPr>
                <w:b/>
                <w:sz w:val="26"/>
                <w:szCs w:val="26"/>
              </w:rPr>
              <w:t>Type of Cost</w:t>
            </w:r>
          </w:p>
        </w:tc>
        <w:tc>
          <w:tcPr>
            <w:tcW w:w="4266" w:type="dxa"/>
            <w:tcBorders>
              <w:top w:val="single" w:sz="4" w:space="0" w:color="auto"/>
              <w:left w:val="single" w:sz="4" w:space="0" w:color="auto"/>
              <w:bottom w:val="single" w:sz="4" w:space="0" w:color="auto"/>
              <w:right w:val="single" w:sz="4" w:space="0" w:color="auto"/>
            </w:tcBorders>
            <w:shd w:val="clear" w:color="auto" w:fill="CCCCCC"/>
            <w:hideMark/>
          </w:tcPr>
          <w:p w14:paraId="29470D99" w14:textId="77777777" w:rsidR="00F557D5" w:rsidRPr="009C7AF2" w:rsidRDefault="00F557D5" w:rsidP="008A5F46">
            <w:pPr>
              <w:rPr>
                <w:b/>
                <w:sz w:val="26"/>
                <w:szCs w:val="26"/>
              </w:rPr>
            </w:pPr>
            <w:r w:rsidRPr="009C7AF2">
              <w:rPr>
                <w:b/>
                <w:sz w:val="26"/>
                <w:szCs w:val="26"/>
              </w:rPr>
              <w:t>Estimated Annual Federal Cost</w:t>
            </w:r>
            <w:r w:rsidRPr="009C7AF2">
              <w:rPr>
                <w:b/>
                <w:sz w:val="26"/>
                <w:szCs w:val="26"/>
                <w:vertAlign w:val="superscript"/>
              </w:rPr>
              <w:footnoteReference w:id="26"/>
            </w:r>
          </w:p>
        </w:tc>
      </w:tr>
      <w:tr w:rsidR="00AE3A76" w:rsidRPr="009C7AF2" w14:paraId="1053212B" w14:textId="77777777" w:rsidTr="00F557D5">
        <w:tc>
          <w:tcPr>
            <w:tcW w:w="3222" w:type="dxa"/>
            <w:tcBorders>
              <w:top w:val="single" w:sz="4" w:space="0" w:color="auto"/>
              <w:left w:val="single" w:sz="4" w:space="0" w:color="auto"/>
              <w:bottom w:val="single" w:sz="4" w:space="0" w:color="auto"/>
              <w:right w:val="single" w:sz="4" w:space="0" w:color="auto"/>
            </w:tcBorders>
          </w:tcPr>
          <w:p w14:paraId="7CFD8EF2" w14:textId="7AFE1548" w:rsidR="00AE3A76" w:rsidRPr="009C7AF2" w:rsidRDefault="00AE3A76" w:rsidP="009C7AF2">
            <w:pPr>
              <w:rPr>
                <w:sz w:val="26"/>
                <w:szCs w:val="26"/>
              </w:rPr>
            </w:pPr>
            <w:r w:rsidRPr="009C7AF2">
              <w:rPr>
                <w:sz w:val="26"/>
                <w:szCs w:val="26"/>
              </w:rPr>
              <w:t xml:space="preserve">Review and Processing of </w:t>
            </w:r>
            <w:r w:rsidR="009C7AF2" w:rsidRPr="009C7AF2">
              <w:rPr>
                <w:sz w:val="26"/>
                <w:szCs w:val="26"/>
              </w:rPr>
              <w:t>12 a</w:t>
            </w:r>
            <w:r w:rsidRPr="009C7AF2">
              <w:rPr>
                <w:sz w:val="26"/>
                <w:szCs w:val="26"/>
              </w:rPr>
              <w:t xml:space="preserve">dditional </w:t>
            </w:r>
            <w:r w:rsidR="009C7AF2" w:rsidRPr="009C7AF2">
              <w:rPr>
                <w:sz w:val="26"/>
                <w:szCs w:val="26"/>
              </w:rPr>
              <w:t>t</w:t>
            </w:r>
            <w:r w:rsidR="00E762F8" w:rsidRPr="009C7AF2">
              <w:rPr>
                <w:sz w:val="26"/>
                <w:szCs w:val="26"/>
              </w:rPr>
              <w:t xml:space="preserve">ariff </w:t>
            </w:r>
            <w:r w:rsidRPr="009C7AF2">
              <w:rPr>
                <w:sz w:val="26"/>
                <w:szCs w:val="26"/>
              </w:rPr>
              <w:t>filings</w:t>
            </w:r>
            <w:r w:rsidR="00143788" w:rsidRPr="009C7AF2">
              <w:rPr>
                <w:sz w:val="26"/>
                <w:szCs w:val="26"/>
              </w:rPr>
              <w:t>, triggered by RM13-17</w:t>
            </w:r>
            <w:r w:rsidR="009C7AF2" w:rsidRPr="009C7AF2">
              <w:rPr>
                <w:rStyle w:val="FootnoteReference"/>
                <w:sz w:val="26"/>
                <w:szCs w:val="26"/>
                <w:vertAlign w:val="superscript"/>
              </w:rPr>
              <w:footnoteReference w:id="27"/>
            </w:r>
          </w:p>
        </w:tc>
        <w:tc>
          <w:tcPr>
            <w:tcW w:w="4266" w:type="dxa"/>
            <w:tcBorders>
              <w:top w:val="single" w:sz="4" w:space="0" w:color="auto"/>
              <w:left w:val="single" w:sz="4" w:space="0" w:color="auto"/>
              <w:bottom w:val="single" w:sz="4" w:space="0" w:color="auto"/>
              <w:right w:val="single" w:sz="4" w:space="0" w:color="auto"/>
            </w:tcBorders>
            <w:vAlign w:val="bottom"/>
          </w:tcPr>
          <w:p w14:paraId="2661C86F" w14:textId="3FA76E66" w:rsidR="00AE3A76" w:rsidRPr="009C7AF2" w:rsidRDefault="009C7AF2" w:rsidP="00D72FB0">
            <w:pPr>
              <w:jc w:val="right"/>
              <w:rPr>
                <w:sz w:val="26"/>
                <w:szCs w:val="26"/>
              </w:rPr>
            </w:pPr>
            <w:r w:rsidRPr="009C7AF2">
              <w:rPr>
                <w:sz w:val="26"/>
                <w:szCs w:val="26"/>
              </w:rPr>
              <w:t>$</w:t>
            </w:r>
            <w:r w:rsidR="00D72FB0">
              <w:rPr>
                <w:sz w:val="26"/>
                <w:szCs w:val="26"/>
              </w:rPr>
              <w:t>20,190</w:t>
            </w:r>
          </w:p>
        </w:tc>
      </w:tr>
      <w:tr w:rsidR="00F557D5" w:rsidRPr="009C7AF2" w14:paraId="3E29BEC6" w14:textId="77777777" w:rsidTr="00F557D5">
        <w:tc>
          <w:tcPr>
            <w:tcW w:w="3222" w:type="dxa"/>
            <w:tcBorders>
              <w:top w:val="single" w:sz="4" w:space="0" w:color="auto"/>
              <w:left w:val="single" w:sz="4" w:space="0" w:color="auto"/>
              <w:bottom w:val="single" w:sz="4" w:space="0" w:color="auto"/>
              <w:right w:val="single" w:sz="4" w:space="0" w:color="auto"/>
            </w:tcBorders>
            <w:hideMark/>
          </w:tcPr>
          <w:p w14:paraId="551CF705" w14:textId="7C6F8227" w:rsidR="00F557D5" w:rsidRPr="009C7AF2" w:rsidRDefault="00F557D5" w:rsidP="00E762F8">
            <w:pPr>
              <w:rPr>
                <w:sz w:val="26"/>
                <w:szCs w:val="26"/>
              </w:rPr>
            </w:pPr>
            <w:r w:rsidRPr="009C7AF2">
              <w:rPr>
                <w:sz w:val="26"/>
                <w:szCs w:val="26"/>
              </w:rPr>
              <w:t>PRA Administration Cost</w:t>
            </w:r>
            <w:r w:rsidR="00C273E4" w:rsidRPr="009C7AF2">
              <w:rPr>
                <w:sz w:val="26"/>
                <w:szCs w:val="26"/>
                <w:vertAlign w:val="superscript"/>
              </w:rPr>
              <w:footnoteReference w:id="28"/>
            </w:r>
            <w:r w:rsidR="00AE3A76" w:rsidRPr="009C7AF2">
              <w:rPr>
                <w:sz w:val="26"/>
                <w:szCs w:val="26"/>
              </w:rPr>
              <w:t xml:space="preserve"> </w:t>
            </w:r>
          </w:p>
        </w:tc>
        <w:tc>
          <w:tcPr>
            <w:tcW w:w="4266" w:type="dxa"/>
            <w:tcBorders>
              <w:top w:val="single" w:sz="4" w:space="0" w:color="auto"/>
              <w:left w:val="single" w:sz="4" w:space="0" w:color="auto"/>
              <w:bottom w:val="single" w:sz="4" w:space="0" w:color="auto"/>
              <w:right w:val="single" w:sz="4" w:space="0" w:color="auto"/>
            </w:tcBorders>
            <w:vAlign w:val="bottom"/>
            <w:hideMark/>
          </w:tcPr>
          <w:p w14:paraId="74F38B09" w14:textId="77777777" w:rsidR="00F557D5" w:rsidRPr="009C7AF2" w:rsidRDefault="00F557D5" w:rsidP="008A5F46">
            <w:pPr>
              <w:jc w:val="right"/>
              <w:rPr>
                <w:sz w:val="26"/>
                <w:szCs w:val="26"/>
              </w:rPr>
            </w:pPr>
            <w:r w:rsidRPr="009C7AF2">
              <w:rPr>
                <w:sz w:val="26"/>
                <w:szCs w:val="26"/>
              </w:rPr>
              <w:t>$2,250</w:t>
            </w:r>
          </w:p>
        </w:tc>
      </w:tr>
      <w:tr w:rsidR="00F557D5" w:rsidRPr="009C7AF2" w14:paraId="07E465A2" w14:textId="77777777" w:rsidTr="00F557D5">
        <w:tc>
          <w:tcPr>
            <w:tcW w:w="3222" w:type="dxa"/>
            <w:tcBorders>
              <w:top w:val="single" w:sz="4" w:space="0" w:color="auto"/>
              <w:left w:val="single" w:sz="4" w:space="0" w:color="auto"/>
              <w:bottom w:val="single" w:sz="4" w:space="0" w:color="auto"/>
              <w:right w:val="single" w:sz="4" w:space="0" w:color="auto"/>
            </w:tcBorders>
            <w:hideMark/>
          </w:tcPr>
          <w:p w14:paraId="7F4C941D" w14:textId="77777777" w:rsidR="00F557D5" w:rsidRPr="009C7AF2" w:rsidRDefault="00F557D5" w:rsidP="008A5F46">
            <w:pPr>
              <w:rPr>
                <w:b/>
                <w:sz w:val="26"/>
                <w:szCs w:val="26"/>
              </w:rPr>
            </w:pPr>
            <w:r w:rsidRPr="009C7AF2">
              <w:rPr>
                <w:b/>
                <w:sz w:val="26"/>
                <w:szCs w:val="26"/>
              </w:rPr>
              <w:t>FERC Total</w:t>
            </w:r>
          </w:p>
        </w:tc>
        <w:tc>
          <w:tcPr>
            <w:tcW w:w="4266" w:type="dxa"/>
            <w:tcBorders>
              <w:top w:val="single" w:sz="4" w:space="0" w:color="auto"/>
              <w:left w:val="single" w:sz="4" w:space="0" w:color="auto"/>
              <w:bottom w:val="single" w:sz="4" w:space="0" w:color="auto"/>
              <w:right w:val="single" w:sz="4" w:space="0" w:color="auto"/>
            </w:tcBorders>
            <w:vAlign w:val="bottom"/>
            <w:hideMark/>
          </w:tcPr>
          <w:p w14:paraId="68AE75A7" w14:textId="15430E2F" w:rsidR="00F557D5" w:rsidRPr="009C7AF2" w:rsidRDefault="009C7AF2" w:rsidP="00D72FB0">
            <w:pPr>
              <w:jc w:val="right"/>
              <w:rPr>
                <w:sz w:val="26"/>
                <w:szCs w:val="26"/>
              </w:rPr>
            </w:pPr>
            <w:r w:rsidRPr="009C7AF2">
              <w:rPr>
                <w:sz w:val="26"/>
                <w:szCs w:val="26"/>
              </w:rPr>
              <w:t>$</w:t>
            </w:r>
            <w:r w:rsidR="00D72FB0">
              <w:rPr>
                <w:sz w:val="26"/>
                <w:szCs w:val="26"/>
              </w:rPr>
              <w:t>22,440</w:t>
            </w:r>
          </w:p>
        </w:tc>
      </w:tr>
    </w:tbl>
    <w:p w14:paraId="36BDCE9B" w14:textId="77777777" w:rsidR="00A276F5" w:rsidRPr="00C65030" w:rsidRDefault="00A276F5" w:rsidP="008A5F46">
      <w:pPr>
        <w:spacing w:after="0" w:line="240" w:lineRule="auto"/>
        <w:rPr>
          <w:rFonts w:ascii="Times New Roman" w:hAnsi="Times New Roman" w:cs="Times New Roman"/>
          <w:sz w:val="26"/>
          <w:szCs w:val="26"/>
        </w:rPr>
      </w:pPr>
    </w:p>
    <w:p w14:paraId="36BDCE9C" w14:textId="77777777" w:rsidR="00A276F5" w:rsidRPr="00C65030" w:rsidRDefault="00A276F5"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REASONS FOR CHANGES IN BURDEN INCLUDING THE NEED FOR ANY INCREASE</w:t>
      </w:r>
    </w:p>
    <w:p w14:paraId="62C51B91" w14:textId="77777777" w:rsidR="00130FE3" w:rsidRDefault="00130FE3" w:rsidP="008A5F46">
      <w:pPr>
        <w:spacing w:after="0" w:line="240" w:lineRule="auto"/>
        <w:rPr>
          <w:rFonts w:ascii="Times New Roman" w:hAnsi="Times New Roman" w:cs="Times New Roman"/>
          <w:sz w:val="26"/>
          <w:szCs w:val="26"/>
        </w:rPr>
      </w:pPr>
    </w:p>
    <w:p w14:paraId="23B02547" w14:textId="5403CF5D" w:rsidR="00E762F8" w:rsidRDefault="00577386"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Based on public comments received since 2/15/2012, the Commission is removing perceived or actual barriers for information sharing between </w:t>
      </w:r>
      <w:r w:rsidR="005724B4">
        <w:rPr>
          <w:rFonts w:ascii="Times New Roman" w:hAnsi="Times New Roman" w:cs="Times New Roman"/>
          <w:sz w:val="26"/>
          <w:szCs w:val="26"/>
        </w:rPr>
        <w:t xml:space="preserve">interstate natural </w:t>
      </w:r>
      <w:r w:rsidRPr="00C65030">
        <w:rPr>
          <w:rFonts w:ascii="Times New Roman" w:hAnsi="Times New Roman" w:cs="Times New Roman"/>
          <w:sz w:val="26"/>
          <w:szCs w:val="26"/>
        </w:rPr>
        <w:t xml:space="preserve">gas and electric transmission operators for the purposes of reliability and operational planning.  The information sharing and communications are voluntary between industry participants and are not provided to FERC.  </w:t>
      </w:r>
    </w:p>
    <w:p w14:paraId="18446C45" w14:textId="77777777" w:rsidR="00E762F8" w:rsidRDefault="00E762F8" w:rsidP="008A5F46">
      <w:pPr>
        <w:spacing w:after="0" w:line="240" w:lineRule="auto"/>
        <w:rPr>
          <w:rFonts w:ascii="Times New Roman" w:hAnsi="Times New Roman" w:cs="Times New Roman"/>
          <w:sz w:val="26"/>
          <w:szCs w:val="26"/>
        </w:rPr>
      </w:pPr>
    </w:p>
    <w:p w14:paraId="36BDCE9E" w14:textId="0C0BC5A0" w:rsidR="00C01698" w:rsidRPr="00C65030" w:rsidRDefault="00E762F8" w:rsidP="008A5F4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009B7E70">
        <w:rPr>
          <w:rFonts w:ascii="Times New Roman" w:hAnsi="Times New Roman" w:cs="Times New Roman"/>
          <w:sz w:val="26"/>
          <w:szCs w:val="26"/>
        </w:rPr>
        <w:t>estimated</w:t>
      </w:r>
      <w:r w:rsidR="007A1490">
        <w:rPr>
          <w:rFonts w:ascii="Times New Roman" w:hAnsi="Times New Roman" w:cs="Times New Roman"/>
          <w:sz w:val="26"/>
          <w:szCs w:val="26"/>
        </w:rPr>
        <w:t xml:space="preserve"> </w:t>
      </w:r>
      <w:r>
        <w:rPr>
          <w:rFonts w:ascii="Times New Roman" w:hAnsi="Times New Roman" w:cs="Times New Roman"/>
          <w:sz w:val="26"/>
          <w:szCs w:val="26"/>
        </w:rPr>
        <w:t>additional tariff filings will be submitted to FERC.</w:t>
      </w:r>
    </w:p>
    <w:p w14:paraId="7B7BC746" w14:textId="77777777" w:rsidR="000159F3" w:rsidRPr="00C65030" w:rsidRDefault="000159F3" w:rsidP="008A5F46">
      <w:pPr>
        <w:spacing w:after="0" w:line="240" w:lineRule="auto"/>
        <w:rPr>
          <w:rFonts w:ascii="Times New Roman" w:hAnsi="Times New Roman" w:cs="Times New Roman"/>
          <w:sz w:val="26"/>
          <w:szCs w:val="26"/>
        </w:rPr>
      </w:pPr>
    </w:p>
    <w:p w14:paraId="7B66B747" w14:textId="4E5618C5" w:rsidR="00BA465E" w:rsidRDefault="00BA465E" w:rsidP="00DB1C2E">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The following table illustrates the burden changes and the estimated burden inventory figures as modified by the final rule in RM13-17.</w:t>
      </w:r>
    </w:p>
    <w:p w14:paraId="155E49C9" w14:textId="77777777" w:rsidR="007A1490" w:rsidRPr="00C65030" w:rsidRDefault="007A1490" w:rsidP="00DB1C2E">
      <w:pPr>
        <w:spacing w:after="0" w:line="240" w:lineRule="auto"/>
        <w:rPr>
          <w:rFonts w:ascii="Times New Roman" w:hAnsi="Times New Roman" w:cs="Times New Roman"/>
          <w:sz w:val="26"/>
          <w:szCs w:val="26"/>
        </w:rPr>
      </w:pPr>
    </w:p>
    <w:p w14:paraId="2E920692" w14:textId="731E6982" w:rsidR="00BA465E" w:rsidRPr="00C65030" w:rsidRDefault="00BA465E" w:rsidP="00BA465E">
      <w:pPr>
        <w:spacing w:after="0"/>
        <w:rPr>
          <w:rFonts w:ascii="Times New Roman" w:hAnsi="Times New Roman" w:cs="Times New Roman"/>
          <w:sz w:val="26"/>
          <w:szCs w:val="26"/>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620"/>
        <w:gridCol w:w="1980"/>
        <w:gridCol w:w="1710"/>
        <w:gridCol w:w="2070"/>
      </w:tblGrid>
      <w:tr w:rsidR="00BA465E" w:rsidRPr="00C65030" w14:paraId="3A023998" w14:textId="06041ACE" w:rsidTr="00512705">
        <w:trPr>
          <w:trHeight w:val="870"/>
        </w:trPr>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312D88B" w14:textId="70C2A419" w:rsidR="00BA465E" w:rsidRPr="00C65030" w:rsidRDefault="00BA465E">
            <w:pPr>
              <w:spacing w:after="0"/>
              <w:rPr>
                <w:rFonts w:ascii="Times New Roman" w:hAnsi="Times New Roman" w:cs="Times New Roman"/>
                <w:b/>
                <w:sz w:val="26"/>
                <w:szCs w:val="26"/>
              </w:rPr>
            </w:pPr>
          </w:p>
        </w:tc>
        <w:tc>
          <w:tcPr>
            <w:tcW w:w="162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50A2D9A" w14:textId="02A1FDF6" w:rsidR="00BA465E" w:rsidRPr="00C65030" w:rsidRDefault="00BA465E">
            <w:pPr>
              <w:spacing w:after="0"/>
              <w:rPr>
                <w:rFonts w:ascii="Times New Roman" w:hAnsi="Times New Roman" w:cs="Times New Roman"/>
                <w:b/>
                <w:sz w:val="26"/>
                <w:szCs w:val="26"/>
              </w:rPr>
            </w:pPr>
            <w:r w:rsidRPr="00C65030">
              <w:rPr>
                <w:rFonts w:ascii="Times New Roman" w:hAnsi="Times New Roman" w:cs="Times New Roman"/>
                <w:b/>
                <w:sz w:val="26"/>
                <w:szCs w:val="26"/>
              </w:rPr>
              <w:t>Total Request</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284565F" w14:textId="45980D59" w:rsidR="00BA465E" w:rsidRPr="00C65030" w:rsidRDefault="00BA465E">
            <w:pPr>
              <w:spacing w:after="0"/>
              <w:rPr>
                <w:rFonts w:ascii="Times New Roman" w:hAnsi="Times New Roman" w:cs="Times New Roman"/>
                <w:b/>
                <w:sz w:val="26"/>
                <w:szCs w:val="26"/>
              </w:rPr>
            </w:pPr>
            <w:r w:rsidRPr="00C65030">
              <w:rPr>
                <w:rFonts w:ascii="Times New Roman" w:hAnsi="Times New Roman" w:cs="Times New Roman"/>
                <w:b/>
                <w:sz w:val="26"/>
                <w:szCs w:val="26"/>
              </w:rPr>
              <w:t>Previously Approved</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9F243DE" w14:textId="6EAC7A6C" w:rsidR="00BA465E" w:rsidRPr="00C65030" w:rsidRDefault="00BA465E">
            <w:pPr>
              <w:spacing w:after="0"/>
              <w:rPr>
                <w:rFonts w:ascii="Times New Roman" w:hAnsi="Times New Roman" w:cs="Times New Roman"/>
                <w:b/>
                <w:sz w:val="26"/>
                <w:szCs w:val="26"/>
              </w:rPr>
            </w:pPr>
            <w:r w:rsidRPr="00C65030">
              <w:rPr>
                <w:rFonts w:ascii="Times New Roman" w:hAnsi="Times New Roman" w:cs="Times New Roman"/>
                <w:b/>
                <w:sz w:val="26"/>
                <w:szCs w:val="26"/>
              </w:rPr>
              <w:t>Change due to Adjustment in Estimate</w:t>
            </w:r>
          </w:p>
        </w:tc>
        <w:tc>
          <w:tcPr>
            <w:tcW w:w="207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E226ED1" w14:textId="09D686F5" w:rsidR="00BA465E" w:rsidRPr="00C65030" w:rsidRDefault="00BA465E">
            <w:pPr>
              <w:spacing w:after="0"/>
              <w:rPr>
                <w:rFonts w:ascii="Times New Roman" w:hAnsi="Times New Roman" w:cs="Times New Roman"/>
                <w:b/>
                <w:sz w:val="26"/>
                <w:szCs w:val="26"/>
              </w:rPr>
            </w:pPr>
            <w:r w:rsidRPr="00C65030">
              <w:rPr>
                <w:rFonts w:ascii="Times New Roman" w:hAnsi="Times New Roman" w:cs="Times New Roman"/>
                <w:b/>
                <w:sz w:val="26"/>
                <w:szCs w:val="26"/>
              </w:rPr>
              <w:t>Change Due to Agency Discretion</w:t>
            </w:r>
          </w:p>
        </w:tc>
      </w:tr>
      <w:tr w:rsidR="00BA465E" w:rsidRPr="004F33B1" w14:paraId="36E984D8" w14:textId="41D539F0" w:rsidTr="00512705">
        <w:trPr>
          <w:trHeight w:val="591"/>
        </w:trPr>
        <w:tc>
          <w:tcPr>
            <w:tcW w:w="1800" w:type="dxa"/>
            <w:tcBorders>
              <w:top w:val="single" w:sz="4" w:space="0" w:color="auto"/>
              <w:left w:val="single" w:sz="4" w:space="0" w:color="auto"/>
              <w:bottom w:val="single" w:sz="4" w:space="0" w:color="auto"/>
              <w:right w:val="single" w:sz="4" w:space="0" w:color="auto"/>
            </w:tcBorders>
            <w:hideMark/>
          </w:tcPr>
          <w:p w14:paraId="026844D4" w14:textId="141D0CFA" w:rsidR="00BA465E" w:rsidRPr="00C65030" w:rsidRDefault="00BA465E">
            <w:pPr>
              <w:spacing w:after="0"/>
              <w:rPr>
                <w:rFonts w:ascii="Times New Roman" w:hAnsi="Times New Roman" w:cs="Times New Roman"/>
                <w:sz w:val="26"/>
                <w:szCs w:val="26"/>
              </w:rPr>
            </w:pPr>
            <w:r w:rsidRPr="00C65030">
              <w:rPr>
                <w:rFonts w:ascii="Times New Roman" w:hAnsi="Times New Roman" w:cs="Times New Roman"/>
                <w:sz w:val="26"/>
                <w:szCs w:val="26"/>
              </w:rPr>
              <w:lastRenderedPageBreak/>
              <w:t>Annual Number of Responses</w:t>
            </w:r>
          </w:p>
        </w:tc>
        <w:tc>
          <w:tcPr>
            <w:tcW w:w="1620" w:type="dxa"/>
            <w:tcBorders>
              <w:top w:val="single" w:sz="4" w:space="0" w:color="auto"/>
              <w:left w:val="single" w:sz="4" w:space="0" w:color="auto"/>
              <w:bottom w:val="single" w:sz="4" w:space="0" w:color="auto"/>
              <w:right w:val="single" w:sz="4" w:space="0" w:color="auto"/>
            </w:tcBorders>
            <w:vAlign w:val="bottom"/>
          </w:tcPr>
          <w:p w14:paraId="75252CDD" w14:textId="4FE37575" w:rsidR="00BA465E" w:rsidRPr="004F33B1" w:rsidRDefault="0053582B" w:rsidP="00512705">
            <w:pPr>
              <w:spacing w:after="0"/>
              <w:jc w:val="right"/>
              <w:rPr>
                <w:rFonts w:ascii="Times New Roman" w:hAnsi="Times New Roman" w:cs="Times New Roman"/>
                <w:sz w:val="26"/>
                <w:szCs w:val="26"/>
              </w:rPr>
            </w:pPr>
            <w:r w:rsidRPr="004F33B1">
              <w:rPr>
                <w:rFonts w:ascii="Times New Roman" w:hAnsi="Times New Roman" w:cs="Times New Roman"/>
                <w:sz w:val="26"/>
                <w:szCs w:val="26"/>
              </w:rPr>
              <w:t>3,660</w:t>
            </w:r>
          </w:p>
        </w:tc>
        <w:tc>
          <w:tcPr>
            <w:tcW w:w="1980" w:type="dxa"/>
            <w:tcBorders>
              <w:top w:val="single" w:sz="4" w:space="0" w:color="auto"/>
              <w:left w:val="single" w:sz="4" w:space="0" w:color="auto"/>
              <w:bottom w:val="single" w:sz="4" w:space="0" w:color="auto"/>
              <w:right w:val="single" w:sz="4" w:space="0" w:color="auto"/>
            </w:tcBorders>
            <w:vAlign w:val="bottom"/>
          </w:tcPr>
          <w:p w14:paraId="2E370ECD" w14:textId="30CE1379" w:rsidR="00BA465E" w:rsidRPr="004F33B1" w:rsidRDefault="00BA465E" w:rsidP="00512705">
            <w:pPr>
              <w:spacing w:after="0"/>
              <w:jc w:val="right"/>
              <w:rPr>
                <w:rFonts w:ascii="Times New Roman" w:hAnsi="Times New Roman" w:cs="Times New Roman"/>
                <w:sz w:val="26"/>
                <w:szCs w:val="26"/>
              </w:rPr>
            </w:pPr>
            <w:r w:rsidRPr="004F33B1">
              <w:rPr>
                <w:rFonts w:ascii="Times New Roman" w:hAnsi="Times New Roman" w:cs="Times New Roman"/>
                <w:sz w:val="26"/>
                <w:szCs w:val="26"/>
              </w:rPr>
              <w:t>0</w:t>
            </w:r>
          </w:p>
        </w:tc>
        <w:tc>
          <w:tcPr>
            <w:tcW w:w="1710" w:type="dxa"/>
            <w:tcBorders>
              <w:top w:val="single" w:sz="4" w:space="0" w:color="auto"/>
              <w:left w:val="single" w:sz="4" w:space="0" w:color="auto"/>
              <w:bottom w:val="single" w:sz="4" w:space="0" w:color="auto"/>
              <w:right w:val="single" w:sz="4" w:space="0" w:color="auto"/>
            </w:tcBorders>
            <w:vAlign w:val="bottom"/>
          </w:tcPr>
          <w:p w14:paraId="113FAA43" w14:textId="30B666F7" w:rsidR="00BA465E" w:rsidRPr="004F33B1" w:rsidRDefault="00BA465E" w:rsidP="00512705">
            <w:pPr>
              <w:spacing w:after="0"/>
              <w:jc w:val="right"/>
              <w:rPr>
                <w:rFonts w:ascii="Times New Roman" w:hAnsi="Times New Roman" w:cs="Times New Roman"/>
                <w:sz w:val="26"/>
                <w:szCs w:val="26"/>
              </w:rPr>
            </w:pPr>
            <w:r w:rsidRPr="004F33B1">
              <w:rPr>
                <w:rFonts w:ascii="Times New Roman" w:hAnsi="Times New Roman" w:cs="Times New Roman"/>
                <w:sz w:val="26"/>
                <w:szCs w:val="26"/>
              </w:rPr>
              <w:t>0</w:t>
            </w:r>
          </w:p>
        </w:tc>
        <w:tc>
          <w:tcPr>
            <w:tcW w:w="2070" w:type="dxa"/>
            <w:tcBorders>
              <w:top w:val="single" w:sz="4" w:space="0" w:color="auto"/>
              <w:left w:val="single" w:sz="4" w:space="0" w:color="auto"/>
              <w:bottom w:val="single" w:sz="4" w:space="0" w:color="auto"/>
              <w:right w:val="single" w:sz="4" w:space="0" w:color="auto"/>
            </w:tcBorders>
            <w:vAlign w:val="bottom"/>
          </w:tcPr>
          <w:p w14:paraId="5273935F" w14:textId="641DE5BD" w:rsidR="00BA465E" w:rsidRPr="004F33B1" w:rsidRDefault="0053582B" w:rsidP="00512705">
            <w:pPr>
              <w:spacing w:after="0"/>
              <w:jc w:val="right"/>
              <w:rPr>
                <w:rFonts w:ascii="Times New Roman" w:hAnsi="Times New Roman" w:cs="Times New Roman"/>
                <w:sz w:val="26"/>
                <w:szCs w:val="26"/>
              </w:rPr>
            </w:pPr>
            <w:r w:rsidRPr="004F33B1">
              <w:rPr>
                <w:rFonts w:ascii="Times New Roman" w:hAnsi="Times New Roman" w:cs="Times New Roman"/>
                <w:sz w:val="26"/>
                <w:szCs w:val="26"/>
              </w:rPr>
              <w:t>3,660</w:t>
            </w:r>
          </w:p>
        </w:tc>
      </w:tr>
      <w:tr w:rsidR="00BA465E" w:rsidRPr="00C65030" w14:paraId="2A56757B" w14:textId="0BB9BAEC" w:rsidTr="00512705">
        <w:trPr>
          <w:trHeight w:val="575"/>
        </w:trPr>
        <w:tc>
          <w:tcPr>
            <w:tcW w:w="1800" w:type="dxa"/>
            <w:tcBorders>
              <w:top w:val="single" w:sz="4" w:space="0" w:color="auto"/>
              <w:left w:val="single" w:sz="4" w:space="0" w:color="auto"/>
              <w:bottom w:val="single" w:sz="4" w:space="0" w:color="auto"/>
              <w:right w:val="single" w:sz="4" w:space="0" w:color="auto"/>
            </w:tcBorders>
            <w:hideMark/>
          </w:tcPr>
          <w:p w14:paraId="379A2A6F" w14:textId="5C0F7A92" w:rsidR="00BA465E" w:rsidRPr="00C65030" w:rsidRDefault="00BA465E">
            <w:pPr>
              <w:spacing w:after="0"/>
              <w:rPr>
                <w:rFonts w:ascii="Times New Roman" w:hAnsi="Times New Roman" w:cs="Times New Roman"/>
                <w:sz w:val="26"/>
                <w:szCs w:val="26"/>
              </w:rPr>
            </w:pPr>
            <w:r w:rsidRPr="00C65030">
              <w:rPr>
                <w:rFonts w:ascii="Times New Roman" w:hAnsi="Times New Roman" w:cs="Times New Roman"/>
                <w:sz w:val="26"/>
                <w:szCs w:val="26"/>
              </w:rPr>
              <w:t>Annual Time Burden (Hr.)</w:t>
            </w:r>
          </w:p>
        </w:tc>
        <w:tc>
          <w:tcPr>
            <w:tcW w:w="1620" w:type="dxa"/>
            <w:tcBorders>
              <w:top w:val="single" w:sz="4" w:space="0" w:color="auto"/>
              <w:left w:val="single" w:sz="4" w:space="0" w:color="auto"/>
              <w:bottom w:val="single" w:sz="4" w:space="0" w:color="auto"/>
              <w:right w:val="single" w:sz="4" w:space="0" w:color="auto"/>
            </w:tcBorders>
            <w:vAlign w:val="bottom"/>
          </w:tcPr>
          <w:p w14:paraId="305AC79B" w14:textId="7113C5A2" w:rsidR="00BA465E" w:rsidRPr="00541FE9" w:rsidRDefault="00541FE9" w:rsidP="00512705">
            <w:pPr>
              <w:spacing w:after="0"/>
              <w:jc w:val="right"/>
              <w:rPr>
                <w:rFonts w:ascii="Times New Roman" w:hAnsi="Times New Roman" w:cs="Times New Roman"/>
                <w:sz w:val="26"/>
                <w:szCs w:val="26"/>
              </w:rPr>
            </w:pPr>
            <w:r w:rsidRPr="00541FE9">
              <w:rPr>
                <w:rFonts w:ascii="Times New Roman" w:hAnsi="Times New Roman" w:cs="Times New Roman"/>
                <w:sz w:val="26"/>
                <w:szCs w:val="26"/>
              </w:rPr>
              <w:t>1,920</w:t>
            </w:r>
          </w:p>
        </w:tc>
        <w:tc>
          <w:tcPr>
            <w:tcW w:w="1980" w:type="dxa"/>
            <w:tcBorders>
              <w:top w:val="single" w:sz="4" w:space="0" w:color="auto"/>
              <w:left w:val="single" w:sz="4" w:space="0" w:color="auto"/>
              <w:bottom w:val="single" w:sz="4" w:space="0" w:color="auto"/>
              <w:right w:val="single" w:sz="4" w:space="0" w:color="auto"/>
            </w:tcBorders>
            <w:vAlign w:val="bottom"/>
          </w:tcPr>
          <w:p w14:paraId="25A852A3" w14:textId="219C2ADF" w:rsidR="00BA465E" w:rsidRPr="00541FE9" w:rsidRDefault="00BA465E" w:rsidP="00512705">
            <w:pPr>
              <w:spacing w:after="0"/>
              <w:jc w:val="right"/>
              <w:rPr>
                <w:rFonts w:ascii="Times New Roman" w:hAnsi="Times New Roman" w:cs="Times New Roman"/>
                <w:sz w:val="26"/>
                <w:szCs w:val="26"/>
              </w:rPr>
            </w:pPr>
            <w:r w:rsidRPr="00541FE9">
              <w:rPr>
                <w:rFonts w:ascii="Times New Roman" w:hAnsi="Times New Roman" w:cs="Times New Roman"/>
                <w:sz w:val="26"/>
                <w:szCs w:val="26"/>
              </w:rPr>
              <w:t>0</w:t>
            </w:r>
          </w:p>
        </w:tc>
        <w:tc>
          <w:tcPr>
            <w:tcW w:w="1710" w:type="dxa"/>
            <w:tcBorders>
              <w:top w:val="single" w:sz="4" w:space="0" w:color="auto"/>
              <w:left w:val="single" w:sz="4" w:space="0" w:color="auto"/>
              <w:bottom w:val="single" w:sz="4" w:space="0" w:color="auto"/>
              <w:right w:val="single" w:sz="4" w:space="0" w:color="auto"/>
            </w:tcBorders>
            <w:vAlign w:val="bottom"/>
          </w:tcPr>
          <w:p w14:paraId="4576FC13" w14:textId="5C575A84" w:rsidR="00BA465E" w:rsidRPr="00541FE9" w:rsidRDefault="00BA465E" w:rsidP="00512705">
            <w:pPr>
              <w:spacing w:after="0"/>
              <w:jc w:val="right"/>
              <w:rPr>
                <w:rFonts w:ascii="Times New Roman" w:hAnsi="Times New Roman" w:cs="Times New Roman"/>
                <w:sz w:val="26"/>
                <w:szCs w:val="26"/>
              </w:rPr>
            </w:pPr>
            <w:r w:rsidRPr="00541FE9">
              <w:rPr>
                <w:rFonts w:ascii="Times New Roman" w:hAnsi="Times New Roman" w:cs="Times New Roman"/>
                <w:sz w:val="26"/>
                <w:szCs w:val="26"/>
              </w:rPr>
              <w:t>0</w:t>
            </w:r>
          </w:p>
        </w:tc>
        <w:tc>
          <w:tcPr>
            <w:tcW w:w="2070" w:type="dxa"/>
            <w:tcBorders>
              <w:top w:val="single" w:sz="4" w:space="0" w:color="auto"/>
              <w:left w:val="single" w:sz="4" w:space="0" w:color="auto"/>
              <w:bottom w:val="single" w:sz="4" w:space="0" w:color="auto"/>
              <w:right w:val="single" w:sz="4" w:space="0" w:color="auto"/>
            </w:tcBorders>
            <w:vAlign w:val="bottom"/>
          </w:tcPr>
          <w:p w14:paraId="00B13BF9" w14:textId="1E91DD14" w:rsidR="00BA465E" w:rsidRPr="00541FE9" w:rsidRDefault="00FF5F85" w:rsidP="00512705">
            <w:pPr>
              <w:spacing w:after="0"/>
              <w:jc w:val="right"/>
              <w:rPr>
                <w:rFonts w:ascii="Times New Roman" w:hAnsi="Times New Roman" w:cs="Times New Roman"/>
                <w:sz w:val="26"/>
                <w:szCs w:val="26"/>
              </w:rPr>
            </w:pPr>
            <w:r w:rsidRPr="00541FE9">
              <w:rPr>
                <w:rFonts w:ascii="Times New Roman" w:hAnsi="Times New Roman" w:cs="Times New Roman"/>
                <w:sz w:val="26"/>
                <w:szCs w:val="26"/>
              </w:rPr>
              <w:t>1,920</w:t>
            </w:r>
          </w:p>
        </w:tc>
      </w:tr>
      <w:tr w:rsidR="00BA465E" w:rsidRPr="00C65030" w14:paraId="49AA4214" w14:textId="7BE164B9" w:rsidTr="00512705">
        <w:trPr>
          <w:trHeight w:val="295"/>
        </w:trPr>
        <w:tc>
          <w:tcPr>
            <w:tcW w:w="1800" w:type="dxa"/>
            <w:tcBorders>
              <w:top w:val="single" w:sz="4" w:space="0" w:color="auto"/>
              <w:left w:val="single" w:sz="4" w:space="0" w:color="auto"/>
              <w:bottom w:val="single" w:sz="4" w:space="0" w:color="auto"/>
              <w:right w:val="single" w:sz="4" w:space="0" w:color="auto"/>
            </w:tcBorders>
            <w:hideMark/>
          </w:tcPr>
          <w:p w14:paraId="51E5C819" w14:textId="35253816" w:rsidR="00BA465E" w:rsidRPr="00C65030" w:rsidRDefault="00BA465E">
            <w:pPr>
              <w:spacing w:after="0"/>
              <w:rPr>
                <w:rFonts w:ascii="Times New Roman" w:hAnsi="Times New Roman" w:cs="Times New Roman"/>
                <w:sz w:val="26"/>
                <w:szCs w:val="26"/>
              </w:rPr>
            </w:pPr>
            <w:r w:rsidRPr="00C65030">
              <w:rPr>
                <w:rFonts w:ascii="Times New Roman" w:hAnsi="Times New Roman" w:cs="Times New Roman"/>
                <w:sz w:val="26"/>
                <w:szCs w:val="26"/>
              </w:rPr>
              <w:t>Annual Cost Burden ($)</w:t>
            </w:r>
          </w:p>
        </w:tc>
        <w:tc>
          <w:tcPr>
            <w:tcW w:w="1620" w:type="dxa"/>
            <w:tcBorders>
              <w:top w:val="single" w:sz="4" w:space="0" w:color="auto"/>
              <w:left w:val="single" w:sz="4" w:space="0" w:color="auto"/>
              <w:bottom w:val="single" w:sz="4" w:space="0" w:color="auto"/>
              <w:right w:val="single" w:sz="4" w:space="0" w:color="auto"/>
            </w:tcBorders>
            <w:vAlign w:val="bottom"/>
          </w:tcPr>
          <w:p w14:paraId="773A594F" w14:textId="50AEF658" w:rsidR="00BA465E" w:rsidRPr="00C65030" w:rsidRDefault="00BA465E" w:rsidP="00512705">
            <w:pPr>
              <w:spacing w:after="0"/>
              <w:jc w:val="right"/>
              <w:rPr>
                <w:rFonts w:ascii="Times New Roman" w:hAnsi="Times New Roman" w:cs="Times New Roman"/>
                <w:sz w:val="26"/>
                <w:szCs w:val="26"/>
              </w:rPr>
            </w:pPr>
            <w:r w:rsidRPr="00C65030">
              <w:rPr>
                <w:rFonts w:ascii="Times New Roman" w:hAnsi="Times New Roman" w:cs="Times New Roman"/>
                <w:sz w:val="26"/>
                <w:szCs w:val="26"/>
              </w:rPr>
              <w:t>0</w:t>
            </w:r>
          </w:p>
        </w:tc>
        <w:tc>
          <w:tcPr>
            <w:tcW w:w="1980" w:type="dxa"/>
            <w:tcBorders>
              <w:top w:val="single" w:sz="4" w:space="0" w:color="auto"/>
              <w:left w:val="single" w:sz="4" w:space="0" w:color="auto"/>
              <w:bottom w:val="single" w:sz="4" w:space="0" w:color="auto"/>
              <w:right w:val="single" w:sz="4" w:space="0" w:color="auto"/>
            </w:tcBorders>
            <w:vAlign w:val="bottom"/>
          </w:tcPr>
          <w:p w14:paraId="1481155A" w14:textId="62F69F36" w:rsidR="00BA465E" w:rsidRPr="00C65030" w:rsidRDefault="00BA465E" w:rsidP="00512705">
            <w:pPr>
              <w:spacing w:after="0"/>
              <w:jc w:val="right"/>
              <w:rPr>
                <w:rFonts w:ascii="Times New Roman" w:hAnsi="Times New Roman" w:cs="Times New Roman"/>
                <w:sz w:val="26"/>
                <w:szCs w:val="26"/>
              </w:rPr>
            </w:pPr>
            <w:r w:rsidRPr="00C65030">
              <w:rPr>
                <w:rFonts w:ascii="Times New Roman" w:hAnsi="Times New Roman" w:cs="Times New Roman"/>
                <w:sz w:val="26"/>
                <w:szCs w:val="26"/>
              </w:rPr>
              <w:t>0</w:t>
            </w:r>
          </w:p>
        </w:tc>
        <w:tc>
          <w:tcPr>
            <w:tcW w:w="1710" w:type="dxa"/>
            <w:tcBorders>
              <w:top w:val="single" w:sz="4" w:space="0" w:color="auto"/>
              <w:left w:val="single" w:sz="4" w:space="0" w:color="auto"/>
              <w:bottom w:val="single" w:sz="4" w:space="0" w:color="auto"/>
              <w:right w:val="single" w:sz="4" w:space="0" w:color="auto"/>
            </w:tcBorders>
            <w:vAlign w:val="bottom"/>
          </w:tcPr>
          <w:p w14:paraId="371CD585" w14:textId="76AAF0FB" w:rsidR="00BA465E" w:rsidRPr="00C65030" w:rsidRDefault="00BA465E" w:rsidP="00512705">
            <w:pPr>
              <w:spacing w:after="0"/>
              <w:jc w:val="right"/>
              <w:rPr>
                <w:rFonts w:ascii="Times New Roman" w:hAnsi="Times New Roman" w:cs="Times New Roman"/>
                <w:sz w:val="26"/>
                <w:szCs w:val="26"/>
              </w:rPr>
            </w:pPr>
            <w:r w:rsidRPr="00C65030">
              <w:rPr>
                <w:rFonts w:ascii="Times New Roman" w:hAnsi="Times New Roman" w:cs="Times New Roman"/>
                <w:sz w:val="26"/>
                <w:szCs w:val="26"/>
              </w:rPr>
              <w:t>0</w:t>
            </w:r>
          </w:p>
        </w:tc>
        <w:tc>
          <w:tcPr>
            <w:tcW w:w="2070" w:type="dxa"/>
            <w:tcBorders>
              <w:top w:val="single" w:sz="4" w:space="0" w:color="auto"/>
              <w:left w:val="single" w:sz="4" w:space="0" w:color="auto"/>
              <w:bottom w:val="single" w:sz="4" w:space="0" w:color="auto"/>
              <w:right w:val="single" w:sz="4" w:space="0" w:color="auto"/>
            </w:tcBorders>
            <w:vAlign w:val="bottom"/>
          </w:tcPr>
          <w:p w14:paraId="68380F27" w14:textId="6F611EA4" w:rsidR="00BA465E" w:rsidRPr="00C65030" w:rsidRDefault="00AE3A76" w:rsidP="00512705">
            <w:pPr>
              <w:spacing w:after="0"/>
              <w:jc w:val="right"/>
              <w:rPr>
                <w:rFonts w:ascii="Times New Roman" w:hAnsi="Times New Roman" w:cs="Times New Roman"/>
                <w:sz w:val="26"/>
                <w:szCs w:val="26"/>
              </w:rPr>
            </w:pPr>
            <w:r w:rsidRPr="00C65030">
              <w:rPr>
                <w:rFonts w:ascii="Times New Roman" w:hAnsi="Times New Roman" w:cs="Times New Roman"/>
                <w:sz w:val="26"/>
                <w:szCs w:val="26"/>
              </w:rPr>
              <w:t>0</w:t>
            </w:r>
          </w:p>
        </w:tc>
      </w:tr>
    </w:tbl>
    <w:p w14:paraId="0096190C" w14:textId="77777777" w:rsidR="00BA7143" w:rsidRDefault="00BA7143" w:rsidP="00BA465E">
      <w:pPr>
        <w:spacing w:after="0"/>
        <w:rPr>
          <w:rFonts w:ascii="Times New Roman" w:hAnsi="Times New Roman" w:cs="Times New Roman"/>
          <w:sz w:val="26"/>
          <w:szCs w:val="26"/>
        </w:rPr>
      </w:pPr>
    </w:p>
    <w:p w14:paraId="4B9C5955" w14:textId="77777777" w:rsidR="004F33B1" w:rsidRDefault="004F33B1" w:rsidP="00BA465E">
      <w:pPr>
        <w:spacing w:after="0"/>
        <w:rPr>
          <w:rFonts w:ascii="Times New Roman" w:hAnsi="Times New Roman" w:cs="Times New Roman"/>
          <w:sz w:val="26"/>
          <w:szCs w:val="26"/>
        </w:rPr>
      </w:pPr>
      <w:r>
        <w:rPr>
          <w:rFonts w:ascii="Times New Roman" w:hAnsi="Times New Roman" w:cs="Times New Roman"/>
          <w:sz w:val="26"/>
          <w:szCs w:val="26"/>
        </w:rPr>
        <w:t>O</w:t>
      </w:r>
      <w:r w:rsidRPr="004F33B1">
        <w:rPr>
          <w:rFonts w:ascii="Times New Roman" w:hAnsi="Times New Roman" w:cs="Times New Roman"/>
          <w:sz w:val="26"/>
          <w:szCs w:val="26"/>
        </w:rPr>
        <w:t xml:space="preserve">f </w:t>
      </w:r>
      <w:r>
        <w:rPr>
          <w:rFonts w:ascii="Times New Roman" w:hAnsi="Times New Roman" w:cs="Times New Roman"/>
          <w:sz w:val="26"/>
          <w:szCs w:val="26"/>
        </w:rPr>
        <w:t xml:space="preserve">the estimated </w:t>
      </w:r>
      <w:r w:rsidRPr="004F33B1">
        <w:rPr>
          <w:rFonts w:ascii="Times New Roman" w:hAnsi="Times New Roman" w:cs="Times New Roman"/>
          <w:sz w:val="26"/>
          <w:szCs w:val="26"/>
        </w:rPr>
        <w:t xml:space="preserve">3,660 ‘responses’ per year, </w:t>
      </w:r>
    </w:p>
    <w:p w14:paraId="2493EF82" w14:textId="44BBDD05" w:rsidR="004F33B1" w:rsidRDefault="004F33B1" w:rsidP="004F33B1">
      <w:pPr>
        <w:pStyle w:val="ListParagraph"/>
        <w:numPr>
          <w:ilvl w:val="0"/>
          <w:numId w:val="8"/>
        </w:numPr>
        <w:spacing w:after="0" w:line="240" w:lineRule="auto"/>
        <w:rPr>
          <w:rFonts w:ascii="Times New Roman" w:hAnsi="Times New Roman" w:cs="Times New Roman"/>
          <w:sz w:val="26"/>
          <w:szCs w:val="26"/>
        </w:rPr>
      </w:pPr>
      <w:r w:rsidRPr="004F33B1">
        <w:rPr>
          <w:rFonts w:ascii="Times New Roman" w:hAnsi="Times New Roman" w:cs="Times New Roman"/>
          <w:sz w:val="26"/>
          <w:szCs w:val="26"/>
        </w:rPr>
        <w:t xml:space="preserve">3,648 are </w:t>
      </w:r>
      <w:r>
        <w:rPr>
          <w:rFonts w:ascii="Times New Roman" w:hAnsi="Times New Roman" w:cs="Times New Roman"/>
          <w:sz w:val="26"/>
          <w:szCs w:val="26"/>
        </w:rPr>
        <w:t xml:space="preserve">voluntary </w:t>
      </w:r>
      <w:r w:rsidRPr="004F33B1">
        <w:rPr>
          <w:rFonts w:ascii="Times New Roman" w:hAnsi="Times New Roman" w:cs="Times New Roman"/>
          <w:sz w:val="26"/>
          <w:szCs w:val="26"/>
        </w:rPr>
        <w:t>communications between transmission operators</w:t>
      </w:r>
      <w:r w:rsidR="00370488">
        <w:rPr>
          <w:rFonts w:ascii="Times New Roman" w:hAnsi="Times New Roman" w:cs="Times New Roman"/>
          <w:sz w:val="26"/>
          <w:szCs w:val="26"/>
        </w:rPr>
        <w:t>,</w:t>
      </w:r>
      <w:r w:rsidRPr="004F33B1">
        <w:rPr>
          <w:rFonts w:ascii="Times New Roman" w:hAnsi="Times New Roman" w:cs="Times New Roman"/>
          <w:sz w:val="26"/>
          <w:szCs w:val="26"/>
        </w:rPr>
        <w:t xml:space="preserve"> </w:t>
      </w:r>
      <w:r>
        <w:rPr>
          <w:rFonts w:ascii="Times New Roman" w:hAnsi="Times New Roman" w:cs="Times New Roman"/>
          <w:sz w:val="26"/>
          <w:szCs w:val="26"/>
        </w:rPr>
        <w:t>which</w:t>
      </w:r>
      <w:r w:rsidRPr="004F33B1">
        <w:rPr>
          <w:rFonts w:ascii="Times New Roman" w:hAnsi="Times New Roman" w:cs="Times New Roman"/>
          <w:sz w:val="26"/>
          <w:szCs w:val="26"/>
        </w:rPr>
        <w:t xml:space="preserve"> </w:t>
      </w:r>
      <w:r>
        <w:rPr>
          <w:rFonts w:ascii="Times New Roman" w:hAnsi="Times New Roman" w:cs="Times New Roman"/>
          <w:sz w:val="26"/>
          <w:szCs w:val="26"/>
        </w:rPr>
        <w:t xml:space="preserve">are </w:t>
      </w:r>
      <w:r w:rsidRPr="004F33B1">
        <w:rPr>
          <w:rFonts w:ascii="Times New Roman" w:hAnsi="Times New Roman" w:cs="Times New Roman"/>
          <w:sz w:val="26"/>
          <w:szCs w:val="26"/>
        </w:rPr>
        <w:t xml:space="preserve">not submitted to FERC, and </w:t>
      </w:r>
    </w:p>
    <w:p w14:paraId="03FAE752" w14:textId="761AE400" w:rsidR="000F3A60" w:rsidRDefault="004F33B1" w:rsidP="000F3A60">
      <w:pPr>
        <w:pStyle w:val="ListParagraph"/>
        <w:numPr>
          <w:ilvl w:val="0"/>
          <w:numId w:val="8"/>
        </w:numPr>
        <w:spacing w:after="0" w:line="240" w:lineRule="auto"/>
        <w:rPr>
          <w:rFonts w:ascii="Times New Roman" w:hAnsi="Times New Roman" w:cs="Times New Roman"/>
          <w:sz w:val="26"/>
          <w:szCs w:val="26"/>
        </w:rPr>
      </w:pPr>
      <w:r w:rsidRPr="004F33B1">
        <w:rPr>
          <w:rFonts w:ascii="Times New Roman" w:hAnsi="Times New Roman" w:cs="Times New Roman"/>
          <w:sz w:val="26"/>
          <w:szCs w:val="26"/>
        </w:rPr>
        <w:t>12 are tariff filings</w:t>
      </w:r>
      <w:r w:rsidR="00370488">
        <w:rPr>
          <w:rFonts w:ascii="Times New Roman" w:hAnsi="Times New Roman" w:cs="Times New Roman"/>
          <w:sz w:val="26"/>
          <w:szCs w:val="26"/>
        </w:rPr>
        <w:t>,</w:t>
      </w:r>
      <w:r w:rsidRPr="004F33B1">
        <w:rPr>
          <w:rFonts w:ascii="Times New Roman" w:hAnsi="Times New Roman" w:cs="Times New Roman"/>
          <w:sz w:val="26"/>
          <w:szCs w:val="26"/>
        </w:rPr>
        <w:t xml:space="preserve"> which are submitted to FERC.</w:t>
      </w:r>
    </w:p>
    <w:p w14:paraId="6BD3D240" w14:textId="243D2B0A" w:rsidR="000F3A60" w:rsidRPr="000F3A60" w:rsidRDefault="000F3A60" w:rsidP="000F3A60">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All costs are related to burden</w:t>
      </w:r>
      <w:r w:rsidR="00E55E88">
        <w:rPr>
          <w:rFonts w:ascii="Times New Roman" w:hAnsi="Times New Roman" w:cs="Times New Roman"/>
          <w:sz w:val="26"/>
          <w:szCs w:val="26"/>
        </w:rPr>
        <w:t xml:space="preserve"> and not capital or start-up costs, so 0 is indicated above.  The burden costs are described in #12</w:t>
      </w:r>
      <w:r>
        <w:rPr>
          <w:rFonts w:ascii="Times New Roman" w:hAnsi="Times New Roman" w:cs="Times New Roman"/>
          <w:sz w:val="26"/>
          <w:szCs w:val="26"/>
        </w:rPr>
        <w:t>.</w:t>
      </w:r>
    </w:p>
    <w:p w14:paraId="36BDCE9F" w14:textId="77777777" w:rsidR="00970FE4" w:rsidRPr="00C65030" w:rsidRDefault="00970FE4" w:rsidP="008A5F46">
      <w:pPr>
        <w:spacing w:after="0" w:line="240" w:lineRule="auto"/>
        <w:rPr>
          <w:rFonts w:ascii="Times New Roman" w:hAnsi="Times New Roman" w:cs="Times New Roman"/>
          <w:sz w:val="26"/>
          <w:szCs w:val="26"/>
        </w:rPr>
      </w:pPr>
    </w:p>
    <w:p w14:paraId="36BDCEA0" w14:textId="77777777" w:rsidR="00A276F5" w:rsidRPr="00C65030" w:rsidRDefault="00414F32"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TIME SCHEDULE FOR PUBLICATION OF DATA</w:t>
      </w:r>
    </w:p>
    <w:p w14:paraId="194B8A0C" w14:textId="77777777" w:rsidR="00BA7143" w:rsidRDefault="00BA7143" w:rsidP="008A5F46">
      <w:pPr>
        <w:spacing w:after="0" w:line="240" w:lineRule="auto"/>
        <w:rPr>
          <w:rFonts w:ascii="Times New Roman" w:hAnsi="Times New Roman" w:cs="Times New Roman"/>
          <w:sz w:val="26"/>
          <w:szCs w:val="26"/>
        </w:rPr>
      </w:pPr>
    </w:p>
    <w:p w14:paraId="36BDCEA1" w14:textId="4436E1A0" w:rsidR="00414F32" w:rsidRPr="00C65030" w:rsidRDefault="00280FB6"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The Commission does not </w:t>
      </w:r>
      <w:r w:rsidR="00E55E88">
        <w:rPr>
          <w:rFonts w:ascii="Times New Roman" w:hAnsi="Times New Roman" w:cs="Times New Roman"/>
          <w:sz w:val="26"/>
          <w:szCs w:val="26"/>
        </w:rPr>
        <w:t>publish the data.</w:t>
      </w:r>
    </w:p>
    <w:p w14:paraId="36BDCEA2" w14:textId="77777777" w:rsidR="00414F32" w:rsidRPr="00C65030" w:rsidRDefault="00414F32" w:rsidP="008A5F46">
      <w:pPr>
        <w:spacing w:after="0" w:line="240" w:lineRule="auto"/>
        <w:rPr>
          <w:rFonts w:ascii="Times New Roman" w:hAnsi="Times New Roman" w:cs="Times New Roman"/>
          <w:sz w:val="26"/>
          <w:szCs w:val="26"/>
        </w:rPr>
      </w:pPr>
    </w:p>
    <w:p w14:paraId="36BDCEA3" w14:textId="77777777" w:rsidR="00414F32" w:rsidRPr="00C65030" w:rsidRDefault="00414F32"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DISPLAY OF EXPIRATION DATE</w:t>
      </w:r>
    </w:p>
    <w:p w14:paraId="01FBBA0B" w14:textId="77777777" w:rsidR="00BA7143" w:rsidRDefault="00BA7143" w:rsidP="008A5F46">
      <w:pPr>
        <w:spacing w:after="0" w:line="240" w:lineRule="auto"/>
        <w:rPr>
          <w:rFonts w:ascii="Times New Roman" w:hAnsi="Times New Roman" w:cs="Times New Roman"/>
          <w:sz w:val="26"/>
          <w:szCs w:val="26"/>
        </w:rPr>
      </w:pPr>
    </w:p>
    <w:p w14:paraId="36BDCEA4" w14:textId="4D44D40E" w:rsidR="00414F32" w:rsidRPr="00C65030" w:rsidRDefault="00280FB6" w:rsidP="008A5F46">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 xml:space="preserve">It is not appropriate to display the expiration date because </w:t>
      </w:r>
      <w:r w:rsidR="00BA7143">
        <w:rPr>
          <w:rFonts w:ascii="Times New Roman" w:hAnsi="Times New Roman" w:cs="Times New Roman"/>
          <w:sz w:val="26"/>
          <w:szCs w:val="26"/>
        </w:rPr>
        <w:t>there is no information</w:t>
      </w:r>
      <w:r w:rsidRPr="00C65030">
        <w:rPr>
          <w:rFonts w:ascii="Times New Roman" w:hAnsi="Times New Roman" w:cs="Times New Roman"/>
          <w:sz w:val="26"/>
          <w:szCs w:val="26"/>
        </w:rPr>
        <w:t xml:space="preserve"> collected on a preformatted form or in any format that would allow for such a display.  </w:t>
      </w:r>
    </w:p>
    <w:p w14:paraId="36BDCEA5" w14:textId="77777777" w:rsidR="00414F32" w:rsidRPr="00C65030" w:rsidRDefault="00414F32" w:rsidP="008A5F46">
      <w:pPr>
        <w:spacing w:after="0" w:line="240" w:lineRule="auto"/>
        <w:rPr>
          <w:rFonts w:ascii="Times New Roman" w:hAnsi="Times New Roman" w:cs="Times New Roman"/>
          <w:sz w:val="26"/>
          <w:szCs w:val="26"/>
        </w:rPr>
      </w:pPr>
    </w:p>
    <w:p w14:paraId="36BDCEA6" w14:textId="77777777" w:rsidR="00414F32" w:rsidRPr="00C65030" w:rsidRDefault="00414F32" w:rsidP="008A5F46">
      <w:pPr>
        <w:pStyle w:val="ListParagraph"/>
        <w:numPr>
          <w:ilvl w:val="0"/>
          <w:numId w:val="1"/>
        </w:numPr>
        <w:spacing w:after="0" w:line="240" w:lineRule="auto"/>
        <w:rPr>
          <w:rFonts w:ascii="Times New Roman" w:hAnsi="Times New Roman" w:cs="Times New Roman"/>
          <w:b/>
          <w:sz w:val="26"/>
          <w:szCs w:val="26"/>
        </w:rPr>
      </w:pPr>
      <w:r w:rsidRPr="00C65030">
        <w:rPr>
          <w:rFonts w:ascii="Times New Roman" w:hAnsi="Times New Roman" w:cs="Times New Roman"/>
          <w:b/>
          <w:sz w:val="26"/>
          <w:szCs w:val="26"/>
        </w:rPr>
        <w:t>EXCEPTIONS TO THE CERTIFICATION STATEMENT</w:t>
      </w:r>
    </w:p>
    <w:p w14:paraId="311CE225" w14:textId="77777777" w:rsidR="00BA7143" w:rsidRDefault="00BA7143" w:rsidP="004D5BF0">
      <w:pPr>
        <w:spacing w:after="0" w:line="240" w:lineRule="auto"/>
        <w:rPr>
          <w:rFonts w:ascii="Times New Roman" w:hAnsi="Times New Roman" w:cs="Times New Roman"/>
          <w:sz w:val="26"/>
          <w:szCs w:val="26"/>
        </w:rPr>
      </w:pPr>
    </w:p>
    <w:p w14:paraId="5518FA3A" w14:textId="004CE45F" w:rsidR="006C4401" w:rsidRPr="00C65030" w:rsidRDefault="00280FB6" w:rsidP="004D5BF0">
      <w:pPr>
        <w:spacing w:after="0" w:line="240" w:lineRule="auto"/>
        <w:rPr>
          <w:rFonts w:ascii="Times New Roman" w:hAnsi="Times New Roman" w:cs="Times New Roman"/>
          <w:sz w:val="26"/>
          <w:szCs w:val="26"/>
        </w:rPr>
      </w:pPr>
      <w:r w:rsidRPr="00C65030">
        <w:rPr>
          <w:rFonts w:ascii="Times New Roman" w:hAnsi="Times New Roman" w:cs="Times New Roman"/>
          <w:sz w:val="26"/>
          <w:szCs w:val="26"/>
        </w:rPr>
        <w:t>The Commission does not use statistical methods for th</w:t>
      </w:r>
      <w:r w:rsidR="00BA7143">
        <w:rPr>
          <w:rFonts w:ascii="Times New Roman" w:hAnsi="Times New Roman" w:cs="Times New Roman"/>
          <w:sz w:val="26"/>
          <w:szCs w:val="26"/>
        </w:rPr>
        <w:t>is</w:t>
      </w:r>
      <w:r w:rsidRPr="00C65030">
        <w:rPr>
          <w:rFonts w:ascii="Times New Roman" w:hAnsi="Times New Roman" w:cs="Times New Roman"/>
          <w:sz w:val="26"/>
          <w:szCs w:val="26"/>
        </w:rPr>
        <w:t xml:space="preserve"> collection.  </w:t>
      </w:r>
    </w:p>
    <w:sectPr w:rsidR="006C4401" w:rsidRPr="00C6503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15E48" w14:textId="77777777" w:rsidR="00512705" w:rsidRDefault="00512705" w:rsidP="00FD66F1">
      <w:pPr>
        <w:spacing w:after="0" w:line="240" w:lineRule="auto"/>
      </w:pPr>
      <w:r>
        <w:separator/>
      </w:r>
    </w:p>
  </w:endnote>
  <w:endnote w:type="continuationSeparator" w:id="0">
    <w:p w14:paraId="6E6E432A" w14:textId="77777777" w:rsidR="00512705" w:rsidRDefault="00512705"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noProof/>
      </w:rPr>
    </w:sdtEndPr>
    <w:sdtContent>
      <w:p w14:paraId="36BDCEB2" w14:textId="77777777" w:rsidR="00512705" w:rsidRDefault="00512705">
        <w:pPr>
          <w:pStyle w:val="Footer"/>
          <w:jc w:val="right"/>
        </w:pPr>
        <w:r>
          <w:fldChar w:fldCharType="begin"/>
        </w:r>
        <w:r>
          <w:instrText xml:space="preserve"> PAGE   \* MERGEFORMAT </w:instrText>
        </w:r>
        <w:r>
          <w:fldChar w:fldCharType="separate"/>
        </w:r>
        <w:r w:rsidR="005104B8">
          <w:rPr>
            <w:noProof/>
          </w:rPr>
          <w:t>13</w:t>
        </w:r>
        <w:r>
          <w:rPr>
            <w:noProof/>
          </w:rPr>
          <w:fldChar w:fldCharType="end"/>
        </w:r>
      </w:p>
    </w:sdtContent>
  </w:sdt>
  <w:p w14:paraId="36BDCEB3" w14:textId="77777777" w:rsidR="00512705" w:rsidRDefault="00512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53B0E" w14:textId="77777777" w:rsidR="00512705" w:rsidRDefault="00512705" w:rsidP="00FD66F1">
      <w:pPr>
        <w:spacing w:after="0" w:line="240" w:lineRule="auto"/>
      </w:pPr>
      <w:r>
        <w:separator/>
      </w:r>
    </w:p>
  </w:footnote>
  <w:footnote w:type="continuationSeparator" w:id="0">
    <w:p w14:paraId="57391DB0" w14:textId="77777777" w:rsidR="00512705" w:rsidRDefault="00512705" w:rsidP="00FD66F1">
      <w:pPr>
        <w:spacing w:after="0" w:line="240" w:lineRule="auto"/>
      </w:pPr>
      <w:r>
        <w:continuationSeparator/>
      </w:r>
    </w:p>
  </w:footnote>
  <w:footnote w:id="1">
    <w:p w14:paraId="78BEBDF7" w14:textId="109B1B41" w:rsidR="00512705" w:rsidRPr="00C31245" w:rsidRDefault="00512705" w:rsidP="009761B2">
      <w:pPr>
        <w:pStyle w:val="FootnoteText"/>
        <w:rPr>
          <w:sz w:val="24"/>
          <w:szCs w:val="24"/>
        </w:rPr>
      </w:pPr>
      <w:r w:rsidRPr="00C31245">
        <w:rPr>
          <w:rStyle w:val="FootnoteReference"/>
          <w:sz w:val="24"/>
          <w:szCs w:val="24"/>
          <w:vertAlign w:val="superscript"/>
        </w:rPr>
        <w:footnoteRef/>
      </w:r>
      <w:r w:rsidRPr="00C31245">
        <w:rPr>
          <w:sz w:val="24"/>
          <w:szCs w:val="24"/>
        </w:rPr>
        <w:t xml:space="preserve"> </w:t>
      </w:r>
      <w:r>
        <w:rPr>
          <w:sz w:val="24"/>
          <w:szCs w:val="24"/>
        </w:rPr>
        <w:t xml:space="preserve">The Final Rule is </w:t>
      </w:r>
      <w:r w:rsidR="00703ECC">
        <w:rPr>
          <w:sz w:val="24"/>
          <w:szCs w:val="24"/>
        </w:rPr>
        <w:t>available</w:t>
      </w:r>
      <w:r>
        <w:rPr>
          <w:sz w:val="24"/>
          <w:szCs w:val="24"/>
        </w:rPr>
        <w:t xml:space="preserve"> at </w:t>
      </w:r>
      <w:hyperlink r:id="rId1" w:history="1">
        <w:r w:rsidR="00703ECC" w:rsidRPr="002C336D">
          <w:rPr>
            <w:rStyle w:val="Hyperlink"/>
            <w:sz w:val="24"/>
            <w:szCs w:val="24"/>
          </w:rPr>
          <w:t>http://elibrary.ferc.gov/idmws/common/opennat.asp?fileID=13395565</w:t>
        </w:r>
      </w:hyperlink>
      <w:r w:rsidR="00703ECC">
        <w:rPr>
          <w:sz w:val="24"/>
          <w:szCs w:val="24"/>
        </w:rPr>
        <w:t xml:space="preserve">, and related News Release, at </w:t>
      </w:r>
      <w:hyperlink r:id="rId2" w:history="1">
        <w:r w:rsidR="00703ECC" w:rsidRPr="002C336D">
          <w:rPr>
            <w:rStyle w:val="Hyperlink"/>
            <w:sz w:val="24"/>
            <w:szCs w:val="24"/>
          </w:rPr>
          <w:t>http://elibrary.ferc.gov/idmws/common/opennat.asp?fileID=13395701</w:t>
        </w:r>
      </w:hyperlink>
      <w:r>
        <w:rPr>
          <w:sz w:val="24"/>
          <w:szCs w:val="24"/>
        </w:rPr>
        <w:t xml:space="preserve">.  The Notice of Proposed Rulemaking (NOPR), available at </w:t>
      </w:r>
      <w:hyperlink r:id="rId3" w:history="1">
        <w:r w:rsidRPr="00C31245">
          <w:rPr>
            <w:rStyle w:val="Hyperlink"/>
            <w:sz w:val="24"/>
            <w:szCs w:val="24"/>
          </w:rPr>
          <w:t>http://elibrary.ferc.gov/idmws/common/opennat.asp?fileID=13308690</w:t>
        </w:r>
      </w:hyperlink>
      <w:r>
        <w:rPr>
          <w:sz w:val="24"/>
          <w:szCs w:val="24"/>
        </w:rPr>
        <w:t xml:space="preserve"> , and a </w:t>
      </w:r>
      <w:r w:rsidR="000F3A60">
        <w:rPr>
          <w:sz w:val="24"/>
          <w:szCs w:val="24"/>
        </w:rPr>
        <w:t xml:space="preserve">related </w:t>
      </w:r>
      <w:r>
        <w:rPr>
          <w:sz w:val="24"/>
          <w:szCs w:val="24"/>
        </w:rPr>
        <w:t>News Release, at</w:t>
      </w:r>
      <w:r w:rsidRPr="00056AC5">
        <w:t xml:space="preserve"> </w:t>
      </w:r>
      <w:hyperlink r:id="rId4" w:history="1">
        <w:r w:rsidRPr="00FE3821">
          <w:rPr>
            <w:rStyle w:val="Hyperlink"/>
            <w:sz w:val="24"/>
            <w:szCs w:val="24"/>
          </w:rPr>
          <w:t>http://elibrary.ferc.gov/idmws/common/opennat.asp?fileID=13308924</w:t>
        </w:r>
      </w:hyperlink>
      <w:r>
        <w:rPr>
          <w:sz w:val="24"/>
          <w:szCs w:val="24"/>
        </w:rPr>
        <w:t xml:space="preserve">, </w:t>
      </w:r>
      <w:proofErr w:type="gramStart"/>
      <w:r>
        <w:rPr>
          <w:sz w:val="24"/>
          <w:szCs w:val="24"/>
        </w:rPr>
        <w:t>were</w:t>
      </w:r>
      <w:proofErr w:type="gramEnd"/>
      <w:r>
        <w:rPr>
          <w:sz w:val="24"/>
          <w:szCs w:val="24"/>
        </w:rPr>
        <w:t xml:space="preserve"> issued on 7/18/2013.  </w:t>
      </w:r>
    </w:p>
  </w:footnote>
  <w:footnote w:id="2">
    <w:p w14:paraId="481504DC" w14:textId="61367AA6" w:rsidR="00512705" w:rsidRPr="002157DB" w:rsidRDefault="00512705">
      <w:pPr>
        <w:pStyle w:val="FootnoteText"/>
        <w:rPr>
          <w:sz w:val="24"/>
          <w:szCs w:val="24"/>
        </w:rPr>
      </w:pPr>
      <w:r w:rsidRPr="002157DB">
        <w:rPr>
          <w:rStyle w:val="FootnoteReference"/>
          <w:sz w:val="24"/>
          <w:szCs w:val="24"/>
          <w:vertAlign w:val="superscript"/>
        </w:rPr>
        <w:footnoteRef/>
      </w:r>
      <w:r w:rsidRPr="002157DB">
        <w:rPr>
          <w:sz w:val="24"/>
          <w:szCs w:val="24"/>
        </w:rPr>
        <w:t xml:space="preserve"> For ease of reference, we will refer to these </w:t>
      </w:r>
      <w:r>
        <w:rPr>
          <w:sz w:val="24"/>
          <w:szCs w:val="24"/>
        </w:rPr>
        <w:t>entities</w:t>
      </w:r>
      <w:r w:rsidRPr="002157DB">
        <w:rPr>
          <w:sz w:val="24"/>
          <w:szCs w:val="24"/>
        </w:rPr>
        <w:t xml:space="preserve"> collectively as “transmission operators.”</w:t>
      </w:r>
    </w:p>
  </w:footnote>
  <w:footnote w:id="3">
    <w:p w14:paraId="5AFE33DF" w14:textId="77777777" w:rsidR="00151695" w:rsidRPr="00870766" w:rsidRDefault="00151695" w:rsidP="00151695">
      <w:pPr>
        <w:pStyle w:val="FootnoteText"/>
        <w:rPr>
          <w:sz w:val="24"/>
          <w:szCs w:val="24"/>
        </w:rPr>
      </w:pPr>
      <w:r w:rsidRPr="00870766">
        <w:rPr>
          <w:rStyle w:val="FootnoteReference"/>
          <w:sz w:val="24"/>
          <w:szCs w:val="24"/>
          <w:vertAlign w:val="superscript"/>
        </w:rPr>
        <w:footnoteRef/>
      </w:r>
      <w:r w:rsidRPr="00870766">
        <w:rPr>
          <w:sz w:val="24"/>
          <w:szCs w:val="24"/>
          <w:vertAlign w:val="superscript"/>
        </w:rPr>
        <w:t xml:space="preserve"> </w:t>
      </w:r>
      <w:r w:rsidRPr="00870766">
        <w:rPr>
          <w:i/>
          <w:sz w:val="24"/>
          <w:szCs w:val="24"/>
        </w:rPr>
        <w:t>Coordination between Natural Gas and Electricity Markets</w:t>
      </w:r>
      <w:r w:rsidRPr="00870766">
        <w:rPr>
          <w:sz w:val="24"/>
          <w:szCs w:val="24"/>
        </w:rPr>
        <w:t xml:space="preserve">, Docket No. AD12-12-000 (Dec. 7, 2012) (Notice </w:t>
      </w:r>
      <w:proofErr w:type="gramStart"/>
      <w:r w:rsidRPr="00870766">
        <w:rPr>
          <w:sz w:val="24"/>
          <w:szCs w:val="24"/>
        </w:rPr>
        <w:t>Of</w:t>
      </w:r>
      <w:proofErr w:type="gramEnd"/>
      <w:r w:rsidRPr="00870766">
        <w:rPr>
          <w:sz w:val="24"/>
          <w:szCs w:val="24"/>
        </w:rPr>
        <w:t xml:space="preserve"> Request for Comments and Technical Conference) (http://www.ferc.gov/EventCalendar/Files/20121207134434-AD12-12-000TC1.pdf);    77 Fed. </w:t>
      </w:r>
      <w:proofErr w:type="gramStart"/>
      <w:r w:rsidRPr="00870766">
        <w:rPr>
          <w:sz w:val="24"/>
          <w:szCs w:val="24"/>
        </w:rPr>
        <w:t>Reg. 74180 (Dec. 13, 2012) (http://www.gpo.gov/fdsys/pkg/FR-2012-12-13/pdf/2012-30063.pdf).</w:t>
      </w:r>
      <w:proofErr w:type="gramEnd"/>
    </w:p>
  </w:footnote>
  <w:footnote w:id="4">
    <w:p w14:paraId="679A371B" w14:textId="4D1D2B58" w:rsidR="00512705" w:rsidRPr="002157DB" w:rsidRDefault="00512705">
      <w:pPr>
        <w:pStyle w:val="FootnoteText"/>
        <w:rPr>
          <w:sz w:val="24"/>
          <w:szCs w:val="24"/>
        </w:rPr>
      </w:pPr>
      <w:r w:rsidRPr="002157DB">
        <w:rPr>
          <w:rStyle w:val="FootnoteReference"/>
          <w:sz w:val="24"/>
          <w:szCs w:val="24"/>
          <w:vertAlign w:val="superscript"/>
        </w:rPr>
        <w:footnoteRef/>
      </w:r>
      <w:r w:rsidRPr="002157DB">
        <w:rPr>
          <w:sz w:val="24"/>
          <w:szCs w:val="24"/>
        </w:rPr>
        <w:t xml:space="preserve"> </w:t>
      </w:r>
      <w:r w:rsidRPr="00684A1D">
        <w:rPr>
          <w:sz w:val="24"/>
          <w:szCs w:val="24"/>
        </w:rPr>
        <w:t>See, e.g</w:t>
      </w:r>
      <w:r w:rsidRPr="002157DB">
        <w:rPr>
          <w:i/>
          <w:sz w:val="24"/>
          <w:szCs w:val="24"/>
        </w:rPr>
        <w:t>.</w:t>
      </w:r>
      <w:proofErr w:type="gramStart"/>
      <w:r w:rsidRPr="002157DB">
        <w:rPr>
          <w:i/>
          <w:sz w:val="24"/>
          <w:szCs w:val="24"/>
        </w:rPr>
        <w:t xml:space="preserve">,  </w:t>
      </w:r>
      <w:r w:rsidRPr="002157DB">
        <w:rPr>
          <w:sz w:val="24"/>
          <w:szCs w:val="24"/>
        </w:rPr>
        <w:t>Energy</w:t>
      </w:r>
      <w:proofErr w:type="gramEnd"/>
      <w:r w:rsidRPr="002157DB">
        <w:rPr>
          <w:sz w:val="24"/>
          <w:szCs w:val="24"/>
        </w:rPr>
        <w:t xml:space="preserve"> Information Administration,</w:t>
      </w:r>
      <w:r w:rsidRPr="002157DB">
        <w:rPr>
          <w:i/>
          <w:iCs/>
          <w:color w:val="222222"/>
          <w:sz w:val="24"/>
          <w:szCs w:val="24"/>
          <w:shd w:val="clear" w:color="auto" w:fill="FFFFFF"/>
        </w:rPr>
        <w:t xml:space="preserve">  Fuel Competition in Power Generation and </w:t>
      </w:r>
      <w:proofErr w:type="spellStart"/>
      <w:r w:rsidRPr="002157DB">
        <w:rPr>
          <w:i/>
          <w:iCs/>
          <w:color w:val="222222"/>
          <w:sz w:val="24"/>
          <w:szCs w:val="24"/>
          <w:shd w:val="clear" w:color="auto" w:fill="FFFFFF"/>
        </w:rPr>
        <w:t>Elasticities</w:t>
      </w:r>
      <w:proofErr w:type="spellEnd"/>
      <w:r w:rsidRPr="002157DB">
        <w:rPr>
          <w:i/>
          <w:iCs/>
          <w:color w:val="222222"/>
          <w:sz w:val="24"/>
          <w:szCs w:val="24"/>
          <w:shd w:val="clear" w:color="auto" w:fill="FFFFFF"/>
        </w:rPr>
        <w:t xml:space="preserve"> of Substitution</w:t>
      </w:r>
      <w:r w:rsidRPr="002157DB">
        <w:rPr>
          <w:rStyle w:val="apple-converted-space"/>
          <w:i/>
          <w:iCs/>
          <w:color w:val="222222"/>
          <w:sz w:val="24"/>
          <w:szCs w:val="24"/>
          <w:shd w:val="clear" w:color="auto" w:fill="FFFFFF"/>
        </w:rPr>
        <w:t> </w:t>
      </w:r>
      <w:r w:rsidRPr="002157DB">
        <w:rPr>
          <w:color w:val="222222"/>
          <w:sz w:val="24"/>
          <w:szCs w:val="24"/>
          <w:shd w:val="clear" w:color="auto" w:fill="FFFFFF"/>
        </w:rPr>
        <w:t>(June 2012</w:t>
      </w:r>
      <w:r>
        <w:rPr>
          <w:color w:val="222222"/>
          <w:sz w:val="24"/>
          <w:szCs w:val="24"/>
          <w:shd w:val="clear" w:color="auto" w:fill="FFFFFF"/>
        </w:rPr>
        <w:t>).  Other references are provided in the NOPR.</w:t>
      </w:r>
    </w:p>
  </w:footnote>
  <w:footnote w:id="5">
    <w:p w14:paraId="6507CA2F" w14:textId="2E1FA5C7" w:rsidR="00512705" w:rsidRPr="00684A1D" w:rsidRDefault="00512705">
      <w:pPr>
        <w:pStyle w:val="FootnoteText"/>
        <w:rPr>
          <w:sz w:val="24"/>
          <w:szCs w:val="24"/>
        </w:rPr>
      </w:pPr>
      <w:r w:rsidRPr="00684A1D">
        <w:rPr>
          <w:rStyle w:val="FootnoteReference"/>
          <w:sz w:val="24"/>
          <w:szCs w:val="24"/>
          <w:vertAlign w:val="superscript"/>
        </w:rPr>
        <w:footnoteRef/>
      </w:r>
      <w:r w:rsidRPr="00684A1D">
        <w:rPr>
          <w:sz w:val="24"/>
          <w:szCs w:val="24"/>
        </w:rPr>
        <w:t xml:space="preserve"> See, e.g., North American Electric Reliability Corporation, 2013 Special Reliability Assessment:  Accommodating an Increased Dependence on Natural Gas for Electric Power; Phase II:  A Vulnerability and Scenario Assessment for the North American Bulk Power System at 1 (May 2013).</w:t>
      </w:r>
    </w:p>
  </w:footnote>
  <w:footnote w:id="6">
    <w:p w14:paraId="769703F1" w14:textId="39A55D10" w:rsidR="00512705" w:rsidRPr="002157DB" w:rsidRDefault="00512705">
      <w:pPr>
        <w:pStyle w:val="FootnoteText"/>
        <w:rPr>
          <w:sz w:val="24"/>
          <w:szCs w:val="24"/>
        </w:rPr>
      </w:pPr>
      <w:r w:rsidRPr="002157DB">
        <w:rPr>
          <w:rStyle w:val="FootnoteReference"/>
          <w:sz w:val="24"/>
          <w:szCs w:val="24"/>
          <w:vertAlign w:val="superscript"/>
        </w:rPr>
        <w:footnoteRef/>
      </w:r>
      <w:r w:rsidRPr="002157DB">
        <w:rPr>
          <w:sz w:val="24"/>
          <w:szCs w:val="24"/>
        </w:rPr>
        <w:t xml:space="preserve"> Additional information </w:t>
      </w:r>
      <w:r w:rsidRPr="002157DB">
        <w:rPr>
          <w:rFonts w:eastAsiaTheme="minorHAnsi"/>
          <w:sz w:val="24"/>
          <w:szCs w:val="24"/>
        </w:rPr>
        <w:t xml:space="preserve">on the Southwest Cold Weather Event (of February 1-5, 2011) is available on ferc.gov </w:t>
      </w:r>
      <w:r>
        <w:rPr>
          <w:rFonts w:eastAsiaTheme="minorHAnsi"/>
          <w:sz w:val="24"/>
          <w:szCs w:val="24"/>
        </w:rPr>
        <w:t>(R</w:t>
      </w:r>
      <w:r w:rsidRPr="002157DB">
        <w:rPr>
          <w:rFonts w:eastAsiaTheme="minorHAnsi"/>
          <w:sz w:val="24"/>
          <w:szCs w:val="24"/>
        </w:rPr>
        <w:t xml:space="preserve">eport </w:t>
      </w:r>
      <w:r w:rsidRPr="002157DB">
        <w:rPr>
          <w:rFonts w:eastAsiaTheme="minorHAnsi"/>
          <w:noProof/>
          <w:sz w:val="24"/>
          <w:szCs w:val="24"/>
        </w:rPr>
        <w:t xml:space="preserve">at </w:t>
      </w:r>
      <w:hyperlink r:id="rId5" w:history="1">
        <w:r w:rsidRPr="002157DB">
          <w:rPr>
            <w:rStyle w:val="Hyperlink"/>
            <w:rFonts w:eastAsiaTheme="minorHAnsi"/>
            <w:sz w:val="24"/>
            <w:szCs w:val="24"/>
          </w:rPr>
          <w:t>http://www.ferc.gov/legal/staff-reports/08-16-11-report.pdf</w:t>
        </w:r>
      </w:hyperlink>
      <w:r w:rsidRPr="002157DB">
        <w:rPr>
          <w:rFonts w:eastAsiaTheme="minorHAnsi"/>
          <w:sz w:val="24"/>
          <w:szCs w:val="24"/>
        </w:rPr>
        <w:t xml:space="preserve">, </w:t>
      </w:r>
      <w:r>
        <w:rPr>
          <w:rFonts w:eastAsiaTheme="minorHAnsi"/>
          <w:sz w:val="24"/>
          <w:szCs w:val="24"/>
        </w:rPr>
        <w:t>and</w:t>
      </w:r>
      <w:r w:rsidRPr="002157DB">
        <w:rPr>
          <w:rFonts w:eastAsiaTheme="minorHAnsi"/>
          <w:sz w:val="24"/>
          <w:szCs w:val="24"/>
        </w:rPr>
        <w:t xml:space="preserve"> Presentation at </w:t>
      </w:r>
      <w:hyperlink r:id="rId6" w:history="1">
        <w:r w:rsidRPr="002157DB">
          <w:rPr>
            <w:rStyle w:val="Hyperlink"/>
            <w:rFonts w:eastAsiaTheme="minorHAnsi"/>
            <w:sz w:val="24"/>
            <w:szCs w:val="24"/>
          </w:rPr>
          <w:t>http://www.ferc.gov/EventCalendar/Files/20110915110000-A-4-presentation.pdf</w:t>
        </w:r>
      </w:hyperlink>
      <w:r>
        <w:rPr>
          <w:rStyle w:val="Hyperlink"/>
          <w:rFonts w:eastAsiaTheme="minorHAnsi"/>
          <w:sz w:val="24"/>
          <w:szCs w:val="24"/>
        </w:rPr>
        <w:t>)</w:t>
      </w:r>
      <w:r w:rsidRPr="002157DB">
        <w:rPr>
          <w:rFonts w:eastAsiaTheme="minorHAnsi"/>
          <w:sz w:val="24"/>
          <w:szCs w:val="24"/>
        </w:rPr>
        <w:t>.</w:t>
      </w:r>
    </w:p>
  </w:footnote>
  <w:footnote w:id="7">
    <w:p w14:paraId="79A026CE" w14:textId="5FA2B650" w:rsidR="00BF7366" w:rsidRPr="00BF7366" w:rsidRDefault="00BF7366">
      <w:pPr>
        <w:pStyle w:val="FootnoteText"/>
        <w:rPr>
          <w:sz w:val="24"/>
          <w:szCs w:val="24"/>
        </w:rPr>
      </w:pPr>
      <w:r w:rsidRPr="00BF7366">
        <w:rPr>
          <w:rStyle w:val="FootnoteReference"/>
          <w:sz w:val="24"/>
          <w:szCs w:val="24"/>
          <w:vertAlign w:val="superscript"/>
        </w:rPr>
        <w:footnoteRef/>
      </w:r>
      <w:r w:rsidRPr="00BF7366">
        <w:rPr>
          <w:sz w:val="24"/>
          <w:szCs w:val="24"/>
        </w:rPr>
        <w:t xml:space="preserve"> Industry comments, including those presented on 10/17/2013 (described and excerpted in part, in # 8 below), have served to confirm the need for the communications between the electric and gas transmission operators.</w:t>
      </w:r>
    </w:p>
  </w:footnote>
  <w:footnote w:id="8">
    <w:p w14:paraId="27B7FC03" w14:textId="1AF515C9" w:rsidR="00512705" w:rsidRPr="00F57B3D" w:rsidRDefault="00512705">
      <w:pPr>
        <w:pStyle w:val="FootnoteText"/>
        <w:rPr>
          <w:sz w:val="24"/>
          <w:szCs w:val="24"/>
        </w:rPr>
      </w:pPr>
      <w:r w:rsidRPr="00F57B3D">
        <w:rPr>
          <w:rStyle w:val="FootnoteReference"/>
          <w:sz w:val="24"/>
          <w:szCs w:val="24"/>
          <w:vertAlign w:val="superscript"/>
        </w:rPr>
        <w:footnoteRef/>
      </w:r>
      <w:r w:rsidRPr="00F57B3D">
        <w:rPr>
          <w:sz w:val="24"/>
          <w:szCs w:val="24"/>
        </w:rPr>
        <w:t xml:space="preserve"> </w:t>
      </w:r>
      <w:proofErr w:type="gramStart"/>
      <w:r w:rsidRPr="00F57B3D">
        <w:rPr>
          <w:sz w:val="24"/>
          <w:szCs w:val="24"/>
        </w:rPr>
        <w:t>13 CFR 121.201, Sector 22, Subsector 221, Utilities &amp; n.1.</w:t>
      </w:r>
      <w:proofErr w:type="gramEnd"/>
    </w:p>
  </w:footnote>
  <w:footnote w:id="9">
    <w:p w14:paraId="1D74C208" w14:textId="16AEF25C" w:rsidR="00512705" w:rsidRPr="00F57B3D" w:rsidRDefault="00512705">
      <w:pPr>
        <w:pStyle w:val="FootnoteText"/>
        <w:rPr>
          <w:sz w:val="24"/>
          <w:szCs w:val="24"/>
        </w:rPr>
      </w:pPr>
      <w:r w:rsidRPr="00F57B3D">
        <w:rPr>
          <w:rStyle w:val="FootnoteReference"/>
          <w:sz w:val="24"/>
          <w:szCs w:val="24"/>
          <w:vertAlign w:val="superscript"/>
        </w:rPr>
        <w:footnoteRef/>
      </w:r>
      <w:r w:rsidRPr="00F57B3D">
        <w:rPr>
          <w:sz w:val="24"/>
          <w:szCs w:val="24"/>
        </w:rPr>
        <w:t xml:space="preserve"> Based on 13 CFR 121.201, Sectors 48-49, Subsector 486, Pipeline Transportation, the annual receipts indicate the maximum allowed for a concern and its affiliates to be considered “small.”</w:t>
      </w:r>
    </w:p>
  </w:footnote>
  <w:footnote w:id="10">
    <w:p w14:paraId="38B9E725" w14:textId="77777777" w:rsidR="00130FE3" w:rsidRPr="00FF5C15" w:rsidRDefault="00130FE3" w:rsidP="00130FE3">
      <w:pPr>
        <w:pStyle w:val="FootnoteText"/>
        <w:rPr>
          <w:sz w:val="24"/>
          <w:szCs w:val="24"/>
        </w:rPr>
      </w:pPr>
      <w:r w:rsidRPr="00FF5C15">
        <w:rPr>
          <w:rStyle w:val="FootnoteReference"/>
          <w:sz w:val="24"/>
          <w:szCs w:val="24"/>
          <w:vertAlign w:val="superscript"/>
        </w:rPr>
        <w:footnoteRef/>
      </w:r>
      <w:r w:rsidRPr="00FF5C15">
        <w:rPr>
          <w:sz w:val="24"/>
          <w:szCs w:val="24"/>
          <w:vertAlign w:val="superscript"/>
        </w:rPr>
        <w:t xml:space="preserve"> </w:t>
      </w:r>
      <w:r w:rsidRPr="00FF5C15">
        <w:rPr>
          <w:sz w:val="24"/>
          <w:szCs w:val="24"/>
        </w:rPr>
        <w:t>Based on the SBA definitions and including affiliates, the number of “small” entities is estimated to be:</w:t>
      </w:r>
    </w:p>
    <w:p w14:paraId="4EE53C93" w14:textId="77777777" w:rsidR="00130FE3" w:rsidRPr="00FF5C15" w:rsidRDefault="00130FE3" w:rsidP="00CB71BD">
      <w:pPr>
        <w:pStyle w:val="FootnoteText"/>
        <w:widowControl/>
        <w:numPr>
          <w:ilvl w:val="0"/>
          <w:numId w:val="10"/>
        </w:numPr>
        <w:autoSpaceDE/>
        <w:autoSpaceDN/>
        <w:adjustRightInd/>
        <w:ind w:left="360"/>
        <w:rPr>
          <w:sz w:val="24"/>
          <w:szCs w:val="24"/>
        </w:rPr>
      </w:pPr>
      <w:r w:rsidRPr="00FF5C15">
        <w:rPr>
          <w:sz w:val="24"/>
          <w:szCs w:val="24"/>
        </w:rPr>
        <w:t xml:space="preserve">for Public Utility Transmission Operators, 31 small public utilities and </w:t>
      </w:r>
    </w:p>
    <w:p w14:paraId="1786F42A" w14:textId="113BA819" w:rsidR="00130FE3" w:rsidRPr="00FF5C15" w:rsidRDefault="00130FE3" w:rsidP="00FF5C15">
      <w:pPr>
        <w:pStyle w:val="FootnoteText"/>
        <w:widowControl/>
        <w:numPr>
          <w:ilvl w:val="0"/>
          <w:numId w:val="10"/>
        </w:numPr>
        <w:autoSpaceDE/>
        <w:autoSpaceDN/>
        <w:adjustRightInd/>
        <w:ind w:left="360"/>
        <w:rPr>
          <w:sz w:val="24"/>
          <w:szCs w:val="24"/>
        </w:rPr>
      </w:pPr>
      <w:proofErr w:type="gramStart"/>
      <w:r w:rsidRPr="00FF5C15">
        <w:rPr>
          <w:sz w:val="24"/>
          <w:szCs w:val="24"/>
        </w:rPr>
        <w:t>for</w:t>
      </w:r>
      <w:proofErr w:type="gramEnd"/>
      <w:r w:rsidRPr="00FF5C15">
        <w:rPr>
          <w:sz w:val="24"/>
          <w:szCs w:val="24"/>
        </w:rPr>
        <w:t xml:space="preserve"> Interstate Natural Gas Pipelines, eight small interstate natural gas pipelines</w:t>
      </w:r>
      <w:r w:rsidR="00CB71BD" w:rsidRPr="00FF5C15">
        <w:rPr>
          <w:sz w:val="24"/>
          <w:szCs w:val="24"/>
        </w:rPr>
        <w:t>.</w:t>
      </w:r>
      <w:r w:rsidRPr="00FF5C15">
        <w:rPr>
          <w:sz w:val="24"/>
          <w:szCs w:val="24"/>
        </w:rPr>
        <w:t xml:space="preserve"> </w:t>
      </w:r>
    </w:p>
  </w:footnote>
  <w:footnote w:id="11">
    <w:p w14:paraId="2F51A7AE" w14:textId="77777777" w:rsidR="00130FE3" w:rsidRDefault="00130FE3" w:rsidP="00130FE3">
      <w:pPr>
        <w:pStyle w:val="FootnoteText"/>
      </w:pPr>
      <w:r w:rsidRPr="00FF5C15">
        <w:rPr>
          <w:rStyle w:val="FootnoteReference"/>
          <w:sz w:val="24"/>
          <w:szCs w:val="24"/>
          <w:vertAlign w:val="superscript"/>
        </w:rPr>
        <w:footnoteRef/>
      </w:r>
      <w:r w:rsidRPr="00FF5C15">
        <w:rPr>
          <w:sz w:val="24"/>
          <w:szCs w:val="24"/>
          <w:vertAlign w:val="superscript"/>
        </w:rPr>
        <w:t xml:space="preserve"> </w:t>
      </w:r>
      <w:r w:rsidRPr="00FF5C15">
        <w:rPr>
          <w:sz w:val="24"/>
          <w:szCs w:val="24"/>
        </w:rPr>
        <w:t>The information sharing and communications permitted in this Final Rule are voluntary.  For small entities which do not serve or take service from natural gas-fired electric generators, no such communications are necessary or required and their burden will effectively be zero.  For small entities which do not wish to participate in communications among transmission operators serving or being served by natural gas-fired electric generators, their burden is also zero.</w:t>
      </w:r>
    </w:p>
  </w:footnote>
  <w:footnote w:id="12">
    <w:p w14:paraId="06C648EB" w14:textId="00FD0E15" w:rsidR="00512705" w:rsidRPr="00F57B3D" w:rsidRDefault="00512705">
      <w:pPr>
        <w:pStyle w:val="FootnoteText"/>
        <w:rPr>
          <w:sz w:val="24"/>
          <w:szCs w:val="24"/>
        </w:rPr>
      </w:pPr>
      <w:r w:rsidRPr="00F57B3D">
        <w:rPr>
          <w:rStyle w:val="FootnoteReference"/>
          <w:sz w:val="24"/>
          <w:szCs w:val="24"/>
          <w:vertAlign w:val="superscript"/>
        </w:rPr>
        <w:footnoteRef/>
      </w:r>
      <w:r w:rsidRPr="00F57B3D">
        <w:rPr>
          <w:sz w:val="24"/>
          <w:szCs w:val="24"/>
          <w:vertAlign w:val="superscript"/>
        </w:rPr>
        <w:t xml:space="preserve"> </w:t>
      </w:r>
      <w:r w:rsidRPr="00F57B3D">
        <w:rPr>
          <w:sz w:val="24"/>
          <w:szCs w:val="24"/>
        </w:rPr>
        <w:t>See FERC Staff Report on Gas-Electric Coordination Technical Conferences (Nov. 2012), available at http://www.ferc.gov/legal/staff-reports/11-15-12-coordination.pdf (November 15 Staff Report).</w:t>
      </w:r>
    </w:p>
  </w:footnote>
  <w:footnote w:id="13">
    <w:p w14:paraId="0059869E" w14:textId="06B8DEAD" w:rsidR="00512705" w:rsidRPr="00F57B3D" w:rsidRDefault="00512705">
      <w:pPr>
        <w:pStyle w:val="FootnoteText"/>
        <w:rPr>
          <w:sz w:val="24"/>
          <w:szCs w:val="24"/>
        </w:rPr>
      </w:pPr>
      <w:r w:rsidRPr="00F57B3D">
        <w:rPr>
          <w:rStyle w:val="FootnoteReference"/>
          <w:sz w:val="24"/>
          <w:szCs w:val="24"/>
          <w:vertAlign w:val="superscript"/>
        </w:rPr>
        <w:footnoteRef/>
      </w:r>
      <w:r w:rsidRPr="00F57B3D">
        <w:rPr>
          <w:sz w:val="24"/>
          <w:szCs w:val="24"/>
          <w:vertAlign w:val="superscript"/>
        </w:rPr>
        <w:t xml:space="preserve"> </w:t>
      </w:r>
      <w:proofErr w:type="gramStart"/>
      <w:r w:rsidRPr="00F57B3D">
        <w:rPr>
          <w:sz w:val="24"/>
          <w:szCs w:val="24"/>
        </w:rPr>
        <w:t>Coordination between Natural Gas and Electricity Markets, 141 FERC ¶ 61,125 (2012) (November 15 Order).</w:t>
      </w:r>
      <w:proofErr w:type="gramEnd"/>
      <w:r w:rsidRPr="00F57B3D">
        <w:rPr>
          <w:sz w:val="24"/>
          <w:szCs w:val="24"/>
        </w:rPr>
        <w:t xml:space="preserve">   </w:t>
      </w:r>
    </w:p>
  </w:footnote>
  <w:footnote w:id="14">
    <w:p w14:paraId="56BE144C" w14:textId="77777777" w:rsidR="00512705" w:rsidRPr="00F57B3D" w:rsidRDefault="00512705" w:rsidP="00DD3DBB">
      <w:pPr>
        <w:pStyle w:val="FootnoteText"/>
        <w:rPr>
          <w:sz w:val="24"/>
          <w:szCs w:val="24"/>
        </w:rPr>
      </w:pPr>
      <w:r w:rsidRPr="00F57B3D">
        <w:rPr>
          <w:rStyle w:val="FootnoteReference"/>
          <w:sz w:val="24"/>
          <w:szCs w:val="24"/>
          <w:vertAlign w:val="superscript"/>
        </w:rPr>
        <w:footnoteRef/>
      </w:r>
      <w:r w:rsidRPr="00F57B3D">
        <w:rPr>
          <w:sz w:val="24"/>
          <w:szCs w:val="24"/>
          <w:vertAlign w:val="superscript"/>
        </w:rPr>
        <w:t xml:space="preserve"> </w:t>
      </w:r>
      <w:r w:rsidRPr="00F57B3D">
        <w:rPr>
          <w:i/>
          <w:sz w:val="24"/>
          <w:szCs w:val="24"/>
        </w:rPr>
        <w:t>Coordination between Natural Gas and Electricity Markets</w:t>
      </w:r>
      <w:r w:rsidRPr="00F57B3D">
        <w:rPr>
          <w:sz w:val="24"/>
          <w:szCs w:val="24"/>
        </w:rPr>
        <w:t xml:space="preserve">, Docket No. AD12-12-000 (Dec. 7, 2012) (Notice </w:t>
      </w:r>
      <w:proofErr w:type="gramStart"/>
      <w:r w:rsidRPr="00F57B3D">
        <w:rPr>
          <w:sz w:val="24"/>
          <w:szCs w:val="24"/>
        </w:rPr>
        <w:t>Of</w:t>
      </w:r>
      <w:proofErr w:type="gramEnd"/>
      <w:r w:rsidRPr="00F57B3D">
        <w:rPr>
          <w:sz w:val="24"/>
          <w:szCs w:val="24"/>
        </w:rPr>
        <w:t xml:space="preserve"> Request for Comments and Technical Conference) (http://www.ferc.gov/EventCalendar/Files/20121207134434-AD12-12-000TC1.pdf); 77 Fed. </w:t>
      </w:r>
      <w:proofErr w:type="gramStart"/>
      <w:r w:rsidRPr="00F57B3D">
        <w:rPr>
          <w:sz w:val="24"/>
          <w:szCs w:val="24"/>
        </w:rPr>
        <w:t>Reg. 74180 (Dec. 13, 2012) (http://www.gpo.gov/fdsys/pkg/FR-2012-12-13/pdf/2012-30063.pdf).</w:t>
      </w:r>
      <w:proofErr w:type="gramEnd"/>
    </w:p>
  </w:footnote>
  <w:footnote w:id="15">
    <w:p w14:paraId="6534BF9E" w14:textId="054E14FB" w:rsidR="00512705" w:rsidRPr="002F22FC" w:rsidRDefault="00512705">
      <w:pPr>
        <w:pStyle w:val="FootnoteText"/>
      </w:pPr>
      <w:r w:rsidRPr="00F57B3D">
        <w:rPr>
          <w:rStyle w:val="FootnoteReference"/>
          <w:sz w:val="24"/>
          <w:szCs w:val="24"/>
          <w:vertAlign w:val="superscript"/>
        </w:rPr>
        <w:footnoteRef/>
      </w:r>
      <w:r w:rsidRPr="00F57B3D">
        <w:rPr>
          <w:sz w:val="24"/>
          <w:szCs w:val="24"/>
          <w:vertAlign w:val="superscript"/>
        </w:rPr>
        <w:t xml:space="preserve"> </w:t>
      </w:r>
      <w:r w:rsidRPr="00F57B3D">
        <w:rPr>
          <w:sz w:val="24"/>
          <w:szCs w:val="24"/>
        </w:rPr>
        <w:t>On 7/30/2013, FERC submitted the NOPR to OMB (ICR 201307-1902-006) for FERC-923; OMB issued its decision on 10/23/2013.</w:t>
      </w:r>
    </w:p>
  </w:footnote>
  <w:footnote w:id="16">
    <w:p w14:paraId="3D564A6A" w14:textId="465848A5" w:rsidR="00512705" w:rsidRPr="00F57B3D" w:rsidRDefault="00512705" w:rsidP="005468B7">
      <w:pPr>
        <w:pStyle w:val="FootnoteText"/>
        <w:rPr>
          <w:sz w:val="24"/>
          <w:szCs w:val="24"/>
        </w:rPr>
      </w:pPr>
      <w:r w:rsidRPr="00F57B3D">
        <w:rPr>
          <w:rStyle w:val="FootnoteReference"/>
          <w:sz w:val="24"/>
          <w:szCs w:val="24"/>
          <w:vertAlign w:val="superscript"/>
        </w:rPr>
        <w:footnoteRef/>
      </w:r>
      <w:r w:rsidRPr="00F57B3D">
        <w:rPr>
          <w:sz w:val="24"/>
          <w:szCs w:val="24"/>
          <w:vertAlign w:val="superscript"/>
        </w:rPr>
        <w:t xml:space="preserve"> </w:t>
      </w:r>
      <w:r w:rsidR="00A0348F">
        <w:rPr>
          <w:sz w:val="24"/>
          <w:szCs w:val="24"/>
        </w:rPr>
        <w:t>Users may p</w:t>
      </w:r>
      <w:r w:rsidR="00A0348F" w:rsidRPr="00F57B3D">
        <w:rPr>
          <w:sz w:val="24"/>
          <w:szCs w:val="24"/>
        </w:rPr>
        <w:t>erform a docket search on Dockets AD12-12 and RM13-17</w:t>
      </w:r>
      <w:r w:rsidR="00A0348F">
        <w:rPr>
          <w:sz w:val="24"/>
          <w:szCs w:val="24"/>
        </w:rPr>
        <w:t>, i</w:t>
      </w:r>
      <w:r w:rsidRPr="00F57B3D">
        <w:rPr>
          <w:sz w:val="24"/>
          <w:szCs w:val="24"/>
        </w:rPr>
        <w:t xml:space="preserve">n the </w:t>
      </w:r>
      <w:r w:rsidR="00A0348F">
        <w:rPr>
          <w:sz w:val="24"/>
          <w:szCs w:val="24"/>
        </w:rPr>
        <w:t xml:space="preserve">FERC’s </w:t>
      </w:r>
      <w:r w:rsidRPr="00F57B3D">
        <w:rPr>
          <w:sz w:val="24"/>
          <w:szCs w:val="24"/>
        </w:rPr>
        <w:t xml:space="preserve">eLibrary system at </w:t>
      </w:r>
      <w:hyperlink r:id="rId7" w:history="1">
        <w:r w:rsidRPr="00F57B3D">
          <w:rPr>
            <w:rStyle w:val="Hyperlink"/>
            <w:sz w:val="24"/>
            <w:szCs w:val="24"/>
          </w:rPr>
          <w:t>http://elibrary.ferc.gov/idmws/search/fercadvsearch.asp</w:t>
        </w:r>
      </w:hyperlink>
      <w:r w:rsidRPr="00F57B3D">
        <w:rPr>
          <w:sz w:val="24"/>
          <w:szCs w:val="24"/>
        </w:rPr>
        <w:t>.</w:t>
      </w:r>
    </w:p>
  </w:footnote>
  <w:footnote w:id="17">
    <w:p w14:paraId="3E8BF1E1" w14:textId="77777777" w:rsidR="00B34662" w:rsidRPr="00742105" w:rsidRDefault="00B34662" w:rsidP="00B34662">
      <w:pPr>
        <w:pStyle w:val="FootnoteText"/>
        <w:rPr>
          <w:sz w:val="24"/>
          <w:szCs w:val="24"/>
        </w:rPr>
      </w:pPr>
      <w:r w:rsidRPr="00742105">
        <w:rPr>
          <w:rStyle w:val="FootnoteReference"/>
          <w:sz w:val="24"/>
          <w:szCs w:val="24"/>
          <w:vertAlign w:val="superscript"/>
        </w:rPr>
        <w:footnoteRef/>
      </w:r>
      <w:r w:rsidRPr="00742105">
        <w:rPr>
          <w:sz w:val="24"/>
          <w:szCs w:val="24"/>
        </w:rPr>
        <w:t xml:space="preserve"> Columns 5 and 6 are rounded.</w:t>
      </w:r>
    </w:p>
  </w:footnote>
  <w:footnote w:id="18">
    <w:p w14:paraId="19CB0D1F" w14:textId="77777777" w:rsidR="00B34662" w:rsidRPr="00B34662" w:rsidRDefault="00B34662" w:rsidP="00B34662">
      <w:pPr>
        <w:pStyle w:val="FootnoteText"/>
        <w:rPr>
          <w:sz w:val="24"/>
          <w:szCs w:val="24"/>
        </w:rPr>
      </w:pPr>
      <w:r w:rsidRPr="00B34662">
        <w:rPr>
          <w:rStyle w:val="FootnoteReference"/>
          <w:sz w:val="24"/>
          <w:szCs w:val="24"/>
          <w:vertAlign w:val="superscript"/>
        </w:rPr>
        <w:footnoteRef/>
      </w:r>
      <w:r w:rsidRPr="00B34662">
        <w:rPr>
          <w:sz w:val="24"/>
          <w:szCs w:val="24"/>
        </w:rPr>
        <w:t xml:space="preserve"> For communications, the estimated hourly cost (for salary plus benefits) is $60.41; estimated annual costs are $125,647 (based on 2,080 hours per year).  It is based on data from the Bureau of Labor Statistics Occupational Outlook Handbook, 2012-2013 edition for the top 10% of  “Power Plant Operators, Distributors, and Dispatchers” (at http://www.bls.gov/ooh/).   </w:t>
      </w:r>
    </w:p>
    <w:p w14:paraId="1DC32393" w14:textId="221FDCC3" w:rsidR="00B34662" w:rsidRPr="00B34662" w:rsidRDefault="00B34662" w:rsidP="00B34662">
      <w:pPr>
        <w:pStyle w:val="FootnoteText"/>
        <w:rPr>
          <w:sz w:val="24"/>
          <w:szCs w:val="24"/>
        </w:rPr>
      </w:pPr>
      <w:r w:rsidRPr="00B34662">
        <w:rPr>
          <w:sz w:val="24"/>
          <w:szCs w:val="24"/>
        </w:rPr>
        <w:t xml:space="preserve">For tariff filings, the average hourly cost (for salary plus benefits) is $44.25.  This hourly estimate will be used for Public Utility Transmission Operators and Interstate Natural Gas Pipelines.  It is based on data provided by the Bureau of Labor Statistics Occupational Outlook Handbook, 2012 – 2013 edition for the median for “Lawyers,” “Paralegal and Legal Assistants,” and “Secretaries and Administrative Support” (at http://www.bls.gov/ooh/).  The estimated annual costs (salary plus benefits) for Lawyers, Paralegal and Legal Assistance, and Secretaries and Administrative Support are $160,398, $66,401, and $49,303, respectively.  The hourly cost (based on 2080 hours per year) is $77.11, $31.92 and $23.70 for the three occupations, respectively. </w:t>
      </w:r>
    </w:p>
    <w:p w14:paraId="6238728D" w14:textId="77777777" w:rsidR="00B34662" w:rsidRPr="00B34662" w:rsidRDefault="00B34662" w:rsidP="00B34662">
      <w:pPr>
        <w:pStyle w:val="FootnoteText"/>
        <w:rPr>
          <w:sz w:val="24"/>
          <w:szCs w:val="24"/>
        </w:rPr>
      </w:pPr>
      <w:r w:rsidRPr="00B34662">
        <w:rPr>
          <w:sz w:val="24"/>
          <w:szCs w:val="24"/>
        </w:rPr>
        <w:t xml:space="preserve">For the estimate of the benefits component, see http://www.bls.gov/news.release/ecec.nr0.htm.   </w:t>
      </w:r>
    </w:p>
  </w:footnote>
  <w:footnote w:id="19">
    <w:p w14:paraId="2A8F753F" w14:textId="77777777" w:rsidR="00B34662" w:rsidRPr="00B34662" w:rsidRDefault="00B34662" w:rsidP="00B34662">
      <w:pPr>
        <w:pStyle w:val="FootnoteText"/>
        <w:rPr>
          <w:sz w:val="24"/>
          <w:szCs w:val="24"/>
        </w:rPr>
      </w:pPr>
      <w:r w:rsidRPr="00B34662">
        <w:rPr>
          <w:rStyle w:val="FootnoteReference"/>
          <w:sz w:val="24"/>
          <w:szCs w:val="24"/>
          <w:vertAlign w:val="superscript"/>
        </w:rPr>
        <w:footnoteRef/>
      </w:r>
      <w:r w:rsidRPr="00B34662">
        <w:rPr>
          <w:rStyle w:val="FootnoteReference"/>
          <w:sz w:val="24"/>
          <w:szCs w:val="24"/>
        </w:rPr>
        <w:t xml:space="preserve"> </w:t>
      </w:r>
      <w:r w:rsidRPr="00B34662">
        <w:rPr>
          <w:sz w:val="24"/>
          <w:szCs w:val="24"/>
        </w:rPr>
        <w:t>The estimate for the number of respondents is based on the North American Electric Reliability Corporation (NERC) Compliance Registry as of April 30, 2013, minus the Transmission Operators within ERCOT.  Using the Small Business Administration (SBA) definition, 31 of the 167 Public Utility Transmission Operators are considered “small.”</w:t>
      </w:r>
    </w:p>
  </w:footnote>
  <w:footnote w:id="20">
    <w:p w14:paraId="5C91CC8C" w14:textId="77777777" w:rsidR="00B34662" w:rsidRPr="00B34662" w:rsidRDefault="00B34662" w:rsidP="00B34662">
      <w:pPr>
        <w:pStyle w:val="FootnoteText"/>
        <w:rPr>
          <w:sz w:val="24"/>
          <w:szCs w:val="24"/>
        </w:rPr>
      </w:pPr>
      <w:r w:rsidRPr="00B34662">
        <w:rPr>
          <w:rStyle w:val="FootnoteReference"/>
          <w:sz w:val="24"/>
          <w:szCs w:val="24"/>
          <w:vertAlign w:val="superscript"/>
        </w:rPr>
        <w:footnoteRef/>
      </w:r>
      <w:r w:rsidRPr="00B34662">
        <w:rPr>
          <w:sz w:val="24"/>
          <w:szCs w:val="24"/>
        </w:rPr>
        <w:t xml:space="preserve"> The Commission estimates an annual average per entity of 12 responses (including electric and gas emergency and/or operational contacts).</w:t>
      </w:r>
    </w:p>
  </w:footnote>
  <w:footnote w:id="21">
    <w:p w14:paraId="60610ED1" w14:textId="77777777" w:rsidR="00B34662" w:rsidRPr="00B34662" w:rsidRDefault="00B34662" w:rsidP="00B34662">
      <w:pPr>
        <w:pStyle w:val="FootnoteText"/>
        <w:rPr>
          <w:sz w:val="24"/>
          <w:szCs w:val="24"/>
        </w:rPr>
      </w:pPr>
      <w:r w:rsidRPr="00B34662">
        <w:rPr>
          <w:sz w:val="24"/>
          <w:szCs w:val="24"/>
          <w:vertAlign w:val="superscript"/>
        </w:rPr>
        <w:footnoteRef/>
      </w:r>
      <w:r w:rsidRPr="00B34662">
        <w:rPr>
          <w:sz w:val="24"/>
          <w:szCs w:val="24"/>
        </w:rPr>
        <w:t xml:space="preserve"> The 2012 filings of the FERC Forms 2 and 2A indicated that there are 137 interstate natural gas pipelines.  Of those pipelines, eight (8) are considered small using the definition of the Small Business Administration (at 13 CFR 121.301), including the affiliates.</w:t>
      </w:r>
    </w:p>
  </w:footnote>
  <w:footnote w:id="22">
    <w:p w14:paraId="068260B7" w14:textId="77777777" w:rsidR="00B34662" w:rsidRPr="00B34662" w:rsidRDefault="00B34662" w:rsidP="00B34662">
      <w:pPr>
        <w:pStyle w:val="FootnoteText"/>
        <w:rPr>
          <w:sz w:val="24"/>
          <w:szCs w:val="24"/>
        </w:rPr>
      </w:pPr>
      <w:r w:rsidRPr="00B34662">
        <w:rPr>
          <w:rStyle w:val="FootnoteReference"/>
          <w:sz w:val="24"/>
          <w:szCs w:val="24"/>
          <w:vertAlign w:val="superscript"/>
        </w:rPr>
        <w:footnoteRef/>
      </w:r>
      <w:r w:rsidRPr="00B34662">
        <w:rPr>
          <w:sz w:val="24"/>
          <w:szCs w:val="24"/>
        </w:rPr>
        <w:t xml:space="preserve"> Of the 167 Public Utility Transmission Operators, the Commission estimates that four will make tariff filings.</w:t>
      </w:r>
    </w:p>
  </w:footnote>
  <w:footnote w:id="23">
    <w:p w14:paraId="52C4F876" w14:textId="77777777" w:rsidR="00B34662" w:rsidRPr="00E762F8" w:rsidRDefault="00B34662" w:rsidP="00B34662">
      <w:pPr>
        <w:pStyle w:val="FootnoteText"/>
        <w:rPr>
          <w:sz w:val="24"/>
          <w:szCs w:val="24"/>
        </w:rPr>
      </w:pPr>
      <w:r w:rsidRPr="00B34662">
        <w:rPr>
          <w:rStyle w:val="FootnoteReference"/>
          <w:sz w:val="24"/>
          <w:szCs w:val="24"/>
          <w:vertAlign w:val="superscript"/>
        </w:rPr>
        <w:footnoteRef/>
      </w:r>
      <w:r w:rsidRPr="00B34662">
        <w:rPr>
          <w:sz w:val="24"/>
          <w:szCs w:val="24"/>
          <w:vertAlign w:val="superscript"/>
        </w:rPr>
        <w:t xml:space="preserve"> </w:t>
      </w:r>
      <w:r w:rsidRPr="00B34662">
        <w:rPr>
          <w:sz w:val="24"/>
          <w:szCs w:val="24"/>
        </w:rPr>
        <w:t xml:space="preserve">The Commission estimates that the Public Utility Transmission Operator will require eight work hours to file the amendment to the tariff from a team that consists of a “Lawyer,” a “Paralegal and Legal Assistant,” and a “Secretary and Administrative Support.”   </w:t>
      </w:r>
    </w:p>
  </w:footnote>
  <w:footnote w:id="24">
    <w:p w14:paraId="697CB89B" w14:textId="77777777" w:rsidR="00B34662" w:rsidRPr="00E762F8" w:rsidRDefault="00B34662" w:rsidP="00B34662">
      <w:pPr>
        <w:pStyle w:val="FootnoteText"/>
        <w:rPr>
          <w:sz w:val="24"/>
          <w:szCs w:val="24"/>
        </w:rPr>
      </w:pPr>
      <w:r w:rsidRPr="00E762F8">
        <w:rPr>
          <w:rStyle w:val="FootnoteReference"/>
          <w:sz w:val="24"/>
          <w:szCs w:val="24"/>
          <w:vertAlign w:val="superscript"/>
        </w:rPr>
        <w:footnoteRef/>
      </w:r>
      <w:r w:rsidRPr="00E762F8">
        <w:rPr>
          <w:sz w:val="24"/>
          <w:szCs w:val="24"/>
        </w:rPr>
        <w:t xml:space="preserve"> Of the 137 interstate natural gas pipelines, the Commission estimates that four will make tariff filings.</w:t>
      </w:r>
    </w:p>
  </w:footnote>
  <w:footnote w:id="25">
    <w:p w14:paraId="70C3082B" w14:textId="77777777" w:rsidR="00B34662" w:rsidRDefault="00B34662" w:rsidP="00B34662">
      <w:pPr>
        <w:pStyle w:val="FootnoteText"/>
      </w:pPr>
      <w:r w:rsidRPr="00E762F8">
        <w:rPr>
          <w:rStyle w:val="FootnoteReference"/>
          <w:sz w:val="24"/>
          <w:szCs w:val="24"/>
          <w:vertAlign w:val="superscript"/>
        </w:rPr>
        <w:footnoteRef/>
      </w:r>
      <w:r w:rsidRPr="00E762F8">
        <w:rPr>
          <w:sz w:val="24"/>
          <w:szCs w:val="24"/>
        </w:rPr>
        <w:t xml:space="preserve"> The Commission estimates that an Interstate Natural Gas Pipeline will require eight work hours to file the amendment to the tariff from a team that consists of a “Lawyer,” a “Paralegal and Legal Assistant,” and a “Secretary and Administrative Support.”</w:t>
      </w:r>
      <w:r w:rsidRPr="00CA7565">
        <w:rPr>
          <w:szCs w:val="26"/>
        </w:rPr>
        <w:t xml:space="preserve">  </w:t>
      </w:r>
    </w:p>
  </w:footnote>
  <w:footnote w:id="26">
    <w:p w14:paraId="1F40D5EF" w14:textId="7BF52021" w:rsidR="00512705" w:rsidRPr="00F646C7" w:rsidRDefault="00512705" w:rsidP="00F54C4C">
      <w:pPr>
        <w:pStyle w:val="FootnoteText"/>
        <w:rPr>
          <w:sz w:val="24"/>
          <w:szCs w:val="24"/>
        </w:rPr>
      </w:pPr>
      <w:r w:rsidRPr="00F57B3D">
        <w:rPr>
          <w:rStyle w:val="FootnoteReference"/>
          <w:sz w:val="24"/>
          <w:szCs w:val="24"/>
          <w:vertAlign w:val="superscript"/>
        </w:rPr>
        <w:footnoteRef/>
      </w:r>
      <w:r w:rsidRPr="00F57B3D">
        <w:rPr>
          <w:sz w:val="24"/>
          <w:szCs w:val="24"/>
          <w:vertAlign w:val="superscript"/>
        </w:rPr>
        <w:t xml:space="preserve"> </w:t>
      </w:r>
      <w:proofErr w:type="gramStart"/>
      <w:r w:rsidRPr="00F57B3D">
        <w:rPr>
          <w:sz w:val="24"/>
          <w:szCs w:val="24"/>
        </w:rPr>
        <w:t xml:space="preserve">Based on 2013 cost </w:t>
      </w:r>
      <w:r w:rsidR="00AE3A76" w:rsidRPr="00F57B3D">
        <w:rPr>
          <w:sz w:val="24"/>
          <w:szCs w:val="24"/>
        </w:rPr>
        <w:t>(</w:t>
      </w:r>
      <w:r w:rsidR="00AE3A76" w:rsidRPr="00F646C7">
        <w:rPr>
          <w:sz w:val="24"/>
          <w:szCs w:val="24"/>
        </w:rPr>
        <w:t xml:space="preserve">salary plus benefits) </w:t>
      </w:r>
      <w:r w:rsidRPr="00F646C7">
        <w:rPr>
          <w:sz w:val="24"/>
          <w:szCs w:val="24"/>
        </w:rPr>
        <w:t xml:space="preserve">per FTE </w:t>
      </w:r>
      <w:r w:rsidR="00C74722">
        <w:rPr>
          <w:sz w:val="24"/>
          <w:szCs w:val="24"/>
        </w:rPr>
        <w:t xml:space="preserve">(Full Time Equivalent) </w:t>
      </w:r>
      <w:r w:rsidRPr="00F646C7">
        <w:rPr>
          <w:sz w:val="24"/>
          <w:szCs w:val="24"/>
        </w:rPr>
        <w:t>of $145,818</w:t>
      </w:r>
      <w:r w:rsidR="006B4E2A">
        <w:rPr>
          <w:sz w:val="24"/>
          <w:szCs w:val="24"/>
        </w:rPr>
        <w:t>.</w:t>
      </w:r>
      <w:proofErr w:type="gramEnd"/>
      <w:r w:rsidR="006B4E2A">
        <w:rPr>
          <w:sz w:val="24"/>
          <w:szCs w:val="24"/>
        </w:rPr>
        <w:t xml:space="preserve"> </w:t>
      </w:r>
    </w:p>
  </w:footnote>
  <w:footnote w:id="27">
    <w:p w14:paraId="2BBE84C0" w14:textId="2FAA37F5" w:rsidR="009C7AF2" w:rsidRPr="00B42376" w:rsidRDefault="009C7AF2">
      <w:pPr>
        <w:pStyle w:val="FootnoteText"/>
        <w:rPr>
          <w:sz w:val="24"/>
          <w:szCs w:val="24"/>
        </w:rPr>
      </w:pPr>
      <w:r w:rsidRPr="00F646C7">
        <w:rPr>
          <w:rStyle w:val="FootnoteReference"/>
          <w:sz w:val="24"/>
          <w:szCs w:val="24"/>
          <w:vertAlign w:val="superscript"/>
        </w:rPr>
        <w:footnoteRef/>
      </w:r>
      <w:r w:rsidRPr="00F646C7">
        <w:rPr>
          <w:sz w:val="24"/>
          <w:szCs w:val="24"/>
          <w:vertAlign w:val="superscript"/>
        </w:rPr>
        <w:t xml:space="preserve"> </w:t>
      </w:r>
      <w:r w:rsidRPr="00F646C7">
        <w:rPr>
          <w:sz w:val="24"/>
          <w:szCs w:val="24"/>
        </w:rPr>
        <w:t xml:space="preserve">We estimate the review and processing of each additional tariff filing will take an average of </w:t>
      </w:r>
      <w:r w:rsidR="00D72FB0" w:rsidRPr="00F646C7">
        <w:rPr>
          <w:sz w:val="24"/>
          <w:szCs w:val="24"/>
        </w:rPr>
        <w:t xml:space="preserve">24 </w:t>
      </w:r>
      <w:proofErr w:type="spellStart"/>
      <w:r w:rsidRPr="00F646C7">
        <w:rPr>
          <w:sz w:val="24"/>
          <w:szCs w:val="24"/>
        </w:rPr>
        <w:t>workhours</w:t>
      </w:r>
      <w:proofErr w:type="spellEnd"/>
      <w:r w:rsidRPr="00F646C7">
        <w:rPr>
          <w:sz w:val="24"/>
          <w:szCs w:val="24"/>
        </w:rPr>
        <w:t xml:space="preserve">.  The </w:t>
      </w:r>
      <w:r w:rsidR="00370488" w:rsidRPr="00F646C7">
        <w:rPr>
          <w:sz w:val="24"/>
          <w:szCs w:val="24"/>
        </w:rPr>
        <w:t xml:space="preserve">total </w:t>
      </w:r>
      <w:r w:rsidRPr="00F646C7">
        <w:rPr>
          <w:sz w:val="24"/>
          <w:szCs w:val="24"/>
        </w:rPr>
        <w:t xml:space="preserve">federal cost (salary plus benefits) of processing the additional 12 tariff filings </w:t>
      </w:r>
      <w:r w:rsidR="00370488" w:rsidRPr="00F646C7">
        <w:rPr>
          <w:sz w:val="24"/>
          <w:szCs w:val="24"/>
        </w:rPr>
        <w:t xml:space="preserve">is estimated to </w:t>
      </w:r>
      <w:r w:rsidRPr="00F646C7">
        <w:rPr>
          <w:sz w:val="24"/>
          <w:szCs w:val="24"/>
        </w:rPr>
        <w:t xml:space="preserve">be </w:t>
      </w:r>
      <w:r w:rsidR="00F646C7" w:rsidRPr="00F646C7">
        <w:rPr>
          <w:sz w:val="24"/>
          <w:szCs w:val="24"/>
        </w:rPr>
        <w:t>$20,190</w:t>
      </w:r>
      <w:r w:rsidR="00F646C7">
        <w:rPr>
          <w:sz w:val="24"/>
          <w:szCs w:val="24"/>
        </w:rPr>
        <w:t xml:space="preserve"> </w:t>
      </w:r>
      <w:r w:rsidRPr="00F646C7">
        <w:rPr>
          <w:sz w:val="24"/>
          <w:szCs w:val="24"/>
        </w:rPr>
        <w:t>{[(12 filings*2</w:t>
      </w:r>
      <w:r w:rsidR="00D72FB0" w:rsidRPr="00F646C7">
        <w:rPr>
          <w:sz w:val="24"/>
          <w:szCs w:val="24"/>
        </w:rPr>
        <w:t>4</w:t>
      </w:r>
      <w:r w:rsidRPr="00F646C7">
        <w:rPr>
          <w:sz w:val="24"/>
          <w:szCs w:val="24"/>
        </w:rPr>
        <w:t>hrs./filing)/2080 hrs</w:t>
      </w:r>
      <w:proofErr w:type="gramStart"/>
      <w:r w:rsidRPr="00F646C7">
        <w:rPr>
          <w:sz w:val="24"/>
          <w:szCs w:val="24"/>
        </w:rPr>
        <w:t>./</w:t>
      </w:r>
      <w:proofErr w:type="gramEnd"/>
      <w:r w:rsidRPr="00F646C7">
        <w:rPr>
          <w:sz w:val="24"/>
          <w:szCs w:val="24"/>
        </w:rPr>
        <w:t>yr.]</w:t>
      </w:r>
      <w:proofErr w:type="gramStart"/>
      <w:r w:rsidRPr="00F646C7">
        <w:rPr>
          <w:sz w:val="24"/>
          <w:szCs w:val="24"/>
        </w:rPr>
        <w:t>*$145,818/yr.}.</w:t>
      </w:r>
      <w:proofErr w:type="gramEnd"/>
    </w:p>
  </w:footnote>
  <w:footnote w:id="28">
    <w:p w14:paraId="0E9CA142" w14:textId="44A14A4F" w:rsidR="00C273E4" w:rsidRPr="007A1490" w:rsidRDefault="00C273E4" w:rsidP="00C273E4">
      <w:pPr>
        <w:pStyle w:val="FootnoteText"/>
        <w:rPr>
          <w:sz w:val="24"/>
          <w:szCs w:val="24"/>
        </w:rPr>
      </w:pPr>
      <w:r w:rsidRPr="00F57B3D">
        <w:rPr>
          <w:rStyle w:val="FootnoteReference"/>
          <w:sz w:val="24"/>
          <w:szCs w:val="24"/>
          <w:vertAlign w:val="superscript"/>
        </w:rPr>
        <w:footnoteRef/>
      </w:r>
      <w:r w:rsidRPr="00F57B3D">
        <w:rPr>
          <w:sz w:val="24"/>
          <w:szCs w:val="24"/>
        </w:rPr>
        <w:t xml:space="preserve"> The PRA </w:t>
      </w:r>
      <w:r w:rsidR="00C74722">
        <w:rPr>
          <w:sz w:val="24"/>
          <w:szCs w:val="24"/>
        </w:rPr>
        <w:t xml:space="preserve">(Paperwork Reduction Act) </w:t>
      </w:r>
      <w:r w:rsidRPr="00F57B3D">
        <w:rPr>
          <w:sz w:val="24"/>
          <w:szCs w:val="24"/>
        </w:rPr>
        <w:t>Administration Cost is based on the Commission’s estimated staff time and resources to comply with the requirements of the PRA</w:t>
      </w:r>
      <w:r w:rsidR="00C74722">
        <w:rPr>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378E0" w14:textId="2FC1883A" w:rsidR="00512705" w:rsidRPr="00F709D8" w:rsidRDefault="00512705" w:rsidP="00A469D6">
    <w:pPr>
      <w:pStyle w:val="Header"/>
      <w:rPr>
        <w:rFonts w:ascii="Times New Roman" w:hAnsi="Times New Roman"/>
        <w:sz w:val="24"/>
        <w:szCs w:val="24"/>
      </w:rPr>
    </w:pPr>
    <w:r w:rsidRPr="00F709D8">
      <w:rPr>
        <w:rFonts w:ascii="Times New Roman" w:hAnsi="Times New Roman"/>
        <w:sz w:val="24"/>
        <w:szCs w:val="24"/>
      </w:rPr>
      <w:t xml:space="preserve">Proposed FERC-923 (OMB Control No. </w:t>
    </w:r>
    <w:r w:rsidRPr="00FC2191">
      <w:rPr>
        <w:rFonts w:ascii="Times New Roman" w:hAnsi="Times New Roman"/>
        <w:sz w:val="24"/>
        <w:szCs w:val="24"/>
      </w:rPr>
      <w:t>1902-0265</w:t>
    </w:r>
    <w:r w:rsidRPr="00F709D8">
      <w:rPr>
        <w:rFonts w:ascii="Times New Roman" w:hAnsi="Times New Roman"/>
        <w:sz w:val="24"/>
        <w:szCs w:val="24"/>
      </w:rPr>
      <w:t>)</w:t>
    </w:r>
    <w:r w:rsidR="00510730">
      <w:rPr>
        <w:rFonts w:ascii="Times New Roman" w:hAnsi="Times New Roman"/>
        <w:sz w:val="24"/>
        <w:szCs w:val="24"/>
      </w:rPr>
      <w:t xml:space="preserve"> </w:t>
    </w:r>
  </w:p>
  <w:p w14:paraId="15DB0EE3" w14:textId="62B74669" w:rsidR="00512705" w:rsidRPr="00F709D8" w:rsidRDefault="00512705" w:rsidP="00A469D6">
    <w:pPr>
      <w:pStyle w:val="Header"/>
      <w:rPr>
        <w:rFonts w:ascii="Times New Roman" w:hAnsi="Times New Roman"/>
        <w:sz w:val="24"/>
        <w:szCs w:val="24"/>
      </w:rPr>
    </w:pPr>
    <w:r w:rsidRPr="00F709D8">
      <w:rPr>
        <w:rFonts w:ascii="Times New Roman" w:hAnsi="Times New Roman"/>
        <w:sz w:val="24"/>
        <w:szCs w:val="24"/>
      </w:rPr>
      <w:t xml:space="preserve">Docket No. RM13-17-000, </w:t>
    </w:r>
    <w:r>
      <w:rPr>
        <w:rFonts w:ascii="Times New Roman" w:hAnsi="Times New Roman"/>
        <w:sz w:val="24"/>
        <w:szCs w:val="24"/>
      </w:rPr>
      <w:t>Final</w:t>
    </w:r>
    <w:r w:rsidRPr="00F709D8">
      <w:rPr>
        <w:rFonts w:ascii="Times New Roman" w:hAnsi="Times New Roman"/>
        <w:sz w:val="24"/>
        <w:szCs w:val="24"/>
      </w:rPr>
      <w:t xml:space="preserve"> Rule issued </w:t>
    </w:r>
    <w:r w:rsidR="00703ECC" w:rsidRPr="00703ECC">
      <w:rPr>
        <w:rFonts w:ascii="Times New Roman" w:hAnsi="Times New Roman"/>
        <w:sz w:val="24"/>
        <w:szCs w:val="24"/>
      </w:rPr>
      <w:t>11</w:t>
    </w:r>
    <w:r w:rsidRPr="00703ECC">
      <w:rPr>
        <w:rFonts w:ascii="Times New Roman" w:hAnsi="Times New Roman"/>
        <w:sz w:val="24"/>
        <w:szCs w:val="24"/>
      </w:rPr>
      <w:t>/</w:t>
    </w:r>
    <w:r w:rsidR="00703ECC" w:rsidRPr="00703ECC">
      <w:rPr>
        <w:rFonts w:ascii="Times New Roman" w:hAnsi="Times New Roman"/>
        <w:sz w:val="24"/>
        <w:szCs w:val="24"/>
      </w:rPr>
      <w:t>15</w:t>
    </w:r>
    <w:r w:rsidRPr="00703ECC">
      <w:rPr>
        <w:rFonts w:ascii="Times New Roman" w:hAnsi="Times New Roman"/>
        <w:sz w:val="24"/>
        <w:szCs w:val="24"/>
      </w:rPr>
      <w:t>/2013</w:t>
    </w:r>
    <w:r w:rsidRPr="00F709D8">
      <w:rPr>
        <w:rFonts w:ascii="Times New Roman" w:hAnsi="Times New Roman"/>
        <w:sz w:val="24"/>
        <w:szCs w:val="24"/>
      </w:rPr>
      <w:t xml:space="preserve"> </w:t>
    </w:r>
  </w:p>
  <w:p w14:paraId="0FD6E7A5" w14:textId="030FD98D" w:rsidR="00512705" w:rsidRDefault="00512705" w:rsidP="00A469D6">
    <w:pPr>
      <w:pStyle w:val="Header"/>
      <w:rPr>
        <w:rFonts w:ascii="Times New Roman" w:hAnsi="Times New Roman"/>
        <w:sz w:val="24"/>
        <w:szCs w:val="24"/>
      </w:rPr>
    </w:pPr>
    <w:r w:rsidRPr="00F709D8">
      <w:rPr>
        <w:rFonts w:ascii="Times New Roman" w:hAnsi="Times New Roman"/>
        <w:sz w:val="24"/>
        <w:szCs w:val="24"/>
      </w:rPr>
      <w:t>RIN: 1902-AE72</w:t>
    </w:r>
  </w:p>
  <w:p w14:paraId="36BDCEB0" w14:textId="77777777" w:rsidR="00512705" w:rsidRDefault="00512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F8D"/>
    <w:multiLevelType w:val="hybridMultilevel"/>
    <w:tmpl w:val="DAA2F7E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24C1D39"/>
    <w:multiLevelType w:val="hybridMultilevel"/>
    <w:tmpl w:val="45EE5318"/>
    <w:lvl w:ilvl="0" w:tplc="3140BEE6">
      <w:start w:val="1"/>
      <w:numFmt w:val="decimal"/>
      <w:pStyle w:val="FERCparanumber"/>
      <w:lvlText w:val="%1."/>
      <w:lvlJc w:val="left"/>
      <w:pPr>
        <w:tabs>
          <w:tab w:val="num" w:pos="720"/>
        </w:tabs>
        <w:ind w:left="0" w:firstLine="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F6D0B"/>
    <w:multiLevelType w:val="hybridMultilevel"/>
    <w:tmpl w:val="E9F86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F409F"/>
    <w:multiLevelType w:val="hybridMultilevel"/>
    <w:tmpl w:val="A670B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5">
    <w:nsid w:val="4FCC1895"/>
    <w:multiLevelType w:val="hybridMultilevel"/>
    <w:tmpl w:val="632C2E0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CD0277"/>
    <w:multiLevelType w:val="hybridMultilevel"/>
    <w:tmpl w:val="62D0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4E4DD3"/>
    <w:multiLevelType w:val="hybridMultilevel"/>
    <w:tmpl w:val="50CAE678"/>
    <w:lvl w:ilvl="0" w:tplc="D4323D40">
      <w:start w:val="1"/>
      <w:numFmt w:val="decimal"/>
      <w:lvlText w:val="%1."/>
      <w:lvlJc w:val="left"/>
      <w:pPr>
        <w:tabs>
          <w:tab w:val="num" w:pos="720"/>
        </w:tabs>
        <w:ind w:left="0" w:firstLine="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6"/>
  </w:num>
  <w:num w:numId="4">
    <w:abstractNumId w:val="7"/>
  </w:num>
  <w:num w:numId="5">
    <w:abstractNumId w:val="1"/>
  </w:num>
  <w:num w:numId="6">
    <w:abstractNumId w:val="1"/>
  </w:num>
  <w:num w:numId="7">
    <w:abstractNumId w:val="8"/>
  </w:num>
  <w:num w:numId="8">
    <w:abstractNumId w:val="2"/>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1EFE"/>
    <w:rsid w:val="00011FDF"/>
    <w:rsid w:val="000146F1"/>
    <w:rsid w:val="000159F3"/>
    <w:rsid w:val="0002242D"/>
    <w:rsid w:val="00025BD0"/>
    <w:rsid w:val="0003240B"/>
    <w:rsid w:val="0003533F"/>
    <w:rsid w:val="00035845"/>
    <w:rsid w:val="00035965"/>
    <w:rsid w:val="000467C1"/>
    <w:rsid w:val="000549A8"/>
    <w:rsid w:val="00054BAD"/>
    <w:rsid w:val="00056AC5"/>
    <w:rsid w:val="00076388"/>
    <w:rsid w:val="00096928"/>
    <w:rsid w:val="000A1A74"/>
    <w:rsid w:val="000B0027"/>
    <w:rsid w:val="000B0C37"/>
    <w:rsid w:val="000C2251"/>
    <w:rsid w:val="000F3A60"/>
    <w:rsid w:val="000F5F03"/>
    <w:rsid w:val="000F60CC"/>
    <w:rsid w:val="001060C1"/>
    <w:rsid w:val="00117404"/>
    <w:rsid w:val="00130FE3"/>
    <w:rsid w:val="00143103"/>
    <w:rsid w:val="00143788"/>
    <w:rsid w:val="001508BC"/>
    <w:rsid w:val="00151695"/>
    <w:rsid w:val="00151B14"/>
    <w:rsid w:val="0017345A"/>
    <w:rsid w:val="00176B28"/>
    <w:rsid w:val="00181727"/>
    <w:rsid w:val="00185730"/>
    <w:rsid w:val="00193DFA"/>
    <w:rsid w:val="001943D1"/>
    <w:rsid w:val="001B5D52"/>
    <w:rsid w:val="001C0937"/>
    <w:rsid w:val="001C7D09"/>
    <w:rsid w:val="001F54AF"/>
    <w:rsid w:val="00201242"/>
    <w:rsid w:val="00201347"/>
    <w:rsid w:val="00202627"/>
    <w:rsid w:val="002145E2"/>
    <w:rsid w:val="002157DB"/>
    <w:rsid w:val="00231E0F"/>
    <w:rsid w:val="0023336D"/>
    <w:rsid w:val="00242B6B"/>
    <w:rsid w:val="00244B38"/>
    <w:rsid w:val="00251AB2"/>
    <w:rsid w:val="00264805"/>
    <w:rsid w:val="0026674D"/>
    <w:rsid w:val="00276278"/>
    <w:rsid w:val="00280FB6"/>
    <w:rsid w:val="0029028C"/>
    <w:rsid w:val="002A7ADB"/>
    <w:rsid w:val="002A7D34"/>
    <w:rsid w:val="002B13E2"/>
    <w:rsid w:val="002B4095"/>
    <w:rsid w:val="002C5468"/>
    <w:rsid w:val="002F1AF6"/>
    <w:rsid w:val="002F22FC"/>
    <w:rsid w:val="002F2CF6"/>
    <w:rsid w:val="00310FC4"/>
    <w:rsid w:val="00315289"/>
    <w:rsid w:val="00327F06"/>
    <w:rsid w:val="0033771A"/>
    <w:rsid w:val="003414BF"/>
    <w:rsid w:val="003558FE"/>
    <w:rsid w:val="00370488"/>
    <w:rsid w:val="00382622"/>
    <w:rsid w:val="003914DB"/>
    <w:rsid w:val="00392BC6"/>
    <w:rsid w:val="003C3D31"/>
    <w:rsid w:val="003C796E"/>
    <w:rsid w:val="003D226A"/>
    <w:rsid w:val="003F30FB"/>
    <w:rsid w:val="003F312F"/>
    <w:rsid w:val="00414F32"/>
    <w:rsid w:val="00441061"/>
    <w:rsid w:val="00445E57"/>
    <w:rsid w:val="00446C0C"/>
    <w:rsid w:val="00447367"/>
    <w:rsid w:val="0045729A"/>
    <w:rsid w:val="00464A26"/>
    <w:rsid w:val="0048685B"/>
    <w:rsid w:val="004A7771"/>
    <w:rsid w:val="004B20FB"/>
    <w:rsid w:val="004C1D01"/>
    <w:rsid w:val="004C404F"/>
    <w:rsid w:val="004C4C89"/>
    <w:rsid w:val="004C5A7C"/>
    <w:rsid w:val="004C6398"/>
    <w:rsid w:val="004D5BF0"/>
    <w:rsid w:val="004E6F82"/>
    <w:rsid w:val="004E75F1"/>
    <w:rsid w:val="004F33B1"/>
    <w:rsid w:val="004F6977"/>
    <w:rsid w:val="00504D2E"/>
    <w:rsid w:val="005104B8"/>
    <w:rsid w:val="00510730"/>
    <w:rsid w:val="00512705"/>
    <w:rsid w:val="005140CA"/>
    <w:rsid w:val="00517510"/>
    <w:rsid w:val="00522F69"/>
    <w:rsid w:val="00525846"/>
    <w:rsid w:val="0053287C"/>
    <w:rsid w:val="0053582B"/>
    <w:rsid w:val="00541FE9"/>
    <w:rsid w:val="00542122"/>
    <w:rsid w:val="005468B7"/>
    <w:rsid w:val="00553D91"/>
    <w:rsid w:val="00571C5E"/>
    <w:rsid w:val="005724B4"/>
    <w:rsid w:val="0057700F"/>
    <w:rsid w:val="00577200"/>
    <w:rsid w:val="00577386"/>
    <w:rsid w:val="0059392C"/>
    <w:rsid w:val="00596DF2"/>
    <w:rsid w:val="005A2792"/>
    <w:rsid w:val="005A5088"/>
    <w:rsid w:val="005A5936"/>
    <w:rsid w:val="005A7A97"/>
    <w:rsid w:val="005B77CE"/>
    <w:rsid w:val="005C1EA8"/>
    <w:rsid w:val="005C2E81"/>
    <w:rsid w:val="005C751D"/>
    <w:rsid w:val="005D186C"/>
    <w:rsid w:val="005E2170"/>
    <w:rsid w:val="005F0F3A"/>
    <w:rsid w:val="005F1C3C"/>
    <w:rsid w:val="006031C0"/>
    <w:rsid w:val="00604E1C"/>
    <w:rsid w:val="006166FA"/>
    <w:rsid w:val="00634C6F"/>
    <w:rsid w:val="006605EA"/>
    <w:rsid w:val="00663AE0"/>
    <w:rsid w:val="00663F59"/>
    <w:rsid w:val="00664BC0"/>
    <w:rsid w:val="00671E95"/>
    <w:rsid w:val="00684A1D"/>
    <w:rsid w:val="00690136"/>
    <w:rsid w:val="006A23F7"/>
    <w:rsid w:val="006B4E2A"/>
    <w:rsid w:val="006C4401"/>
    <w:rsid w:val="006E7D84"/>
    <w:rsid w:val="00703ECC"/>
    <w:rsid w:val="0071115F"/>
    <w:rsid w:val="0072049B"/>
    <w:rsid w:val="00731AC3"/>
    <w:rsid w:val="00742105"/>
    <w:rsid w:val="00744539"/>
    <w:rsid w:val="00747406"/>
    <w:rsid w:val="00773AEB"/>
    <w:rsid w:val="0077597A"/>
    <w:rsid w:val="00780ABD"/>
    <w:rsid w:val="00784A68"/>
    <w:rsid w:val="00787670"/>
    <w:rsid w:val="0079054E"/>
    <w:rsid w:val="0079754C"/>
    <w:rsid w:val="007A1490"/>
    <w:rsid w:val="007A2F92"/>
    <w:rsid w:val="007A6048"/>
    <w:rsid w:val="007B3326"/>
    <w:rsid w:val="007B34CE"/>
    <w:rsid w:val="007C6EED"/>
    <w:rsid w:val="007D5EC0"/>
    <w:rsid w:val="007D67DE"/>
    <w:rsid w:val="007E0511"/>
    <w:rsid w:val="007E7C0F"/>
    <w:rsid w:val="007F534B"/>
    <w:rsid w:val="008300B5"/>
    <w:rsid w:val="00847A71"/>
    <w:rsid w:val="00850512"/>
    <w:rsid w:val="008619E1"/>
    <w:rsid w:val="008661E7"/>
    <w:rsid w:val="00870766"/>
    <w:rsid w:val="00876A3E"/>
    <w:rsid w:val="00876F75"/>
    <w:rsid w:val="008A21A4"/>
    <w:rsid w:val="008A2913"/>
    <w:rsid w:val="008A5F46"/>
    <w:rsid w:val="008B703B"/>
    <w:rsid w:val="008C288D"/>
    <w:rsid w:val="008C69BB"/>
    <w:rsid w:val="008E30B6"/>
    <w:rsid w:val="008E70CD"/>
    <w:rsid w:val="009102AF"/>
    <w:rsid w:val="009135FD"/>
    <w:rsid w:val="00913A8B"/>
    <w:rsid w:val="009366B4"/>
    <w:rsid w:val="009512BA"/>
    <w:rsid w:val="009618EE"/>
    <w:rsid w:val="00966101"/>
    <w:rsid w:val="00970FE4"/>
    <w:rsid w:val="009761B2"/>
    <w:rsid w:val="00984A2A"/>
    <w:rsid w:val="009900F8"/>
    <w:rsid w:val="009928DD"/>
    <w:rsid w:val="00992DB0"/>
    <w:rsid w:val="00997C50"/>
    <w:rsid w:val="009A55A7"/>
    <w:rsid w:val="009B1CA2"/>
    <w:rsid w:val="009B7CE0"/>
    <w:rsid w:val="009B7E70"/>
    <w:rsid w:val="009C0310"/>
    <w:rsid w:val="009C7AF2"/>
    <w:rsid w:val="009D169D"/>
    <w:rsid w:val="009D5A74"/>
    <w:rsid w:val="009D7461"/>
    <w:rsid w:val="009D7EB8"/>
    <w:rsid w:val="009E1190"/>
    <w:rsid w:val="009F27F0"/>
    <w:rsid w:val="00A0348F"/>
    <w:rsid w:val="00A05BF1"/>
    <w:rsid w:val="00A276F5"/>
    <w:rsid w:val="00A3299A"/>
    <w:rsid w:val="00A36FB6"/>
    <w:rsid w:val="00A4295D"/>
    <w:rsid w:val="00A469D6"/>
    <w:rsid w:val="00A72E7B"/>
    <w:rsid w:val="00A805A6"/>
    <w:rsid w:val="00A92214"/>
    <w:rsid w:val="00A96B65"/>
    <w:rsid w:val="00AA4096"/>
    <w:rsid w:val="00AB369D"/>
    <w:rsid w:val="00AB630E"/>
    <w:rsid w:val="00AC0ADD"/>
    <w:rsid w:val="00AC74D9"/>
    <w:rsid w:val="00AD3DE5"/>
    <w:rsid w:val="00AE25FA"/>
    <w:rsid w:val="00AE3A76"/>
    <w:rsid w:val="00AE7575"/>
    <w:rsid w:val="00B225B4"/>
    <w:rsid w:val="00B2525C"/>
    <w:rsid w:val="00B3431D"/>
    <w:rsid w:val="00B34662"/>
    <w:rsid w:val="00B42376"/>
    <w:rsid w:val="00B50210"/>
    <w:rsid w:val="00B50B00"/>
    <w:rsid w:val="00B935F4"/>
    <w:rsid w:val="00BA0C9C"/>
    <w:rsid w:val="00BA1C7D"/>
    <w:rsid w:val="00BA240F"/>
    <w:rsid w:val="00BA35A1"/>
    <w:rsid w:val="00BA465E"/>
    <w:rsid w:val="00BA7143"/>
    <w:rsid w:val="00BA7C56"/>
    <w:rsid w:val="00BB0016"/>
    <w:rsid w:val="00BF2868"/>
    <w:rsid w:val="00BF7366"/>
    <w:rsid w:val="00BF7A12"/>
    <w:rsid w:val="00C01698"/>
    <w:rsid w:val="00C03B0A"/>
    <w:rsid w:val="00C04F01"/>
    <w:rsid w:val="00C0689E"/>
    <w:rsid w:val="00C151A5"/>
    <w:rsid w:val="00C25AA2"/>
    <w:rsid w:val="00C273E4"/>
    <w:rsid w:val="00C30E49"/>
    <w:rsid w:val="00C31245"/>
    <w:rsid w:val="00C32AF1"/>
    <w:rsid w:val="00C35B2B"/>
    <w:rsid w:val="00C434FE"/>
    <w:rsid w:val="00C510DD"/>
    <w:rsid w:val="00C63E76"/>
    <w:rsid w:val="00C65030"/>
    <w:rsid w:val="00C74722"/>
    <w:rsid w:val="00C92CB7"/>
    <w:rsid w:val="00C95174"/>
    <w:rsid w:val="00CA495F"/>
    <w:rsid w:val="00CA59C3"/>
    <w:rsid w:val="00CA5FC3"/>
    <w:rsid w:val="00CB1A38"/>
    <w:rsid w:val="00CB71BD"/>
    <w:rsid w:val="00CB7AD2"/>
    <w:rsid w:val="00CC4495"/>
    <w:rsid w:val="00CC4554"/>
    <w:rsid w:val="00CE02F7"/>
    <w:rsid w:val="00CF4A2E"/>
    <w:rsid w:val="00D02C22"/>
    <w:rsid w:val="00D35DA6"/>
    <w:rsid w:val="00D5055F"/>
    <w:rsid w:val="00D66253"/>
    <w:rsid w:val="00D7263E"/>
    <w:rsid w:val="00D72FB0"/>
    <w:rsid w:val="00D80FBD"/>
    <w:rsid w:val="00DB1C2E"/>
    <w:rsid w:val="00DC1C01"/>
    <w:rsid w:val="00DC4E36"/>
    <w:rsid w:val="00DC6E49"/>
    <w:rsid w:val="00DD3DBB"/>
    <w:rsid w:val="00DD4B9F"/>
    <w:rsid w:val="00DD73B0"/>
    <w:rsid w:val="00E04653"/>
    <w:rsid w:val="00E11CA6"/>
    <w:rsid w:val="00E14565"/>
    <w:rsid w:val="00E157A0"/>
    <w:rsid w:val="00E1678C"/>
    <w:rsid w:val="00E20612"/>
    <w:rsid w:val="00E21459"/>
    <w:rsid w:val="00E2539E"/>
    <w:rsid w:val="00E279E5"/>
    <w:rsid w:val="00E320B0"/>
    <w:rsid w:val="00E36E32"/>
    <w:rsid w:val="00E440EE"/>
    <w:rsid w:val="00E53611"/>
    <w:rsid w:val="00E55E88"/>
    <w:rsid w:val="00E57911"/>
    <w:rsid w:val="00E636D7"/>
    <w:rsid w:val="00E65E41"/>
    <w:rsid w:val="00E762F8"/>
    <w:rsid w:val="00E76708"/>
    <w:rsid w:val="00E87A4F"/>
    <w:rsid w:val="00E9601F"/>
    <w:rsid w:val="00EA01DB"/>
    <w:rsid w:val="00EB3E6F"/>
    <w:rsid w:val="00EC696B"/>
    <w:rsid w:val="00ED5560"/>
    <w:rsid w:val="00EE2E44"/>
    <w:rsid w:val="00EF0DCB"/>
    <w:rsid w:val="00EF3EF8"/>
    <w:rsid w:val="00EF7C9B"/>
    <w:rsid w:val="00F00F78"/>
    <w:rsid w:val="00F11F42"/>
    <w:rsid w:val="00F12DC2"/>
    <w:rsid w:val="00F152DF"/>
    <w:rsid w:val="00F17B9F"/>
    <w:rsid w:val="00F23CBD"/>
    <w:rsid w:val="00F437D3"/>
    <w:rsid w:val="00F51425"/>
    <w:rsid w:val="00F54C4C"/>
    <w:rsid w:val="00F54F21"/>
    <w:rsid w:val="00F557D5"/>
    <w:rsid w:val="00F57B3D"/>
    <w:rsid w:val="00F646C7"/>
    <w:rsid w:val="00F709D8"/>
    <w:rsid w:val="00F77359"/>
    <w:rsid w:val="00F9163A"/>
    <w:rsid w:val="00FC2191"/>
    <w:rsid w:val="00FC57BC"/>
    <w:rsid w:val="00FD66F1"/>
    <w:rsid w:val="00FE5E46"/>
    <w:rsid w:val="00FF5C15"/>
    <w:rsid w:val="00FF5F85"/>
    <w:rsid w:val="00FF7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BD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Footnote Text Char Char Char Char,Footnote Text Char1 Char1,Footnote Text Char Char Char1,Style 13 Char,Footnote Text MRP Char,Footnote Text Char3 Char,fn1 Char,Footnote Text Char1 Char,ft Char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445E57"/>
    <w:rPr>
      <w:color w:val="0000FF" w:themeColor="hyperlink"/>
      <w:u w:val="single"/>
    </w:rPr>
  </w:style>
  <w:style w:type="character" w:customStyle="1" w:styleId="apple-converted-space">
    <w:name w:val="apple-converted-space"/>
    <w:basedOn w:val="DefaultParagraphFont"/>
    <w:rsid w:val="002157DB"/>
  </w:style>
  <w:style w:type="paragraph" w:customStyle="1" w:styleId="FERCparanumber">
    <w:name w:val="FERC paranumber"/>
    <w:basedOn w:val="Normal"/>
    <w:link w:val="FERCparanumberChar"/>
    <w:qFormat/>
    <w:rsid w:val="0077597A"/>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table" w:styleId="TableGrid">
    <w:name w:val="Table Grid"/>
    <w:basedOn w:val="TableNormal"/>
    <w:uiPriority w:val="59"/>
    <w:rsid w:val="00F54C4C"/>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RCparanumberChar">
    <w:name w:val="FERC paranumber Char"/>
    <w:link w:val="FERCparanumber"/>
    <w:rsid w:val="00151695"/>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4B20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 Char,Footnote Text Char Char Char Char,Footnote Text Char1 Char1,Footnote Text Char Char Char1,Style 13 Char,Footnote Text MRP Char,Footnote Text Char3 Char,fn1 Char,Footnote Text Char1 Char,ft Char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445E57"/>
    <w:rPr>
      <w:color w:val="0000FF" w:themeColor="hyperlink"/>
      <w:u w:val="single"/>
    </w:rPr>
  </w:style>
  <w:style w:type="character" w:customStyle="1" w:styleId="apple-converted-space">
    <w:name w:val="apple-converted-space"/>
    <w:basedOn w:val="DefaultParagraphFont"/>
    <w:rsid w:val="002157DB"/>
  </w:style>
  <w:style w:type="paragraph" w:customStyle="1" w:styleId="FERCparanumber">
    <w:name w:val="FERC paranumber"/>
    <w:basedOn w:val="Normal"/>
    <w:link w:val="FERCparanumberChar"/>
    <w:qFormat/>
    <w:rsid w:val="0077597A"/>
    <w:pPr>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table" w:styleId="TableGrid">
    <w:name w:val="Table Grid"/>
    <w:basedOn w:val="TableNormal"/>
    <w:uiPriority w:val="59"/>
    <w:rsid w:val="00F54C4C"/>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ERCparanumberChar">
    <w:name w:val="FERC paranumber Char"/>
    <w:link w:val="FERCparanumber"/>
    <w:rsid w:val="00151695"/>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4B20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285952">
      <w:bodyDiv w:val="1"/>
      <w:marLeft w:val="0"/>
      <w:marRight w:val="0"/>
      <w:marTop w:val="0"/>
      <w:marBottom w:val="0"/>
      <w:divBdr>
        <w:top w:val="none" w:sz="0" w:space="0" w:color="auto"/>
        <w:left w:val="none" w:sz="0" w:space="0" w:color="auto"/>
        <w:bottom w:val="none" w:sz="0" w:space="0" w:color="auto"/>
        <w:right w:val="none" w:sz="0" w:space="0" w:color="auto"/>
      </w:divBdr>
    </w:div>
    <w:div w:id="1965118570">
      <w:bodyDiv w:val="1"/>
      <w:marLeft w:val="0"/>
      <w:marRight w:val="0"/>
      <w:marTop w:val="0"/>
      <w:marBottom w:val="0"/>
      <w:divBdr>
        <w:top w:val="none" w:sz="0" w:space="0" w:color="auto"/>
        <w:left w:val="none" w:sz="0" w:space="0" w:color="auto"/>
        <w:bottom w:val="none" w:sz="0" w:space="0" w:color="auto"/>
        <w:right w:val="none" w:sz="0" w:space="0" w:color="auto"/>
      </w:divBdr>
    </w:div>
    <w:div w:id="196654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rary.ferc.gov/idmws/common/opennat.asp?fileID=1337319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library.ferc.gov/idmws/common/opennat.asp?fileID=1337318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ibrary.ferc.gov/idmws/common/opennat.asp?fileID=13373167" TargetMode="External"/><Relationship Id="rId5" Type="http://schemas.openxmlformats.org/officeDocument/2006/relationships/settings" Target="settings.xml"/><Relationship Id="rId15" Type="http://schemas.openxmlformats.org/officeDocument/2006/relationships/hyperlink" Target="http://elibrary.ferc.gov/idmws/common/opennat.asp?fileID=13373224" TargetMode="External"/><Relationship Id="rId10" Type="http://schemas.openxmlformats.org/officeDocument/2006/relationships/hyperlink" Target="http://elibrary.ferc.gov/idmws/common/opennat.asp?fileID=1337315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library.ferc.gov/idmws/common/opennat.asp?fileID=13373125" TargetMode="External"/><Relationship Id="rId14" Type="http://schemas.openxmlformats.org/officeDocument/2006/relationships/hyperlink" Target="http://elibrary.ferc.gov/idmws/common/opennat.asp?fileID=13373217"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3308690" TargetMode="External"/><Relationship Id="rId7" Type="http://schemas.openxmlformats.org/officeDocument/2006/relationships/hyperlink" Target="http://elibrary.ferc.gov/idmws/search/fercadvsearch.asp" TargetMode="External"/><Relationship Id="rId2" Type="http://schemas.openxmlformats.org/officeDocument/2006/relationships/hyperlink" Target="http://elibrary.ferc.gov/idmws/common/opennat.asp?fileID=13395701" TargetMode="External"/><Relationship Id="rId1" Type="http://schemas.openxmlformats.org/officeDocument/2006/relationships/hyperlink" Target="http://elibrary.ferc.gov/idmws/common/opennat.asp?fileID=13395565" TargetMode="External"/><Relationship Id="rId6" Type="http://schemas.openxmlformats.org/officeDocument/2006/relationships/hyperlink" Target="http://www.ferc.gov/EventCalendar/Files/20110915110000-A-4-presentation.pdf" TargetMode="External"/><Relationship Id="rId5" Type="http://schemas.openxmlformats.org/officeDocument/2006/relationships/hyperlink" Target="http://www.ferc.gov/legal/staff-reports/08-16-11-report.pdf" TargetMode="External"/><Relationship Id="rId4" Type="http://schemas.openxmlformats.org/officeDocument/2006/relationships/hyperlink" Target="http://elibrary.ferc.gov/idmws/common/opennat.asp?fileID=133089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67D5B-13C5-4015-906A-456B3618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Pages>
  <Words>3645</Words>
  <Characters>20779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Richard Palmer</cp:lastModifiedBy>
  <cp:revision>9</cp:revision>
  <cp:lastPrinted>2013-11-08T21:20:00Z</cp:lastPrinted>
  <dcterms:created xsi:type="dcterms:W3CDTF">2013-11-14T17:43:00Z</dcterms:created>
  <dcterms:modified xsi:type="dcterms:W3CDTF">2013-11-21T16:55:00Z</dcterms:modified>
</cp:coreProperties>
</file>