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7D1D8C" w:rsidRDefault="00386054">
      <w:pPr>
        <w:tabs>
          <w:tab w:val="left" w:pos="0"/>
        </w:tabs>
        <w:suppressAutoHyphens/>
        <w:rPr>
          <w:rFonts w:ascii="Times New Roman" w:hAnsi="Times New Roman"/>
          <w:b/>
          <w:szCs w:val="24"/>
        </w:rPr>
      </w:pPr>
      <w:r w:rsidRPr="007D1D8C">
        <w:rPr>
          <w:rFonts w:ascii="Times New Roman" w:hAnsi="Times New Roman"/>
          <w:b/>
          <w:szCs w:val="24"/>
        </w:rPr>
        <w:t xml:space="preserve">1.  Explain the circumstances that make the collection of information necessary.  Identify any legal or administrative requirements that necessitate the collection.  Attach a </w:t>
      </w:r>
      <w:r w:rsidR="003C7F70" w:rsidRPr="007D1D8C">
        <w:rPr>
          <w:rFonts w:ascii="Times New Roman" w:hAnsi="Times New Roman"/>
          <w:b/>
          <w:szCs w:val="24"/>
        </w:rPr>
        <w:t xml:space="preserve">hard </w:t>
      </w:r>
      <w:r w:rsidRPr="007D1D8C">
        <w:rPr>
          <w:rFonts w:ascii="Times New Roman" w:hAnsi="Times New Roman"/>
          <w:b/>
          <w:szCs w:val="24"/>
        </w:rPr>
        <w:t>copy of the appropriate section of each statute and regulation mandating or authorizing the collection of information</w:t>
      </w:r>
      <w:r w:rsidR="003C7F70" w:rsidRPr="007D1D8C">
        <w:rPr>
          <w:rFonts w:ascii="Times New Roman" w:hAnsi="Times New Roman"/>
          <w:b/>
          <w:szCs w:val="24"/>
        </w:rPr>
        <w:t>,</w:t>
      </w:r>
      <w:r w:rsidR="00050CBE" w:rsidRPr="007D1D8C">
        <w:rPr>
          <w:rFonts w:ascii="Times New Roman" w:hAnsi="Times New Roman"/>
          <w:b/>
          <w:szCs w:val="24"/>
        </w:rPr>
        <w:t xml:space="preserve"> or </w:t>
      </w:r>
      <w:r w:rsidR="003C7F70" w:rsidRPr="007D1D8C">
        <w:rPr>
          <w:rFonts w:ascii="Times New Roman" w:hAnsi="Times New Roman"/>
          <w:b/>
          <w:szCs w:val="24"/>
        </w:rPr>
        <w:t xml:space="preserve">you may </w:t>
      </w:r>
      <w:r w:rsidR="00050CBE" w:rsidRPr="007D1D8C">
        <w:rPr>
          <w:rFonts w:ascii="Times New Roman" w:hAnsi="Times New Roman"/>
          <w:b/>
          <w:szCs w:val="24"/>
        </w:rPr>
        <w:t xml:space="preserve">provide a valid </w:t>
      </w:r>
      <w:r w:rsidR="003C7F70" w:rsidRPr="007D1D8C">
        <w:rPr>
          <w:rFonts w:ascii="Times New Roman" w:hAnsi="Times New Roman"/>
          <w:b/>
          <w:szCs w:val="24"/>
        </w:rPr>
        <w:t>URL</w:t>
      </w:r>
      <w:r w:rsidR="00050CBE" w:rsidRPr="007D1D8C">
        <w:rPr>
          <w:rFonts w:ascii="Times New Roman" w:hAnsi="Times New Roman"/>
          <w:b/>
          <w:szCs w:val="24"/>
        </w:rPr>
        <w:t xml:space="preserve"> link or paste the applicable section</w:t>
      </w:r>
      <w:r w:rsidR="003C7F70" w:rsidRPr="007D1D8C">
        <w:rPr>
          <w:rStyle w:val="FootnoteReference"/>
          <w:b/>
          <w:szCs w:val="24"/>
        </w:rPr>
        <w:footnoteReference w:id="1"/>
      </w:r>
      <w:r w:rsidRPr="007D1D8C">
        <w:rPr>
          <w:rFonts w:ascii="Times New Roman" w:hAnsi="Times New Roman"/>
          <w:b/>
          <w:szCs w:val="24"/>
        </w:rPr>
        <w:t>. Specify the review type of the collection (new, revision, extension, reinstatement with change, reinstatement without change)</w:t>
      </w:r>
      <w:r w:rsidR="00050CBE" w:rsidRPr="007D1D8C">
        <w:rPr>
          <w:rFonts w:ascii="Times New Roman" w:hAnsi="Times New Roman"/>
          <w:b/>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7D1D8C" w:rsidRDefault="007D1D8C" w:rsidP="007D1D8C">
      <w:pPr>
        <w:rPr>
          <w:rFonts w:ascii="Arial" w:eastAsia="Arial Unicode MS" w:hAnsi="Arial" w:cs="Arial"/>
          <w:sz w:val="22"/>
        </w:rPr>
      </w:pPr>
      <w:r>
        <w:rPr>
          <w:rFonts w:ascii="Arial" w:eastAsia="Arial Unicode MS" w:hAnsi="Arial" w:cs="Arial"/>
          <w:sz w:val="22"/>
        </w:rPr>
        <w:t>Section 703 of the Higher Education Act of 1965, as amended, authorizes the Secretary to award fellowships under the Jacob K. Javits Fellowship Program for graduate study in the arts, humanities, and social sciences.  The fellowships support graduate students of superior ability selected on the basis of demonstrated achievement, exceptional promise and financial need.  Grants are awarded to the institutions of higher education where the fellows are enrolled as graduate students, and may last for up to four years.  Each fellow’s need must be assessed and reported each year, along with a continuing fellow’s academic progress as determined by the institution.  The U.S. Department of Education has administered the Jacob K. Javits Fellowship Program since 1986.</w:t>
      </w:r>
    </w:p>
    <w:p w:rsidR="007D1D8C" w:rsidRDefault="007D1D8C" w:rsidP="007D1D8C">
      <w:pPr>
        <w:rPr>
          <w:rFonts w:ascii="Arial" w:eastAsia="Arial Unicode MS" w:hAnsi="Arial" w:cs="Arial"/>
          <w:sz w:val="22"/>
        </w:rPr>
      </w:pPr>
    </w:p>
    <w:p w:rsidR="007D1D8C" w:rsidRDefault="007D1D8C" w:rsidP="007D1D8C">
      <w:pPr>
        <w:rPr>
          <w:rFonts w:ascii="Arial" w:eastAsia="Arial Unicode MS" w:hAnsi="Arial" w:cs="Arial"/>
          <w:sz w:val="22"/>
        </w:rPr>
      </w:pPr>
      <w:r>
        <w:rPr>
          <w:rFonts w:ascii="Arial" w:eastAsia="Arial Unicode MS" w:hAnsi="Arial" w:cs="Arial"/>
          <w:sz w:val="22"/>
        </w:rPr>
        <w:t>The regulations governing the Jacob K. Javits Fellowship Program are in 34 CFR Part 650.</w:t>
      </w:r>
    </w:p>
    <w:p w:rsidR="007D1D8C" w:rsidRDefault="007D1D8C" w:rsidP="007D1D8C">
      <w:pPr>
        <w:tabs>
          <w:tab w:val="left" w:pos="0"/>
        </w:tabs>
        <w:rPr>
          <w:rFonts w:ascii="Arial" w:eastAsia="Arial Unicode MS" w:hAnsi="Arial" w:cs="Arial"/>
          <w:sz w:val="22"/>
        </w:rPr>
      </w:pPr>
    </w:p>
    <w:p w:rsidR="007D1D8C" w:rsidRDefault="007D1D8C" w:rsidP="007D1D8C">
      <w:pPr>
        <w:tabs>
          <w:tab w:val="left" w:pos="0"/>
        </w:tabs>
        <w:rPr>
          <w:rFonts w:ascii="Arial" w:eastAsia="Arial Unicode MS" w:hAnsi="Arial" w:cs="Arial"/>
          <w:sz w:val="22"/>
        </w:rPr>
      </w:pPr>
      <w:r>
        <w:rPr>
          <w:rFonts w:ascii="Arial" w:eastAsia="Arial Unicode MS" w:hAnsi="Arial" w:cs="Arial"/>
          <w:sz w:val="22"/>
        </w:rPr>
        <w:t xml:space="preserve">The Education Department General Administrative Regulations requires grantees to submit performance reports annually [see 34 CFR Part 74.51, 34 CFR Part 75, Section 75.118 and 75.720]. </w:t>
      </w:r>
    </w:p>
    <w:p w:rsidR="007D1D8C" w:rsidRDefault="007D1D8C" w:rsidP="007D1D8C">
      <w:pPr>
        <w:tabs>
          <w:tab w:val="left" w:pos="0"/>
        </w:tabs>
        <w:rPr>
          <w:rFonts w:ascii="Arial" w:eastAsia="Arial Unicode MS" w:hAnsi="Arial" w:cs="Arial"/>
          <w:sz w:val="22"/>
        </w:rPr>
      </w:pPr>
    </w:p>
    <w:p w:rsidR="007D1D8C" w:rsidRDefault="007D1D8C" w:rsidP="007D1D8C">
      <w:pPr>
        <w:tabs>
          <w:tab w:val="left" w:pos="0"/>
        </w:tabs>
        <w:rPr>
          <w:rFonts w:ascii="Arial" w:eastAsia="Arial Unicode MS" w:hAnsi="Arial" w:cs="Arial"/>
          <w:sz w:val="22"/>
        </w:rPr>
      </w:pPr>
      <w:r>
        <w:rPr>
          <w:rFonts w:ascii="Arial" w:eastAsia="Arial Unicode MS" w:hAnsi="Arial" w:cs="Arial"/>
          <w:sz w:val="22"/>
        </w:rPr>
        <w:t>The Javits award is a four-year fellowship; renewal for each fellow is dependent on continued academic progress as determined by the institution.  In addition, the stipend portion of the fellowship is determined by the individual’s financial need and must be reassessed each year.  In order to make new and non-competing continuation awards for Javits fellows, institutions of higher education currently certify the academic progress of each fellow and report on the fellow’s financial need.  At the end of the four-year project period, grantee institutions must complete a Final Performance Report (FPR) that addresses the current status of funded fellows and collects financial data reflecting the expenditure of funds throughout the grant period.</w:t>
      </w:r>
    </w:p>
    <w:p w:rsidR="007D1D8C" w:rsidRDefault="007D1D8C" w:rsidP="007D1D8C">
      <w:pPr>
        <w:tabs>
          <w:tab w:val="left" w:pos="0"/>
        </w:tabs>
        <w:rPr>
          <w:rFonts w:ascii="Arial" w:eastAsia="Arial Unicode MS" w:hAnsi="Arial" w:cs="Arial"/>
          <w:sz w:val="22"/>
        </w:rPr>
      </w:pPr>
    </w:p>
    <w:p w:rsidR="007D1D8C" w:rsidRDefault="007D1D8C" w:rsidP="007D1D8C">
      <w:pPr>
        <w:tabs>
          <w:tab w:val="left" w:pos="0"/>
        </w:tabs>
        <w:rPr>
          <w:rFonts w:ascii="Arial" w:eastAsia="Arial Unicode MS" w:hAnsi="Arial" w:cs="Arial"/>
          <w:sz w:val="22"/>
        </w:rPr>
      </w:pPr>
      <w:r>
        <w:rPr>
          <w:rFonts w:ascii="Arial" w:eastAsia="Arial Unicode MS" w:hAnsi="Arial" w:cs="Arial"/>
          <w:sz w:val="22"/>
        </w:rPr>
        <w:lastRenderedPageBreak/>
        <w:t>The current Final Performance Report Package for the Jacob K. Javits Fellowship Program (OMB No. 1840-0752) will expire on December 31, 2013.  The FPR provides the necessary information to evaluate the effectiveness of the funded fellowships.  Without such critical data on the progress and performance of Javits fellows, it is not possible to measure the success of the projects, or of the program.  The data provided in the FPR also assists program staff in further developing useful technical assistance methods for grantees.  The information to be requested in the FPR is in response to both congressional inquiries and the requirements of the Government Performance and Results Act (GPRA).</w:t>
      </w:r>
    </w:p>
    <w:p w:rsidR="007D1D8C" w:rsidRDefault="007D1D8C" w:rsidP="007D1D8C">
      <w:pPr>
        <w:tabs>
          <w:tab w:val="left" w:pos="0"/>
        </w:tabs>
        <w:rPr>
          <w:rFonts w:ascii="Arial" w:eastAsia="Arial Unicode MS" w:hAnsi="Arial" w:cs="Arial"/>
          <w:sz w:val="22"/>
        </w:rPr>
      </w:pPr>
    </w:p>
    <w:p w:rsidR="007D1D8C" w:rsidRDefault="007D1D8C" w:rsidP="007D1D8C">
      <w:pPr>
        <w:pStyle w:val="BodyText"/>
      </w:pPr>
      <w:r>
        <w:t xml:space="preserve">Program staff has not made any changes to this information collection since it was previously approved in 2010.  Program staff believes that the clarity of the document, the reduction of burden on respondents and the use of the most effective collection of the data necessary to evaluate the projects’ performance and accomplishments towards meeting the GPRA requirements will continue under this collection. </w:t>
      </w:r>
    </w:p>
    <w:p w:rsidR="00386054" w:rsidRPr="00EF7FF5" w:rsidRDefault="00386054">
      <w:pPr>
        <w:tabs>
          <w:tab w:val="left" w:pos="0"/>
        </w:tabs>
        <w:suppressAutoHyphens/>
        <w:rPr>
          <w:rFonts w:ascii="Times New Roman" w:hAnsi="Times New Roman"/>
          <w:szCs w:val="24"/>
        </w:rPr>
      </w:pPr>
    </w:p>
    <w:p w:rsidR="00386054" w:rsidRPr="002A5708" w:rsidRDefault="00386054">
      <w:pPr>
        <w:tabs>
          <w:tab w:val="left" w:pos="-720"/>
        </w:tabs>
        <w:suppressAutoHyphens/>
        <w:rPr>
          <w:rFonts w:ascii="Times New Roman" w:hAnsi="Times New Roman"/>
          <w:b/>
          <w:szCs w:val="24"/>
        </w:rPr>
      </w:pPr>
      <w:r w:rsidRPr="002A5708">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2A5708">
        <w:rPr>
          <w:rFonts w:ascii="Times New Roman" w:hAnsi="Times New Roman"/>
          <w:b/>
          <w:szCs w:val="24"/>
        </w:rPr>
        <w:t xml:space="preserve"> </w:t>
      </w:r>
    </w:p>
    <w:p w:rsidR="00386054" w:rsidRPr="00EF7FF5" w:rsidRDefault="00386054">
      <w:pPr>
        <w:tabs>
          <w:tab w:val="left" w:pos="-720"/>
        </w:tabs>
        <w:suppressAutoHyphens/>
        <w:rPr>
          <w:rFonts w:ascii="Times New Roman" w:hAnsi="Times New Roman"/>
          <w:szCs w:val="24"/>
        </w:rPr>
      </w:pPr>
    </w:p>
    <w:p w:rsidR="00386054" w:rsidRPr="007D1D8C" w:rsidRDefault="007D1D8C" w:rsidP="007D1D8C">
      <w:pPr>
        <w:rPr>
          <w:rFonts w:ascii="Arial" w:eastAsia="Arial Unicode MS" w:hAnsi="Arial" w:cs="Arial"/>
          <w:sz w:val="22"/>
          <w:szCs w:val="22"/>
        </w:rPr>
      </w:pPr>
      <w:r>
        <w:rPr>
          <w:rFonts w:ascii="Arial" w:eastAsia="Arial Unicode MS" w:hAnsi="Arial" w:cs="Arial"/>
          <w:sz w:val="22"/>
        </w:rPr>
        <w:t xml:space="preserve">Each FPR will be reviewed by program staff to ensure the projects’ compliance with the program statute and regulations, and to evaluate the projects’ overall success in meeting the goals of the program.  Information provided in the report includes the amount of time needed by Javits fellows to obtain their respective degrees, and their employment status after graduation.  Program staff has used this information in past years to respond to inquiries regarding program effectiveness, especially as related to GPRA and </w:t>
      </w:r>
      <w:r>
        <w:rPr>
          <w:rStyle w:val="Emphasis"/>
          <w:rFonts w:ascii="Arial" w:hAnsi="Arial" w:cs="Arial"/>
          <w:b w:val="0"/>
          <w:sz w:val="22"/>
          <w:szCs w:val="22"/>
        </w:rPr>
        <w:t>the formerly utilized Program Assessment Rating Tool</w:t>
      </w:r>
      <w:r>
        <w:rPr>
          <w:rFonts w:ascii="Arial" w:eastAsia="Arial Unicode MS" w:hAnsi="Arial" w:cs="Arial"/>
          <w:b/>
          <w:sz w:val="22"/>
          <w:szCs w:val="22"/>
        </w:rPr>
        <w:t xml:space="preserve"> </w:t>
      </w:r>
      <w:r w:rsidRPr="007D1D8C">
        <w:rPr>
          <w:rFonts w:ascii="Arial" w:eastAsia="Arial Unicode MS" w:hAnsi="Arial" w:cs="Arial"/>
          <w:sz w:val="22"/>
          <w:szCs w:val="22"/>
        </w:rPr>
        <w:t>(PART).</w:t>
      </w:r>
      <w:r w:rsidRPr="007D1D8C">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2A5708" w:rsidRDefault="00386054">
      <w:pPr>
        <w:tabs>
          <w:tab w:val="left" w:pos="-720"/>
        </w:tabs>
        <w:suppressAutoHyphens/>
        <w:rPr>
          <w:rFonts w:ascii="Times New Roman" w:hAnsi="Times New Roman"/>
          <w:b/>
          <w:szCs w:val="24"/>
        </w:rPr>
      </w:pPr>
      <w:r w:rsidRPr="002A5708">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2A5708">
        <w:rPr>
          <w:rFonts w:ascii="Times New Roman" w:hAnsi="Times New Roman"/>
          <w:b/>
          <w:szCs w:val="24"/>
        </w:rPr>
        <w:t xml:space="preserve"> </w:t>
      </w:r>
    </w:p>
    <w:p w:rsidR="00386054" w:rsidRPr="00EF7FF5" w:rsidRDefault="00386054">
      <w:pPr>
        <w:tabs>
          <w:tab w:val="left" w:pos="-720"/>
        </w:tabs>
        <w:suppressAutoHyphens/>
        <w:rPr>
          <w:rFonts w:ascii="Times New Roman" w:hAnsi="Times New Roman"/>
          <w:szCs w:val="24"/>
        </w:rPr>
      </w:pPr>
    </w:p>
    <w:p w:rsidR="00A820D4" w:rsidRDefault="00A820D4" w:rsidP="00A820D4">
      <w:pPr>
        <w:pStyle w:val="BodyText"/>
      </w:pPr>
      <w:r>
        <w:t>The Javits program currently utilizes an electronic version of the currently approved performance data collection instrument, which is accessed online by grantees.  Currently, 100% of these FPRs are completed online and submitted electronically.</w:t>
      </w:r>
    </w:p>
    <w:p w:rsidR="00386054" w:rsidRPr="00EF7FF5" w:rsidRDefault="00386054">
      <w:pPr>
        <w:tabs>
          <w:tab w:val="left" w:pos="-720"/>
        </w:tabs>
        <w:suppressAutoHyphens/>
        <w:rPr>
          <w:rFonts w:ascii="Times New Roman" w:hAnsi="Times New Roman"/>
          <w:szCs w:val="24"/>
        </w:rPr>
      </w:pPr>
    </w:p>
    <w:p w:rsidR="00386054" w:rsidRPr="002A5708" w:rsidRDefault="00386054">
      <w:pPr>
        <w:tabs>
          <w:tab w:val="left" w:pos="-720"/>
        </w:tabs>
        <w:suppressAutoHyphens/>
        <w:rPr>
          <w:rFonts w:ascii="Times New Roman" w:hAnsi="Times New Roman"/>
          <w:b/>
          <w:szCs w:val="24"/>
        </w:rPr>
      </w:pPr>
      <w:r w:rsidRPr="002A5708">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A820D4" w:rsidRDefault="00A820D4" w:rsidP="00A820D4">
      <w:pPr>
        <w:jc w:val="both"/>
        <w:rPr>
          <w:rFonts w:ascii="Arial" w:eastAsia="Arial Unicode MS" w:hAnsi="Arial" w:cs="Arial"/>
          <w:sz w:val="22"/>
        </w:rPr>
      </w:pPr>
      <w:r>
        <w:rPr>
          <w:rStyle w:val="emailstyle15"/>
          <w:rFonts w:eastAsia="Arial Unicode MS"/>
          <w:sz w:val="22"/>
        </w:rPr>
        <w:t xml:space="preserve">The collection and use of this FPR information is not duplicated within the U.S. Department of Education or any other government entity.  </w:t>
      </w:r>
    </w:p>
    <w:p w:rsidR="00A820D4" w:rsidRDefault="00A820D4" w:rsidP="00A820D4">
      <w:pPr>
        <w:ind w:firstLine="360"/>
        <w:rPr>
          <w:rFonts w:ascii="Arial" w:eastAsia="Arial Unicode MS" w:hAnsi="Arial" w:cs="Arial"/>
          <w:sz w:val="22"/>
        </w:rPr>
      </w:pPr>
    </w:p>
    <w:p w:rsidR="00386054" w:rsidRPr="002A5708" w:rsidRDefault="00386054" w:rsidP="00BD1325">
      <w:pPr>
        <w:rPr>
          <w:rFonts w:ascii="Times New Roman" w:hAnsi="Times New Roman"/>
          <w:b/>
          <w:szCs w:val="24"/>
        </w:rPr>
      </w:pPr>
      <w:r w:rsidRPr="002A5708">
        <w:rPr>
          <w:rFonts w:ascii="Times New Roman" w:hAnsi="Times New Roman"/>
          <w:b/>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w:t>
      </w:r>
      <w:r w:rsidRPr="002A5708">
        <w:rPr>
          <w:rFonts w:ascii="Times New Roman" w:hAnsi="Times New Roman"/>
          <w:b/>
          <w:szCs w:val="24"/>
        </w:rPr>
        <w:lastRenderedPageBreak/>
        <w:t>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A820D4" w:rsidRDefault="00A820D4" w:rsidP="00A820D4">
      <w:pPr>
        <w:pStyle w:val="BodyText"/>
      </w:pPr>
      <w:r>
        <w:t>The collection of this FPR information has no impact on small businesses or other small entities.</w:t>
      </w:r>
    </w:p>
    <w:p w:rsidR="00386054" w:rsidRPr="002A5708" w:rsidRDefault="00386054">
      <w:pPr>
        <w:tabs>
          <w:tab w:val="left" w:pos="-720"/>
        </w:tabs>
        <w:suppressAutoHyphens/>
        <w:rPr>
          <w:rFonts w:ascii="Times New Roman" w:hAnsi="Times New Roman"/>
          <w:b/>
          <w:szCs w:val="24"/>
        </w:rPr>
      </w:pPr>
    </w:p>
    <w:p w:rsidR="00386054" w:rsidRPr="002A5708" w:rsidRDefault="00386054">
      <w:pPr>
        <w:tabs>
          <w:tab w:val="left" w:pos="-720"/>
        </w:tabs>
        <w:suppressAutoHyphens/>
        <w:rPr>
          <w:rFonts w:ascii="Times New Roman" w:hAnsi="Times New Roman"/>
          <w:b/>
          <w:szCs w:val="24"/>
        </w:rPr>
      </w:pPr>
      <w:r w:rsidRPr="002A5708">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A820D4" w:rsidRDefault="00A820D4">
      <w:pPr>
        <w:tabs>
          <w:tab w:val="left" w:pos="-720"/>
        </w:tabs>
        <w:suppressAutoHyphens/>
        <w:rPr>
          <w:rFonts w:ascii="Arial" w:hAnsi="Arial" w:cs="Arial"/>
          <w:sz w:val="22"/>
          <w:szCs w:val="22"/>
        </w:rPr>
      </w:pPr>
      <w:r w:rsidRPr="00A820D4">
        <w:rPr>
          <w:rFonts w:ascii="Arial" w:hAnsi="Arial" w:cs="Arial"/>
          <w:sz w:val="22"/>
          <w:szCs w:val="22"/>
        </w:rPr>
        <w:t xml:space="preserve">If the data requested in this Final Performance Report is not collected, program staff will not be able to determine whether or not funded projects were completed successfully and in accordance with the program statute and regulations.  In addition, evaluation of the program based on GPRA performance indicators, or on other program evaluation criteria established by Department policies, will not be possible.  </w:t>
      </w:r>
    </w:p>
    <w:p w:rsidR="00386054" w:rsidRPr="00A820D4" w:rsidRDefault="00386054">
      <w:pPr>
        <w:tabs>
          <w:tab w:val="left" w:pos="-720"/>
        </w:tabs>
        <w:suppressAutoHyphens/>
        <w:rPr>
          <w:rFonts w:ascii="Times New Roman" w:hAnsi="Times New Roman"/>
          <w:szCs w:val="24"/>
        </w:rPr>
      </w:pPr>
    </w:p>
    <w:p w:rsidR="00386054" w:rsidRPr="002A5708" w:rsidRDefault="00386054">
      <w:pPr>
        <w:tabs>
          <w:tab w:val="left" w:pos="-720"/>
        </w:tabs>
        <w:suppressAutoHyphens/>
        <w:rPr>
          <w:rFonts w:ascii="Times New Roman" w:hAnsi="Times New Roman"/>
          <w:b/>
          <w:szCs w:val="24"/>
        </w:rPr>
      </w:pPr>
      <w:r w:rsidRPr="002A5708">
        <w:rPr>
          <w:rFonts w:ascii="Times New Roman" w:hAnsi="Times New Roman"/>
          <w:b/>
          <w:szCs w:val="24"/>
        </w:rPr>
        <w:t xml:space="preserve">7. </w:t>
      </w:r>
      <w:r w:rsidR="008B7707" w:rsidRPr="002A5708">
        <w:rPr>
          <w:rFonts w:ascii="Times New Roman" w:hAnsi="Times New Roman"/>
          <w:b/>
          <w:szCs w:val="24"/>
        </w:rPr>
        <w:t xml:space="preserve"> </w:t>
      </w:r>
      <w:r w:rsidRPr="002A5708">
        <w:rPr>
          <w:rFonts w:ascii="Times New Roman" w:hAnsi="Times New Roman"/>
          <w:b/>
          <w:szCs w:val="24"/>
        </w:rPr>
        <w:t>Explain any special circumstances that would cause an information collection to be conducted in a manner:</w:t>
      </w:r>
    </w:p>
    <w:p w:rsidR="00386054" w:rsidRPr="002A5708" w:rsidRDefault="00386054">
      <w:pPr>
        <w:tabs>
          <w:tab w:val="left" w:pos="-720"/>
        </w:tabs>
        <w:suppressAutoHyphens/>
        <w:rPr>
          <w:rFonts w:ascii="Times New Roman" w:hAnsi="Times New Roman"/>
          <w:b/>
          <w:szCs w:val="24"/>
        </w:rPr>
      </w:pPr>
    </w:p>
    <w:p w:rsidR="00386054" w:rsidRPr="002A5708" w:rsidRDefault="00386054" w:rsidP="003C29C2">
      <w:pPr>
        <w:numPr>
          <w:ilvl w:val="0"/>
          <w:numId w:val="8"/>
        </w:numPr>
        <w:tabs>
          <w:tab w:val="left" w:pos="-720"/>
          <w:tab w:val="left" w:pos="1247"/>
        </w:tabs>
        <w:suppressAutoHyphens/>
        <w:rPr>
          <w:rFonts w:ascii="Times New Roman" w:hAnsi="Times New Roman"/>
          <w:b/>
          <w:szCs w:val="24"/>
        </w:rPr>
      </w:pPr>
      <w:r w:rsidRPr="002A5708">
        <w:rPr>
          <w:rFonts w:ascii="Times New Roman" w:hAnsi="Times New Roman"/>
          <w:b/>
          <w:szCs w:val="24"/>
        </w:rPr>
        <w:t>requiring respondents to report information to the agency more often than quarterly;</w:t>
      </w:r>
    </w:p>
    <w:p w:rsidR="00386054" w:rsidRPr="002A5708" w:rsidRDefault="00386054">
      <w:pPr>
        <w:numPr>
          <w:ilvl w:val="12"/>
          <w:numId w:val="0"/>
        </w:numPr>
        <w:tabs>
          <w:tab w:val="left" w:pos="-720"/>
        </w:tabs>
        <w:suppressAutoHyphens/>
        <w:ind w:left="340"/>
        <w:rPr>
          <w:rFonts w:ascii="Times New Roman" w:hAnsi="Times New Roman"/>
          <w:b/>
          <w:szCs w:val="24"/>
        </w:rPr>
      </w:pPr>
    </w:p>
    <w:p w:rsidR="00386054" w:rsidRPr="002A5708" w:rsidRDefault="00386054" w:rsidP="003C29C2">
      <w:pPr>
        <w:numPr>
          <w:ilvl w:val="0"/>
          <w:numId w:val="8"/>
        </w:numPr>
        <w:tabs>
          <w:tab w:val="left" w:pos="-720"/>
          <w:tab w:val="left" w:pos="1247"/>
        </w:tabs>
        <w:suppressAutoHyphens/>
        <w:rPr>
          <w:rFonts w:ascii="Times New Roman" w:hAnsi="Times New Roman"/>
          <w:b/>
          <w:szCs w:val="24"/>
        </w:rPr>
      </w:pPr>
      <w:r w:rsidRPr="002A5708">
        <w:rPr>
          <w:rFonts w:ascii="Times New Roman" w:hAnsi="Times New Roman"/>
          <w:b/>
          <w:szCs w:val="24"/>
        </w:rPr>
        <w:t>requiring respondents to prepare a written response to a collection of information in fewer than 30 days after receipt of it;</w:t>
      </w:r>
    </w:p>
    <w:p w:rsidR="00386054" w:rsidRPr="002A5708" w:rsidRDefault="00386054">
      <w:pPr>
        <w:numPr>
          <w:ilvl w:val="12"/>
          <w:numId w:val="0"/>
        </w:numPr>
        <w:tabs>
          <w:tab w:val="left" w:pos="-720"/>
        </w:tabs>
        <w:suppressAutoHyphens/>
        <w:rPr>
          <w:rFonts w:ascii="Times New Roman" w:hAnsi="Times New Roman"/>
          <w:b/>
          <w:szCs w:val="24"/>
        </w:rPr>
      </w:pPr>
    </w:p>
    <w:p w:rsidR="00386054" w:rsidRPr="002A5708" w:rsidRDefault="00386054" w:rsidP="003C29C2">
      <w:pPr>
        <w:numPr>
          <w:ilvl w:val="0"/>
          <w:numId w:val="8"/>
        </w:numPr>
        <w:tabs>
          <w:tab w:val="left" w:pos="-720"/>
          <w:tab w:val="left" w:pos="1247"/>
        </w:tabs>
        <w:suppressAutoHyphens/>
        <w:rPr>
          <w:rFonts w:ascii="Times New Roman" w:hAnsi="Times New Roman"/>
          <w:b/>
          <w:szCs w:val="24"/>
        </w:rPr>
      </w:pPr>
      <w:r w:rsidRPr="002A5708">
        <w:rPr>
          <w:rFonts w:ascii="Times New Roman" w:hAnsi="Times New Roman"/>
          <w:b/>
          <w:szCs w:val="24"/>
        </w:rPr>
        <w:t>requiring respondents to submit more than an original and two copies of any document;</w:t>
      </w:r>
    </w:p>
    <w:p w:rsidR="00386054" w:rsidRPr="002A5708" w:rsidRDefault="00386054">
      <w:pPr>
        <w:numPr>
          <w:ilvl w:val="12"/>
          <w:numId w:val="0"/>
        </w:numPr>
        <w:tabs>
          <w:tab w:val="left" w:pos="-720"/>
        </w:tabs>
        <w:suppressAutoHyphens/>
        <w:rPr>
          <w:rFonts w:ascii="Times New Roman" w:hAnsi="Times New Roman"/>
          <w:b/>
          <w:szCs w:val="24"/>
        </w:rPr>
      </w:pPr>
    </w:p>
    <w:p w:rsidR="00386054" w:rsidRPr="002A5708" w:rsidRDefault="00386054" w:rsidP="003C29C2">
      <w:pPr>
        <w:numPr>
          <w:ilvl w:val="0"/>
          <w:numId w:val="8"/>
        </w:numPr>
        <w:tabs>
          <w:tab w:val="left" w:pos="-720"/>
          <w:tab w:val="left" w:pos="1247"/>
        </w:tabs>
        <w:suppressAutoHyphens/>
        <w:rPr>
          <w:rFonts w:ascii="Times New Roman" w:hAnsi="Times New Roman"/>
          <w:b/>
          <w:szCs w:val="24"/>
        </w:rPr>
      </w:pPr>
      <w:r w:rsidRPr="002A5708">
        <w:rPr>
          <w:rFonts w:ascii="Times New Roman" w:hAnsi="Times New Roman"/>
          <w:b/>
          <w:szCs w:val="24"/>
        </w:rPr>
        <w:t>requiring respondents to retain records, other than health, medical, government contract, grant-in-aid, or tax records for more than three years;</w:t>
      </w:r>
    </w:p>
    <w:p w:rsidR="00386054" w:rsidRPr="002A5708" w:rsidRDefault="00386054">
      <w:pPr>
        <w:numPr>
          <w:ilvl w:val="12"/>
          <w:numId w:val="0"/>
        </w:numPr>
        <w:tabs>
          <w:tab w:val="left" w:pos="-720"/>
        </w:tabs>
        <w:suppressAutoHyphens/>
        <w:rPr>
          <w:rFonts w:ascii="Times New Roman" w:hAnsi="Times New Roman"/>
          <w:b/>
          <w:szCs w:val="24"/>
        </w:rPr>
      </w:pPr>
    </w:p>
    <w:p w:rsidR="00386054" w:rsidRPr="002A5708" w:rsidRDefault="00386054" w:rsidP="003C29C2">
      <w:pPr>
        <w:numPr>
          <w:ilvl w:val="0"/>
          <w:numId w:val="8"/>
        </w:numPr>
        <w:tabs>
          <w:tab w:val="left" w:pos="-720"/>
          <w:tab w:val="left" w:pos="1247"/>
        </w:tabs>
        <w:suppressAutoHyphens/>
        <w:rPr>
          <w:rFonts w:ascii="Times New Roman" w:hAnsi="Times New Roman"/>
          <w:b/>
          <w:szCs w:val="24"/>
        </w:rPr>
      </w:pPr>
      <w:r w:rsidRPr="002A5708">
        <w:rPr>
          <w:rFonts w:ascii="Times New Roman" w:hAnsi="Times New Roman"/>
          <w:b/>
          <w:szCs w:val="24"/>
        </w:rPr>
        <w:t>in connection with a statistical survey, that is not designed to produce valid and reliable results than can be generalized to the universe of study;</w:t>
      </w:r>
    </w:p>
    <w:p w:rsidR="00386054" w:rsidRPr="002A5708" w:rsidRDefault="00386054">
      <w:pPr>
        <w:numPr>
          <w:ilvl w:val="12"/>
          <w:numId w:val="0"/>
        </w:numPr>
        <w:tabs>
          <w:tab w:val="left" w:pos="-720"/>
        </w:tabs>
        <w:suppressAutoHyphens/>
        <w:rPr>
          <w:rFonts w:ascii="Times New Roman" w:hAnsi="Times New Roman"/>
          <w:b/>
          <w:szCs w:val="24"/>
        </w:rPr>
      </w:pPr>
    </w:p>
    <w:p w:rsidR="00386054" w:rsidRPr="002A5708" w:rsidRDefault="00386054" w:rsidP="003C29C2">
      <w:pPr>
        <w:numPr>
          <w:ilvl w:val="0"/>
          <w:numId w:val="8"/>
        </w:numPr>
        <w:tabs>
          <w:tab w:val="left" w:pos="-720"/>
          <w:tab w:val="left" w:pos="1247"/>
        </w:tabs>
        <w:suppressAutoHyphens/>
        <w:rPr>
          <w:rFonts w:ascii="Times New Roman" w:hAnsi="Times New Roman"/>
          <w:b/>
          <w:szCs w:val="24"/>
        </w:rPr>
      </w:pPr>
      <w:r w:rsidRPr="002A5708">
        <w:rPr>
          <w:rFonts w:ascii="Times New Roman" w:hAnsi="Times New Roman"/>
          <w:b/>
          <w:szCs w:val="24"/>
        </w:rPr>
        <w:t>requiring the use of a statistical data classification that has not been reviewed and approved by OMB;</w:t>
      </w:r>
    </w:p>
    <w:p w:rsidR="00386054" w:rsidRPr="002A5708" w:rsidRDefault="00386054">
      <w:pPr>
        <w:numPr>
          <w:ilvl w:val="12"/>
          <w:numId w:val="0"/>
        </w:numPr>
        <w:tabs>
          <w:tab w:val="left" w:pos="-720"/>
        </w:tabs>
        <w:suppressAutoHyphens/>
        <w:rPr>
          <w:rFonts w:ascii="Times New Roman" w:hAnsi="Times New Roman"/>
          <w:b/>
          <w:szCs w:val="24"/>
        </w:rPr>
      </w:pPr>
    </w:p>
    <w:p w:rsidR="00386054" w:rsidRPr="002A5708" w:rsidRDefault="00386054" w:rsidP="003C29C2">
      <w:pPr>
        <w:numPr>
          <w:ilvl w:val="0"/>
          <w:numId w:val="8"/>
        </w:numPr>
        <w:tabs>
          <w:tab w:val="left" w:pos="-720"/>
          <w:tab w:val="left" w:pos="1247"/>
        </w:tabs>
        <w:suppressAutoHyphens/>
        <w:rPr>
          <w:rFonts w:ascii="Times New Roman" w:hAnsi="Times New Roman"/>
          <w:b/>
          <w:szCs w:val="24"/>
        </w:rPr>
      </w:pPr>
      <w:r w:rsidRPr="002A5708">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A5708" w:rsidRDefault="00386054">
      <w:pPr>
        <w:numPr>
          <w:ilvl w:val="12"/>
          <w:numId w:val="0"/>
        </w:numPr>
        <w:tabs>
          <w:tab w:val="left" w:pos="-720"/>
        </w:tabs>
        <w:suppressAutoHyphens/>
        <w:rPr>
          <w:rFonts w:ascii="Times New Roman" w:hAnsi="Times New Roman"/>
          <w:b/>
          <w:szCs w:val="24"/>
        </w:rPr>
      </w:pPr>
    </w:p>
    <w:p w:rsidR="00386054" w:rsidRPr="002A5708" w:rsidRDefault="00386054" w:rsidP="003C29C2">
      <w:pPr>
        <w:numPr>
          <w:ilvl w:val="0"/>
          <w:numId w:val="8"/>
        </w:numPr>
        <w:tabs>
          <w:tab w:val="left" w:pos="-720"/>
          <w:tab w:val="left" w:pos="1247"/>
        </w:tabs>
        <w:suppressAutoHyphens/>
        <w:rPr>
          <w:rFonts w:ascii="Times New Roman" w:hAnsi="Times New Roman"/>
          <w:b/>
          <w:szCs w:val="24"/>
        </w:rPr>
      </w:pPr>
      <w:proofErr w:type="gramStart"/>
      <w:r w:rsidRPr="002A5708">
        <w:rPr>
          <w:rFonts w:ascii="Times New Roman" w:hAnsi="Times New Roman"/>
          <w:b/>
          <w:szCs w:val="24"/>
        </w:rPr>
        <w:t>requiring</w:t>
      </w:r>
      <w:proofErr w:type="gramEnd"/>
      <w:r w:rsidRPr="002A5708">
        <w:rPr>
          <w:rFonts w:ascii="Times New Roman" w:hAnsi="Times New Roman"/>
          <w:b/>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8B7707" w:rsidP="009C45EE">
      <w:pPr>
        <w:tabs>
          <w:tab w:val="left" w:pos="8460"/>
        </w:tabs>
        <w:spacing w:after="80"/>
        <w:rPr>
          <w:rFonts w:ascii="Arial" w:hAnsi="Arial" w:cs="Arial"/>
          <w:color w:val="000000"/>
          <w:sz w:val="22"/>
        </w:rPr>
      </w:pPr>
      <w:r>
        <w:rPr>
          <w:rFonts w:ascii="Arial" w:eastAsia="Arial Unicode MS" w:hAnsi="Arial" w:cs="Arial"/>
          <w:sz w:val="22"/>
        </w:rPr>
        <w:lastRenderedPageBreak/>
        <w:t>T</w:t>
      </w:r>
      <w:r>
        <w:rPr>
          <w:rFonts w:ascii="Arial" w:hAnsi="Arial" w:cs="Arial"/>
          <w:color w:val="000000"/>
          <w:sz w:val="22"/>
        </w:rPr>
        <w:t>here are no circumstances that would cause this information collection to be conducted in this manner.</w:t>
      </w:r>
    </w:p>
    <w:p w:rsidR="009C45EE" w:rsidRPr="00EF7FF5" w:rsidRDefault="009C45EE" w:rsidP="009C45EE">
      <w:pPr>
        <w:tabs>
          <w:tab w:val="left" w:pos="8460"/>
        </w:tabs>
        <w:spacing w:after="80"/>
        <w:rPr>
          <w:rFonts w:ascii="Times New Roman" w:hAnsi="Times New Roman"/>
          <w:szCs w:val="24"/>
        </w:rPr>
      </w:pPr>
    </w:p>
    <w:p w:rsidR="00386054" w:rsidRPr="002A5708" w:rsidRDefault="001743A5">
      <w:pPr>
        <w:numPr>
          <w:ilvl w:val="0"/>
          <w:numId w:val="2"/>
        </w:numPr>
        <w:tabs>
          <w:tab w:val="left" w:pos="-720"/>
          <w:tab w:val="left" w:pos="375"/>
        </w:tabs>
        <w:suppressAutoHyphens/>
        <w:rPr>
          <w:rFonts w:ascii="Times New Roman" w:hAnsi="Times New Roman"/>
          <w:b/>
          <w:szCs w:val="24"/>
        </w:rPr>
      </w:pPr>
      <w:r w:rsidRPr="002A5708">
        <w:rPr>
          <w:rFonts w:ascii="Times New Roman" w:hAnsi="Times New Roman"/>
          <w:b/>
          <w:szCs w:val="24"/>
        </w:rPr>
        <w:t xml:space="preserve">As </w:t>
      </w:r>
      <w:r w:rsidR="00386054" w:rsidRPr="002A5708">
        <w:rPr>
          <w:rFonts w:ascii="Times New Roman" w:hAnsi="Times New Roman"/>
          <w:b/>
          <w:szCs w:val="24"/>
        </w:rPr>
        <w:t xml:space="preserve">applicable, </w:t>
      </w:r>
      <w:r w:rsidRPr="002A5708">
        <w:rPr>
          <w:rFonts w:ascii="Times New Roman" w:hAnsi="Times New Roman"/>
          <w:b/>
          <w:szCs w:val="24"/>
        </w:rPr>
        <w:t xml:space="preserve">state that the Department has published the 60 and 30 Federal Register notices as </w:t>
      </w:r>
      <w:r w:rsidR="00386054" w:rsidRPr="002A5708">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2A5708" w:rsidRDefault="00386054">
      <w:pPr>
        <w:tabs>
          <w:tab w:val="left" w:pos="-720"/>
        </w:tabs>
        <w:suppressAutoHyphens/>
        <w:rPr>
          <w:rStyle w:val="a"/>
          <w:rFonts w:ascii="Times New Roman" w:hAnsi="Times New Roman"/>
          <w:b/>
          <w:szCs w:val="24"/>
        </w:rPr>
      </w:pPr>
    </w:p>
    <w:p w:rsidR="00386054" w:rsidRPr="002A5708" w:rsidRDefault="00386054" w:rsidP="003C29C2">
      <w:pPr>
        <w:tabs>
          <w:tab w:val="left" w:pos="-720"/>
        </w:tabs>
        <w:suppressAutoHyphens/>
        <w:ind w:left="360"/>
        <w:rPr>
          <w:rStyle w:val="a"/>
          <w:rFonts w:ascii="Times New Roman" w:hAnsi="Times New Roman"/>
          <w:b/>
          <w:szCs w:val="24"/>
        </w:rPr>
      </w:pPr>
      <w:r w:rsidRPr="002A5708">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2A5708" w:rsidRDefault="00386054">
      <w:pPr>
        <w:tabs>
          <w:tab w:val="left" w:pos="-720"/>
        </w:tabs>
        <w:suppressAutoHyphens/>
        <w:rPr>
          <w:rStyle w:val="a"/>
          <w:rFonts w:ascii="Times New Roman" w:hAnsi="Times New Roman"/>
          <w:b/>
          <w:szCs w:val="24"/>
        </w:rPr>
      </w:pPr>
    </w:p>
    <w:p w:rsidR="00386054" w:rsidRPr="002A5708" w:rsidRDefault="00386054" w:rsidP="003C29C2">
      <w:pPr>
        <w:tabs>
          <w:tab w:val="left" w:pos="-720"/>
        </w:tabs>
        <w:suppressAutoHyphens/>
        <w:ind w:left="360"/>
        <w:rPr>
          <w:rFonts w:ascii="Times New Roman" w:hAnsi="Times New Roman"/>
          <w:b/>
          <w:szCs w:val="24"/>
        </w:rPr>
      </w:pPr>
      <w:r w:rsidRPr="002A5708">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bookmarkStart w:id="1" w:name="_GoBack"/>
      <w:bookmarkEnd w:id="1"/>
    </w:p>
    <w:p w:rsidR="008B7707" w:rsidRPr="008B7707" w:rsidRDefault="008B7707" w:rsidP="008B7707">
      <w:pPr>
        <w:pStyle w:val="BodyTextIndent2"/>
        <w:tabs>
          <w:tab w:val="left" w:pos="6480"/>
        </w:tabs>
        <w:spacing w:after="0" w:line="240" w:lineRule="auto"/>
        <w:ind w:left="0"/>
        <w:rPr>
          <w:rFonts w:ascii="Arial" w:hAnsi="Arial" w:cs="Arial"/>
          <w:sz w:val="22"/>
          <w:szCs w:val="22"/>
        </w:rPr>
      </w:pPr>
      <w:r w:rsidRPr="008B7707">
        <w:rPr>
          <w:rFonts w:ascii="Arial" w:hAnsi="Arial" w:cs="Arial"/>
          <w:sz w:val="22"/>
          <w:szCs w:val="22"/>
        </w:rPr>
        <w:t xml:space="preserve">The appropriate 60- and 30-day Federal Register Notices (FRN) </w:t>
      </w:r>
      <w:proofErr w:type="gramStart"/>
      <w:r w:rsidRPr="008B7707">
        <w:rPr>
          <w:rFonts w:ascii="Arial" w:hAnsi="Arial" w:cs="Arial"/>
          <w:sz w:val="22"/>
          <w:szCs w:val="22"/>
        </w:rPr>
        <w:t>w</w:t>
      </w:r>
      <w:r w:rsidR="00485856">
        <w:rPr>
          <w:rFonts w:ascii="Arial" w:hAnsi="Arial" w:cs="Arial"/>
          <w:sz w:val="22"/>
          <w:szCs w:val="22"/>
        </w:rPr>
        <w:t>ere</w:t>
      </w:r>
      <w:proofErr w:type="gramEnd"/>
      <w:r w:rsidRPr="008B7707">
        <w:rPr>
          <w:rFonts w:ascii="Arial" w:hAnsi="Arial" w:cs="Arial"/>
          <w:sz w:val="22"/>
          <w:szCs w:val="22"/>
        </w:rPr>
        <w:t xml:space="preserve"> published to allow for public comment.  A 60-day FRN published </w:t>
      </w:r>
      <w:r w:rsidRPr="008B7707">
        <w:rPr>
          <w:rFonts w:ascii="Arial" w:hAnsi="Arial" w:cs="Arial"/>
          <w:sz w:val="22"/>
          <w:szCs w:val="22"/>
          <w:highlight w:val="yellow"/>
        </w:rPr>
        <w:t xml:space="preserve">________ in volume </w:t>
      </w:r>
      <w:r>
        <w:rPr>
          <w:rFonts w:ascii="Arial" w:hAnsi="Arial" w:cs="Arial"/>
          <w:sz w:val="22"/>
          <w:szCs w:val="22"/>
          <w:highlight w:val="yellow"/>
        </w:rPr>
        <w:t>___</w:t>
      </w:r>
      <w:r w:rsidRPr="008B7707">
        <w:rPr>
          <w:rFonts w:ascii="Arial" w:hAnsi="Arial" w:cs="Arial"/>
          <w:sz w:val="22"/>
          <w:szCs w:val="22"/>
          <w:highlight w:val="yellow"/>
        </w:rPr>
        <w:t>, page _______</w:t>
      </w:r>
      <w:r w:rsidRPr="008B7707">
        <w:rPr>
          <w:rFonts w:ascii="Arial" w:hAnsi="Arial" w:cs="Arial"/>
          <w:sz w:val="22"/>
          <w:szCs w:val="22"/>
        </w:rPr>
        <w:t xml:space="preserve"> and a 30-day</w:t>
      </w:r>
      <w:r>
        <w:rPr>
          <w:rFonts w:ascii="Arial" w:hAnsi="Arial" w:cs="Arial"/>
          <w:sz w:val="22"/>
          <w:szCs w:val="22"/>
        </w:rPr>
        <w:t xml:space="preserve"> </w:t>
      </w:r>
      <w:r w:rsidRPr="008B7707">
        <w:rPr>
          <w:rFonts w:ascii="Arial" w:hAnsi="Arial" w:cs="Arial"/>
          <w:sz w:val="22"/>
          <w:szCs w:val="22"/>
        </w:rPr>
        <w:t xml:space="preserve">FRN on </w:t>
      </w:r>
      <w:r w:rsidRPr="008B7707">
        <w:rPr>
          <w:rFonts w:ascii="Arial" w:hAnsi="Arial" w:cs="Arial"/>
          <w:sz w:val="22"/>
          <w:szCs w:val="22"/>
          <w:highlight w:val="yellow"/>
        </w:rPr>
        <w:t xml:space="preserve">________ in volume </w:t>
      </w:r>
      <w:r>
        <w:rPr>
          <w:rFonts w:ascii="Arial" w:hAnsi="Arial" w:cs="Arial"/>
          <w:sz w:val="22"/>
          <w:szCs w:val="22"/>
          <w:highlight w:val="yellow"/>
        </w:rPr>
        <w:t>___</w:t>
      </w:r>
      <w:r w:rsidRPr="008B7707">
        <w:rPr>
          <w:rFonts w:ascii="Arial" w:hAnsi="Arial" w:cs="Arial"/>
          <w:sz w:val="22"/>
          <w:szCs w:val="22"/>
          <w:highlight w:val="yellow"/>
        </w:rPr>
        <w:t>, page ______</w:t>
      </w:r>
      <w:proofErr w:type="gramStart"/>
      <w:r w:rsidRPr="008B7707">
        <w:rPr>
          <w:rFonts w:ascii="Arial" w:hAnsi="Arial" w:cs="Arial"/>
          <w:sz w:val="22"/>
          <w:szCs w:val="22"/>
          <w:highlight w:val="yellow"/>
        </w:rPr>
        <w:t>_</w:t>
      </w:r>
      <w:r w:rsidRPr="008B7707">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 xml:space="preserve">  </w:t>
      </w:r>
      <w:r w:rsidRPr="008B7707">
        <w:rPr>
          <w:rFonts w:ascii="Arial" w:hAnsi="Arial" w:cs="Arial"/>
          <w:sz w:val="22"/>
          <w:szCs w:val="22"/>
        </w:rPr>
        <w:t>Requests for data on Javits fellows have come from students, grantees, Javits fellows, professional associatio</w:t>
      </w:r>
      <w:r>
        <w:rPr>
          <w:rFonts w:ascii="Arial" w:hAnsi="Arial" w:cs="Arial"/>
          <w:sz w:val="22"/>
          <w:szCs w:val="22"/>
        </w:rPr>
        <w:t xml:space="preserve">ns and Members of Congress. This information </w:t>
      </w:r>
      <w:r w:rsidRPr="008B7707">
        <w:rPr>
          <w:rFonts w:ascii="Arial" w:hAnsi="Arial" w:cs="Arial"/>
          <w:sz w:val="22"/>
          <w:szCs w:val="22"/>
        </w:rPr>
        <w:t>collection reflects the comments and requests of these groups, as well as clarifications based on questions to program staff.  Data from all of these sources of less than 9 have been used to calculate hour and cost burden to respondents.</w:t>
      </w:r>
    </w:p>
    <w:p w:rsidR="00386054" w:rsidRPr="00EF7FF5" w:rsidRDefault="00386054">
      <w:pPr>
        <w:tabs>
          <w:tab w:val="left" w:pos="-720"/>
        </w:tabs>
        <w:suppressAutoHyphens/>
        <w:rPr>
          <w:rFonts w:ascii="Times New Roman" w:hAnsi="Times New Roman"/>
          <w:szCs w:val="24"/>
        </w:rPr>
      </w:pPr>
    </w:p>
    <w:p w:rsidR="00386054" w:rsidRPr="009C45EE" w:rsidRDefault="00386054">
      <w:pPr>
        <w:tabs>
          <w:tab w:val="left" w:pos="-720"/>
        </w:tabs>
        <w:suppressAutoHyphens/>
        <w:rPr>
          <w:rFonts w:ascii="Times New Roman" w:hAnsi="Times New Roman"/>
          <w:b/>
          <w:szCs w:val="24"/>
        </w:rPr>
      </w:pPr>
      <w:r w:rsidRPr="009C45EE">
        <w:rPr>
          <w:rFonts w:ascii="Times New Roman" w:hAnsi="Times New Roman"/>
          <w:b/>
          <w:szCs w:val="24"/>
        </w:rPr>
        <w:t xml:space="preserve">9. </w:t>
      </w:r>
      <w:r w:rsidR="008B7707" w:rsidRPr="009C45EE">
        <w:rPr>
          <w:rFonts w:ascii="Times New Roman" w:hAnsi="Times New Roman"/>
          <w:b/>
          <w:szCs w:val="24"/>
        </w:rPr>
        <w:t xml:space="preserve"> </w:t>
      </w:r>
      <w:r w:rsidRPr="009C45EE">
        <w:rPr>
          <w:rStyle w:val="a"/>
          <w:rFonts w:ascii="Times New Roman" w:hAnsi="Times New Roman"/>
          <w:b/>
          <w:szCs w:val="24"/>
        </w:rPr>
        <w:t>Explain any decision to provide any payment or gift to respondents, other than remuneration of contractors or grantees</w:t>
      </w:r>
      <w:r w:rsidR="003E285A" w:rsidRPr="009C45EE">
        <w:rPr>
          <w:rStyle w:val="a"/>
          <w:rFonts w:ascii="Times New Roman" w:hAnsi="Times New Roman"/>
          <w:b/>
          <w:szCs w:val="24"/>
        </w:rPr>
        <w:t xml:space="preserve"> with meaningful justification</w:t>
      </w:r>
      <w:r w:rsidRPr="009C45EE">
        <w:rPr>
          <w:rStyle w:val="a"/>
          <w:rFonts w:ascii="Times New Roman" w:hAnsi="Times New Roman"/>
          <w:b/>
          <w:szCs w:val="24"/>
        </w:rPr>
        <w:t>.</w:t>
      </w:r>
    </w:p>
    <w:p w:rsidR="00386054" w:rsidRPr="009C45EE" w:rsidRDefault="00386054">
      <w:pPr>
        <w:tabs>
          <w:tab w:val="left" w:pos="-720"/>
        </w:tabs>
        <w:suppressAutoHyphens/>
        <w:rPr>
          <w:rFonts w:ascii="Times New Roman" w:hAnsi="Times New Roman"/>
          <w:b/>
          <w:szCs w:val="24"/>
        </w:rPr>
      </w:pPr>
    </w:p>
    <w:p w:rsidR="008B7707" w:rsidRDefault="008B7707" w:rsidP="008B7707">
      <w:pPr>
        <w:rPr>
          <w:rFonts w:ascii="Arial" w:eastAsia="Arial Unicode MS" w:hAnsi="Arial" w:cs="Arial"/>
          <w:sz w:val="22"/>
        </w:rPr>
      </w:pPr>
      <w:r>
        <w:rPr>
          <w:rFonts w:ascii="Arial" w:eastAsia="Arial Unicode MS" w:hAnsi="Arial" w:cs="Arial"/>
          <w:sz w:val="22"/>
        </w:rPr>
        <w:t>No payment or gifts are provided to respondents.</w:t>
      </w:r>
    </w:p>
    <w:p w:rsidR="00386054" w:rsidRPr="00EF7FF5" w:rsidRDefault="00386054">
      <w:pPr>
        <w:tabs>
          <w:tab w:val="left" w:pos="-720"/>
        </w:tabs>
        <w:suppressAutoHyphens/>
        <w:rPr>
          <w:rFonts w:ascii="Times New Roman" w:hAnsi="Times New Roman"/>
          <w:szCs w:val="24"/>
        </w:rPr>
      </w:pPr>
    </w:p>
    <w:p w:rsidR="00386054" w:rsidRPr="002A5708" w:rsidRDefault="00386054">
      <w:pPr>
        <w:tabs>
          <w:tab w:val="left" w:pos="-720"/>
        </w:tabs>
        <w:suppressAutoHyphens/>
        <w:rPr>
          <w:rFonts w:ascii="Times New Roman" w:hAnsi="Times New Roman"/>
          <w:b/>
          <w:szCs w:val="24"/>
        </w:rPr>
      </w:pPr>
      <w:r w:rsidRPr="002A5708">
        <w:rPr>
          <w:rFonts w:ascii="Times New Roman" w:hAnsi="Times New Roman"/>
          <w:b/>
          <w:szCs w:val="24"/>
        </w:rPr>
        <w:t>10.</w:t>
      </w:r>
      <w:r w:rsidR="008B7707" w:rsidRPr="002A5708">
        <w:rPr>
          <w:rFonts w:ascii="Times New Roman" w:hAnsi="Times New Roman"/>
          <w:b/>
          <w:szCs w:val="24"/>
        </w:rPr>
        <w:t xml:space="preserve"> </w:t>
      </w:r>
      <w:r w:rsidRPr="002A5708">
        <w:rPr>
          <w:rFonts w:ascii="Times New Roman" w:hAnsi="Times New Roman"/>
          <w:b/>
          <w:szCs w:val="24"/>
        </w:rPr>
        <w:t xml:space="preserve">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2A5708">
        <w:rPr>
          <w:rFonts w:ascii="Times New Roman" w:hAnsi="Times New Roman"/>
          <w:b/>
          <w:szCs w:val="24"/>
        </w:rPr>
        <w:t xml:space="preserve"> as indicated on the IC Data Form</w:t>
      </w:r>
      <w:r w:rsidRPr="002A5708">
        <w:rPr>
          <w:rFonts w:ascii="Times New Roman" w:hAnsi="Times New Roman"/>
          <w:b/>
          <w:szCs w:val="24"/>
        </w:rPr>
        <w:t xml:space="preserve">. A confidentiality statement with a legal citation that authorizes the </w:t>
      </w:r>
      <w:r w:rsidR="001743A5" w:rsidRPr="002A5708">
        <w:rPr>
          <w:rFonts w:ascii="Times New Roman" w:hAnsi="Times New Roman"/>
          <w:b/>
          <w:szCs w:val="24"/>
        </w:rPr>
        <w:t xml:space="preserve">pledge </w:t>
      </w:r>
      <w:r w:rsidRPr="002A5708">
        <w:rPr>
          <w:rFonts w:ascii="Times New Roman" w:hAnsi="Times New Roman"/>
          <w:b/>
          <w:szCs w:val="24"/>
        </w:rPr>
        <w:t xml:space="preserve">of </w:t>
      </w:r>
      <w:r w:rsidR="001743A5" w:rsidRPr="002A5708">
        <w:rPr>
          <w:rFonts w:ascii="Times New Roman" w:hAnsi="Times New Roman"/>
          <w:b/>
          <w:szCs w:val="24"/>
        </w:rPr>
        <w:t xml:space="preserve">confidentiality </w:t>
      </w:r>
      <w:r w:rsidRPr="002A5708">
        <w:rPr>
          <w:rFonts w:ascii="Times New Roman" w:hAnsi="Times New Roman"/>
          <w:b/>
          <w:szCs w:val="24"/>
        </w:rPr>
        <w:t>should be provided.</w:t>
      </w:r>
      <w:r w:rsidRPr="002A5708">
        <w:rPr>
          <w:rStyle w:val="FootnoteReference"/>
          <w:b/>
          <w:szCs w:val="24"/>
        </w:rPr>
        <w:footnoteReference w:id="2"/>
      </w:r>
      <w:r w:rsidR="001743A5" w:rsidRPr="002A5708">
        <w:rPr>
          <w:rFonts w:ascii="Times New Roman" w:hAnsi="Times New Roman"/>
          <w:b/>
          <w:szCs w:val="24"/>
        </w:rPr>
        <w:t xml:space="preserve"> If the collection is subject to the Privacy Act, the Privacy Act statement is deemed sufficient with </w:t>
      </w:r>
      <w:r w:rsidR="001743A5" w:rsidRPr="002A5708">
        <w:rPr>
          <w:rFonts w:ascii="Times New Roman" w:hAnsi="Times New Roman"/>
          <w:b/>
          <w:szCs w:val="24"/>
        </w:rPr>
        <w:lastRenderedPageBreak/>
        <w:t xml:space="preserve">respect to confidentiality. </w:t>
      </w:r>
      <w:proofErr w:type="gramStart"/>
      <w:r w:rsidR="001743A5" w:rsidRPr="002A5708">
        <w:rPr>
          <w:rFonts w:ascii="Times New Roman" w:hAnsi="Times New Roman"/>
          <w:b/>
          <w:szCs w:val="24"/>
        </w:rPr>
        <w:t>If there is no expectation of confidentiality, simply state that the Department make</w:t>
      </w:r>
      <w:r w:rsidR="006A3B5C" w:rsidRPr="002A5708">
        <w:rPr>
          <w:rFonts w:ascii="Times New Roman" w:hAnsi="Times New Roman"/>
          <w:b/>
          <w:szCs w:val="24"/>
        </w:rPr>
        <w:t>s</w:t>
      </w:r>
      <w:r w:rsidR="001743A5" w:rsidRPr="002A5708">
        <w:rPr>
          <w:rFonts w:ascii="Times New Roman" w:hAnsi="Times New Roman"/>
          <w:b/>
          <w:szCs w:val="24"/>
        </w:rPr>
        <w:t xml:space="preserve"> no pledge about the confidentially of the data.</w:t>
      </w:r>
      <w:proofErr w:type="gramEnd"/>
    </w:p>
    <w:p w:rsidR="00386054" w:rsidRDefault="00386054">
      <w:pPr>
        <w:tabs>
          <w:tab w:val="left" w:pos="-720"/>
        </w:tabs>
        <w:suppressAutoHyphens/>
        <w:rPr>
          <w:rFonts w:ascii="Times New Roman" w:hAnsi="Times New Roman"/>
          <w:szCs w:val="24"/>
        </w:rPr>
      </w:pPr>
    </w:p>
    <w:p w:rsidR="00386054" w:rsidRPr="00EF7FF5" w:rsidRDefault="008B7707" w:rsidP="008B7707">
      <w:pPr>
        <w:pStyle w:val="BodyTextIndent2"/>
        <w:spacing w:after="0" w:line="240" w:lineRule="auto"/>
        <w:ind w:left="0"/>
        <w:rPr>
          <w:rFonts w:ascii="Times New Roman" w:hAnsi="Times New Roman"/>
          <w:szCs w:val="24"/>
        </w:rPr>
      </w:pPr>
      <w:r w:rsidRPr="008B7707">
        <w:rPr>
          <w:rFonts w:ascii="Arial" w:hAnsi="Arial" w:cs="Arial"/>
          <w:sz w:val="22"/>
          <w:szCs w:val="22"/>
        </w:rPr>
        <w:t xml:space="preserve">The proposed data to be collected in the </w:t>
      </w:r>
      <w:r>
        <w:rPr>
          <w:rFonts w:ascii="Arial" w:hAnsi="Arial" w:cs="Arial"/>
          <w:sz w:val="22"/>
          <w:szCs w:val="22"/>
        </w:rPr>
        <w:t>FPR</w:t>
      </w:r>
      <w:r w:rsidRPr="008B7707">
        <w:rPr>
          <w:rFonts w:ascii="Arial" w:hAnsi="Arial" w:cs="Arial"/>
          <w:sz w:val="22"/>
          <w:szCs w:val="22"/>
        </w:rPr>
        <w:t xml:space="preserve"> will be subject to the requirements of the Privacy Act, as the reports will contain information regarding individual Javits fellows.  Any collected data made public would only be presented in aggregate, and would not include personal information.</w:t>
      </w:r>
    </w:p>
    <w:p w:rsidR="00386054" w:rsidRPr="00EF7FF5" w:rsidRDefault="00386054">
      <w:pPr>
        <w:tabs>
          <w:tab w:val="left" w:pos="-720"/>
        </w:tabs>
        <w:suppressAutoHyphens/>
        <w:rPr>
          <w:rFonts w:ascii="Times New Roman" w:hAnsi="Times New Roman"/>
          <w:szCs w:val="24"/>
        </w:rPr>
      </w:pPr>
    </w:p>
    <w:p w:rsidR="00386054" w:rsidRPr="002A5708" w:rsidRDefault="00386054">
      <w:pPr>
        <w:tabs>
          <w:tab w:val="left" w:pos="-720"/>
        </w:tabs>
        <w:suppressAutoHyphens/>
        <w:rPr>
          <w:rFonts w:ascii="Times New Roman" w:hAnsi="Times New Roman"/>
          <w:b/>
          <w:szCs w:val="24"/>
        </w:rPr>
      </w:pPr>
      <w:r w:rsidRPr="002A5708">
        <w:rPr>
          <w:rFonts w:ascii="Times New Roman" w:hAnsi="Times New Roman"/>
          <w:b/>
          <w:szCs w:val="24"/>
        </w:rPr>
        <w:t xml:space="preserve">11. </w:t>
      </w:r>
      <w:r w:rsidR="008B7707" w:rsidRPr="002A5708">
        <w:rPr>
          <w:rFonts w:ascii="Times New Roman" w:hAnsi="Times New Roman"/>
          <w:b/>
          <w:szCs w:val="24"/>
        </w:rPr>
        <w:t xml:space="preserve"> </w:t>
      </w:r>
      <w:r w:rsidRPr="002A5708">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B7707" w:rsidRDefault="008B7707">
      <w:pPr>
        <w:tabs>
          <w:tab w:val="left" w:pos="-720"/>
        </w:tabs>
        <w:suppressAutoHyphens/>
        <w:rPr>
          <w:rFonts w:ascii="Times New Roman" w:hAnsi="Times New Roman"/>
          <w:szCs w:val="24"/>
        </w:rPr>
      </w:pPr>
    </w:p>
    <w:p w:rsidR="008B7707" w:rsidRDefault="008B7707" w:rsidP="008B7707">
      <w:pPr>
        <w:rPr>
          <w:rFonts w:ascii="Arial" w:eastAsia="Arial Unicode MS" w:hAnsi="Arial" w:cs="Arial"/>
          <w:sz w:val="22"/>
        </w:rPr>
      </w:pPr>
      <w:r>
        <w:rPr>
          <w:rFonts w:ascii="Arial" w:eastAsia="Arial Unicode MS" w:hAnsi="Arial" w:cs="Arial"/>
          <w:sz w:val="22"/>
        </w:rPr>
        <w:t>No questions of a sensitive nature are asked in this report.</w:t>
      </w:r>
    </w:p>
    <w:p w:rsidR="00386054" w:rsidRPr="00EF7FF5" w:rsidRDefault="00386054">
      <w:pPr>
        <w:tabs>
          <w:tab w:val="left" w:pos="-720"/>
        </w:tabs>
        <w:suppressAutoHyphens/>
        <w:rPr>
          <w:rFonts w:ascii="Times New Roman" w:hAnsi="Times New Roman"/>
          <w:szCs w:val="24"/>
        </w:rPr>
      </w:pPr>
    </w:p>
    <w:p w:rsidR="00386054" w:rsidRPr="002A5708" w:rsidRDefault="00386054">
      <w:pPr>
        <w:tabs>
          <w:tab w:val="left" w:pos="-720"/>
        </w:tabs>
        <w:suppressAutoHyphens/>
        <w:rPr>
          <w:rStyle w:val="a"/>
          <w:rFonts w:ascii="Times New Roman" w:hAnsi="Times New Roman"/>
          <w:b/>
          <w:szCs w:val="24"/>
        </w:rPr>
      </w:pPr>
      <w:r w:rsidRPr="002A5708">
        <w:rPr>
          <w:rFonts w:ascii="Times New Roman" w:hAnsi="Times New Roman"/>
          <w:b/>
          <w:szCs w:val="24"/>
        </w:rPr>
        <w:t>12.</w:t>
      </w:r>
      <w:r w:rsidR="008B7707" w:rsidRPr="002A5708">
        <w:rPr>
          <w:rFonts w:ascii="Times New Roman" w:hAnsi="Times New Roman"/>
          <w:b/>
          <w:szCs w:val="24"/>
        </w:rPr>
        <w:t xml:space="preserve"> </w:t>
      </w:r>
      <w:r w:rsidRPr="002A5708">
        <w:rPr>
          <w:rFonts w:ascii="Times New Roman" w:hAnsi="Times New Roman"/>
          <w:b/>
          <w:szCs w:val="24"/>
        </w:rPr>
        <w:t xml:space="preserve"> </w:t>
      </w:r>
      <w:r w:rsidRPr="002A5708">
        <w:rPr>
          <w:rStyle w:val="a"/>
          <w:rFonts w:ascii="Times New Roman" w:hAnsi="Times New Roman"/>
          <w:b/>
          <w:szCs w:val="24"/>
        </w:rPr>
        <w:t>Provide estimates of the hour burden of the collection of information.  The statement should:</w:t>
      </w:r>
    </w:p>
    <w:p w:rsidR="00386054" w:rsidRPr="002A5708" w:rsidRDefault="00386054">
      <w:pPr>
        <w:tabs>
          <w:tab w:val="left" w:pos="-720"/>
        </w:tabs>
        <w:suppressAutoHyphens/>
        <w:rPr>
          <w:rStyle w:val="a"/>
          <w:rFonts w:ascii="Times New Roman" w:hAnsi="Times New Roman"/>
          <w:b/>
          <w:szCs w:val="24"/>
        </w:rPr>
      </w:pPr>
    </w:p>
    <w:p w:rsidR="00386054" w:rsidRPr="002A5708" w:rsidRDefault="00386054" w:rsidP="003C29C2">
      <w:pPr>
        <w:numPr>
          <w:ilvl w:val="0"/>
          <w:numId w:val="7"/>
        </w:numPr>
        <w:tabs>
          <w:tab w:val="left" w:pos="-720"/>
          <w:tab w:val="left" w:pos="1247"/>
        </w:tabs>
        <w:suppressAutoHyphens/>
        <w:rPr>
          <w:rStyle w:val="a"/>
          <w:rFonts w:ascii="Times New Roman" w:hAnsi="Times New Roman"/>
          <w:b/>
          <w:szCs w:val="24"/>
        </w:rPr>
      </w:pPr>
      <w:r w:rsidRPr="002A5708">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2A5708" w:rsidRDefault="00386054" w:rsidP="003C29C2">
      <w:pPr>
        <w:tabs>
          <w:tab w:val="left" w:pos="-720"/>
          <w:tab w:val="left" w:pos="1247"/>
        </w:tabs>
        <w:suppressAutoHyphens/>
        <w:ind w:left="700"/>
        <w:rPr>
          <w:rStyle w:val="a"/>
          <w:rFonts w:ascii="Times New Roman" w:hAnsi="Times New Roman"/>
          <w:b/>
          <w:szCs w:val="24"/>
        </w:rPr>
      </w:pPr>
    </w:p>
    <w:p w:rsidR="00386054" w:rsidRPr="002A5708" w:rsidRDefault="00386054" w:rsidP="003C29C2">
      <w:pPr>
        <w:numPr>
          <w:ilvl w:val="0"/>
          <w:numId w:val="7"/>
        </w:numPr>
        <w:tabs>
          <w:tab w:val="left" w:pos="-720"/>
          <w:tab w:val="left" w:pos="1247"/>
        </w:tabs>
        <w:suppressAutoHyphens/>
        <w:rPr>
          <w:rStyle w:val="a"/>
          <w:rFonts w:ascii="Times New Roman" w:hAnsi="Times New Roman"/>
          <w:b/>
          <w:szCs w:val="24"/>
        </w:rPr>
      </w:pPr>
      <w:r w:rsidRPr="002A5708">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2A5708">
        <w:rPr>
          <w:rStyle w:val="a"/>
          <w:rFonts w:ascii="Times New Roman" w:hAnsi="Times New Roman"/>
          <w:b/>
          <w:szCs w:val="24"/>
        </w:rPr>
        <w:t xml:space="preserve">ROCIS </w:t>
      </w:r>
      <w:r w:rsidRPr="002A5708">
        <w:rPr>
          <w:rStyle w:val="a"/>
          <w:rFonts w:ascii="Times New Roman" w:hAnsi="Times New Roman"/>
          <w:b/>
          <w:szCs w:val="24"/>
        </w:rPr>
        <w:t>IC Burden Analysis Table.</w:t>
      </w:r>
      <w:r w:rsidR="00CE72AF" w:rsidRPr="002A5708">
        <w:rPr>
          <w:rStyle w:val="a"/>
          <w:rFonts w:ascii="Times New Roman" w:hAnsi="Times New Roman"/>
          <w:b/>
          <w:szCs w:val="24"/>
        </w:rPr>
        <w:t xml:space="preserve">  (The table should at </w:t>
      </w:r>
      <w:r w:rsidR="003C7F70" w:rsidRPr="002A5708">
        <w:rPr>
          <w:rStyle w:val="a"/>
          <w:rFonts w:ascii="Times New Roman" w:hAnsi="Times New Roman"/>
          <w:b/>
          <w:szCs w:val="24"/>
        </w:rPr>
        <w:t>minimum</w:t>
      </w:r>
      <w:r w:rsidR="00CE72AF" w:rsidRPr="002A5708">
        <w:rPr>
          <w:rStyle w:val="a"/>
          <w:rFonts w:ascii="Times New Roman" w:hAnsi="Times New Roman"/>
          <w:b/>
          <w:szCs w:val="24"/>
        </w:rPr>
        <w:t xml:space="preserve"> include Respondent types, IC activity, Respondent and Responses, Hours/Response, and Total Hours)</w:t>
      </w:r>
    </w:p>
    <w:p w:rsidR="00386054" w:rsidRPr="002A5708" w:rsidRDefault="00386054" w:rsidP="003C29C2">
      <w:pPr>
        <w:tabs>
          <w:tab w:val="left" w:pos="-720"/>
          <w:tab w:val="left" w:pos="1247"/>
        </w:tabs>
        <w:suppressAutoHyphens/>
        <w:rPr>
          <w:rStyle w:val="a"/>
          <w:rFonts w:ascii="Times New Roman" w:hAnsi="Times New Roman"/>
          <w:b/>
          <w:szCs w:val="24"/>
        </w:rPr>
      </w:pPr>
    </w:p>
    <w:p w:rsidR="00386054" w:rsidRPr="002A5708" w:rsidRDefault="00386054" w:rsidP="003C29C2">
      <w:pPr>
        <w:tabs>
          <w:tab w:val="left" w:pos="-720"/>
          <w:tab w:val="left" w:pos="1247"/>
        </w:tabs>
        <w:suppressAutoHyphens/>
        <w:ind w:left="700"/>
        <w:rPr>
          <w:rStyle w:val="a"/>
          <w:rFonts w:ascii="Times New Roman" w:hAnsi="Times New Roman"/>
          <w:b/>
          <w:szCs w:val="24"/>
        </w:rPr>
      </w:pPr>
    </w:p>
    <w:p w:rsidR="00386054" w:rsidRPr="002A5708" w:rsidRDefault="00386054" w:rsidP="008F3062">
      <w:pPr>
        <w:numPr>
          <w:ilvl w:val="0"/>
          <w:numId w:val="7"/>
        </w:numPr>
        <w:tabs>
          <w:tab w:val="left" w:pos="-720"/>
          <w:tab w:val="left" w:pos="1247"/>
        </w:tabs>
        <w:suppressAutoHyphens/>
        <w:rPr>
          <w:rFonts w:ascii="Times New Roman" w:hAnsi="Times New Roman"/>
          <w:b/>
          <w:szCs w:val="24"/>
        </w:rPr>
      </w:pPr>
      <w:r w:rsidRPr="002A5708">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8B7707" w:rsidRPr="008B7707" w:rsidRDefault="008B7707" w:rsidP="008B7707">
      <w:pPr>
        <w:pStyle w:val="BodyTextIndent"/>
        <w:ind w:left="0"/>
        <w:rPr>
          <w:rFonts w:ascii="Arial" w:hAnsi="Arial" w:cs="Arial"/>
          <w:sz w:val="22"/>
          <w:szCs w:val="22"/>
        </w:rPr>
      </w:pPr>
      <w:r w:rsidRPr="008B7707">
        <w:rPr>
          <w:rFonts w:ascii="Arial" w:hAnsi="Arial" w:cs="Arial"/>
          <w:sz w:val="22"/>
          <w:szCs w:val="22"/>
        </w:rPr>
        <w:lastRenderedPageBreak/>
        <w:t xml:space="preserve">The burden of individual respondents is estimated at an average of 6 hours for each IHE.  These estimates are based on input from respondents during previous funding cycles. </w:t>
      </w:r>
      <w:r w:rsidR="00980896">
        <w:rPr>
          <w:rFonts w:ascii="Arial" w:hAnsi="Arial" w:cs="Arial"/>
          <w:sz w:val="22"/>
          <w:szCs w:val="22"/>
        </w:rPr>
        <w:t xml:space="preserve"> </w:t>
      </w:r>
      <w:r w:rsidRPr="008B7707">
        <w:rPr>
          <w:rFonts w:ascii="Arial" w:hAnsi="Arial" w:cs="Arial"/>
          <w:sz w:val="22"/>
          <w:szCs w:val="22"/>
        </w:rPr>
        <w:t xml:space="preserve">The time required to complete this information collection is estimated to average 6 hours per response, this includes time to review, search existing data source, gather the data needed, complete and review the performance report. </w:t>
      </w:r>
      <w:r w:rsidR="00980896">
        <w:rPr>
          <w:rFonts w:ascii="Arial" w:hAnsi="Arial" w:cs="Arial"/>
          <w:sz w:val="22"/>
          <w:szCs w:val="22"/>
        </w:rPr>
        <w:t xml:space="preserve"> </w:t>
      </w:r>
      <w:r w:rsidRPr="008B7707">
        <w:rPr>
          <w:rFonts w:ascii="Arial" w:hAnsi="Arial" w:cs="Arial"/>
          <w:sz w:val="22"/>
          <w:szCs w:val="22"/>
        </w:rPr>
        <w:t>The</w:t>
      </w:r>
      <w:r w:rsidR="00980896">
        <w:rPr>
          <w:rFonts w:ascii="Arial" w:hAnsi="Arial" w:cs="Arial"/>
          <w:sz w:val="22"/>
          <w:szCs w:val="22"/>
        </w:rPr>
        <w:t>re are a</w:t>
      </w:r>
      <w:r w:rsidRPr="008B7707">
        <w:rPr>
          <w:rFonts w:ascii="Arial" w:hAnsi="Arial" w:cs="Arial"/>
          <w:sz w:val="22"/>
          <w:szCs w:val="22"/>
        </w:rPr>
        <w:t xml:space="preserve"> total of </w:t>
      </w:r>
      <w:r w:rsidR="00980896">
        <w:rPr>
          <w:rFonts w:ascii="Arial" w:hAnsi="Arial" w:cs="Arial"/>
          <w:sz w:val="22"/>
          <w:szCs w:val="22"/>
        </w:rPr>
        <w:t>20 respondents</w:t>
      </w:r>
      <w:r w:rsidRPr="008B7707">
        <w:rPr>
          <w:rFonts w:ascii="Arial" w:hAnsi="Arial" w:cs="Arial"/>
          <w:sz w:val="22"/>
          <w:szCs w:val="22"/>
        </w:rPr>
        <w:t xml:space="preserve"> taking 6 hours </w:t>
      </w:r>
      <w:r w:rsidR="00980896">
        <w:rPr>
          <w:rFonts w:ascii="Arial" w:hAnsi="Arial" w:cs="Arial"/>
          <w:sz w:val="22"/>
          <w:szCs w:val="22"/>
        </w:rPr>
        <w:t xml:space="preserve">each </w:t>
      </w:r>
      <w:r w:rsidRPr="008B7707">
        <w:rPr>
          <w:rFonts w:ascii="Arial" w:hAnsi="Arial" w:cs="Arial"/>
          <w:sz w:val="22"/>
          <w:szCs w:val="22"/>
        </w:rPr>
        <w:t xml:space="preserve">to complete </w:t>
      </w:r>
      <w:r w:rsidR="00980896">
        <w:rPr>
          <w:rFonts w:ascii="Arial" w:hAnsi="Arial" w:cs="Arial"/>
          <w:sz w:val="22"/>
          <w:szCs w:val="22"/>
        </w:rPr>
        <w:t xml:space="preserve">the FPR </w:t>
      </w:r>
      <w:r w:rsidRPr="008B7707">
        <w:rPr>
          <w:rFonts w:ascii="Arial" w:hAnsi="Arial" w:cs="Arial"/>
          <w:sz w:val="22"/>
          <w:szCs w:val="22"/>
        </w:rPr>
        <w:t xml:space="preserve">for a total burden of 120 hours. </w:t>
      </w:r>
    </w:p>
    <w:p w:rsidR="008B7707" w:rsidRPr="008B7707" w:rsidRDefault="008B7707" w:rsidP="008B7707">
      <w:pPr>
        <w:rPr>
          <w:rFonts w:ascii="Arial" w:eastAsia="Arial Unicode MS" w:hAnsi="Arial" w:cs="Arial"/>
          <w:sz w:val="22"/>
          <w:szCs w:val="22"/>
        </w:rPr>
      </w:pPr>
    </w:p>
    <w:p w:rsidR="008B7707" w:rsidRPr="008B7707" w:rsidRDefault="008B7707" w:rsidP="008B7707">
      <w:pPr>
        <w:rPr>
          <w:rFonts w:ascii="Arial" w:eastAsia="Arial Unicode MS" w:hAnsi="Arial" w:cs="Arial"/>
          <w:sz w:val="22"/>
          <w:szCs w:val="22"/>
        </w:rPr>
      </w:pPr>
    </w:p>
    <w:tbl>
      <w:tblPr>
        <w:tblW w:w="8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11"/>
        <w:gridCol w:w="2073"/>
        <w:gridCol w:w="2073"/>
        <w:gridCol w:w="991"/>
        <w:gridCol w:w="1909"/>
      </w:tblGrid>
      <w:tr w:rsidR="008B7707" w:rsidRPr="008B7707" w:rsidTr="00DD5009">
        <w:tc>
          <w:tcPr>
            <w:tcW w:w="1811" w:type="dxa"/>
            <w:shd w:val="solid" w:color="000000" w:fill="FFFFFF"/>
          </w:tcPr>
          <w:p w:rsidR="008B7707" w:rsidRPr="008B7707" w:rsidRDefault="008B7707" w:rsidP="00DD5009">
            <w:pPr>
              <w:pStyle w:val="Heading3"/>
              <w:jc w:val="center"/>
              <w:rPr>
                <w:rFonts w:ascii="Arial" w:eastAsia="Arial Unicode MS" w:hAnsi="Arial" w:cs="Arial"/>
                <w:color w:val="auto"/>
                <w:sz w:val="22"/>
                <w:szCs w:val="22"/>
              </w:rPr>
            </w:pPr>
            <w:r w:rsidRPr="008B7707">
              <w:rPr>
                <w:rFonts w:ascii="Arial" w:eastAsia="Arial Unicode MS" w:hAnsi="Arial" w:cs="Arial"/>
                <w:color w:val="auto"/>
                <w:sz w:val="22"/>
                <w:szCs w:val="22"/>
              </w:rPr>
              <w:t>Respondent Type</w:t>
            </w:r>
          </w:p>
        </w:tc>
        <w:tc>
          <w:tcPr>
            <w:tcW w:w="2073" w:type="dxa"/>
            <w:shd w:val="solid" w:color="000000" w:fill="FFFFFF"/>
          </w:tcPr>
          <w:p w:rsidR="008B7707" w:rsidRPr="008B7707" w:rsidRDefault="008B7707" w:rsidP="00DD5009">
            <w:pPr>
              <w:jc w:val="center"/>
              <w:rPr>
                <w:rFonts w:ascii="Arial" w:eastAsia="Arial Unicode MS" w:hAnsi="Arial" w:cs="Arial"/>
                <w:b/>
                <w:szCs w:val="22"/>
              </w:rPr>
            </w:pPr>
            <w:r w:rsidRPr="008B7707">
              <w:rPr>
                <w:rFonts w:ascii="Arial" w:eastAsia="Arial Unicode MS" w:hAnsi="Arial" w:cs="Arial"/>
                <w:b/>
                <w:sz w:val="22"/>
                <w:szCs w:val="22"/>
              </w:rPr>
              <w:t>Number of Respondents</w:t>
            </w:r>
          </w:p>
        </w:tc>
        <w:tc>
          <w:tcPr>
            <w:tcW w:w="2073" w:type="dxa"/>
            <w:shd w:val="solid" w:color="000000" w:fill="FFFFFF"/>
          </w:tcPr>
          <w:p w:rsidR="008B7707" w:rsidRPr="008B7707" w:rsidRDefault="008B7707" w:rsidP="00DD5009">
            <w:pPr>
              <w:jc w:val="center"/>
              <w:rPr>
                <w:rFonts w:ascii="Arial" w:eastAsia="Arial Unicode MS" w:hAnsi="Arial" w:cs="Arial"/>
                <w:b/>
                <w:szCs w:val="22"/>
              </w:rPr>
            </w:pPr>
            <w:r w:rsidRPr="008B7707">
              <w:rPr>
                <w:rFonts w:ascii="Arial" w:eastAsia="Arial Unicode MS" w:hAnsi="Arial" w:cs="Arial"/>
                <w:b/>
                <w:sz w:val="22"/>
                <w:szCs w:val="22"/>
              </w:rPr>
              <w:t>Frequency of Response</w:t>
            </w:r>
          </w:p>
        </w:tc>
        <w:tc>
          <w:tcPr>
            <w:tcW w:w="991" w:type="dxa"/>
            <w:shd w:val="solid" w:color="000000" w:fill="FFFFFF"/>
          </w:tcPr>
          <w:p w:rsidR="008B7707" w:rsidRPr="008B7707" w:rsidRDefault="008B7707" w:rsidP="00DD5009">
            <w:pPr>
              <w:jc w:val="center"/>
              <w:rPr>
                <w:rFonts w:ascii="Arial" w:eastAsia="Arial Unicode MS" w:hAnsi="Arial" w:cs="Arial"/>
                <w:b/>
                <w:szCs w:val="22"/>
              </w:rPr>
            </w:pPr>
            <w:r w:rsidRPr="008B7707">
              <w:rPr>
                <w:rFonts w:ascii="Arial" w:eastAsia="Arial Unicode MS" w:hAnsi="Arial" w:cs="Arial"/>
                <w:b/>
                <w:sz w:val="22"/>
                <w:szCs w:val="22"/>
              </w:rPr>
              <w:t>Hours</w:t>
            </w:r>
          </w:p>
        </w:tc>
        <w:tc>
          <w:tcPr>
            <w:tcW w:w="1909" w:type="dxa"/>
            <w:shd w:val="solid" w:color="000000" w:fill="FFFFFF"/>
          </w:tcPr>
          <w:p w:rsidR="008B7707" w:rsidRPr="008B7707" w:rsidRDefault="008B7707" w:rsidP="00DD5009">
            <w:pPr>
              <w:jc w:val="center"/>
              <w:rPr>
                <w:rFonts w:ascii="Arial" w:eastAsia="Arial Unicode MS" w:hAnsi="Arial" w:cs="Arial"/>
                <w:b/>
                <w:szCs w:val="22"/>
              </w:rPr>
            </w:pPr>
            <w:r w:rsidRPr="008B7707">
              <w:rPr>
                <w:rFonts w:ascii="Arial" w:eastAsia="Arial Unicode MS" w:hAnsi="Arial" w:cs="Arial"/>
                <w:b/>
                <w:sz w:val="22"/>
                <w:szCs w:val="22"/>
              </w:rPr>
              <w:t>Total Burden Hours</w:t>
            </w:r>
          </w:p>
        </w:tc>
      </w:tr>
      <w:tr w:rsidR="008B7707" w:rsidRPr="008B7707" w:rsidTr="00DD5009">
        <w:tc>
          <w:tcPr>
            <w:tcW w:w="1811" w:type="dxa"/>
            <w:tcBorders>
              <w:bottom w:val="nil"/>
            </w:tcBorders>
          </w:tcPr>
          <w:p w:rsidR="008B7707" w:rsidRPr="008B7707" w:rsidRDefault="008B7707" w:rsidP="00DD5009">
            <w:pPr>
              <w:jc w:val="center"/>
              <w:rPr>
                <w:rFonts w:ascii="Arial" w:eastAsia="Arial Unicode MS" w:hAnsi="Arial" w:cs="Arial"/>
                <w:szCs w:val="22"/>
              </w:rPr>
            </w:pPr>
            <w:r w:rsidRPr="008B7707">
              <w:rPr>
                <w:rFonts w:ascii="Arial" w:eastAsia="Arial Unicode MS" w:hAnsi="Arial" w:cs="Arial"/>
                <w:sz w:val="22"/>
                <w:szCs w:val="22"/>
              </w:rPr>
              <w:t>IHE</w:t>
            </w:r>
          </w:p>
        </w:tc>
        <w:tc>
          <w:tcPr>
            <w:tcW w:w="2073" w:type="dxa"/>
            <w:tcBorders>
              <w:bottom w:val="nil"/>
            </w:tcBorders>
          </w:tcPr>
          <w:p w:rsidR="008B7707" w:rsidRPr="008B7707" w:rsidRDefault="008B7707" w:rsidP="00DD5009">
            <w:pPr>
              <w:jc w:val="center"/>
              <w:rPr>
                <w:rFonts w:ascii="Arial" w:eastAsia="Arial Unicode MS" w:hAnsi="Arial" w:cs="Arial"/>
                <w:szCs w:val="22"/>
              </w:rPr>
            </w:pPr>
            <w:r w:rsidRPr="008B7707">
              <w:rPr>
                <w:rFonts w:ascii="Arial" w:eastAsia="Arial Unicode MS" w:hAnsi="Arial" w:cs="Arial"/>
                <w:sz w:val="22"/>
                <w:szCs w:val="22"/>
              </w:rPr>
              <w:t>20</w:t>
            </w:r>
          </w:p>
        </w:tc>
        <w:tc>
          <w:tcPr>
            <w:tcW w:w="2073" w:type="dxa"/>
            <w:tcBorders>
              <w:bottom w:val="nil"/>
            </w:tcBorders>
          </w:tcPr>
          <w:p w:rsidR="008B7707" w:rsidRPr="008B7707" w:rsidRDefault="008B7707" w:rsidP="00DD5009">
            <w:pPr>
              <w:jc w:val="center"/>
              <w:rPr>
                <w:rFonts w:ascii="Arial" w:eastAsia="Arial Unicode MS" w:hAnsi="Arial" w:cs="Arial"/>
                <w:szCs w:val="22"/>
              </w:rPr>
            </w:pPr>
            <w:r w:rsidRPr="008B7707">
              <w:rPr>
                <w:rFonts w:ascii="Arial" w:eastAsia="Arial Unicode MS" w:hAnsi="Arial" w:cs="Arial"/>
                <w:sz w:val="22"/>
                <w:szCs w:val="22"/>
              </w:rPr>
              <w:t>Annual</w:t>
            </w:r>
          </w:p>
        </w:tc>
        <w:tc>
          <w:tcPr>
            <w:tcW w:w="991" w:type="dxa"/>
            <w:tcBorders>
              <w:bottom w:val="nil"/>
            </w:tcBorders>
          </w:tcPr>
          <w:p w:rsidR="008B7707" w:rsidRPr="008B7707" w:rsidRDefault="008B7707" w:rsidP="00DD5009">
            <w:pPr>
              <w:jc w:val="center"/>
              <w:rPr>
                <w:rFonts w:ascii="Arial" w:eastAsia="Arial Unicode MS" w:hAnsi="Arial" w:cs="Arial"/>
                <w:szCs w:val="22"/>
              </w:rPr>
            </w:pPr>
            <w:r w:rsidRPr="008B7707">
              <w:rPr>
                <w:rFonts w:ascii="Arial" w:eastAsia="Arial Unicode MS" w:hAnsi="Arial" w:cs="Arial"/>
                <w:sz w:val="22"/>
                <w:szCs w:val="22"/>
              </w:rPr>
              <w:t>6</w:t>
            </w:r>
          </w:p>
        </w:tc>
        <w:tc>
          <w:tcPr>
            <w:tcW w:w="1909" w:type="dxa"/>
            <w:tcBorders>
              <w:bottom w:val="nil"/>
            </w:tcBorders>
          </w:tcPr>
          <w:p w:rsidR="008B7707" w:rsidRPr="008B7707" w:rsidRDefault="008B7707" w:rsidP="00DD5009">
            <w:pPr>
              <w:jc w:val="center"/>
              <w:rPr>
                <w:rFonts w:ascii="Arial" w:eastAsia="Arial Unicode MS" w:hAnsi="Arial" w:cs="Arial"/>
                <w:szCs w:val="22"/>
              </w:rPr>
            </w:pPr>
            <w:r w:rsidRPr="008B7707">
              <w:rPr>
                <w:rFonts w:ascii="Arial" w:eastAsia="Arial Unicode MS" w:hAnsi="Arial" w:cs="Arial"/>
                <w:sz w:val="22"/>
                <w:szCs w:val="22"/>
              </w:rPr>
              <w:t>120</w:t>
            </w:r>
          </w:p>
        </w:tc>
      </w:tr>
      <w:tr w:rsidR="008B7707" w:rsidRPr="008B7707" w:rsidTr="00DD5009">
        <w:tc>
          <w:tcPr>
            <w:tcW w:w="1811" w:type="dxa"/>
            <w:shd w:val="pct35" w:color="auto" w:fill="FFFFFF"/>
          </w:tcPr>
          <w:p w:rsidR="008B7707" w:rsidRPr="002A5708" w:rsidRDefault="008B7707" w:rsidP="00DD5009">
            <w:pPr>
              <w:jc w:val="center"/>
              <w:rPr>
                <w:rFonts w:ascii="Arial" w:eastAsia="Arial Unicode MS" w:hAnsi="Arial" w:cs="Arial"/>
                <w:b/>
                <w:szCs w:val="22"/>
              </w:rPr>
            </w:pPr>
            <w:r w:rsidRPr="002A5708">
              <w:rPr>
                <w:rFonts w:ascii="Arial" w:eastAsia="Arial Unicode MS" w:hAnsi="Arial" w:cs="Arial"/>
                <w:b/>
                <w:sz w:val="22"/>
                <w:szCs w:val="22"/>
              </w:rPr>
              <w:t>Totals</w:t>
            </w:r>
          </w:p>
        </w:tc>
        <w:tc>
          <w:tcPr>
            <w:tcW w:w="2073" w:type="dxa"/>
            <w:shd w:val="pct35" w:color="auto" w:fill="FFFFFF"/>
          </w:tcPr>
          <w:p w:rsidR="008B7707" w:rsidRPr="002A5708" w:rsidRDefault="008B7707" w:rsidP="00DD5009">
            <w:pPr>
              <w:jc w:val="center"/>
              <w:rPr>
                <w:rFonts w:ascii="Arial" w:eastAsia="Arial Unicode MS" w:hAnsi="Arial" w:cs="Arial"/>
                <w:b/>
                <w:szCs w:val="22"/>
              </w:rPr>
            </w:pPr>
            <w:r w:rsidRPr="002A5708">
              <w:rPr>
                <w:rFonts w:ascii="Arial" w:eastAsia="Arial Unicode MS" w:hAnsi="Arial" w:cs="Arial"/>
                <w:b/>
                <w:sz w:val="22"/>
                <w:szCs w:val="22"/>
              </w:rPr>
              <w:t>20</w:t>
            </w:r>
          </w:p>
        </w:tc>
        <w:tc>
          <w:tcPr>
            <w:tcW w:w="2073" w:type="dxa"/>
            <w:shd w:val="pct35" w:color="auto" w:fill="FFFFFF"/>
          </w:tcPr>
          <w:p w:rsidR="008B7707" w:rsidRPr="002A5708" w:rsidRDefault="008B7707" w:rsidP="00DD5009">
            <w:pPr>
              <w:jc w:val="center"/>
              <w:rPr>
                <w:rFonts w:ascii="Arial" w:eastAsia="Arial Unicode MS" w:hAnsi="Arial" w:cs="Arial"/>
                <w:b/>
                <w:szCs w:val="22"/>
              </w:rPr>
            </w:pPr>
          </w:p>
        </w:tc>
        <w:tc>
          <w:tcPr>
            <w:tcW w:w="991" w:type="dxa"/>
            <w:shd w:val="pct35" w:color="auto" w:fill="FFFFFF"/>
          </w:tcPr>
          <w:p w:rsidR="008B7707" w:rsidRPr="002A5708" w:rsidRDefault="008B7707" w:rsidP="00DD5009">
            <w:pPr>
              <w:jc w:val="center"/>
              <w:rPr>
                <w:rFonts w:ascii="Arial" w:eastAsia="Arial Unicode MS" w:hAnsi="Arial" w:cs="Arial"/>
                <w:b/>
                <w:szCs w:val="22"/>
              </w:rPr>
            </w:pPr>
            <w:r w:rsidRPr="002A5708">
              <w:rPr>
                <w:rFonts w:ascii="Arial" w:eastAsia="Arial Unicode MS" w:hAnsi="Arial" w:cs="Arial"/>
                <w:b/>
                <w:sz w:val="22"/>
                <w:szCs w:val="22"/>
              </w:rPr>
              <w:t>6</w:t>
            </w:r>
          </w:p>
        </w:tc>
        <w:tc>
          <w:tcPr>
            <w:tcW w:w="1909" w:type="dxa"/>
            <w:shd w:val="pct35" w:color="auto" w:fill="FFFFFF"/>
          </w:tcPr>
          <w:p w:rsidR="008B7707" w:rsidRPr="002A5708" w:rsidRDefault="008B7707" w:rsidP="00DD5009">
            <w:pPr>
              <w:jc w:val="center"/>
              <w:rPr>
                <w:rFonts w:ascii="Arial" w:eastAsia="Arial Unicode MS" w:hAnsi="Arial" w:cs="Arial"/>
                <w:b/>
                <w:szCs w:val="22"/>
              </w:rPr>
            </w:pPr>
            <w:r w:rsidRPr="002A5708">
              <w:rPr>
                <w:rFonts w:ascii="Arial" w:eastAsia="Arial Unicode MS" w:hAnsi="Arial" w:cs="Arial"/>
                <w:b/>
                <w:sz w:val="22"/>
                <w:szCs w:val="22"/>
              </w:rPr>
              <w:t>120</w:t>
            </w:r>
          </w:p>
        </w:tc>
      </w:tr>
    </w:tbl>
    <w:p w:rsidR="008B7707" w:rsidRPr="008B7707" w:rsidRDefault="008B7707" w:rsidP="008B7707">
      <w:pPr>
        <w:pStyle w:val="BodyTextIndent"/>
        <w:ind w:left="0"/>
        <w:rPr>
          <w:rFonts w:ascii="Arial" w:eastAsia="Arial Unicode MS" w:hAnsi="Arial" w:cs="Arial"/>
          <w:sz w:val="22"/>
          <w:szCs w:val="22"/>
        </w:rPr>
      </w:pPr>
    </w:p>
    <w:p w:rsidR="008B7707" w:rsidRPr="008B7707" w:rsidRDefault="008B7707" w:rsidP="008B7707">
      <w:pPr>
        <w:pStyle w:val="BodyTextIndent"/>
        <w:ind w:left="0"/>
        <w:rPr>
          <w:rFonts w:ascii="Arial" w:hAnsi="Arial" w:cs="Arial"/>
          <w:sz w:val="22"/>
          <w:szCs w:val="22"/>
        </w:rPr>
      </w:pPr>
      <w:r w:rsidRPr="008B7707">
        <w:rPr>
          <w:rFonts w:ascii="Arial" w:hAnsi="Arial" w:cs="Arial"/>
          <w:sz w:val="22"/>
          <w:szCs w:val="22"/>
        </w:rPr>
        <w:t>Estimated total annual cost burden to respondents:</w:t>
      </w:r>
    </w:p>
    <w:tbl>
      <w:tblPr>
        <w:tblW w:w="89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48"/>
        <w:gridCol w:w="1620"/>
        <w:gridCol w:w="1350"/>
        <w:gridCol w:w="900"/>
        <w:gridCol w:w="1080"/>
        <w:gridCol w:w="1170"/>
        <w:gridCol w:w="1260"/>
      </w:tblGrid>
      <w:tr w:rsidR="008B7707" w:rsidRPr="008B7707" w:rsidTr="00DD5009">
        <w:tc>
          <w:tcPr>
            <w:tcW w:w="1548" w:type="dxa"/>
            <w:shd w:val="solid" w:color="000000" w:fill="FFFFFF"/>
          </w:tcPr>
          <w:p w:rsidR="008B7707" w:rsidRPr="008B7707" w:rsidRDefault="008B7707" w:rsidP="00DD5009">
            <w:pPr>
              <w:pStyle w:val="BodyTextIndent"/>
              <w:ind w:left="0"/>
              <w:jc w:val="center"/>
              <w:rPr>
                <w:rFonts w:ascii="Arial" w:eastAsia="Arial Unicode MS" w:hAnsi="Arial" w:cs="Arial"/>
                <w:b/>
                <w:szCs w:val="22"/>
              </w:rPr>
            </w:pPr>
            <w:r w:rsidRPr="008B7707">
              <w:rPr>
                <w:rFonts w:ascii="Arial" w:eastAsia="Arial Unicode MS" w:hAnsi="Arial" w:cs="Arial"/>
                <w:b/>
                <w:sz w:val="22"/>
                <w:szCs w:val="22"/>
              </w:rPr>
              <w:t>Respondent Type</w:t>
            </w:r>
          </w:p>
        </w:tc>
        <w:tc>
          <w:tcPr>
            <w:tcW w:w="1620" w:type="dxa"/>
            <w:shd w:val="solid" w:color="000000" w:fill="FFFFFF"/>
          </w:tcPr>
          <w:p w:rsidR="008B7707" w:rsidRPr="008B7707" w:rsidRDefault="008B7707" w:rsidP="00DD5009">
            <w:pPr>
              <w:pStyle w:val="BodyTextIndent"/>
              <w:ind w:left="0"/>
              <w:jc w:val="center"/>
              <w:rPr>
                <w:rFonts w:ascii="Arial" w:eastAsia="Arial Unicode MS" w:hAnsi="Arial" w:cs="Arial"/>
                <w:b/>
                <w:szCs w:val="22"/>
              </w:rPr>
            </w:pPr>
            <w:r w:rsidRPr="008B7707">
              <w:rPr>
                <w:rFonts w:ascii="Arial" w:eastAsia="Arial Unicode MS" w:hAnsi="Arial" w:cs="Arial"/>
                <w:b/>
                <w:sz w:val="22"/>
                <w:szCs w:val="22"/>
              </w:rPr>
              <w:t>Number of Respondents</w:t>
            </w:r>
          </w:p>
        </w:tc>
        <w:tc>
          <w:tcPr>
            <w:tcW w:w="1350" w:type="dxa"/>
            <w:shd w:val="solid" w:color="000000" w:fill="FFFFFF"/>
          </w:tcPr>
          <w:p w:rsidR="008B7707" w:rsidRPr="008B7707" w:rsidRDefault="008B7707" w:rsidP="00DD5009">
            <w:pPr>
              <w:pStyle w:val="BodyTextIndent"/>
              <w:ind w:left="0"/>
              <w:jc w:val="center"/>
              <w:rPr>
                <w:rFonts w:ascii="Arial" w:eastAsia="Arial Unicode MS" w:hAnsi="Arial" w:cs="Arial"/>
                <w:b/>
                <w:szCs w:val="22"/>
              </w:rPr>
            </w:pPr>
            <w:r w:rsidRPr="008B7707">
              <w:rPr>
                <w:rFonts w:ascii="Arial" w:eastAsia="Arial Unicode MS" w:hAnsi="Arial" w:cs="Arial"/>
                <w:b/>
                <w:sz w:val="22"/>
                <w:szCs w:val="22"/>
              </w:rPr>
              <w:t>Frequency of Response</w:t>
            </w:r>
          </w:p>
        </w:tc>
        <w:tc>
          <w:tcPr>
            <w:tcW w:w="900" w:type="dxa"/>
            <w:shd w:val="solid" w:color="000000" w:fill="FFFFFF"/>
          </w:tcPr>
          <w:p w:rsidR="008B7707" w:rsidRPr="008B7707" w:rsidRDefault="008B7707" w:rsidP="00DD5009">
            <w:pPr>
              <w:pStyle w:val="BodyTextIndent"/>
              <w:ind w:left="0"/>
              <w:jc w:val="center"/>
              <w:rPr>
                <w:rFonts w:ascii="Arial" w:eastAsia="Arial Unicode MS" w:hAnsi="Arial" w:cs="Arial"/>
                <w:b/>
                <w:szCs w:val="22"/>
              </w:rPr>
            </w:pPr>
            <w:r w:rsidRPr="008B7707">
              <w:rPr>
                <w:rFonts w:ascii="Arial" w:eastAsia="Arial Unicode MS" w:hAnsi="Arial" w:cs="Arial"/>
                <w:b/>
                <w:sz w:val="22"/>
                <w:szCs w:val="22"/>
              </w:rPr>
              <w:t>Hours</w:t>
            </w:r>
          </w:p>
        </w:tc>
        <w:tc>
          <w:tcPr>
            <w:tcW w:w="1080" w:type="dxa"/>
            <w:shd w:val="solid" w:color="000000" w:fill="FFFFFF"/>
          </w:tcPr>
          <w:p w:rsidR="008B7707" w:rsidRPr="008B7707" w:rsidRDefault="008B7707" w:rsidP="00DD5009">
            <w:pPr>
              <w:pStyle w:val="BodyTextIndent"/>
              <w:ind w:left="0"/>
              <w:jc w:val="center"/>
              <w:rPr>
                <w:rFonts w:ascii="Arial" w:eastAsia="Arial Unicode MS" w:hAnsi="Arial" w:cs="Arial"/>
                <w:b/>
                <w:szCs w:val="22"/>
              </w:rPr>
            </w:pPr>
            <w:r w:rsidRPr="008B7707">
              <w:rPr>
                <w:rFonts w:ascii="Arial" w:eastAsia="Arial Unicode MS" w:hAnsi="Arial" w:cs="Arial"/>
                <w:b/>
                <w:sz w:val="22"/>
                <w:szCs w:val="22"/>
              </w:rPr>
              <w:t>Total Burden Hours</w:t>
            </w:r>
          </w:p>
        </w:tc>
        <w:tc>
          <w:tcPr>
            <w:tcW w:w="1170" w:type="dxa"/>
            <w:shd w:val="solid" w:color="000000" w:fill="FFFFFF"/>
          </w:tcPr>
          <w:p w:rsidR="008B7707" w:rsidRPr="008B7707" w:rsidRDefault="008B7707" w:rsidP="00DD5009">
            <w:pPr>
              <w:pStyle w:val="BodyTextIndent"/>
              <w:ind w:left="0"/>
              <w:jc w:val="center"/>
              <w:rPr>
                <w:rFonts w:ascii="Arial" w:eastAsia="Arial Unicode MS" w:hAnsi="Arial" w:cs="Arial"/>
                <w:b/>
                <w:szCs w:val="22"/>
              </w:rPr>
            </w:pPr>
            <w:r w:rsidRPr="008B7707">
              <w:rPr>
                <w:rFonts w:ascii="Arial" w:eastAsia="Arial Unicode MS" w:hAnsi="Arial" w:cs="Arial"/>
                <w:b/>
                <w:sz w:val="22"/>
                <w:szCs w:val="22"/>
              </w:rPr>
              <w:t>Wage</w:t>
            </w:r>
          </w:p>
        </w:tc>
        <w:tc>
          <w:tcPr>
            <w:tcW w:w="1260" w:type="dxa"/>
            <w:shd w:val="solid" w:color="000000" w:fill="FFFFFF"/>
          </w:tcPr>
          <w:p w:rsidR="008B7707" w:rsidRPr="008B7707" w:rsidRDefault="008B7707" w:rsidP="00DD5009">
            <w:pPr>
              <w:pStyle w:val="BodyTextIndent"/>
              <w:ind w:left="0"/>
              <w:jc w:val="center"/>
              <w:rPr>
                <w:rFonts w:ascii="Arial" w:eastAsia="Arial Unicode MS" w:hAnsi="Arial" w:cs="Arial"/>
                <w:b/>
                <w:szCs w:val="22"/>
              </w:rPr>
            </w:pPr>
            <w:r w:rsidRPr="008B7707">
              <w:rPr>
                <w:rFonts w:ascii="Arial" w:eastAsia="Arial Unicode MS" w:hAnsi="Arial" w:cs="Arial"/>
                <w:b/>
                <w:sz w:val="22"/>
                <w:szCs w:val="22"/>
              </w:rPr>
              <w:t>Total Cost</w:t>
            </w:r>
          </w:p>
        </w:tc>
      </w:tr>
      <w:tr w:rsidR="008B7707" w:rsidRPr="008B7707" w:rsidTr="00DD5009">
        <w:tc>
          <w:tcPr>
            <w:tcW w:w="1548" w:type="dxa"/>
            <w:tcBorders>
              <w:bottom w:val="nil"/>
            </w:tcBorders>
          </w:tcPr>
          <w:p w:rsidR="008B7707" w:rsidRPr="008B7707" w:rsidRDefault="008B7707" w:rsidP="00DD5009">
            <w:pPr>
              <w:pStyle w:val="BodyTextIndent"/>
              <w:ind w:left="0"/>
              <w:jc w:val="center"/>
              <w:rPr>
                <w:rFonts w:ascii="Arial" w:eastAsia="Arial Unicode MS" w:hAnsi="Arial" w:cs="Arial"/>
                <w:szCs w:val="22"/>
              </w:rPr>
            </w:pPr>
            <w:r w:rsidRPr="008B7707">
              <w:rPr>
                <w:rFonts w:ascii="Arial" w:eastAsia="Arial Unicode MS" w:hAnsi="Arial" w:cs="Arial"/>
                <w:sz w:val="22"/>
                <w:szCs w:val="22"/>
              </w:rPr>
              <w:t>IHE</w:t>
            </w:r>
          </w:p>
        </w:tc>
        <w:tc>
          <w:tcPr>
            <w:tcW w:w="1620" w:type="dxa"/>
            <w:tcBorders>
              <w:bottom w:val="nil"/>
            </w:tcBorders>
          </w:tcPr>
          <w:p w:rsidR="008B7707" w:rsidRPr="008B7707" w:rsidRDefault="008B7707" w:rsidP="00DD5009">
            <w:pPr>
              <w:pStyle w:val="BodyTextIndent"/>
              <w:ind w:left="0"/>
              <w:jc w:val="center"/>
              <w:rPr>
                <w:rFonts w:ascii="Arial" w:eastAsia="Arial Unicode MS" w:hAnsi="Arial" w:cs="Arial"/>
                <w:szCs w:val="22"/>
              </w:rPr>
            </w:pPr>
            <w:r w:rsidRPr="008B7707">
              <w:rPr>
                <w:rFonts w:ascii="Arial" w:eastAsia="Arial Unicode MS" w:hAnsi="Arial" w:cs="Arial"/>
                <w:sz w:val="22"/>
                <w:szCs w:val="22"/>
              </w:rPr>
              <w:t>20</w:t>
            </w:r>
          </w:p>
        </w:tc>
        <w:tc>
          <w:tcPr>
            <w:tcW w:w="1350" w:type="dxa"/>
            <w:tcBorders>
              <w:bottom w:val="nil"/>
            </w:tcBorders>
          </w:tcPr>
          <w:p w:rsidR="008B7707" w:rsidRPr="008B7707" w:rsidRDefault="008B7707" w:rsidP="00DD5009">
            <w:pPr>
              <w:pStyle w:val="BodyTextIndent"/>
              <w:ind w:left="0"/>
              <w:jc w:val="center"/>
              <w:rPr>
                <w:rFonts w:ascii="Arial" w:eastAsia="Arial Unicode MS" w:hAnsi="Arial" w:cs="Arial"/>
                <w:szCs w:val="22"/>
              </w:rPr>
            </w:pPr>
            <w:r w:rsidRPr="008B7707">
              <w:rPr>
                <w:rFonts w:ascii="Arial" w:eastAsia="Arial Unicode MS" w:hAnsi="Arial" w:cs="Arial"/>
                <w:sz w:val="22"/>
                <w:szCs w:val="22"/>
              </w:rPr>
              <w:t>Annual</w:t>
            </w:r>
          </w:p>
        </w:tc>
        <w:tc>
          <w:tcPr>
            <w:tcW w:w="900" w:type="dxa"/>
            <w:tcBorders>
              <w:bottom w:val="nil"/>
            </w:tcBorders>
          </w:tcPr>
          <w:p w:rsidR="008B7707" w:rsidRPr="008B7707" w:rsidRDefault="008B7707" w:rsidP="00DD5009">
            <w:pPr>
              <w:pStyle w:val="BodyTextIndent"/>
              <w:ind w:left="0"/>
              <w:jc w:val="center"/>
              <w:rPr>
                <w:rFonts w:ascii="Arial" w:eastAsia="Arial Unicode MS" w:hAnsi="Arial" w:cs="Arial"/>
                <w:szCs w:val="22"/>
              </w:rPr>
            </w:pPr>
            <w:r w:rsidRPr="008B7707">
              <w:rPr>
                <w:rFonts w:ascii="Arial" w:eastAsia="Arial Unicode MS" w:hAnsi="Arial" w:cs="Arial"/>
                <w:sz w:val="22"/>
                <w:szCs w:val="22"/>
              </w:rPr>
              <w:t>6</w:t>
            </w:r>
          </w:p>
        </w:tc>
        <w:tc>
          <w:tcPr>
            <w:tcW w:w="1080" w:type="dxa"/>
            <w:tcBorders>
              <w:bottom w:val="nil"/>
            </w:tcBorders>
          </w:tcPr>
          <w:p w:rsidR="008B7707" w:rsidRPr="008B7707" w:rsidRDefault="008B7707" w:rsidP="00DD5009">
            <w:pPr>
              <w:pStyle w:val="BodyTextIndent"/>
              <w:ind w:left="0"/>
              <w:jc w:val="center"/>
              <w:rPr>
                <w:rFonts w:ascii="Arial" w:eastAsia="Arial Unicode MS" w:hAnsi="Arial" w:cs="Arial"/>
                <w:szCs w:val="22"/>
              </w:rPr>
            </w:pPr>
            <w:r w:rsidRPr="008B7707">
              <w:rPr>
                <w:rFonts w:ascii="Arial" w:eastAsia="Arial Unicode MS" w:hAnsi="Arial" w:cs="Arial"/>
                <w:sz w:val="22"/>
                <w:szCs w:val="22"/>
              </w:rPr>
              <w:t>120</w:t>
            </w:r>
          </w:p>
        </w:tc>
        <w:tc>
          <w:tcPr>
            <w:tcW w:w="1170" w:type="dxa"/>
            <w:tcBorders>
              <w:bottom w:val="nil"/>
            </w:tcBorders>
          </w:tcPr>
          <w:p w:rsidR="008B7707" w:rsidRPr="008B7707" w:rsidRDefault="008B7707" w:rsidP="00DD5009">
            <w:pPr>
              <w:pStyle w:val="BodyTextIndent"/>
              <w:ind w:left="0"/>
              <w:jc w:val="center"/>
              <w:rPr>
                <w:rFonts w:ascii="Arial" w:eastAsia="Arial Unicode MS" w:hAnsi="Arial" w:cs="Arial"/>
                <w:szCs w:val="22"/>
              </w:rPr>
            </w:pPr>
            <w:r w:rsidRPr="008B7707">
              <w:rPr>
                <w:rFonts w:ascii="Arial" w:eastAsia="Arial Unicode MS" w:hAnsi="Arial" w:cs="Arial"/>
                <w:sz w:val="22"/>
                <w:szCs w:val="22"/>
              </w:rPr>
              <w:t>$22 /hour</w:t>
            </w:r>
          </w:p>
        </w:tc>
        <w:tc>
          <w:tcPr>
            <w:tcW w:w="1260" w:type="dxa"/>
            <w:tcBorders>
              <w:bottom w:val="nil"/>
            </w:tcBorders>
          </w:tcPr>
          <w:p w:rsidR="008B7707" w:rsidRPr="008B7707" w:rsidRDefault="008B7707" w:rsidP="00DD5009">
            <w:pPr>
              <w:pStyle w:val="BodyTextIndent"/>
              <w:ind w:left="0"/>
              <w:jc w:val="center"/>
              <w:rPr>
                <w:rFonts w:ascii="Arial" w:eastAsia="Arial Unicode MS" w:hAnsi="Arial" w:cs="Arial"/>
                <w:szCs w:val="22"/>
              </w:rPr>
            </w:pPr>
            <w:r w:rsidRPr="008B7707">
              <w:rPr>
                <w:rFonts w:ascii="Arial" w:eastAsia="Arial Unicode MS" w:hAnsi="Arial" w:cs="Arial"/>
                <w:sz w:val="22"/>
                <w:szCs w:val="22"/>
              </w:rPr>
              <w:t>$2,640</w:t>
            </w:r>
          </w:p>
        </w:tc>
      </w:tr>
      <w:tr w:rsidR="008B7707" w:rsidRPr="008B7707" w:rsidTr="00DD5009">
        <w:tc>
          <w:tcPr>
            <w:tcW w:w="1548" w:type="dxa"/>
            <w:shd w:val="pct35" w:color="auto" w:fill="FFFFFF"/>
          </w:tcPr>
          <w:p w:rsidR="008B7707" w:rsidRPr="002A5708" w:rsidRDefault="008B7707" w:rsidP="00DD5009">
            <w:pPr>
              <w:pStyle w:val="BodyTextIndent"/>
              <w:ind w:left="0"/>
              <w:jc w:val="center"/>
              <w:rPr>
                <w:rFonts w:ascii="Arial" w:eastAsia="Arial Unicode MS" w:hAnsi="Arial" w:cs="Arial"/>
                <w:b/>
                <w:szCs w:val="22"/>
              </w:rPr>
            </w:pPr>
            <w:r w:rsidRPr="002A5708">
              <w:rPr>
                <w:rFonts w:ascii="Arial" w:eastAsia="Arial Unicode MS" w:hAnsi="Arial" w:cs="Arial"/>
                <w:b/>
                <w:sz w:val="22"/>
                <w:szCs w:val="22"/>
              </w:rPr>
              <w:t>Totals</w:t>
            </w:r>
          </w:p>
        </w:tc>
        <w:tc>
          <w:tcPr>
            <w:tcW w:w="1620" w:type="dxa"/>
            <w:shd w:val="pct35" w:color="auto" w:fill="FFFFFF"/>
          </w:tcPr>
          <w:p w:rsidR="008B7707" w:rsidRPr="002A5708" w:rsidRDefault="008B7707" w:rsidP="00DD5009">
            <w:pPr>
              <w:pStyle w:val="BodyTextIndent"/>
              <w:ind w:left="0"/>
              <w:jc w:val="center"/>
              <w:rPr>
                <w:rFonts w:ascii="Arial" w:eastAsia="Arial Unicode MS" w:hAnsi="Arial" w:cs="Arial"/>
                <w:b/>
                <w:szCs w:val="22"/>
              </w:rPr>
            </w:pPr>
            <w:r w:rsidRPr="002A5708">
              <w:rPr>
                <w:rFonts w:ascii="Arial" w:eastAsia="Arial Unicode MS" w:hAnsi="Arial" w:cs="Arial"/>
                <w:b/>
                <w:sz w:val="22"/>
                <w:szCs w:val="22"/>
              </w:rPr>
              <w:t>20</w:t>
            </w:r>
          </w:p>
        </w:tc>
        <w:tc>
          <w:tcPr>
            <w:tcW w:w="1350" w:type="dxa"/>
            <w:shd w:val="pct35" w:color="auto" w:fill="FFFFFF"/>
          </w:tcPr>
          <w:p w:rsidR="008B7707" w:rsidRPr="002A5708" w:rsidRDefault="008B7707" w:rsidP="00DD5009">
            <w:pPr>
              <w:pStyle w:val="BodyTextIndent"/>
              <w:ind w:left="0"/>
              <w:jc w:val="center"/>
              <w:rPr>
                <w:rFonts w:ascii="Arial" w:eastAsia="Arial Unicode MS" w:hAnsi="Arial" w:cs="Arial"/>
                <w:b/>
                <w:szCs w:val="22"/>
              </w:rPr>
            </w:pPr>
          </w:p>
        </w:tc>
        <w:tc>
          <w:tcPr>
            <w:tcW w:w="900" w:type="dxa"/>
            <w:shd w:val="pct35" w:color="auto" w:fill="FFFFFF"/>
          </w:tcPr>
          <w:p w:rsidR="008B7707" w:rsidRPr="002A5708" w:rsidRDefault="008B7707" w:rsidP="00DD5009">
            <w:pPr>
              <w:pStyle w:val="BodyTextIndent"/>
              <w:ind w:left="0"/>
              <w:jc w:val="center"/>
              <w:rPr>
                <w:rFonts w:ascii="Arial" w:eastAsia="Arial Unicode MS" w:hAnsi="Arial" w:cs="Arial"/>
                <w:b/>
                <w:szCs w:val="22"/>
              </w:rPr>
            </w:pPr>
            <w:r w:rsidRPr="002A5708">
              <w:rPr>
                <w:rFonts w:ascii="Arial" w:eastAsia="Arial Unicode MS" w:hAnsi="Arial" w:cs="Arial"/>
                <w:b/>
                <w:sz w:val="22"/>
                <w:szCs w:val="22"/>
              </w:rPr>
              <w:t>6</w:t>
            </w:r>
          </w:p>
        </w:tc>
        <w:tc>
          <w:tcPr>
            <w:tcW w:w="1080" w:type="dxa"/>
            <w:shd w:val="pct35" w:color="auto" w:fill="FFFFFF"/>
          </w:tcPr>
          <w:p w:rsidR="008B7707" w:rsidRPr="002A5708" w:rsidRDefault="008B7707" w:rsidP="00DD5009">
            <w:pPr>
              <w:pStyle w:val="BodyTextIndent"/>
              <w:ind w:left="0"/>
              <w:jc w:val="center"/>
              <w:rPr>
                <w:rFonts w:ascii="Arial" w:eastAsia="Arial Unicode MS" w:hAnsi="Arial" w:cs="Arial"/>
                <w:b/>
                <w:szCs w:val="22"/>
              </w:rPr>
            </w:pPr>
            <w:r w:rsidRPr="002A5708">
              <w:rPr>
                <w:rFonts w:ascii="Arial" w:eastAsia="Arial Unicode MS" w:hAnsi="Arial" w:cs="Arial"/>
                <w:b/>
                <w:sz w:val="22"/>
                <w:szCs w:val="22"/>
              </w:rPr>
              <w:t>120</w:t>
            </w:r>
          </w:p>
        </w:tc>
        <w:tc>
          <w:tcPr>
            <w:tcW w:w="1170" w:type="dxa"/>
            <w:shd w:val="pct35" w:color="auto" w:fill="FFFFFF"/>
          </w:tcPr>
          <w:p w:rsidR="008B7707" w:rsidRPr="002A5708" w:rsidRDefault="008B7707" w:rsidP="00DD5009">
            <w:pPr>
              <w:pStyle w:val="BodyTextIndent"/>
              <w:ind w:left="0"/>
              <w:jc w:val="center"/>
              <w:rPr>
                <w:rFonts w:ascii="Arial" w:eastAsia="Arial Unicode MS" w:hAnsi="Arial" w:cs="Arial"/>
                <w:b/>
                <w:szCs w:val="22"/>
              </w:rPr>
            </w:pPr>
          </w:p>
        </w:tc>
        <w:tc>
          <w:tcPr>
            <w:tcW w:w="1260" w:type="dxa"/>
            <w:shd w:val="pct35" w:color="auto" w:fill="FFFFFF"/>
          </w:tcPr>
          <w:p w:rsidR="008B7707" w:rsidRPr="002A5708" w:rsidRDefault="008B7707" w:rsidP="00DD5009">
            <w:pPr>
              <w:pStyle w:val="BodyTextIndent"/>
              <w:ind w:left="0"/>
              <w:jc w:val="center"/>
              <w:rPr>
                <w:rFonts w:ascii="Arial" w:eastAsia="Arial Unicode MS" w:hAnsi="Arial" w:cs="Arial"/>
                <w:b/>
                <w:szCs w:val="22"/>
              </w:rPr>
            </w:pPr>
            <w:r w:rsidRPr="002A5708">
              <w:rPr>
                <w:rFonts w:ascii="Arial" w:eastAsia="Arial Unicode MS" w:hAnsi="Arial" w:cs="Arial"/>
                <w:b/>
                <w:sz w:val="22"/>
                <w:szCs w:val="22"/>
              </w:rPr>
              <w:t>$2,640</w:t>
            </w:r>
          </w:p>
        </w:tc>
      </w:tr>
    </w:tbl>
    <w:p w:rsidR="00386054" w:rsidRPr="008B7707" w:rsidRDefault="00386054">
      <w:pPr>
        <w:suppressAutoHyphens/>
        <w:rPr>
          <w:rFonts w:ascii="Arial" w:hAnsi="Arial" w:cs="Arial"/>
          <w:sz w:val="22"/>
          <w:szCs w:val="22"/>
        </w:rPr>
      </w:pPr>
    </w:p>
    <w:p w:rsidR="00386054" w:rsidRPr="00EF7FF5" w:rsidRDefault="00386054">
      <w:pPr>
        <w:tabs>
          <w:tab w:val="left" w:pos="-720"/>
        </w:tabs>
        <w:suppressAutoHyphens/>
        <w:rPr>
          <w:rFonts w:ascii="Times New Roman" w:hAnsi="Times New Roman"/>
          <w:szCs w:val="24"/>
        </w:rPr>
      </w:pPr>
    </w:p>
    <w:p w:rsidR="00386054" w:rsidRPr="002A5708" w:rsidRDefault="00386054">
      <w:pPr>
        <w:tabs>
          <w:tab w:val="left" w:pos="-720"/>
        </w:tabs>
        <w:suppressAutoHyphens/>
        <w:rPr>
          <w:rFonts w:ascii="Times New Roman" w:hAnsi="Times New Roman"/>
          <w:b/>
          <w:szCs w:val="24"/>
        </w:rPr>
      </w:pPr>
      <w:r w:rsidRPr="002A5708">
        <w:rPr>
          <w:rFonts w:ascii="Times New Roman" w:hAnsi="Times New Roman"/>
          <w:b/>
          <w:szCs w:val="24"/>
        </w:rPr>
        <w:t xml:space="preserve">13.  </w:t>
      </w:r>
      <w:r w:rsidRPr="002A5708">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980896" w:rsidRDefault="00980896" w:rsidP="00980896">
      <w:pPr>
        <w:pStyle w:val="BodyTextIndent"/>
        <w:ind w:left="720" w:hanging="720"/>
        <w:rPr>
          <w:rFonts w:ascii="Arial" w:eastAsia="Arial Unicode MS" w:hAnsi="Arial" w:cs="Arial"/>
          <w:sz w:val="22"/>
        </w:rPr>
      </w:pPr>
      <w:r>
        <w:rPr>
          <w:rFonts w:ascii="Arial" w:eastAsia="Arial Unicode MS" w:hAnsi="Arial" w:cs="Arial"/>
          <w:sz w:val="22"/>
        </w:rPr>
        <w:t>The only costs would be for customary and usual business practices.</w:t>
      </w:r>
    </w:p>
    <w:p w:rsidR="00980896" w:rsidRPr="00EF7FF5" w:rsidRDefault="00980896">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b/>
          <w:szCs w:val="24"/>
        </w:rPr>
      </w:pPr>
      <w:r w:rsidRPr="00980896">
        <w:rPr>
          <w:rFonts w:ascii="Times New Roman" w:hAnsi="Times New Roman"/>
          <w:b/>
          <w:szCs w:val="24"/>
        </w:rPr>
        <w:t>14.</w:t>
      </w:r>
      <w:r w:rsidR="008B7707" w:rsidRPr="00980896">
        <w:rPr>
          <w:rFonts w:ascii="Times New Roman" w:hAnsi="Times New Roman"/>
          <w:b/>
          <w:szCs w:val="24"/>
        </w:rPr>
        <w:t xml:space="preserve"> </w:t>
      </w:r>
      <w:r w:rsidRPr="00980896">
        <w:rPr>
          <w:rFonts w:ascii="Times New Roman" w:hAnsi="Times New Roman"/>
          <w:b/>
          <w:szCs w:val="24"/>
        </w:rPr>
        <w:t xml:space="preserve"> </w:t>
      </w:r>
      <w:r w:rsidRPr="00980896">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80896" w:rsidRDefault="00980896">
      <w:pPr>
        <w:tabs>
          <w:tab w:val="left" w:pos="-720"/>
        </w:tabs>
        <w:suppressAutoHyphens/>
        <w:rPr>
          <w:rStyle w:val="a"/>
          <w:rFonts w:ascii="Times New Roman" w:hAnsi="Times New Roman"/>
          <w:b/>
          <w:szCs w:val="24"/>
        </w:rPr>
      </w:pPr>
    </w:p>
    <w:p w:rsidR="00980896" w:rsidRPr="00980896" w:rsidRDefault="00980896">
      <w:pPr>
        <w:tabs>
          <w:tab w:val="left" w:pos="-720"/>
        </w:tabs>
        <w:suppressAutoHyphens/>
        <w:rPr>
          <w:rFonts w:ascii="Times New Roman" w:hAnsi="Times New Roman"/>
          <w:szCs w:val="24"/>
        </w:rPr>
      </w:pPr>
      <w:r w:rsidRPr="00980896">
        <w:rPr>
          <w:rStyle w:val="a"/>
          <w:rFonts w:ascii="Arial" w:hAnsi="Arial" w:cs="Arial"/>
          <w:iCs/>
          <w:sz w:val="22"/>
        </w:rPr>
        <w:t>Estimates of annualized cost to the Federal government:</w:t>
      </w:r>
    </w:p>
    <w:p w:rsidR="00386054" w:rsidRPr="00EF7FF5" w:rsidRDefault="00386054">
      <w:pPr>
        <w:tabs>
          <w:tab w:val="left" w:pos="-720"/>
        </w:tabs>
        <w:suppressAutoHyphens/>
        <w:rPr>
          <w:rFonts w:ascii="Times New Roman" w:hAnsi="Times New Roman"/>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77"/>
        <w:gridCol w:w="1063"/>
        <w:gridCol w:w="991"/>
        <w:gridCol w:w="1173"/>
        <w:gridCol w:w="1476"/>
        <w:gridCol w:w="1476"/>
      </w:tblGrid>
      <w:tr w:rsidR="00980896" w:rsidTr="00DD5009">
        <w:tc>
          <w:tcPr>
            <w:tcW w:w="2677" w:type="dxa"/>
            <w:shd w:val="solid" w:color="000000" w:fill="FFFFFF"/>
          </w:tcPr>
          <w:p w:rsidR="00980896" w:rsidRDefault="00980896" w:rsidP="00DD5009">
            <w:pPr>
              <w:pStyle w:val="BodyTextIndent"/>
              <w:ind w:left="0"/>
              <w:jc w:val="center"/>
              <w:rPr>
                <w:rFonts w:ascii="Arial" w:eastAsia="Arial Unicode MS" w:hAnsi="Arial" w:cs="Arial"/>
                <w:b/>
              </w:rPr>
            </w:pPr>
            <w:r>
              <w:rPr>
                <w:rFonts w:ascii="Arial" w:eastAsia="Arial Unicode MS" w:hAnsi="Arial" w:cs="Arial"/>
                <w:b/>
                <w:sz w:val="22"/>
              </w:rPr>
              <w:t>Task</w:t>
            </w:r>
          </w:p>
        </w:tc>
        <w:tc>
          <w:tcPr>
            <w:tcW w:w="1063" w:type="dxa"/>
            <w:shd w:val="solid" w:color="000000" w:fill="FFFFFF"/>
          </w:tcPr>
          <w:p w:rsidR="00980896" w:rsidRDefault="00980896" w:rsidP="00DD5009">
            <w:pPr>
              <w:pStyle w:val="BodyTextIndent"/>
              <w:ind w:left="0"/>
              <w:jc w:val="center"/>
              <w:rPr>
                <w:rFonts w:ascii="Arial" w:eastAsia="Arial Unicode MS" w:hAnsi="Arial" w:cs="Arial"/>
                <w:b/>
              </w:rPr>
            </w:pPr>
            <w:r>
              <w:rPr>
                <w:rFonts w:ascii="Arial" w:eastAsia="Arial Unicode MS" w:hAnsi="Arial" w:cs="Arial"/>
                <w:b/>
                <w:sz w:val="22"/>
              </w:rPr>
              <w:t>Cost</w:t>
            </w:r>
          </w:p>
        </w:tc>
        <w:tc>
          <w:tcPr>
            <w:tcW w:w="991" w:type="dxa"/>
            <w:shd w:val="solid" w:color="000000" w:fill="FFFFFF"/>
          </w:tcPr>
          <w:p w:rsidR="00980896" w:rsidRDefault="00980896" w:rsidP="00DD5009">
            <w:pPr>
              <w:pStyle w:val="BodyTextIndent"/>
              <w:ind w:left="0"/>
              <w:jc w:val="center"/>
              <w:rPr>
                <w:rFonts w:ascii="Arial" w:eastAsia="Arial Unicode MS" w:hAnsi="Arial" w:cs="Arial"/>
                <w:b/>
              </w:rPr>
            </w:pPr>
            <w:r>
              <w:rPr>
                <w:rFonts w:ascii="Arial" w:eastAsia="Arial Unicode MS" w:hAnsi="Arial" w:cs="Arial"/>
                <w:b/>
                <w:sz w:val="22"/>
              </w:rPr>
              <w:t>Hours</w:t>
            </w:r>
          </w:p>
        </w:tc>
        <w:tc>
          <w:tcPr>
            <w:tcW w:w="1173" w:type="dxa"/>
            <w:shd w:val="solid" w:color="000000" w:fill="FFFFFF"/>
          </w:tcPr>
          <w:p w:rsidR="00980896" w:rsidRDefault="00980896" w:rsidP="00DD5009">
            <w:pPr>
              <w:pStyle w:val="BodyTextIndent"/>
              <w:ind w:left="0"/>
              <w:jc w:val="center"/>
              <w:rPr>
                <w:rFonts w:ascii="Arial" w:eastAsia="Arial Unicode MS" w:hAnsi="Arial" w:cs="Arial"/>
                <w:b/>
              </w:rPr>
            </w:pPr>
            <w:r>
              <w:rPr>
                <w:rFonts w:ascii="Arial" w:eastAsia="Arial Unicode MS" w:hAnsi="Arial" w:cs="Arial"/>
                <w:b/>
                <w:sz w:val="22"/>
              </w:rPr>
              <w:t>Number</w:t>
            </w:r>
          </w:p>
        </w:tc>
        <w:tc>
          <w:tcPr>
            <w:tcW w:w="1476" w:type="dxa"/>
            <w:shd w:val="solid" w:color="000000" w:fill="FFFFFF"/>
          </w:tcPr>
          <w:p w:rsidR="00980896" w:rsidRDefault="00980896" w:rsidP="00DD5009">
            <w:pPr>
              <w:pStyle w:val="BodyTextIndent"/>
              <w:ind w:left="0"/>
              <w:jc w:val="center"/>
              <w:rPr>
                <w:rFonts w:ascii="Arial" w:eastAsia="Arial Unicode MS" w:hAnsi="Arial" w:cs="Arial"/>
                <w:b/>
              </w:rPr>
            </w:pPr>
            <w:r>
              <w:rPr>
                <w:rFonts w:ascii="Arial" w:eastAsia="Arial Unicode MS" w:hAnsi="Arial" w:cs="Arial"/>
                <w:b/>
                <w:sz w:val="22"/>
              </w:rPr>
              <w:t>Hours Total</w:t>
            </w:r>
          </w:p>
        </w:tc>
        <w:tc>
          <w:tcPr>
            <w:tcW w:w="1476" w:type="dxa"/>
            <w:shd w:val="solid" w:color="000000" w:fill="FFFFFF"/>
          </w:tcPr>
          <w:p w:rsidR="00980896" w:rsidRDefault="00980896" w:rsidP="00DD5009">
            <w:pPr>
              <w:pStyle w:val="BodyTextIndent"/>
              <w:ind w:left="0"/>
              <w:jc w:val="center"/>
              <w:rPr>
                <w:rFonts w:ascii="Arial" w:eastAsia="Arial Unicode MS" w:hAnsi="Arial" w:cs="Arial"/>
                <w:b/>
              </w:rPr>
            </w:pPr>
            <w:r>
              <w:rPr>
                <w:rFonts w:ascii="Arial" w:eastAsia="Arial Unicode MS" w:hAnsi="Arial" w:cs="Arial"/>
                <w:b/>
                <w:sz w:val="22"/>
              </w:rPr>
              <w:t>Total Cost to USG</w:t>
            </w:r>
          </w:p>
        </w:tc>
      </w:tr>
      <w:tr w:rsidR="00980896" w:rsidTr="00DD5009">
        <w:tc>
          <w:tcPr>
            <w:tcW w:w="2677" w:type="dxa"/>
          </w:tcPr>
          <w:p w:rsidR="00980896" w:rsidRDefault="00980896" w:rsidP="00DD5009">
            <w:pPr>
              <w:pStyle w:val="BodyTextIndent"/>
              <w:ind w:left="0"/>
              <w:jc w:val="center"/>
              <w:rPr>
                <w:rFonts w:ascii="Arial" w:eastAsia="Arial Unicode MS" w:hAnsi="Arial" w:cs="Arial"/>
              </w:rPr>
            </w:pPr>
            <w:r>
              <w:rPr>
                <w:rFonts w:ascii="Arial" w:eastAsia="Arial Unicode MS" w:hAnsi="Arial" w:cs="Arial"/>
                <w:sz w:val="22"/>
              </w:rPr>
              <w:t>Securing OMB approval (every 3 years)</w:t>
            </w:r>
          </w:p>
        </w:tc>
        <w:tc>
          <w:tcPr>
            <w:tcW w:w="1063" w:type="dxa"/>
          </w:tcPr>
          <w:p w:rsidR="00980896" w:rsidRDefault="00980896" w:rsidP="00DD5009">
            <w:pPr>
              <w:pStyle w:val="BodyTextIndent"/>
              <w:ind w:left="0"/>
              <w:jc w:val="center"/>
              <w:rPr>
                <w:rFonts w:ascii="Arial" w:eastAsia="Arial Unicode MS" w:hAnsi="Arial" w:cs="Arial"/>
              </w:rPr>
            </w:pPr>
            <w:r>
              <w:rPr>
                <w:rFonts w:ascii="Arial" w:eastAsia="Arial Unicode MS" w:hAnsi="Arial" w:cs="Arial"/>
                <w:sz w:val="22"/>
              </w:rPr>
              <w:t>$42/hr</w:t>
            </w:r>
          </w:p>
        </w:tc>
        <w:tc>
          <w:tcPr>
            <w:tcW w:w="991" w:type="dxa"/>
          </w:tcPr>
          <w:p w:rsidR="00980896" w:rsidRDefault="00980896" w:rsidP="00DD5009">
            <w:pPr>
              <w:pStyle w:val="BodyTextIndent"/>
              <w:ind w:left="0"/>
              <w:jc w:val="center"/>
              <w:rPr>
                <w:rFonts w:ascii="Arial" w:eastAsia="Arial Unicode MS" w:hAnsi="Arial" w:cs="Arial"/>
              </w:rPr>
            </w:pPr>
            <w:r>
              <w:rPr>
                <w:rFonts w:ascii="Arial" w:eastAsia="Arial Unicode MS" w:hAnsi="Arial" w:cs="Arial"/>
                <w:sz w:val="22"/>
              </w:rPr>
              <w:t>55</w:t>
            </w:r>
          </w:p>
        </w:tc>
        <w:tc>
          <w:tcPr>
            <w:tcW w:w="1173" w:type="dxa"/>
          </w:tcPr>
          <w:p w:rsidR="00980896" w:rsidRDefault="00980896" w:rsidP="00DD5009">
            <w:pPr>
              <w:pStyle w:val="BodyTextIndent"/>
              <w:ind w:left="0"/>
              <w:jc w:val="center"/>
              <w:rPr>
                <w:rFonts w:ascii="Arial" w:eastAsia="Arial Unicode MS" w:hAnsi="Arial" w:cs="Arial"/>
              </w:rPr>
            </w:pPr>
          </w:p>
          <w:p w:rsidR="00980896" w:rsidRDefault="00980896" w:rsidP="00DD5009">
            <w:pPr>
              <w:jc w:val="center"/>
              <w:rPr>
                <w:rFonts w:ascii="Arial" w:eastAsia="Arial Unicode MS" w:hAnsi="Arial" w:cs="Arial"/>
              </w:rPr>
            </w:pPr>
          </w:p>
        </w:tc>
        <w:tc>
          <w:tcPr>
            <w:tcW w:w="1476" w:type="dxa"/>
          </w:tcPr>
          <w:p w:rsidR="00980896" w:rsidRDefault="00980896" w:rsidP="00DD5009">
            <w:pPr>
              <w:pStyle w:val="BodyTextIndent"/>
              <w:ind w:left="0"/>
              <w:jc w:val="center"/>
              <w:rPr>
                <w:rFonts w:ascii="Arial" w:eastAsia="Arial Unicode MS" w:hAnsi="Arial" w:cs="Arial"/>
              </w:rPr>
            </w:pPr>
            <w:r>
              <w:rPr>
                <w:rFonts w:ascii="Arial" w:eastAsia="Arial Unicode MS" w:hAnsi="Arial" w:cs="Arial"/>
                <w:sz w:val="22"/>
              </w:rPr>
              <w:t>55</w:t>
            </w:r>
          </w:p>
        </w:tc>
        <w:tc>
          <w:tcPr>
            <w:tcW w:w="1476" w:type="dxa"/>
          </w:tcPr>
          <w:p w:rsidR="00980896" w:rsidRDefault="00980896" w:rsidP="00DD5009">
            <w:pPr>
              <w:pStyle w:val="BodyTextIndent"/>
              <w:ind w:left="0"/>
              <w:jc w:val="center"/>
              <w:rPr>
                <w:rFonts w:ascii="Arial" w:eastAsia="Arial Unicode MS" w:hAnsi="Arial" w:cs="Arial"/>
              </w:rPr>
            </w:pPr>
            <w:r>
              <w:rPr>
                <w:rFonts w:ascii="Arial" w:eastAsia="Arial Unicode MS" w:hAnsi="Arial" w:cs="Arial"/>
                <w:sz w:val="22"/>
              </w:rPr>
              <w:t>$2,310</w:t>
            </w:r>
          </w:p>
        </w:tc>
      </w:tr>
      <w:tr w:rsidR="00980896" w:rsidTr="00DD5009">
        <w:tc>
          <w:tcPr>
            <w:tcW w:w="2677" w:type="dxa"/>
          </w:tcPr>
          <w:p w:rsidR="00980896" w:rsidRDefault="00980896" w:rsidP="00DD5009">
            <w:pPr>
              <w:pStyle w:val="BodyTextIndent"/>
              <w:ind w:left="0"/>
              <w:jc w:val="center"/>
              <w:rPr>
                <w:rFonts w:ascii="Arial" w:eastAsia="Arial Unicode MS" w:hAnsi="Arial" w:cs="Arial"/>
              </w:rPr>
            </w:pPr>
            <w:r>
              <w:rPr>
                <w:rFonts w:ascii="Arial" w:eastAsia="Arial Unicode MS" w:hAnsi="Arial" w:cs="Arial"/>
                <w:sz w:val="22"/>
              </w:rPr>
              <w:t>Reports Design (every 3 years)</w:t>
            </w:r>
          </w:p>
        </w:tc>
        <w:tc>
          <w:tcPr>
            <w:tcW w:w="1063" w:type="dxa"/>
          </w:tcPr>
          <w:p w:rsidR="00980896" w:rsidRDefault="00980896" w:rsidP="00DD5009">
            <w:pPr>
              <w:pStyle w:val="BodyTextIndent"/>
              <w:ind w:left="0"/>
              <w:jc w:val="center"/>
              <w:rPr>
                <w:rFonts w:ascii="Arial" w:eastAsia="Arial Unicode MS" w:hAnsi="Arial" w:cs="Arial"/>
              </w:rPr>
            </w:pPr>
            <w:r>
              <w:rPr>
                <w:rFonts w:ascii="Arial" w:eastAsia="Arial Unicode MS" w:hAnsi="Arial" w:cs="Arial"/>
                <w:sz w:val="22"/>
              </w:rPr>
              <w:t>$42/hr</w:t>
            </w:r>
          </w:p>
        </w:tc>
        <w:tc>
          <w:tcPr>
            <w:tcW w:w="991" w:type="dxa"/>
          </w:tcPr>
          <w:p w:rsidR="00980896" w:rsidRDefault="00980896" w:rsidP="00DD5009">
            <w:pPr>
              <w:pStyle w:val="BodyTextIndent"/>
              <w:ind w:left="0"/>
              <w:jc w:val="center"/>
              <w:rPr>
                <w:rFonts w:ascii="Arial" w:eastAsia="Arial Unicode MS" w:hAnsi="Arial" w:cs="Arial"/>
              </w:rPr>
            </w:pPr>
            <w:r>
              <w:rPr>
                <w:rFonts w:ascii="Arial" w:eastAsia="Arial Unicode MS" w:hAnsi="Arial" w:cs="Arial"/>
                <w:sz w:val="22"/>
              </w:rPr>
              <w:t>16</w:t>
            </w:r>
          </w:p>
        </w:tc>
        <w:tc>
          <w:tcPr>
            <w:tcW w:w="1173" w:type="dxa"/>
          </w:tcPr>
          <w:p w:rsidR="00980896" w:rsidRDefault="00980896" w:rsidP="00DD5009">
            <w:pPr>
              <w:pStyle w:val="BodyTextIndent"/>
              <w:ind w:left="0"/>
              <w:jc w:val="center"/>
              <w:rPr>
                <w:rFonts w:ascii="Arial" w:eastAsia="Arial Unicode MS" w:hAnsi="Arial" w:cs="Arial"/>
              </w:rPr>
            </w:pPr>
          </w:p>
        </w:tc>
        <w:tc>
          <w:tcPr>
            <w:tcW w:w="1476" w:type="dxa"/>
          </w:tcPr>
          <w:p w:rsidR="00980896" w:rsidRDefault="00980896" w:rsidP="00DD5009">
            <w:pPr>
              <w:pStyle w:val="BodyTextIndent"/>
              <w:ind w:left="0"/>
              <w:jc w:val="center"/>
              <w:rPr>
                <w:rFonts w:ascii="Arial" w:eastAsia="Arial Unicode MS" w:hAnsi="Arial" w:cs="Arial"/>
              </w:rPr>
            </w:pPr>
            <w:r>
              <w:rPr>
                <w:rFonts w:ascii="Arial" w:eastAsia="Arial Unicode MS" w:hAnsi="Arial" w:cs="Arial"/>
                <w:sz w:val="22"/>
              </w:rPr>
              <w:t>16</w:t>
            </w:r>
          </w:p>
        </w:tc>
        <w:tc>
          <w:tcPr>
            <w:tcW w:w="1476" w:type="dxa"/>
          </w:tcPr>
          <w:p w:rsidR="00980896" w:rsidRDefault="00980896" w:rsidP="00DD5009">
            <w:pPr>
              <w:pStyle w:val="BodyTextIndent"/>
              <w:ind w:left="0"/>
              <w:jc w:val="center"/>
              <w:rPr>
                <w:rFonts w:ascii="Arial" w:eastAsia="Arial Unicode MS" w:hAnsi="Arial" w:cs="Arial"/>
              </w:rPr>
            </w:pPr>
            <w:r>
              <w:rPr>
                <w:rFonts w:ascii="Arial" w:eastAsia="Arial Unicode MS" w:hAnsi="Arial" w:cs="Arial"/>
                <w:sz w:val="22"/>
              </w:rPr>
              <w:t>$672</w:t>
            </w:r>
          </w:p>
        </w:tc>
      </w:tr>
      <w:tr w:rsidR="00980896" w:rsidTr="00DD5009">
        <w:tc>
          <w:tcPr>
            <w:tcW w:w="2677" w:type="dxa"/>
          </w:tcPr>
          <w:p w:rsidR="00980896" w:rsidRDefault="00980896" w:rsidP="00DD5009">
            <w:pPr>
              <w:pStyle w:val="BodyTextIndent"/>
              <w:ind w:left="0"/>
              <w:jc w:val="center"/>
              <w:rPr>
                <w:rFonts w:ascii="Arial" w:eastAsia="Arial Unicode MS" w:hAnsi="Arial" w:cs="Arial"/>
              </w:rPr>
            </w:pPr>
            <w:r>
              <w:rPr>
                <w:rFonts w:ascii="Arial" w:eastAsia="Arial Unicode MS" w:hAnsi="Arial" w:cs="Arial"/>
                <w:sz w:val="22"/>
              </w:rPr>
              <w:t>Review Of Forms by Staff</w:t>
            </w:r>
          </w:p>
        </w:tc>
        <w:tc>
          <w:tcPr>
            <w:tcW w:w="1063" w:type="dxa"/>
          </w:tcPr>
          <w:p w:rsidR="00980896" w:rsidRDefault="00980896" w:rsidP="00DD5009">
            <w:pPr>
              <w:pStyle w:val="BodyTextIndent"/>
              <w:ind w:left="0"/>
              <w:jc w:val="center"/>
              <w:rPr>
                <w:rFonts w:ascii="Arial" w:eastAsia="Arial Unicode MS" w:hAnsi="Arial" w:cs="Arial"/>
              </w:rPr>
            </w:pPr>
            <w:r>
              <w:rPr>
                <w:rFonts w:ascii="Arial" w:eastAsia="Arial Unicode MS" w:hAnsi="Arial" w:cs="Arial"/>
                <w:sz w:val="22"/>
              </w:rPr>
              <w:t>$42/hr</w:t>
            </w:r>
          </w:p>
        </w:tc>
        <w:tc>
          <w:tcPr>
            <w:tcW w:w="991" w:type="dxa"/>
          </w:tcPr>
          <w:p w:rsidR="00980896" w:rsidRDefault="00980896" w:rsidP="00DD5009">
            <w:pPr>
              <w:pStyle w:val="BodyTextIndent"/>
              <w:ind w:left="0"/>
              <w:jc w:val="center"/>
              <w:rPr>
                <w:rFonts w:ascii="Arial" w:eastAsia="Arial Unicode MS" w:hAnsi="Arial" w:cs="Arial"/>
              </w:rPr>
            </w:pPr>
            <w:r>
              <w:rPr>
                <w:rFonts w:ascii="Arial" w:eastAsia="Arial Unicode MS" w:hAnsi="Arial" w:cs="Arial"/>
                <w:sz w:val="22"/>
              </w:rPr>
              <w:t>2 each</w:t>
            </w:r>
          </w:p>
        </w:tc>
        <w:tc>
          <w:tcPr>
            <w:tcW w:w="1173" w:type="dxa"/>
          </w:tcPr>
          <w:p w:rsidR="00980896" w:rsidRDefault="00980896" w:rsidP="00DD5009">
            <w:pPr>
              <w:pStyle w:val="BodyTextIndent"/>
              <w:ind w:left="0"/>
              <w:jc w:val="center"/>
              <w:rPr>
                <w:rFonts w:ascii="Arial" w:eastAsia="Arial Unicode MS" w:hAnsi="Arial" w:cs="Arial"/>
              </w:rPr>
            </w:pPr>
            <w:r>
              <w:rPr>
                <w:rFonts w:ascii="Arial" w:eastAsia="Arial Unicode MS" w:hAnsi="Arial" w:cs="Arial"/>
                <w:sz w:val="22"/>
              </w:rPr>
              <w:t>20</w:t>
            </w:r>
          </w:p>
          <w:p w:rsidR="00980896" w:rsidRDefault="00980896" w:rsidP="00DD5009">
            <w:pPr>
              <w:pStyle w:val="BodyTextIndent"/>
              <w:ind w:left="0"/>
              <w:jc w:val="center"/>
              <w:rPr>
                <w:rFonts w:ascii="Arial" w:eastAsia="Arial Unicode MS" w:hAnsi="Arial" w:cs="Arial"/>
              </w:rPr>
            </w:pPr>
          </w:p>
        </w:tc>
        <w:tc>
          <w:tcPr>
            <w:tcW w:w="1476" w:type="dxa"/>
          </w:tcPr>
          <w:p w:rsidR="00980896" w:rsidRDefault="00980896" w:rsidP="00DD5009">
            <w:pPr>
              <w:pStyle w:val="BodyTextIndent"/>
              <w:ind w:left="0"/>
              <w:jc w:val="center"/>
              <w:rPr>
                <w:rFonts w:ascii="Arial" w:eastAsia="Arial Unicode MS" w:hAnsi="Arial" w:cs="Arial"/>
              </w:rPr>
            </w:pPr>
            <w:r>
              <w:rPr>
                <w:rFonts w:ascii="Arial" w:eastAsia="Arial Unicode MS" w:hAnsi="Arial" w:cs="Arial"/>
                <w:sz w:val="22"/>
              </w:rPr>
              <w:t>40</w:t>
            </w:r>
          </w:p>
        </w:tc>
        <w:tc>
          <w:tcPr>
            <w:tcW w:w="1476" w:type="dxa"/>
          </w:tcPr>
          <w:p w:rsidR="00980896" w:rsidRDefault="00980896" w:rsidP="00DD5009">
            <w:pPr>
              <w:pStyle w:val="BodyTextIndent"/>
              <w:ind w:left="0"/>
              <w:jc w:val="center"/>
              <w:rPr>
                <w:rFonts w:ascii="Arial" w:eastAsia="Arial Unicode MS" w:hAnsi="Arial" w:cs="Arial"/>
              </w:rPr>
            </w:pPr>
            <w:r>
              <w:rPr>
                <w:rFonts w:ascii="Arial" w:eastAsia="Arial Unicode MS" w:hAnsi="Arial" w:cs="Arial"/>
                <w:sz w:val="22"/>
              </w:rPr>
              <w:t>$1,680</w:t>
            </w:r>
          </w:p>
        </w:tc>
      </w:tr>
      <w:tr w:rsidR="00980896" w:rsidTr="00DD5009">
        <w:tc>
          <w:tcPr>
            <w:tcW w:w="2677" w:type="dxa"/>
            <w:tcBorders>
              <w:top w:val="single" w:sz="6" w:space="0" w:color="auto"/>
              <w:left w:val="single" w:sz="6" w:space="0" w:color="auto"/>
              <w:bottom w:val="single" w:sz="6" w:space="0" w:color="auto"/>
              <w:right w:val="single" w:sz="6" w:space="0" w:color="auto"/>
            </w:tcBorders>
            <w:shd w:val="pct35" w:color="auto" w:fill="FFFFFF"/>
          </w:tcPr>
          <w:p w:rsidR="00980896" w:rsidRPr="00980896" w:rsidRDefault="00980896" w:rsidP="009F3046">
            <w:pPr>
              <w:pStyle w:val="BodyTextIndent"/>
              <w:ind w:left="0"/>
              <w:jc w:val="center"/>
              <w:rPr>
                <w:rFonts w:ascii="Arial" w:eastAsia="Arial Unicode MS" w:hAnsi="Arial" w:cs="Arial"/>
                <w:b/>
              </w:rPr>
            </w:pPr>
            <w:r w:rsidRPr="00980896">
              <w:rPr>
                <w:rFonts w:ascii="Arial" w:eastAsia="Arial Unicode MS" w:hAnsi="Arial" w:cs="Arial"/>
                <w:b/>
                <w:sz w:val="22"/>
              </w:rPr>
              <w:t>Total</w:t>
            </w:r>
            <w:r w:rsidR="009F3046">
              <w:rPr>
                <w:rFonts w:ascii="Arial" w:eastAsia="Arial Unicode MS" w:hAnsi="Arial" w:cs="Arial"/>
                <w:b/>
                <w:sz w:val="22"/>
              </w:rPr>
              <w:t>s</w:t>
            </w:r>
          </w:p>
        </w:tc>
        <w:tc>
          <w:tcPr>
            <w:tcW w:w="1063" w:type="dxa"/>
            <w:tcBorders>
              <w:top w:val="single" w:sz="6" w:space="0" w:color="auto"/>
              <w:left w:val="single" w:sz="6" w:space="0" w:color="auto"/>
              <w:bottom w:val="single" w:sz="6" w:space="0" w:color="auto"/>
              <w:right w:val="single" w:sz="6" w:space="0" w:color="auto"/>
            </w:tcBorders>
            <w:shd w:val="pct35" w:color="auto" w:fill="FFFFFF"/>
          </w:tcPr>
          <w:p w:rsidR="00980896" w:rsidRPr="00980896" w:rsidRDefault="00980896" w:rsidP="00DD5009">
            <w:pPr>
              <w:pStyle w:val="BodyTextIndent"/>
              <w:ind w:left="0"/>
              <w:rPr>
                <w:rFonts w:ascii="Arial" w:eastAsia="Arial Unicode MS" w:hAnsi="Arial" w:cs="Arial"/>
                <w:b/>
              </w:rPr>
            </w:pPr>
          </w:p>
        </w:tc>
        <w:tc>
          <w:tcPr>
            <w:tcW w:w="991" w:type="dxa"/>
            <w:tcBorders>
              <w:top w:val="single" w:sz="6" w:space="0" w:color="auto"/>
              <w:left w:val="single" w:sz="6" w:space="0" w:color="auto"/>
              <w:bottom w:val="single" w:sz="6" w:space="0" w:color="auto"/>
              <w:right w:val="single" w:sz="6" w:space="0" w:color="auto"/>
            </w:tcBorders>
            <w:shd w:val="pct35" w:color="auto" w:fill="FFFFFF"/>
          </w:tcPr>
          <w:p w:rsidR="00980896" w:rsidRPr="00980896" w:rsidRDefault="00980896" w:rsidP="00DD5009">
            <w:pPr>
              <w:pStyle w:val="BodyTextIndent"/>
              <w:ind w:left="0"/>
              <w:jc w:val="center"/>
              <w:rPr>
                <w:rFonts w:ascii="Arial" w:eastAsia="Arial Unicode MS" w:hAnsi="Arial" w:cs="Arial"/>
                <w:b/>
              </w:rPr>
            </w:pPr>
          </w:p>
        </w:tc>
        <w:tc>
          <w:tcPr>
            <w:tcW w:w="1173" w:type="dxa"/>
            <w:tcBorders>
              <w:top w:val="single" w:sz="6" w:space="0" w:color="auto"/>
              <w:left w:val="single" w:sz="6" w:space="0" w:color="auto"/>
              <w:bottom w:val="single" w:sz="6" w:space="0" w:color="auto"/>
              <w:right w:val="single" w:sz="6" w:space="0" w:color="auto"/>
            </w:tcBorders>
            <w:shd w:val="pct35" w:color="auto" w:fill="FFFFFF"/>
          </w:tcPr>
          <w:p w:rsidR="00980896" w:rsidRPr="00980896" w:rsidRDefault="00980896" w:rsidP="00DD5009">
            <w:pPr>
              <w:pStyle w:val="BodyTextIndent"/>
              <w:ind w:left="0"/>
              <w:rPr>
                <w:rFonts w:ascii="Arial" w:eastAsia="Arial Unicode MS" w:hAnsi="Arial" w:cs="Arial"/>
                <w:b/>
              </w:rPr>
            </w:pPr>
          </w:p>
        </w:tc>
        <w:tc>
          <w:tcPr>
            <w:tcW w:w="1476" w:type="dxa"/>
            <w:tcBorders>
              <w:top w:val="single" w:sz="6" w:space="0" w:color="auto"/>
              <w:left w:val="single" w:sz="6" w:space="0" w:color="auto"/>
              <w:bottom w:val="single" w:sz="6" w:space="0" w:color="auto"/>
              <w:right w:val="single" w:sz="6" w:space="0" w:color="auto"/>
            </w:tcBorders>
            <w:shd w:val="pct35" w:color="auto" w:fill="FFFFFF"/>
          </w:tcPr>
          <w:p w:rsidR="00980896" w:rsidRPr="00980896" w:rsidRDefault="00980896" w:rsidP="00DD5009">
            <w:pPr>
              <w:pStyle w:val="BodyTextIndent"/>
              <w:ind w:left="0"/>
              <w:rPr>
                <w:rFonts w:ascii="Arial" w:eastAsia="Arial Unicode MS" w:hAnsi="Arial" w:cs="Arial"/>
                <w:b/>
              </w:rPr>
            </w:pPr>
          </w:p>
        </w:tc>
        <w:tc>
          <w:tcPr>
            <w:tcW w:w="1476" w:type="dxa"/>
            <w:tcBorders>
              <w:top w:val="single" w:sz="6" w:space="0" w:color="auto"/>
              <w:left w:val="single" w:sz="6" w:space="0" w:color="auto"/>
              <w:bottom w:val="single" w:sz="6" w:space="0" w:color="auto"/>
              <w:right w:val="single" w:sz="6" w:space="0" w:color="auto"/>
            </w:tcBorders>
            <w:shd w:val="pct35" w:color="auto" w:fill="FFFFFF"/>
          </w:tcPr>
          <w:p w:rsidR="00980896" w:rsidRPr="00980896" w:rsidRDefault="00980896" w:rsidP="00DD5009">
            <w:pPr>
              <w:pStyle w:val="BodyTextIndent"/>
              <w:ind w:left="0"/>
              <w:jc w:val="center"/>
              <w:rPr>
                <w:rFonts w:ascii="Arial" w:eastAsia="Arial Unicode MS" w:hAnsi="Arial" w:cs="Arial"/>
                <w:b/>
              </w:rPr>
            </w:pPr>
            <w:r w:rsidRPr="00980896">
              <w:rPr>
                <w:rFonts w:ascii="Arial" w:eastAsia="Arial Unicode MS" w:hAnsi="Arial" w:cs="Arial"/>
                <w:b/>
                <w:sz w:val="22"/>
              </w:rPr>
              <w:t>$4,662</w:t>
            </w:r>
          </w:p>
        </w:tc>
      </w:tr>
    </w:tbl>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980896" w:rsidRDefault="00386054">
      <w:pPr>
        <w:tabs>
          <w:tab w:val="left" w:pos="-720"/>
        </w:tabs>
        <w:suppressAutoHyphens/>
        <w:rPr>
          <w:rFonts w:ascii="Times New Roman" w:hAnsi="Times New Roman"/>
          <w:b/>
          <w:szCs w:val="24"/>
        </w:rPr>
      </w:pPr>
      <w:r w:rsidRPr="00980896">
        <w:rPr>
          <w:rFonts w:ascii="Times New Roman" w:hAnsi="Times New Roman"/>
          <w:b/>
          <w:szCs w:val="24"/>
        </w:rPr>
        <w:t>15.</w:t>
      </w:r>
      <w:r w:rsidR="008B7707" w:rsidRPr="00980896">
        <w:rPr>
          <w:rFonts w:ascii="Times New Roman" w:hAnsi="Times New Roman"/>
          <w:b/>
          <w:szCs w:val="24"/>
        </w:rPr>
        <w:t xml:space="preserve"> </w:t>
      </w:r>
      <w:r w:rsidRPr="00980896">
        <w:rPr>
          <w:rFonts w:ascii="Times New Roman" w:hAnsi="Times New Roman"/>
          <w:b/>
          <w:szCs w:val="24"/>
        </w:rPr>
        <w:t xml:space="preserve">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w:t>
      </w:r>
      <w:r w:rsidRPr="00980896">
        <w:rPr>
          <w:rFonts w:ascii="Times New Roman" w:hAnsi="Times New Roman"/>
          <w:b/>
          <w:szCs w:val="24"/>
        </w:rPr>
        <w:lastRenderedPageBreak/>
        <w:t xml:space="preserve">collection (new, revision, extension, reinstatement with change, reinstatement without change) and include </w:t>
      </w:r>
      <w:r w:rsidR="002473CE" w:rsidRPr="00980896">
        <w:rPr>
          <w:rFonts w:ascii="Times New Roman" w:hAnsi="Times New Roman"/>
          <w:b/>
          <w:szCs w:val="24"/>
        </w:rPr>
        <w:t xml:space="preserve">totals for </w:t>
      </w:r>
      <w:r w:rsidRPr="00980896">
        <w:rPr>
          <w:rFonts w:ascii="Times New Roman" w:hAnsi="Times New Roman"/>
          <w:b/>
          <w:szCs w:val="24"/>
        </w:rPr>
        <w:t>changes in burden hours</w:t>
      </w:r>
      <w:r w:rsidR="002473CE" w:rsidRPr="00980896">
        <w:rPr>
          <w:rFonts w:ascii="Times New Roman" w:hAnsi="Times New Roman"/>
          <w:b/>
          <w:szCs w:val="24"/>
        </w:rPr>
        <w:t>, responses</w:t>
      </w:r>
      <w:r w:rsidRPr="00980896">
        <w:rPr>
          <w:rFonts w:ascii="Times New Roman" w:hAnsi="Times New Roman"/>
          <w:b/>
          <w:szCs w:val="24"/>
        </w:rPr>
        <w:t xml:space="preserve"> and cost</w:t>
      </w:r>
      <w:r w:rsidR="002473CE" w:rsidRPr="00980896">
        <w:rPr>
          <w:rFonts w:ascii="Times New Roman" w:hAnsi="Times New Roman"/>
          <w:b/>
          <w:szCs w:val="24"/>
        </w:rPr>
        <w:t>s</w:t>
      </w:r>
      <w:r w:rsidRPr="00980896">
        <w:rPr>
          <w:rFonts w:ascii="Times New Roman" w:hAnsi="Times New Roman"/>
          <w:b/>
          <w:szCs w:val="24"/>
        </w:rPr>
        <w:t xml:space="preserve"> </w:t>
      </w:r>
      <w:r w:rsidR="002473CE" w:rsidRPr="00980896">
        <w:rPr>
          <w:rFonts w:ascii="Times New Roman" w:hAnsi="Times New Roman"/>
          <w:b/>
          <w:szCs w:val="24"/>
        </w:rPr>
        <w:t>(if applicable)</w:t>
      </w:r>
      <w:r w:rsidRPr="00980896">
        <w:rPr>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980896">
      <w:pPr>
        <w:tabs>
          <w:tab w:val="left" w:pos="-720"/>
        </w:tabs>
        <w:suppressAutoHyphens/>
        <w:rPr>
          <w:rFonts w:ascii="Times New Roman" w:hAnsi="Times New Roman"/>
          <w:szCs w:val="24"/>
        </w:rPr>
      </w:pPr>
      <w:r>
        <w:rPr>
          <w:rFonts w:ascii="Arial" w:eastAsia="Arial Unicode MS" w:hAnsi="Arial" w:cs="Arial"/>
          <w:sz w:val="22"/>
        </w:rPr>
        <w:t>There are no program changes or adjustments to the FPR.  The information reflected in this information collection is still based upon the number of grantee institutions submitting this report annually.</w:t>
      </w:r>
    </w:p>
    <w:p w:rsidR="00386054" w:rsidRPr="00EF7FF5" w:rsidRDefault="00386054">
      <w:pPr>
        <w:tabs>
          <w:tab w:val="left" w:pos="-720"/>
        </w:tabs>
        <w:suppressAutoHyphens/>
        <w:rPr>
          <w:rFonts w:ascii="Times New Roman" w:hAnsi="Times New Roman"/>
          <w:szCs w:val="24"/>
        </w:rPr>
      </w:pPr>
    </w:p>
    <w:p w:rsidR="00386054" w:rsidRPr="00980896" w:rsidRDefault="00386054">
      <w:pPr>
        <w:tabs>
          <w:tab w:val="left" w:pos="-720"/>
        </w:tabs>
        <w:suppressAutoHyphens/>
        <w:rPr>
          <w:rFonts w:ascii="Times New Roman" w:hAnsi="Times New Roman"/>
          <w:b/>
          <w:szCs w:val="24"/>
        </w:rPr>
      </w:pPr>
      <w:r w:rsidRPr="00980896">
        <w:rPr>
          <w:rFonts w:ascii="Times New Roman" w:hAnsi="Times New Roman"/>
          <w:b/>
          <w:szCs w:val="24"/>
        </w:rPr>
        <w:t>16.</w:t>
      </w:r>
      <w:r w:rsidR="008B7707" w:rsidRPr="00980896">
        <w:rPr>
          <w:rFonts w:ascii="Times New Roman" w:hAnsi="Times New Roman"/>
          <w:b/>
          <w:szCs w:val="24"/>
        </w:rPr>
        <w:t xml:space="preserve">  </w:t>
      </w:r>
      <w:r w:rsidRPr="00980896">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980896" w:rsidRDefault="00980896" w:rsidP="00980896">
      <w:pPr>
        <w:pStyle w:val="BodyTextIndent"/>
        <w:ind w:left="0"/>
        <w:rPr>
          <w:rFonts w:ascii="Arial" w:eastAsia="Arial Unicode MS" w:hAnsi="Arial" w:cs="Arial"/>
          <w:sz w:val="22"/>
        </w:rPr>
      </w:pPr>
      <w:r>
        <w:rPr>
          <w:rFonts w:ascii="Arial" w:eastAsia="Arial Unicode MS" w:hAnsi="Arial" w:cs="Arial"/>
          <w:sz w:val="22"/>
        </w:rPr>
        <w:t>The U.S. Department of Education does not plan to publish any information from this collection.</w:t>
      </w:r>
    </w:p>
    <w:p w:rsidR="00386054" w:rsidRPr="00EF7FF5" w:rsidRDefault="00386054">
      <w:pPr>
        <w:tabs>
          <w:tab w:val="left" w:pos="-720"/>
        </w:tabs>
        <w:suppressAutoHyphens/>
        <w:rPr>
          <w:rFonts w:ascii="Times New Roman" w:hAnsi="Times New Roman"/>
          <w:szCs w:val="24"/>
        </w:rPr>
      </w:pPr>
    </w:p>
    <w:p w:rsidR="00386054" w:rsidRPr="00980896" w:rsidRDefault="00386054">
      <w:pPr>
        <w:tabs>
          <w:tab w:val="left" w:pos="-720"/>
        </w:tabs>
        <w:suppressAutoHyphens/>
        <w:rPr>
          <w:rFonts w:ascii="Times New Roman" w:hAnsi="Times New Roman"/>
          <w:b/>
          <w:szCs w:val="24"/>
        </w:rPr>
      </w:pPr>
      <w:r w:rsidRPr="00980896">
        <w:rPr>
          <w:rFonts w:ascii="Times New Roman" w:hAnsi="Times New Roman"/>
          <w:b/>
          <w:szCs w:val="24"/>
        </w:rPr>
        <w:t xml:space="preserve">17. </w:t>
      </w:r>
      <w:r w:rsidR="008B7707" w:rsidRPr="00980896">
        <w:rPr>
          <w:rFonts w:ascii="Times New Roman" w:hAnsi="Times New Roman"/>
          <w:b/>
          <w:szCs w:val="24"/>
        </w:rPr>
        <w:t xml:space="preserve"> </w:t>
      </w:r>
      <w:r w:rsidRPr="00980896">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980896" w:rsidRDefault="00980896" w:rsidP="00980896">
      <w:pPr>
        <w:pStyle w:val="BodyTextIndent"/>
        <w:ind w:left="0"/>
        <w:rPr>
          <w:rFonts w:ascii="Arial" w:eastAsia="Arial Unicode MS" w:hAnsi="Arial" w:cs="Arial"/>
          <w:sz w:val="22"/>
        </w:rPr>
      </w:pPr>
      <w:r>
        <w:rPr>
          <w:rFonts w:ascii="Arial" w:eastAsia="Arial Unicode MS" w:hAnsi="Arial" w:cs="Arial"/>
          <w:sz w:val="22"/>
        </w:rPr>
        <w:t>The U.S. Department of Education will display the expiration date for the OMB approval for this data collection.</w:t>
      </w:r>
    </w:p>
    <w:p w:rsidR="00386054" w:rsidRPr="00EF7FF5" w:rsidRDefault="00386054">
      <w:pPr>
        <w:tabs>
          <w:tab w:val="left" w:pos="-720"/>
        </w:tabs>
        <w:suppressAutoHyphens/>
        <w:rPr>
          <w:rFonts w:ascii="Times New Roman" w:hAnsi="Times New Roman"/>
          <w:szCs w:val="24"/>
        </w:rPr>
      </w:pPr>
    </w:p>
    <w:p w:rsidR="00386054" w:rsidRPr="00980896" w:rsidRDefault="00386054">
      <w:pPr>
        <w:tabs>
          <w:tab w:val="left" w:pos="-720"/>
        </w:tabs>
        <w:suppressAutoHyphens/>
        <w:rPr>
          <w:rStyle w:val="a"/>
          <w:rFonts w:ascii="Times New Roman" w:hAnsi="Times New Roman"/>
          <w:b/>
          <w:szCs w:val="24"/>
        </w:rPr>
      </w:pPr>
      <w:r w:rsidRPr="00980896">
        <w:rPr>
          <w:rFonts w:ascii="Times New Roman" w:hAnsi="Times New Roman"/>
          <w:b/>
          <w:szCs w:val="24"/>
        </w:rPr>
        <w:t xml:space="preserve">18. </w:t>
      </w:r>
      <w:r w:rsidR="008B7707" w:rsidRPr="00980896">
        <w:rPr>
          <w:rFonts w:ascii="Times New Roman" w:hAnsi="Times New Roman"/>
          <w:b/>
          <w:szCs w:val="24"/>
        </w:rPr>
        <w:t xml:space="preserve"> </w:t>
      </w:r>
      <w:r w:rsidRPr="00980896">
        <w:rPr>
          <w:rStyle w:val="a"/>
          <w:rFonts w:ascii="Times New Roman" w:hAnsi="Times New Roman"/>
          <w:b/>
          <w:szCs w:val="24"/>
        </w:rPr>
        <w:t>Explain each exception to the certification statement identified in the Certification of Paperwork Reduction Act.</w:t>
      </w:r>
    </w:p>
    <w:p w:rsidR="00980896" w:rsidRDefault="00980896">
      <w:pPr>
        <w:tabs>
          <w:tab w:val="left" w:pos="-720"/>
        </w:tabs>
        <w:suppressAutoHyphens/>
        <w:rPr>
          <w:rStyle w:val="a"/>
          <w:rFonts w:ascii="Times New Roman" w:hAnsi="Times New Roman"/>
          <w:szCs w:val="24"/>
        </w:rPr>
      </w:pPr>
    </w:p>
    <w:p w:rsidR="00980896" w:rsidRDefault="00980896" w:rsidP="00980896">
      <w:pPr>
        <w:pStyle w:val="BodyTextIndent"/>
        <w:ind w:left="0"/>
        <w:rPr>
          <w:rFonts w:ascii="Arial" w:eastAsia="Arial Unicode MS" w:hAnsi="Arial" w:cs="Arial"/>
          <w:sz w:val="22"/>
        </w:rPr>
      </w:pPr>
      <w:r>
        <w:rPr>
          <w:rFonts w:ascii="Arial" w:eastAsia="Arial Unicode MS" w:hAnsi="Arial" w:cs="Arial"/>
          <w:sz w:val="22"/>
        </w:rPr>
        <w:t xml:space="preserve">No exceptions are being requested for this information collection. </w:t>
      </w:r>
    </w:p>
    <w:p w:rsidR="00980896" w:rsidRDefault="00980896" w:rsidP="00980896">
      <w:pPr>
        <w:pStyle w:val="BodyTextIndent"/>
        <w:rPr>
          <w:rFonts w:ascii="Arial" w:eastAsia="Arial Unicode MS" w:hAnsi="Arial" w:cs="Arial"/>
          <w:sz w:val="22"/>
        </w:rPr>
      </w:pPr>
    </w:p>
    <w:p w:rsidR="00980896" w:rsidRPr="00EF7FF5" w:rsidRDefault="00980896">
      <w:pPr>
        <w:tabs>
          <w:tab w:val="left" w:pos="-720"/>
        </w:tabs>
        <w:suppressAutoHyphens/>
        <w:rPr>
          <w:rFonts w:ascii="Times New Roman" w:hAnsi="Times New Roman"/>
          <w:szCs w:val="24"/>
        </w:rPr>
      </w:pPr>
    </w:p>
    <w:sectPr w:rsidR="00980896"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FB7" w:rsidRDefault="00A25FB7">
      <w:pPr>
        <w:spacing w:line="20" w:lineRule="exact"/>
      </w:pPr>
    </w:p>
  </w:endnote>
  <w:endnote w:type="continuationSeparator" w:id="0">
    <w:p w:rsidR="00A25FB7" w:rsidRDefault="00A25FB7">
      <w:r>
        <w:t xml:space="preserve"> </w:t>
      </w:r>
    </w:p>
  </w:endnote>
  <w:endnote w:type="continuationNotice" w:id="1">
    <w:p w:rsidR="00A25FB7" w:rsidRDefault="00A25F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A25FB7">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Default="00386054">
                <w:pPr>
                  <w:tabs>
                    <w:tab w:val="center" w:pos="4650"/>
                  </w:tabs>
                  <w:suppressAutoHyphens/>
                  <w:jc w:val="both"/>
                </w:pPr>
                <w:r>
                  <w:tab/>
                </w:r>
                <w:r w:rsidR="00A52004">
                  <w:fldChar w:fldCharType="begin"/>
                </w:r>
                <w:r w:rsidR="00A52004">
                  <w:instrText>page \* arabic</w:instrText>
                </w:r>
                <w:r w:rsidR="00A52004">
                  <w:fldChar w:fldCharType="separate"/>
                </w:r>
                <w:r w:rsidR="00485856">
                  <w:rPr>
                    <w:noProof/>
                  </w:rPr>
                  <w:t>4</w:t>
                </w:r>
                <w:r w:rsidR="00A52004">
                  <w:rPr>
                    <w:noProof/>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FB7" w:rsidRDefault="00A25FB7">
      <w:r>
        <w:separator/>
      </w:r>
    </w:p>
  </w:footnote>
  <w:footnote w:type="continuationSeparator" w:id="0">
    <w:p w:rsidR="00A25FB7" w:rsidRDefault="00A25FB7">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(XXXX) XXXX-XXXX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50CBE"/>
    <w:rsid w:val="000909E0"/>
    <w:rsid w:val="000B14D8"/>
    <w:rsid w:val="000E592D"/>
    <w:rsid w:val="000F175B"/>
    <w:rsid w:val="0014500F"/>
    <w:rsid w:val="00153F20"/>
    <w:rsid w:val="001743A5"/>
    <w:rsid w:val="0018279C"/>
    <w:rsid w:val="002473CE"/>
    <w:rsid w:val="002A5708"/>
    <w:rsid w:val="002B0412"/>
    <w:rsid w:val="002B0A95"/>
    <w:rsid w:val="00386054"/>
    <w:rsid w:val="003C29C2"/>
    <w:rsid w:val="003C7F70"/>
    <w:rsid w:val="003E285A"/>
    <w:rsid w:val="00485856"/>
    <w:rsid w:val="004A2DBB"/>
    <w:rsid w:val="004E23D9"/>
    <w:rsid w:val="004F692A"/>
    <w:rsid w:val="00512598"/>
    <w:rsid w:val="00563CCF"/>
    <w:rsid w:val="005A1566"/>
    <w:rsid w:val="005A1DFC"/>
    <w:rsid w:val="005A4185"/>
    <w:rsid w:val="005D2E7B"/>
    <w:rsid w:val="0063484C"/>
    <w:rsid w:val="00654305"/>
    <w:rsid w:val="006737C0"/>
    <w:rsid w:val="00677BC2"/>
    <w:rsid w:val="006A3B5C"/>
    <w:rsid w:val="006C01D0"/>
    <w:rsid w:val="007661D9"/>
    <w:rsid w:val="007B14E8"/>
    <w:rsid w:val="007C12B5"/>
    <w:rsid w:val="007D1D8C"/>
    <w:rsid w:val="007E77FA"/>
    <w:rsid w:val="008011B6"/>
    <w:rsid w:val="008B7707"/>
    <w:rsid w:val="008F3062"/>
    <w:rsid w:val="00921CB1"/>
    <w:rsid w:val="009544A3"/>
    <w:rsid w:val="00980896"/>
    <w:rsid w:val="009949A8"/>
    <w:rsid w:val="009C45EE"/>
    <w:rsid w:val="009F3046"/>
    <w:rsid w:val="00A01331"/>
    <w:rsid w:val="00A25FB7"/>
    <w:rsid w:val="00A41F2C"/>
    <w:rsid w:val="00A52004"/>
    <w:rsid w:val="00A820D4"/>
    <w:rsid w:val="00A87940"/>
    <w:rsid w:val="00A94CCB"/>
    <w:rsid w:val="00AB0D7D"/>
    <w:rsid w:val="00B23EC0"/>
    <w:rsid w:val="00BC244F"/>
    <w:rsid w:val="00BD1325"/>
    <w:rsid w:val="00C641E9"/>
    <w:rsid w:val="00C723C2"/>
    <w:rsid w:val="00CE72AF"/>
    <w:rsid w:val="00D07D03"/>
    <w:rsid w:val="00D115BF"/>
    <w:rsid w:val="00D269C3"/>
    <w:rsid w:val="00E023B7"/>
    <w:rsid w:val="00E07290"/>
    <w:rsid w:val="00EA3C1F"/>
    <w:rsid w:val="00EB697B"/>
    <w:rsid w:val="00EC2CC4"/>
    <w:rsid w:val="00EF7FF5"/>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3">
    <w:name w:val="heading 3"/>
    <w:basedOn w:val="Normal"/>
    <w:next w:val="Normal"/>
    <w:link w:val="Heading3Char"/>
    <w:qFormat/>
    <w:locked/>
    <w:rsid w:val="008B7707"/>
    <w:pPr>
      <w:keepNext/>
      <w:outlineLvl w:val="2"/>
    </w:pPr>
    <w:rPr>
      <w:rFonts w:ascii="Times New Roman" w:hAnsi="Times New Roman"/>
      <w:b/>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7D1D8C"/>
    <w:rPr>
      <w:rFonts w:ascii="Arial" w:eastAsia="Arial Unicode MS" w:hAnsi="Arial" w:cs="Arial"/>
      <w:sz w:val="22"/>
    </w:rPr>
  </w:style>
  <w:style w:type="character" w:customStyle="1" w:styleId="BodyTextChar">
    <w:name w:val="Body Text Char"/>
    <w:basedOn w:val="DefaultParagraphFont"/>
    <w:link w:val="BodyText"/>
    <w:semiHidden/>
    <w:rsid w:val="007D1D8C"/>
    <w:rPr>
      <w:rFonts w:ascii="Arial" w:eastAsia="Arial Unicode MS" w:hAnsi="Arial" w:cs="Arial"/>
      <w:szCs w:val="20"/>
    </w:rPr>
  </w:style>
  <w:style w:type="character" w:styleId="Hyperlink">
    <w:name w:val="Hyperlink"/>
    <w:basedOn w:val="DefaultParagraphFont"/>
    <w:semiHidden/>
    <w:rsid w:val="007D1D8C"/>
    <w:rPr>
      <w:color w:val="0000FF"/>
      <w:u w:val="single"/>
    </w:rPr>
  </w:style>
  <w:style w:type="character" w:styleId="Emphasis">
    <w:name w:val="Emphasis"/>
    <w:basedOn w:val="DefaultParagraphFont"/>
    <w:uiPriority w:val="20"/>
    <w:qFormat/>
    <w:locked/>
    <w:rsid w:val="007D1D8C"/>
    <w:rPr>
      <w:b/>
      <w:bCs/>
      <w:i w:val="0"/>
      <w:iCs w:val="0"/>
    </w:rPr>
  </w:style>
  <w:style w:type="character" w:customStyle="1" w:styleId="emailstyle15">
    <w:name w:val="emailstyle15"/>
    <w:basedOn w:val="DefaultParagraphFont"/>
    <w:rsid w:val="00A820D4"/>
    <w:rPr>
      <w:rFonts w:ascii="Arial" w:hAnsi="Arial" w:cs="Arial"/>
      <w:color w:val="000000"/>
      <w:sz w:val="20"/>
    </w:rPr>
  </w:style>
  <w:style w:type="paragraph" w:styleId="BodyTextIndent2">
    <w:name w:val="Body Text Indent 2"/>
    <w:basedOn w:val="Normal"/>
    <w:link w:val="BodyTextIndent2Char"/>
    <w:uiPriority w:val="99"/>
    <w:unhideWhenUsed/>
    <w:rsid w:val="008B7707"/>
    <w:pPr>
      <w:spacing w:after="120" w:line="480" w:lineRule="auto"/>
      <w:ind w:left="360"/>
    </w:pPr>
  </w:style>
  <w:style w:type="character" w:customStyle="1" w:styleId="BodyTextIndent2Char">
    <w:name w:val="Body Text Indent 2 Char"/>
    <w:basedOn w:val="DefaultParagraphFont"/>
    <w:link w:val="BodyTextIndent2"/>
    <w:uiPriority w:val="99"/>
    <w:rsid w:val="008B7707"/>
    <w:rPr>
      <w:rFonts w:ascii="Courier" w:hAnsi="Courier"/>
      <w:sz w:val="24"/>
      <w:szCs w:val="20"/>
    </w:rPr>
  </w:style>
  <w:style w:type="paragraph" w:styleId="BodyTextIndent">
    <w:name w:val="Body Text Indent"/>
    <w:basedOn w:val="Normal"/>
    <w:link w:val="BodyTextIndentChar"/>
    <w:uiPriority w:val="99"/>
    <w:unhideWhenUsed/>
    <w:rsid w:val="008B7707"/>
    <w:pPr>
      <w:spacing w:after="120"/>
      <w:ind w:left="360"/>
    </w:pPr>
  </w:style>
  <w:style w:type="character" w:customStyle="1" w:styleId="BodyTextIndentChar">
    <w:name w:val="Body Text Indent Char"/>
    <w:basedOn w:val="DefaultParagraphFont"/>
    <w:link w:val="BodyTextIndent"/>
    <w:uiPriority w:val="99"/>
    <w:rsid w:val="008B7707"/>
    <w:rPr>
      <w:rFonts w:ascii="Courier" w:hAnsi="Courier"/>
      <w:sz w:val="24"/>
      <w:szCs w:val="20"/>
    </w:rPr>
  </w:style>
  <w:style w:type="character" w:customStyle="1" w:styleId="Heading3Char">
    <w:name w:val="Heading 3 Char"/>
    <w:basedOn w:val="DefaultParagraphFont"/>
    <w:link w:val="Heading3"/>
    <w:rsid w:val="008B7707"/>
    <w:rPr>
      <w:b/>
      <w:color w:val="FFFFF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06D52-F440-4564-8C41-B9DA246E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2908</Words>
  <Characters>16578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Carmen Gordon</dc:creator>
  <cp:lastModifiedBy>U.S. Department of Education</cp:lastModifiedBy>
  <cp:revision>2</cp:revision>
  <cp:lastPrinted>2010-08-23T18:41:00Z</cp:lastPrinted>
  <dcterms:created xsi:type="dcterms:W3CDTF">2013-08-14T19:43:00Z</dcterms:created>
  <dcterms:modified xsi:type="dcterms:W3CDTF">2013-08-14T19:43:00Z</dcterms:modified>
</cp:coreProperties>
</file>