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373ED8" w:rsidRDefault="00F919C2" w:rsidP="00373ED8">
      <w:pPr>
        <w:tabs>
          <w:tab w:val="center" w:pos="4680"/>
        </w:tabs>
        <w:rPr>
          <w:rFonts w:ascii="Times New Roman" w:hAnsi="Times New Roman"/>
          <w:b/>
          <w:bCs/>
        </w:rPr>
      </w:pPr>
      <w:r>
        <w:rPr>
          <w:rFonts w:ascii="Times New Roman" w:hAnsi="Times New Roman"/>
        </w:rPr>
        <w:t xml:space="preserve">                                                         </w:t>
      </w:r>
      <w:r w:rsidR="00EA17EC" w:rsidRPr="00373ED8">
        <w:rPr>
          <w:rFonts w:ascii="Times New Roman" w:hAnsi="Times New Roman"/>
        </w:rPr>
        <w:tab/>
      </w:r>
      <w:r w:rsidR="00EA17EC" w:rsidRPr="00373ED8">
        <w:rPr>
          <w:rFonts w:ascii="Times New Roman" w:hAnsi="Times New Roman"/>
          <w:b/>
          <w:bCs/>
        </w:rPr>
        <w:t>Supporting Statement</w:t>
      </w:r>
      <w:r w:rsidR="00CD6002">
        <w:rPr>
          <w:rFonts w:ascii="Times New Roman" w:hAnsi="Times New Roman"/>
          <w:b/>
          <w:bCs/>
        </w:rPr>
        <w:t xml:space="preserve"> </w:t>
      </w:r>
    </w:p>
    <w:p w:rsidR="00EA17EC" w:rsidRPr="00373ED8" w:rsidRDefault="00EA4151" w:rsidP="0016712A">
      <w:pPr>
        <w:tabs>
          <w:tab w:val="center" w:pos="4680"/>
        </w:tabs>
        <w:jc w:val="center"/>
        <w:rPr>
          <w:rFonts w:ascii="Times New Roman" w:hAnsi="Times New Roman"/>
          <w:b/>
        </w:rPr>
      </w:pPr>
      <w:r>
        <w:rPr>
          <w:rFonts w:ascii="Times New Roman" w:hAnsi="Times New Roman"/>
          <w:b/>
        </w:rPr>
        <w:t xml:space="preserve">Appraisals for </w:t>
      </w:r>
      <w:r w:rsidR="00764BA9" w:rsidRPr="00373ED8">
        <w:rPr>
          <w:rFonts w:ascii="Times New Roman" w:hAnsi="Times New Roman"/>
          <w:b/>
        </w:rPr>
        <w:t>Higher-</w:t>
      </w:r>
      <w:r>
        <w:rPr>
          <w:rFonts w:ascii="Times New Roman" w:hAnsi="Times New Roman"/>
          <w:b/>
        </w:rPr>
        <w:t>Priced Mortgage Loans</w:t>
      </w:r>
      <w:r w:rsidR="005F2224">
        <w:rPr>
          <w:rFonts w:ascii="Times New Roman" w:hAnsi="Times New Roman"/>
          <w:b/>
        </w:rPr>
        <w:t xml:space="preserve"> – Supplemental Proposal</w:t>
      </w:r>
    </w:p>
    <w:p w:rsidR="00E67B7F" w:rsidRDefault="00E67B7F" w:rsidP="00E67B7F">
      <w:pPr>
        <w:pStyle w:val="Heading1"/>
        <w:rPr>
          <w:rFonts w:ascii="Times New Roman" w:hAnsi="Times New Roman"/>
        </w:rPr>
      </w:pPr>
      <w:r>
        <w:rPr>
          <w:rFonts w:ascii="Times New Roman" w:hAnsi="Times New Roman"/>
        </w:rPr>
        <w:t>OMB Control No.</w:t>
      </w:r>
      <w:r w:rsidRPr="00373ED8">
        <w:rPr>
          <w:rFonts w:ascii="Times New Roman" w:hAnsi="Times New Roman"/>
        </w:rPr>
        <w:t xml:space="preserve"> 1557-</w:t>
      </w:r>
      <w:r>
        <w:rPr>
          <w:rFonts w:ascii="Times New Roman" w:hAnsi="Times New Roman"/>
        </w:rPr>
        <w:t>0313</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bCs/>
        </w:rPr>
      </w:pPr>
    </w:p>
    <w:p w:rsidR="00EA17EC" w:rsidRDefault="00EA17EC" w:rsidP="006C15B4">
      <w:pPr>
        <w:tabs>
          <w:tab w:val="left" w:pos="-1440"/>
        </w:tabs>
        <w:ind w:left="720" w:hanging="720"/>
        <w:rPr>
          <w:rFonts w:ascii="Times New Roman" w:hAnsi="Times New Roman"/>
          <w:u w:val="single"/>
        </w:rPr>
      </w:pPr>
      <w:proofErr w:type="gramStart"/>
      <w:r w:rsidRPr="006C15B4">
        <w:rPr>
          <w:rFonts w:ascii="Times New Roman" w:hAnsi="Times New Roman"/>
        </w:rPr>
        <w:t>A.</w:t>
      </w:r>
      <w:r w:rsidRPr="006C15B4">
        <w:rPr>
          <w:rFonts w:ascii="Times New Roman" w:hAnsi="Times New Roman"/>
        </w:rPr>
        <w:tab/>
      </w:r>
      <w:r w:rsidRPr="006C15B4">
        <w:rPr>
          <w:rFonts w:ascii="Times New Roman" w:hAnsi="Times New Roman"/>
          <w:u w:val="single"/>
        </w:rPr>
        <w:t>Justification.</w:t>
      </w:r>
      <w:proofErr w:type="gramEnd"/>
    </w:p>
    <w:p w:rsidR="00CD46EF" w:rsidRDefault="00CD46EF" w:rsidP="006C15B4">
      <w:pPr>
        <w:tabs>
          <w:tab w:val="left" w:pos="-1440"/>
        </w:tabs>
        <w:ind w:left="720" w:hanging="720"/>
        <w:rPr>
          <w:rFonts w:ascii="Times New Roman" w:hAnsi="Times New Roman"/>
          <w:u w:val="single"/>
        </w:rPr>
      </w:pPr>
    </w:p>
    <w:p w:rsidR="00CD46EF" w:rsidRPr="006C15B4" w:rsidRDefault="00CD46EF" w:rsidP="00CD46EF">
      <w:pPr>
        <w:tabs>
          <w:tab w:val="left" w:pos="-1440"/>
        </w:tabs>
        <w:ind w:left="720" w:hanging="720"/>
        <w:rPr>
          <w:rFonts w:ascii="Times New Roman" w:hAnsi="Times New Roman"/>
        </w:rPr>
      </w:pPr>
      <w:r w:rsidRPr="006C15B4">
        <w:rPr>
          <w:rFonts w:ascii="Times New Roman" w:hAnsi="Times New Roman"/>
        </w:rPr>
        <w:t>1.</w:t>
      </w:r>
      <w:r w:rsidRPr="006C15B4">
        <w:rPr>
          <w:rFonts w:ascii="Times New Roman" w:hAnsi="Times New Roman"/>
        </w:rPr>
        <w:tab/>
      </w:r>
      <w:r w:rsidRPr="006C15B4">
        <w:rPr>
          <w:rFonts w:ascii="Times New Roman" w:hAnsi="Times New Roman"/>
          <w:u w:val="single"/>
        </w:rPr>
        <w:t>Circumstances that make the collection necessary:</w:t>
      </w:r>
    </w:p>
    <w:p w:rsidR="00CD46EF" w:rsidRPr="006C15B4" w:rsidRDefault="00CD46EF" w:rsidP="00CD46EF">
      <w:pPr>
        <w:rPr>
          <w:rFonts w:ascii="Times New Roman" w:hAnsi="Times New Roman"/>
        </w:rPr>
      </w:pPr>
    </w:p>
    <w:p w:rsidR="00CD46EF" w:rsidRPr="006C15B4" w:rsidRDefault="002B6B40" w:rsidP="002B6B40">
      <w:pPr>
        <w:rPr>
          <w:rFonts w:ascii="Times New Roman" w:hAnsi="Times New Roman"/>
        </w:rPr>
      </w:pPr>
      <w:r>
        <w:rPr>
          <w:rFonts w:ascii="Times New Roman" w:hAnsi="Times New Roman"/>
        </w:rPr>
        <w:tab/>
      </w:r>
      <w:r w:rsidR="00CD46EF" w:rsidRPr="006C15B4">
        <w:rPr>
          <w:rFonts w:ascii="Times New Roman" w:hAnsi="Times New Roman"/>
        </w:rPr>
        <w:t xml:space="preserve">This information collection relates </w:t>
      </w:r>
      <w:r w:rsidR="001332DD">
        <w:rPr>
          <w:rFonts w:ascii="Times New Roman" w:hAnsi="Times New Roman"/>
        </w:rPr>
        <w:t>to s</w:t>
      </w:r>
      <w:r w:rsidR="001332DD" w:rsidRPr="006C15B4">
        <w:rPr>
          <w:rFonts w:ascii="Times New Roman" w:hAnsi="Times New Roman"/>
        </w:rPr>
        <w:t>ection 1471 of the Dodd-Frank Act</w:t>
      </w:r>
      <w:r w:rsidR="001332DD">
        <w:rPr>
          <w:rFonts w:ascii="Times New Roman" w:hAnsi="Times New Roman"/>
        </w:rPr>
        <w:t>, which</w:t>
      </w:r>
      <w:r w:rsidR="001332DD" w:rsidRPr="006C15B4">
        <w:rPr>
          <w:rFonts w:ascii="Times New Roman" w:hAnsi="Times New Roman"/>
        </w:rPr>
        <w:t xml:space="preserve"> created new Truth in Lending Act (TILA) section 129H</w:t>
      </w:r>
      <w:r w:rsidR="001332DD">
        <w:rPr>
          <w:rFonts w:ascii="Times New Roman" w:hAnsi="Times New Roman"/>
        </w:rPr>
        <w:t xml:space="preserve"> establishing</w:t>
      </w:r>
      <w:r w:rsidR="001332DD" w:rsidRPr="006C15B4">
        <w:rPr>
          <w:rFonts w:ascii="Times New Roman" w:hAnsi="Times New Roman"/>
        </w:rPr>
        <w:t xml:space="preserve"> special appraisal requirements for “higher-risk mortgages.”</w:t>
      </w:r>
      <w:r w:rsidR="00B243B9">
        <w:rPr>
          <w:rFonts w:ascii="Times New Roman" w:hAnsi="Times New Roman"/>
        </w:rPr>
        <w:t xml:space="preserve">  </w:t>
      </w:r>
      <w:proofErr w:type="gramStart"/>
      <w:r w:rsidR="001332DD" w:rsidRPr="006C15B4">
        <w:rPr>
          <w:rFonts w:ascii="Times New Roman" w:hAnsi="Times New Roman"/>
        </w:rPr>
        <w:t>For certain mortgages</w:t>
      </w:r>
      <w:proofErr w:type="gramEnd"/>
      <w:r w:rsidR="001332DD" w:rsidRPr="006C15B4">
        <w:rPr>
          <w:rFonts w:ascii="Times New Roman" w:hAnsi="Times New Roman"/>
        </w:rPr>
        <w:t xml:space="preserve"> with an annual percentage rate that exceeds the average prime offer rate by a specified percentage, creditors </w:t>
      </w:r>
      <w:r w:rsidR="001332DD">
        <w:rPr>
          <w:rFonts w:ascii="Times New Roman" w:hAnsi="Times New Roman"/>
        </w:rPr>
        <w:t>must</w:t>
      </w:r>
      <w:r w:rsidR="001332DD" w:rsidRPr="006C15B4">
        <w:rPr>
          <w:rFonts w:ascii="Times New Roman" w:hAnsi="Times New Roman"/>
        </w:rPr>
        <w:t xml:space="preserve"> obtain an appraisal or appraisals meeting certain specified standards, provide applicants with a notification regarding the use of the appraisals, and give applicants a copy o</w:t>
      </w:r>
      <w:r w:rsidR="000E1FD4">
        <w:rPr>
          <w:rFonts w:ascii="Times New Roman" w:hAnsi="Times New Roman"/>
        </w:rPr>
        <w:t>f the written appraisals used.  The statute permits the OCC to include exemptions from the requirements in any final rule.</w:t>
      </w:r>
    </w:p>
    <w:p w:rsidR="00CD46EF" w:rsidRPr="006C15B4" w:rsidRDefault="00CD46EF" w:rsidP="002B6B40">
      <w:pPr>
        <w:rPr>
          <w:rFonts w:ascii="Times New Roman" w:hAnsi="Times New Roman"/>
        </w:rPr>
      </w:pPr>
    </w:p>
    <w:p w:rsidR="006F1A91" w:rsidRDefault="002B6B40" w:rsidP="00301497">
      <w:pPr>
        <w:rPr>
          <w:rFonts w:ascii="Times New Roman" w:eastAsia="Calibri" w:hAnsi="Times New Roman"/>
        </w:rPr>
      </w:pPr>
      <w:r>
        <w:rPr>
          <w:rFonts w:ascii="Times New Roman" w:hAnsi="Times New Roman"/>
        </w:rPr>
        <w:tab/>
      </w:r>
      <w:r w:rsidR="001332DD">
        <w:rPr>
          <w:rFonts w:ascii="Times New Roman" w:hAnsi="Times New Roman"/>
        </w:rPr>
        <w:t>O</w:t>
      </w:r>
      <w:r w:rsidR="00CD46EF" w:rsidRPr="006C15B4">
        <w:rPr>
          <w:rFonts w:ascii="Times New Roman" w:eastAsia="Calibri" w:hAnsi="Times New Roman"/>
        </w:rPr>
        <w:t xml:space="preserve">n </w:t>
      </w:r>
      <w:r w:rsidR="001332DD">
        <w:rPr>
          <w:rFonts w:ascii="Times New Roman" w:eastAsia="Calibri" w:hAnsi="Times New Roman"/>
        </w:rPr>
        <w:t>February 13</w:t>
      </w:r>
      <w:r w:rsidR="00CD46EF" w:rsidRPr="006C15B4">
        <w:rPr>
          <w:rFonts w:ascii="Times New Roman" w:eastAsia="Calibri" w:hAnsi="Times New Roman"/>
        </w:rPr>
        <w:t>, 2013</w:t>
      </w:r>
      <w:r w:rsidR="001332DD">
        <w:rPr>
          <w:rFonts w:ascii="Times New Roman" w:eastAsia="Calibri" w:hAnsi="Times New Roman"/>
        </w:rPr>
        <w:t>, the</w:t>
      </w:r>
      <w:r w:rsidR="00CD46EF" w:rsidRPr="006C15B4">
        <w:rPr>
          <w:rFonts w:ascii="Times New Roman" w:eastAsia="Calibri" w:hAnsi="Times New Roman"/>
        </w:rPr>
        <w:t xml:space="preserve"> 2013 </w:t>
      </w:r>
      <w:r w:rsidR="00E747D3">
        <w:rPr>
          <w:rFonts w:ascii="Times New Roman" w:eastAsia="Calibri" w:hAnsi="Times New Roman"/>
        </w:rPr>
        <w:t xml:space="preserve">Agencies </w:t>
      </w:r>
      <w:r w:rsidR="00E747D3" w:rsidRPr="00E747D3">
        <w:rPr>
          <w:rFonts w:ascii="Times New Roman" w:eastAsia="Calibri" w:hAnsi="Times New Roman"/>
        </w:rPr>
        <w:t>(OCC, FRB, FDIC, CFPB, FHFA, and NCUA)</w:t>
      </w:r>
      <w:r w:rsidR="00CD46EF" w:rsidRPr="006C15B4">
        <w:rPr>
          <w:rFonts w:ascii="Times New Roman" w:eastAsia="Calibri" w:hAnsi="Times New Roman"/>
        </w:rPr>
        <w:t xml:space="preserve"> </w:t>
      </w:r>
      <w:r w:rsidR="00E747D3">
        <w:rPr>
          <w:rFonts w:ascii="Times New Roman" w:eastAsia="Calibri" w:hAnsi="Times New Roman"/>
        </w:rPr>
        <w:t>published a final rule (</w:t>
      </w:r>
      <w:r w:rsidR="003F5D09">
        <w:rPr>
          <w:rFonts w:ascii="Times New Roman" w:eastAsia="Calibri" w:hAnsi="Times New Roman"/>
        </w:rPr>
        <w:t xml:space="preserve">February 2013 </w:t>
      </w:r>
      <w:r w:rsidR="00E747D3">
        <w:rPr>
          <w:rFonts w:ascii="Times New Roman" w:eastAsia="Calibri" w:hAnsi="Times New Roman"/>
        </w:rPr>
        <w:t xml:space="preserve">Final Rule) </w:t>
      </w:r>
      <w:r w:rsidR="001332DD">
        <w:rPr>
          <w:rFonts w:ascii="Times New Roman" w:eastAsia="Calibri" w:hAnsi="Times New Roman"/>
        </w:rPr>
        <w:t xml:space="preserve">(78 FR 10368), </w:t>
      </w:r>
      <w:r w:rsidR="001332DD" w:rsidRPr="006C15B4">
        <w:rPr>
          <w:rFonts w:ascii="Times New Roman" w:eastAsia="Calibri" w:hAnsi="Times New Roman"/>
        </w:rPr>
        <w:t>which goes into effect on January 18, 2014.</w:t>
      </w:r>
      <w:r w:rsidR="00CD46EF" w:rsidRPr="006C15B4">
        <w:rPr>
          <w:rFonts w:ascii="Times New Roman" w:eastAsia="Calibri" w:hAnsi="Times New Roman"/>
        </w:rPr>
        <w:t xml:space="preserve">  </w:t>
      </w:r>
      <w:proofErr w:type="gramStart"/>
      <w:r w:rsidR="000E1FD4">
        <w:rPr>
          <w:rFonts w:ascii="Times New Roman" w:eastAsia="Calibri" w:hAnsi="Times New Roman"/>
        </w:rPr>
        <w:t>The February 2013 Final Rule included several exemptions.</w:t>
      </w:r>
      <w:proofErr w:type="gramEnd"/>
      <w:r w:rsidR="000E1FD4">
        <w:rPr>
          <w:rFonts w:ascii="Times New Roman" w:eastAsia="Calibri" w:hAnsi="Times New Roman"/>
        </w:rPr>
        <w:t xml:space="preserve">  </w:t>
      </w:r>
      <w:r w:rsidR="003F5D09">
        <w:rPr>
          <w:rFonts w:ascii="Times New Roman" w:eastAsia="Calibri" w:hAnsi="Times New Roman"/>
        </w:rPr>
        <w:t>(</w:t>
      </w:r>
      <w:r w:rsidR="006F1A91">
        <w:rPr>
          <w:rFonts w:ascii="Times New Roman" w:eastAsia="Calibri" w:hAnsi="Times New Roman"/>
        </w:rPr>
        <w:t xml:space="preserve">OMB approved the ICR </w:t>
      </w:r>
      <w:r w:rsidR="000E1FD4">
        <w:rPr>
          <w:rFonts w:ascii="Times New Roman" w:eastAsia="Calibri" w:hAnsi="Times New Roman"/>
        </w:rPr>
        <w:t xml:space="preserve">for the February 2013 Final Rule </w:t>
      </w:r>
      <w:r w:rsidR="006F1A91">
        <w:rPr>
          <w:rFonts w:ascii="Times New Roman" w:eastAsia="Calibri" w:hAnsi="Times New Roman"/>
        </w:rPr>
        <w:t>on February 22, 2013.</w:t>
      </w:r>
      <w:r w:rsidR="003F5D09">
        <w:rPr>
          <w:rFonts w:ascii="Times New Roman" w:eastAsia="Calibri" w:hAnsi="Times New Roman"/>
        </w:rPr>
        <w:t>)</w:t>
      </w:r>
    </w:p>
    <w:p w:rsidR="006F1A91" w:rsidRDefault="006F1A91" w:rsidP="00301497">
      <w:pPr>
        <w:rPr>
          <w:rFonts w:ascii="Times New Roman" w:eastAsia="Calibri" w:hAnsi="Times New Roman"/>
        </w:rPr>
      </w:pPr>
    </w:p>
    <w:p w:rsidR="00301497" w:rsidRPr="006F1A91" w:rsidRDefault="006F1A91" w:rsidP="006F1A91">
      <w:pPr>
        <w:widowControl/>
        <w:rPr>
          <w:rFonts w:ascii="Times New Roman" w:hAnsi="Times New Roman"/>
        </w:rPr>
      </w:pPr>
      <w:r>
        <w:rPr>
          <w:rFonts w:ascii="Times New Roman" w:eastAsia="Calibri" w:hAnsi="Times New Roman"/>
        </w:rPr>
        <w:tab/>
      </w:r>
      <w:r w:rsidR="005812A1" w:rsidRPr="006C15B4">
        <w:rPr>
          <w:rFonts w:ascii="Times New Roman" w:hAnsi="Times New Roman"/>
          <w:iCs/>
        </w:rPr>
        <w:t xml:space="preserve">On August 8, 2013, the Agencies issued a notice of proposed rulemaking </w:t>
      </w:r>
      <w:r w:rsidR="005812A1">
        <w:rPr>
          <w:rFonts w:ascii="Times New Roman" w:hAnsi="Times New Roman"/>
          <w:iCs/>
        </w:rPr>
        <w:t xml:space="preserve">(Supplemental Proposal) to propose </w:t>
      </w:r>
      <w:r w:rsidR="003F5D09">
        <w:rPr>
          <w:rFonts w:ascii="Times New Roman" w:hAnsi="Times New Roman"/>
          <w:iCs/>
        </w:rPr>
        <w:t xml:space="preserve">additional </w:t>
      </w:r>
      <w:r w:rsidR="005812A1">
        <w:rPr>
          <w:rFonts w:ascii="Times New Roman" w:hAnsi="Times New Roman"/>
          <w:iCs/>
        </w:rPr>
        <w:t xml:space="preserve">exemptions from the </w:t>
      </w:r>
      <w:r w:rsidR="003F5D09">
        <w:rPr>
          <w:rFonts w:ascii="Times New Roman" w:hAnsi="Times New Roman"/>
          <w:iCs/>
        </w:rPr>
        <w:t>February 2013 Final Rule</w:t>
      </w:r>
      <w:r w:rsidR="005812A1">
        <w:rPr>
          <w:rFonts w:ascii="Times New Roman" w:hAnsi="Times New Roman"/>
          <w:iCs/>
        </w:rPr>
        <w:t xml:space="preserve"> for </w:t>
      </w:r>
      <w:r>
        <w:rPr>
          <w:rFonts w:ascii="Times New Roman" w:hAnsi="Times New Roman"/>
          <w:iCs/>
        </w:rPr>
        <w:t>certain</w:t>
      </w:r>
      <w:r w:rsidR="004478ED">
        <w:rPr>
          <w:rFonts w:ascii="Times New Roman" w:hAnsi="Times New Roman"/>
          <w:iCs/>
        </w:rPr>
        <w:t xml:space="preserve"> </w:t>
      </w:r>
      <w:proofErr w:type="spellStart"/>
      <w:r w:rsidR="004478ED">
        <w:rPr>
          <w:rFonts w:ascii="Times New Roman" w:hAnsi="Times New Roman"/>
          <w:iCs/>
        </w:rPr>
        <w:t>tranasctions</w:t>
      </w:r>
      <w:proofErr w:type="spellEnd"/>
      <w:r w:rsidR="005812A1" w:rsidRPr="006C15B4">
        <w:rPr>
          <w:rFonts w:ascii="Times New Roman" w:hAnsi="Times New Roman"/>
          <w:iCs/>
        </w:rPr>
        <w:t>.</w:t>
      </w:r>
      <w:r>
        <w:rPr>
          <w:rFonts w:ascii="Times New Roman" w:hAnsi="Times New Roman"/>
          <w:iCs/>
        </w:rPr>
        <w:t xml:space="preserve">  The OCC submitted an ICR relating to the Supplemental Proposal on August 8, 2013.  </w:t>
      </w:r>
      <w:proofErr w:type="gramStart"/>
      <w:r>
        <w:rPr>
          <w:rFonts w:ascii="Times New Roman" w:hAnsi="Times New Roman"/>
          <w:iCs/>
        </w:rPr>
        <w:t xml:space="preserve">On October 24, 2013, OMB </w:t>
      </w:r>
      <w:r w:rsidRPr="006F1A91">
        <w:rPr>
          <w:rFonts w:ascii="Times New Roman" w:hAnsi="Times New Roman"/>
          <w:iCs/>
        </w:rPr>
        <w:t>filed a comment in response to the ICR, directing the OCC to “</w:t>
      </w:r>
      <w:r>
        <w:rPr>
          <w:rFonts w:ascii="Times New Roman" w:hAnsi="Times New Roman"/>
        </w:rPr>
        <w:t xml:space="preserve">examine public </w:t>
      </w:r>
      <w:r w:rsidRPr="006F1A91">
        <w:rPr>
          <w:rFonts w:ascii="Times New Roman" w:hAnsi="Times New Roman"/>
        </w:rPr>
        <w:t>comment in response to the NPRM and describe in the supporting statement of its next</w:t>
      </w:r>
      <w:r>
        <w:rPr>
          <w:rFonts w:ascii="Times New Roman" w:hAnsi="Times New Roman"/>
        </w:rPr>
        <w:t xml:space="preserve"> </w:t>
      </w:r>
      <w:r w:rsidRPr="006F1A91">
        <w:rPr>
          <w:rFonts w:ascii="Times New Roman" w:hAnsi="Times New Roman"/>
        </w:rPr>
        <w:t>collection any public comments received regarding the collection as well as why (or why it did</w:t>
      </w:r>
      <w:r>
        <w:rPr>
          <w:rFonts w:ascii="Times New Roman" w:hAnsi="Times New Roman"/>
        </w:rPr>
        <w:t xml:space="preserve"> </w:t>
      </w:r>
      <w:r w:rsidRPr="006F1A91">
        <w:rPr>
          <w:rFonts w:ascii="Times New Roman" w:hAnsi="Times New Roman"/>
        </w:rPr>
        <w:t>not) incorporate the commenter’s recommendation” and requiring that the next submission to OMB must include the draft final rule.</w:t>
      </w:r>
      <w:proofErr w:type="gramEnd"/>
      <w:r>
        <w:rPr>
          <w:rFonts w:ascii="Times New Roman" w:hAnsi="Times New Roman"/>
        </w:rPr>
        <w:t xml:space="preserve">  No comments </w:t>
      </w:r>
      <w:proofErr w:type="gramStart"/>
      <w:r>
        <w:rPr>
          <w:rFonts w:ascii="Times New Roman" w:hAnsi="Times New Roman"/>
        </w:rPr>
        <w:t>were received</w:t>
      </w:r>
      <w:proofErr w:type="gramEnd"/>
      <w:r>
        <w:rPr>
          <w:rFonts w:ascii="Times New Roman" w:hAnsi="Times New Roman"/>
        </w:rPr>
        <w:t xml:space="preserve"> addressing the information collection requirements.</w:t>
      </w:r>
    </w:p>
    <w:p w:rsidR="00301497" w:rsidRDefault="00301497" w:rsidP="00301497">
      <w:pPr>
        <w:rPr>
          <w:rFonts w:ascii="Times New Roman" w:hAnsi="Times New Roman"/>
          <w:iCs/>
        </w:rPr>
      </w:pPr>
    </w:p>
    <w:p w:rsidR="009D40A5" w:rsidRPr="006C15B4" w:rsidRDefault="00301497" w:rsidP="00AD088F">
      <w:pPr>
        <w:rPr>
          <w:rFonts w:ascii="Times New Roman" w:hAnsi="Times New Roman"/>
        </w:rPr>
      </w:pPr>
      <w:r>
        <w:rPr>
          <w:rFonts w:ascii="Times New Roman" w:hAnsi="Times New Roman"/>
        </w:rPr>
        <w:tab/>
      </w:r>
      <w:r w:rsidR="00B243B9">
        <w:rPr>
          <w:rFonts w:ascii="Times New Roman" w:hAnsi="Times New Roman"/>
        </w:rPr>
        <w:t xml:space="preserve">The </w:t>
      </w:r>
      <w:r w:rsidR="003F5D09">
        <w:rPr>
          <w:rFonts w:ascii="Times New Roman" w:hAnsi="Times New Roman"/>
        </w:rPr>
        <w:t xml:space="preserve">Agencies are now finalizing the Supplemental Proposal (Supplemental </w:t>
      </w:r>
      <w:r w:rsidR="00E747D3">
        <w:rPr>
          <w:rFonts w:ascii="Times New Roman" w:hAnsi="Times New Roman"/>
        </w:rPr>
        <w:t>Final Rule</w:t>
      </w:r>
      <w:r w:rsidR="003F5D09">
        <w:rPr>
          <w:rFonts w:ascii="Times New Roman" w:hAnsi="Times New Roman"/>
        </w:rPr>
        <w:t xml:space="preserve">).  </w:t>
      </w:r>
    </w:p>
    <w:p w:rsidR="003B45B3" w:rsidRPr="00007350" w:rsidRDefault="003B45B3" w:rsidP="006C15B4">
      <w:pPr>
        <w:ind w:left="360"/>
        <w:rPr>
          <w:rFonts w:ascii="Times New Roman" w:hAnsi="Times New Roman"/>
          <w:i/>
        </w:rPr>
      </w:pPr>
    </w:p>
    <w:p w:rsidR="00EA17EC" w:rsidRPr="00007350" w:rsidRDefault="00EA17EC" w:rsidP="006C15B4">
      <w:pPr>
        <w:rPr>
          <w:rFonts w:ascii="Times New Roman" w:hAnsi="Times New Roman"/>
        </w:rPr>
      </w:pPr>
      <w:r w:rsidRPr="00007350">
        <w:rPr>
          <w:rFonts w:ascii="Times New Roman" w:hAnsi="Times New Roman"/>
        </w:rPr>
        <w:t>2.</w:t>
      </w:r>
      <w:r w:rsidRPr="00007350">
        <w:rPr>
          <w:rFonts w:ascii="Times New Roman" w:hAnsi="Times New Roman"/>
        </w:rPr>
        <w:tab/>
      </w:r>
      <w:r w:rsidRPr="00007350">
        <w:rPr>
          <w:rFonts w:ascii="Times New Roman" w:hAnsi="Times New Roman"/>
          <w:u w:val="single"/>
        </w:rPr>
        <w:t>Use of the information:</w:t>
      </w:r>
    </w:p>
    <w:p w:rsidR="00EA17EC" w:rsidRPr="00007350" w:rsidRDefault="00EA17EC" w:rsidP="006C15B4">
      <w:pPr>
        <w:rPr>
          <w:rFonts w:ascii="Times New Roman" w:hAnsi="Times New Roman"/>
        </w:rPr>
      </w:pPr>
    </w:p>
    <w:p w:rsidR="00007350" w:rsidRDefault="00007350" w:rsidP="00007350">
      <w:pPr>
        <w:ind w:firstLine="720"/>
        <w:outlineLvl w:val="4"/>
        <w:rPr>
          <w:rFonts w:ascii="Times New Roman" w:hAnsi="Times New Roman"/>
        </w:rPr>
      </w:pPr>
      <w:r w:rsidRPr="00007350">
        <w:rPr>
          <w:rFonts w:ascii="Times New Roman" w:hAnsi="Times New Roman"/>
        </w:rPr>
        <w:t xml:space="preserve">The collection of information requirements in the </w:t>
      </w:r>
      <w:r w:rsidR="003F5D09">
        <w:rPr>
          <w:rFonts w:ascii="Times New Roman" w:hAnsi="Times New Roman"/>
        </w:rPr>
        <w:t>February</w:t>
      </w:r>
      <w:r w:rsidRPr="00007350">
        <w:rPr>
          <w:rFonts w:ascii="Times New Roman" w:hAnsi="Times New Roman"/>
        </w:rPr>
        <w:t xml:space="preserve"> 2013 Final Rule are found in </w:t>
      </w:r>
      <w:r w:rsidR="00124D1D" w:rsidRPr="00124D1D">
        <w:rPr>
          <w:rFonts w:ascii="Times New Roman" w:hAnsi="Times New Roman"/>
        </w:rPr>
        <w:t>12 CFR 34.203(c</w:t>
      </w:r>
      <w:proofErr w:type="gramStart"/>
      <w:r w:rsidR="00124D1D" w:rsidRPr="00124D1D">
        <w:rPr>
          <w:rFonts w:ascii="Times New Roman" w:hAnsi="Times New Roman"/>
        </w:rPr>
        <w:t>)(</w:t>
      </w:r>
      <w:proofErr w:type="gramEnd"/>
      <w:r w:rsidR="00124D1D" w:rsidRPr="00124D1D">
        <w:rPr>
          <w:rFonts w:ascii="Times New Roman" w:hAnsi="Times New Roman"/>
        </w:rPr>
        <w:t>1), (c)(2), (d), (e) and (f).</w:t>
      </w:r>
      <w:r w:rsidRPr="00124D1D">
        <w:rPr>
          <w:rFonts w:ascii="Times New Roman" w:hAnsi="Times New Roman"/>
        </w:rPr>
        <w:t xml:space="preserve">  This information is</w:t>
      </w:r>
      <w:r w:rsidRPr="00007350">
        <w:rPr>
          <w:rFonts w:ascii="Times New Roman" w:hAnsi="Times New Roman"/>
        </w:rPr>
        <w:t xml:space="preserve"> required to protect consumers and promote the safety and soundness of creditors making </w:t>
      </w:r>
      <w:r w:rsidR="004478ED">
        <w:rPr>
          <w:rFonts w:ascii="Times New Roman" w:hAnsi="Times New Roman"/>
        </w:rPr>
        <w:t>higher-priced mortgage loans (</w:t>
      </w:r>
      <w:r w:rsidRPr="00007350">
        <w:rPr>
          <w:rFonts w:ascii="Times New Roman" w:hAnsi="Times New Roman"/>
        </w:rPr>
        <w:t>HPMLs</w:t>
      </w:r>
      <w:r w:rsidR="004478ED">
        <w:rPr>
          <w:rFonts w:ascii="Times New Roman" w:hAnsi="Times New Roman"/>
        </w:rPr>
        <w:t>)</w:t>
      </w:r>
      <w:r w:rsidRPr="00007350">
        <w:rPr>
          <w:rFonts w:ascii="Times New Roman" w:hAnsi="Times New Roman"/>
        </w:rPr>
        <w:t xml:space="preserve"> subject to 12 CFR </w:t>
      </w:r>
      <w:proofErr w:type="gramStart"/>
      <w:r w:rsidR="00F36D0B">
        <w:rPr>
          <w:rFonts w:ascii="Times New Roman" w:hAnsi="Times New Roman"/>
        </w:rPr>
        <w:t>part</w:t>
      </w:r>
      <w:proofErr w:type="gramEnd"/>
      <w:r w:rsidR="00F36D0B">
        <w:rPr>
          <w:rFonts w:ascii="Times New Roman" w:hAnsi="Times New Roman"/>
        </w:rPr>
        <w:t xml:space="preserve"> 34, subpart G</w:t>
      </w:r>
      <w:r w:rsidRPr="00007350">
        <w:rPr>
          <w:rFonts w:ascii="Times New Roman" w:hAnsi="Times New Roman"/>
        </w:rPr>
        <w:t xml:space="preserve">.  This information is used by creditors to evaluate real estate collateral securing HPMLs subject to 12 CFR 1026.35(c) and by consumers entering these transactions.  The collections of information are mandatory for creditors making HPMLs subject to 12 CFR </w:t>
      </w:r>
      <w:proofErr w:type="gramStart"/>
      <w:r w:rsidR="00F36D0B">
        <w:rPr>
          <w:rFonts w:ascii="Times New Roman" w:hAnsi="Times New Roman"/>
        </w:rPr>
        <w:t>part</w:t>
      </w:r>
      <w:proofErr w:type="gramEnd"/>
      <w:r w:rsidR="00F36D0B">
        <w:rPr>
          <w:rFonts w:ascii="Times New Roman" w:hAnsi="Times New Roman"/>
        </w:rPr>
        <w:t xml:space="preserve"> 34, subpart G</w:t>
      </w:r>
      <w:r w:rsidRPr="00007350">
        <w:rPr>
          <w:rFonts w:ascii="Times New Roman" w:hAnsi="Times New Roman"/>
        </w:rPr>
        <w:t xml:space="preserve">.  </w:t>
      </w:r>
    </w:p>
    <w:p w:rsidR="00E747D3" w:rsidRPr="00007350" w:rsidRDefault="00E747D3" w:rsidP="00007350">
      <w:pPr>
        <w:ind w:firstLine="720"/>
        <w:outlineLvl w:val="4"/>
        <w:rPr>
          <w:rFonts w:ascii="Times New Roman" w:hAnsi="Times New Roman"/>
        </w:rPr>
      </w:pPr>
    </w:p>
    <w:p w:rsidR="00007350" w:rsidRDefault="00007350" w:rsidP="00007350">
      <w:pPr>
        <w:ind w:firstLine="720"/>
        <w:outlineLvl w:val="4"/>
        <w:rPr>
          <w:rFonts w:ascii="Times New Roman" w:hAnsi="Times New Roman"/>
        </w:rPr>
      </w:pPr>
      <w:r w:rsidRPr="00007350">
        <w:rPr>
          <w:rFonts w:ascii="Times New Roman" w:hAnsi="Times New Roman"/>
        </w:rPr>
        <w:t xml:space="preserve">The </w:t>
      </w:r>
      <w:r w:rsidR="003F5D09">
        <w:rPr>
          <w:rFonts w:ascii="Times New Roman" w:hAnsi="Times New Roman"/>
        </w:rPr>
        <w:t>February</w:t>
      </w:r>
      <w:r w:rsidRPr="00007350">
        <w:rPr>
          <w:rFonts w:ascii="Times New Roman" w:hAnsi="Times New Roman"/>
        </w:rPr>
        <w:t xml:space="preserve"> 2013 Final Rule requires that, within three business days of application, a creditor provide a disclosure that informs consumers of the purpose of the appraisal, that the </w:t>
      </w:r>
      <w:r w:rsidRPr="00007350">
        <w:rPr>
          <w:rFonts w:ascii="Times New Roman" w:hAnsi="Times New Roman"/>
        </w:rPr>
        <w:lastRenderedPageBreak/>
        <w:t>creditor will provide the consumer a copy of any appraisal, and that the consumer may choose to have a separate appraisal conducted at the expense of the consumer (Initial Appraisal Disclosure</w:t>
      </w:r>
      <w:r w:rsidR="00907E2C">
        <w:rPr>
          <w:rFonts w:ascii="Times New Roman" w:hAnsi="Times New Roman"/>
        </w:rPr>
        <w:t>)</w:t>
      </w:r>
      <w:r w:rsidR="00124D1D">
        <w:rPr>
          <w:rFonts w:ascii="Times New Roman" w:hAnsi="Times New Roman"/>
        </w:rPr>
        <w:t xml:space="preserve">.  </w:t>
      </w:r>
      <w:r w:rsidRPr="00007350">
        <w:rPr>
          <w:rFonts w:ascii="Times New Roman" w:hAnsi="Times New Roman"/>
        </w:rPr>
        <w:t xml:space="preserve">If a loan is a HPML subject to 12 CFR 1026.35(c), then the creditor is required to obtain a written appraisal prepared by a certified or licensed appraiser who conducts a physical visit of the interior of the property that will secure the transaction (Written Appraisal), and provide a copy of the Written Appraisal to the consumer.  To qualify for the safe harbor provided under the </w:t>
      </w:r>
      <w:r w:rsidR="00124D1D">
        <w:rPr>
          <w:rFonts w:ascii="Times New Roman" w:hAnsi="Times New Roman"/>
        </w:rPr>
        <w:t>Febr</w:t>
      </w:r>
      <w:r w:rsidRPr="00007350">
        <w:rPr>
          <w:rFonts w:ascii="Times New Roman" w:hAnsi="Times New Roman"/>
        </w:rPr>
        <w:t>uary 2013 Final Rule, a creditor is required to review the Written Appraisal</w:t>
      </w:r>
      <w:r w:rsidR="00124D1D">
        <w:rPr>
          <w:rFonts w:ascii="Times New Roman" w:hAnsi="Times New Roman"/>
        </w:rPr>
        <w:t>.</w:t>
      </w:r>
      <w:r w:rsidRPr="00007350">
        <w:rPr>
          <w:rFonts w:ascii="Times New Roman" w:hAnsi="Times New Roman"/>
        </w:rPr>
        <w:t xml:space="preserve">  </w:t>
      </w:r>
    </w:p>
    <w:p w:rsidR="00E747D3" w:rsidRPr="00007350" w:rsidRDefault="00E747D3" w:rsidP="00007350">
      <w:pPr>
        <w:ind w:firstLine="720"/>
        <w:outlineLvl w:val="4"/>
        <w:rPr>
          <w:rFonts w:ascii="Times New Roman" w:hAnsi="Times New Roman"/>
        </w:rPr>
      </w:pPr>
    </w:p>
    <w:p w:rsidR="00B35ADE" w:rsidRDefault="00007350" w:rsidP="00007350">
      <w:pPr>
        <w:ind w:firstLine="720"/>
        <w:outlineLvl w:val="4"/>
        <w:rPr>
          <w:rFonts w:ascii="Times New Roman" w:hAnsi="Times New Roman"/>
        </w:rPr>
      </w:pPr>
      <w:proofErr w:type="gramStart"/>
      <w:r w:rsidRPr="00007350">
        <w:rPr>
          <w:rFonts w:ascii="Times New Roman" w:hAnsi="Times New Roman"/>
        </w:rPr>
        <w:t xml:space="preserve">A creditor is required to obtain an additional appraisal (Additional Written Appraisal) for a HPML that is subject to 12 CFR </w:t>
      </w:r>
      <w:r w:rsidR="00690FB0">
        <w:rPr>
          <w:rFonts w:ascii="Times New Roman" w:hAnsi="Times New Roman"/>
        </w:rPr>
        <w:t>part 34, subpart G</w:t>
      </w:r>
      <w:r w:rsidRPr="00007350">
        <w:rPr>
          <w:rFonts w:ascii="Times New Roman" w:hAnsi="Times New Roman"/>
        </w:rPr>
        <w:t xml:space="preserve"> the seller acquired the property securing the loan 90 or fewer days prior to the date of the consumer’s agreement to acquire the property and the resale price exceeds the seller’s acquisition price by more than 10 percent; or (2) the seller acquired the property securing the loan 91 to 180 days prior to the date of the consumer’s agreement to acquire the property and the resale price exceeds the seller’s acquisition price by more than 20 percent.</w:t>
      </w:r>
      <w:proofErr w:type="gramEnd"/>
      <w:r w:rsidRPr="00007350">
        <w:rPr>
          <w:rFonts w:ascii="Times New Roman" w:hAnsi="Times New Roman"/>
        </w:rPr>
        <w:t xml:space="preserve">  </w:t>
      </w:r>
    </w:p>
    <w:p w:rsidR="00B35ADE" w:rsidRDefault="00B35ADE" w:rsidP="00007350">
      <w:pPr>
        <w:ind w:firstLine="720"/>
        <w:outlineLvl w:val="4"/>
        <w:rPr>
          <w:rFonts w:ascii="Times New Roman" w:hAnsi="Times New Roman"/>
        </w:rPr>
      </w:pPr>
    </w:p>
    <w:p w:rsidR="00007350" w:rsidRDefault="00007350" w:rsidP="00007350">
      <w:pPr>
        <w:ind w:firstLine="720"/>
        <w:outlineLvl w:val="4"/>
        <w:rPr>
          <w:rFonts w:ascii="Times New Roman" w:hAnsi="Times New Roman"/>
        </w:rPr>
      </w:pPr>
      <w:proofErr w:type="gramStart"/>
      <w:r w:rsidRPr="00007350">
        <w:rPr>
          <w:rFonts w:ascii="Times New Roman" w:hAnsi="Times New Roman"/>
        </w:rPr>
        <w:t>The Additional Written Appraisal must meet the requirements described above and also analyze: (1) the difference between the price at which the seller acquired the property and the price the consumer agreed to pay; (2) changes in market conditions between the date the seller acquired the property and the date the consumer agreed to acquire the property; and (3) any improvements made to the property between the date the seller acquired the property and the date on which the consumer agreed to acquire the property.</w:t>
      </w:r>
      <w:proofErr w:type="gramEnd"/>
      <w:r w:rsidRPr="00007350">
        <w:rPr>
          <w:rFonts w:ascii="Times New Roman" w:hAnsi="Times New Roman"/>
        </w:rPr>
        <w:t xml:space="preserve">  A creditor is also required to provide a copy of the Additional Writ</w:t>
      </w:r>
      <w:r w:rsidR="00B35ADE">
        <w:rPr>
          <w:rFonts w:ascii="Times New Roman" w:hAnsi="Times New Roman"/>
        </w:rPr>
        <w:t xml:space="preserve">ten Appraisal to the consumer. </w:t>
      </w:r>
      <w:r w:rsidRPr="00007350">
        <w:rPr>
          <w:rFonts w:ascii="Times New Roman" w:hAnsi="Times New Roman"/>
        </w:rPr>
        <w:t xml:space="preserve"> </w:t>
      </w:r>
    </w:p>
    <w:p w:rsidR="00691C16" w:rsidRPr="006C15B4" w:rsidRDefault="00691C16" w:rsidP="006C15B4">
      <w:pPr>
        <w:pStyle w:val="ListParagraph"/>
        <w:ind w:left="1080"/>
        <w:rPr>
          <w:rFonts w:cs="Times New Roman"/>
          <w:szCs w:val="24"/>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3.</w:t>
      </w:r>
      <w:r w:rsidRPr="006C15B4">
        <w:rPr>
          <w:rFonts w:ascii="Times New Roman" w:hAnsi="Times New Roman"/>
        </w:rPr>
        <w:tab/>
      </w:r>
      <w:r w:rsidRPr="006C15B4">
        <w:rPr>
          <w:rFonts w:ascii="Times New Roman" w:hAnsi="Times New Roman"/>
          <w:u w:val="single"/>
        </w:rPr>
        <w:t>Consideration of the use of improved information technology:</w:t>
      </w:r>
    </w:p>
    <w:p w:rsidR="00EA17EC" w:rsidRPr="006C15B4" w:rsidRDefault="00EA17EC" w:rsidP="006C15B4">
      <w:pPr>
        <w:rPr>
          <w:rFonts w:ascii="Times New Roman" w:hAnsi="Times New Roman"/>
        </w:rPr>
      </w:pPr>
    </w:p>
    <w:p w:rsidR="008349A5" w:rsidRPr="006C15B4" w:rsidRDefault="00D061A7" w:rsidP="00477DFB">
      <w:pPr>
        <w:ind w:firstLine="720"/>
        <w:rPr>
          <w:rFonts w:ascii="Times New Roman" w:hAnsi="Times New Roman"/>
        </w:rPr>
      </w:pPr>
      <w:r w:rsidRPr="006C15B4">
        <w:rPr>
          <w:rFonts w:ascii="Times New Roman" w:hAnsi="Times New Roman"/>
        </w:rPr>
        <w:t>Respondents may use any type of improved information technology they have available to meet the requirements of this regulation.</w:t>
      </w:r>
    </w:p>
    <w:p w:rsidR="007A12D6" w:rsidRPr="006C15B4" w:rsidRDefault="007A12D6" w:rsidP="006C15B4">
      <w:pPr>
        <w:ind w:left="720"/>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4.</w:t>
      </w:r>
      <w:r w:rsidRPr="006C15B4">
        <w:rPr>
          <w:rFonts w:ascii="Times New Roman" w:hAnsi="Times New Roman"/>
        </w:rPr>
        <w:tab/>
      </w:r>
      <w:r w:rsidRPr="006C15B4">
        <w:rPr>
          <w:rFonts w:ascii="Times New Roman" w:hAnsi="Times New Roman"/>
          <w:u w:val="single"/>
        </w:rPr>
        <w:t>Efforts to identify duplication:</w:t>
      </w:r>
    </w:p>
    <w:p w:rsidR="00EA17EC" w:rsidRPr="006C15B4" w:rsidRDefault="00EA17EC" w:rsidP="006C15B4">
      <w:pPr>
        <w:rPr>
          <w:rFonts w:ascii="Times New Roman" w:hAnsi="Times New Roman"/>
        </w:rPr>
      </w:pPr>
    </w:p>
    <w:p w:rsidR="00EA17EC" w:rsidRPr="006C15B4" w:rsidRDefault="00D061A7" w:rsidP="006C15B4">
      <w:pPr>
        <w:rPr>
          <w:rFonts w:ascii="Times New Roman" w:hAnsi="Times New Roman"/>
        </w:rPr>
      </w:pPr>
      <w:r w:rsidRPr="006C15B4">
        <w:rPr>
          <w:rFonts w:ascii="Times New Roman" w:hAnsi="Times New Roman"/>
        </w:rPr>
        <w:tab/>
        <w:t>This information is not available elsewhere.</w:t>
      </w:r>
    </w:p>
    <w:p w:rsidR="00D061A7" w:rsidRPr="006C15B4" w:rsidRDefault="00D061A7" w:rsidP="006C15B4">
      <w:pPr>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5.</w:t>
      </w:r>
      <w:r w:rsidRPr="006C15B4">
        <w:rPr>
          <w:rFonts w:ascii="Times New Roman" w:hAnsi="Times New Roman"/>
        </w:rPr>
        <w:tab/>
      </w:r>
      <w:r w:rsidRPr="006C15B4">
        <w:rPr>
          <w:rFonts w:ascii="Times New Roman" w:hAnsi="Times New Roman"/>
          <w:u w:val="single"/>
        </w:rPr>
        <w:t>Methods used to minimize burden if the collection has a significant impact on substantial number of small entities:</w:t>
      </w:r>
    </w:p>
    <w:p w:rsidR="00EA17EC" w:rsidRPr="006C15B4" w:rsidRDefault="00EA17EC" w:rsidP="006C15B4">
      <w:pPr>
        <w:rPr>
          <w:rFonts w:ascii="Times New Roman" w:hAnsi="Times New Roman"/>
        </w:rPr>
      </w:pPr>
    </w:p>
    <w:p w:rsidR="00EA17EC" w:rsidRPr="006C15B4" w:rsidRDefault="00D061A7" w:rsidP="00477DFB">
      <w:pPr>
        <w:ind w:firstLine="720"/>
        <w:rPr>
          <w:rFonts w:ascii="Times New Roman" w:hAnsi="Times New Roman"/>
        </w:rPr>
      </w:pPr>
      <w:r w:rsidRPr="006C15B4">
        <w:rPr>
          <w:rFonts w:ascii="Times New Roman" w:hAnsi="Times New Roman"/>
        </w:rPr>
        <w:t>This collection does not have a significant impact on a substantial number of small entities.</w:t>
      </w:r>
    </w:p>
    <w:p w:rsidR="00D061A7" w:rsidRPr="006C15B4" w:rsidRDefault="00D061A7" w:rsidP="006C15B4">
      <w:pPr>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6.</w:t>
      </w:r>
      <w:r w:rsidRPr="006C15B4">
        <w:rPr>
          <w:rFonts w:ascii="Times New Roman" w:hAnsi="Times New Roman"/>
        </w:rPr>
        <w:tab/>
      </w:r>
      <w:r w:rsidRPr="006C15B4">
        <w:rPr>
          <w:rFonts w:ascii="Times New Roman" w:hAnsi="Times New Roman"/>
          <w:u w:val="single"/>
        </w:rPr>
        <w:t xml:space="preserve">Consequences to the Federal program if the collection </w:t>
      </w:r>
      <w:proofErr w:type="gramStart"/>
      <w:r w:rsidRPr="006C15B4">
        <w:rPr>
          <w:rFonts w:ascii="Times New Roman" w:hAnsi="Times New Roman"/>
          <w:u w:val="single"/>
        </w:rPr>
        <w:t>were conducted</w:t>
      </w:r>
      <w:proofErr w:type="gramEnd"/>
      <w:r w:rsidRPr="006C15B4">
        <w:rPr>
          <w:rFonts w:ascii="Times New Roman" w:hAnsi="Times New Roman"/>
          <w:u w:val="single"/>
        </w:rPr>
        <w:t xml:space="preserve"> less frequently:</w:t>
      </w:r>
    </w:p>
    <w:p w:rsidR="00EA17EC" w:rsidRPr="006C15B4" w:rsidRDefault="00EA17EC" w:rsidP="006C15B4">
      <w:pPr>
        <w:rPr>
          <w:rFonts w:ascii="Times New Roman" w:hAnsi="Times New Roman"/>
        </w:rPr>
      </w:pPr>
    </w:p>
    <w:p w:rsidR="00D061A7" w:rsidRPr="006C15B4" w:rsidRDefault="00D061A7" w:rsidP="006C15B4">
      <w:pPr>
        <w:rPr>
          <w:rFonts w:ascii="Times New Roman" w:hAnsi="Times New Roman"/>
        </w:rPr>
      </w:pPr>
      <w:r w:rsidRPr="006C15B4">
        <w:rPr>
          <w:rFonts w:ascii="Times New Roman" w:hAnsi="Times New Roman"/>
        </w:rPr>
        <w:tab/>
        <w:t>Less frequent collection would result in safety and soundness concerns.</w:t>
      </w:r>
    </w:p>
    <w:p w:rsidR="00EA17EC" w:rsidRPr="006C15B4" w:rsidRDefault="00EA17EC" w:rsidP="006C15B4">
      <w:pPr>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7.</w:t>
      </w:r>
      <w:r w:rsidRPr="006C15B4">
        <w:rPr>
          <w:rFonts w:ascii="Times New Roman" w:hAnsi="Times New Roman"/>
        </w:rPr>
        <w:tab/>
      </w:r>
      <w:r w:rsidRPr="006C15B4">
        <w:rPr>
          <w:rFonts w:ascii="Times New Roman" w:hAnsi="Times New Roman"/>
          <w:u w:val="single"/>
        </w:rPr>
        <w:t xml:space="preserve">Special circumstances necessitating collection inconsistent with </w:t>
      </w:r>
      <w:proofErr w:type="gramStart"/>
      <w:r w:rsidRPr="006C15B4">
        <w:rPr>
          <w:rFonts w:ascii="Times New Roman" w:hAnsi="Times New Roman"/>
          <w:u w:val="single"/>
        </w:rPr>
        <w:t>5</w:t>
      </w:r>
      <w:proofErr w:type="gramEnd"/>
      <w:r w:rsidRPr="006C15B4">
        <w:rPr>
          <w:rFonts w:ascii="Times New Roman" w:hAnsi="Times New Roman"/>
          <w:u w:val="single"/>
        </w:rPr>
        <w:t xml:space="preserve"> CFR Part 1320:</w:t>
      </w:r>
    </w:p>
    <w:p w:rsidR="00EA17EC" w:rsidRPr="006C15B4" w:rsidRDefault="00EA17EC" w:rsidP="006C15B4">
      <w:pPr>
        <w:rPr>
          <w:rFonts w:ascii="Times New Roman" w:hAnsi="Times New Roman"/>
        </w:rPr>
      </w:pPr>
    </w:p>
    <w:p w:rsidR="00EA17EC" w:rsidRPr="006C15B4" w:rsidRDefault="00EA17EC" w:rsidP="006C15B4">
      <w:pPr>
        <w:ind w:firstLine="720"/>
        <w:rPr>
          <w:rFonts w:ascii="Times New Roman" w:hAnsi="Times New Roman"/>
        </w:rPr>
      </w:pPr>
      <w:r w:rsidRPr="006C15B4">
        <w:rPr>
          <w:rFonts w:ascii="Times New Roman" w:hAnsi="Times New Roman"/>
        </w:rPr>
        <w:t xml:space="preserve">This collection is conducted in accordance with the guidelines in </w:t>
      </w:r>
      <w:proofErr w:type="gramStart"/>
      <w:r w:rsidRPr="006C15B4">
        <w:rPr>
          <w:rFonts w:ascii="Times New Roman" w:hAnsi="Times New Roman"/>
        </w:rPr>
        <w:t>5</w:t>
      </w:r>
      <w:proofErr w:type="gramEnd"/>
      <w:r w:rsidRPr="006C15B4">
        <w:rPr>
          <w:rFonts w:ascii="Times New Roman" w:hAnsi="Times New Roman"/>
        </w:rPr>
        <w:t xml:space="preserve"> CFR 1320.6.</w:t>
      </w:r>
    </w:p>
    <w:p w:rsidR="00EA17EC" w:rsidRPr="006C15B4" w:rsidRDefault="00EA17EC" w:rsidP="006C15B4">
      <w:pPr>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8.</w:t>
      </w:r>
      <w:r w:rsidRPr="006C15B4">
        <w:rPr>
          <w:rFonts w:ascii="Times New Roman" w:hAnsi="Times New Roman"/>
        </w:rPr>
        <w:tab/>
      </w:r>
      <w:r w:rsidRPr="006C15B4">
        <w:rPr>
          <w:rFonts w:ascii="Times New Roman" w:hAnsi="Times New Roman"/>
          <w:u w:val="single"/>
        </w:rPr>
        <w:t>Efforts to consult with persons outside the agency:</w:t>
      </w:r>
    </w:p>
    <w:p w:rsidR="00EA17EC" w:rsidRPr="006C15B4" w:rsidRDefault="00EA17EC" w:rsidP="006C15B4">
      <w:pPr>
        <w:widowControl/>
        <w:rPr>
          <w:rFonts w:ascii="Times New Roman" w:hAnsi="Times New Roman"/>
        </w:rPr>
      </w:pPr>
    </w:p>
    <w:p w:rsidR="00EA17EC" w:rsidRPr="006C15B4" w:rsidRDefault="00D061A7" w:rsidP="00477DFB">
      <w:pPr>
        <w:pStyle w:val="Heading2"/>
        <w:ind w:firstLine="720"/>
        <w:jc w:val="left"/>
        <w:rPr>
          <w:rFonts w:ascii="Times New Roman" w:hAnsi="Times New Roman"/>
          <w:i w:val="0"/>
          <w:iCs/>
          <w:szCs w:val="24"/>
        </w:rPr>
      </w:pPr>
      <w:r w:rsidRPr="006C15B4">
        <w:rPr>
          <w:rFonts w:ascii="Times New Roman" w:hAnsi="Times New Roman"/>
          <w:i w:val="0"/>
          <w:iCs/>
          <w:szCs w:val="24"/>
        </w:rPr>
        <w:t xml:space="preserve">On </w:t>
      </w:r>
      <w:r w:rsidR="000348F8" w:rsidRPr="006C15B4">
        <w:rPr>
          <w:rFonts w:ascii="Times New Roman" w:hAnsi="Times New Roman"/>
          <w:i w:val="0"/>
          <w:iCs/>
          <w:szCs w:val="24"/>
        </w:rPr>
        <w:t xml:space="preserve">August 8, 2013, </w:t>
      </w:r>
      <w:r w:rsidRPr="006C15B4">
        <w:rPr>
          <w:rFonts w:ascii="Times New Roman" w:hAnsi="Times New Roman"/>
          <w:i w:val="0"/>
          <w:iCs/>
          <w:szCs w:val="24"/>
        </w:rPr>
        <w:t xml:space="preserve">the </w:t>
      </w:r>
      <w:r w:rsidR="00800BC5" w:rsidRPr="006C15B4">
        <w:rPr>
          <w:rFonts w:ascii="Times New Roman" w:hAnsi="Times New Roman"/>
          <w:i w:val="0"/>
          <w:iCs/>
          <w:szCs w:val="24"/>
        </w:rPr>
        <w:t>Agencies</w:t>
      </w:r>
      <w:r w:rsidRPr="006C15B4">
        <w:rPr>
          <w:rFonts w:ascii="Times New Roman" w:hAnsi="Times New Roman"/>
          <w:i w:val="0"/>
          <w:iCs/>
          <w:szCs w:val="24"/>
        </w:rPr>
        <w:t xml:space="preserve"> issued a no</w:t>
      </w:r>
      <w:r w:rsidR="00683D1B" w:rsidRPr="006C15B4">
        <w:rPr>
          <w:rFonts w:ascii="Times New Roman" w:hAnsi="Times New Roman"/>
          <w:i w:val="0"/>
          <w:iCs/>
          <w:szCs w:val="24"/>
        </w:rPr>
        <w:t xml:space="preserve">tice of proposed rulemaking </w:t>
      </w:r>
      <w:r w:rsidR="009C036E">
        <w:rPr>
          <w:rFonts w:ascii="Times New Roman" w:hAnsi="Times New Roman"/>
          <w:i w:val="0"/>
          <w:iCs/>
          <w:szCs w:val="24"/>
        </w:rPr>
        <w:t>(Supplemental Proposal) (78 FR 48548)</w:t>
      </w:r>
      <w:r w:rsidR="000348F8" w:rsidRPr="006C15B4">
        <w:rPr>
          <w:rFonts w:ascii="Times New Roman" w:hAnsi="Times New Roman"/>
          <w:i w:val="0"/>
          <w:iCs/>
          <w:szCs w:val="24"/>
        </w:rPr>
        <w:t xml:space="preserve"> </w:t>
      </w:r>
      <w:r w:rsidR="00683D1B" w:rsidRPr="006C15B4">
        <w:rPr>
          <w:rFonts w:ascii="Times New Roman" w:hAnsi="Times New Roman"/>
          <w:i w:val="0"/>
          <w:iCs/>
          <w:szCs w:val="24"/>
        </w:rPr>
        <w:t xml:space="preserve">for </w:t>
      </w:r>
      <w:r w:rsidR="00BD30A0" w:rsidRPr="006C15B4">
        <w:rPr>
          <w:rFonts w:ascii="Times New Roman" w:hAnsi="Times New Roman"/>
          <w:i w:val="0"/>
          <w:iCs/>
          <w:szCs w:val="24"/>
        </w:rPr>
        <w:t xml:space="preserve">comment.  </w:t>
      </w:r>
      <w:r w:rsidR="008849CD">
        <w:rPr>
          <w:rFonts w:ascii="Times New Roman" w:hAnsi="Times New Roman"/>
          <w:i w:val="0"/>
          <w:iCs/>
          <w:szCs w:val="24"/>
        </w:rPr>
        <w:t xml:space="preserve">No comments </w:t>
      </w:r>
      <w:proofErr w:type="gramStart"/>
      <w:r w:rsidR="008849CD">
        <w:rPr>
          <w:rFonts w:ascii="Times New Roman" w:hAnsi="Times New Roman"/>
          <w:i w:val="0"/>
          <w:iCs/>
          <w:szCs w:val="24"/>
        </w:rPr>
        <w:t>were received</w:t>
      </w:r>
      <w:proofErr w:type="gramEnd"/>
      <w:r w:rsidR="008849CD">
        <w:rPr>
          <w:rFonts w:ascii="Times New Roman" w:hAnsi="Times New Roman"/>
          <w:i w:val="0"/>
          <w:iCs/>
          <w:szCs w:val="24"/>
        </w:rPr>
        <w:t xml:space="preserve"> in regarding the information collection requirements.</w:t>
      </w:r>
    </w:p>
    <w:p w:rsidR="00D061A7" w:rsidRPr="006C15B4" w:rsidRDefault="00D061A7" w:rsidP="006C15B4">
      <w:pPr>
        <w:rPr>
          <w:rFonts w:ascii="Times New Roman" w:hAnsi="Times New Roman"/>
        </w:rPr>
      </w:pPr>
    </w:p>
    <w:p w:rsidR="00EA17EC" w:rsidRPr="006C15B4" w:rsidRDefault="00EA17EC" w:rsidP="006C15B4">
      <w:pPr>
        <w:rPr>
          <w:rFonts w:ascii="Times New Roman" w:hAnsi="Times New Roman"/>
          <w:u w:val="single"/>
        </w:rPr>
      </w:pPr>
      <w:proofErr w:type="gramStart"/>
      <w:r w:rsidRPr="006C15B4">
        <w:rPr>
          <w:rFonts w:ascii="Times New Roman" w:hAnsi="Times New Roman"/>
        </w:rPr>
        <w:t>9.</w:t>
      </w:r>
      <w:r w:rsidRPr="006C15B4">
        <w:rPr>
          <w:rFonts w:ascii="Times New Roman" w:hAnsi="Times New Roman"/>
        </w:rPr>
        <w:tab/>
      </w:r>
      <w:r w:rsidRPr="006C15B4">
        <w:rPr>
          <w:rFonts w:ascii="Times New Roman" w:hAnsi="Times New Roman"/>
          <w:u w:val="single"/>
        </w:rPr>
        <w:t>Payment to respondents.</w:t>
      </w:r>
      <w:proofErr w:type="gramEnd"/>
    </w:p>
    <w:p w:rsidR="00EA17EC" w:rsidRPr="006C15B4" w:rsidRDefault="00EA17EC" w:rsidP="006C15B4">
      <w:pPr>
        <w:rPr>
          <w:rFonts w:ascii="Times New Roman" w:hAnsi="Times New Roman"/>
          <w:u w:val="single"/>
        </w:rPr>
      </w:pPr>
    </w:p>
    <w:p w:rsidR="00EA17EC" w:rsidRPr="006C15B4" w:rsidRDefault="00EA17EC" w:rsidP="006C15B4">
      <w:pPr>
        <w:ind w:firstLine="720"/>
        <w:rPr>
          <w:rFonts w:ascii="Times New Roman" w:hAnsi="Times New Roman"/>
        </w:rPr>
      </w:pPr>
      <w:r w:rsidRPr="006C15B4">
        <w:rPr>
          <w:rFonts w:ascii="Times New Roman" w:hAnsi="Times New Roman"/>
        </w:rPr>
        <w:t>There is no payment to respondents.</w:t>
      </w:r>
    </w:p>
    <w:p w:rsidR="003B45B3" w:rsidRPr="006C15B4" w:rsidRDefault="003B45B3" w:rsidP="006C15B4">
      <w:pPr>
        <w:tabs>
          <w:tab w:val="left" w:pos="-1440"/>
        </w:tabs>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10.</w:t>
      </w:r>
      <w:r w:rsidRPr="006C15B4">
        <w:rPr>
          <w:rFonts w:ascii="Times New Roman" w:hAnsi="Times New Roman"/>
        </w:rPr>
        <w:tab/>
      </w:r>
      <w:r w:rsidRPr="006C15B4">
        <w:rPr>
          <w:rFonts w:ascii="Times New Roman" w:hAnsi="Times New Roman"/>
          <w:u w:val="single"/>
        </w:rPr>
        <w:t>Any assurance of confidentiality:</w:t>
      </w:r>
    </w:p>
    <w:p w:rsidR="00EA17EC" w:rsidRPr="006C15B4" w:rsidRDefault="00EA17EC" w:rsidP="006C15B4">
      <w:pPr>
        <w:rPr>
          <w:rFonts w:ascii="Times New Roman" w:hAnsi="Times New Roman"/>
        </w:rPr>
      </w:pPr>
    </w:p>
    <w:p w:rsidR="00EA17EC" w:rsidRPr="006C15B4" w:rsidRDefault="003B45B3" w:rsidP="006C15B4">
      <w:pPr>
        <w:ind w:firstLine="720"/>
        <w:rPr>
          <w:rFonts w:ascii="Times New Roman" w:hAnsi="Times New Roman"/>
        </w:rPr>
      </w:pPr>
      <w:r w:rsidRPr="006C15B4">
        <w:rPr>
          <w:rFonts w:ascii="Times New Roman" w:hAnsi="Times New Roman"/>
        </w:rPr>
        <w:t>There is n</w:t>
      </w:r>
      <w:r w:rsidR="00EA17EC" w:rsidRPr="006C15B4">
        <w:rPr>
          <w:rFonts w:ascii="Times New Roman" w:hAnsi="Times New Roman"/>
        </w:rPr>
        <w:t>o assurance of confidentiality</w:t>
      </w:r>
      <w:r w:rsidRPr="006C15B4">
        <w:rPr>
          <w:rFonts w:ascii="Times New Roman" w:hAnsi="Times New Roman"/>
        </w:rPr>
        <w:t>.</w:t>
      </w:r>
      <w:r w:rsidR="00EA17EC" w:rsidRPr="006C15B4">
        <w:rPr>
          <w:rFonts w:ascii="Times New Roman" w:hAnsi="Times New Roman"/>
        </w:rPr>
        <w:tab/>
      </w:r>
    </w:p>
    <w:p w:rsidR="00EA17EC" w:rsidRPr="006C15B4" w:rsidRDefault="00EA17EC" w:rsidP="006C15B4">
      <w:pPr>
        <w:rPr>
          <w:rFonts w:ascii="Times New Roman" w:hAnsi="Times New Roman"/>
        </w:rPr>
      </w:pPr>
    </w:p>
    <w:p w:rsidR="00EA17EC" w:rsidRPr="006C15B4" w:rsidRDefault="00EA17EC" w:rsidP="006C15B4">
      <w:pPr>
        <w:tabs>
          <w:tab w:val="left" w:pos="-1440"/>
        </w:tabs>
        <w:ind w:left="720" w:hanging="720"/>
        <w:rPr>
          <w:rFonts w:ascii="Times New Roman" w:hAnsi="Times New Roman"/>
        </w:rPr>
      </w:pPr>
      <w:r w:rsidRPr="006C15B4">
        <w:rPr>
          <w:rFonts w:ascii="Times New Roman" w:hAnsi="Times New Roman"/>
        </w:rPr>
        <w:t>11.</w:t>
      </w:r>
      <w:r w:rsidRPr="006C15B4">
        <w:rPr>
          <w:rFonts w:ascii="Times New Roman" w:hAnsi="Times New Roman"/>
        </w:rPr>
        <w:tab/>
      </w:r>
      <w:r w:rsidRPr="006C15B4">
        <w:rPr>
          <w:rFonts w:ascii="Times New Roman" w:hAnsi="Times New Roman"/>
          <w:u w:val="single"/>
        </w:rPr>
        <w:t>Justification for questions of a sensitive nature:</w:t>
      </w:r>
    </w:p>
    <w:p w:rsidR="00EA17EC" w:rsidRPr="006C15B4" w:rsidRDefault="00EA17EC" w:rsidP="006C15B4">
      <w:pPr>
        <w:rPr>
          <w:rFonts w:ascii="Times New Roman" w:hAnsi="Times New Roman"/>
        </w:rPr>
      </w:pPr>
    </w:p>
    <w:p w:rsidR="00FA5900" w:rsidRPr="006C15B4" w:rsidRDefault="00D936AB" w:rsidP="006C15B4">
      <w:pPr>
        <w:ind w:firstLine="720"/>
        <w:rPr>
          <w:rFonts w:ascii="Times New Roman" w:hAnsi="Times New Roman"/>
        </w:rPr>
      </w:pPr>
      <w:r>
        <w:rPr>
          <w:rFonts w:ascii="Times New Roman" w:hAnsi="Times New Roman"/>
        </w:rPr>
        <w:t>Not applicable</w:t>
      </w:r>
      <w:bookmarkStart w:id="0" w:name="_GoBack"/>
      <w:bookmarkEnd w:id="0"/>
      <w:r w:rsidR="003B45B3" w:rsidRPr="006C15B4">
        <w:rPr>
          <w:rFonts w:ascii="Times New Roman" w:hAnsi="Times New Roman"/>
        </w:rPr>
        <w:t>.</w:t>
      </w:r>
      <w:r w:rsidR="00DB3D9A">
        <w:rPr>
          <w:rFonts w:ascii="Times New Roman" w:hAnsi="Times New Roman"/>
        </w:rPr>
        <w:t xml:space="preserve">  No personally identifiable information is collected.</w:t>
      </w:r>
    </w:p>
    <w:p w:rsidR="006023E3" w:rsidRPr="006C15B4" w:rsidRDefault="006023E3" w:rsidP="006C15B4">
      <w:pPr>
        <w:tabs>
          <w:tab w:val="left" w:pos="-1440"/>
        </w:tabs>
        <w:rPr>
          <w:rFonts w:ascii="Times New Roman" w:hAnsi="Times New Roman"/>
        </w:rPr>
      </w:pPr>
    </w:p>
    <w:p w:rsidR="00EA17EC" w:rsidRDefault="00EA17EC" w:rsidP="006C15B4">
      <w:pPr>
        <w:tabs>
          <w:tab w:val="left" w:pos="-1440"/>
        </w:tabs>
        <w:rPr>
          <w:rFonts w:ascii="Times New Roman" w:hAnsi="Times New Roman"/>
          <w:u w:val="single"/>
        </w:rPr>
      </w:pPr>
      <w:r w:rsidRPr="006C15B4">
        <w:rPr>
          <w:rFonts w:ascii="Times New Roman" w:hAnsi="Times New Roman"/>
        </w:rPr>
        <w:t>12.</w:t>
      </w:r>
      <w:r w:rsidRPr="006C15B4">
        <w:rPr>
          <w:rFonts w:ascii="Times New Roman" w:hAnsi="Times New Roman"/>
        </w:rPr>
        <w:tab/>
      </w:r>
      <w:r w:rsidR="00A04829" w:rsidRPr="006C15B4">
        <w:rPr>
          <w:rFonts w:ascii="Times New Roman" w:hAnsi="Times New Roman"/>
          <w:u w:val="single"/>
        </w:rPr>
        <w:t>Estimate of Hour</w:t>
      </w:r>
      <w:r w:rsidR="00A04829" w:rsidRPr="00BB7706">
        <w:rPr>
          <w:rFonts w:ascii="Times New Roman" w:hAnsi="Times New Roman"/>
          <w:u w:val="single"/>
        </w:rPr>
        <w:t xml:space="preserve"> </w:t>
      </w:r>
      <w:r w:rsidRPr="006C15B4">
        <w:rPr>
          <w:rFonts w:ascii="Times New Roman" w:hAnsi="Times New Roman"/>
          <w:u w:val="single"/>
        </w:rPr>
        <w:t xml:space="preserve">Burden </w:t>
      </w:r>
      <w:r w:rsidR="00A04829" w:rsidRPr="006C15B4">
        <w:rPr>
          <w:rFonts w:ascii="Times New Roman" w:hAnsi="Times New Roman"/>
          <w:u w:val="single"/>
        </w:rPr>
        <w:t>Including Annualized Hourly Costs</w:t>
      </w:r>
      <w:r w:rsidRPr="006C15B4">
        <w:rPr>
          <w:rFonts w:ascii="Times New Roman" w:hAnsi="Times New Roman"/>
          <w:u w:val="single"/>
        </w:rPr>
        <w:t>:</w:t>
      </w:r>
    </w:p>
    <w:p w:rsidR="004C718D" w:rsidRPr="006C15B4" w:rsidRDefault="004C718D" w:rsidP="00F422EA">
      <w:pPr>
        <w:pStyle w:val="Default"/>
        <w:rPr>
          <w:i/>
          <w:iCs/>
        </w:rPr>
      </w:pPr>
    </w:p>
    <w:p w:rsidR="00F422EA" w:rsidRDefault="00823AA1" w:rsidP="00F422EA">
      <w:pPr>
        <w:pStyle w:val="Default"/>
        <w:rPr>
          <w:u w:val="single"/>
        </w:rPr>
      </w:pPr>
      <w:r>
        <w:rPr>
          <w:u w:val="single"/>
        </w:rPr>
        <w:t>February</w:t>
      </w:r>
      <w:r w:rsidR="00F422EA" w:rsidRPr="006C15B4">
        <w:rPr>
          <w:u w:val="single"/>
        </w:rPr>
        <w:t xml:space="preserve"> 2013 Final Rule</w:t>
      </w:r>
    </w:p>
    <w:p w:rsidR="004C718D" w:rsidRPr="006C15B4" w:rsidRDefault="004C718D" w:rsidP="00F422EA">
      <w:pPr>
        <w:pStyle w:val="Default"/>
        <w:rPr>
          <w:iCs/>
          <w:u w:val="single"/>
        </w:rPr>
      </w:pPr>
    </w:p>
    <w:p w:rsidR="00F422EA" w:rsidRDefault="00E57182" w:rsidP="00F422EA">
      <w:pPr>
        <w:ind w:firstLine="720"/>
        <w:rPr>
          <w:rFonts w:ascii="Times New Roman" w:hAnsi="Times New Roman"/>
        </w:rPr>
      </w:pPr>
      <w:r>
        <w:rPr>
          <w:rFonts w:ascii="Times New Roman" w:hAnsi="Times New Roman"/>
        </w:rPr>
        <w:t>F</w:t>
      </w:r>
      <w:r w:rsidR="00F422EA" w:rsidRPr="006C15B4">
        <w:rPr>
          <w:rFonts w:ascii="Times New Roman" w:hAnsi="Times New Roman"/>
        </w:rPr>
        <w:t xml:space="preserve">or the Initial Appraisal Disclosure, the creditor is required to provide a short, written disclosure within three business days of application.  Because </w:t>
      </w:r>
      <w:proofErr w:type="gramStart"/>
      <w:r w:rsidR="00F422EA" w:rsidRPr="006C15B4">
        <w:rPr>
          <w:rFonts w:ascii="Times New Roman" w:hAnsi="Times New Roman"/>
        </w:rPr>
        <w:t>this disclosure is supplied by the federal government for purpose of disclosure to the public</w:t>
      </w:r>
      <w:proofErr w:type="gramEnd"/>
      <w:r w:rsidR="00F422EA" w:rsidRPr="006C15B4">
        <w:rPr>
          <w:rFonts w:ascii="Times New Roman" w:hAnsi="Times New Roman"/>
        </w:rPr>
        <w:t>, this is not classified as an info</w:t>
      </w:r>
      <w:r w:rsidR="006B574D">
        <w:rPr>
          <w:rFonts w:ascii="Times New Roman" w:hAnsi="Times New Roman"/>
        </w:rPr>
        <w:t>rmation collection</w:t>
      </w:r>
      <w:r w:rsidR="00F422EA" w:rsidRPr="006C15B4">
        <w:rPr>
          <w:rFonts w:ascii="Times New Roman" w:hAnsi="Times New Roman"/>
        </w:rPr>
        <w:t xml:space="preserve">, and the Agencies have assigned it no burden for purposes of this PRA analysis. </w:t>
      </w:r>
    </w:p>
    <w:p w:rsidR="004C718D" w:rsidRPr="006C15B4" w:rsidRDefault="004C718D" w:rsidP="00F422EA">
      <w:pPr>
        <w:ind w:firstLine="720"/>
        <w:rPr>
          <w:rFonts w:ascii="Times New Roman" w:hAnsi="Times New Roman"/>
        </w:rPr>
      </w:pPr>
    </w:p>
    <w:p w:rsidR="00F422EA" w:rsidRDefault="00F422EA" w:rsidP="00F422EA">
      <w:pPr>
        <w:pStyle w:val="Default"/>
        <w:ind w:firstLine="720"/>
      </w:pPr>
      <w:r w:rsidRPr="006C15B4">
        <w:t xml:space="preserve">The estimated burden for the Written Appraisal requirements includes the creditor’s burden of reviewing the Written Appraisal in order to satisfy the safe harbor criteria set forth in the </w:t>
      </w:r>
      <w:r w:rsidR="003C42C2">
        <w:t>February 2013 Final R</w:t>
      </w:r>
      <w:r w:rsidRPr="006C15B4">
        <w:t xml:space="preserve">ule and providing a copy of the Written Appraisal to the consumer.  Additionally, an Additional Written Appraisal containing additional analyses is required in certain circumstances.  The Additional Written Appraisal must meet the standards of the Written Appraisal.  The Additional Written Appraisal </w:t>
      </w:r>
      <w:proofErr w:type="gramStart"/>
      <w:r w:rsidRPr="006C15B4">
        <w:t>is also required to be prepared</w:t>
      </w:r>
      <w:proofErr w:type="gramEnd"/>
      <w:r w:rsidRPr="006C15B4">
        <w:t xml:space="preserve"> by a certified or licensed appraiser different from the appraiser performing the Written Appraisal, and a copy of the Additional Written Appraisal must be provided to the consumer.  The creditor must separately review the Additional Written Appraisal in order to qualify for the safe harbor provided in the </w:t>
      </w:r>
      <w:r w:rsidR="00823AA1">
        <w:t>February</w:t>
      </w:r>
      <w:r w:rsidRPr="006C15B4">
        <w:t xml:space="preserve"> 2013 Final Rule.  </w:t>
      </w:r>
    </w:p>
    <w:p w:rsidR="004C718D" w:rsidRPr="006C15B4" w:rsidRDefault="004C718D" w:rsidP="00F422EA">
      <w:pPr>
        <w:pStyle w:val="Default"/>
        <w:ind w:firstLine="720"/>
      </w:pPr>
    </w:p>
    <w:p w:rsidR="004C718D" w:rsidRDefault="00F422EA" w:rsidP="00F422EA">
      <w:pPr>
        <w:pStyle w:val="Default"/>
        <w:ind w:firstLine="720"/>
      </w:pPr>
      <w:r w:rsidRPr="006C15B4">
        <w:t xml:space="preserve">The Agencies continue to estimate that respondents will take, on average, 15 minutes for each HPML to review the Written Appraisal and to provide a copy of the Written Appraisal.  The </w:t>
      </w:r>
      <w:r w:rsidRPr="006C15B4">
        <w:lastRenderedPageBreak/>
        <w:t xml:space="preserve">Agencies further continue to estimate that respondents will take, on average, 15 minutes for each HPML to investigate and verify the need for an Additional Written Appraisal and, where necessary, an additional 15 minutes to review the Additional Written Appraisal and to provide a copy of the Additional Written Appraisal.  For the small fraction of loans requiring an Additional Written Appraisal, the burden is similar to that of the Written Appraisal. </w:t>
      </w:r>
    </w:p>
    <w:p w:rsidR="00F422EA" w:rsidRPr="006C15B4" w:rsidRDefault="00F422EA" w:rsidP="00F422EA">
      <w:pPr>
        <w:pStyle w:val="Default"/>
        <w:ind w:firstLine="720"/>
      </w:pPr>
      <w:r w:rsidRPr="006C15B4">
        <w:t xml:space="preserve"> </w:t>
      </w:r>
    </w:p>
    <w:p w:rsidR="00F422EA" w:rsidRDefault="003C42C2" w:rsidP="00F422EA">
      <w:pPr>
        <w:pStyle w:val="Default"/>
        <w:rPr>
          <w:u w:val="single"/>
        </w:rPr>
      </w:pPr>
      <w:r>
        <w:rPr>
          <w:u w:val="single"/>
        </w:rPr>
        <w:t xml:space="preserve">Supplemental Proposal </w:t>
      </w:r>
      <w:r w:rsidR="00F422EA" w:rsidRPr="006C15B4">
        <w:rPr>
          <w:u w:val="single"/>
        </w:rPr>
        <w:t>Final Rule</w:t>
      </w:r>
    </w:p>
    <w:p w:rsidR="004C718D" w:rsidRPr="006C15B4" w:rsidRDefault="004C718D" w:rsidP="00F422EA">
      <w:pPr>
        <w:pStyle w:val="Default"/>
        <w:rPr>
          <w:u w:val="single"/>
        </w:rPr>
      </w:pPr>
    </w:p>
    <w:p w:rsidR="00F422EA" w:rsidRDefault="00F422EA" w:rsidP="00F422EA">
      <w:pPr>
        <w:pStyle w:val="Default"/>
        <w:ind w:firstLine="720"/>
      </w:pPr>
      <w:r w:rsidRPr="006C15B4">
        <w:t xml:space="preserve">The Agencies use the estimated burden from the PRA section of the </w:t>
      </w:r>
      <w:r w:rsidR="00B95761">
        <w:t>February</w:t>
      </w:r>
      <w:r w:rsidRPr="006C15B4">
        <w:t xml:space="preserve"> 2013 Final Rule as the baseline for analyzing the impact the three exemptions in the </w:t>
      </w:r>
      <w:r w:rsidR="00690FB0">
        <w:t>Supplemental Proposal</w:t>
      </w:r>
      <w:r w:rsidRPr="006C15B4">
        <w:t xml:space="preserve">.  The estimated number of appraisals per respondent has been updated to account for the exemption for qualified mortgages adopted in the </w:t>
      </w:r>
      <w:r w:rsidR="00823AA1">
        <w:t>February</w:t>
      </w:r>
      <w:r w:rsidRPr="006C15B4">
        <w:t xml:space="preserve"> 2013 Final Rule, which had not been accounted for in the table published at that time, as discussed in the PRA section of the </w:t>
      </w:r>
      <w:r w:rsidR="00690FB0">
        <w:t xml:space="preserve">February 2013 </w:t>
      </w:r>
      <w:r w:rsidRPr="006C15B4">
        <w:t xml:space="preserve">Final Rule.  </w:t>
      </w:r>
      <w:proofErr w:type="gramStart"/>
      <w:r w:rsidRPr="006C15B4">
        <w:t>78</w:t>
      </w:r>
      <w:proofErr w:type="gramEnd"/>
      <w:r w:rsidRPr="006C15B4">
        <w:t xml:space="preserve"> FR 10368, 10430-31 (February 13, 2013).  In addition, the impact of the </w:t>
      </w:r>
      <w:r w:rsidR="003C42C2">
        <w:t>Supplemental Proposal Final Rule</w:t>
      </w:r>
      <w:r w:rsidRPr="006C15B4">
        <w:t xml:space="preserve"> </w:t>
      </w:r>
      <w:proofErr w:type="gramStart"/>
      <w:r w:rsidRPr="006C15B4">
        <w:t>has been considered</w:t>
      </w:r>
      <w:proofErr w:type="gramEnd"/>
      <w:r w:rsidRPr="006C15B4">
        <w:t xml:space="preserve"> as follows:</w:t>
      </w:r>
    </w:p>
    <w:p w:rsidR="00CC6A75" w:rsidRDefault="00CC6A75" w:rsidP="00F422EA">
      <w:pPr>
        <w:pStyle w:val="Default"/>
        <w:ind w:firstLine="720"/>
      </w:pPr>
    </w:p>
    <w:p w:rsidR="00690FB0" w:rsidRDefault="00B464E2" w:rsidP="00690FB0">
      <w:pPr>
        <w:pStyle w:val="Default"/>
      </w:pPr>
      <w:r>
        <w:t>Exemption 1</w:t>
      </w:r>
    </w:p>
    <w:p w:rsidR="00690FB0" w:rsidRPr="006C15B4" w:rsidRDefault="00690FB0" w:rsidP="00F422EA">
      <w:pPr>
        <w:pStyle w:val="Default"/>
        <w:ind w:firstLine="720"/>
      </w:pPr>
    </w:p>
    <w:p w:rsidR="00F422EA" w:rsidRDefault="00B464E2" w:rsidP="00F422EA">
      <w:pPr>
        <w:ind w:firstLine="720"/>
        <w:rPr>
          <w:rFonts w:ascii="Times New Roman" w:hAnsi="Times New Roman"/>
        </w:rPr>
      </w:pPr>
      <w:r>
        <w:rPr>
          <w:rFonts w:ascii="Times New Roman" w:hAnsi="Times New Roman"/>
        </w:rPr>
        <w:t>T</w:t>
      </w:r>
      <w:r w:rsidR="00F422EA" w:rsidRPr="006C15B4">
        <w:rPr>
          <w:rFonts w:ascii="Times New Roman" w:hAnsi="Times New Roman"/>
        </w:rPr>
        <w:t>he Agencies find that, currently, only a small minority of refinances involve cash out beyond the levels permitted for this exemption.  As a result, the Agencies believe that most refinance loans may qualify for this exemption.  The Agencies assume that the exemptio</w:t>
      </w:r>
      <w:r w:rsidR="003C42C2">
        <w:rPr>
          <w:rFonts w:ascii="Times New Roman" w:hAnsi="Times New Roman"/>
        </w:rPr>
        <w:t>n for certain refinances in the S</w:t>
      </w:r>
      <w:r w:rsidR="00F422EA" w:rsidRPr="006C15B4">
        <w:rPr>
          <w:rFonts w:ascii="Times New Roman" w:hAnsi="Times New Roman"/>
        </w:rPr>
        <w:t xml:space="preserve">upplemental </w:t>
      </w:r>
      <w:r w:rsidR="003C42C2">
        <w:rPr>
          <w:rFonts w:ascii="Times New Roman" w:hAnsi="Times New Roman"/>
        </w:rPr>
        <w:t>Proposal Final Rule</w:t>
      </w:r>
      <w:r w:rsidR="00F422EA" w:rsidRPr="006C15B4">
        <w:rPr>
          <w:rFonts w:ascii="Times New Roman" w:hAnsi="Times New Roman"/>
        </w:rPr>
        <w:t xml:space="preserve"> affects all of the refinance loans analyzed under Section 1022(b)(2) of the </w:t>
      </w:r>
      <w:r w:rsidR="00823AA1">
        <w:rPr>
          <w:rFonts w:ascii="Times New Roman" w:hAnsi="Times New Roman"/>
        </w:rPr>
        <w:t>February</w:t>
      </w:r>
      <w:r w:rsidR="00F422EA" w:rsidRPr="006C15B4">
        <w:rPr>
          <w:rFonts w:ascii="Times New Roman" w:hAnsi="Times New Roman"/>
        </w:rPr>
        <w:t xml:space="preserve"> 2013 Final Rule.  </w:t>
      </w:r>
      <w:r w:rsidR="00811BA4">
        <w:rPr>
          <w:rFonts w:ascii="Times New Roman" w:hAnsi="Times New Roman"/>
        </w:rPr>
        <w:t>It was</w:t>
      </w:r>
      <w:r w:rsidR="00F422EA" w:rsidRPr="006C15B4">
        <w:rPr>
          <w:rFonts w:ascii="Times New Roman" w:hAnsi="Times New Roman"/>
        </w:rPr>
        <w:t xml:space="preserve"> estimated that </w:t>
      </w:r>
      <w:proofErr w:type="gramStart"/>
      <w:r w:rsidR="00F422EA" w:rsidRPr="006C15B4">
        <w:rPr>
          <w:rFonts w:ascii="Times New Roman" w:hAnsi="Times New Roman"/>
        </w:rPr>
        <w:t>a total of 3,800</w:t>
      </w:r>
      <w:proofErr w:type="gramEnd"/>
      <w:r w:rsidR="00F422EA" w:rsidRPr="006C15B4">
        <w:rPr>
          <w:rFonts w:ascii="Times New Roman" w:hAnsi="Times New Roman"/>
        </w:rPr>
        <w:t xml:space="preserve"> new Written Appraisals would occur as a result of the </w:t>
      </w:r>
      <w:r w:rsidR="00823AA1">
        <w:rPr>
          <w:rFonts w:ascii="Times New Roman" w:hAnsi="Times New Roman"/>
        </w:rPr>
        <w:t>February</w:t>
      </w:r>
      <w:r w:rsidR="00F422EA" w:rsidRPr="006C15B4">
        <w:rPr>
          <w:rFonts w:ascii="Times New Roman" w:hAnsi="Times New Roman"/>
        </w:rPr>
        <w:t xml:space="preserve"> 2013 Final Rule (including home purchase, home equity, and refinance loans).  In the Supplemental Proposal, </w:t>
      </w:r>
      <w:r w:rsidR="00811BA4">
        <w:rPr>
          <w:rFonts w:ascii="Times New Roman" w:hAnsi="Times New Roman"/>
        </w:rPr>
        <w:t xml:space="preserve">it was estimated </w:t>
      </w:r>
      <w:proofErr w:type="gramStart"/>
      <w:r w:rsidR="00811BA4">
        <w:rPr>
          <w:rFonts w:ascii="Times New Roman" w:hAnsi="Times New Roman"/>
        </w:rPr>
        <w:t xml:space="preserve">that </w:t>
      </w:r>
      <w:r w:rsidR="00F422EA" w:rsidRPr="006C15B4">
        <w:rPr>
          <w:rFonts w:ascii="Times New Roman" w:hAnsi="Times New Roman"/>
        </w:rPr>
        <w:t xml:space="preserve"> refinances</w:t>
      </w:r>
      <w:proofErr w:type="gramEnd"/>
      <w:r w:rsidR="00F422EA" w:rsidRPr="006C15B4">
        <w:rPr>
          <w:rFonts w:ascii="Times New Roman" w:hAnsi="Times New Roman"/>
        </w:rPr>
        <w:t xml:space="preserve"> would account for approximately 1,200 of these 3,800 new Written Appraisals that would occur as a result of the </w:t>
      </w:r>
      <w:r w:rsidR="00333E07">
        <w:rPr>
          <w:rFonts w:ascii="Times New Roman" w:hAnsi="Times New Roman"/>
        </w:rPr>
        <w:t>February</w:t>
      </w:r>
      <w:r w:rsidR="00F422EA" w:rsidRPr="006C15B4">
        <w:rPr>
          <w:rFonts w:ascii="Times New Roman" w:hAnsi="Times New Roman"/>
        </w:rPr>
        <w:t xml:space="preserve"> 2013 Final Rule.</w:t>
      </w:r>
      <w:r w:rsidR="00F422EA" w:rsidRPr="006B574D">
        <w:rPr>
          <w:rStyle w:val="FootnoteReference"/>
          <w:rFonts w:ascii="Times New Roman" w:hAnsi="Times New Roman"/>
          <w:vertAlign w:val="superscript"/>
        </w:rPr>
        <w:footnoteReference w:id="1"/>
      </w:r>
      <w:r w:rsidR="00F422EA" w:rsidRPr="006C15B4">
        <w:rPr>
          <w:rFonts w:ascii="Times New Roman" w:hAnsi="Times New Roman"/>
        </w:rPr>
        <w:t xml:space="preserve">  Thus, the exemption for certain refinances in </w:t>
      </w:r>
      <w:r w:rsidR="003C42C2">
        <w:rPr>
          <w:rFonts w:ascii="Times New Roman" w:hAnsi="Times New Roman"/>
        </w:rPr>
        <w:t>Supplemental Proposal Final Rule</w:t>
      </w:r>
      <w:r w:rsidR="00F422EA" w:rsidRPr="006C15B4">
        <w:rPr>
          <w:rFonts w:ascii="Times New Roman" w:hAnsi="Times New Roman"/>
        </w:rPr>
        <w:t xml:space="preserve"> would eliminate approximately 32 percent of the new Written Appraisals that were estimated to occur as a result of the </w:t>
      </w:r>
      <w:r w:rsidR="00333E07">
        <w:rPr>
          <w:rFonts w:ascii="Times New Roman" w:hAnsi="Times New Roman"/>
        </w:rPr>
        <w:t>February</w:t>
      </w:r>
      <w:r w:rsidR="00F422EA" w:rsidRPr="006C15B4">
        <w:rPr>
          <w:rFonts w:ascii="Times New Roman" w:hAnsi="Times New Roman"/>
        </w:rPr>
        <w:t xml:space="preserve"> 2013 Final Rule. </w:t>
      </w:r>
    </w:p>
    <w:p w:rsidR="00B464E2" w:rsidRDefault="00B464E2" w:rsidP="00F422EA">
      <w:pPr>
        <w:ind w:firstLine="720"/>
        <w:rPr>
          <w:rFonts w:ascii="Times New Roman" w:hAnsi="Times New Roman"/>
        </w:rPr>
      </w:pPr>
    </w:p>
    <w:p w:rsidR="00B464E2" w:rsidRDefault="00B464E2" w:rsidP="00B464E2">
      <w:pPr>
        <w:rPr>
          <w:rFonts w:ascii="Times New Roman" w:hAnsi="Times New Roman"/>
        </w:rPr>
      </w:pPr>
      <w:r>
        <w:rPr>
          <w:rFonts w:ascii="Times New Roman" w:hAnsi="Times New Roman"/>
        </w:rPr>
        <w:t>Exemption 2</w:t>
      </w:r>
    </w:p>
    <w:p w:rsidR="00CC6A75" w:rsidRPr="006C15B4" w:rsidRDefault="00CC6A75" w:rsidP="00F422EA">
      <w:pPr>
        <w:ind w:firstLine="720"/>
        <w:rPr>
          <w:rFonts w:ascii="Times New Roman" w:hAnsi="Times New Roman"/>
        </w:rPr>
      </w:pPr>
    </w:p>
    <w:p w:rsidR="00F422EA" w:rsidRDefault="00B464E2" w:rsidP="00F422EA">
      <w:pPr>
        <w:pStyle w:val="Default"/>
        <w:ind w:firstLine="720"/>
      </w:pPr>
      <w:r>
        <w:t>B</w:t>
      </w:r>
      <w:r w:rsidR="00F422EA" w:rsidRPr="006C15B4">
        <w:t xml:space="preserve">ased on the HMDA 2011 data, the Agencies find that 12 percent of all HPMLs are under $25,000.  The Agencies believe that this implies </w:t>
      </w:r>
      <w:proofErr w:type="gramStart"/>
      <w:r w:rsidR="00F422EA" w:rsidRPr="006C15B4">
        <w:t>that there will be, proportionately, 12 percent fewer appraisals based on the exemption for small dollar loans</w:t>
      </w:r>
      <w:proofErr w:type="gramEnd"/>
      <w:r w:rsidR="00F422EA" w:rsidRPr="006C15B4">
        <w:t>.</w:t>
      </w:r>
    </w:p>
    <w:p w:rsidR="00B464E2" w:rsidRDefault="00B464E2" w:rsidP="00F422EA">
      <w:pPr>
        <w:pStyle w:val="Default"/>
        <w:ind w:firstLine="720"/>
      </w:pPr>
    </w:p>
    <w:p w:rsidR="00B464E2" w:rsidRDefault="00B464E2" w:rsidP="00B464E2">
      <w:pPr>
        <w:pStyle w:val="Default"/>
      </w:pPr>
      <w:r>
        <w:t>Exemption 3</w:t>
      </w:r>
    </w:p>
    <w:p w:rsidR="00CC6A75" w:rsidRPr="006C15B4" w:rsidRDefault="00CC6A75" w:rsidP="00F422EA">
      <w:pPr>
        <w:pStyle w:val="Default"/>
        <w:ind w:firstLine="720"/>
      </w:pPr>
    </w:p>
    <w:p w:rsidR="00F422EA" w:rsidRDefault="00B464E2" w:rsidP="00F422EA">
      <w:pPr>
        <w:pStyle w:val="Default"/>
        <w:ind w:firstLine="720"/>
      </w:pPr>
      <w:r>
        <w:lastRenderedPageBreak/>
        <w:t>T</w:t>
      </w:r>
      <w:r w:rsidR="00F422EA" w:rsidRPr="006C15B4">
        <w:t>he Agencies find that many of the transactions secured by</w:t>
      </w:r>
      <w:r w:rsidR="00F422EA" w:rsidRPr="006C15B4">
        <w:rPr>
          <w:b/>
        </w:rPr>
        <w:t xml:space="preserve"> </w:t>
      </w:r>
      <w:r w:rsidR="00F422EA" w:rsidRPr="006C15B4">
        <w:t>manufactured homes involve either refinances (all of which are conservatively assumed to be covered by the exemption for certain refinances), or smaller dollar loans (which cover many types of manufactured housing transactions).</w:t>
      </w:r>
      <w:r w:rsidR="00F422EA" w:rsidRPr="00477DFB">
        <w:rPr>
          <w:rStyle w:val="FootnoteReference"/>
          <w:vertAlign w:val="superscript"/>
        </w:rPr>
        <w:footnoteReference w:id="2"/>
      </w:r>
      <w:r w:rsidR="00F422EA" w:rsidRPr="00477DFB">
        <w:rPr>
          <w:vertAlign w:val="superscript"/>
        </w:rPr>
        <w:t xml:space="preserve"> </w:t>
      </w:r>
      <w:r w:rsidR="00F422EA" w:rsidRPr="006C15B4">
        <w:t xml:space="preserve"> While covered HPMLs above smaller dollar levels that are secured by existing manufactured homes and not land may be newly-exempted, these transactions will need alternative valuations under the </w:t>
      </w:r>
      <w:r w:rsidR="00F25023">
        <w:t>February 2013 Final Rule</w:t>
      </w:r>
      <w:r w:rsidR="00F422EA" w:rsidRPr="006C15B4">
        <w:t xml:space="preserve">.  In addition, such loans secured by new manufactured homes and not land also will need alternative valuations.  </w:t>
      </w:r>
      <w:r w:rsidR="00F22226">
        <w:t>S</w:t>
      </w:r>
      <w:r w:rsidR="00F422EA" w:rsidRPr="006C15B4">
        <w:t xml:space="preserve">uch loans secured by new manufactured homes and land will need an appraisal.  In the </w:t>
      </w:r>
      <w:r w:rsidR="00823AA1">
        <w:t>February</w:t>
      </w:r>
      <w:r w:rsidR="00F422EA" w:rsidRPr="006C15B4">
        <w:t xml:space="preserve"> 2013 Final Rule, the Agencies did not reduce the paperwork burden estimates to account for the exemption for new manufactured homes adopted at that time.  The Agencies therefore conservatively </w:t>
      </w:r>
      <w:proofErr w:type="gramStart"/>
      <w:r w:rsidR="00F422EA" w:rsidRPr="006C15B4">
        <w:t>make no adjustment to</w:t>
      </w:r>
      <w:proofErr w:type="gramEnd"/>
      <w:r w:rsidR="00F422EA" w:rsidRPr="006C15B4">
        <w:t xml:space="preserve"> the data in the first panel of Table 3 in the </w:t>
      </w:r>
      <w:r w:rsidR="00823AA1">
        <w:t>February</w:t>
      </w:r>
      <w:r w:rsidR="00F422EA" w:rsidRPr="006C15B4">
        <w:t xml:space="preserve"> 2013 Final Rule as a result of that exemption.</w:t>
      </w:r>
      <w:r w:rsidR="00F422EA" w:rsidRPr="00CC6A75">
        <w:rPr>
          <w:rStyle w:val="FootnoteReference"/>
          <w:vertAlign w:val="superscript"/>
        </w:rPr>
        <w:footnoteReference w:id="3"/>
      </w:r>
    </w:p>
    <w:p w:rsidR="00001AD7" w:rsidRPr="006C15B4" w:rsidRDefault="00001AD7" w:rsidP="00F422EA">
      <w:pPr>
        <w:pStyle w:val="Default"/>
        <w:ind w:firstLine="720"/>
        <w:rPr>
          <w:b/>
        </w:rPr>
      </w:pPr>
    </w:p>
    <w:p w:rsidR="00F422EA" w:rsidRPr="006C15B4" w:rsidRDefault="00F422EA" w:rsidP="00F422EA">
      <w:pPr>
        <w:pStyle w:val="Default"/>
        <w:ind w:firstLine="720"/>
      </w:pPr>
      <w:r w:rsidRPr="006C15B4">
        <w:t xml:space="preserve">The numbers above affect only the first panel in Table 3 of the PRA section of the </w:t>
      </w:r>
      <w:r w:rsidR="00823AA1">
        <w:t>February</w:t>
      </w:r>
      <w:r w:rsidRPr="006C15B4">
        <w:t xml:space="preserve"> 2013 Final Rule.  </w:t>
      </w:r>
      <w:proofErr w:type="gramStart"/>
      <w:r w:rsidRPr="006C15B4">
        <w:t xml:space="preserve">Refinances are not subject to the requirement to obtain an Additional Written Appraisal under the </w:t>
      </w:r>
      <w:r w:rsidR="00823AA1">
        <w:t xml:space="preserve">February </w:t>
      </w:r>
      <w:r w:rsidRPr="006C15B4">
        <w:t xml:space="preserve">2013 Final Rule, and it is assumed that none of the smaller dollar loans or the loans secured by manufactured homes and not land were used to purchase homes being resold within 180 days with the requisite price increases to trigger that requirement </w:t>
      </w:r>
      <w:r w:rsidRPr="006C15B4">
        <w:lastRenderedPageBreak/>
        <w:t>(and thus the exemptions for those loans will not reduce any burden associated with that requirement).</w:t>
      </w:r>
      <w:proofErr w:type="gramEnd"/>
      <w:r w:rsidRPr="006C15B4">
        <w:t xml:space="preserve">  </w:t>
      </w:r>
      <w:r w:rsidR="00F22226">
        <w:t>O</w:t>
      </w:r>
      <w:r w:rsidRPr="006C15B4">
        <w:t xml:space="preserve">nly the first panel in Table 3 from the </w:t>
      </w:r>
      <w:r w:rsidR="00823AA1">
        <w:t>February</w:t>
      </w:r>
      <w:r w:rsidRPr="006C15B4">
        <w:t xml:space="preserve"> 2013 Final Rule is being updated and the estimates in the second and third panels remain the same.  </w:t>
      </w:r>
    </w:p>
    <w:p w:rsidR="0006747A" w:rsidRDefault="0006747A">
      <w:r>
        <w:br w:type="page"/>
      </w:r>
    </w:p>
    <w:tbl>
      <w:tblPr>
        <w:tblW w:w="0" w:type="auto"/>
        <w:tblLayout w:type="fixed"/>
        <w:tblLook w:val="04A0" w:firstRow="1" w:lastRow="0" w:firstColumn="1" w:lastColumn="0" w:noHBand="0" w:noVBand="1"/>
      </w:tblPr>
      <w:tblGrid>
        <w:gridCol w:w="3888"/>
        <w:gridCol w:w="1350"/>
        <w:gridCol w:w="1260"/>
        <w:gridCol w:w="1170"/>
        <w:gridCol w:w="1468"/>
      </w:tblGrid>
      <w:tr w:rsidR="00F422EA" w:rsidRPr="006C15B4" w:rsidTr="00836A14">
        <w:trPr>
          <w:trHeight w:val="90"/>
        </w:trPr>
        <w:tc>
          <w:tcPr>
            <w:tcW w:w="9136" w:type="dxa"/>
            <w:gridSpan w:val="5"/>
            <w:tcBorders>
              <w:top w:val="nil"/>
              <w:left w:val="nil"/>
              <w:bottom w:val="single" w:sz="4" w:space="0" w:color="auto"/>
              <w:right w:val="nil"/>
            </w:tcBorders>
          </w:tcPr>
          <w:p w:rsidR="00F422EA" w:rsidRPr="006C15B4" w:rsidRDefault="00F422EA" w:rsidP="00836A14">
            <w:pPr>
              <w:pStyle w:val="Default"/>
              <w:rPr>
                <w:i/>
                <w:iCs/>
              </w:rPr>
            </w:pPr>
          </w:p>
          <w:p w:rsidR="00F422EA" w:rsidRPr="006C15B4" w:rsidRDefault="00F422EA" w:rsidP="00836A14">
            <w:pPr>
              <w:pStyle w:val="Default"/>
              <w:rPr>
                <w:i/>
                <w:iCs/>
              </w:rPr>
            </w:pPr>
          </w:p>
          <w:p w:rsidR="00F422EA" w:rsidRPr="006C15B4" w:rsidRDefault="00F422EA" w:rsidP="00836A14">
            <w:pPr>
              <w:pStyle w:val="Default"/>
            </w:pPr>
            <w:r w:rsidRPr="006C15B4">
              <w:rPr>
                <w:b/>
                <w:bCs/>
              </w:rPr>
              <w:t>Summary of PRA Burden Hours for Information Collections in HPML Appraisals Final Rule Once Exemptions in the Supplemental Proposal are Adopted</w:t>
            </w:r>
            <w:r w:rsidRPr="00811BA4">
              <w:rPr>
                <w:rStyle w:val="FootnoteReference"/>
                <w:rFonts w:ascii="Times New Roman Bold" w:hAnsi="Times New Roman Bold"/>
                <w:b/>
                <w:bCs/>
                <w:vertAlign w:val="superscript"/>
              </w:rPr>
              <w:footnoteReference w:id="4"/>
            </w:r>
          </w:p>
        </w:tc>
      </w:tr>
      <w:tr w:rsidR="00F422EA" w:rsidRPr="006C15B4" w:rsidTr="00836A14">
        <w:trPr>
          <w:trHeight w:val="309"/>
        </w:trPr>
        <w:tc>
          <w:tcPr>
            <w:tcW w:w="3888" w:type="dxa"/>
            <w:tcBorders>
              <w:top w:val="single" w:sz="4" w:space="0" w:color="auto"/>
              <w:left w:val="nil"/>
              <w:bottom w:val="nil"/>
              <w:right w:val="nil"/>
            </w:tcBorders>
            <w:vAlign w:val="center"/>
          </w:tcPr>
          <w:p w:rsidR="00F422EA" w:rsidRPr="006C15B4" w:rsidRDefault="00F422EA" w:rsidP="00836A14">
            <w:pPr>
              <w:pStyle w:val="Default"/>
              <w:jc w:val="center"/>
            </w:pPr>
          </w:p>
        </w:tc>
        <w:tc>
          <w:tcPr>
            <w:tcW w:w="1350" w:type="dxa"/>
            <w:tcBorders>
              <w:top w:val="single" w:sz="4" w:space="0" w:color="auto"/>
              <w:left w:val="nil"/>
              <w:bottom w:val="nil"/>
              <w:right w:val="nil"/>
            </w:tcBorders>
            <w:vAlign w:val="center"/>
            <w:hideMark/>
          </w:tcPr>
          <w:p w:rsidR="00F422EA" w:rsidRPr="00DC4BD1" w:rsidRDefault="00F422EA" w:rsidP="00836A14">
            <w:pPr>
              <w:pStyle w:val="Default"/>
              <w:jc w:val="center"/>
              <w:rPr>
                <w:sz w:val="22"/>
                <w:szCs w:val="22"/>
              </w:rPr>
            </w:pPr>
            <w:r w:rsidRPr="00DC4BD1">
              <w:rPr>
                <w:sz w:val="22"/>
                <w:szCs w:val="22"/>
              </w:rPr>
              <w:t>Estimated Number of Respondents</w:t>
            </w:r>
          </w:p>
        </w:tc>
        <w:tc>
          <w:tcPr>
            <w:tcW w:w="1260" w:type="dxa"/>
            <w:tcBorders>
              <w:top w:val="single" w:sz="4" w:space="0" w:color="auto"/>
              <w:left w:val="nil"/>
              <w:bottom w:val="nil"/>
              <w:right w:val="nil"/>
            </w:tcBorders>
            <w:vAlign w:val="center"/>
            <w:hideMark/>
          </w:tcPr>
          <w:p w:rsidR="00F422EA" w:rsidRPr="00DC4BD1" w:rsidRDefault="00F422EA" w:rsidP="00836A14">
            <w:pPr>
              <w:pStyle w:val="Default"/>
              <w:jc w:val="center"/>
              <w:rPr>
                <w:sz w:val="22"/>
                <w:szCs w:val="22"/>
              </w:rPr>
            </w:pPr>
            <w:r w:rsidRPr="00DC4BD1">
              <w:rPr>
                <w:sz w:val="22"/>
                <w:szCs w:val="22"/>
              </w:rPr>
              <w:t>Estimated Number of  Appraisals Per Respondent</w:t>
            </w:r>
            <w:r w:rsidRPr="00DC4BD1">
              <w:rPr>
                <w:rStyle w:val="FootnoteReference"/>
                <w:sz w:val="22"/>
                <w:szCs w:val="22"/>
                <w:vertAlign w:val="superscript"/>
              </w:rPr>
              <w:footnoteReference w:id="5"/>
            </w:r>
          </w:p>
        </w:tc>
        <w:tc>
          <w:tcPr>
            <w:tcW w:w="1170" w:type="dxa"/>
            <w:tcBorders>
              <w:top w:val="single" w:sz="4" w:space="0" w:color="auto"/>
              <w:left w:val="nil"/>
              <w:bottom w:val="nil"/>
              <w:right w:val="nil"/>
            </w:tcBorders>
            <w:vAlign w:val="center"/>
            <w:hideMark/>
          </w:tcPr>
          <w:p w:rsidR="00F422EA" w:rsidRPr="00DC4BD1" w:rsidRDefault="00F422EA" w:rsidP="00836A14">
            <w:pPr>
              <w:pStyle w:val="Default"/>
              <w:jc w:val="center"/>
              <w:rPr>
                <w:sz w:val="22"/>
                <w:szCs w:val="22"/>
              </w:rPr>
            </w:pPr>
            <w:r w:rsidRPr="00DC4BD1">
              <w:rPr>
                <w:sz w:val="22"/>
                <w:szCs w:val="22"/>
              </w:rPr>
              <w:t>Estimated Burden Hours Per Appraisal</w:t>
            </w:r>
          </w:p>
        </w:tc>
        <w:tc>
          <w:tcPr>
            <w:tcW w:w="1468" w:type="dxa"/>
            <w:tcBorders>
              <w:top w:val="single" w:sz="4" w:space="0" w:color="auto"/>
              <w:left w:val="nil"/>
              <w:bottom w:val="nil"/>
              <w:right w:val="nil"/>
            </w:tcBorders>
            <w:vAlign w:val="center"/>
            <w:hideMark/>
          </w:tcPr>
          <w:p w:rsidR="00F422EA" w:rsidRPr="00DC4BD1" w:rsidRDefault="00F422EA" w:rsidP="00836A14">
            <w:pPr>
              <w:pStyle w:val="Default"/>
              <w:jc w:val="center"/>
              <w:rPr>
                <w:sz w:val="22"/>
                <w:szCs w:val="22"/>
              </w:rPr>
            </w:pPr>
            <w:r w:rsidRPr="00DC4BD1">
              <w:rPr>
                <w:sz w:val="22"/>
                <w:szCs w:val="22"/>
              </w:rPr>
              <w:t>Estimated Total Annual Burden Hours</w:t>
            </w:r>
          </w:p>
        </w:tc>
      </w:tr>
      <w:tr w:rsidR="00F422EA" w:rsidRPr="006C15B4" w:rsidTr="00836A14">
        <w:trPr>
          <w:trHeight w:val="90"/>
        </w:trPr>
        <w:tc>
          <w:tcPr>
            <w:tcW w:w="3888" w:type="dxa"/>
            <w:tcBorders>
              <w:top w:val="nil"/>
              <w:left w:val="nil"/>
              <w:bottom w:val="single" w:sz="4" w:space="0" w:color="auto"/>
              <w:right w:val="nil"/>
            </w:tcBorders>
            <w:vAlign w:val="center"/>
          </w:tcPr>
          <w:p w:rsidR="00F422EA" w:rsidRPr="006C15B4" w:rsidRDefault="00F422EA" w:rsidP="00836A14">
            <w:pPr>
              <w:pStyle w:val="Default"/>
              <w:jc w:val="center"/>
            </w:pPr>
          </w:p>
        </w:tc>
        <w:tc>
          <w:tcPr>
            <w:tcW w:w="1350" w:type="dxa"/>
            <w:tcBorders>
              <w:top w:val="nil"/>
              <w:left w:val="nil"/>
              <w:bottom w:val="single" w:sz="4" w:space="0" w:color="auto"/>
              <w:right w:val="nil"/>
            </w:tcBorders>
            <w:vAlign w:val="center"/>
            <w:hideMark/>
          </w:tcPr>
          <w:p w:rsidR="00F422EA" w:rsidRPr="006C15B4" w:rsidRDefault="00F422EA" w:rsidP="00836A14">
            <w:pPr>
              <w:pStyle w:val="Default"/>
              <w:jc w:val="center"/>
            </w:pPr>
            <w:r w:rsidRPr="006C15B4">
              <w:t>[a]</w:t>
            </w:r>
          </w:p>
        </w:tc>
        <w:tc>
          <w:tcPr>
            <w:tcW w:w="1260" w:type="dxa"/>
            <w:tcBorders>
              <w:top w:val="nil"/>
              <w:left w:val="nil"/>
              <w:bottom w:val="single" w:sz="4" w:space="0" w:color="auto"/>
              <w:right w:val="nil"/>
            </w:tcBorders>
            <w:vAlign w:val="center"/>
            <w:hideMark/>
          </w:tcPr>
          <w:p w:rsidR="00F422EA" w:rsidRPr="006C15B4" w:rsidRDefault="00F422EA" w:rsidP="00836A14">
            <w:pPr>
              <w:pStyle w:val="Default"/>
              <w:jc w:val="center"/>
            </w:pPr>
            <w:r w:rsidRPr="006C15B4">
              <w:t>[b]</w:t>
            </w:r>
          </w:p>
        </w:tc>
        <w:tc>
          <w:tcPr>
            <w:tcW w:w="1170" w:type="dxa"/>
            <w:tcBorders>
              <w:top w:val="nil"/>
              <w:left w:val="nil"/>
              <w:bottom w:val="single" w:sz="4" w:space="0" w:color="auto"/>
              <w:right w:val="nil"/>
            </w:tcBorders>
            <w:vAlign w:val="center"/>
            <w:hideMark/>
          </w:tcPr>
          <w:p w:rsidR="00F422EA" w:rsidRPr="006C15B4" w:rsidRDefault="00F422EA" w:rsidP="00836A14">
            <w:pPr>
              <w:pStyle w:val="Default"/>
              <w:jc w:val="center"/>
            </w:pPr>
            <w:r w:rsidRPr="006C15B4">
              <w:t>[c]</w:t>
            </w:r>
          </w:p>
        </w:tc>
        <w:tc>
          <w:tcPr>
            <w:tcW w:w="1468" w:type="dxa"/>
            <w:tcBorders>
              <w:top w:val="nil"/>
              <w:left w:val="nil"/>
              <w:bottom w:val="single" w:sz="4" w:space="0" w:color="auto"/>
              <w:right w:val="nil"/>
            </w:tcBorders>
            <w:vAlign w:val="center"/>
            <w:hideMark/>
          </w:tcPr>
          <w:p w:rsidR="00F422EA" w:rsidRPr="006C15B4" w:rsidRDefault="00F422EA" w:rsidP="00836A14">
            <w:pPr>
              <w:pStyle w:val="Default"/>
              <w:jc w:val="center"/>
            </w:pPr>
            <w:r w:rsidRPr="006C15B4">
              <w:t>[d] = (a*b*c)</w:t>
            </w:r>
          </w:p>
        </w:tc>
      </w:tr>
      <w:tr w:rsidR="00F422EA" w:rsidRPr="006C15B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6C15B4" w:rsidRDefault="00F422EA" w:rsidP="00836A14">
            <w:pPr>
              <w:pStyle w:val="Default"/>
              <w:jc w:val="center"/>
            </w:pPr>
            <w:r w:rsidRPr="006C15B4">
              <w:rPr>
                <w:b/>
                <w:bCs/>
              </w:rPr>
              <w:t>Review and Provide a Copy of Written Appraisal</w:t>
            </w:r>
          </w:p>
        </w:tc>
      </w:tr>
      <w:tr w:rsidR="00F422EA" w:rsidRPr="006C15B4" w:rsidTr="00483695">
        <w:trPr>
          <w:trHeight w:val="200"/>
        </w:trPr>
        <w:tc>
          <w:tcPr>
            <w:tcW w:w="3888" w:type="dxa"/>
            <w:tcBorders>
              <w:top w:val="single" w:sz="4" w:space="0" w:color="auto"/>
              <w:left w:val="nil"/>
              <w:bottom w:val="nil"/>
              <w:right w:val="nil"/>
            </w:tcBorders>
            <w:vAlign w:val="bottom"/>
          </w:tcPr>
          <w:p w:rsidR="00F422EA" w:rsidRPr="006C15B4" w:rsidRDefault="00F422EA" w:rsidP="00836A14">
            <w:pPr>
              <w:pStyle w:val="Default"/>
            </w:pPr>
          </w:p>
        </w:tc>
        <w:tc>
          <w:tcPr>
            <w:tcW w:w="135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6C15B4" w:rsidRDefault="00F422EA" w:rsidP="00836A14">
            <w:pPr>
              <w:pStyle w:val="Default"/>
            </w:pPr>
          </w:p>
        </w:tc>
        <w:tc>
          <w:tcPr>
            <w:tcW w:w="117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114"/>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836A14">
        <w:trPr>
          <w:trHeight w:val="91"/>
        </w:trPr>
        <w:tc>
          <w:tcPr>
            <w:tcW w:w="3888" w:type="dxa"/>
            <w:vAlign w:val="bottom"/>
            <w:hideMark/>
          </w:tcPr>
          <w:p w:rsidR="00F422EA" w:rsidRPr="006C15B4" w:rsidRDefault="00F422EA" w:rsidP="00836A14">
            <w:pPr>
              <w:pStyle w:val="Default"/>
            </w:pPr>
          </w:p>
        </w:tc>
        <w:tc>
          <w:tcPr>
            <w:tcW w:w="1350" w:type="dxa"/>
            <w:vAlign w:val="bottom"/>
            <w:hideMark/>
          </w:tcPr>
          <w:p w:rsidR="00F422EA" w:rsidRPr="006C15B4" w:rsidRDefault="00F422EA" w:rsidP="00836A14">
            <w:pPr>
              <w:pStyle w:val="Default"/>
              <w:jc w:val="center"/>
            </w:pPr>
            <w:r w:rsidRPr="006C15B4">
              <w:t>1,399</w:t>
            </w:r>
          </w:p>
        </w:tc>
        <w:tc>
          <w:tcPr>
            <w:tcW w:w="1260" w:type="dxa"/>
            <w:vAlign w:val="bottom"/>
            <w:hideMark/>
          </w:tcPr>
          <w:p w:rsidR="00F422EA" w:rsidRPr="006C15B4" w:rsidRDefault="00F422EA" w:rsidP="00836A14">
            <w:pPr>
              <w:pStyle w:val="Default"/>
            </w:pPr>
            <w:r w:rsidRPr="006C15B4">
              <w:t xml:space="preserve">      0.16</w:t>
            </w:r>
          </w:p>
        </w:tc>
        <w:tc>
          <w:tcPr>
            <w:tcW w:w="1170" w:type="dxa"/>
            <w:vAlign w:val="bottom"/>
            <w:hideMark/>
          </w:tcPr>
          <w:p w:rsidR="00F422EA" w:rsidRPr="006C15B4" w:rsidRDefault="00F422EA" w:rsidP="00836A14">
            <w:pPr>
              <w:pStyle w:val="Default"/>
              <w:jc w:val="center"/>
            </w:pPr>
            <w:r w:rsidRPr="006C15B4">
              <w:t>0.25</w:t>
            </w:r>
          </w:p>
        </w:tc>
        <w:tc>
          <w:tcPr>
            <w:tcW w:w="1468" w:type="dxa"/>
            <w:vAlign w:val="bottom"/>
            <w:hideMark/>
          </w:tcPr>
          <w:p w:rsidR="00F422EA" w:rsidRPr="009D11FD" w:rsidRDefault="00F422EA" w:rsidP="00836A14">
            <w:pPr>
              <w:pStyle w:val="Default"/>
              <w:jc w:val="center"/>
              <w:rPr>
                <w:b/>
              </w:rPr>
            </w:pPr>
            <w:r w:rsidRPr="006C15B4">
              <w:t xml:space="preserve">   </w:t>
            </w:r>
            <w:r w:rsidRPr="009D11FD">
              <w:rPr>
                <w:b/>
              </w:rPr>
              <w:t>55</w:t>
            </w: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tcBorders>
              <w:top w:val="nil"/>
              <w:left w:val="nil"/>
              <w:bottom w:val="single" w:sz="4" w:space="0" w:color="auto"/>
              <w:right w:val="nil"/>
            </w:tcBorders>
            <w:vAlign w:val="bottom"/>
          </w:tcPr>
          <w:p w:rsidR="00F422EA" w:rsidRPr="006C15B4" w:rsidRDefault="00F422EA" w:rsidP="00836A14">
            <w:pPr>
              <w:pStyle w:val="Default"/>
            </w:pPr>
          </w:p>
        </w:tc>
        <w:tc>
          <w:tcPr>
            <w:tcW w:w="135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26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17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468" w:type="dxa"/>
            <w:tcBorders>
              <w:top w:val="nil"/>
              <w:left w:val="nil"/>
              <w:bottom w:val="single" w:sz="4" w:space="0" w:color="auto"/>
              <w:right w:val="nil"/>
            </w:tcBorders>
            <w:vAlign w:val="bottom"/>
          </w:tcPr>
          <w:p w:rsidR="00F422EA" w:rsidRPr="006C15B4" w:rsidRDefault="00F422EA" w:rsidP="00836A14">
            <w:pPr>
              <w:pStyle w:val="Default"/>
              <w:jc w:val="center"/>
            </w:pPr>
          </w:p>
        </w:tc>
      </w:tr>
      <w:tr w:rsidR="00F422EA" w:rsidRPr="006C15B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6C15B4" w:rsidRDefault="00F422EA" w:rsidP="00836A14">
            <w:pPr>
              <w:pStyle w:val="Default"/>
              <w:jc w:val="center"/>
            </w:pPr>
            <w:r w:rsidRPr="006C15B4">
              <w:rPr>
                <w:b/>
                <w:bCs/>
              </w:rPr>
              <w:t>Investigate and Verify Requirement for Additional Written Appraisal</w:t>
            </w:r>
          </w:p>
        </w:tc>
      </w:tr>
      <w:tr w:rsidR="00F422EA" w:rsidRPr="006C15B4" w:rsidTr="00483695">
        <w:trPr>
          <w:trHeight w:val="199"/>
        </w:trPr>
        <w:tc>
          <w:tcPr>
            <w:tcW w:w="3888" w:type="dxa"/>
            <w:tcBorders>
              <w:top w:val="single" w:sz="4" w:space="0" w:color="auto"/>
              <w:left w:val="nil"/>
              <w:bottom w:val="nil"/>
              <w:right w:val="nil"/>
            </w:tcBorders>
            <w:vAlign w:val="bottom"/>
          </w:tcPr>
          <w:p w:rsidR="00F422EA" w:rsidRPr="006C15B4" w:rsidRDefault="00F422EA" w:rsidP="00836A14">
            <w:pPr>
              <w:pStyle w:val="Default"/>
            </w:pPr>
          </w:p>
        </w:tc>
        <w:tc>
          <w:tcPr>
            <w:tcW w:w="135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6C15B4" w:rsidRDefault="00F422EA" w:rsidP="00836A14">
            <w:pPr>
              <w:pStyle w:val="Default"/>
            </w:pPr>
          </w:p>
        </w:tc>
        <w:tc>
          <w:tcPr>
            <w:tcW w:w="117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836A14">
        <w:trPr>
          <w:trHeight w:val="91"/>
        </w:trPr>
        <w:tc>
          <w:tcPr>
            <w:tcW w:w="3888" w:type="dxa"/>
            <w:vAlign w:val="bottom"/>
            <w:hideMark/>
          </w:tcPr>
          <w:p w:rsidR="00F422EA" w:rsidRPr="006C15B4" w:rsidRDefault="00F422EA" w:rsidP="00836A14">
            <w:pPr>
              <w:pStyle w:val="Default"/>
            </w:pPr>
          </w:p>
        </w:tc>
        <w:tc>
          <w:tcPr>
            <w:tcW w:w="1350" w:type="dxa"/>
            <w:vAlign w:val="bottom"/>
            <w:hideMark/>
          </w:tcPr>
          <w:p w:rsidR="00F422EA" w:rsidRPr="006C15B4" w:rsidRDefault="00F422EA" w:rsidP="00836A14">
            <w:pPr>
              <w:pStyle w:val="Default"/>
              <w:jc w:val="center"/>
            </w:pPr>
            <w:r w:rsidRPr="006C15B4">
              <w:t>1,399</w:t>
            </w:r>
          </w:p>
        </w:tc>
        <w:tc>
          <w:tcPr>
            <w:tcW w:w="1260" w:type="dxa"/>
            <w:vAlign w:val="bottom"/>
            <w:hideMark/>
          </w:tcPr>
          <w:p w:rsidR="00F422EA" w:rsidRPr="006C15B4" w:rsidRDefault="00F422EA" w:rsidP="00836A14">
            <w:pPr>
              <w:pStyle w:val="Default"/>
              <w:jc w:val="center"/>
            </w:pPr>
            <w:r w:rsidRPr="006C15B4">
              <w:t xml:space="preserve"> 0.85</w:t>
            </w:r>
          </w:p>
        </w:tc>
        <w:tc>
          <w:tcPr>
            <w:tcW w:w="1170" w:type="dxa"/>
            <w:vAlign w:val="bottom"/>
            <w:hideMark/>
          </w:tcPr>
          <w:p w:rsidR="00F422EA" w:rsidRPr="006C15B4" w:rsidRDefault="00F422EA" w:rsidP="00836A14">
            <w:pPr>
              <w:pStyle w:val="Default"/>
              <w:jc w:val="center"/>
            </w:pPr>
            <w:r w:rsidRPr="006C15B4">
              <w:t>0.25</w:t>
            </w:r>
          </w:p>
        </w:tc>
        <w:tc>
          <w:tcPr>
            <w:tcW w:w="1468" w:type="dxa"/>
            <w:vAlign w:val="bottom"/>
            <w:hideMark/>
          </w:tcPr>
          <w:p w:rsidR="00F422EA" w:rsidRPr="009D11FD" w:rsidRDefault="00F422EA" w:rsidP="00836A14">
            <w:pPr>
              <w:pStyle w:val="Default"/>
              <w:jc w:val="center"/>
              <w:rPr>
                <w:b/>
              </w:rPr>
            </w:pPr>
            <w:r w:rsidRPr="006C15B4">
              <w:t xml:space="preserve">   </w:t>
            </w:r>
            <w:r w:rsidRPr="009D11FD">
              <w:rPr>
                <w:b/>
              </w:rPr>
              <w:t>299</w:t>
            </w: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tcBorders>
              <w:top w:val="nil"/>
              <w:left w:val="nil"/>
              <w:bottom w:val="single" w:sz="4" w:space="0" w:color="auto"/>
              <w:right w:val="nil"/>
            </w:tcBorders>
            <w:vAlign w:val="bottom"/>
          </w:tcPr>
          <w:p w:rsidR="00F422EA" w:rsidRPr="006C15B4" w:rsidRDefault="00F422EA" w:rsidP="00836A14">
            <w:pPr>
              <w:pStyle w:val="Default"/>
            </w:pPr>
          </w:p>
        </w:tc>
        <w:tc>
          <w:tcPr>
            <w:tcW w:w="135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26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170" w:type="dxa"/>
            <w:tcBorders>
              <w:top w:val="nil"/>
              <w:left w:val="nil"/>
              <w:bottom w:val="single" w:sz="4" w:space="0" w:color="auto"/>
              <w:right w:val="nil"/>
            </w:tcBorders>
            <w:vAlign w:val="bottom"/>
          </w:tcPr>
          <w:p w:rsidR="00F422EA" w:rsidRPr="006C15B4" w:rsidRDefault="00F422EA" w:rsidP="00836A14">
            <w:pPr>
              <w:pStyle w:val="Default"/>
              <w:jc w:val="center"/>
            </w:pPr>
          </w:p>
        </w:tc>
        <w:tc>
          <w:tcPr>
            <w:tcW w:w="1468" w:type="dxa"/>
            <w:tcBorders>
              <w:top w:val="nil"/>
              <w:left w:val="nil"/>
              <w:bottom w:val="single" w:sz="4" w:space="0" w:color="auto"/>
              <w:right w:val="nil"/>
            </w:tcBorders>
            <w:vAlign w:val="bottom"/>
          </w:tcPr>
          <w:p w:rsidR="00F422EA" w:rsidRPr="006C15B4" w:rsidRDefault="00F422EA" w:rsidP="00836A14">
            <w:pPr>
              <w:pStyle w:val="Default"/>
              <w:jc w:val="center"/>
            </w:pPr>
          </w:p>
        </w:tc>
      </w:tr>
      <w:tr w:rsidR="00F422EA" w:rsidRPr="006C15B4" w:rsidTr="00836A14">
        <w:trPr>
          <w:trHeight w:val="90"/>
        </w:trPr>
        <w:tc>
          <w:tcPr>
            <w:tcW w:w="9136" w:type="dxa"/>
            <w:gridSpan w:val="5"/>
            <w:tcBorders>
              <w:top w:val="single" w:sz="4" w:space="0" w:color="auto"/>
              <w:left w:val="nil"/>
              <w:bottom w:val="single" w:sz="4" w:space="0" w:color="auto"/>
              <w:right w:val="nil"/>
            </w:tcBorders>
            <w:vAlign w:val="center"/>
            <w:hideMark/>
          </w:tcPr>
          <w:p w:rsidR="00F422EA" w:rsidRPr="006C15B4" w:rsidRDefault="00F422EA" w:rsidP="00836A14">
            <w:pPr>
              <w:pStyle w:val="Default"/>
              <w:jc w:val="center"/>
            </w:pPr>
            <w:r w:rsidRPr="006C15B4">
              <w:rPr>
                <w:b/>
                <w:bCs/>
              </w:rPr>
              <w:t>Review and Provide a Copy of Additional Written Appraisal</w:t>
            </w:r>
          </w:p>
        </w:tc>
      </w:tr>
      <w:tr w:rsidR="00F422EA" w:rsidRPr="006C15B4" w:rsidTr="00483695">
        <w:trPr>
          <w:trHeight w:val="332"/>
        </w:trPr>
        <w:tc>
          <w:tcPr>
            <w:tcW w:w="3888" w:type="dxa"/>
            <w:tcBorders>
              <w:top w:val="single" w:sz="4" w:space="0" w:color="auto"/>
              <w:left w:val="nil"/>
              <w:bottom w:val="nil"/>
              <w:right w:val="nil"/>
            </w:tcBorders>
            <w:vAlign w:val="bottom"/>
          </w:tcPr>
          <w:p w:rsidR="00F422EA" w:rsidRPr="006C15B4" w:rsidRDefault="00F422EA" w:rsidP="00836A14">
            <w:pPr>
              <w:pStyle w:val="Default"/>
            </w:pPr>
          </w:p>
        </w:tc>
        <w:tc>
          <w:tcPr>
            <w:tcW w:w="135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26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170" w:type="dxa"/>
            <w:tcBorders>
              <w:top w:val="single" w:sz="4" w:space="0" w:color="auto"/>
              <w:left w:val="nil"/>
              <w:bottom w:val="nil"/>
              <w:right w:val="nil"/>
            </w:tcBorders>
            <w:vAlign w:val="bottom"/>
          </w:tcPr>
          <w:p w:rsidR="00F422EA" w:rsidRPr="006C15B4" w:rsidRDefault="00F422EA" w:rsidP="00836A14">
            <w:pPr>
              <w:pStyle w:val="Default"/>
              <w:jc w:val="center"/>
            </w:pPr>
          </w:p>
        </w:tc>
        <w:tc>
          <w:tcPr>
            <w:tcW w:w="1468" w:type="dxa"/>
            <w:tcBorders>
              <w:top w:val="single" w:sz="4" w:space="0" w:color="auto"/>
              <w:left w:val="nil"/>
              <w:bottom w:val="nil"/>
              <w:right w:val="nil"/>
            </w:tcBorders>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836A14">
        <w:trPr>
          <w:trHeight w:val="91"/>
        </w:trPr>
        <w:tc>
          <w:tcPr>
            <w:tcW w:w="3888" w:type="dxa"/>
            <w:vAlign w:val="bottom"/>
            <w:hideMark/>
          </w:tcPr>
          <w:p w:rsidR="00F422EA" w:rsidRPr="006C15B4" w:rsidRDefault="00F422EA" w:rsidP="00836A14">
            <w:pPr>
              <w:pStyle w:val="Default"/>
            </w:pPr>
          </w:p>
        </w:tc>
        <w:tc>
          <w:tcPr>
            <w:tcW w:w="1350" w:type="dxa"/>
            <w:vAlign w:val="bottom"/>
            <w:hideMark/>
          </w:tcPr>
          <w:p w:rsidR="00F422EA" w:rsidRPr="006C15B4" w:rsidRDefault="00F422EA" w:rsidP="00836A14">
            <w:pPr>
              <w:pStyle w:val="Default"/>
              <w:jc w:val="center"/>
            </w:pPr>
            <w:r w:rsidRPr="006C15B4">
              <w:t>1,399</w:t>
            </w:r>
          </w:p>
        </w:tc>
        <w:tc>
          <w:tcPr>
            <w:tcW w:w="1260" w:type="dxa"/>
            <w:vAlign w:val="bottom"/>
            <w:hideMark/>
          </w:tcPr>
          <w:p w:rsidR="00F422EA" w:rsidRPr="006C15B4" w:rsidRDefault="00F422EA" w:rsidP="00836A14">
            <w:pPr>
              <w:pStyle w:val="Default"/>
              <w:jc w:val="center"/>
            </w:pPr>
            <w:r w:rsidRPr="006C15B4">
              <w:t xml:space="preserve">      0.02</w:t>
            </w:r>
          </w:p>
        </w:tc>
        <w:tc>
          <w:tcPr>
            <w:tcW w:w="1170" w:type="dxa"/>
            <w:vAlign w:val="bottom"/>
            <w:hideMark/>
          </w:tcPr>
          <w:p w:rsidR="00F422EA" w:rsidRPr="006C15B4" w:rsidRDefault="00F422EA" w:rsidP="00836A14">
            <w:pPr>
              <w:pStyle w:val="Default"/>
              <w:jc w:val="center"/>
            </w:pPr>
            <w:r w:rsidRPr="006C15B4">
              <w:t>0.25</w:t>
            </w:r>
          </w:p>
        </w:tc>
        <w:tc>
          <w:tcPr>
            <w:tcW w:w="1468" w:type="dxa"/>
            <w:vAlign w:val="bottom"/>
            <w:hideMark/>
          </w:tcPr>
          <w:p w:rsidR="00F422EA" w:rsidRPr="009D11FD" w:rsidRDefault="00F422EA" w:rsidP="00836A14">
            <w:pPr>
              <w:pStyle w:val="Default"/>
              <w:jc w:val="center"/>
              <w:rPr>
                <w:b/>
              </w:rPr>
            </w:pPr>
            <w:r w:rsidRPr="009D11FD">
              <w:rPr>
                <w:b/>
              </w:rPr>
              <w:t xml:space="preserve">      8</w:t>
            </w: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483695">
        <w:trPr>
          <w:trHeight w:val="91"/>
        </w:trPr>
        <w:tc>
          <w:tcPr>
            <w:tcW w:w="3888" w:type="dxa"/>
            <w:vAlign w:val="bottom"/>
          </w:tcPr>
          <w:p w:rsidR="00F422EA" w:rsidRPr="006C15B4" w:rsidRDefault="00F422EA" w:rsidP="00836A14">
            <w:pPr>
              <w:pStyle w:val="Default"/>
            </w:pPr>
          </w:p>
        </w:tc>
        <w:tc>
          <w:tcPr>
            <w:tcW w:w="1350" w:type="dxa"/>
            <w:vAlign w:val="bottom"/>
          </w:tcPr>
          <w:p w:rsidR="00F422EA" w:rsidRPr="006C15B4" w:rsidRDefault="00F422EA" w:rsidP="00836A14">
            <w:pPr>
              <w:pStyle w:val="Default"/>
              <w:jc w:val="center"/>
            </w:pPr>
          </w:p>
        </w:tc>
        <w:tc>
          <w:tcPr>
            <w:tcW w:w="1260" w:type="dxa"/>
            <w:vAlign w:val="bottom"/>
          </w:tcPr>
          <w:p w:rsidR="00F422EA" w:rsidRPr="006C15B4" w:rsidRDefault="00F422EA" w:rsidP="00836A14">
            <w:pPr>
              <w:pStyle w:val="Default"/>
              <w:jc w:val="center"/>
            </w:pPr>
          </w:p>
        </w:tc>
        <w:tc>
          <w:tcPr>
            <w:tcW w:w="1170" w:type="dxa"/>
            <w:vAlign w:val="bottom"/>
          </w:tcPr>
          <w:p w:rsidR="00F422EA" w:rsidRPr="006C15B4" w:rsidRDefault="00F422EA" w:rsidP="00836A14">
            <w:pPr>
              <w:pStyle w:val="Default"/>
              <w:jc w:val="center"/>
            </w:pPr>
          </w:p>
        </w:tc>
        <w:tc>
          <w:tcPr>
            <w:tcW w:w="1468" w:type="dxa"/>
            <w:vAlign w:val="bottom"/>
          </w:tcPr>
          <w:p w:rsidR="00F422EA" w:rsidRPr="006C15B4" w:rsidRDefault="00F422EA" w:rsidP="00836A14">
            <w:pPr>
              <w:pStyle w:val="Default"/>
              <w:jc w:val="center"/>
            </w:pPr>
          </w:p>
        </w:tc>
      </w:tr>
      <w:tr w:rsidR="00F422EA" w:rsidRPr="006C15B4" w:rsidTr="00836A14">
        <w:trPr>
          <w:trHeight w:val="420"/>
        </w:trPr>
        <w:tc>
          <w:tcPr>
            <w:tcW w:w="9136" w:type="dxa"/>
            <w:gridSpan w:val="5"/>
          </w:tcPr>
          <w:p w:rsidR="00F422EA" w:rsidRPr="006C15B4" w:rsidRDefault="00F422EA" w:rsidP="00333E07">
            <w:pPr>
              <w:pStyle w:val="Default"/>
            </w:pPr>
          </w:p>
        </w:tc>
      </w:tr>
    </w:tbl>
    <w:p w:rsidR="00F422EA" w:rsidRDefault="005219C9" w:rsidP="00F422EA">
      <w:pPr>
        <w:pStyle w:val="Default"/>
        <w:ind w:firstLine="720"/>
      </w:pPr>
      <w:r>
        <w:lastRenderedPageBreak/>
        <w:t>R</w:t>
      </w:r>
      <w:r w:rsidR="00F422EA" w:rsidRPr="006C15B4">
        <w:t xml:space="preserve">espondents must also review the instructions and legal guidance associated with the </w:t>
      </w:r>
      <w:r w:rsidR="00F25023">
        <w:t xml:space="preserve">February 2013 </w:t>
      </w:r>
      <w:r w:rsidR="00F422EA" w:rsidRPr="006C15B4">
        <w:t xml:space="preserve">Final Rule and train loan officers regarding the requirements of the </w:t>
      </w:r>
      <w:r w:rsidR="00F25023">
        <w:t xml:space="preserve">February 2013 </w:t>
      </w:r>
      <w:r w:rsidR="00F422EA" w:rsidRPr="006C15B4">
        <w:t xml:space="preserve">Final Rule.  The Agencies continue to estimate that these one-time costs are as follows:  </w:t>
      </w:r>
      <w:r w:rsidR="00F422EA" w:rsidRPr="009D11FD">
        <w:rPr>
          <w:b/>
        </w:rPr>
        <w:t>19,58</w:t>
      </w:r>
      <w:r w:rsidR="00F422EA" w:rsidRPr="0006747A">
        <w:rPr>
          <w:b/>
        </w:rPr>
        <w:t>6 hours</w:t>
      </w:r>
      <w:r w:rsidR="00333E07" w:rsidRPr="0006747A">
        <w:rPr>
          <w:b/>
        </w:rPr>
        <w:t>.</w:t>
      </w:r>
      <w:r w:rsidR="00F422EA" w:rsidRPr="006C15B4">
        <w:t xml:space="preserve"> </w:t>
      </w:r>
    </w:p>
    <w:p w:rsidR="009D11FD" w:rsidRDefault="009D11FD" w:rsidP="00F422EA">
      <w:pPr>
        <w:pStyle w:val="Default"/>
        <w:ind w:firstLine="720"/>
      </w:pPr>
    </w:p>
    <w:p w:rsidR="009D11FD" w:rsidRPr="009D11FD" w:rsidRDefault="009D11FD" w:rsidP="009D11FD">
      <w:pPr>
        <w:pStyle w:val="Default"/>
        <w:rPr>
          <w:b/>
        </w:rPr>
      </w:pPr>
      <w:r>
        <w:rPr>
          <w:b/>
        </w:rPr>
        <w:t>Total Burden:  19,946 ho</w:t>
      </w:r>
      <w:r w:rsidRPr="004A63EC">
        <w:rPr>
          <w:b/>
        </w:rPr>
        <w:t>urs</w:t>
      </w:r>
      <w:r w:rsidR="004A63EC" w:rsidRPr="004A63EC">
        <w:rPr>
          <w:b/>
        </w:rPr>
        <w:t xml:space="preserve"> (Rounded from 19,948 by ROCIS).</w:t>
      </w:r>
    </w:p>
    <w:p w:rsidR="00EA17EC" w:rsidRPr="00375B0B" w:rsidRDefault="007800F7" w:rsidP="00375B0B">
      <w:pPr>
        <w:tabs>
          <w:tab w:val="left" w:pos="-1440"/>
        </w:tabs>
        <w:ind w:left="720" w:hanging="720"/>
        <w:rPr>
          <w:rFonts w:ascii="Times New Roman" w:hAnsi="Times New Roman"/>
        </w:rPr>
      </w:pPr>
      <w:r>
        <w:rPr>
          <w:rFonts w:ascii="Times New Roman" w:hAnsi="Times New Roman"/>
        </w:rPr>
        <w:tab/>
      </w: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13.</w:t>
      </w:r>
      <w:r w:rsidRPr="00373ED8">
        <w:rPr>
          <w:rFonts w:ascii="Times New Roman" w:hAnsi="Times New Roman"/>
        </w:rPr>
        <w:tab/>
      </w:r>
      <w:r w:rsidRPr="00373ED8">
        <w:rPr>
          <w:rFonts w:ascii="Times New Roman" w:hAnsi="Times New Roman"/>
          <w:u w:val="single"/>
        </w:rPr>
        <w:t>Estimate of annualized costs to respondents:</w:t>
      </w:r>
    </w:p>
    <w:p w:rsidR="00EA17EC" w:rsidRPr="00373ED8" w:rsidRDefault="00EA17EC" w:rsidP="00373ED8">
      <w:pPr>
        <w:ind w:firstLine="720"/>
        <w:rPr>
          <w:rFonts w:ascii="Times New Roman" w:hAnsi="Times New Roman"/>
        </w:rPr>
      </w:pPr>
    </w:p>
    <w:p w:rsidR="00EA17EC"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 xml:space="preserve">14.  </w:t>
      </w:r>
      <w:r w:rsidRPr="00373ED8">
        <w:rPr>
          <w:rFonts w:ascii="Times New Roman" w:hAnsi="Times New Roman"/>
          <w:u w:val="single"/>
        </w:rPr>
        <w:t>Estimate of annualized costs to the government:</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EA17EC" w:rsidRPr="00373ED8" w:rsidRDefault="00EA17EC" w:rsidP="00373ED8">
      <w:pPr>
        <w:rPr>
          <w:rFonts w:ascii="Times New Roman" w:hAnsi="Times New Roman"/>
        </w:rPr>
      </w:pPr>
    </w:p>
    <w:p w:rsidR="00EA17EC" w:rsidRDefault="00EA17EC" w:rsidP="00373ED8">
      <w:pPr>
        <w:tabs>
          <w:tab w:val="left" w:pos="-1440"/>
        </w:tabs>
        <w:ind w:left="720" w:hanging="720"/>
        <w:rPr>
          <w:rFonts w:ascii="Times New Roman" w:hAnsi="Times New Roman"/>
          <w:u w:val="single"/>
        </w:rPr>
      </w:pPr>
      <w:r w:rsidRPr="00373ED8">
        <w:rPr>
          <w:rFonts w:ascii="Times New Roman" w:hAnsi="Times New Roman"/>
        </w:rPr>
        <w:t>15.</w:t>
      </w:r>
      <w:r w:rsidRPr="00373ED8">
        <w:rPr>
          <w:rFonts w:ascii="Times New Roman" w:hAnsi="Times New Roman"/>
        </w:rPr>
        <w:tab/>
      </w:r>
      <w:r w:rsidRPr="00373ED8">
        <w:rPr>
          <w:rFonts w:ascii="Times New Roman" w:hAnsi="Times New Roman"/>
          <w:u w:val="single"/>
        </w:rPr>
        <w:t>Changes in burden:</w:t>
      </w:r>
    </w:p>
    <w:p w:rsidR="00E17ED0" w:rsidRDefault="00E17ED0" w:rsidP="00373ED8">
      <w:pPr>
        <w:tabs>
          <w:tab w:val="left" w:pos="-1440"/>
        </w:tabs>
        <w:ind w:left="720" w:hanging="720"/>
        <w:rPr>
          <w:rFonts w:ascii="Times New Roman" w:hAnsi="Times New Roman"/>
          <w:u w:val="single"/>
        </w:rPr>
      </w:pPr>
    </w:p>
    <w:p w:rsidR="00E17ED0" w:rsidRDefault="00E17ED0" w:rsidP="00E17ED0">
      <w:pPr>
        <w:tabs>
          <w:tab w:val="left" w:pos="-1440"/>
        </w:tabs>
        <w:ind w:left="720"/>
        <w:rPr>
          <w:rFonts w:ascii="Times New Roman" w:hAnsi="Times New Roman"/>
        </w:rPr>
      </w:pPr>
      <w:proofErr w:type="gramStart"/>
      <w:r>
        <w:rPr>
          <w:rFonts w:ascii="Times New Roman" w:hAnsi="Times New Roman"/>
        </w:rPr>
        <w:t>Current Burden:</w:t>
      </w:r>
      <w:r w:rsidR="00646A7B">
        <w:rPr>
          <w:rFonts w:ascii="Times New Roman" w:hAnsi="Times New Roman"/>
        </w:rPr>
        <w:t xml:space="preserve">  68,901 hours.</w:t>
      </w:r>
      <w:proofErr w:type="gramEnd"/>
    </w:p>
    <w:p w:rsidR="00E17ED0" w:rsidRDefault="00E17ED0" w:rsidP="00E17ED0">
      <w:pPr>
        <w:tabs>
          <w:tab w:val="left" w:pos="-1440"/>
        </w:tabs>
        <w:ind w:left="720"/>
        <w:rPr>
          <w:rFonts w:ascii="Times New Roman" w:hAnsi="Times New Roman"/>
        </w:rPr>
      </w:pPr>
      <w:r>
        <w:rPr>
          <w:rFonts w:ascii="Times New Roman" w:hAnsi="Times New Roman"/>
        </w:rPr>
        <w:t>New Burden:  19,946 hours</w:t>
      </w:r>
      <w:r w:rsidR="00E81DAE">
        <w:rPr>
          <w:rFonts w:ascii="Times New Roman" w:hAnsi="Times New Roman"/>
        </w:rPr>
        <w:t xml:space="preserve"> (Rounded from 19,948 by ROCIS)</w:t>
      </w:r>
      <w:r>
        <w:rPr>
          <w:rFonts w:ascii="Times New Roman" w:hAnsi="Times New Roman"/>
        </w:rPr>
        <w:t>.</w:t>
      </w:r>
    </w:p>
    <w:p w:rsidR="00E17ED0" w:rsidRPr="00E17ED0" w:rsidRDefault="00E17ED0" w:rsidP="00E17ED0">
      <w:pPr>
        <w:tabs>
          <w:tab w:val="left" w:pos="-1440"/>
        </w:tabs>
        <w:ind w:left="720"/>
        <w:rPr>
          <w:rFonts w:ascii="Times New Roman" w:hAnsi="Times New Roman"/>
        </w:rPr>
      </w:pPr>
      <w:r>
        <w:rPr>
          <w:rFonts w:ascii="Times New Roman" w:hAnsi="Times New Roman"/>
        </w:rPr>
        <w:t>Difference: - 48,955 hours.</w:t>
      </w:r>
    </w:p>
    <w:p w:rsidR="00344D0B" w:rsidRDefault="00344D0B" w:rsidP="000D602E">
      <w:pPr>
        <w:tabs>
          <w:tab w:val="left" w:pos="-1440"/>
        </w:tabs>
        <w:rPr>
          <w:rFonts w:ascii="Times New Roman" w:hAnsi="Times New Roman"/>
          <w:u w:val="single"/>
        </w:rPr>
      </w:pPr>
    </w:p>
    <w:p w:rsidR="00EA17EC" w:rsidRDefault="00344D0B" w:rsidP="006A0AE9">
      <w:pPr>
        <w:ind w:left="720"/>
        <w:rPr>
          <w:rFonts w:ascii="Times New Roman" w:hAnsi="Times New Roman"/>
        </w:rPr>
      </w:pPr>
      <w:r>
        <w:rPr>
          <w:rFonts w:ascii="Times New Roman" w:hAnsi="Times New Roman"/>
        </w:rPr>
        <w:t>The</w:t>
      </w:r>
      <w:r w:rsidR="009B39DC">
        <w:rPr>
          <w:rFonts w:ascii="Times New Roman" w:hAnsi="Times New Roman"/>
        </w:rPr>
        <w:t xml:space="preserve"> decrease </w:t>
      </w:r>
      <w:r w:rsidR="00E43435">
        <w:rPr>
          <w:rFonts w:ascii="Times New Roman" w:hAnsi="Times New Roman"/>
        </w:rPr>
        <w:t>in burden</w:t>
      </w:r>
      <w:r w:rsidR="00375B0B">
        <w:rPr>
          <w:rFonts w:ascii="Times New Roman" w:hAnsi="Times New Roman"/>
        </w:rPr>
        <w:t xml:space="preserve"> is due to the exemptions provid</w:t>
      </w:r>
      <w:r w:rsidR="00E17ED0">
        <w:rPr>
          <w:rFonts w:ascii="Times New Roman" w:hAnsi="Times New Roman"/>
        </w:rPr>
        <w:t xml:space="preserve">ed by the Supplemental </w:t>
      </w:r>
      <w:r w:rsidR="00D936AB">
        <w:rPr>
          <w:rFonts w:ascii="Times New Roman" w:hAnsi="Times New Roman"/>
        </w:rPr>
        <w:t xml:space="preserve">Proposal Final </w:t>
      </w:r>
      <w:r w:rsidR="00E17ED0">
        <w:rPr>
          <w:rFonts w:ascii="Times New Roman" w:hAnsi="Times New Roman"/>
        </w:rPr>
        <w:t>Rule.</w:t>
      </w:r>
    </w:p>
    <w:p w:rsidR="006A0AE9" w:rsidRPr="000D602E" w:rsidRDefault="006A0AE9" w:rsidP="006A0AE9">
      <w:pPr>
        <w:rPr>
          <w:rFonts w:ascii="Times New Roman" w:hAnsi="Times New Roman"/>
          <w:color w:val="000000"/>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16.</w:t>
      </w:r>
      <w:r w:rsidRPr="00373ED8">
        <w:rPr>
          <w:rFonts w:ascii="Times New Roman" w:hAnsi="Times New Roman"/>
        </w:rPr>
        <w:tab/>
      </w:r>
      <w:r w:rsidRPr="00373ED8">
        <w:rPr>
          <w:rFonts w:ascii="Times New Roman" w:hAnsi="Times New Roman"/>
          <w:u w:val="single"/>
        </w:rPr>
        <w:t>Information regarding collections whose results are planned to be published for statistical use:</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r w:rsidRPr="00373ED8">
        <w:rPr>
          <w:rFonts w:ascii="Times New Roman" w:hAnsi="Times New Roman"/>
        </w:rPr>
        <w:t>The OCC has no plans to publish the information for statistical use.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u w:val="single"/>
        </w:rPr>
      </w:pPr>
      <w:r w:rsidRPr="00373ED8">
        <w:rPr>
          <w:rFonts w:ascii="Times New Roman" w:hAnsi="Times New Roman"/>
        </w:rPr>
        <w:t>17.</w:t>
      </w:r>
      <w:r w:rsidRPr="00373ED8">
        <w:rPr>
          <w:rFonts w:ascii="Times New Roman" w:hAnsi="Times New Roman"/>
        </w:rPr>
        <w:tab/>
      </w:r>
      <w:r w:rsidRPr="00373ED8">
        <w:rPr>
          <w:rFonts w:ascii="Times New Roman" w:hAnsi="Times New Roman"/>
          <w:u w:val="single"/>
        </w:rPr>
        <w:t>Display of expiration date.</w:t>
      </w:r>
    </w:p>
    <w:p w:rsidR="00EA17EC" w:rsidRPr="00373ED8" w:rsidRDefault="00EA17EC" w:rsidP="00373ED8">
      <w:pPr>
        <w:ind w:firstLine="720"/>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18.</w:t>
      </w:r>
      <w:r w:rsidRPr="00373ED8">
        <w:rPr>
          <w:rFonts w:ascii="Times New Roman" w:hAnsi="Times New Roman"/>
        </w:rPr>
        <w:tab/>
      </w:r>
      <w:r w:rsidRPr="00373ED8">
        <w:rPr>
          <w:rFonts w:ascii="Times New Roman" w:hAnsi="Times New Roman"/>
          <w:u w:val="single"/>
        </w:rPr>
        <w:t>Exceptions to certification statement.</w:t>
      </w:r>
    </w:p>
    <w:p w:rsidR="00EA17EC" w:rsidRPr="00373ED8" w:rsidRDefault="00EA17EC" w:rsidP="00373ED8">
      <w:pPr>
        <w:rPr>
          <w:rFonts w:ascii="Times New Roman" w:hAnsi="Times New Roman"/>
        </w:rPr>
      </w:pPr>
    </w:p>
    <w:p w:rsidR="00EA17EC" w:rsidRPr="00373ED8" w:rsidRDefault="00EA17EC" w:rsidP="00373ED8">
      <w:pPr>
        <w:ind w:firstLine="720"/>
        <w:rPr>
          <w:rFonts w:ascii="Times New Roman" w:hAnsi="Times New Roman"/>
          <w:u w:val="single"/>
        </w:rPr>
      </w:pPr>
      <w:proofErr w:type="gramStart"/>
      <w:r w:rsidRPr="00373ED8">
        <w:rPr>
          <w:rFonts w:ascii="Times New Roman" w:hAnsi="Times New Roman"/>
        </w:rPr>
        <w:t>None.</w:t>
      </w:r>
      <w:proofErr w:type="gramEnd"/>
      <w:r w:rsidRPr="00373ED8">
        <w:rPr>
          <w:rFonts w:ascii="Times New Roman" w:hAnsi="Times New Roman"/>
        </w:rPr>
        <w:t xml:space="preserve"> </w:t>
      </w:r>
    </w:p>
    <w:p w:rsidR="00EA17EC" w:rsidRPr="00373ED8" w:rsidRDefault="00EA17EC" w:rsidP="00373ED8">
      <w:pPr>
        <w:rPr>
          <w:rFonts w:ascii="Times New Roman" w:hAnsi="Times New Roman"/>
          <w:u w:val="single"/>
        </w:rPr>
      </w:pPr>
    </w:p>
    <w:p w:rsidR="00EA17EC" w:rsidRPr="00373ED8" w:rsidRDefault="00EA17EC" w:rsidP="00373ED8">
      <w:pPr>
        <w:tabs>
          <w:tab w:val="left" w:pos="-1440"/>
        </w:tabs>
        <w:ind w:left="720" w:hanging="720"/>
        <w:rPr>
          <w:rFonts w:ascii="Times New Roman" w:hAnsi="Times New Roman"/>
          <w:u w:val="single"/>
        </w:rPr>
      </w:pPr>
      <w:r w:rsidRPr="00373ED8">
        <w:rPr>
          <w:rFonts w:ascii="Times New Roman" w:hAnsi="Times New Roman"/>
        </w:rPr>
        <w:t>B.</w:t>
      </w:r>
      <w:r w:rsidRPr="00373ED8">
        <w:rPr>
          <w:rFonts w:ascii="Times New Roman" w:hAnsi="Times New Roman"/>
        </w:rPr>
        <w:tab/>
      </w:r>
      <w:r w:rsidRPr="00373ED8">
        <w:rPr>
          <w:rFonts w:ascii="Times New Roman" w:hAnsi="Times New Roman"/>
          <w:u w:val="single"/>
        </w:rPr>
        <w:t>Collections of Information Employing Statistical Methods.</w:t>
      </w:r>
    </w:p>
    <w:p w:rsidR="00EA17EC" w:rsidRPr="00373ED8" w:rsidRDefault="00EA17EC" w:rsidP="00373ED8">
      <w:pPr>
        <w:rPr>
          <w:rFonts w:ascii="Times New Roman" w:hAnsi="Times New Roman"/>
          <w:u w:val="single"/>
        </w:rPr>
      </w:pPr>
    </w:p>
    <w:p w:rsidR="00EA17EC" w:rsidRPr="00B02EF3" w:rsidRDefault="00EA17EC" w:rsidP="00134BF7">
      <w:pPr>
        <w:ind w:firstLine="720"/>
        <w:rPr>
          <w:rFonts w:ascii="Times New Roman" w:hAnsi="Times New Roman"/>
        </w:rPr>
      </w:pPr>
      <w:r w:rsidRPr="00373ED8">
        <w:rPr>
          <w:rFonts w:ascii="Times New Roman" w:hAnsi="Times New Roman"/>
        </w:rPr>
        <w:t>Not applicable.</w:t>
      </w: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D936AB">
      <w:rPr>
        <w:rStyle w:val="PageNumber"/>
        <w:noProof/>
      </w:rPr>
      <w:t>3</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 w:id="1">
    <w:p w:rsidR="00F422EA" w:rsidRDefault="00F422EA" w:rsidP="00F422EA">
      <w:pPr>
        <w:pStyle w:val="FootnoteText"/>
      </w:pPr>
      <w:r w:rsidRPr="009C036E">
        <w:rPr>
          <w:rStyle w:val="FootnoteReference"/>
          <w:vertAlign w:val="superscript"/>
        </w:rPr>
        <w:footnoteRef/>
      </w:r>
      <w:r w:rsidR="00477DFB" w:rsidRPr="009C036E">
        <w:t xml:space="preserve"> </w:t>
      </w:r>
      <w:proofErr w:type="gramStart"/>
      <w:r w:rsidR="00477DFB" w:rsidRPr="009C036E">
        <w:t>T</w:t>
      </w:r>
      <w:r w:rsidRPr="009C036E">
        <w:t xml:space="preserve">here were 12,000 refinances affected by the </w:t>
      </w:r>
      <w:r w:rsidR="00823AA1">
        <w:t>February</w:t>
      </w:r>
      <w:r w:rsidRPr="009C036E">
        <w:t xml:space="preserve"> 2013 Final Rule, and out of those the </w:t>
      </w:r>
      <w:r w:rsidR="00333E07">
        <w:t>Agencies</w:t>
      </w:r>
      <w:r w:rsidRPr="009C036E">
        <w:t xml:space="preserve"> estimated that 10 percent did not have a full appraisal performed in the absence of the </w:t>
      </w:r>
      <w:r w:rsidR="00823AA1">
        <w:t>February</w:t>
      </w:r>
      <w:r w:rsidRPr="009C036E">
        <w:t xml:space="preserve"> 2013 Final Rule, resulting in 10%*12,000=1,200 of refinances that would be estimated to obtain an appraisal as a result of the </w:t>
      </w:r>
      <w:r w:rsidR="00823AA1">
        <w:t>February</w:t>
      </w:r>
      <w:r w:rsidRPr="009C036E">
        <w:t xml:space="preserve"> 2013 Final Rule (and which would not</w:t>
      </w:r>
      <w:r w:rsidR="003C42C2">
        <w:t xml:space="preserve"> be obtained as a result of the</w:t>
      </w:r>
      <w:r w:rsidRPr="009C036E">
        <w:t xml:space="preserve"> Supplemental</w:t>
      </w:r>
      <w:r w:rsidR="003C42C2">
        <w:t xml:space="preserve"> Proposal</w:t>
      </w:r>
      <w:r w:rsidRPr="009C036E">
        <w:t xml:space="preserve"> Final Rule).</w:t>
      </w:r>
      <w:proofErr w:type="gramEnd"/>
    </w:p>
  </w:footnote>
  <w:footnote w:id="2">
    <w:p w:rsidR="00F422EA" w:rsidRDefault="00F422EA" w:rsidP="00F422EA">
      <w:pPr>
        <w:pStyle w:val="FootnoteText"/>
      </w:pPr>
      <w:r w:rsidRPr="00E57182">
        <w:rPr>
          <w:rStyle w:val="FootnoteReference"/>
          <w:vertAlign w:val="superscript"/>
        </w:rPr>
        <w:footnoteRef/>
      </w:r>
      <w:r>
        <w:t xml:space="preserve"> </w:t>
      </w:r>
      <w:r w:rsidR="00333E07">
        <w:t>The Agencies believe</w:t>
      </w:r>
      <w:r>
        <w:t xml:space="preserve"> that a substantial proportion of the existing manufactured homes that </w:t>
      </w:r>
      <w:proofErr w:type="gramStart"/>
      <w:r>
        <w:t>are sold</w:t>
      </w:r>
      <w:proofErr w:type="gramEnd"/>
      <w:r>
        <w:t xml:space="preserve"> would be sold for less than $25,000.  According to the Census Bureau 2011 American Housing Survey Table C-13-OO, the average value of existing man</w:t>
      </w:r>
      <w:r w:rsidR="00C77B2F">
        <w:t xml:space="preserve">ufactured homes is $30,000.  </w:t>
      </w:r>
      <w:r>
        <w:t xml:space="preserve"> </w:t>
      </w:r>
      <w:hyperlink r:id="rId1" w:history="1">
        <w:r>
          <w:rPr>
            <w:rStyle w:val="Hyperlink"/>
          </w:rPr>
          <w:t>http://factfinder2.census.gov/faces/tableservices/jsf/pages/productview.xhtml?pid=AHS_2011_C13OO&amp;prodType=table</w:t>
        </w:r>
      </w:hyperlink>
      <w:r>
        <w:t xml:space="preserve">.  The estimate includes not only the value of the home, but also appears to include the value of the lot where the lot </w:t>
      </w:r>
      <w:proofErr w:type="gramStart"/>
      <w:r>
        <w:t>is also owned</w:t>
      </w:r>
      <w:proofErr w:type="gramEnd"/>
      <w:r>
        <w:t xml:space="preserve">.  According to the AHS Survey, the term “value” </w:t>
      </w:r>
      <w:proofErr w:type="gramStart"/>
      <w:r>
        <w:t>is defined</w:t>
      </w:r>
      <w:proofErr w:type="gramEnd"/>
      <w:r>
        <w:t xml:space="preserve"> as “the respondent’s estimate of how much the property (house and lot) would sell for if it were for sale. Any nonresidential portions of the property, any rental units, and land cost of mobile homes, </w:t>
      </w:r>
      <w:proofErr w:type="gramStart"/>
      <w:r>
        <w:t>are excluded</w:t>
      </w:r>
      <w:proofErr w:type="gramEnd"/>
      <w:r>
        <w:t xml:space="preserve"> from the value. For vacant units, value represents the sales price asked for the property at the time of the interview, and may differ from the price at which the property </w:t>
      </w:r>
      <w:proofErr w:type="gramStart"/>
      <w:r>
        <w:t>is sold</w:t>
      </w:r>
      <w:proofErr w:type="gramEnd"/>
      <w:r>
        <w:t>. In the publications, medians for value are round</w:t>
      </w:r>
      <w:r w:rsidR="00C77B2F">
        <w:t xml:space="preserve">ed to the nearest dollar.”  </w:t>
      </w:r>
      <w:hyperlink r:id="rId2" w:history="1">
        <w:r>
          <w:rPr>
            <w:rStyle w:val="Hyperlink"/>
          </w:rPr>
          <w:t>http://www.census.gov/housing/ahs/files/Appendix%20A.pdf</w:t>
        </w:r>
      </w:hyperlink>
      <w:r>
        <w:t>.</w:t>
      </w:r>
    </w:p>
  </w:footnote>
  <w:footnote w:id="3">
    <w:p w:rsidR="00F422EA" w:rsidRDefault="00F422EA" w:rsidP="00F422EA">
      <w:pPr>
        <w:pStyle w:val="FootnoteText"/>
      </w:pPr>
      <w:r w:rsidRPr="00E57182">
        <w:rPr>
          <w:rStyle w:val="FootnoteReference"/>
          <w:vertAlign w:val="superscript"/>
        </w:rPr>
        <w:footnoteRef/>
      </w:r>
      <w:r>
        <w:t xml:space="preserve"> The </w:t>
      </w:r>
      <w:r w:rsidR="00333E07">
        <w:t>Agencies assume</w:t>
      </w:r>
      <w:r>
        <w:t xml:space="preserve"> that manufactured housing loans secured solely by a manufactured home and not land are reflected in the data provided by the institutions to the datasets that are used (Call Reports for Banks and Thrifts, Call Reports for Credit Unions, and NMLS’s Mortgage Call Reports), and thus are reflected in the  loan projections utilized for the table below. </w:t>
      </w:r>
    </w:p>
    <w:p w:rsidR="00F422EA" w:rsidRPr="00CC6A75" w:rsidRDefault="00F422EA" w:rsidP="00F422EA">
      <w:pPr>
        <w:rPr>
          <w:rFonts w:ascii="Times New Roman" w:hAnsi="Times New Roman"/>
          <w:sz w:val="20"/>
        </w:rPr>
      </w:pPr>
      <w:r w:rsidRPr="00CC6A75">
        <w:rPr>
          <w:rFonts w:ascii="Times New Roman" w:hAnsi="Times New Roman"/>
          <w:sz w:val="20"/>
        </w:rPr>
        <w:t xml:space="preserve">The Agencies conservatively included all non-QM HPML MH loans reported in HMDA and projected based on the Call Reports data in its paperwork burden calculations for the </w:t>
      </w:r>
      <w:r w:rsidR="00823AA1">
        <w:rPr>
          <w:rFonts w:ascii="Times New Roman" w:hAnsi="Times New Roman"/>
          <w:sz w:val="20"/>
        </w:rPr>
        <w:t>February</w:t>
      </w:r>
      <w:r w:rsidRPr="00CC6A75">
        <w:rPr>
          <w:rFonts w:ascii="Times New Roman" w:hAnsi="Times New Roman"/>
          <w:sz w:val="20"/>
        </w:rPr>
        <w:t xml:space="preserve"> 2013 Final Rule. The Agencies did not possess sufficient information at the time to estimate the proportion of non-QM HPML MH affected by the </w:t>
      </w:r>
      <w:r w:rsidR="00823AA1">
        <w:rPr>
          <w:rFonts w:ascii="Times New Roman" w:hAnsi="Times New Roman"/>
          <w:sz w:val="20"/>
        </w:rPr>
        <w:t>February</w:t>
      </w:r>
      <w:r w:rsidRPr="00CC6A75">
        <w:rPr>
          <w:rFonts w:ascii="Times New Roman" w:hAnsi="Times New Roman"/>
          <w:sz w:val="20"/>
        </w:rPr>
        <w:t xml:space="preserve"> 2013 Final Rule. </w:t>
      </w:r>
      <w:r w:rsidR="00F25023">
        <w:rPr>
          <w:rFonts w:ascii="Times New Roman" w:hAnsi="Times New Roman"/>
          <w:sz w:val="20"/>
        </w:rPr>
        <w:t xml:space="preserve">No new data </w:t>
      </w:r>
      <w:proofErr w:type="gramStart"/>
      <w:r w:rsidR="00F25023">
        <w:rPr>
          <w:rFonts w:ascii="Times New Roman" w:hAnsi="Times New Roman"/>
          <w:sz w:val="20"/>
        </w:rPr>
        <w:t>is used</w:t>
      </w:r>
      <w:proofErr w:type="gramEnd"/>
      <w:r w:rsidR="00F25023">
        <w:rPr>
          <w:rFonts w:ascii="Times New Roman" w:hAnsi="Times New Roman"/>
          <w:sz w:val="20"/>
        </w:rPr>
        <w:t xml:space="preserve"> in the Supplemental Proposal Final Rule</w:t>
      </w:r>
      <w:r w:rsidRPr="00CC6A75">
        <w:rPr>
          <w:rFonts w:ascii="Times New Roman" w:hAnsi="Times New Roman"/>
          <w:sz w:val="20"/>
        </w:rPr>
        <w:t>, and the Agencies still do not possess sufficient information to estimate the proportion of</w:t>
      </w:r>
      <w:r w:rsidR="00F25023">
        <w:rPr>
          <w:rFonts w:ascii="Times New Roman" w:hAnsi="Times New Roman"/>
          <w:sz w:val="20"/>
        </w:rPr>
        <w:t xml:space="preserve"> non-QM HPML MH affected by the</w:t>
      </w:r>
      <w:r w:rsidRPr="00CC6A75">
        <w:rPr>
          <w:rFonts w:ascii="Times New Roman" w:hAnsi="Times New Roman"/>
          <w:sz w:val="20"/>
        </w:rPr>
        <w:t xml:space="preserve"> Supplemental </w:t>
      </w:r>
      <w:r w:rsidR="00F25023">
        <w:rPr>
          <w:rFonts w:ascii="Times New Roman" w:hAnsi="Times New Roman"/>
          <w:sz w:val="20"/>
        </w:rPr>
        <w:t>Proposal Final Rule</w:t>
      </w:r>
      <w:r w:rsidRPr="00CC6A75">
        <w:rPr>
          <w:rFonts w:ascii="Times New Roman" w:hAnsi="Times New Roman"/>
          <w:sz w:val="20"/>
        </w:rPr>
        <w:t xml:space="preserve">. Thus, the Agencies continue </w:t>
      </w:r>
      <w:proofErr w:type="gramStart"/>
      <w:r w:rsidRPr="00CC6A75">
        <w:rPr>
          <w:rFonts w:ascii="Times New Roman" w:hAnsi="Times New Roman"/>
          <w:sz w:val="20"/>
        </w:rPr>
        <w:t>to conservatively assume</w:t>
      </w:r>
      <w:proofErr w:type="gramEnd"/>
      <w:r w:rsidRPr="00CC6A75">
        <w:rPr>
          <w:rFonts w:ascii="Times New Roman" w:hAnsi="Times New Roman"/>
          <w:sz w:val="20"/>
        </w:rPr>
        <w:t xml:space="preserve"> that all non-QM HPML MH loans reported in HMDA and projected based on the Call Reports data are subject to the full appraisal requirement, resulting in no change in the Table of paperwork burden below.</w:t>
      </w:r>
    </w:p>
    <w:p w:rsidR="00F422EA" w:rsidRPr="00CC6A75" w:rsidRDefault="00F422EA" w:rsidP="00F422EA">
      <w:pPr>
        <w:rPr>
          <w:rFonts w:ascii="Times New Roman" w:hAnsi="Times New Roman"/>
          <w:sz w:val="20"/>
        </w:rPr>
      </w:pPr>
    </w:p>
    <w:p w:rsidR="00F422EA" w:rsidRPr="00CC6A75" w:rsidRDefault="00477DFB" w:rsidP="00F422EA">
      <w:pPr>
        <w:rPr>
          <w:rFonts w:ascii="Times New Roman" w:hAnsi="Times New Roman"/>
          <w:sz w:val="22"/>
          <w:szCs w:val="22"/>
        </w:rPr>
      </w:pPr>
      <w:r>
        <w:rPr>
          <w:rFonts w:ascii="Times New Roman" w:hAnsi="Times New Roman"/>
          <w:sz w:val="20"/>
        </w:rPr>
        <w:t>W</w:t>
      </w:r>
      <w:r w:rsidR="00F422EA" w:rsidRPr="00CC6A75">
        <w:rPr>
          <w:rFonts w:ascii="Times New Roman" w:hAnsi="Times New Roman"/>
          <w:sz w:val="20"/>
        </w:rPr>
        <w:t xml:space="preserve">hile the Agencies assume that all non-QM HPML MH loans are affected, and thus the paperwork burden reported might be an overestimate, the Agencies are possibly underestimating the burden to the extent that there exists systematic underreporting or non-reporting of MH loans to HMDA by creditors who are subject to reporting. </w:t>
      </w:r>
      <w:r w:rsidR="00897C14">
        <w:rPr>
          <w:rFonts w:ascii="Times New Roman" w:hAnsi="Times New Roman"/>
          <w:sz w:val="20"/>
        </w:rPr>
        <w:t>The Agencies</w:t>
      </w:r>
      <w:r w:rsidR="00F422EA" w:rsidRPr="00CC6A75">
        <w:rPr>
          <w:rFonts w:ascii="Times New Roman" w:hAnsi="Times New Roman"/>
          <w:sz w:val="20"/>
        </w:rPr>
        <w:t xml:space="preserve"> assumed that this underreporting is occurring on a massive scale. For the purposes of the PRA analysis, the Agencies assume that there is no underreporting. </w:t>
      </w:r>
    </w:p>
  </w:footnote>
  <w:footnote w:id="4">
    <w:p w:rsidR="00F422EA" w:rsidRDefault="00F422EA" w:rsidP="00F422EA">
      <w:pPr>
        <w:pStyle w:val="FootnoteText"/>
      </w:pPr>
      <w:r w:rsidRPr="00534D68">
        <w:rPr>
          <w:rStyle w:val="FootnoteReference"/>
          <w:vertAlign w:val="superscript"/>
        </w:rPr>
        <w:footnoteRef/>
      </w:r>
      <w:r w:rsidRPr="00534D68">
        <w:rPr>
          <w:vertAlign w:val="superscript"/>
        </w:rPr>
        <w:t xml:space="preserve"> </w:t>
      </w:r>
      <w:r>
        <w:t>Some of the intermediate numbers are rounded, resulting in “Estimated Total Annual Burden Hours” not precisely matching up with columns a, b, and c.</w:t>
      </w:r>
    </w:p>
  </w:footnote>
  <w:footnote w:id="5">
    <w:p w:rsidR="00F422EA" w:rsidRDefault="00F422EA" w:rsidP="00F422EA">
      <w:pPr>
        <w:pStyle w:val="FootnoteText"/>
      </w:pPr>
      <w:r w:rsidRPr="00534D68">
        <w:rPr>
          <w:rStyle w:val="FootnoteReference"/>
          <w:vertAlign w:val="superscript"/>
        </w:rPr>
        <w:footnoteRef/>
      </w:r>
      <w:r w:rsidRPr="00534D68">
        <w:rPr>
          <w:vertAlign w:val="superscript"/>
        </w:rPr>
        <w:t xml:space="preserve"> </w:t>
      </w:r>
      <w:r>
        <w:t xml:space="preserve"> The “Estimated Number of Appraisals Per Respondent” reflects the estimated number of Written Appraisals and Additional Written Appraisals that will be performed solely to comply with the </w:t>
      </w:r>
      <w:r w:rsidR="00811BA4">
        <w:t>February</w:t>
      </w:r>
      <w:r>
        <w:t xml:space="preserve"> 2013 Final Rule.  It does not include the number of appraisals that will continue to be performed under current industry practice, without regard to the </w:t>
      </w:r>
      <w:r w:rsidR="00F25023">
        <w:t xml:space="preserve">February 2013 </w:t>
      </w:r>
      <w:r>
        <w:t>Final Rule’s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B60"/>
    <w:multiLevelType w:val="hybridMultilevel"/>
    <w:tmpl w:val="F1FC0A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6A7A89"/>
    <w:multiLevelType w:val="hybridMultilevel"/>
    <w:tmpl w:val="56407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80641FE"/>
    <w:multiLevelType w:val="hybridMultilevel"/>
    <w:tmpl w:val="CBC4D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0B3481"/>
    <w:multiLevelType w:val="hybridMultilevel"/>
    <w:tmpl w:val="E0C8D9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705212"/>
    <w:multiLevelType w:val="hybridMultilevel"/>
    <w:tmpl w:val="81AAB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34175A"/>
    <w:multiLevelType w:val="hybridMultilevel"/>
    <w:tmpl w:val="23BC6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5422713"/>
    <w:multiLevelType w:val="hybridMultilevel"/>
    <w:tmpl w:val="835E0C36"/>
    <w:lvl w:ilvl="0" w:tplc="E0A0169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9"/>
  </w:num>
  <w:num w:numId="13">
    <w:abstractNumId w:val="4"/>
  </w:num>
  <w:num w:numId="14">
    <w:abstractNumId w:val="11"/>
  </w:num>
  <w:num w:numId="15">
    <w:abstractNumId w:val="0"/>
  </w:num>
  <w:num w:numId="16">
    <w:abstractNumId w:val="8"/>
  </w:num>
  <w:num w:numId="17">
    <w:abstractNumId w:val="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01AD7"/>
    <w:rsid w:val="00007350"/>
    <w:rsid w:val="000348F8"/>
    <w:rsid w:val="0006747A"/>
    <w:rsid w:val="00087F1F"/>
    <w:rsid w:val="000915DD"/>
    <w:rsid w:val="000971BE"/>
    <w:rsid w:val="000D602E"/>
    <w:rsid w:val="000E1FD4"/>
    <w:rsid w:val="000E510A"/>
    <w:rsid w:val="00106526"/>
    <w:rsid w:val="00114980"/>
    <w:rsid w:val="00124D1D"/>
    <w:rsid w:val="001332DD"/>
    <w:rsid w:val="00134BF7"/>
    <w:rsid w:val="00136AC6"/>
    <w:rsid w:val="001403B3"/>
    <w:rsid w:val="0014450E"/>
    <w:rsid w:val="001635C1"/>
    <w:rsid w:val="00164BC1"/>
    <w:rsid w:val="0016712A"/>
    <w:rsid w:val="00186793"/>
    <w:rsid w:val="001924CE"/>
    <w:rsid w:val="001A1BDF"/>
    <w:rsid w:val="001B282D"/>
    <w:rsid w:val="001D028F"/>
    <w:rsid w:val="001D6A9B"/>
    <w:rsid w:val="001D7A47"/>
    <w:rsid w:val="001E02AE"/>
    <w:rsid w:val="001E611A"/>
    <w:rsid w:val="00202514"/>
    <w:rsid w:val="00204553"/>
    <w:rsid w:val="0022097C"/>
    <w:rsid w:val="00240373"/>
    <w:rsid w:val="00294E05"/>
    <w:rsid w:val="002A359A"/>
    <w:rsid w:val="002B6089"/>
    <w:rsid w:val="002B6B40"/>
    <w:rsid w:val="002B6E8E"/>
    <w:rsid w:val="002C47CD"/>
    <w:rsid w:val="002C73B8"/>
    <w:rsid w:val="002D73D8"/>
    <w:rsid w:val="002E0DD5"/>
    <w:rsid w:val="002F549C"/>
    <w:rsid w:val="00301497"/>
    <w:rsid w:val="00305A30"/>
    <w:rsid w:val="00307470"/>
    <w:rsid w:val="00315977"/>
    <w:rsid w:val="0032536B"/>
    <w:rsid w:val="00331859"/>
    <w:rsid w:val="00333E07"/>
    <w:rsid w:val="003342B6"/>
    <w:rsid w:val="00344D0B"/>
    <w:rsid w:val="0035537C"/>
    <w:rsid w:val="00357878"/>
    <w:rsid w:val="0036427A"/>
    <w:rsid w:val="00373ED8"/>
    <w:rsid w:val="00375B0B"/>
    <w:rsid w:val="00380888"/>
    <w:rsid w:val="00382642"/>
    <w:rsid w:val="00391009"/>
    <w:rsid w:val="003A5AF4"/>
    <w:rsid w:val="003B45B3"/>
    <w:rsid w:val="003C42C2"/>
    <w:rsid w:val="003F5D09"/>
    <w:rsid w:val="00434E1A"/>
    <w:rsid w:val="00440C41"/>
    <w:rsid w:val="00442AE0"/>
    <w:rsid w:val="00443E6B"/>
    <w:rsid w:val="004478ED"/>
    <w:rsid w:val="00464677"/>
    <w:rsid w:val="0046618F"/>
    <w:rsid w:val="00477DFB"/>
    <w:rsid w:val="00483695"/>
    <w:rsid w:val="004915AB"/>
    <w:rsid w:val="00492B27"/>
    <w:rsid w:val="00495B4D"/>
    <w:rsid w:val="004A63EC"/>
    <w:rsid w:val="004B3230"/>
    <w:rsid w:val="004C486D"/>
    <w:rsid w:val="004C718D"/>
    <w:rsid w:val="004D7066"/>
    <w:rsid w:val="00500358"/>
    <w:rsid w:val="005212E2"/>
    <w:rsid w:val="005219C9"/>
    <w:rsid w:val="00531EB9"/>
    <w:rsid w:val="00534D68"/>
    <w:rsid w:val="005812A1"/>
    <w:rsid w:val="00585685"/>
    <w:rsid w:val="005A3EAC"/>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380D"/>
    <w:rsid w:val="00645D67"/>
    <w:rsid w:val="00646A7B"/>
    <w:rsid w:val="00647188"/>
    <w:rsid w:val="00651021"/>
    <w:rsid w:val="00662669"/>
    <w:rsid w:val="0067139A"/>
    <w:rsid w:val="006776BD"/>
    <w:rsid w:val="00681B4F"/>
    <w:rsid w:val="00683D1B"/>
    <w:rsid w:val="00690B8A"/>
    <w:rsid w:val="00690FB0"/>
    <w:rsid w:val="00691C16"/>
    <w:rsid w:val="006A0172"/>
    <w:rsid w:val="006A0AE9"/>
    <w:rsid w:val="006B248D"/>
    <w:rsid w:val="006B574D"/>
    <w:rsid w:val="006B6BC9"/>
    <w:rsid w:val="006C15B4"/>
    <w:rsid w:val="006D0DDB"/>
    <w:rsid w:val="006D33C2"/>
    <w:rsid w:val="006E144E"/>
    <w:rsid w:val="006F1A91"/>
    <w:rsid w:val="0070248A"/>
    <w:rsid w:val="00706B9C"/>
    <w:rsid w:val="00721656"/>
    <w:rsid w:val="00764BA9"/>
    <w:rsid w:val="00766A67"/>
    <w:rsid w:val="00777581"/>
    <w:rsid w:val="007800F7"/>
    <w:rsid w:val="00790477"/>
    <w:rsid w:val="00793D1A"/>
    <w:rsid w:val="007A12D6"/>
    <w:rsid w:val="007B7D30"/>
    <w:rsid w:val="00800BC5"/>
    <w:rsid w:val="00802328"/>
    <w:rsid w:val="00811BA4"/>
    <w:rsid w:val="00823AA1"/>
    <w:rsid w:val="008349A5"/>
    <w:rsid w:val="008431F8"/>
    <w:rsid w:val="00846AB9"/>
    <w:rsid w:val="00851B76"/>
    <w:rsid w:val="008612BA"/>
    <w:rsid w:val="00865155"/>
    <w:rsid w:val="008849CD"/>
    <w:rsid w:val="00890725"/>
    <w:rsid w:val="00891805"/>
    <w:rsid w:val="00897C14"/>
    <w:rsid w:val="008B6732"/>
    <w:rsid w:val="008F719E"/>
    <w:rsid w:val="009016DB"/>
    <w:rsid w:val="009072BB"/>
    <w:rsid w:val="00907E2C"/>
    <w:rsid w:val="00916514"/>
    <w:rsid w:val="009236AB"/>
    <w:rsid w:val="00923BFE"/>
    <w:rsid w:val="00934CFC"/>
    <w:rsid w:val="00937BF8"/>
    <w:rsid w:val="009679AC"/>
    <w:rsid w:val="00970EDA"/>
    <w:rsid w:val="00972C7A"/>
    <w:rsid w:val="009833CB"/>
    <w:rsid w:val="00990B52"/>
    <w:rsid w:val="009978AB"/>
    <w:rsid w:val="009B39DC"/>
    <w:rsid w:val="009C036E"/>
    <w:rsid w:val="009C2833"/>
    <w:rsid w:val="009D11FD"/>
    <w:rsid w:val="009D40A5"/>
    <w:rsid w:val="009D7FEC"/>
    <w:rsid w:val="009E3364"/>
    <w:rsid w:val="009F1182"/>
    <w:rsid w:val="009F515F"/>
    <w:rsid w:val="00A04829"/>
    <w:rsid w:val="00A24402"/>
    <w:rsid w:val="00A41E09"/>
    <w:rsid w:val="00A42F4E"/>
    <w:rsid w:val="00A5180B"/>
    <w:rsid w:val="00A53B50"/>
    <w:rsid w:val="00A63153"/>
    <w:rsid w:val="00A87148"/>
    <w:rsid w:val="00A91744"/>
    <w:rsid w:val="00AB2FCB"/>
    <w:rsid w:val="00AB571B"/>
    <w:rsid w:val="00AC3B5E"/>
    <w:rsid w:val="00AD088F"/>
    <w:rsid w:val="00B02EF3"/>
    <w:rsid w:val="00B04B76"/>
    <w:rsid w:val="00B20E14"/>
    <w:rsid w:val="00B243B9"/>
    <w:rsid w:val="00B27249"/>
    <w:rsid w:val="00B32622"/>
    <w:rsid w:val="00B35ADE"/>
    <w:rsid w:val="00B464E2"/>
    <w:rsid w:val="00B46F07"/>
    <w:rsid w:val="00B57DB6"/>
    <w:rsid w:val="00B80B6D"/>
    <w:rsid w:val="00B925AB"/>
    <w:rsid w:val="00B95761"/>
    <w:rsid w:val="00BA19E0"/>
    <w:rsid w:val="00BA28F7"/>
    <w:rsid w:val="00BB7706"/>
    <w:rsid w:val="00BC2620"/>
    <w:rsid w:val="00BD1427"/>
    <w:rsid w:val="00BD30A0"/>
    <w:rsid w:val="00BE2FE5"/>
    <w:rsid w:val="00BE73EE"/>
    <w:rsid w:val="00BF7430"/>
    <w:rsid w:val="00C12F20"/>
    <w:rsid w:val="00C15B4D"/>
    <w:rsid w:val="00C22668"/>
    <w:rsid w:val="00C2768E"/>
    <w:rsid w:val="00C44758"/>
    <w:rsid w:val="00C61E78"/>
    <w:rsid w:val="00C74802"/>
    <w:rsid w:val="00C77B2F"/>
    <w:rsid w:val="00C94DAC"/>
    <w:rsid w:val="00C96381"/>
    <w:rsid w:val="00CA433A"/>
    <w:rsid w:val="00CC1ABF"/>
    <w:rsid w:val="00CC6A75"/>
    <w:rsid w:val="00CD46EF"/>
    <w:rsid w:val="00CD6002"/>
    <w:rsid w:val="00CD6943"/>
    <w:rsid w:val="00CF1CEC"/>
    <w:rsid w:val="00CF36D1"/>
    <w:rsid w:val="00D00BAD"/>
    <w:rsid w:val="00D061A7"/>
    <w:rsid w:val="00D102B3"/>
    <w:rsid w:val="00D12B0D"/>
    <w:rsid w:val="00D2740F"/>
    <w:rsid w:val="00D3059E"/>
    <w:rsid w:val="00D37F01"/>
    <w:rsid w:val="00D522BD"/>
    <w:rsid w:val="00D72CD5"/>
    <w:rsid w:val="00D81536"/>
    <w:rsid w:val="00D936AB"/>
    <w:rsid w:val="00D97538"/>
    <w:rsid w:val="00D97B6E"/>
    <w:rsid w:val="00DB3D9A"/>
    <w:rsid w:val="00DC4BD1"/>
    <w:rsid w:val="00DD05A5"/>
    <w:rsid w:val="00DD7087"/>
    <w:rsid w:val="00DF51E3"/>
    <w:rsid w:val="00E021BB"/>
    <w:rsid w:val="00E17ED0"/>
    <w:rsid w:val="00E34636"/>
    <w:rsid w:val="00E36E75"/>
    <w:rsid w:val="00E43435"/>
    <w:rsid w:val="00E57182"/>
    <w:rsid w:val="00E67B7F"/>
    <w:rsid w:val="00E747D3"/>
    <w:rsid w:val="00E77D5A"/>
    <w:rsid w:val="00E81DAE"/>
    <w:rsid w:val="00E820E5"/>
    <w:rsid w:val="00EA17EC"/>
    <w:rsid w:val="00EA2835"/>
    <w:rsid w:val="00EA4151"/>
    <w:rsid w:val="00EA715B"/>
    <w:rsid w:val="00EB1837"/>
    <w:rsid w:val="00EC6A3B"/>
    <w:rsid w:val="00ED0AD1"/>
    <w:rsid w:val="00EF2338"/>
    <w:rsid w:val="00F004BB"/>
    <w:rsid w:val="00F01C5E"/>
    <w:rsid w:val="00F04D5C"/>
    <w:rsid w:val="00F10019"/>
    <w:rsid w:val="00F17B20"/>
    <w:rsid w:val="00F22226"/>
    <w:rsid w:val="00F25023"/>
    <w:rsid w:val="00F36D0B"/>
    <w:rsid w:val="00F422EA"/>
    <w:rsid w:val="00F50C7A"/>
    <w:rsid w:val="00F5216D"/>
    <w:rsid w:val="00F90564"/>
    <w:rsid w:val="00F919C2"/>
    <w:rsid w:val="00F9781B"/>
    <w:rsid w:val="00FA2B32"/>
    <w:rsid w:val="00FA5900"/>
    <w:rsid w:val="00FA6C9F"/>
    <w:rsid w:val="00FA703C"/>
    <w:rsid w:val="00FB7D1D"/>
    <w:rsid w:val="00FC1194"/>
    <w:rsid w:val="00FC3D5F"/>
    <w:rsid w:val="00FD4DCD"/>
    <w:rsid w:val="00FD5554"/>
    <w:rsid w:val="00FF2643"/>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styleId="Hyperlink">
    <w:name w:val="Hyperlink"/>
    <w:unhideWhenUsed/>
    <w:rsid w:val="009D40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styleId="Hyperlink">
    <w:name w:val="Hyperlink"/>
    <w:unhideWhenUsed/>
    <w:rsid w:val="009D4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224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housing/ahs/files/Appendix%20A.pdf" TargetMode="External"/><Relationship Id="rId1" Type="http://schemas.openxmlformats.org/officeDocument/2006/relationships/hyperlink" Target="http://factfinder2.census.gov/faces/tableservices/jsf/pages/productview.xhtml?pid=AHS_2011_C13OO&amp;prod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727E-F99A-4BB5-A556-7ACF212B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71</cp:revision>
  <cp:lastPrinted>2013-11-19T18:17:00Z</cp:lastPrinted>
  <dcterms:created xsi:type="dcterms:W3CDTF">2013-11-19T19:23:00Z</dcterms:created>
  <dcterms:modified xsi:type="dcterms:W3CDTF">2013-12-16T17:01:00Z</dcterms:modified>
</cp:coreProperties>
</file>