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2E" w:rsidRPr="00AF5DBE" w:rsidRDefault="0071092E" w:rsidP="0057171E">
      <w:pPr>
        <w:pStyle w:val="Heading2"/>
        <w:rPr>
          <w:sz w:val="24"/>
          <w:szCs w:val="24"/>
        </w:rPr>
      </w:pPr>
      <w:bookmarkStart w:id="0" w:name="_GoBack"/>
      <w:bookmarkEnd w:id="0"/>
      <w:r w:rsidRPr="00AF5DBE">
        <w:rPr>
          <w:sz w:val="24"/>
          <w:szCs w:val="24"/>
        </w:rPr>
        <w:t xml:space="preserve">Supporting Statement </w:t>
      </w:r>
      <w:r w:rsidR="00AF5DBE">
        <w:rPr>
          <w:sz w:val="24"/>
          <w:szCs w:val="24"/>
        </w:rPr>
        <w:t>Part A</w:t>
      </w:r>
    </w:p>
    <w:p w:rsidR="002003E8" w:rsidRDefault="00655C5C" w:rsidP="0057171E">
      <w:pPr>
        <w:pStyle w:val="Heading2"/>
        <w:rPr>
          <w:sz w:val="24"/>
          <w:szCs w:val="24"/>
        </w:rPr>
      </w:pPr>
      <w:r w:rsidRPr="00AF5DBE">
        <w:rPr>
          <w:sz w:val="24"/>
          <w:szCs w:val="24"/>
        </w:rPr>
        <w:t xml:space="preserve">Extension of </w:t>
      </w:r>
      <w:r w:rsidR="005B6CBF" w:rsidRPr="00AF5DBE">
        <w:rPr>
          <w:sz w:val="24"/>
          <w:szCs w:val="24"/>
        </w:rPr>
        <w:t>Physician Self-Referral Exceptions for Electronic</w:t>
      </w:r>
    </w:p>
    <w:p w:rsidR="00C60728" w:rsidRPr="00AF5DBE" w:rsidRDefault="005B6CBF" w:rsidP="0057171E">
      <w:pPr>
        <w:pStyle w:val="Heading2"/>
        <w:rPr>
          <w:sz w:val="24"/>
          <w:szCs w:val="24"/>
        </w:rPr>
      </w:pPr>
      <w:r w:rsidRPr="00AF5DBE">
        <w:rPr>
          <w:sz w:val="24"/>
          <w:szCs w:val="24"/>
        </w:rPr>
        <w:t>Prescribing and</w:t>
      </w:r>
      <w:r w:rsidR="002003E8">
        <w:rPr>
          <w:sz w:val="24"/>
          <w:szCs w:val="24"/>
        </w:rPr>
        <w:t xml:space="preserve"> </w:t>
      </w:r>
      <w:r w:rsidRPr="00AF5DBE">
        <w:rPr>
          <w:sz w:val="24"/>
          <w:szCs w:val="24"/>
        </w:rPr>
        <w:t>Electronic Health Records</w:t>
      </w:r>
    </w:p>
    <w:p w:rsidR="00FF1C04" w:rsidRDefault="00AF5DBE" w:rsidP="0057171E">
      <w:pPr>
        <w:pStyle w:val="Heading2"/>
        <w:rPr>
          <w:sz w:val="24"/>
          <w:szCs w:val="24"/>
        </w:rPr>
      </w:pPr>
      <w:r>
        <w:rPr>
          <w:sz w:val="24"/>
          <w:szCs w:val="24"/>
        </w:rPr>
        <w:t xml:space="preserve">CMS-10207, </w:t>
      </w:r>
      <w:proofErr w:type="spellStart"/>
      <w:r>
        <w:rPr>
          <w:sz w:val="24"/>
          <w:szCs w:val="24"/>
        </w:rPr>
        <w:t>OCN</w:t>
      </w:r>
      <w:proofErr w:type="spellEnd"/>
      <w:r>
        <w:rPr>
          <w:sz w:val="24"/>
          <w:szCs w:val="24"/>
        </w:rPr>
        <w:t xml:space="preserve"> 0938-1009</w:t>
      </w:r>
    </w:p>
    <w:p w:rsidR="00AF5DBE" w:rsidRPr="00AF5DBE" w:rsidRDefault="00AF5DBE" w:rsidP="00AF5DBE"/>
    <w:p w:rsidR="00FF1C04" w:rsidRPr="00AF5DBE" w:rsidRDefault="00FF1C04" w:rsidP="00AF5DBE">
      <w:pPr>
        <w:rPr>
          <w:b/>
        </w:rPr>
      </w:pPr>
      <w:r w:rsidRPr="00AF5DBE">
        <w:rPr>
          <w:b/>
        </w:rPr>
        <w:t>Background</w:t>
      </w:r>
    </w:p>
    <w:p w:rsidR="00FF1C04" w:rsidRDefault="00FF1C04" w:rsidP="00F55C78"/>
    <w:p w:rsidR="003335B0" w:rsidRDefault="003335B0" w:rsidP="00593297">
      <w:pPr>
        <w:tabs>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36"/>
        </w:tabs>
        <w:rPr>
          <w:bCs/>
        </w:rPr>
      </w:pPr>
      <w:r w:rsidRPr="003335B0">
        <w:t>Section 1877 of the</w:t>
      </w:r>
      <w:r w:rsidR="006F1B26">
        <w:t xml:space="preserve"> Social Security Act (the </w:t>
      </w:r>
      <w:r w:rsidRPr="003335B0">
        <w:t>Act</w:t>
      </w:r>
      <w:r w:rsidR="006F1B26">
        <w:t>)</w:t>
      </w:r>
      <w:r w:rsidRPr="003335B0">
        <w:t xml:space="preserve">, also known as the physician self-referral law:  (1) prohibits a physician from making referrals for certain designated health services (DHS) payable by Medicare to an entity with which </w:t>
      </w:r>
      <w:r>
        <w:t>the physician</w:t>
      </w:r>
      <w:r w:rsidRPr="003335B0">
        <w:t xml:space="preserve"> (or an immediate family member) has a financial relationship (ownership interest or compensation arrangement), unless an exception applies; and (2) prohibits the entity from submitting claims to Medicare or billing the beneficiary or third party </w:t>
      </w:r>
      <w:r w:rsidR="00DC4355" w:rsidRPr="003335B0">
        <w:t>pay</w:t>
      </w:r>
      <w:r w:rsidR="003D3784">
        <w:t>e</w:t>
      </w:r>
      <w:r w:rsidR="00DC4355" w:rsidRPr="003335B0">
        <w:t>r</w:t>
      </w:r>
      <w:r w:rsidRPr="003335B0">
        <w:t xml:space="preserve"> for those referred services, unless an exception applies</w:t>
      </w:r>
      <w:r w:rsidRPr="003335B0">
        <w:rPr>
          <w:bCs/>
        </w:rPr>
        <w:t xml:space="preserve">.  The statute establishes a number of exceptions and grants the Secretary </w:t>
      </w:r>
      <w:r w:rsidR="00021B3A" w:rsidRPr="00F55C78">
        <w:t>of the Department of Health and Human Services (HHS)</w:t>
      </w:r>
      <w:r w:rsidRPr="003335B0">
        <w:rPr>
          <w:bCs/>
        </w:rPr>
        <w:t xml:space="preserve"> authority to create additional regulatory exceptions for financial relationships that do not pose a risk of program or patient abuse.</w:t>
      </w:r>
    </w:p>
    <w:p w:rsidR="003335B0" w:rsidRPr="003335B0" w:rsidRDefault="003335B0" w:rsidP="003335B0">
      <w:pPr>
        <w:tabs>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36"/>
        </w:tabs>
        <w:ind w:firstLine="720"/>
        <w:rPr>
          <w:bCs/>
        </w:rPr>
      </w:pPr>
    </w:p>
    <w:p w:rsidR="00FF1C04" w:rsidRPr="00AF5DBE" w:rsidRDefault="00FF1C04" w:rsidP="00BD09E6">
      <w:pPr>
        <w:numPr>
          <w:ilvl w:val="0"/>
          <w:numId w:val="1"/>
        </w:numPr>
        <w:tabs>
          <w:tab w:val="clear" w:pos="720"/>
          <w:tab w:val="num" w:pos="360"/>
        </w:tabs>
        <w:ind w:left="360"/>
        <w:rPr>
          <w:b/>
        </w:rPr>
      </w:pPr>
      <w:r w:rsidRPr="00AF5DBE">
        <w:rPr>
          <w:b/>
        </w:rPr>
        <w:t>Justification</w:t>
      </w:r>
    </w:p>
    <w:p w:rsidR="00FF1C04" w:rsidRDefault="00FF1C04" w:rsidP="00FF1C04"/>
    <w:p w:rsidR="00FF1C04" w:rsidRDefault="00B9708E" w:rsidP="00BD09E6">
      <w:pPr>
        <w:numPr>
          <w:ilvl w:val="0"/>
          <w:numId w:val="3"/>
        </w:numPr>
      </w:pPr>
      <w:r>
        <w:t>Need and Legal Basis</w:t>
      </w:r>
    </w:p>
    <w:p w:rsidR="00B9708E" w:rsidRDefault="00B9708E" w:rsidP="00B9708E"/>
    <w:p w:rsidR="003335B0" w:rsidRDefault="003335B0" w:rsidP="003335B0">
      <w:r w:rsidRPr="00F55C78">
        <w:t xml:space="preserve">Section 101 of </w:t>
      </w:r>
      <w:r w:rsidRPr="00021B3A">
        <w:t>the</w:t>
      </w:r>
      <w:r w:rsidR="006F1B26" w:rsidRPr="00021B3A">
        <w:t xml:space="preserve"> </w:t>
      </w:r>
      <w:r w:rsidR="00021B3A" w:rsidRPr="00021B3A">
        <w:rPr>
          <w:bCs/>
        </w:rPr>
        <w:t xml:space="preserve">Medicare Prescription Drug, Improvement, and Modernization Act of 2003 </w:t>
      </w:r>
      <w:r w:rsidR="00021B3A">
        <w:t>(</w:t>
      </w:r>
      <w:r w:rsidR="006F1B26">
        <w:t>MMA</w:t>
      </w:r>
      <w:r w:rsidR="00021B3A">
        <w:t>)</w:t>
      </w:r>
      <w:r w:rsidR="006F1B26">
        <w:t xml:space="preserve"> </w:t>
      </w:r>
      <w:r w:rsidRPr="00F55C78">
        <w:t>direct</w:t>
      </w:r>
      <w:r w:rsidR="00655C5C">
        <w:t>ed</w:t>
      </w:r>
      <w:r w:rsidRPr="00F55C78">
        <w:t xml:space="preserve"> the Secretary to create an exception to the physician self-referral prohibition in section 1877 of the Act </w:t>
      </w:r>
      <w:r w:rsidRPr="00F55C78">
        <w:rPr>
          <w:bCs/>
        </w:rPr>
        <w:t xml:space="preserve">for certain arrangements in which a physician </w:t>
      </w:r>
      <w:proofErr w:type="gramStart"/>
      <w:r w:rsidRPr="00F55C78">
        <w:rPr>
          <w:bCs/>
        </w:rPr>
        <w:t>receives</w:t>
      </w:r>
      <w:proofErr w:type="gramEnd"/>
      <w:r w:rsidRPr="00F55C78">
        <w:rPr>
          <w:bCs/>
        </w:rPr>
        <w:t xml:space="preserve"> compensation in the form of items or services (not including cash or cash equivalents) (“nonmonetary remuneration”) that is necessary and used solely to receive and transmit electronic prescription information.</w:t>
      </w:r>
      <w:r>
        <w:rPr>
          <w:bCs/>
        </w:rPr>
        <w:t xml:space="preserve">  </w:t>
      </w:r>
      <w:r w:rsidRPr="00F55C78">
        <w:rPr>
          <w:bCs/>
        </w:rPr>
        <w:t xml:space="preserve">In addition, using our separate legal authority under </w:t>
      </w:r>
      <w:r w:rsidRPr="00F55C78">
        <w:t xml:space="preserve">section 1877(b)(4) of the </w:t>
      </w:r>
      <w:r w:rsidRPr="00F55C78">
        <w:rPr>
          <w:bCs/>
        </w:rPr>
        <w:t xml:space="preserve">Act, </w:t>
      </w:r>
      <w:r w:rsidR="00655C5C">
        <w:rPr>
          <w:bCs/>
        </w:rPr>
        <w:t>CMS</w:t>
      </w:r>
      <w:r w:rsidRPr="00F55C78">
        <w:rPr>
          <w:bCs/>
        </w:rPr>
        <w:t xml:space="preserve"> create</w:t>
      </w:r>
      <w:r w:rsidR="00655C5C">
        <w:rPr>
          <w:bCs/>
        </w:rPr>
        <w:t>d</w:t>
      </w:r>
      <w:r w:rsidRPr="00F55C78">
        <w:rPr>
          <w:bCs/>
        </w:rPr>
        <w:t xml:space="preserve"> a separate regulatory exception for certain arrangements involving the provision of nonmonetary remuneration in the form of electronic health records software or information technology and training services necessary and used predominantly to create, maintain, transmit, </w:t>
      </w:r>
      <w:r w:rsidR="006F1B26">
        <w:rPr>
          <w:bCs/>
        </w:rPr>
        <w:t>or</w:t>
      </w:r>
      <w:r w:rsidRPr="00F55C78">
        <w:rPr>
          <w:bCs/>
        </w:rPr>
        <w:t xml:space="preserve"> receive electronic health records.  </w:t>
      </w:r>
    </w:p>
    <w:p w:rsidR="00655C5C" w:rsidRDefault="00655C5C" w:rsidP="003335B0"/>
    <w:p w:rsidR="002F2A5E" w:rsidRDefault="003335B0" w:rsidP="003335B0">
      <w:pPr>
        <w:autoSpaceDE w:val="0"/>
        <w:autoSpaceDN w:val="0"/>
        <w:adjustRightInd w:val="0"/>
      </w:pPr>
      <w:r w:rsidRPr="00BD09E6">
        <w:t xml:space="preserve">The conditions for both </w:t>
      </w:r>
      <w:r>
        <w:t xml:space="preserve">exceptions </w:t>
      </w:r>
      <w:r w:rsidRPr="00BD09E6">
        <w:t xml:space="preserve">require that arrangements for the items and services provided must be set forth in a written agreement, </w:t>
      </w:r>
      <w:r w:rsidR="006F1B26">
        <w:t xml:space="preserve">be </w:t>
      </w:r>
      <w:r w:rsidRPr="00BD09E6">
        <w:t>signed by the parties</w:t>
      </w:r>
      <w:r w:rsidR="00021B3A">
        <w:t xml:space="preserve"> </w:t>
      </w:r>
      <w:r w:rsidR="00021B3A" w:rsidRPr="00BD09E6">
        <w:t>involved</w:t>
      </w:r>
      <w:r w:rsidRPr="00BD09E6">
        <w:t xml:space="preserve">, specify the items or services being provided and the </w:t>
      </w:r>
      <w:r w:rsidR="006F1B26">
        <w:t>cost</w:t>
      </w:r>
      <w:r w:rsidRPr="00BD09E6">
        <w:t xml:space="preserve"> of those items or services, and cover all of the electronic </w:t>
      </w:r>
      <w:r w:rsidR="006F1B26">
        <w:t xml:space="preserve">prescribing and/or electronic </w:t>
      </w:r>
      <w:r w:rsidRPr="00BD09E6">
        <w:t xml:space="preserve">health records technology to be </w:t>
      </w:r>
      <w:r w:rsidR="006F1B26">
        <w:t>provid</w:t>
      </w:r>
      <w:r w:rsidRPr="00BD09E6">
        <w:t xml:space="preserve">ed by the </w:t>
      </w:r>
      <w:r w:rsidR="006F1B26">
        <w:t xml:space="preserve">donating </w:t>
      </w:r>
      <w:r w:rsidRPr="00BD09E6">
        <w:t>entity.</w:t>
      </w:r>
      <w:r w:rsidR="00F3386E">
        <w:t xml:space="preserve">  </w:t>
      </w:r>
      <w:r w:rsidR="00655C5C">
        <w:t>T</w:t>
      </w:r>
      <w:r w:rsidR="002F2A5E">
        <w:t xml:space="preserve">he parties may </w:t>
      </w:r>
      <w:r w:rsidR="00366745">
        <w:t xml:space="preserve">choose to create a specific new contract and then </w:t>
      </w:r>
      <w:r w:rsidR="002F2A5E">
        <w:t>reference other agreements or cross-reference a master list</w:t>
      </w:r>
      <w:r w:rsidR="006F1B26">
        <w:t xml:space="preserve"> of agreements</w:t>
      </w:r>
      <w:r w:rsidR="00655C5C">
        <w:t>, rather than maintain one master document</w:t>
      </w:r>
      <w:r w:rsidR="002F2A5E">
        <w:t>.</w:t>
      </w:r>
    </w:p>
    <w:p w:rsidR="003335B0" w:rsidRPr="00BD09E6" w:rsidRDefault="003335B0" w:rsidP="003335B0">
      <w:pPr>
        <w:autoSpaceDE w:val="0"/>
        <w:autoSpaceDN w:val="0"/>
        <w:adjustRightInd w:val="0"/>
      </w:pPr>
      <w:r w:rsidRPr="00BD09E6">
        <w:t xml:space="preserve">  </w:t>
      </w:r>
    </w:p>
    <w:p w:rsidR="00593297" w:rsidRDefault="003335B0" w:rsidP="003335B0">
      <w:r w:rsidRPr="00BD09E6">
        <w:t>The requirements associated with the exception</w:t>
      </w:r>
      <w:r w:rsidR="006F1B26">
        <w:t xml:space="preserve"> for electronic prescribing items and services</w:t>
      </w:r>
      <w:r w:rsidRPr="00BD09E6">
        <w:t xml:space="preserve"> are limited to donations made </w:t>
      </w:r>
      <w:r w:rsidR="006F1B26">
        <w:t>by hospitals to members of their medical staffs;</w:t>
      </w:r>
      <w:r w:rsidRPr="00BD09E6">
        <w:t xml:space="preserve"> by group practices to their physician members</w:t>
      </w:r>
      <w:r w:rsidR="006F1B26">
        <w:t>;</w:t>
      </w:r>
      <w:r w:rsidRPr="00BD09E6">
        <w:t xml:space="preserve"> and by PDP sponsors and MA organizations </w:t>
      </w:r>
      <w:r w:rsidRPr="00BD09E6">
        <w:lastRenderedPageBreak/>
        <w:t>to prescribing physicians.</w:t>
      </w:r>
      <w:r w:rsidR="0029228D">
        <w:t xml:space="preserve">  </w:t>
      </w:r>
      <w:r w:rsidR="006F1B26">
        <w:t xml:space="preserve">The requirements associated with the exception for electronic health records software or information technology and training services include donations by entities furnishing DHS to physicians.  </w:t>
      </w:r>
      <w:r w:rsidR="0029228D">
        <w:t xml:space="preserve">The paperwork burden is the </w:t>
      </w:r>
      <w:r w:rsidR="00366745">
        <w:t xml:space="preserve">creation </w:t>
      </w:r>
      <w:r w:rsidR="00021B3A">
        <w:t xml:space="preserve">and execution </w:t>
      </w:r>
      <w:r w:rsidR="00366745">
        <w:t xml:space="preserve">of the written </w:t>
      </w:r>
      <w:r w:rsidR="006F1B26">
        <w:t>agreement</w:t>
      </w:r>
      <w:r w:rsidR="0029228D">
        <w:t>s.</w:t>
      </w:r>
      <w:r w:rsidR="00366745">
        <w:t xml:space="preserve">  </w:t>
      </w:r>
      <w:r w:rsidR="00593297">
        <w:t xml:space="preserve">The burden associated with the written agreement requirement is the time and effort necessary for documentation of the agreement between the parties, including </w:t>
      </w:r>
      <w:r w:rsidR="00021B3A">
        <w:t xml:space="preserve">the </w:t>
      </w:r>
      <w:r w:rsidR="00593297">
        <w:t xml:space="preserve">signatures of the parties.   </w:t>
      </w:r>
    </w:p>
    <w:p w:rsidR="003335B0" w:rsidRDefault="003335B0" w:rsidP="00B9708E"/>
    <w:p w:rsidR="001257DB" w:rsidRDefault="001257DB" w:rsidP="000B6334">
      <w:pPr>
        <w:numPr>
          <w:ilvl w:val="0"/>
          <w:numId w:val="3"/>
        </w:numPr>
      </w:pPr>
      <w:r>
        <w:t>Information Users</w:t>
      </w:r>
    </w:p>
    <w:p w:rsidR="001257DB" w:rsidRDefault="001257DB" w:rsidP="000B6334">
      <w:pPr>
        <w:ind w:hanging="360"/>
      </w:pPr>
    </w:p>
    <w:p w:rsidR="00593297" w:rsidRDefault="006F1B26" w:rsidP="00A41EED">
      <w:pPr>
        <w:tabs>
          <w:tab w:val="left" w:pos="3960"/>
        </w:tabs>
        <w:autoSpaceDE w:val="0"/>
        <w:autoSpaceDN w:val="0"/>
        <w:adjustRightInd w:val="0"/>
      </w:pPr>
      <w:r>
        <w:t>CMS would use the collected information for enforcement purposes.  Specifically, i</w:t>
      </w:r>
      <w:r w:rsidR="003026FE">
        <w:t xml:space="preserve">f we were investigating the financial relationships between the donors and the physicians to determine whether </w:t>
      </w:r>
      <w:r w:rsidR="003E66E1">
        <w:t xml:space="preserve">the provisions in the exceptions at </w:t>
      </w:r>
      <w:r w:rsidR="003E66E1" w:rsidRPr="00655C5C">
        <w:rPr>
          <w:iCs/>
        </w:rPr>
        <w:t>§§</w:t>
      </w:r>
      <w:r w:rsidR="003E66E1">
        <w:rPr>
          <w:b/>
          <w:iCs/>
        </w:rPr>
        <w:t xml:space="preserve"> </w:t>
      </w:r>
      <w:r w:rsidR="003E66E1" w:rsidRPr="003E66E1">
        <w:rPr>
          <w:iCs/>
        </w:rPr>
        <w:t>411.357 (v)</w:t>
      </w:r>
      <w:r w:rsidR="003E66E1">
        <w:rPr>
          <w:iCs/>
        </w:rPr>
        <w:t xml:space="preserve"> and (w) were met, </w:t>
      </w:r>
      <w:r w:rsidR="00A41EED">
        <w:rPr>
          <w:iCs/>
        </w:rPr>
        <w:t xml:space="preserve">first, </w:t>
      </w:r>
      <w:r w:rsidR="003E66E1">
        <w:rPr>
          <w:iCs/>
        </w:rPr>
        <w:t>we would review the written agreements</w:t>
      </w:r>
      <w:r w:rsidR="007952DB">
        <w:rPr>
          <w:iCs/>
        </w:rPr>
        <w:t xml:space="preserve"> that indicate what </w:t>
      </w:r>
      <w:r w:rsidR="00021B3A">
        <w:rPr>
          <w:iCs/>
        </w:rPr>
        <w:t xml:space="preserve">items and services </w:t>
      </w:r>
      <w:r w:rsidR="007952DB">
        <w:rPr>
          <w:iCs/>
        </w:rPr>
        <w:t xml:space="preserve">each entity intended to provide.  </w:t>
      </w:r>
      <w:r w:rsidR="00A41EED">
        <w:rPr>
          <w:iCs/>
        </w:rPr>
        <w:t xml:space="preserve">    </w:t>
      </w:r>
    </w:p>
    <w:p w:rsidR="001257DB" w:rsidRDefault="001257DB" w:rsidP="000B6334"/>
    <w:p w:rsidR="001257DB" w:rsidRDefault="001257DB" w:rsidP="00593297">
      <w:pPr>
        <w:numPr>
          <w:ilvl w:val="0"/>
          <w:numId w:val="3"/>
        </w:numPr>
        <w:tabs>
          <w:tab w:val="clear" w:pos="360"/>
          <w:tab w:val="num" w:pos="0"/>
        </w:tabs>
      </w:pPr>
      <w:r>
        <w:t>Use of Information Technology</w:t>
      </w:r>
    </w:p>
    <w:p w:rsidR="00A41EED" w:rsidRDefault="00A41EED" w:rsidP="00A41EED"/>
    <w:p w:rsidR="00A41EED" w:rsidRDefault="00C774C8" w:rsidP="00A41EED">
      <w:r>
        <w:t xml:space="preserve">We believe </w:t>
      </w:r>
      <w:r w:rsidR="00A41EED">
        <w:t>that the use of information technology will keep the recordkeeping burden relatively low because</w:t>
      </w:r>
      <w:r w:rsidR="002E03C7">
        <w:t xml:space="preserve"> an attorney will be able </w:t>
      </w:r>
      <w:r w:rsidR="007952DB">
        <w:t xml:space="preserve">create a </w:t>
      </w:r>
      <w:r w:rsidR="002114F6">
        <w:t xml:space="preserve">model </w:t>
      </w:r>
      <w:r>
        <w:t>agreement</w:t>
      </w:r>
      <w:r w:rsidR="007952DB">
        <w:t xml:space="preserve"> on a computer that may be used repeatedly with </w:t>
      </w:r>
      <w:r>
        <w:t>minor</w:t>
      </w:r>
      <w:r w:rsidR="007952DB">
        <w:t xml:space="preserve"> changes </w:t>
      </w:r>
      <w:r w:rsidR="002114F6">
        <w:t xml:space="preserve">to describe the items </w:t>
      </w:r>
      <w:r w:rsidR="00021B3A">
        <w:t xml:space="preserve">and services </w:t>
      </w:r>
      <w:r w:rsidR="002114F6">
        <w:t>being donated.</w:t>
      </w:r>
      <w:r w:rsidR="007952DB">
        <w:t xml:space="preserve">  </w:t>
      </w:r>
      <w:r w:rsidR="00DC4355">
        <w:t xml:space="preserve">The </w:t>
      </w:r>
      <w:r>
        <w:t xml:space="preserve">attorney’s </w:t>
      </w:r>
      <w:r w:rsidR="00DC4355">
        <w:t xml:space="preserve">clients may then use </w:t>
      </w:r>
      <w:r>
        <w:t xml:space="preserve">the </w:t>
      </w:r>
      <w:r w:rsidR="00DC4355">
        <w:t>computer</w:t>
      </w:r>
      <w:r>
        <w:t>ized document</w:t>
      </w:r>
      <w:r w:rsidR="00DC4355">
        <w:t xml:space="preserve"> to add the provisions of each new </w:t>
      </w:r>
      <w:r>
        <w:t>agreement</w:t>
      </w:r>
      <w:r w:rsidR="00DC4355">
        <w:t xml:space="preserve"> to a master </w:t>
      </w:r>
      <w:r>
        <w:t xml:space="preserve">list of </w:t>
      </w:r>
      <w:r w:rsidR="00DC4355">
        <w:t>agreement</w:t>
      </w:r>
      <w:r>
        <w:t>s</w:t>
      </w:r>
      <w:r w:rsidR="00DC4355">
        <w:t xml:space="preserve"> or to modify the master </w:t>
      </w:r>
      <w:r>
        <w:t>agreement</w:t>
      </w:r>
      <w:r w:rsidR="00DC4355">
        <w:t xml:space="preserve">.  </w:t>
      </w:r>
      <w:r w:rsidR="00174CDB">
        <w:t xml:space="preserve">However, the collection requires a signature from both the donor and the physician to whom the donation is made.  Electronic signatures </w:t>
      </w:r>
      <w:r w:rsidR="002114F6">
        <w:t xml:space="preserve">may be </w:t>
      </w:r>
      <w:r w:rsidR="00174CDB">
        <w:t xml:space="preserve">appropriate.  We are interested in encouraging electronic </w:t>
      </w:r>
      <w:r>
        <w:t>agreement</w:t>
      </w:r>
      <w:r w:rsidR="00174CDB">
        <w:t>s</w:t>
      </w:r>
      <w:r w:rsidR="002114F6">
        <w:t>.</w:t>
      </w:r>
      <w:r w:rsidR="00174CDB">
        <w:t xml:space="preserve"> </w:t>
      </w:r>
    </w:p>
    <w:p w:rsidR="001257DB" w:rsidRDefault="001257DB" w:rsidP="000B6334"/>
    <w:p w:rsidR="001257DB" w:rsidRDefault="001257DB" w:rsidP="00A41EED">
      <w:pPr>
        <w:numPr>
          <w:ilvl w:val="0"/>
          <w:numId w:val="3"/>
        </w:numPr>
        <w:tabs>
          <w:tab w:val="clear" w:pos="360"/>
          <w:tab w:val="num" w:pos="0"/>
        </w:tabs>
      </w:pPr>
      <w:r>
        <w:t>Duplication of Similar Information</w:t>
      </w:r>
    </w:p>
    <w:p w:rsidR="001257DB" w:rsidRDefault="001257DB" w:rsidP="000B6334"/>
    <w:p w:rsidR="00B9708E" w:rsidRDefault="001257DB" w:rsidP="000B6334">
      <w:r>
        <w:t xml:space="preserve">The information </w:t>
      </w:r>
      <w:r w:rsidR="00174CDB">
        <w:t xml:space="preserve">to </w:t>
      </w:r>
      <w:r w:rsidR="002114F6">
        <w:t xml:space="preserve">be created </w:t>
      </w:r>
      <w:r>
        <w:t xml:space="preserve">does not duplicate </w:t>
      </w:r>
      <w:r w:rsidR="000C4588">
        <w:t xml:space="preserve">any other effort and the information cannot be obtained from any other source. </w:t>
      </w:r>
    </w:p>
    <w:p w:rsidR="000C4588" w:rsidRDefault="000C4588" w:rsidP="000B6334"/>
    <w:p w:rsidR="000C4588" w:rsidRDefault="00174CDB" w:rsidP="00174CDB">
      <w:pPr>
        <w:numPr>
          <w:ilvl w:val="0"/>
          <w:numId w:val="3"/>
        </w:numPr>
      </w:pPr>
      <w:r>
        <w:t xml:space="preserve"> </w:t>
      </w:r>
      <w:r w:rsidR="000C4588">
        <w:t>Small Business</w:t>
      </w:r>
    </w:p>
    <w:p w:rsidR="000C4588" w:rsidRDefault="000C4588" w:rsidP="000B6334"/>
    <w:p w:rsidR="000C4588" w:rsidRDefault="000C4588" w:rsidP="000B6334">
      <w:r>
        <w:t>These information collection requirements do not impact small businesses.</w:t>
      </w:r>
    </w:p>
    <w:p w:rsidR="000C4588" w:rsidRDefault="000C4588" w:rsidP="000B6334"/>
    <w:p w:rsidR="000C4588" w:rsidRDefault="009869E6" w:rsidP="009869E6">
      <w:pPr>
        <w:numPr>
          <w:ilvl w:val="0"/>
          <w:numId w:val="3"/>
        </w:numPr>
      </w:pPr>
      <w:r>
        <w:t xml:space="preserve"> </w:t>
      </w:r>
      <w:r w:rsidR="000C4588">
        <w:t>Less Frequent Collection</w:t>
      </w:r>
    </w:p>
    <w:p w:rsidR="000C4588" w:rsidRDefault="000C4588" w:rsidP="000B6334"/>
    <w:p w:rsidR="0000292F" w:rsidRDefault="009869E6" w:rsidP="000B6334">
      <w:r>
        <w:t xml:space="preserve">Because the </w:t>
      </w:r>
      <w:r w:rsidR="00C774C8">
        <w:t>agreement</w:t>
      </w:r>
      <w:r>
        <w:t xml:space="preserve"> memorializes the items or services that a provider is donating, there could not be less frequent collection. </w:t>
      </w:r>
    </w:p>
    <w:p w:rsidR="009869E6" w:rsidRDefault="009869E6" w:rsidP="000B6334"/>
    <w:p w:rsidR="0000292F" w:rsidRDefault="0000292F" w:rsidP="009869E6">
      <w:pPr>
        <w:numPr>
          <w:ilvl w:val="0"/>
          <w:numId w:val="3"/>
        </w:numPr>
        <w:tabs>
          <w:tab w:val="clear" w:pos="360"/>
          <w:tab w:val="num" w:pos="0"/>
        </w:tabs>
      </w:pPr>
      <w:r>
        <w:t>Special Circumstances</w:t>
      </w:r>
    </w:p>
    <w:p w:rsidR="0000292F" w:rsidRDefault="0000292F" w:rsidP="000B6334"/>
    <w:p w:rsidR="0000292F" w:rsidRDefault="009375AA" w:rsidP="000B6334">
      <w:r>
        <w:t>There are no special circumstances.</w:t>
      </w:r>
    </w:p>
    <w:p w:rsidR="0000292F" w:rsidRDefault="0000292F" w:rsidP="000B6334"/>
    <w:p w:rsidR="0000292F" w:rsidRDefault="00BA4C26" w:rsidP="00BD0435">
      <w:pPr>
        <w:keepNext/>
      </w:pPr>
      <w:r>
        <w:lastRenderedPageBreak/>
        <w:t xml:space="preserve">8.  </w:t>
      </w:r>
      <w:r w:rsidR="0000292F">
        <w:t>Federal Register/Outside Consultation</w:t>
      </w:r>
    </w:p>
    <w:p w:rsidR="00E6660E" w:rsidRDefault="00E6660E" w:rsidP="00BD0435">
      <w:pPr>
        <w:keepNext/>
      </w:pPr>
    </w:p>
    <w:p w:rsidR="00BA4C26" w:rsidRDefault="00AF5DBE" w:rsidP="00BA4C26">
      <w:r>
        <w:t xml:space="preserve">The </w:t>
      </w:r>
      <w:r w:rsidR="00F33DF3">
        <w:t>60</w:t>
      </w:r>
      <w:r>
        <w:t>-</w:t>
      </w:r>
      <w:r w:rsidR="00F33DF3">
        <w:t>day</w:t>
      </w:r>
      <w:r w:rsidR="0021324C">
        <w:t xml:space="preserve"> Federal Register</w:t>
      </w:r>
      <w:r w:rsidR="00F33DF3">
        <w:t xml:space="preserve"> notice published on </w:t>
      </w:r>
      <w:r>
        <w:t>June 28</w:t>
      </w:r>
      <w:r w:rsidR="00F33DF3">
        <w:t>, 201</w:t>
      </w:r>
      <w:r>
        <w:t xml:space="preserve">3 (78 </w:t>
      </w:r>
      <w:proofErr w:type="spellStart"/>
      <w:r>
        <w:t>FR</w:t>
      </w:r>
      <w:proofErr w:type="spellEnd"/>
      <w:r>
        <w:t xml:space="preserve"> 40482)</w:t>
      </w:r>
      <w:r w:rsidR="0021324C">
        <w:t>.</w:t>
      </w:r>
      <w:r w:rsidR="00F33DF3">
        <w:t xml:space="preserve">  No comments were received.</w:t>
      </w:r>
    </w:p>
    <w:p w:rsidR="0021324C" w:rsidRDefault="0021324C" w:rsidP="00BA4C26"/>
    <w:p w:rsidR="00680216" w:rsidRDefault="00BA4C26" w:rsidP="00BA4C26">
      <w:r>
        <w:t xml:space="preserve">9.  </w:t>
      </w:r>
      <w:r w:rsidR="00680216">
        <w:t>Payment/Gift to Respondents</w:t>
      </w:r>
    </w:p>
    <w:p w:rsidR="00680216" w:rsidRDefault="00680216" w:rsidP="00BA4C26"/>
    <w:p w:rsidR="00BA4C26" w:rsidRDefault="00BA4C26" w:rsidP="00BA4C26">
      <w:r>
        <w:t>There will be no payment or gifts to respondents.</w:t>
      </w:r>
    </w:p>
    <w:p w:rsidR="00BA4C26" w:rsidRDefault="00BA4C26" w:rsidP="00BA4C26"/>
    <w:p w:rsidR="00680216" w:rsidRDefault="00BA4C26" w:rsidP="00BA4C26">
      <w:r>
        <w:t xml:space="preserve">10.  </w:t>
      </w:r>
      <w:r w:rsidR="00680216">
        <w:t>Confidentiality</w:t>
      </w:r>
    </w:p>
    <w:p w:rsidR="00BA4C26" w:rsidRDefault="00BA4C26" w:rsidP="00BA4C26"/>
    <w:p w:rsidR="00FE1259" w:rsidRPr="00B0515F" w:rsidRDefault="00BA4C26" w:rsidP="00BA4C26">
      <w:r>
        <w:t>If we need to review the agreements, we</w:t>
      </w:r>
      <w:r w:rsidR="00FE1259">
        <w:t xml:space="preserve"> are prevented by the Trade Secrets Act, 18 U.S.C. § 1905, from releasing to the public confidential business information, except to the extent permitted by law.  We intend to protect from public disclosure, to the fullest extent permitted by Exemption 6 of the Freedom of Information Act, 5 U.S.C. § 552(b</w:t>
      </w:r>
      <w:proofErr w:type="gramStart"/>
      <w:r w:rsidR="00FE1259">
        <w:t>)(</w:t>
      </w:r>
      <w:proofErr w:type="gramEnd"/>
      <w:r w:rsidR="00FE1259">
        <w:t xml:space="preserve">6), any individual-specific information </w:t>
      </w:r>
      <w:r>
        <w:t>that we review.</w:t>
      </w:r>
    </w:p>
    <w:p w:rsidR="00233822" w:rsidRDefault="00233822" w:rsidP="00BA4C26"/>
    <w:p w:rsidR="00233822" w:rsidRDefault="00BA4C26" w:rsidP="00BA4C26">
      <w:r>
        <w:t xml:space="preserve">11. </w:t>
      </w:r>
      <w:r w:rsidR="00593297">
        <w:t xml:space="preserve"> </w:t>
      </w:r>
      <w:r w:rsidR="00233822">
        <w:t>Sensitive Questions</w:t>
      </w:r>
    </w:p>
    <w:p w:rsidR="00233822" w:rsidRDefault="00233822" w:rsidP="00BA4C26"/>
    <w:p w:rsidR="00233822" w:rsidRDefault="00BA4C26" w:rsidP="00BA4C26">
      <w:r>
        <w:t>The written agreements will contain no</w:t>
      </w:r>
      <w:r w:rsidR="00233822">
        <w:t xml:space="preserve"> sensitive questions</w:t>
      </w:r>
      <w:r>
        <w:t>, such as sexual behavior and attitudes, religious beliefs, and other matters that we commonly consider private.</w:t>
      </w:r>
    </w:p>
    <w:p w:rsidR="00233822" w:rsidRDefault="00233822" w:rsidP="00BA4C26"/>
    <w:p w:rsidR="00233822" w:rsidRPr="00924610" w:rsidRDefault="00942272" w:rsidP="00BA4C26">
      <w:r>
        <w:t>12. Burden Estimate (Hours and Wages)</w:t>
      </w:r>
    </w:p>
    <w:p w:rsidR="00233822" w:rsidRPr="00924610" w:rsidRDefault="00233822" w:rsidP="00BA4C26"/>
    <w:p w:rsidR="007F7CAA" w:rsidRDefault="00924610" w:rsidP="00AF5DBE">
      <w:pPr>
        <w:autoSpaceDE w:val="0"/>
        <w:autoSpaceDN w:val="0"/>
        <w:adjustRightInd w:val="0"/>
      </w:pPr>
      <w:r w:rsidRPr="00BD0435">
        <w:t>We</w:t>
      </w:r>
      <w:r w:rsidR="005F1A1A">
        <w:t xml:space="preserve"> believe that many </w:t>
      </w:r>
      <w:r w:rsidRPr="00BD0435">
        <w:t xml:space="preserve">State or national organizations or </w:t>
      </w:r>
      <w:r w:rsidR="00C774C8" w:rsidRPr="00BD0435">
        <w:t>attorney</w:t>
      </w:r>
      <w:r w:rsidRPr="00BD0435">
        <w:t>s for large hospital systems</w:t>
      </w:r>
      <w:r w:rsidR="002E4EE1" w:rsidRPr="00BD0435">
        <w:t xml:space="preserve"> and other </w:t>
      </w:r>
      <w:r w:rsidR="00C774C8" w:rsidRPr="00BD0435">
        <w:t>DHS entities</w:t>
      </w:r>
      <w:r w:rsidRPr="00BD0435">
        <w:t xml:space="preserve"> </w:t>
      </w:r>
      <w:r w:rsidR="005F1A1A">
        <w:t>have already</w:t>
      </w:r>
      <w:r w:rsidR="005F1A1A" w:rsidRPr="00BD0435">
        <w:t xml:space="preserve"> </w:t>
      </w:r>
      <w:r w:rsidRPr="00BD0435">
        <w:t>draft</w:t>
      </w:r>
      <w:r w:rsidR="005F1A1A">
        <w:t>ed</w:t>
      </w:r>
      <w:r w:rsidR="00C774C8" w:rsidRPr="00BD0435">
        <w:t xml:space="preserve"> model</w:t>
      </w:r>
      <w:r w:rsidRPr="00BD0435">
        <w:t xml:space="preserve"> agreements</w:t>
      </w:r>
      <w:r w:rsidR="005F1A1A">
        <w:t xml:space="preserve"> during the past several years that these exceptions have been in effect</w:t>
      </w:r>
      <w:r w:rsidRPr="00BD0435">
        <w:t>.</w:t>
      </w:r>
      <w:r w:rsidR="005F1A1A">
        <w:t xml:space="preserve">  </w:t>
      </w:r>
      <w:r w:rsidR="00F14D2B">
        <w:t xml:space="preserve">We also expect that, due to the incentive payment programs related to adoption of electronic health </w:t>
      </w:r>
      <w:r w:rsidR="00942272">
        <w:t>records</w:t>
      </w:r>
      <w:r w:rsidR="00F14D2B">
        <w:t xml:space="preserve"> technology, new organizations will continue to draft model agreements. </w:t>
      </w:r>
      <w:r w:rsidR="005F1A1A">
        <w:t xml:space="preserve">We expect that </w:t>
      </w:r>
      <w:r w:rsidR="00F14D2B">
        <w:t>75</w:t>
      </w:r>
      <w:r w:rsidR="005F1A1A">
        <w:t xml:space="preserve"> new</w:t>
      </w:r>
      <w:r w:rsidRPr="00BD0435">
        <w:t xml:space="preserve"> </w:t>
      </w:r>
      <w:r w:rsidR="005F1A1A" w:rsidRPr="005F1A1A">
        <w:t>State or national organizations or attorneys for large hospital systems and other DHS entities</w:t>
      </w:r>
      <w:r w:rsidR="005F1A1A">
        <w:t xml:space="preserve"> will draft model agreements each year.  </w:t>
      </w:r>
      <w:r w:rsidRPr="00BD0435">
        <w:t>Because we estimate it will take 1</w:t>
      </w:r>
      <w:r w:rsidR="00C774C8" w:rsidRPr="00BD0435">
        <w:t>.5</w:t>
      </w:r>
      <w:r w:rsidRPr="00BD0435">
        <w:t xml:space="preserve"> hours to prepare a model agreement, and </w:t>
      </w:r>
      <w:r w:rsidR="00F14D2B">
        <w:t>75</w:t>
      </w:r>
      <w:r w:rsidRPr="00BD0435">
        <w:t xml:space="preserve"> different organizations will prepare these agreements</w:t>
      </w:r>
      <w:r w:rsidR="007F7CAA">
        <w:t xml:space="preserve"> annually</w:t>
      </w:r>
      <w:r w:rsidRPr="00BD0435">
        <w:t xml:space="preserve">, it could take a maximum of </w:t>
      </w:r>
      <w:r w:rsidR="00F14D2B">
        <w:t>112.</w:t>
      </w:r>
      <w:r w:rsidR="005F1A1A">
        <w:t>5</w:t>
      </w:r>
      <w:r w:rsidR="005F1A1A" w:rsidRPr="00BD0435">
        <w:t xml:space="preserve"> </w:t>
      </w:r>
      <w:r w:rsidRPr="00BD0435">
        <w:t xml:space="preserve">hours to prepare all model agreements. </w:t>
      </w:r>
      <w:r w:rsidR="007F7CAA">
        <w:t xml:space="preserve">  We expect the lawyers will prepare these model agreements.  A</w:t>
      </w:r>
      <w:r w:rsidR="007F7CAA" w:rsidRPr="007F7CAA">
        <w:t xml:space="preserve">ccording to the average hourly rate </w:t>
      </w:r>
      <w:r w:rsidR="007F7CAA">
        <w:t xml:space="preserve">of $54.58, </w:t>
      </w:r>
      <w:r w:rsidR="007F7CAA" w:rsidRPr="007F7CAA">
        <w:t>reported by the Bureau of Labor Statistics, the</w:t>
      </w:r>
      <w:r w:rsidR="007F7CAA">
        <w:t xml:space="preserve"> cost</w:t>
      </w:r>
      <w:r w:rsidR="002F4E9C">
        <w:t xml:space="preserve"> per response</w:t>
      </w:r>
      <w:r w:rsidR="008C172B">
        <w:t xml:space="preserve"> to the s</w:t>
      </w:r>
      <w:r w:rsidR="007F7CAA">
        <w:t xml:space="preserve">tate and national organizations will </w:t>
      </w:r>
      <w:r w:rsidR="008C172B">
        <w:t>be $81.67.  The annual cost to s</w:t>
      </w:r>
      <w:r w:rsidR="007F7CAA">
        <w:t>tate and national organizations will be (113 hours x 75) $8,475.00.</w:t>
      </w:r>
    </w:p>
    <w:p w:rsidR="007F7CAA" w:rsidRDefault="007F7CAA" w:rsidP="00AF5DBE">
      <w:pPr>
        <w:autoSpaceDE w:val="0"/>
        <w:autoSpaceDN w:val="0"/>
        <w:adjustRightInd w:val="0"/>
      </w:pPr>
    </w:p>
    <w:p w:rsidR="002172E7" w:rsidRDefault="002661F2" w:rsidP="00AF5DBE">
      <w:pPr>
        <w:autoSpaceDE w:val="0"/>
        <w:autoSpaceDN w:val="0"/>
        <w:adjustRightInd w:val="0"/>
        <w:rPr>
          <w:color w:val="000000"/>
        </w:rPr>
      </w:pPr>
      <w:r>
        <w:t>As of June, 2010</w:t>
      </w:r>
      <w:r w:rsidR="00FE1ACE">
        <w:t>,</w:t>
      </w:r>
      <w:r w:rsidR="005F1A1A">
        <w:t xml:space="preserve"> t</w:t>
      </w:r>
      <w:r w:rsidR="005F1A1A" w:rsidRPr="005F1A1A">
        <w:t xml:space="preserve">here are </w:t>
      </w:r>
      <w:r>
        <w:t>616,749</w:t>
      </w:r>
      <w:r w:rsidR="005F1A1A" w:rsidRPr="005F1A1A">
        <w:t xml:space="preserve"> physicians </w:t>
      </w:r>
      <w:r w:rsidR="005F1A1A">
        <w:t xml:space="preserve">providing Part B physician services to </w:t>
      </w:r>
      <w:r w:rsidR="005F1A1A" w:rsidRPr="005F1A1A">
        <w:t xml:space="preserve">Medicare </w:t>
      </w:r>
      <w:r w:rsidR="005F1A1A">
        <w:t xml:space="preserve">beneficiaries </w:t>
      </w:r>
      <w:r w:rsidR="00F23FF4">
        <w:t>according to the 2010</w:t>
      </w:r>
      <w:r w:rsidR="005F1A1A" w:rsidRPr="005F1A1A">
        <w:t xml:space="preserve"> CMS Statistics booklet.</w:t>
      </w:r>
      <w:r w:rsidR="005F1A1A">
        <w:t xml:space="preserve">  </w:t>
      </w:r>
      <w:r w:rsidR="005F1A1A" w:rsidRPr="005F1A1A">
        <w:t xml:space="preserve">According to the Office of the National Coordinator for Health IT (ONC), nearly 200,000 physicians have already adopted electronic health records technology.  </w:t>
      </w:r>
      <w:r w:rsidR="005F1A1A">
        <w:t xml:space="preserve">Of the remaining </w:t>
      </w:r>
      <w:r w:rsidR="00FB24C5">
        <w:t>416,749</w:t>
      </w:r>
      <w:r w:rsidR="00F14D2B">
        <w:t xml:space="preserve"> </w:t>
      </w:r>
      <w:r w:rsidR="005F1A1A">
        <w:t xml:space="preserve">physicians providing Part B services to Medicare beneficiaries, we assume that </w:t>
      </w:r>
      <w:r w:rsidR="00FB24C5">
        <w:t>41,675</w:t>
      </w:r>
      <w:r w:rsidR="00F14D2B">
        <w:t xml:space="preserve"> physicians (1</w:t>
      </w:r>
      <w:r w:rsidR="005F1A1A">
        <w:t xml:space="preserve">0 percent of the total number of physicians providing Part B physician services to Medicare beneficiaries who have not yet adopted health records technology) </w:t>
      </w:r>
      <w:r w:rsidR="00BD0435" w:rsidRPr="00BD0435">
        <w:t xml:space="preserve">will begin the process of developing or using electronic prescribing and/or electronic health records </w:t>
      </w:r>
      <w:r w:rsidR="009B19DB">
        <w:t xml:space="preserve">each year.  Of those physicians, we expect that one-fifth (or 20 percent) will accept donations of </w:t>
      </w:r>
      <w:r w:rsidR="00BD0435" w:rsidRPr="00BD0435">
        <w:t xml:space="preserve">and </w:t>
      </w:r>
      <w:r w:rsidR="00BD0435" w:rsidRPr="00BD0435">
        <w:rPr>
          <w:color w:val="000000"/>
        </w:rPr>
        <w:t xml:space="preserve">sign agreements for electronic health </w:t>
      </w:r>
      <w:r w:rsidR="00BD0435" w:rsidRPr="00BD0435">
        <w:t>information technology each year</w:t>
      </w:r>
      <w:r w:rsidR="00BD0435" w:rsidRPr="00BD0435">
        <w:rPr>
          <w:color w:val="000000"/>
        </w:rPr>
        <w:t xml:space="preserve">.  </w:t>
      </w:r>
    </w:p>
    <w:p w:rsidR="00AF5DBE" w:rsidRDefault="00AF5DBE" w:rsidP="00AF5DBE">
      <w:pPr>
        <w:autoSpaceDE w:val="0"/>
        <w:autoSpaceDN w:val="0"/>
        <w:adjustRightInd w:val="0"/>
        <w:rPr>
          <w:color w:val="000000"/>
        </w:rPr>
      </w:pPr>
    </w:p>
    <w:p w:rsidR="00BD0435" w:rsidRDefault="00BD0435" w:rsidP="00AF5DBE">
      <w:pPr>
        <w:autoSpaceDE w:val="0"/>
        <w:autoSpaceDN w:val="0"/>
        <w:adjustRightInd w:val="0"/>
      </w:pPr>
      <w:r w:rsidRPr="00BD0435">
        <w:rPr>
          <w:color w:val="000000"/>
        </w:rPr>
        <w:t>We assume that each</w:t>
      </w:r>
      <w:r w:rsidR="009B19DB">
        <w:rPr>
          <w:color w:val="000000"/>
        </w:rPr>
        <w:t xml:space="preserve"> of those </w:t>
      </w:r>
      <w:r w:rsidR="002661F2">
        <w:rPr>
          <w:color w:val="000000"/>
        </w:rPr>
        <w:t>8,335</w:t>
      </w:r>
      <w:r w:rsidRPr="00BD0435">
        <w:rPr>
          <w:color w:val="000000"/>
        </w:rPr>
        <w:t xml:space="preserve"> physician</w:t>
      </w:r>
      <w:r w:rsidR="009B19DB">
        <w:rPr>
          <w:color w:val="000000"/>
        </w:rPr>
        <w:t>s</w:t>
      </w:r>
      <w:r w:rsidRPr="00BD0435">
        <w:rPr>
          <w:color w:val="000000"/>
        </w:rPr>
        <w:t xml:space="preserve"> will accept two donations of electronic health information technology, and each donation will require that an agreem</w:t>
      </w:r>
      <w:r w:rsidR="008C172B">
        <w:rPr>
          <w:color w:val="000000"/>
        </w:rPr>
        <w:t>ent be signed by the donor DHS e</w:t>
      </w:r>
      <w:r w:rsidRPr="00BD0435">
        <w:rPr>
          <w:color w:val="000000"/>
        </w:rPr>
        <w:t xml:space="preserve">ntity and the physician.  Each </w:t>
      </w:r>
      <w:r w:rsidRPr="00BD0435">
        <w:t xml:space="preserve">agreement will require 15 minutes (.25 hours) of the physician’s time.  Therefore, the physicians might spend </w:t>
      </w:r>
      <w:r w:rsidR="002661F2">
        <w:t>4,167</w:t>
      </w:r>
      <w:r w:rsidR="00EB6DF9">
        <w:t>.5</w:t>
      </w:r>
      <w:r w:rsidR="008C172B">
        <w:t xml:space="preserve"> hours annually on</w:t>
      </w:r>
      <w:r w:rsidRPr="00BD0435">
        <w:t xml:space="preserve"> interacting with two donors (2 agreements</w:t>
      </w:r>
      <w:r w:rsidR="009220AD">
        <w:t xml:space="preserve"> for each of the 8335 physicians</w:t>
      </w:r>
      <w:r w:rsidRPr="00BD0435">
        <w:t xml:space="preserve"> (that is, 1 per donation) X .25 hours for each agreement X </w:t>
      </w:r>
      <w:r w:rsidR="009220AD">
        <w:t>16670</w:t>
      </w:r>
      <w:r w:rsidR="00FE1ACE">
        <w:t xml:space="preserve"> </w:t>
      </w:r>
      <w:r w:rsidR="009220AD">
        <w:t>(8335</w:t>
      </w:r>
      <w:r w:rsidR="008C172B">
        <w:t xml:space="preserve"> physicians  X </w:t>
      </w:r>
      <w:r w:rsidR="009220AD">
        <w:t>2)</w:t>
      </w:r>
      <w:r w:rsidR="00FE4F8C">
        <w:t xml:space="preserve"> and the donors will spend an equivalent amount of time as the physicians (</w:t>
      </w:r>
      <w:r w:rsidR="002661F2">
        <w:t>4,167</w:t>
      </w:r>
      <w:r w:rsidR="00EB6DF9">
        <w:t>.5</w:t>
      </w:r>
      <w:r w:rsidR="00FE4F8C">
        <w:t xml:space="preserve"> hours annually).</w:t>
      </w:r>
      <w:r w:rsidR="007D66A3" w:rsidRPr="007D66A3">
        <w:t xml:space="preserve"> </w:t>
      </w:r>
      <w:r w:rsidR="007D66A3">
        <w:t>T</w:t>
      </w:r>
      <w:r w:rsidR="007D66A3" w:rsidRPr="007D66A3">
        <w:t xml:space="preserve">he average hourly rate </w:t>
      </w:r>
      <w:r w:rsidR="007D66A3">
        <w:t>for physicians is of $86.75</w:t>
      </w:r>
      <w:r w:rsidR="007D66A3" w:rsidRPr="007D66A3">
        <w:t xml:space="preserve">, </w:t>
      </w:r>
      <w:r w:rsidR="007D66A3">
        <w:t xml:space="preserve">according to the </w:t>
      </w:r>
      <w:r w:rsidR="00674350">
        <w:t>Bureau of Labor Statistics.  T</w:t>
      </w:r>
      <w:r w:rsidR="007D66A3" w:rsidRPr="007D66A3">
        <w:t xml:space="preserve">he hourly cost to </w:t>
      </w:r>
      <w:r w:rsidR="007D66A3">
        <w:t xml:space="preserve">physicians </w:t>
      </w:r>
      <w:r w:rsidR="00674350">
        <w:t xml:space="preserve">is </w:t>
      </w:r>
      <w:r w:rsidR="007D66A3">
        <w:t>$21.69 (86.75 X .25)</w:t>
      </w:r>
      <w:r w:rsidR="007D66A3" w:rsidRPr="007D66A3">
        <w:t xml:space="preserve">.  The annual cost to </w:t>
      </w:r>
      <w:r w:rsidR="007D66A3">
        <w:t>physicians will be (4,167.5 hours x 21.69</w:t>
      </w:r>
      <w:r w:rsidR="00674350">
        <w:t>) $90,382.23</w:t>
      </w:r>
      <w:r w:rsidR="007D66A3" w:rsidRPr="007D66A3">
        <w:t>.</w:t>
      </w:r>
    </w:p>
    <w:p w:rsidR="007D66A3" w:rsidRPr="00BD0435" w:rsidRDefault="007D66A3" w:rsidP="00AF5DBE">
      <w:pPr>
        <w:autoSpaceDE w:val="0"/>
        <w:autoSpaceDN w:val="0"/>
        <w:adjustRightInd w:val="0"/>
      </w:pPr>
    </w:p>
    <w:p w:rsidR="00BD0435" w:rsidRDefault="00BD0435" w:rsidP="00AF5DBE">
      <w:pPr>
        <w:autoSpaceDE w:val="0"/>
        <w:autoSpaceDN w:val="0"/>
        <w:adjustRightInd w:val="0"/>
      </w:pPr>
      <w:r w:rsidRPr="00BD0435">
        <w:t xml:space="preserve">We assume that donating entities will not interact with each individual physician, but instead will spend time with individuals or entities that represent physician recipients of donated technology.  On average, these representatives represent approximately 25 physicians each.  We estimate that a donor entity will spend approximately 2 hours with each physician representative.  We estimate that the average yearly burden for donor entities for the interactions with physician representatives may be </w:t>
      </w:r>
      <w:r w:rsidR="00FB24C5">
        <w:t>666</w:t>
      </w:r>
      <w:r w:rsidR="009B19DB">
        <w:t xml:space="preserve"> hours ([</w:t>
      </w:r>
      <w:r w:rsidR="002661F2">
        <w:t>8,335</w:t>
      </w:r>
      <w:r w:rsidR="009B19DB">
        <w:t xml:space="preserve"> </w:t>
      </w:r>
      <w:r w:rsidR="00725F05">
        <w:t>p</w:t>
      </w:r>
      <w:r w:rsidRPr="00BD0435">
        <w:t xml:space="preserve">hysicians/25 physicians per representative] X 2 hours per interaction).  </w:t>
      </w:r>
      <w:r w:rsidR="00E01AE2">
        <w:t>Each physician representative will spend time with 2 donors so that yea</w:t>
      </w:r>
      <w:r w:rsidR="00E6660E">
        <w:t xml:space="preserve">rly burden will be </w:t>
      </w:r>
      <w:r w:rsidR="00F22A94">
        <w:t>1,332</w:t>
      </w:r>
      <w:r w:rsidR="00E01AE2">
        <w:t xml:space="preserve"> hours.  ([</w:t>
      </w:r>
      <w:r w:rsidR="002661F2">
        <w:t>8,335</w:t>
      </w:r>
      <w:r w:rsidR="00E01AE2">
        <w:t xml:space="preserve"> physicians/25 physicians] X 2 hours per interaction X 2 interactions).  </w:t>
      </w:r>
      <w:r w:rsidRPr="00BD0435">
        <w:t>This is in addition to the time spent tailoring and signing physician-specific agreements discussed above.</w:t>
      </w:r>
      <w:r w:rsidR="00FE4F8C">
        <w:t xml:space="preserve">  The same number of donors will spend the same amount of time as the p</w:t>
      </w:r>
      <w:r w:rsidR="00E6660E">
        <w:t xml:space="preserve">hysician representatives or </w:t>
      </w:r>
      <w:r w:rsidR="008E1875">
        <w:t>1</w:t>
      </w:r>
      <w:r w:rsidR="00ED0172">
        <w:t>,332</w:t>
      </w:r>
      <w:r w:rsidR="00FE4F8C">
        <w:t xml:space="preserve"> hours interacting with physicians.</w:t>
      </w:r>
      <w:r w:rsidR="00674350">
        <w:t xml:space="preserve"> </w:t>
      </w:r>
      <w:r w:rsidR="00674350" w:rsidRPr="00674350">
        <w:t xml:space="preserve"> The av</w:t>
      </w:r>
      <w:r w:rsidR="00674350">
        <w:t>erage hourly rate for physician representatives is of $13.36</w:t>
      </w:r>
      <w:r w:rsidR="00674350" w:rsidRPr="00674350">
        <w:t>, according to</w:t>
      </w:r>
      <w:r w:rsidR="00674350">
        <w:t xml:space="preserve"> the Bureau of Labor Statistics.  The</w:t>
      </w:r>
      <w:r w:rsidR="00674350" w:rsidRPr="00674350">
        <w:t xml:space="preserve"> </w:t>
      </w:r>
      <w:r w:rsidR="00E857E4">
        <w:t xml:space="preserve">hourly cost associated with </w:t>
      </w:r>
      <w:r w:rsidR="00674350">
        <w:t>physician representati</w:t>
      </w:r>
      <w:r w:rsidR="00E857E4">
        <w:t xml:space="preserve">ves is $26.72(13.36 X </w:t>
      </w:r>
      <w:r w:rsidR="00674350" w:rsidRPr="00674350">
        <w:t xml:space="preserve">2).  The annual cost </w:t>
      </w:r>
      <w:r w:rsidR="00E857E4">
        <w:t>associated with physician representatives is (1,332 hours x 26.72) $35,591.04</w:t>
      </w:r>
      <w:r w:rsidR="00674350" w:rsidRPr="00674350">
        <w:t>.</w:t>
      </w:r>
    </w:p>
    <w:p w:rsidR="00E857E4" w:rsidRDefault="00E857E4" w:rsidP="00AF5DBE">
      <w:pPr>
        <w:autoSpaceDE w:val="0"/>
        <w:autoSpaceDN w:val="0"/>
        <w:adjustRightInd w:val="0"/>
      </w:pPr>
    </w:p>
    <w:p w:rsidR="00E857E4" w:rsidRDefault="00E857E4" w:rsidP="00AF5DBE">
      <w:pPr>
        <w:autoSpaceDE w:val="0"/>
        <w:autoSpaceDN w:val="0"/>
        <w:adjustRightInd w:val="0"/>
      </w:pPr>
      <w:r>
        <w:t xml:space="preserve">We assume that there are 333 donating entities providing electronic health record technology to physicians.  </w:t>
      </w:r>
      <w:r w:rsidRPr="00E857E4">
        <w:t>We assume that donating entities wil</w:t>
      </w:r>
      <w:r>
        <w:t>l</w:t>
      </w:r>
      <w:r w:rsidRPr="00E857E4">
        <w:t xml:space="preserve"> interact with physician</w:t>
      </w:r>
      <w:r>
        <w:t>s for .25 hours.  Additionally, w</w:t>
      </w:r>
      <w:r w:rsidRPr="00E857E4">
        <w:t xml:space="preserve">e estimate that a donor entity will spend approximately 2 hours with each physician representative.  </w:t>
      </w:r>
      <w:r w:rsidR="000649A2">
        <w:t>Therefore, we</w:t>
      </w:r>
      <w:r w:rsidR="008C172B">
        <w:t xml:space="preserve"> estimate the hourly burden to d</w:t>
      </w:r>
      <w:r w:rsidR="000649A2">
        <w:t xml:space="preserve">onors to be 2.25 hours.  </w:t>
      </w:r>
      <w:r w:rsidR="00167DBE">
        <w:t xml:space="preserve">We expect the donors to interact twice with each of the 8335 physicians and their representatives.  </w:t>
      </w:r>
      <w:r w:rsidR="00D06789">
        <w:t>W</w:t>
      </w:r>
      <w:r w:rsidRPr="00E857E4">
        <w:t xml:space="preserve">e estimate that the average yearly </w:t>
      </w:r>
      <w:r w:rsidR="008C172B">
        <w:t xml:space="preserve">hourly </w:t>
      </w:r>
      <w:r w:rsidRPr="00E857E4">
        <w:t>burden for donor entities for the interactions with phys</w:t>
      </w:r>
      <w:r w:rsidR="000649A2">
        <w:t>ician representatives may be 750</w:t>
      </w:r>
      <w:r w:rsidRPr="00E857E4">
        <w:t xml:space="preserve"> hours ([8,335 physicians/25 physicians per representative] X 2</w:t>
      </w:r>
      <w:r w:rsidR="000649A2">
        <w:t>.25</w:t>
      </w:r>
      <w:r w:rsidRPr="00E857E4">
        <w:t xml:space="preserve"> hours per interaction).  The</w:t>
      </w:r>
      <w:r w:rsidR="00A9781E">
        <w:t xml:space="preserve"> average hourly rate for donors</w:t>
      </w:r>
      <w:r w:rsidR="008C172B">
        <w:t xml:space="preserve"> </w:t>
      </w:r>
      <w:r w:rsidR="00A9781E">
        <w:t>(general</w:t>
      </w:r>
      <w:r w:rsidR="008C172B">
        <w:t xml:space="preserve"> business</w:t>
      </w:r>
      <w:r w:rsidR="00A9781E">
        <w:t xml:space="preserve"> and operations mangers)</w:t>
      </w:r>
      <w:r w:rsidR="000649A2">
        <w:t xml:space="preserve"> is of $55.22</w:t>
      </w:r>
      <w:r w:rsidR="008C172B">
        <w:t>,</w:t>
      </w:r>
      <w:r w:rsidRPr="00E857E4">
        <w:t xml:space="preserve"> according to the Bureau of Labor Statistics.  The hourly cost associated with phy</w:t>
      </w:r>
      <w:r w:rsidR="00A9781E">
        <w:t>sician representatives is $138.05(55.22</w:t>
      </w:r>
      <w:r w:rsidRPr="00E857E4">
        <w:t xml:space="preserve"> X 2</w:t>
      </w:r>
      <w:r w:rsidR="00A9781E">
        <w:t>.5</w:t>
      </w:r>
      <w:r w:rsidRPr="00E857E4">
        <w:t>).  The annual cost associated with physician represe</w:t>
      </w:r>
      <w:r w:rsidR="00A9781E">
        <w:t>ntatives is (750 hours x 138.05) $103,537.50</w:t>
      </w:r>
      <w:r w:rsidRPr="00E857E4">
        <w:t>.</w:t>
      </w:r>
    </w:p>
    <w:p w:rsidR="00CE29AD" w:rsidRDefault="00CE29AD">
      <w:r>
        <w:br w:type="page"/>
      </w:r>
    </w:p>
    <w:p w:rsidR="00AE1694" w:rsidRDefault="00AE1694" w:rsidP="00AE1694">
      <w:pPr>
        <w:autoSpaceDE w:val="0"/>
        <w:autoSpaceDN w:val="0"/>
        <w:adjustRightInd w:val="0"/>
      </w:pPr>
    </w:p>
    <w:p w:rsidR="00674350" w:rsidRPr="00BD0435" w:rsidRDefault="00AE1694" w:rsidP="00AE1694">
      <w:pPr>
        <w:autoSpaceDE w:val="0"/>
        <w:autoSpaceDN w:val="0"/>
        <w:adjustRightInd w:val="0"/>
      </w:pPr>
      <w:r>
        <w:t>HOUR BURDEN</w:t>
      </w:r>
    </w:p>
    <w:tbl>
      <w:tblPr>
        <w:tblW w:w="6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122"/>
        <w:gridCol w:w="1042"/>
        <w:gridCol w:w="962"/>
        <w:gridCol w:w="1309"/>
      </w:tblGrid>
      <w:tr w:rsidR="00612ABF" w:rsidRPr="0084157E" w:rsidTr="0057171E">
        <w:trPr>
          <w:cantSplit/>
          <w:trHeight w:val="698"/>
          <w:tblHeader/>
        </w:trPr>
        <w:tc>
          <w:tcPr>
            <w:tcW w:w="1700" w:type="dxa"/>
            <w:shd w:val="pct25" w:color="auto" w:fill="auto"/>
          </w:tcPr>
          <w:p w:rsidR="00612ABF" w:rsidRPr="0084157E" w:rsidRDefault="00612ABF" w:rsidP="0084157E">
            <w:pPr>
              <w:autoSpaceDE w:val="0"/>
              <w:autoSpaceDN w:val="0"/>
              <w:adjustRightInd w:val="0"/>
              <w:jc w:val="center"/>
              <w:rPr>
                <w:b/>
                <w:color w:val="000000"/>
                <w:sz w:val="20"/>
                <w:szCs w:val="20"/>
              </w:rPr>
            </w:pPr>
            <w:r w:rsidRPr="0084157E">
              <w:rPr>
                <w:b/>
                <w:color w:val="000000"/>
                <w:sz w:val="20"/>
                <w:szCs w:val="20"/>
              </w:rPr>
              <w:t>Respondent</w:t>
            </w:r>
          </w:p>
        </w:tc>
        <w:tc>
          <w:tcPr>
            <w:tcW w:w="1122" w:type="dxa"/>
            <w:shd w:val="pct25" w:color="auto" w:fill="auto"/>
          </w:tcPr>
          <w:p w:rsidR="00612ABF" w:rsidRPr="0084157E" w:rsidRDefault="00612ABF" w:rsidP="0084157E">
            <w:pPr>
              <w:autoSpaceDE w:val="0"/>
              <w:autoSpaceDN w:val="0"/>
              <w:adjustRightInd w:val="0"/>
              <w:jc w:val="center"/>
              <w:rPr>
                <w:b/>
                <w:color w:val="000000"/>
                <w:sz w:val="20"/>
                <w:szCs w:val="20"/>
              </w:rPr>
            </w:pPr>
            <w:r w:rsidRPr="0084157E">
              <w:rPr>
                <w:b/>
                <w:color w:val="000000"/>
                <w:sz w:val="20"/>
                <w:szCs w:val="20"/>
              </w:rPr>
              <w:t>Total Number of Responses</w:t>
            </w:r>
          </w:p>
        </w:tc>
        <w:tc>
          <w:tcPr>
            <w:tcW w:w="1042" w:type="dxa"/>
            <w:shd w:val="pct25" w:color="auto" w:fill="auto"/>
          </w:tcPr>
          <w:p w:rsidR="00612ABF" w:rsidRPr="0084157E" w:rsidRDefault="00612ABF" w:rsidP="0084157E">
            <w:pPr>
              <w:autoSpaceDE w:val="0"/>
              <w:autoSpaceDN w:val="0"/>
              <w:adjustRightInd w:val="0"/>
              <w:jc w:val="center"/>
              <w:rPr>
                <w:b/>
                <w:color w:val="000000"/>
                <w:sz w:val="20"/>
                <w:szCs w:val="20"/>
              </w:rPr>
            </w:pPr>
            <w:r w:rsidRPr="0084157E">
              <w:rPr>
                <w:b/>
                <w:color w:val="000000"/>
                <w:sz w:val="20"/>
                <w:szCs w:val="20"/>
              </w:rPr>
              <w:t>Hours per response</w:t>
            </w:r>
          </w:p>
        </w:tc>
        <w:tc>
          <w:tcPr>
            <w:tcW w:w="962" w:type="dxa"/>
            <w:shd w:val="pct25" w:color="auto" w:fill="auto"/>
          </w:tcPr>
          <w:p w:rsidR="00612ABF" w:rsidRPr="0084157E" w:rsidRDefault="00612ABF" w:rsidP="0084157E">
            <w:pPr>
              <w:autoSpaceDE w:val="0"/>
              <w:autoSpaceDN w:val="0"/>
              <w:adjustRightInd w:val="0"/>
              <w:jc w:val="center"/>
              <w:rPr>
                <w:b/>
                <w:color w:val="000000"/>
                <w:sz w:val="20"/>
                <w:szCs w:val="20"/>
              </w:rPr>
            </w:pPr>
            <w:r w:rsidRPr="0084157E">
              <w:rPr>
                <w:b/>
                <w:color w:val="000000"/>
                <w:sz w:val="20"/>
                <w:szCs w:val="20"/>
              </w:rPr>
              <w:t>Annual Burden</w:t>
            </w:r>
          </w:p>
        </w:tc>
        <w:tc>
          <w:tcPr>
            <w:tcW w:w="1309" w:type="dxa"/>
            <w:shd w:val="clear" w:color="auto" w:fill="auto"/>
          </w:tcPr>
          <w:p w:rsidR="00612ABF" w:rsidRPr="0084157E" w:rsidRDefault="00612ABF" w:rsidP="0084157E">
            <w:pPr>
              <w:autoSpaceDE w:val="0"/>
              <w:autoSpaceDN w:val="0"/>
              <w:adjustRightInd w:val="0"/>
              <w:jc w:val="center"/>
              <w:rPr>
                <w:b/>
                <w:color w:val="000000"/>
                <w:sz w:val="20"/>
                <w:szCs w:val="20"/>
              </w:rPr>
            </w:pPr>
            <w:r w:rsidRPr="0084157E">
              <w:rPr>
                <w:b/>
                <w:color w:val="000000"/>
                <w:sz w:val="20"/>
                <w:szCs w:val="20"/>
              </w:rPr>
              <w:t>Rounded Hour Totals</w:t>
            </w:r>
          </w:p>
        </w:tc>
      </w:tr>
      <w:tr w:rsidR="00612ABF" w:rsidRPr="0084157E" w:rsidTr="00612ABF">
        <w:trPr>
          <w:trHeight w:val="458"/>
        </w:trPr>
        <w:tc>
          <w:tcPr>
            <w:tcW w:w="1700" w:type="dxa"/>
          </w:tcPr>
          <w:p w:rsidR="00612ABF" w:rsidRPr="0084157E" w:rsidRDefault="00612ABF" w:rsidP="0084157E">
            <w:pPr>
              <w:autoSpaceDE w:val="0"/>
              <w:autoSpaceDN w:val="0"/>
              <w:adjustRightInd w:val="0"/>
              <w:rPr>
                <w:color w:val="000000"/>
                <w:sz w:val="20"/>
                <w:szCs w:val="20"/>
              </w:rPr>
            </w:pPr>
            <w:r w:rsidRPr="0084157E">
              <w:rPr>
                <w:color w:val="000000"/>
                <w:sz w:val="20"/>
                <w:szCs w:val="20"/>
              </w:rPr>
              <w:t>75 State or National Organizations</w:t>
            </w:r>
          </w:p>
        </w:tc>
        <w:tc>
          <w:tcPr>
            <w:tcW w:w="1122" w:type="dxa"/>
          </w:tcPr>
          <w:p w:rsidR="00612ABF" w:rsidRPr="0084157E" w:rsidRDefault="00612ABF" w:rsidP="0084157E">
            <w:pPr>
              <w:autoSpaceDE w:val="0"/>
              <w:autoSpaceDN w:val="0"/>
              <w:adjustRightInd w:val="0"/>
              <w:jc w:val="center"/>
              <w:rPr>
                <w:color w:val="000000"/>
                <w:sz w:val="20"/>
                <w:szCs w:val="20"/>
              </w:rPr>
            </w:pPr>
            <w:r w:rsidRPr="0084157E">
              <w:rPr>
                <w:color w:val="000000"/>
                <w:sz w:val="20"/>
                <w:szCs w:val="20"/>
              </w:rPr>
              <w:t>75</w:t>
            </w:r>
          </w:p>
        </w:tc>
        <w:tc>
          <w:tcPr>
            <w:tcW w:w="1042" w:type="dxa"/>
          </w:tcPr>
          <w:p w:rsidR="00612ABF" w:rsidRPr="0084157E" w:rsidRDefault="00612ABF" w:rsidP="0084157E">
            <w:pPr>
              <w:autoSpaceDE w:val="0"/>
              <w:autoSpaceDN w:val="0"/>
              <w:adjustRightInd w:val="0"/>
              <w:jc w:val="center"/>
              <w:rPr>
                <w:color w:val="000000"/>
                <w:sz w:val="20"/>
                <w:szCs w:val="20"/>
              </w:rPr>
            </w:pPr>
            <w:r w:rsidRPr="0084157E">
              <w:rPr>
                <w:color w:val="000000"/>
                <w:sz w:val="20"/>
                <w:szCs w:val="20"/>
              </w:rPr>
              <w:t>1.5</w:t>
            </w:r>
          </w:p>
        </w:tc>
        <w:tc>
          <w:tcPr>
            <w:tcW w:w="962" w:type="dxa"/>
          </w:tcPr>
          <w:p w:rsidR="00612ABF" w:rsidRPr="0084157E" w:rsidRDefault="00612ABF" w:rsidP="0084157E">
            <w:pPr>
              <w:autoSpaceDE w:val="0"/>
              <w:autoSpaceDN w:val="0"/>
              <w:adjustRightInd w:val="0"/>
              <w:jc w:val="center"/>
              <w:rPr>
                <w:color w:val="000000"/>
                <w:sz w:val="20"/>
                <w:szCs w:val="20"/>
              </w:rPr>
            </w:pPr>
            <w:r w:rsidRPr="0084157E">
              <w:rPr>
                <w:color w:val="000000"/>
                <w:sz w:val="20"/>
                <w:szCs w:val="20"/>
              </w:rPr>
              <w:t>112.5</w:t>
            </w:r>
          </w:p>
        </w:tc>
        <w:tc>
          <w:tcPr>
            <w:tcW w:w="1309" w:type="dxa"/>
            <w:shd w:val="clear" w:color="auto" w:fill="auto"/>
          </w:tcPr>
          <w:p w:rsidR="00612ABF" w:rsidRPr="0084157E" w:rsidRDefault="00612ABF" w:rsidP="0084157E">
            <w:pPr>
              <w:autoSpaceDE w:val="0"/>
              <w:autoSpaceDN w:val="0"/>
              <w:adjustRightInd w:val="0"/>
              <w:jc w:val="center"/>
              <w:rPr>
                <w:b/>
                <w:color w:val="000000"/>
                <w:sz w:val="20"/>
                <w:szCs w:val="20"/>
              </w:rPr>
            </w:pPr>
            <w:r w:rsidRPr="0084157E">
              <w:rPr>
                <w:b/>
                <w:color w:val="000000"/>
                <w:sz w:val="20"/>
                <w:szCs w:val="20"/>
              </w:rPr>
              <w:t>113</w:t>
            </w:r>
          </w:p>
        </w:tc>
      </w:tr>
      <w:tr w:rsidR="00612ABF" w:rsidRPr="0084157E" w:rsidTr="00612ABF">
        <w:trPr>
          <w:trHeight w:val="229"/>
        </w:trPr>
        <w:tc>
          <w:tcPr>
            <w:tcW w:w="1700" w:type="dxa"/>
          </w:tcPr>
          <w:p w:rsidR="00612ABF" w:rsidRPr="0084157E" w:rsidRDefault="00612ABF" w:rsidP="0084157E">
            <w:pPr>
              <w:autoSpaceDE w:val="0"/>
              <w:autoSpaceDN w:val="0"/>
              <w:adjustRightInd w:val="0"/>
              <w:rPr>
                <w:color w:val="000000"/>
                <w:sz w:val="20"/>
                <w:szCs w:val="20"/>
              </w:rPr>
            </w:pPr>
            <w:r>
              <w:rPr>
                <w:color w:val="000000"/>
                <w:sz w:val="20"/>
                <w:szCs w:val="20"/>
              </w:rPr>
              <w:t>8335</w:t>
            </w:r>
            <w:r w:rsidRPr="0084157E">
              <w:rPr>
                <w:color w:val="000000"/>
                <w:sz w:val="20"/>
                <w:szCs w:val="20"/>
              </w:rPr>
              <w:t xml:space="preserve"> Physicians</w:t>
            </w:r>
          </w:p>
        </w:tc>
        <w:tc>
          <w:tcPr>
            <w:tcW w:w="1122" w:type="dxa"/>
          </w:tcPr>
          <w:p w:rsidR="00612ABF" w:rsidRDefault="00456E43" w:rsidP="0084157E">
            <w:pPr>
              <w:autoSpaceDE w:val="0"/>
              <w:autoSpaceDN w:val="0"/>
              <w:adjustRightInd w:val="0"/>
              <w:jc w:val="center"/>
              <w:rPr>
                <w:color w:val="000000"/>
                <w:sz w:val="20"/>
                <w:szCs w:val="20"/>
              </w:rPr>
            </w:pPr>
            <w:r>
              <w:rPr>
                <w:color w:val="000000"/>
                <w:sz w:val="20"/>
                <w:szCs w:val="20"/>
              </w:rPr>
              <w:t>16670</w:t>
            </w:r>
          </w:p>
          <w:p w:rsidR="00456E43" w:rsidRPr="0084157E" w:rsidRDefault="00456E43" w:rsidP="00456E43">
            <w:pPr>
              <w:autoSpaceDE w:val="0"/>
              <w:autoSpaceDN w:val="0"/>
              <w:adjustRightInd w:val="0"/>
              <w:rPr>
                <w:color w:val="000000"/>
                <w:sz w:val="20"/>
                <w:szCs w:val="20"/>
              </w:rPr>
            </w:pPr>
          </w:p>
        </w:tc>
        <w:tc>
          <w:tcPr>
            <w:tcW w:w="1042" w:type="dxa"/>
          </w:tcPr>
          <w:p w:rsidR="00612ABF" w:rsidRPr="0084157E" w:rsidRDefault="00612ABF" w:rsidP="0084157E">
            <w:pPr>
              <w:autoSpaceDE w:val="0"/>
              <w:autoSpaceDN w:val="0"/>
              <w:adjustRightInd w:val="0"/>
              <w:jc w:val="center"/>
              <w:rPr>
                <w:color w:val="000000"/>
                <w:sz w:val="20"/>
                <w:szCs w:val="20"/>
              </w:rPr>
            </w:pPr>
            <w:r w:rsidRPr="0084157E">
              <w:rPr>
                <w:color w:val="000000"/>
                <w:sz w:val="20"/>
                <w:szCs w:val="20"/>
              </w:rPr>
              <w:t>.25</w:t>
            </w:r>
          </w:p>
        </w:tc>
        <w:tc>
          <w:tcPr>
            <w:tcW w:w="962" w:type="dxa"/>
          </w:tcPr>
          <w:p w:rsidR="00612ABF" w:rsidRPr="0084157E" w:rsidRDefault="00612ABF" w:rsidP="0084157E">
            <w:pPr>
              <w:autoSpaceDE w:val="0"/>
              <w:autoSpaceDN w:val="0"/>
              <w:adjustRightInd w:val="0"/>
              <w:jc w:val="center"/>
              <w:rPr>
                <w:color w:val="000000"/>
                <w:sz w:val="20"/>
                <w:szCs w:val="20"/>
              </w:rPr>
            </w:pPr>
            <w:r>
              <w:rPr>
                <w:color w:val="000000"/>
                <w:sz w:val="20"/>
                <w:szCs w:val="20"/>
              </w:rPr>
              <w:t>4167</w:t>
            </w:r>
            <w:r w:rsidRPr="0084157E">
              <w:rPr>
                <w:color w:val="000000"/>
                <w:sz w:val="20"/>
                <w:szCs w:val="20"/>
              </w:rPr>
              <w:t>.5</w:t>
            </w:r>
          </w:p>
        </w:tc>
        <w:tc>
          <w:tcPr>
            <w:tcW w:w="1309" w:type="dxa"/>
            <w:shd w:val="clear" w:color="auto" w:fill="auto"/>
          </w:tcPr>
          <w:p w:rsidR="00612ABF" w:rsidRPr="0084157E" w:rsidRDefault="00612ABF" w:rsidP="0084157E">
            <w:pPr>
              <w:autoSpaceDE w:val="0"/>
              <w:autoSpaceDN w:val="0"/>
              <w:adjustRightInd w:val="0"/>
              <w:jc w:val="center"/>
              <w:rPr>
                <w:b/>
                <w:color w:val="000000"/>
                <w:sz w:val="20"/>
                <w:szCs w:val="20"/>
              </w:rPr>
            </w:pPr>
            <w:r w:rsidRPr="0084157E">
              <w:rPr>
                <w:b/>
                <w:color w:val="000000"/>
                <w:sz w:val="20"/>
                <w:szCs w:val="20"/>
              </w:rPr>
              <w:t>4,</w:t>
            </w:r>
            <w:r>
              <w:rPr>
                <w:b/>
                <w:color w:val="000000"/>
                <w:sz w:val="20"/>
                <w:szCs w:val="20"/>
              </w:rPr>
              <w:t>168</w:t>
            </w:r>
          </w:p>
        </w:tc>
      </w:tr>
      <w:tr w:rsidR="00612ABF" w:rsidRPr="0084157E" w:rsidTr="00612ABF">
        <w:trPr>
          <w:trHeight w:val="240"/>
        </w:trPr>
        <w:tc>
          <w:tcPr>
            <w:tcW w:w="1700" w:type="dxa"/>
          </w:tcPr>
          <w:p w:rsidR="00612ABF" w:rsidRPr="0084157E" w:rsidRDefault="00612ABF" w:rsidP="0084157E">
            <w:pPr>
              <w:autoSpaceDE w:val="0"/>
              <w:autoSpaceDN w:val="0"/>
              <w:adjustRightInd w:val="0"/>
              <w:rPr>
                <w:color w:val="000000"/>
                <w:sz w:val="20"/>
                <w:szCs w:val="20"/>
              </w:rPr>
            </w:pPr>
            <w:r>
              <w:rPr>
                <w:color w:val="000000"/>
                <w:sz w:val="20"/>
                <w:szCs w:val="20"/>
              </w:rPr>
              <w:t xml:space="preserve">333 </w:t>
            </w:r>
            <w:r w:rsidRPr="0084157E">
              <w:rPr>
                <w:color w:val="000000"/>
                <w:sz w:val="20"/>
                <w:szCs w:val="20"/>
              </w:rPr>
              <w:t>Donors</w:t>
            </w:r>
          </w:p>
        </w:tc>
        <w:tc>
          <w:tcPr>
            <w:tcW w:w="1122" w:type="dxa"/>
          </w:tcPr>
          <w:p w:rsidR="00612ABF" w:rsidRPr="0084157E" w:rsidRDefault="00612ABF" w:rsidP="0084157E">
            <w:pPr>
              <w:autoSpaceDE w:val="0"/>
              <w:autoSpaceDN w:val="0"/>
              <w:adjustRightInd w:val="0"/>
              <w:jc w:val="center"/>
              <w:rPr>
                <w:color w:val="000000"/>
                <w:sz w:val="20"/>
                <w:szCs w:val="20"/>
              </w:rPr>
            </w:pPr>
            <w:r>
              <w:rPr>
                <w:color w:val="000000"/>
                <w:sz w:val="20"/>
                <w:szCs w:val="20"/>
              </w:rPr>
              <w:t>333</w:t>
            </w:r>
          </w:p>
        </w:tc>
        <w:tc>
          <w:tcPr>
            <w:tcW w:w="1042" w:type="dxa"/>
          </w:tcPr>
          <w:p w:rsidR="00612ABF" w:rsidRPr="0084157E" w:rsidRDefault="00612ABF" w:rsidP="0084157E">
            <w:pPr>
              <w:autoSpaceDE w:val="0"/>
              <w:autoSpaceDN w:val="0"/>
              <w:adjustRightInd w:val="0"/>
              <w:jc w:val="center"/>
              <w:rPr>
                <w:color w:val="000000"/>
                <w:sz w:val="20"/>
                <w:szCs w:val="20"/>
              </w:rPr>
            </w:pPr>
            <w:r w:rsidRPr="0084157E">
              <w:rPr>
                <w:color w:val="000000"/>
                <w:sz w:val="20"/>
                <w:szCs w:val="20"/>
              </w:rPr>
              <w:t>2</w:t>
            </w:r>
            <w:r>
              <w:rPr>
                <w:color w:val="000000"/>
                <w:sz w:val="20"/>
                <w:szCs w:val="20"/>
              </w:rPr>
              <w:t>.5</w:t>
            </w:r>
          </w:p>
        </w:tc>
        <w:tc>
          <w:tcPr>
            <w:tcW w:w="962" w:type="dxa"/>
          </w:tcPr>
          <w:p w:rsidR="00612ABF" w:rsidRPr="0084157E" w:rsidRDefault="00612ABF" w:rsidP="0084157E">
            <w:pPr>
              <w:autoSpaceDE w:val="0"/>
              <w:autoSpaceDN w:val="0"/>
              <w:adjustRightInd w:val="0"/>
              <w:jc w:val="center"/>
              <w:rPr>
                <w:color w:val="000000"/>
                <w:sz w:val="20"/>
                <w:szCs w:val="20"/>
              </w:rPr>
            </w:pPr>
            <w:r>
              <w:rPr>
                <w:color w:val="000000"/>
                <w:sz w:val="20"/>
                <w:szCs w:val="20"/>
              </w:rPr>
              <w:t>750</w:t>
            </w:r>
          </w:p>
        </w:tc>
        <w:tc>
          <w:tcPr>
            <w:tcW w:w="1309" w:type="dxa"/>
            <w:shd w:val="clear" w:color="auto" w:fill="auto"/>
          </w:tcPr>
          <w:p w:rsidR="00612ABF" w:rsidRPr="0084157E" w:rsidRDefault="00612ABF" w:rsidP="0084157E">
            <w:pPr>
              <w:autoSpaceDE w:val="0"/>
              <w:autoSpaceDN w:val="0"/>
              <w:adjustRightInd w:val="0"/>
              <w:jc w:val="center"/>
              <w:rPr>
                <w:b/>
                <w:color w:val="000000"/>
                <w:sz w:val="20"/>
                <w:szCs w:val="20"/>
              </w:rPr>
            </w:pPr>
            <w:r>
              <w:rPr>
                <w:b/>
                <w:color w:val="000000"/>
                <w:sz w:val="20"/>
                <w:szCs w:val="20"/>
              </w:rPr>
              <w:t>750</w:t>
            </w:r>
          </w:p>
        </w:tc>
      </w:tr>
      <w:tr w:rsidR="00612ABF" w:rsidRPr="0084157E" w:rsidTr="00612ABF">
        <w:trPr>
          <w:trHeight w:val="240"/>
        </w:trPr>
        <w:tc>
          <w:tcPr>
            <w:tcW w:w="1700" w:type="dxa"/>
            <w:tcBorders>
              <w:bottom w:val="single" w:sz="4" w:space="0" w:color="auto"/>
            </w:tcBorders>
          </w:tcPr>
          <w:p w:rsidR="00612ABF" w:rsidRPr="0084157E" w:rsidRDefault="00612ABF" w:rsidP="0084157E">
            <w:pPr>
              <w:autoSpaceDE w:val="0"/>
              <w:autoSpaceDN w:val="0"/>
              <w:adjustRightInd w:val="0"/>
              <w:rPr>
                <w:color w:val="000000"/>
                <w:sz w:val="20"/>
                <w:szCs w:val="20"/>
              </w:rPr>
            </w:pPr>
            <w:r>
              <w:rPr>
                <w:color w:val="000000"/>
                <w:sz w:val="20"/>
                <w:szCs w:val="20"/>
              </w:rPr>
              <w:t>333</w:t>
            </w:r>
            <w:r w:rsidRPr="0084157E">
              <w:rPr>
                <w:color w:val="000000"/>
                <w:sz w:val="20"/>
                <w:szCs w:val="20"/>
              </w:rPr>
              <w:t xml:space="preserve"> Physician Representatives</w:t>
            </w:r>
            <w:r>
              <w:rPr>
                <w:color w:val="000000"/>
                <w:sz w:val="20"/>
                <w:szCs w:val="20"/>
              </w:rPr>
              <w:t xml:space="preserve"> (8335</w:t>
            </w:r>
            <w:r w:rsidRPr="0084157E">
              <w:rPr>
                <w:color w:val="000000"/>
                <w:sz w:val="20"/>
                <w:szCs w:val="20"/>
              </w:rPr>
              <w:t>/25)</w:t>
            </w:r>
          </w:p>
        </w:tc>
        <w:tc>
          <w:tcPr>
            <w:tcW w:w="1122" w:type="dxa"/>
            <w:tcBorders>
              <w:bottom w:val="single" w:sz="4" w:space="0" w:color="auto"/>
            </w:tcBorders>
          </w:tcPr>
          <w:p w:rsidR="00612ABF" w:rsidRPr="0084157E" w:rsidRDefault="00612ABF" w:rsidP="0084157E">
            <w:pPr>
              <w:autoSpaceDE w:val="0"/>
              <w:autoSpaceDN w:val="0"/>
              <w:adjustRightInd w:val="0"/>
              <w:jc w:val="center"/>
              <w:rPr>
                <w:color w:val="000000"/>
                <w:sz w:val="20"/>
                <w:szCs w:val="20"/>
              </w:rPr>
            </w:pPr>
            <w:r>
              <w:rPr>
                <w:color w:val="000000"/>
                <w:sz w:val="20"/>
                <w:szCs w:val="20"/>
              </w:rPr>
              <w:t>666</w:t>
            </w:r>
          </w:p>
        </w:tc>
        <w:tc>
          <w:tcPr>
            <w:tcW w:w="1042" w:type="dxa"/>
            <w:tcBorders>
              <w:bottom w:val="single" w:sz="4" w:space="0" w:color="auto"/>
            </w:tcBorders>
          </w:tcPr>
          <w:p w:rsidR="00612ABF" w:rsidRPr="0084157E" w:rsidRDefault="00612ABF" w:rsidP="0084157E">
            <w:pPr>
              <w:autoSpaceDE w:val="0"/>
              <w:autoSpaceDN w:val="0"/>
              <w:adjustRightInd w:val="0"/>
              <w:jc w:val="center"/>
              <w:rPr>
                <w:color w:val="000000"/>
                <w:sz w:val="20"/>
                <w:szCs w:val="20"/>
              </w:rPr>
            </w:pPr>
            <w:r w:rsidRPr="0084157E">
              <w:rPr>
                <w:color w:val="000000"/>
                <w:sz w:val="20"/>
                <w:szCs w:val="20"/>
              </w:rPr>
              <w:t>2</w:t>
            </w:r>
          </w:p>
        </w:tc>
        <w:tc>
          <w:tcPr>
            <w:tcW w:w="962" w:type="dxa"/>
            <w:tcBorders>
              <w:bottom w:val="single" w:sz="4" w:space="0" w:color="auto"/>
            </w:tcBorders>
          </w:tcPr>
          <w:p w:rsidR="00612ABF" w:rsidRPr="0084157E" w:rsidRDefault="00612ABF" w:rsidP="0084157E">
            <w:pPr>
              <w:autoSpaceDE w:val="0"/>
              <w:autoSpaceDN w:val="0"/>
              <w:adjustRightInd w:val="0"/>
              <w:jc w:val="center"/>
              <w:rPr>
                <w:color w:val="000000"/>
                <w:sz w:val="20"/>
                <w:szCs w:val="20"/>
              </w:rPr>
            </w:pPr>
            <w:r>
              <w:rPr>
                <w:color w:val="000000"/>
                <w:sz w:val="20"/>
                <w:szCs w:val="20"/>
              </w:rPr>
              <w:t>1,332</w:t>
            </w:r>
          </w:p>
        </w:tc>
        <w:tc>
          <w:tcPr>
            <w:tcW w:w="1309" w:type="dxa"/>
            <w:tcBorders>
              <w:bottom w:val="single" w:sz="4" w:space="0" w:color="auto"/>
            </w:tcBorders>
            <w:shd w:val="clear" w:color="auto" w:fill="auto"/>
          </w:tcPr>
          <w:p w:rsidR="00612ABF" w:rsidRPr="0084157E" w:rsidRDefault="00612ABF" w:rsidP="0084157E">
            <w:pPr>
              <w:autoSpaceDE w:val="0"/>
              <w:autoSpaceDN w:val="0"/>
              <w:adjustRightInd w:val="0"/>
              <w:jc w:val="center"/>
              <w:rPr>
                <w:b/>
                <w:color w:val="000000"/>
                <w:sz w:val="20"/>
                <w:szCs w:val="20"/>
              </w:rPr>
            </w:pPr>
            <w:r w:rsidRPr="0084157E">
              <w:rPr>
                <w:b/>
                <w:color w:val="000000"/>
                <w:sz w:val="20"/>
                <w:szCs w:val="20"/>
              </w:rPr>
              <w:t>1,</w:t>
            </w:r>
            <w:r>
              <w:rPr>
                <w:b/>
                <w:color w:val="000000"/>
                <w:sz w:val="20"/>
                <w:szCs w:val="20"/>
              </w:rPr>
              <w:t>332</w:t>
            </w:r>
          </w:p>
        </w:tc>
      </w:tr>
      <w:tr w:rsidR="00612ABF" w:rsidRPr="0084157E" w:rsidTr="00612ABF">
        <w:trPr>
          <w:trHeight w:val="240"/>
        </w:trPr>
        <w:tc>
          <w:tcPr>
            <w:tcW w:w="1700" w:type="dxa"/>
            <w:shd w:val="clear" w:color="auto" w:fill="auto"/>
          </w:tcPr>
          <w:p w:rsidR="00612ABF" w:rsidRPr="00E122E2" w:rsidRDefault="00612ABF" w:rsidP="0084157E">
            <w:pPr>
              <w:autoSpaceDE w:val="0"/>
              <w:autoSpaceDN w:val="0"/>
              <w:adjustRightInd w:val="0"/>
              <w:rPr>
                <w:b/>
                <w:color w:val="000000"/>
                <w:sz w:val="20"/>
                <w:szCs w:val="20"/>
              </w:rPr>
            </w:pPr>
            <w:r w:rsidRPr="00E122E2">
              <w:rPr>
                <w:b/>
                <w:color w:val="000000"/>
                <w:sz w:val="20"/>
                <w:szCs w:val="20"/>
              </w:rPr>
              <w:t>Totals</w:t>
            </w:r>
          </w:p>
        </w:tc>
        <w:tc>
          <w:tcPr>
            <w:tcW w:w="1122" w:type="dxa"/>
            <w:shd w:val="clear" w:color="auto" w:fill="auto"/>
          </w:tcPr>
          <w:p w:rsidR="00612ABF" w:rsidRPr="00E122E2" w:rsidRDefault="009220AD" w:rsidP="0084157E">
            <w:pPr>
              <w:autoSpaceDE w:val="0"/>
              <w:autoSpaceDN w:val="0"/>
              <w:adjustRightInd w:val="0"/>
              <w:jc w:val="center"/>
              <w:rPr>
                <w:b/>
                <w:color w:val="000000"/>
                <w:sz w:val="20"/>
                <w:szCs w:val="20"/>
              </w:rPr>
            </w:pPr>
            <w:r>
              <w:rPr>
                <w:b/>
                <w:color w:val="000000"/>
                <w:sz w:val="20"/>
                <w:szCs w:val="20"/>
              </w:rPr>
              <w:t>17,744</w:t>
            </w:r>
          </w:p>
        </w:tc>
        <w:tc>
          <w:tcPr>
            <w:tcW w:w="1042" w:type="dxa"/>
            <w:shd w:val="clear" w:color="auto" w:fill="auto"/>
          </w:tcPr>
          <w:p w:rsidR="00612ABF" w:rsidRPr="00E122E2" w:rsidRDefault="00612ABF" w:rsidP="0084157E">
            <w:pPr>
              <w:autoSpaceDE w:val="0"/>
              <w:autoSpaceDN w:val="0"/>
              <w:adjustRightInd w:val="0"/>
              <w:jc w:val="center"/>
              <w:rPr>
                <w:b/>
                <w:color w:val="000000"/>
                <w:sz w:val="20"/>
                <w:szCs w:val="20"/>
              </w:rPr>
            </w:pPr>
          </w:p>
        </w:tc>
        <w:tc>
          <w:tcPr>
            <w:tcW w:w="962" w:type="dxa"/>
            <w:shd w:val="clear" w:color="auto" w:fill="auto"/>
          </w:tcPr>
          <w:p w:rsidR="00612ABF" w:rsidRPr="00E122E2" w:rsidRDefault="00612ABF" w:rsidP="0084157E">
            <w:pPr>
              <w:autoSpaceDE w:val="0"/>
              <w:autoSpaceDN w:val="0"/>
              <w:adjustRightInd w:val="0"/>
              <w:jc w:val="center"/>
              <w:rPr>
                <w:b/>
                <w:color w:val="000000"/>
                <w:sz w:val="20"/>
                <w:szCs w:val="20"/>
              </w:rPr>
            </w:pPr>
          </w:p>
        </w:tc>
        <w:tc>
          <w:tcPr>
            <w:tcW w:w="1309" w:type="dxa"/>
            <w:shd w:val="clear" w:color="auto" w:fill="auto"/>
          </w:tcPr>
          <w:p w:rsidR="00612ABF" w:rsidRPr="0084157E" w:rsidRDefault="00612ABF" w:rsidP="0084157E">
            <w:pPr>
              <w:autoSpaceDE w:val="0"/>
              <w:autoSpaceDN w:val="0"/>
              <w:adjustRightInd w:val="0"/>
              <w:jc w:val="center"/>
              <w:rPr>
                <w:b/>
                <w:color w:val="000000"/>
                <w:sz w:val="20"/>
                <w:szCs w:val="20"/>
              </w:rPr>
            </w:pPr>
            <w:r>
              <w:rPr>
                <w:b/>
                <w:color w:val="000000"/>
                <w:sz w:val="20"/>
                <w:szCs w:val="20"/>
              </w:rPr>
              <w:t>6,363</w:t>
            </w:r>
          </w:p>
        </w:tc>
      </w:tr>
    </w:tbl>
    <w:p w:rsidR="00AE1694" w:rsidRDefault="00AE1694" w:rsidP="00BD0435">
      <w:pPr>
        <w:autoSpaceDE w:val="0"/>
        <w:autoSpaceDN w:val="0"/>
        <w:adjustRightInd w:val="0"/>
        <w:ind w:firstLine="720"/>
        <w:rPr>
          <w:color w:val="000000"/>
        </w:rPr>
      </w:pPr>
    </w:p>
    <w:p w:rsidR="00AE1694" w:rsidRPr="00BD0435" w:rsidRDefault="00AE1694" w:rsidP="00AE1694">
      <w:pPr>
        <w:autoSpaceDE w:val="0"/>
        <w:autoSpaceDN w:val="0"/>
        <w:adjustRightInd w:val="0"/>
      </w:pPr>
      <w:r>
        <w:t>COST BURDEN</w:t>
      </w:r>
    </w:p>
    <w:tbl>
      <w:tblPr>
        <w:tblW w:w="6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122"/>
        <w:gridCol w:w="1042"/>
        <w:gridCol w:w="962"/>
        <w:gridCol w:w="1309"/>
      </w:tblGrid>
      <w:tr w:rsidR="00612ABF" w:rsidRPr="0084157E" w:rsidTr="00CE29AD">
        <w:trPr>
          <w:cantSplit/>
          <w:trHeight w:val="698"/>
          <w:tblHeader/>
        </w:trPr>
        <w:tc>
          <w:tcPr>
            <w:tcW w:w="1700" w:type="dxa"/>
            <w:shd w:val="pct25" w:color="auto" w:fill="auto"/>
          </w:tcPr>
          <w:p w:rsidR="00612ABF" w:rsidRPr="0084157E" w:rsidRDefault="00612ABF" w:rsidP="00AE1694">
            <w:pPr>
              <w:autoSpaceDE w:val="0"/>
              <w:autoSpaceDN w:val="0"/>
              <w:adjustRightInd w:val="0"/>
              <w:jc w:val="center"/>
              <w:rPr>
                <w:b/>
                <w:color w:val="000000"/>
                <w:sz w:val="20"/>
                <w:szCs w:val="20"/>
              </w:rPr>
            </w:pPr>
            <w:r w:rsidRPr="0084157E">
              <w:rPr>
                <w:b/>
                <w:color w:val="000000"/>
                <w:sz w:val="20"/>
                <w:szCs w:val="20"/>
              </w:rPr>
              <w:t>Respondent</w:t>
            </w:r>
          </w:p>
        </w:tc>
        <w:tc>
          <w:tcPr>
            <w:tcW w:w="1122" w:type="dxa"/>
            <w:shd w:val="pct25" w:color="auto" w:fill="auto"/>
          </w:tcPr>
          <w:p w:rsidR="00612ABF" w:rsidRPr="0084157E" w:rsidRDefault="00612ABF" w:rsidP="00AE1694">
            <w:pPr>
              <w:autoSpaceDE w:val="0"/>
              <w:autoSpaceDN w:val="0"/>
              <w:adjustRightInd w:val="0"/>
              <w:jc w:val="center"/>
              <w:rPr>
                <w:b/>
                <w:color w:val="000000"/>
                <w:sz w:val="20"/>
                <w:szCs w:val="20"/>
              </w:rPr>
            </w:pPr>
            <w:r w:rsidRPr="0084157E">
              <w:rPr>
                <w:b/>
                <w:color w:val="000000"/>
                <w:sz w:val="20"/>
                <w:szCs w:val="20"/>
              </w:rPr>
              <w:t>Total Number of Responses</w:t>
            </w:r>
          </w:p>
        </w:tc>
        <w:tc>
          <w:tcPr>
            <w:tcW w:w="1042" w:type="dxa"/>
            <w:shd w:val="pct25" w:color="auto" w:fill="auto"/>
          </w:tcPr>
          <w:p w:rsidR="00612ABF" w:rsidRPr="0084157E" w:rsidRDefault="00612ABF" w:rsidP="00AE1694">
            <w:pPr>
              <w:autoSpaceDE w:val="0"/>
              <w:autoSpaceDN w:val="0"/>
              <w:adjustRightInd w:val="0"/>
              <w:jc w:val="center"/>
              <w:rPr>
                <w:b/>
                <w:color w:val="000000"/>
                <w:sz w:val="20"/>
                <w:szCs w:val="20"/>
              </w:rPr>
            </w:pPr>
            <w:r>
              <w:rPr>
                <w:b/>
                <w:color w:val="000000"/>
                <w:sz w:val="20"/>
                <w:szCs w:val="20"/>
              </w:rPr>
              <w:t>Cost</w:t>
            </w:r>
            <w:r w:rsidRPr="0084157E">
              <w:rPr>
                <w:b/>
                <w:color w:val="000000"/>
                <w:sz w:val="20"/>
                <w:szCs w:val="20"/>
              </w:rPr>
              <w:t xml:space="preserve"> per response</w:t>
            </w:r>
          </w:p>
        </w:tc>
        <w:tc>
          <w:tcPr>
            <w:tcW w:w="962" w:type="dxa"/>
            <w:shd w:val="pct25" w:color="auto" w:fill="auto"/>
          </w:tcPr>
          <w:p w:rsidR="00612ABF" w:rsidRPr="0084157E" w:rsidRDefault="00612ABF" w:rsidP="00AE1694">
            <w:pPr>
              <w:autoSpaceDE w:val="0"/>
              <w:autoSpaceDN w:val="0"/>
              <w:adjustRightInd w:val="0"/>
              <w:jc w:val="center"/>
              <w:rPr>
                <w:b/>
                <w:color w:val="000000"/>
                <w:sz w:val="20"/>
                <w:szCs w:val="20"/>
              </w:rPr>
            </w:pPr>
            <w:r w:rsidRPr="0084157E">
              <w:rPr>
                <w:b/>
                <w:color w:val="000000"/>
                <w:sz w:val="20"/>
                <w:szCs w:val="20"/>
              </w:rPr>
              <w:t>Annual Burden</w:t>
            </w:r>
          </w:p>
        </w:tc>
        <w:tc>
          <w:tcPr>
            <w:tcW w:w="1309" w:type="dxa"/>
            <w:shd w:val="clear" w:color="auto" w:fill="auto"/>
          </w:tcPr>
          <w:p w:rsidR="00612ABF" w:rsidRPr="0084157E" w:rsidRDefault="00612ABF" w:rsidP="00AE1694">
            <w:pPr>
              <w:autoSpaceDE w:val="0"/>
              <w:autoSpaceDN w:val="0"/>
              <w:adjustRightInd w:val="0"/>
              <w:jc w:val="center"/>
              <w:rPr>
                <w:b/>
                <w:color w:val="000000"/>
                <w:sz w:val="20"/>
                <w:szCs w:val="20"/>
              </w:rPr>
            </w:pPr>
            <w:r>
              <w:rPr>
                <w:b/>
                <w:color w:val="000000"/>
                <w:sz w:val="20"/>
                <w:szCs w:val="20"/>
              </w:rPr>
              <w:t>Rounded Cost</w:t>
            </w:r>
            <w:r w:rsidRPr="0084157E">
              <w:rPr>
                <w:b/>
                <w:color w:val="000000"/>
                <w:sz w:val="20"/>
                <w:szCs w:val="20"/>
              </w:rPr>
              <w:t xml:space="preserve"> Totals</w:t>
            </w:r>
          </w:p>
        </w:tc>
      </w:tr>
      <w:tr w:rsidR="00612ABF" w:rsidRPr="0084157E" w:rsidTr="00612ABF">
        <w:trPr>
          <w:trHeight w:val="458"/>
        </w:trPr>
        <w:tc>
          <w:tcPr>
            <w:tcW w:w="1700" w:type="dxa"/>
          </w:tcPr>
          <w:p w:rsidR="00612ABF" w:rsidRPr="0084157E" w:rsidRDefault="00612ABF" w:rsidP="00AE1694">
            <w:pPr>
              <w:autoSpaceDE w:val="0"/>
              <w:autoSpaceDN w:val="0"/>
              <w:adjustRightInd w:val="0"/>
              <w:rPr>
                <w:color w:val="000000"/>
                <w:sz w:val="20"/>
                <w:szCs w:val="20"/>
              </w:rPr>
            </w:pPr>
            <w:r w:rsidRPr="0084157E">
              <w:rPr>
                <w:color w:val="000000"/>
                <w:sz w:val="20"/>
                <w:szCs w:val="20"/>
              </w:rPr>
              <w:t>75 State or National Organizations</w:t>
            </w:r>
          </w:p>
        </w:tc>
        <w:tc>
          <w:tcPr>
            <w:tcW w:w="1122" w:type="dxa"/>
          </w:tcPr>
          <w:p w:rsidR="00612ABF" w:rsidRPr="0084157E" w:rsidRDefault="00612ABF" w:rsidP="00AE1694">
            <w:pPr>
              <w:autoSpaceDE w:val="0"/>
              <w:autoSpaceDN w:val="0"/>
              <w:adjustRightInd w:val="0"/>
              <w:jc w:val="center"/>
              <w:rPr>
                <w:color w:val="000000"/>
                <w:sz w:val="20"/>
                <w:szCs w:val="20"/>
              </w:rPr>
            </w:pPr>
            <w:r w:rsidRPr="0084157E">
              <w:rPr>
                <w:color w:val="000000"/>
                <w:sz w:val="20"/>
                <w:szCs w:val="20"/>
              </w:rPr>
              <w:t>75</w:t>
            </w:r>
          </w:p>
        </w:tc>
        <w:tc>
          <w:tcPr>
            <w:tcW w:w="1042" w:type="dxa"/>
          </w:tcPr>
          <w:p w:rsidR="00612ABF" w:rsidRPr="0084157E" w:rsidRDefault="00612ABF" w:rsidP="00AE1694">
            <w:pPr>
              <w:autoSpaceDE w:val="0"/>
              <w:autoSpaceDN w:val="0"/>
              <w:adjustRightInd w:val="0"/>
              <w:jc w:val="center"/>
              <w:rPr>
                <w:color w:val="000000"/>
                <w:sz w:val="20"/>
                <w:szCs w:val="20"/>
              </w:rPr>
            </w:pPr>
            <w:r w:rsidRPr="002F4E9C">
              <w:rPr>
                <w:color w:val="000000"/>
                <w:sz w:val="20"/>
                <w:szCs w:val="20"/>
              </w:rPr>
              <w:t>81.67</w:t>
            </w:r>
          </w:p>
        </w:tc>
        <w:tc>
          <w:tcPr>
            <w:tcW w:w="962" w:type="dxa"/>
          </w:tcPr>
          <w:p w:rsidR="00612ABF" w:rsidRPr="0084157E" w:rsidRDefault="00612ABF" w:rsidP="00AE1694">
            <w:pPr>
              <w:autoSpaceDE w:val="0"/>
              <w:autoSpaceDN w:val="0"/>
              <w:adjustRightInd w:val="0"/>
              <w:jc w:val="center"/>
              <w:rPr>
                <w:color w:val="000000"/>
                <w:sz w:val="20"/>
                <w:szCs w:val="20"/>
              </w:rPr>
            </w:pPr>
            <w:r w:rsidRPr="002F4E9C">
              <w:rPr>
                <w:color w:val="000000"/>
                <w:sz w:val="20"/>
                <w:szCs w:val="20"/>
              </w:rPr>
              <w:t>8,475.00</w:t>
            </w:r>
          </w:p>
        </w:tc>
        <w:tc>
          <w:tcPr>
            <w:tcW w:w="1309" w:type="dxa"/>
            <w:shd w:val="clear" w:color="auto" w:fill="auto"/>
          </w:tcPr>
          <w:p w:rsidR="00612ABF" w:rsidRPr="0084157E" w:rsidRDefault="00612ABF" w:rsidP="00AE1694">
            <w:pPr>
              <w:autoSpaceDE w:val="0"/>
              <w:autoSpaceDN w:val="0"/>
              <w:adjustRightInd w:val="0"/>
              <w:jc w:val="center"/>
              <w:rPr>
                <w:b/>
                <w:color w:val="000000"/>
                <w:sz w:val="20"/>
                <w:szCs w:val="20"/>
              </w:rPr>
            </w:pPr>
            <w:r w:rsidRPr="002F4E9C">
              <w:rPr>
                <w:b/>
                <w:color w:val="000000"/>
                <w:sz w:val="20"/>
                <w:szCs w:val="20"/>
              </w:rPr>
              <w:t>8,475.00</w:t>
            </w:r>
          </w:p>
        </w:tc>
      </w:tr>
      <w:tr w:rsidR="00612ABF" w:rsidRPr="0084157E" w:rsidTr="00612ABF">
        <w:trPr>
          <w:trHeight w:val="229"/>
        </w:trPr>
        <w:tc>
          <w:tcPr>
            <w:tcW w:w="1700" w:type="dxa"/>
          </w:tcPr>
          <w:p w:rsidR="00612ABF" w:rsidRPr="0084157E" w:rsidRDefault="00612ABF" w:rsidP="00AE1694">
            <w:pPr>
              <w:autoSpaceDE w:val="0"/>
              <w:autoSpaceDN w:val="0"/>
              <w:adjustRightInd w:val="0"/>
              <w:rPr>
                <w:color w:val="000000"/>
                <w:sz w:val="20"/>
                <w:szCs w:val="20"/>
              </w:rPr>
            </w:pPr>
            <w:r>
              <w:rPr>
                <w:color w:val="000000"/>
                <w:sz w:val="20"/>
                <w:szCs w:val="20"/>
              </w:rPr>
              <w:t>8335</w:t>
            </w:r>
            <w:r w:rsidRPr="0084157E">
              <w:rPr>
                <w:color w:val="000000"/>
                <w:sz w:val="20"/>
                <w:szCs w:val="20"/>
              </w:rPr>
              <w:t xml:space="preserve"> Physicians</w:t>
            </w:r>
          </w:p>
        </w:tc>
        <w:tc>
          <w:tcPr>
            <w:tcW w:w="1122" w:type="dxa"/>
          </w:tcPr>
          <w:p w:rsidR="00612ABF" w:rsidRPr="0084157E" w:rsidRDefault="00612ABF" w:rsidP="00AE1694">
            <w:pPr>
              <w:autoSpaceDE w:val="0"/>
              <w:autoSpaceDN w:val="0"/>
              <w:adjustRightInd w:val="0"/>
              <w:jc w:val="center"/>
              <w:rPr>
                <w:color w:val="000000"/>
                <w:sz w:val="20"/>
                <w:szCs w:val="20"/>
              </w:rPr>
            </w:pPr>
            <w:r w:rsidRPr="002F4E9C">
              <w:rPr>
                <w:color w:val="000000"/>
                <w:sz w:val="20"/>
                <w:szCs w:val="20"/>
              </w:rPr>
              <w:t>8335</w:t>
            </w:r>
          </w:p>
        </w:tc>
        <w:tc>
          <w:tcPr>
            <w:tcW w:w="1042" w:type="dxa"/>
          </w:tcPr>
          <w:p w:rsidR="00612ABF" w:rsidRPr="0084157E" w:rsidRDefault="00612ABF" w:rsidP="00AE1694">
            <w:pPr>
              <w:autoSpaceDE w:val="0"/>
              <w:autoSpaceDN w:val="0"/>
              <w:adjustRightInd w:val="0"/>
              <w:jc w:val="center"/>
              <w:rPr>
                <w:color w:val="000000"/>
                <w:sz w:val="20"/>
                <w:szCs w:val="20"/>
              </w:rPr>
            </w:pPr>
            <w:r w:rsidRPr="0084157E">
              <w:rPr>
                <w:color w:val="000000"/>
                <w:sz w:val="20"/>
                <w:szCs w:val="20"/>
              </w:rPr>
              <w:t>.25</w:t>
            </w:r>
          </w:p>
        </w:tc>
        <w:tc>
          <w:tcPr>
            <w:tcW w:w="962" w:type="dxa"/>
          </w:tcPr>
          <w:p w:rsidR="00612ABF" w:rsidRPr="0084157E" w:rsidRDefault="00612ABF" w:rsidP="00AE1694">
            <w:pPr>
              <w:autoSpaceDE w:val="0"/>
              <w:autoSpaceDN w:val="0"/>
              <w:adjustRightInd w:val="0"/>
              <w:jc w:val="center"/>
              <w:rPr>
                <w:color w:val="000000"/>
                <w:sz w:val="20"/>
                <w:szCs w:val="20"/>
              </w:rPr>
            </w:pPr>
            <w:r w:rsidRPr="002F4E9C">
              <w:rPr>
                <w:color w:val="000000"/>
                <w:sz w:val="20"/>
                <w:szCs w:val="20"/>
              </w:rPr>
              <w:t>90,382</w:t>
            </w:r>
          </w:p>
        </w:tc>
        <w:tc>
          <w:tcPr>
            <w:tcW w:w="1309" w:type="dxa"/>
            <w:shd w:val="clear" w:color="auto" w:fill="auto"/>
          </w:tcPr>
          <w:p w:rsidR="00612ABF" w:rsidRPr="0084157E" w:rsidRDefault="00612ABF" w:rsidP="00AE1694">
            <w:pPr>
              <w:autoSpaceDE w:val="0"/>
              <w:autoSpaceDN w:val="0"/>
              <w:adjustRightInd w:val="0"/>
              <w:jc w:val="center"/>
              <w:rPr>
                <w:b/>
                <w:color w:val="000000"/>
                <w:sz w:val="20"/>
                <w:szCs w:val="20"/>
              </w:rPr>
            </w:pPr>
            <w:r w:rsidRPr="002F4E9C">
              <w:rPr>
                <w:b/>
                <w:color w:val="000000"/>
                <w:sz w:val="20"/>
                <w:szCs w:val="20"/>
              </w:rPr>
              <w:t>90,382</w:t>
            </w:r>
          </w:p>
        </w:tc>
      </w:tr>
      <w:tr w:rsidR="00612ABF" w:rsidRPr="0084157E" w:rsidTr="00612ABF">
        <w:trPr>
          <w:trHeight w:val="240"/>
        </w:trPr>
        <w:tc>
          <w:tcPr>
            <w:tcW w:w="1700" w:type="dxa"/>
          </w:tcPr>
          <w:p w:rsidR="00612ABF" w:rsidRPr="0084157E" w:rsidRDefault="00612ABF" w:rsidP="00AE1694">
            <w:pPr>
              <w:autoSpaceDE w:val="0"/>
              <w:autoSpaceDN w:val="0"/>
              <w:adjustRightInd w:val="0"/>
              <w:rPr>
                <w:color w:val="000000"/>
                <w:sz w:val="20"/>
                <w:szCs w:val="20"/>
              </w:rPr>
            </w:pPr>
            <w:r>
              <w:rPr>
                <w:color w:val="000000"/>
                <w:sz w:val="20"/>
                <w:szCs w:val="20"/>
              </w:rPr>
              <w:t xml:space="preserve">333 </w:t>
            </w:r>
            <w:r w:rsidRPr="0084157E">
              <w:rPr>
                <w:color w:val="000000"/>
                <w:sz w:val="20"/>
                <w:szCs w:val="20"/>
              </w:rPr>
              <w:t>Donors</w:t>
            </w:r>
          </w:p>
        </w:tc>
        <w:tc>
          <w:tcPr>
            <w:tcW w:w="1122" w:type="dxa"/>
          </w:tcPr>
          <w:p w:rsidR="00612ABF" w:rsidRPr="0084157E" w:rsidRDefault="00612ABF" w:rsidP="00AE1694">
            <w:pPr>
              <w:autoSpaceDE w:val="0"/>
              <w:autoSpaceDN w:val="0"/>
              <w:adjustRightInd w:val="0"/>
              <w:jc w:val="center"/>
              <w:rPr>
                <w:color w:val="000000"/>
                <w:sz w:val="20"/>
                <w:szCs w:val="20"/>
              </w:rPr>
            </w:pPr>
            <w:r>
              <w:rPr>
                <w:color w:val="000000"/>
                <w:sz w:val="20"/>
                <w:szCs w:val="20"/>
              </w:rPr>
              <w:t>333</w:t>
            </w:r>
          </w:p>
        </w:tc>
        <w:tc>
          <w:tcPr>
            <w:tcW w:w="1042" w:type="dxa"/>
          </w:tcPr>
          <w:p w:rsidR="00612ABF" w:rsidRPr="0084157E" w:rsidRDefault="00612ABF" w:rsidP="00AE1694">
            <w:pPr>
              <w:autoSpaceDE w:val="0"/>
              <w:autoSpaceDN w:val="0"/>
              <w:adjustRightInd w:val="0"/>
              <w:jc w:val="center"/>
              <w:rPr>
                <w:color w:val="000000"/>
                <w:sz w:val="20"/>
                <w:szCs w:val="20"/>
              </w:rPr>
            </w:pPr>
            <w:r w:rsidRPr="0084157E">
              <w:rPr>
                <w:color w:val="000000"/>
                <w:sz w:val="20"/>
                <w:szCs w:val="20"/>
              </w:rPr>
              <w:t>2</w:t>
            </w:r>
            <w:r>
              <w:rPr>
                <w:color w:val="000000"/>
                <w:sz w:val="20"/>
                <w:szCs w:val="20"/>
              </w:rPr>
              <w:t>.5</w:t>
            </w:r>
          </w:p>
        </w:tc>
        <w:tc>
          <w:tcPr>
            <w:tcW w:w="962" w:type="dxa"/>
          </w:tcPr>
          <w:p w:rsidR="00612ABF" w:rsidRPr="0084157E" w:rsidRDefault="00612ABF" w:rsidP="00AE1694">
            <w:pPr>
              <w:autoSpaceDE w:val="0"/>
              <w:autoSpaceDN w:val="0"/>
              <w:adjustRightInd w:val="0"/>
              <w:jc w:val="center"/>
              <w:rPr>
                <w:color w:val="000000"/>
                <w:sz w:val="20"/>
                <w:szCs w:val="20"/>
              </w:rPr>
            </w:pPr>
            <w:r>
              <w:rPr>
                <w:color w:val="000000"/>
                <w:sz w:val="20"/>
                <w:szCs w:val="20"/>
              </w:rPr>
              <w:t>103538</w:t>
            </w:r>
          </w:p>
        </w:tc>
        <w:tc>
          <w:tcPr>
            <w:tcW w:w="1309" w:type="dxa"/>
            <w:shd w:val="clear" w:color="auto" w:fill="auto"/>
          </w:tcPr>
          <w:p w:rsidR="00612ABF" w:rsidRPr="0084157E" w:rsidRDefault="00612ABF" w:rsidP="00AE1694">
            <w:pPr>
              <w:autoSpaceDE w:val="0"/>
              <w:autoSpaceDN w:val="0"/>
              <w:adjustRightInd w:val="0"/>
              <w:jc w:val="center"/>
              <w:rPr>
                <w:b/>
                <w:color w:val="000000"/>
                <w:sz w:val="20"/>
                <w:szCs w:val="20"/>
              </w:rPr>
            </w:pPr>
            <w:r>
              <w:rPr>
                <w:b/>
                <w:color w:val="000000"/>
                <w:sz w:val="20"/>
                <w:szCs w:val="20"/>
              </w:rPr>
              <w:t>103,538</w:t>
            </w:r>
          </w:p>
        </w:tc>
      </w:tr>
      <w:tr w:rsidR="00612ABF" w:rsidRPr="0084157E" w:rsidTr="00612ABF">
        <w:trPr>
          <w:trHeight w:val="240"/>
        </w:trPr>
        <w:tc>
          <w:tcPr>
            <w:tcW w:w="1700" w:type="dxa"/>
            <w:tcBorders>
              <w:bottom w:val="single" w:sz="4" w:space="0" w:color="auto"/>
            </w:tcBorders>
          </w:tcPr>
          <w:p w:rsidR="00612ABF" w:rsidRPr="0084157E" w:rsidRDefault="00612ABF" w:rsidP="00AE1694">
            <w:pPr>
              <w:autoSpaceDE w:val="0"/>
              <w:autoSpaceDN w:val="0"/>
              <w:adjustRightInd w:val="0"/>
              <w:rPr>
                <w:color w:val="000000"/>
                <w:sz w:val="20"/>
                <w:szCs w:val="20"/>
              </w:rPr>
            </w:pPr>
            <w:r>
              <w:rPr>
                <w:color w:val="000000"/>
                <w:sz w:val="20"/>
                <w:szCs w:val="20"/>
              </w:rPr>
              <w:t>333</w:t>
            </w:r>
            <w:r w:rsidRPr="0084157E">
              <w:rPr>
                <w:color w:val="000000"/>
                <w:sz w:val="20"/>
                <w:szCs w:val="20"/>
              </w:rPr>
              <w:t xml:space="preserve"> Physician Representatives</w:t>
            </w:r>
            <w:r>
              <w:rPr>
                <w:color w:val="000000"/>
                <w:sz w:val="20"/>
                <w:szCs w:val="20"/>
              </w:rPr>
              <w:t xml:space="preserve"> (8335</w:t>
            </w:r>
            <w:r w:rsidRPr="0084157E">
              <w:rPr>
                <w:color w:val="000000"/>
                <w:sz w:val="20"/>
                <w:szCs w:val="20"/>
              </w:rPr>
              <w:t>/25)</w:t>
            </w:r>
          </w:p>
        </w:tc>
        <w:tc>
          <w:tcPr>
            <w:tcW w:w="1122" w:type="dxa"/>
            <w:tcBorders>
              <w:bottom w:val="single" w:sz="4" w:space="0" w:color="auto"/>
            </w:tcBorders>
          </w:tcPr>
          <w:p w:rsidR="00612ABF" w:rsidRPr="0084157E" w:rsidRDefault="00612ABF" w:rsidP="00AE1694">
            <w:pPr>
              <w:autoSpaceDE w:val="0"/>
              <w:autoSpaceDN w:val="0"/>
              <w:adjustRightInd w:val="0"/>
              <w:jc w:val="center"/>
              <w:rPr>
                <w:color w:val="000000"/>
                <w:sz w:val="20"/>
                <w:szCs w:val="20"/>
              </w:rPr>
            </w:pPr>
            <w:r>
              <w:rPr>
                <w:color w:val="000000"/>
                <w:sz w:val="20"/>
                <w:szCs w:val="20"/>
              </w:rPr>
              <w:t>666</w:t>
            </w:r>
          </w:p>
        </w:tc>
        <w:tc>
          <w:tcPr>
            <w:tcW w:w="1042" w:type="dxa"/>
            <w:tcBorders>
              <w:bottom w:val="single" w:sz="4" w:space="0" w:color="auto"/>
            </w:tcBorders>
          </w:tcPr>
          <w:p w:rsidR="00612ABF" w:rsidRPr="0084157E" w:rsidRDefault="00612ABF" w:rsidP="00AE1694">
            <w:pPr>
              <w:autoSpaceDE w:val="0"/>
              <w:autoSpaceDN w:val="0"/>
              <w:adjustRightInd w:val="0"/>
              <w:jc w:val="center"/>
              <w:rPr>
                <w:color w:val="000000"/>
                <w:sz w:val="20"/>
                <w:szCs w:val="20"/>
              </w:rPr>
            </w:pPr>
            <w:r w:rsidRPr="0084157E">
              <w:rPr>
                <w:color w:val="000000"/>
                <w:sz w:val="20"/>
                <w:szCs w:val="20"/>
              </w:rPr>
              <w:t>2</w:t>
            </w:r>
          </w:p>
        </w:tc>
        <w:tc>
          <w:tcPr>
            <w:tcW w:w="962" w:type="dxa"/>
            <w:tcBorders>
              <w:bottom w:val="single" w:sz="4" w:space="0" w:color="auto"/>
            </w:tcBorders>
          </w:tcPr>
          <w:p w:rsidR="00612ABF" w:rsidRPr="0084157E" w:rsidRDefault="00612ABF" w:rsidP="00AE1694">
            <w:pPr>
              <w:autoSpaceDE w:val="0"/>
              <w:autoSpaceDN w:val="0"/>
              <w:adjustRightInd w:val="0"/>
              <w:jc w:val="center"/>
              <w:rPr>
                <w:color w:val="000000"/>
                <w:sz w:val="20"/>
                <w:szCs w:val="20"/>
              </w:rPr>
            </w:pPr>
            <w:r>
              <w:rPr>
                <w:color w:val="000000"/>
                <w:sz w:val="20"/>
                <w:szCs w:val="20"/>
              </w:rPr>
              <w:t>35,591</w:t>
            </w:r>
          </w:p>
        </w:tc>
        <w:tc>
          <w:tcPr>
            <w:tcW w:w="1309" w:type="dxa"/>
            <w:tcBorders>
              <w:bottom w:val="single" w:sz="4" w:space="0" w:color="auto"/>
            </w:tcBorders>
            <w:shd w:val="clear" w:color="auto" w:fill="auto"/>
          </w:tcPr>
          <w:p w:rsidR="00612ABF" w:rsidRPr="0084157E" w:rsidRDefault="00612ABF" w:rsidP="00AE1694">
            <w:pPr>
              <w:autoSpaceDE w:val="0"/>
              <w:autoSpaceDN w:val="0"/>
              <w:adjustRightInd w:val="0"/>
              <w:jc w:val="center"/>
              <w:rPr>
                <w:b/>
                <w:color w:val="000000"/>
                <w:sz w:val="20"/>
                <w:szCs w:val="20"/>
              </w:rPr>
            </w:pPr>
            <w:r>
              <w:rPr>
                <w:b/>
                <w:color w:val="000000"/>
                <w:sz w:val="20"/>
                <w:szCs w:val="20"/>
              </w:rPr>
              <w:t>35,591</w:t>
            </w:r>
          </w:p>
        </w:tc>
      </w:tr>
      <w:tr w:rsidR="00612ABF" w:rsidRPr="0084157E" w:rsidTr="00612ABF">
        <w:trPr>
          <w:trHeight w:val="240"/>
        </w:trPr>
        <w:tc>
          <w:tcPr>
            <w:tcW w:w="1700" w:type="dxa"/>
            <w:shd w:val="clear" w:color="auto" w:fill="auto"/>
          </w:tcPr>
          <w:p w:rsidR="00612ABF" w:rsidRPr="00E122E2" w:rsidRDefault="00612ABF" w:rsidP="00AE1694">
            <w:pPr>
              <w:autoSpaceDE w:val="0"/>
              <w:autoSpaceDN w:val="0"/>
              <w:adjustRightInd w:val="0"/>
              <w:rPr>
                <w:b/>
                <w:color w:val="000000"/>
                <w:sz w:val="20"/>
                <w:szCs w:val="20"/>
              </w:rPr>
            </w:pPr>
            <w:r w:rsidRPr="00E122E2">
              <w:rPr>
                <w:b/>
                <w:color w:val="000000"/>
                <w:sz w:val="20"/>
                <w:szCs w:val="20"/>
              </w:rPr>
              <w:t>Totals</w:t>
            </w:r>
          </w:p>
        </w:tc>
        <w:tc>
          <w:tcPr>
            <w:tcW w:w="1122" w:type="dxa"/>
            <w:shd w:val="clear" w:color="auto" w:fill="auto"/>
          </w:tcPr>
          <w:p w:rsidR="00612ABF" w:rsidRPr="00E122E2" w:rsidRDefault="00612ABF" w:rsidP="00AE1694">
            <w:pPr>
              <w:autoSpaceDE w:val="0"/>
              <w:autoSpaceDN w:val="0"/>
              <w:adjustRightInd w:val="0"/>
              <w:jc w:val="center"/>
              <w:rPr>
                <w:b/>
                <w:color w:val="000000"/>
                <w:sz w:val="20"/>
                <w:szCs w:val="20"/>
              </w:rPr>
            </w:pPr>
            <w:r>
              <w:rPr>
                <w:b/>
                <w:color w:val="000000"/>
                <w:sz w:val="20"/>
                <w:szCs w:val="20"/>
              </w:rPr>
              <w:t>9,409</w:t>
            </w:r>
          </w:p>
        </w:tc>
        <w:tc>
          <w:tcPr>
            <w:tcW w:w="1042" w:type="dxa"/>
            <w:shd w:val="clear" w:color="auto" w:fill="auto"/>
          </w:tcPr>
          <w:p w:rsidR="00612ABF" w:rsidRPr="00E122E2" w:rsidRDefault="00612ABF" w:rsidP="00AE1694">
            <w:pPr>
              <w:autoSpaceDE w:val="0"/>
              <w:autoSpaceDN w:val="0"/>
              <w:adjustRightInd w:val="0"/>
              <w:jc w:val="center"/>
              <w:rPr>
                <w:b/>
                <w:color w:val="000000"/>
                <w:sz w:val="20"/>
                <w:szCs w:val="20"/>
              </w:rPr>
            </w:pPr>
          </w:p>
        </w:tc>
        <w:tc>
          <w:tcPr>
            <w:tcW w:w="962" w:type="dxa"/>
            <w:shd w:val="clear" w:color="auto" w:fill="auto"/>
          </w:tcPr>
          <w:p w:rsidR="00612ABF" w:rsidRPr="00E122E2" w:rsidRDefault="00612ABF" w:rsidP="00AE1694">
            <w:pPr>
              <w:autoSpaceDE w:val="0"/>
              <w:autoSpaceDN w:val="0"/>
              <w:adjustRightInd w:val="0"/>
              <w:jc w:val="center"/>
              <w:rPr>
                <w:b/>
                <w:color w:val="000000"/>
                <w:sz w:val="20"/>
                <w:szCs w:val="20"/>
              </w:rPr>
            </w:pPr>
          </w:p>
        </w:tc>
        <w:tc>
          <w:tcPr>
            <w:tcW w:w="1309" w:type="dxa"/>
            <w:shd w:val="clear" w:color="auto" w:fill="auto"/>
          </w:tcPr>
          <w:p w:rsidR="00612ABF" w:rsidRPr="0084157E" w:rsidRDefault="00612ABF" w:rsidP="00AE1694">
            <w:pPr>
              <w:autoSpaceDE w:val="0"/>
              <w:autoSpaceDN w:val="0"/>
              <w:adjustRightInd w:val="0"/>
              <w:jc w:val="center"/>
              <w:rPr>
                <w:b/>
                <w:color w:val="000000"/>
                <w:sz w:val="20"/>
                <w:szCs w:val="20"/>
              </w:rPr>
            </w:pPr>
            <w:r>
              <w:rPr>
                <w:b/>
                <w:color w:val="000000"/>
                <w:sz w:val="20"/>
                <w:szCs w:val="20"/>
              </w:rPr>
              <w:t>237,986</w:t>
            </w:r>
          </w:p>
        </w:tc>
      </w:tr>
    </w:tbl>
    <w:p w:rsidR="002E4EE1" w:rsidRPr="00A6314F" w:rsidRDefault="002E4EE1" w:rsidP="00BD0435">
      <w:pPr>
        <w:autoSpaceDE w:val="0"/>
        <w:autoSpaceDN w:val="0"/>
        <w:adjustRightInd w:val="0"/>
      </w:pPr>
    </w:p>
    <w:p w:rsidR="009E5168" w:rsidRDefault="00924610" w:rsidP="00BA4C26">
      <w:r>
        <w:t xml:space="preserve">13.  </w:t>
      </w:r>
      <w:r w:rsidR="009E5168">
        <w:t>Capital Costs</w:t>
      </w:r>
    </w:p>
    <w:p w:rsidR="009E5168" w:rsidRDefault="009E5168" w:rsidP="00BA4C26"/>
    <w:p w:rsidR="009E5168" w:rsidRDefault="009E5168" w:rsidP="00BA4C26">
      <w:r>
        <w:t xml:space="preserve">There </w:t>
      </w:r>
      <w:proofErr w:type="gramStart"/>
      <w:r>
        <w:t>are</w:t>
      </w:r>
      <w:proofErr w:type="gramEnd"/>
      <w:r>
        <w:t xml:space="preserve"> no capital costs required for this data collection.</w:t>
      </w:r>
    </w:p>
    <w:p w:rsidR="009E5168" w:rsidRDefault="009E5168" w:rsidP="000B6334"/>
    <w:p w:rsidR="009E5168" w:rsidRDefault="007E2E30" w:rsidP="007E2E30">
      <w:r>
        <w:t xml:space="preserve">14.  </w:t>
      </w:r>
      <w:r w:rsidR="009E5168">
        <w:t>Cost to the Federal Government</w:t>
      </w:r>
    </w:p>
    <w:p w:rsidR="009E5168" w:rsidRDefault="009E5168" w:rsidP="000B6334"/>
    <w:p w:rsidR="009E5168" w:rsidRDefault="009E5168" w:rsidP="000B6334">
      <w:r>
        <w:t>There are no additional costs to the Federal government.</w:t>
      </w:r>
    </w:p>
    <w:p w:rsidR="009E5168" w:rsidRDefault="009E5168" w:rsidP="000B6334"/>
    <w:p w:rsidR="009E5168" w:rsidRPr="00047041" w:rsidRDefault="00C31D56" w:rsidP="00C31D56">
      <w:r w:rsidRPr="00047041">
        <w:t xml:space="preserve">15.  </w:t>
      </w:r>
      <w:r w:rsidR="009E5168" w:rsidRPr="00047041">
        <w:t>Program/Burden Changes</w:t>
      </w:r>
    </w:p>
    <w:p w:rsidR="009E5168" w:rsidRPr="00047041" w:rsidRDefault="009E5168" w:rsidP="000B6334"/>
    <w:p w:rsidR="009E5168" w:rsidRDefault="00E6660E" w:rsidP="000B6334">
      <w:r w:rsidRPr="00047041">
        <w:t xml:space="preserve">The </w:t>
      </w:r>
      <w:r w:rsidR="003103B7" w:rsidRPr="00047041">
        <w:t xml:space="preserve">annual </w:t>
      </w:r>
      <w:r w:rsidRPr="00047041">
        <w:t>burden</w:t>
      </w:r>
      <w:r w:rsidR="003103B7" w:rsidRPr="00047041">
        <w:t xml:space="preserve"> hours</w:t>
      </w:r>
      <w:r w:rsidRPr="00047041">
        <w:t xml:space="preserve"> </w:t>
      </w:r>
      <w:r w:rsidR="00613D10" w:rsidRPr="00047041">
        <w:t>ha</w:t>
      </w:r>
      <w:r w:rsidR="00E344BC">
        <w:t>s</w:t>
      </w:r>
      <w:r w:rsidR="00613D10" w:rsidRPr="00047041">
        <w:t xml:space="preserve"> </w:t>
      </w:r>
      <w:r w:rsidR="00613D10" w:rsidRPr="00047041">
        <w:t>decreased</w:t>
      </w:r>
      <w:r w:rsidR="00613D10" w:rsidRPr="00047041">
        <w:t xml:space="preserve"> and ha</w:t>
      </w:r>
      <w:r w:rsidR="00E344BC">
        <w:t>s</w:t>
      </w:r>
      <w:r w:rsidR="00613D10" w:rsidRPr="00047041">
        <w:t xml:space="preserve"> been adjusted to account for </w:t>
      </w:r>
      <w:r w:rsidR="0000760B" w:rsidRPr="00047041">
        <w:t>fewer providers drafting original agreements</w:t>
      </w:r>
      <w:r w:rsidR="00613D10" w:rsidRPr="00047041">
        <w:t>. T</w:t>
      </w:r>
      <w:r w:rsidR="003103B7" w:rsidRPr="00047041">
        <w:t xml:space="preserve">he annual number of responses </w:t>
      </w:r>
      <w:r w:rsidR="00613D10" w:rsidRPr="00047041">
        <w:t xml:space="preserve">has also decreased and has been adjusted to account for the </w:t>
      </w:r>
      <w:r w:rsidR="003103B7" w:rsidRPr="00047041">
        <w:t>reduced number of providers adopting this technology because many already have</w:t>
      </w:r>
      <w:r w:rsidR="00613D10" w:rsidRPr="00047041">
        <w:t xml:space="preserve"> this in place</w:t>
      </w:r>
      <w:r w:rsidR="003103B7" w:rsidRPr="00047041">
        <w:t>.</w:t>
      </w:r>
    </w:p>
    <w:p w:rsidR="009E5168" w:rsidRDefault="009E5168" w:rsidP="000B6334"/>
    <w:p w:rsidR="009E5168" w:rsidRDefault="00C31D56" w:rsidP="00C31D56">
      <w:r>
        <w:t xml:space="preserve">16.  </w:t>
      </w:r>
      <w:r w:rsidR="009E5168">
        <w:t>Publication and Tabulation Duties</w:t>
      </w:r>
    </w:p>
    <w:p w:rsidR="009E5168" w:rsidRDefault="009E5168" w:rsidP="000B6334"/>
    <w:p w:rsidR="00C31D56" w:rsidRDefault="00C31D56" w:rsidP="00C31D56">
      <w:proofErr w:type="gramStart"/>
      <w:r>
        <w:t>None.</w:t>
      </w:r>
      <w:proofErr w:type="gramEnd"/>
    </w:p>
    <w:p w:rsidR="00C31D56" w:rsidRDefault="00C31D56" w:rsidP="00C31D56"/>
    <w:p w:rsidR="00E54528" w:rsidRPr="006D05A3" w:rsidRDefault="00C31D56" w:rsidP="00C31D56">
      <w:r w:rsidRPr="006D05A3">
        <w:t xml:space="preserve">17.  </w:t>
      </w:r>
      <w:r w:rsidR="00E54528" w:rsidRPr="006D05A3">
        <w:t>Expiration Date</w:t>
      </w:r>
    </w:p>
    <w:p w:rsidR="00E54528" w:rsidRPr="006D05A3" w:rsidRDefault="00E54528" w:rsidP="000B6334"/>
    <w:p w:rsidR="00E54528" w:rsidRDefault="006D05A3" w:rsidP="000B6334">
      <w:r>
        <w:t>D</w:t>
      </w:r>
      <w:r w:rsidRPr="006D05A3">
        <w:t>isplay</w:t>
      </w:r>
      <w:r>
        <w:t xml:space="preserve">ing the expiration date </w:t>
      </w:r>
      <w:r w:rsidRPr="006D05A3">
        <w:t>is not applicable</w:t>
      </w:r>
      <w:r>
        <w:t xml:space="preserve"> to this PRA package</w:t>
      </w:r>
      <w:r w:rsidR="00C31D56" w:rsidRPr="006D05A3">
        <w:t>.</w:t>
      </w:r>
    </w:p>
    <w:p w:rsidR="00E54528" w:rsidRDefault="00E54528" w:rsidP="000B6334"/>
    <w:p w:rsidR="00106D9D" w:rsidRDefault="00593297" w:rsidP="00593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18.  </w:t>
      </w:r>
      <w:r w:rsidR="00E54528">
        <w:t>Certification Statement</w:t>
      </w:r>
    </w:p>
    <w:p w:rsidR="00C31D56" w:rsidRDefault="00C31D56" w:rsidP="00593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31D56" w:rsidRDefault="00E12154" w:rsidP="00593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exceptions. </w:t>
      </w:r>
    </w:p>
    <w:p w:rsidR="00106D9D" w:rsidRDefault="00106D9D" w:rsidP="000B63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u w:val="single"/>
        </w:rPr>
      </w:pPr>
    </w:p>
    <w:p w:rsidR="00106D9D" w:rsidRPr="004636D9" w:rsidRDefault="004636D9" w:rsidP="000B633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636D9">
        <w:rPr>
          <w:b/>
          <w:bCs/>
        </w:rPr>
        <w:t>B</w:t>
      </w:r>
      <w:r w:rsidR="00106D9D" w:rsidRPr="004636D9">
        <w:rPr>
          <w:b/>
          <w:bCs/>
        </w:rPr>
        <w:t>.</w:t>
      </w:r>
      <w:r w:rsidR="000B6334" w:rsidRPr="004636D9">
        <w:rPr>
          <w:b/>
          <w:bCs/>
        </w:rPr>
        <w:t xml:space="preserve"> </w:t>
      </w:r>
      <w:r w:rsidR="00106D9D" w:rsidRPr="004636D9">
        <w:rPr>
          <w:b/>
          <w:bCs/>
        </w:rPr>
        <w:t>Collections of Information Employing Statistical Methods</w:t>
      </w:r>
    </w:p>
    <w:p w:rsidR="00106D9D" w:rsidRDefault="00106D9D" w:rsidP="000B6334">
      <w:pPr>
        <w:tabs>
          <w:tab w:val="left" w:pos="0"/>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106D9D" w:rsidRDefault="004636D9" w:rsidP="000B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w:t>
      </w:r>
      <w:r w:rsidR="00AD48E4">
        <w:t>ot applicable.</w:t>
      </w:r>
    </w:p>
    <w:p w:rsidR="004636D9" w:rsidRDefault="004636D9" w:rsidP="000B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4636D9" w:rsidSect="00106D9D">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AC" w:rsidRDefault="00B81FAC">
      <w:r>
        <w:separator/>
      </w:r>
    </w:p>
  </w:endnote>
  <w:endnote w:type="continuationSeparator" w:id="0">
    <w:p w:rsidR="00B81FAC" w:rsidRDefault="00B8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AC" w:rsidRDefault="00B81FAC">
      <w:r>
        <w:separator/>
      </w:r>
    </w:p>
  </w:footnote>
  <w:footnote w:type="continuationSeparator" w:id="0">
    <w:p w:rsidR="00B81FAC" w:rsidRDefault="00B81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BB" w:rsidRDefault="007B62BB" w:rsidP="00AC5D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62BB" w:rsidRDefault="007B62BB" w:rsidP="00106D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BB" w:rsidRDefault="007B62BB" w:rsidP="00AC5D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05A3">
      <w:rPr>
        <w:rStyle w:val="PageNumber"/>
        <w:noProof/>
      </w:rPr>
      <w:t>6</w:t>
    </w:r>
    <w:r>
      <w:rPr>
        <w:rStyle w:val="PageNumber"/>
      </w:rPr>
      <w:fldChar w:fldCharType="end"/>
    </w:r>
  </w:p>
  <w:p w:rsidR="007B62BB" w:rsidRDefault="007B62BB" w:rsidP="00106D9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E450C"/>
    <w:multiLevelType w:val="hybridMultilevel"/>
    <w:tmpl w:val="A35226C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883541"/>
    <w:multiLevelType w:val="hybridMultilevel"/>
    <w:tmpl w:val="7BD629D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063427"/>
    <w:multiLevelType w:val="hybridMultilevel"/>
    <w:tmpl w:val="CEBEDC3A"/>
    <w:lvl w:ilvl="0" w:tplc="38AA503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E61CF8"/>
    <w:multiLevelType w:val="hybridMultilevel"/>
    <w:tmpl w:val="C5946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9438D1"/>
    <w:multiLevelType w:val="hybridMultilevel"/>
    <w:tmpl w:val="249017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B640C6"/>
    <w:multiLevelType w:val="hybridMultilevel"/>
    <w:tmpl w:val="DE724E7E"/>
    <w:lvl w:ilvl="0" w:tplc="04090015">
      <w:start w:val="1"/>
      <w:numFmt w:val="upperLetter"/>
      <w:lvlText w:val="%1."/>
      <w:lvlJc w:val="left"/>
      <w:pPr>
        <w:tabs>
          <w:tab w:val="num" w:pos="720"/>
        </w:tabs>
        <w:ind w:left="720" w:hanging="360"/>
      </w:pPr>
      <w:rPr>
        <w:rFonts w:hint="default"/>
      </w:rPr>
    </w:lvl>
    <w:lvl w:ilvl="1" w:tplc="AD0AC80E">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BC"/>
    <w:rsid w:val="0000292F"/>
    <w:rsid w:val="0000760B"/>
    <w:rsid w:val="00021B3A"/>
    <w:rsid w:val="0002529D"/>
    <w:rsid w:val="00046067"/>
    <w:rsid w:val="00047041"/>
    <w:rsid w:val="00064478"/>
    <w:rsid w:val="000649A2"/>
    <w:rsid w:val="0007400A"/>
    <w:rsid w:val="000A3752"/>
    <w:rsid w:val="000A415E"/>
    <w:rsid w:val="000B6334"/>
    <w:rsid w:val="000C4588"/>
    <w:rsid w:val="000F54F8"/>
    <w:rsid w:val="00101A59"/>
    <w:rsid w:val="00106D9D"/>
    <w:rsid w:val="001140D5"/>
    <w:rsid w:val="00117570"/>
    <w:rsid w:val="001257DB"/>
    <w:rsid w:val="00160256"/>
    <w:rsid w:val="001659F2"/>
    <w:rsid w:val="00167DBE"/>
    <w:rsid w:val="00174CDB"/>
    <w:rsid w:val="00194E6C"/>
    <w:rsid w:val="001B7C1B"/>
    <w:rsid w:val="001F66BB"/>
    <w:rsid w:val="002003E8"/>
    <w:rsid w:val="002038EB"/>
    <w:rsid w:val="002114F6"/>
    <w:rsid w:val="002115E9"/>
    <w:rsid w:val="0021324C"/>
    <w:rsid w:val="002172E7"/>
    <w:rsid w:val="00226682"/>
    <w:rsid w:val="00233822"/>
    <w:rsid w:val="002347EB"/>
    <w:rsid w:val="0026542B"/>
    <w:rsid w:val="002661F2"/>
    <w:rsid w:val="00277126"/>
    <w:rsid w:val="0029034A"/>
    <w:rsid w:val="00291EF9"/>
    <w:rsid w:val="0029228D"/>
    <w:rsid w:val="002B0030"/>
    <w:rsid w:val="002B6E36"/>
    <w:rsid w:val="002C6171"/>
    <w:rsid w:val="002E03C7"/>
    <w:rsid w:val="002E2B71"/>
    <w:rsid w:val="002E4EE1"/>
    <w:rsid w:val="002E6E8A"/>
    <w:rsid w:val="002F2A5E"/>
    <w:rsid w:val="002F4E9C"/>
    <w:rsid w:val="003026FE"/>
    <w:rsid w:val="003103B7"/>
    <w:rsid w:val="00315A8F"/>
    <w:rsid w:val="003335B0"/>
    <w:rsid w:val="00356A2E"/>
    <w:rsid w:val="00366745"/>
    <w:rsid w:val="00376846"/>
    <w:rsid w:val="003B7D8F"/>
    <w:rsid w:val="003C2B5B"/>
    <w:rsid w:val="003C3A28"/>
    <w:rsid w:val="003D3784"/>
    <w:rsid w:val="003E2464"/>
    <w:rsid w:val="003E66E1"/>
    <w:rsid w:val="003F2AC5"/>
    <w:rsid w:val="00446D80"/>
    <w:rsid w:val="00450E0D"/>
    <w:rsid w:val="00451BED"/>
    <w:rsid w:val="00456E43"/>
    <w:rsid w:val="004636D9"/>
    <w:rsid w:val="004942D0"/>
    <w:rsid w:val="004B1E19"/>
    <w:rsid w:val="004D0B76"/>
    <w:rsid w:val="004F2BB6"/>
    <w:rsid w:val="005372FC"/>
    <w:rsid w:val="0057171E"/>
    <w:rsid w:val="00593297"/>
    <w:rsid w:val="00595D78"/>
    <w:rsid w:val="005A0AF4"/>
    <w:rsid w:val="005A0DC6"/>
    <w:rsid w:val="005A3147"/>
    <w:rsid w:val="005B6CBF"/>
    <w:rsid w:val="005F1A1A"/>
    <w:rsid w:val="00602AD7"/>
    <w:rsid w:val="00612ABF"/>
    <w:rsid w:val="00613D10"/>
    <w:rsid w:val="00620D39"/>
    <w:rsid w:val="00650609"/>
    <w:rsid w:val="00655C5C"/>
    <w:rsid w:val="00674350"/>
    <w:rsid w:val="00680216"/>
    <w:rsid w:val="006A545F"/>
    <w:rsid w:val="006D05A3"/>
    <w:rsid w:val="006F1B26"/>
    <w:rsid w:val="0071092E"/>
    <w:rsid w:val="007223E5"/>
    <w:rsid w:val="00725F05"/>
    <w:rsid w:val="007805E3"/>
    <w:rsid w:val="007933D7"/>
    <w:rsid w:val="007952DB"/>
    <w:rsid w:val="007B62BB"/>
    <w:rsid w:val="007D66A3"/>
    <w:rsid w:val="007E2E30"/>
    <w:rsid w:val="007F724E"/>
    <w:rsid w:val="007F7CAA"/>
    <w:rsid w:val="00814F59"/>
    <w:rsid w:val="00840E20"/>
    <w:rsid w:val="0084157E"/>
    <w:rsid w:val="0084163E"/>
    <w:rsid w:val="00845893"/>
    <w:rsid w:val="008465DA"/>
    <w:rsid w:val="00857E12"/>
    <w:rsid w:val="00893611"/>
    <w:rsid w:val="008B1BF1"/>
    <w:rsid w:val="008C172B"/>
    <w:rsid w:val="008D0CBD"/>
    <w:rsid w:val="008E1875"/>
    <w:rsid w:val="008F393B"/>
    <w:rsid w:val="008F6399"/>
    <w:rsid w:val="009166D7"/>
    <w:rsid w:val="009220AD"/>
    <w:rsid w:val="00924610"/>
    <w:rsid w:val="009375AA"/>
    <w:rsid w:val="00940ECF"/>
    <w:rsid w:val="00942272"/>
    <w:rsid w:val="00953879"/>
    <w:rsid w:val="00965444"/>
    <w:rsid w:val="00975F51"/>
    <w:rsid w:val="009869E6"/>
    <w:rsid w:val="009B10A4"/>
    <w:rsid w:val="009B19DB"/>
    <w:rsid w:val="009B4648"/>
    <w:rsid w:val="009C1FC9"/>
    <w:rsid w:val="009D1826"/>
    <w:rsid w:val="009E5168"/>
    <w:rsid w:val="00A13F74"/>
    <w:rsid w:val="00A24357"/>
    <w:rsid w:val="00A31CBC"/>
    <w:rsid w:val="00A41EED"/>
    <w:rsid w:val="00A6314F"/>
    <w:rsid w:val="00A6433B"/>
    <w:rsid w:val="00A9781E"/>
    <w:rsid w:val="00AA43E6"/>
    <w:rsid w:val="00AC0F6C"/>
    <w:rsid w:val="00AC5DAE"/>
    <w:rsid w:val="00AD48E4"/>
    <w:rsid w:val="00AE1694"/>
    <w:rsid w:val="00AE4308"/>
    <w:rsid w:val="00AF5DBE"/>
    <w:rsid w:val="00B1025D"/>
    <w:rsid w:val="00B204DA"/>
    <w:rsid w:val="00B33D7B"/>
    <w:rsid w:val="00B37B81"/>
    <w:rsid w:val="00B37F70"/>
    <w:rsid w:val="00B558C8"/>
    <w:rsid w:val="00B55A68"/>
    <w:rsid w:val="00B73CA0"/>
    <w:rsid w:val="00B81FAC"/>
    <w:rsid w:val="00B9708E"/>
    <w:rsid w:val="00BA4C26"/>
    <w:rsid w:val="00BD0435"/>
    <w:rsid w:val="00BD09E6"/>
    <w:rsid w:val="00C02F87"/>
    <w:rsid w:val="00C31D56"/>
    <w:rsid w:val="00C323FC"/>
    <w:rsid w:val="00C36FFC"/>
    <w:rsid w:val="00C4520F"/>
    <w:rsid w:val="00C47B32"/>
    <w:rsid w:val="00C60728"/>
    <w:rsid w:val="00C774C8"/>
    <w:rsid w:val="00CC05D8"/>
    <w:rsid w:val="00CC72AC"/>
    <w:rsid w:val="00CD0A87"/>
    <w:rsid w:val="00CE29AD"/>
    <w:rsid w:val="00CF30D0"/>
    <w:rsid w:val="00D06789"/>
    <w:rsid w:val="00D4552B"/>
    <w:rsid w:val="00D46B02"/>
    <w:rsid w:val="00D812A8"/>
    <w:rsid w:val="00D95BC9"/>
    <w:rsid w:val="00DB0B52"/>
    <w:rsid w:val="00DC32F0"/>
    <w:rsid w:val="00DC4355"/>
    <w:rsid w:val="00DC4DA1"/>
    <w:rsid w:val="00DD1C4C"/>
    <w:rsid w:val="00E01AE2"/>
    <w:rsid w:val="00E11635"/>
    <w:rsid w:val="00E12154"/>
    <w:rsid w:val="00E122E2"/>
    <w:rsid w:val="00E1437A"/>
    <w:rsid w:val="00E200C8"/>
    <w:rsid w:val="00E313FF"/>
    <w:rsid w:val="00E33A9F"/>
    <w:rsid w:val="00E344BC"/>
    <w:rsid w:val="00E54528"/>
    <w:rsid w:val="00E6660E"/>
    <w:rsid w:val="00E857E4"/>
    <w:rsid w:val="00E90461"/>
    <w:rsid w:val="00EA542B"/>
    <w:rsid w:val="00EB3299"/>
    <w:rsid w:val="00EB6DF9"/>
    <w:rsid w:val="00ED0172"/>
    <w:rsid w:val="00EF2901"/>
    <w:rsid w:val="00F14D2B"/>
    <w:rsid w:val="00F22A94"/>
    <w:rsid w:val="00F23FF4"/>
    <w:rsid w:val="00F25E93"/>
    <w:rsid w:val="00F3386E"/>
    <w:rsid w:val="00F33DF3"/>
    <w:rsid w:val="00F4683D"/>
    <w:rsid w:val="00F55C78"/>
    <w:rsid w:val="00F55F22"/>
    <w:rsid w:val="00F95533"/>
    <w:rsid w:val="00FB24C5"/>
    <w:rsid w:val="00FE1259"/>
    <w:rsid w:val="00FE1ACE"/>
    <w:rsid w:val="00FE4F8C"/>
    <w:rsid w:val="00FF198B"/>
    <w:rsid w:val="00FF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717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171E"/>
    <w:pPr>
      <w:keepNext/>
      <w:keepLines/>
      <w:spacing w:before="80"/>
      <w:jc w:val="center"/>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FF1C04"/>
    <w:pPr>
      <w:ind w:firstLine="720"/>
    </w:pPr>
    <w:rPr>
      <w:sz w:val="40"/>
    </w:rPr>
  </w:style>
  <w:style w:type="paragraph" w:styleId="BalloonText">
    <w:name w:val="Balloon Text"/>
    <w:basedOn w:val="Normal"/>
    <w:semiHidden/>
    <w:rsid w:val="00FF1C04"/>
    <w:rPr>
      <w:rFonts w:ascii="Tahoma" w:hAnsi="Tahoma" w:cs="Tahoma"/>
      <w:sz w:val="16"/>
      <w:szCs w:val="16"/>
    </w:rPr>
  </w:style>
  <w:style w:type="paragraph" w:styleId="Header">
    <w:name w:val="header"/>
    <w:basedOn w:val="Normal"/>
    <w:rsid w:val="00106D9D"/>
    <w:pPr>
      <w:tabs>
        <w:tab w:val="center" w:pos="4320"/>
        <w:tab w:val="right" w:pos="8640"/>
      </w:tabs>
    </w:pPr>
  </w:style>
  <w:style w:type="character" w:styleId="PageNumber">
    <w:name w:val="page number"/>
    <w:basedOn w:val="DefaultParagraphFont"/>
    <w:rsid w:val="00106D9D"/>
  </w:style>
  <w:style w:type="character" w:styleId="CommentReference">
    <w:name w:val="annotation reference"/>
    <w:basedOn w:val="DefaultParagraphFont"/>
    <w:semiHidden/>
    <w:rsid w:val="002C6171"/>
    <w:rPr>
      <w:sz w:val="16"/>
      <w:szCs w:val="16"/>
    </w:rPr>
  </w:style>
  <w:style w:type="paragraph" w:styleId="CommentText">
    <w:name w:val="annotation text"/>
    <w:basedOn w:val="Normal"/>
    <w:semiHidden/>
    <w:rsid w:val="002C6171"/>
    <w:rPr>
      <w:sz w:val="20"/>
      <w:szCs w:val="20"/>
    </w:rPr>
  </w:style>
  <w:style w:type="paragraph" w:styleId="CommentSubject">
    <w:name w:val="annotation subject"/>
    <w:basedOn w:val="CommentText"/>
    <w:next w:val="CommentText"/>
    <w:semiHidden/>
    <w:rsid w:val="002C6171"/>
    <w:rPr>
      <w:b/>
      <w:bCs/>
    </w:rPr>
  </w:style>
  <w:style w:type="paragraph" w:styleId="BodyText">
    <w:name w:val="Body Text"/>
    <w:basedOn w:val="Normal"/>
    <w:rsid w:val="00376846"/>
    <w:pPr>
      <w:spacing w:after="120"/>
    </w:pPr>
  </w:style>
  <w:style w:type="table" w:styleId="TableGrid">
    <w:name w:val="Table Grid"/>
    <w:basedOn w:val="TableNormal"/>
    <w:rsid w:val="00841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717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7171E"/>
    <w:rPr>
      <w:rFonts w:eastAsiaTheme="majorEastAsia"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717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171E"/>
    <w:pPr>
      <w:keepNext/>
      <w:keepLines/>
      <w:spacing w:before="80"/>
      <w:jc w:val="center"/>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FF1C04"/>
    <w:pPr>
      <w:ind w:firstLine="720"/>
    </w:pPr>
    <w:rPr>
      <w:sz w:val="40"/>
    </w:rPr>
  </w:style>
  <w:style w:type="paragraph" w:styleId="BalloonText">
    <w:name w:val="Balloon Text"/>
    <w:basedOn w:val="Normal"/>
    <w:semiHidden/>
    <w:rsid w:val="00FF1C04"/>
    <w:rPr>
      <w:rFonts w:ascii="Tahoma" w:hAnsi="Tahoma" w:cs="Tahoma"/>
      <w:sz w:val="16"/>
      <w:szCs w:val="16"/>
    </w:rPr>
  </w:style>
  <w:style w:type="paragraph" w:styleId="Header">
    <w:name w:val="header"/>
    <w:basedOn w:val="Normal"/>
    <w:rsid w:val="00106D9D"/>
    <w:pPr>
      <w:tabs>
        <w:tab w:val="center" w:pos="4320"/>
        <w:tab w:val="right" w:pos="8640"/>
      </w:tabs>
    </w:pPr>
  </w:style>
  <w:style w:type="character" w:styleId="PageNumber">
    <w:name w:val="page number"/>
    <w:basedOn w:val="DefaultParagraphFont"/>
    <w:rsid w:val="00106D9D"/>
  </w:style>
  <w:style w:type="character" w:styleId="CommentReference">
    <w:name w:val="annotation reference"/>
    <w:basedOn w:val="DefaultParagraphFont"/>
    <w:semiHidden/>
    <w:rsid w:val="002C6171"/>
    <w:rPr>
      <w:sz w:val="16"/>
      <w:szCs w:val="16"/>
    </w:rPr>
  </w:style>
  <w:style w:type="paragraph" w:styleId="CommentText">
    <w:name w:val="annotation text"/>
    <w:basedOn w:val="Normal"/>
    <w:semiHidden/>
    <w:rsid w:val="002C6171"/>
    <w:rPr>
      <w:sz w:val="20"/>
      <w:szCs w:val="20"/>
    </w:rPr>
  </w:style>
  <w:style w:type="paragraph" w:styleId="CommentSubject">
    <w:name w:val="annotation subject"/>
    <w:basedOn w:val="CommentText"/>
    <w:next w:val="CommentText"/>
    <w:semiHidden/>
    <w:rsid w:val="002C6171"/>
    <w:rPr>
      <w:b/>
      <w:bCs/>
    </w:rPr>
  </w:style>
  <w:style w:type="paragraph" w:styleId="BodyText">
    <w:name w:val="Body Text"/>
    <w:basedOn w:val="Normal"/>
    <w:rsid w:val="00376846"/>
    <w:pPr>
      <w:spacing w:after="120"/>
    </w:pPr>
  </w:style>
  <w:style w:type="table" w:styleId="TableGrid">
    <w:name w:val="Table Grid"/>
    <w:basedOn w:val="TableNormal"/>
    <w:rsid w:val="00841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717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7171E"/>
    <w:rPr>
      <w:rFonts w:eastAsiaTheme="majorEastAsia"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Centers for Medicare and Medicaid (CMS) Strategic and Implementing Plan Concerning Physician Investment in Specialty Hospitals</vt:lpstr>
    </vt:vector>
  </TitlesOfParts>
  <Company>CMS</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Centers for Medicare and Medicaid (CMS) Strategic and Implementing Plan Concerning Physician Investment in Specialty Hospitals</dc:title>
  <dc:creator>CMS</dc:creator>
  <cp:lastModifiedBy>Mitch Bryman</cp:lastModifiedBy>
  <cp:revision>2</cp:revision>
  <cp:lastPrinted>2013-11-15T11:57:00Z</cp:lastPrinted>
  <dcterms:created xsi:type="dcterms:W3CDTF">2013-11-15T13:31:00Z</dcterms:created>
  <dcterms:modified xsi:type="dcterms:W3CDTF">2013-11-15T13:31:00Z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591769593</vt:i4>
  </property>
  <property fmtid="{D5CDD505-2E9C-101B-9397-08002B2CF9AE}" pid="3" name="_NewReviewCycle">
    <vt:lpwstr/>
  </property>
  <property fmtid="{D5CDD505-2E9C-101B-9397-08002B2CF9AE}" pid="4" name="_EmailSubject">
    <vt:lpwstr>ACTION NEEDED ASAP &gt;&gt; (CMS-10207; OCN 0938-1009) Physician Self-Referral Exceptions for Electronic Prescribing and Electronic Health Records</vt:lpwstr>
  </property>
  <property fmtid="{D5CDD505-2E9C-101B-9397-08002B2CF9AE}" pid="5" name="_AuthorEmail">
    <vt:lpwstr>Michael.Zleit@cms.hhs.gov</vt:lpwstr>
  </property>
  <property fmtid="{D5CDD505-2E9C-101B-9397-08002B2CF9AE}" pid="6" name="_AuthorEmailDisplayName">
    <vt:lpwstr>Zleit, Michael J. (CMS/CMM)</vt:lpwstr>
  </property>
  <property fmtid="{D5CDD505-2E9C-101B-9397-08002B2CF9AE}" pid="7" name="_ReviewingToolsShownOnce">
    <vt:lpwstr/>
  </property>
</Properties>
</file>