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15" w:rsidRDefault="00C41715" w:rsidP="00C41715">
      <w:pPr>
        <w:jc w:val="center"/>
        <w:rPr>
          <w:rFonts w:ascii="Times New Roman" w:hAnsi="Times New Roman" w:cs="Times New Roman"/>
          <w:b/>
          <w:bCs/>
          <w:sz w:val="28"/>
          <w:szCs w:val="28"/>
        </w:rPr>
      </w:pPr>
    </w:p>
    <w:p w:rsidR="00C41715" w:rsidRDefault="00C41715" w:rsidP="00C41715">
      <w:pPr>
        <w:jc w:val="center"/>
        <w:rPr>
          <w:rFonts w:ascii="Times New Roman" w:hAnsi="Times New Roman" w:cs="Times New Roman"/>
          <w:b/>
          <w:bCs/>
          <w:sz w:val="28"/>
          <w:szCs w:val="28"/>
        </w:rPr>
      </w:pPr>
    </w:p>
    <w:p w:rsidR="00C41715" w:rsidRDefault="00C41715" w:rsidP="00C41715">
      <w:pPr>
        <w:jc w:val="center"/>
        <w:rPr>
          <w:rFonts w:ascii="Times New Roman" w:hAnsi="Times New Roman" w:cs="Times New Roman"/>
          <w:b/>
          <w:bCs/>
          <w:sz w:val="28"/>
          <w:szCs w:val="28"/>
        </w:rPr>
      </w:pPr>
    </w:p>
    <w:p w:rsidR="00C41715" w:rsidRDefault="00C41715" w:rsidP="00C41715">
      <w:pPr>
        <w:jc w:val="center"/>
        <w:rPr>
          <w:rFonts w:ascii="Times New Roman" w:hAnsi="Times New Roman" w:cs="Times New Roman"/>
          <w:b/>
          <w:bCs/>
          <w:sz w:val="28"/>
          <w:szCs w:val="28"/>
        </w:rPr>
      </w:pPr>
    </w:p>
    <w:p w:rsidR="00C41715" w:rsidRDefault="00C41715" w:rsidP="00C41715">
      <w:pPr>
        <w:jc w:val="center"/>
        <w:rPr>
          <w:rFonts w:ascii="Times New Roman" w:hAnsi="Times New Roman" w:cs="Times New Roman"/>
          <w:b/>
          <w:bCs/>
          <w:sz w:val="28"/>
          <w:szCs w:val="28"/>
        </w:rPr>
      </w:pPr>
    </w:p>
    <w:p w:rsidR="00C41715" w:rsidRDefault="00C41715" w:rsidP="00C41715">
      <w:pPr>
        <w:jc w:val="center"/>
        <w:rPr>
          <w:rFonts w:ascii="Times New Roman" w:hAnsi="Times New Roman" w:cs="Times New Roman"/>
          <w:b/>
          <w:bCs/>
          <w:sz w:val="28"/>
          <w:szCs w:val="28"/>
        </w:rPr>
      </w:pPr>
    </w:p>
    <w:p w:rsidR="00C41715" w:rsidRPr="00C41715" w:rsidRDefault="00C41715" w:rsidP="00C41715">
      <w:pPr>
        <w:jc w:val="center"/>
        <w:rPr>
          <w:rFonts w:ascii="Times New Roman" w:hAnsi="Times New Roman" w:cs="Times New Roman"/>
          <w:b/>
          <w:bCs/>
          <w:sz w:val="28"/>
          <w:szCs w:val="28"/>
        </w:rPr>
      </w:pPr>
      <w:r w:rsidRPr="00C41715">
        <w:rPr>
          <w:rFonts w:ascii="Times New Roman" w:hAnsi="Times New Roman" w:cs="Times New Roman"/>
          <w:b/>
          <w:bCs/>
          <w:sz w:val="28"/>
          <w:szCs w:val="28"/>
        </w:rPr>
        <w:t>Attachment 6</w:t>
      </w:r>
    </w:p>
    <w:p w:rsidR="00C41715" w:rsidRPr="00C41715" w:rsidRDefault="00C41715" w:rsidP="00C41715">
      <w:pPr>
        <w:jc w:val="center"/>
        <w:rPr>
          <w:rFonts w:ascii="Times New Roman" w:hAnsi="Times New Roman" w:cs="Times New Roman"/>
          <w:b/>
          <w:bCs/>
          <w:sz w:val="28"/>
          <w:szCs w:val="28"/>
        </w:rPr>
      </w:pPr>
    </w:p>
    <w:p w:rsidR="00C41715" w:rsidRDefault="00C41715" w:rsidP="00C41715">
      <w:pPr>
        <w:jc w:val="center"/>
        <w:rPr>
          <w:rFonts w:ascii="Times New Roman" w:hAnsi="Times New Roman" w:cs="Times New Roman"/>
          <w:b/>
          <w:bCs/>
        </w:rPr>
      </w:pPr>
      <w:r w:rsidRPr="00C41715">
        <w:rPr>
          <w:rFonts w:ascii="Times New Roman" w:hAnsi="Times New Roman" w:cs="Times New Roman"/>
          <w:b/>
          <w:bCs/>
          <w:sz w:val="28"/>
          <w:szCs w:val="28"/>
        </w:rPr>
        <w:t>Summary of CDC Evaluation Plan</w:t>
      </w:r>
      <w:r>
        <w:rPr>
          <w:rFonts w:ascii="Times New Roman" w:hAnsi="Times New Roman" w:cs="Times New Roman"/>
          <w:b/>
          <w:bCs/>
        </w:rPr>
        <w:br w:type="page"/>
      </w:r>
    </w:p>
    <w:p w:rsidR="000B6889" w:rsidRPr="00E247CD" w:rsidRDefault="00E247CD" w:rsidP="00E2021A">
      <w:pPr>
        <w:spacing w:after="240" w:line="276" w:lineRule="auto"/>
        <w:jc w:val="center"/>
        <w:rPr>
          <w:rFonts w:ascii="Times New Roman" w:hAnsi="Times New Roman" w:cs="Times New Roman"/>
          <w:b/>
          <w:bCs/>
        </w:rPr>
      </w:pPr>
      <w:r w:rsidRPr="00E247CD">
        <w:rPr>
          <w:rFonts w:ascii="Times New Roman" w:eastAsia="Calibri" w:hAnsi="Times New Roman" w:cs="Times New Roman"/>
          <w:b/>
          <w:bCs/>
        </w:rPr>
        <w:lastRenderedPageBreak/>
        <w:t>Evaluation of the SAMHSA PDMP Electronic Health Record (EHR) Integration and Interoperability Expansion (PEHRIIE) Program</w:t>
      </w:r>
    </w:p>
    <w:p w:rsidR="004C0844" w:rsidRPr="001C1F28" w:rsidRDefault="004C0844" w:rsidP="00E2021A">
      <w:pPr>
        <w:spacing w:after="240" w:line="276" w:lineRule="auto"/>
        <w:jc w:val="center"/>
        <w:rPr>
          <w:rFonts w:ascii="Times New Roman" w:hAnsi="Times New Roman" w:cs="Times New Roman"/>
          <w:b/>
          <w:bCs/>
        </w:rPr>
      </w:pPr>
      <w:r w:rsidRPr="001C1F28">
        <w:rPr>
          <w:rFonts w:ascii="Times New Roman" w:hAnsi="Times New Roman" w:cs="Times New Roman"/>
          <w:b/>
          <w:bCs/>
        </w:rPr>
        <w:t>Summary of CDC Evaluation Plan</w:t>
      </w:r>
    </w:p>
    <w:p w:rsidR="001C1F28" w:rsidRPr="00254E84" w:rsidRDefault="00E2021A" w:rsidP="001C1F28">
      <w:pPr>
        <w:spacing w:after="120" w:line="276" w:lineRule="auto"/>
        <w:jc w:val="both"/>
        <w:rPr>
          <w:rFonts w:ascii="Times New Roman" w:hAnsi="Times New Roman" w:cs="Times New Roman"/>
        </w:rPr>
      </w:pPr>
      <w:r>
        <w:rPr>
          <w:rFonts w:ascii="Times New Roman" w:hAnsi="Times New Roman" w:cs="Times New Roman"/>
        </w:rPr>
        <w:t>Through its Prescription Drug Monitoring Program (PDMP) Electronic Health Records (EHR) Integration and Interoperability Expansion (PEHRIIE) program, t</w:t>
      </w:r>
      <w:r w:rsidR="001C1F28" w:rsidRPr="00254E84">
        <w:rPr>
          <w:rFonts w:ascii="Times New Roman" w:hAnsi="Times New Roman" w:cs="Times New Roman"/>
        </w:rPr>
        <w:t>he Substance Abuse and Mental Health Services Administration (SAMHSA), Center for Substa</w:t>
      </w:r>
      <w:bookmarkStart w:id="0" w:name="_GoBack"/>
      <w:bookmarkEnd w:id="0"/>
      <w:r w:rsidR="001C1F28" w:rsidRPr="00254E84">
        <w:rPr>
          <w:rFonts w:ascii="Times New Roman" w:hAnsi="Times New Roman" w:cs="Times New Roman"/>
        </w:rPr>
        <w:t xml:space="preserve">nce Abuse Treatment has entered into cooperative agreements with </w:t>
      </w:r>
      <w:r>
        <w:rPr>
          <w:rFonts w:ascii="Times New Roman" w:hAnsi="Times New Roman" w:cs="Times New Roman"/>
        </w:rPr>
        <w:t>officials in nine states with operational PDMPs</w:t>
      </w:r>
      <w:r w:rsidR="001C1F28" w:rsidRPr="00254E84">
        <w:rPr>
          <w:rFonts w:ascii="Times New Roman" w:hAnsi="Times New Roman" w:cs="Times New Roman"/>
        </w:rPr>
        <w:t xml:space="preserve"> in order to improve the integration of controlled substances prescribing data with </w:t>
      </w:r>
      <w:r>
        <w:rPr>
          <w:rFonts w:ascii="Times New Roman" w:hAnsi="Times New Roman" w:cs="Times New Roman"/>
        </w:rPr>
        <w:t>EHRs and other health information technology (HIT) systems, as well as</w:t>
      </w:r>
      <w:r w:rsidR="001C1F28" w:rsidRPr="00254E84">
        <w:rPr>
          <w:rFonts w:ascii="Times New Roman" w:hAnsi="Times New Roman" w:cs="Times New Roman"/>
        </w:rPr>
        <w:t xml:space="preserve"> the interoperab</w:t>
      </w:r>
      <w:r>
        <w:rPr>
          <w:rFonts w:ascii="Times New Roman" w:hAnsi="Times New Roman" w:cs="Times New Roman"/>
        </w:rPr>
        <w:t xml:space="preserve">ility of PDMPs between states. </w:t>
      </w:r>
      <w:r w:rsidR="001C1F28" w:rsidRPr="00254E84">
        <w:rPr>
          <w:rFonts w:ascii="Times New Roman" w:hAnsi="Times New Roman" w:cs="Times New Roman"/>
        </w:rPr>
        <w:t>The stated goals of this two-year program, which started in October 2012, are to:</w:t>
      </w:r>
    </w:p>
    <w:p w:rsidR="001C1F28" w:rsidRPr="00254E84" w:rsidRDefault="001C1F28" w:rsidP="001C1F28">
      <w:pPr>
        <w:pStyle w:val="ListParagraph"/>
        <w:numPr>
          <w:ilvl w:val="0"/>
          <w:numId w:val="10"/>
        </w:numPr>
        <w:spacing w:line="276" w:lineRule="auto"/>
        <w:contextualSpacing w:val="0"/>
        <w:jc w:val="both"/>
        <w:rPr>
          <w:sz w:val="22"/>
        </w:rPr>
      </w:pPr>
      <w:r w:rsidRPr="00254E84">
        <w:rPr>
          <w:sz w:val="22"/>
        </w:rPr>
        <w:t>Increase provider utilization of their state’s PDMP by improving real-time access to PDMPs via the integration of PDMP data and/or access thereof within health information t</w:t>
      </w:r>
      <w:r>
        <w:rPr>
          <w:sz w:val="22"/>
        </w:rPr>
        <w:t>echnologies (HIT);</w:t>
      </w:r>
    </w:p>
    <w:p w:rsidR="001C1F28" w:rsidRPr="00254E84" w:rsidRDefault="001C1F28" w:rsidP="001C1F28">
      <w:pPr>
        <w:pStyle w:val="ListParagraph"/>
        <w:numPr>
          <w:ilvl w:val="0"/>
          <w:numId w:val="10"/>
        </w:numPr>
        <w:spacing w:after="120" w:line="276" w:lineRule="auto"/>
        <w:contextualSpacing w:val="0"/>
        <w:jc w:val="both"/>
        <w:rPr>
          <w:sz w:val="22"/>
        </w:rPr>
      </w:pPr>
      <w:r w:rsidRPr="00254E84">
        <w:rPr>
          <w:sz w:val="22"/>
        </w:rPr>
        <w:t>Increase provider utilization of PDMP data by increasing the comprehensiveness and quality of PDMP data by increasing the interoperability of state PDMPs across state lines.</w:t>
      </w:r>
    </w:p>
    <w:p w:rsidR="001C1F28" w:rsidRPr="00254E84" w:rsidRDefault="001C1F28" w:rsidP="001C1F28">
      <w:pPr>
        <w:pStyle w:val="ListParagraph"/>
        <w:spacing w:after="120" w:line="276" w:lineRule="auto"/>
        <w:ind w:left="0"/>
        <w:contextualSpacing w:val="0"/>
        <w:jc w:val="both"/>
        <w:rPr>
          <w:sz w:val="22"/>
        </w:rPr>
      </w:pPr>
      <w:r w:rsidRPr="00254E84">
        <w:rPr>
          <w:sz w:val="22"/>
        </w:rPr>
        <w:t>Both of these goals are expected to contribute to improv</w:t>
      </w:r>
      <w:r w:rsidR="00E2021A">
        <w:rPr>
          <w:sz w:val="22"/>
        </w:rPr>
        <w:t>e</w:t>
      </w:r>
      <w:r w:rsidRPr="00254E84">
        <w:rPr>
          <w:sz w:val="22"/>
        </w:rPr>
        <w:t xml:space="preserve"> prescribing and dispensing practices, resulting in </w:t>
      </w:r>
      <w:r w:rsidR="00E2021A" w:rsidRPr="00254E84">
        <w:rPr>
          <w:sz w:val="22"/>
        </w:rPr>
        <w:t xml:space="preserve">improvements in care </w:t>
      </w:r>
      <w:r w:rsidR="00E2021A">
        <w:rPr>
          <w:sz w:val="22"/>
        </w:rPr>
        <w:t xml:space="preserve">and </w:t>
      </w:r>
      <w:r w:rsidRPr="00254E84">
        <w:rPr>
          <w:sz w:val="22"/>
        </w:rPr>
        <w:t xml:space="preserve">decreased prescription drug abuse and misuse and related health consequences such </w:t>
      </w:r>
      <w:r w:rsidR="00E2021A">
        <w:rPr>
          <w:sz w:val="22"/>
        </w:rPr>
        <w:t>as fatal and non-fatal overdoses</w:t>
      </w:r>
      <w:r w:rsidRPr="00254E84">
        <w:rPr>
          <w:sz w:val="22"/>
        </w:rPr>
        <w:t>.</w:t>
      </w:r>
      <w:r w:rsidRPr="00254E84" w:rsidDel="001C2AFC">
        <w:rPr>
          <w:sz w:val="22"/>
        </w:rPr>
        <w:t xml:space="preserve"> </w:t>
      </w:r>
    </w:p>
    <w:p w:rsidR="00116050" w:rsidRPr="001C1F28" w:rsidRDefault="001C1F28" w:rsidP="001C1F28">
      <w:pPr>
        <w:spacing w:after="120" w:line="276" w:lineRule="auto"/>
        <w:jc w:val="both"/>
        <w:rPr>
          <w:rFonts w:ascii="Times New Roman" w:hAnsi="Times New Roman" w:cs="Times New Roman"/>
        </w:rPr>
      </w:pPr>
      <w:r w:rsidRPr="001C1F28">
        <w:rPr>
          <w:rFonts w:ascii="Times New Roman" w:hAnsi="Times New Roman" w:cs="Times New Roman"/>
        </w:rPr>
        <w:t>Under the cooperative agreements issued by SAMHSA, Centers for Disease Control and Prevention (CDC) is responsible for conducting a comprehensive process and outcomes evaluation of the above described PEHRIIE program. The purpose of this evaluation is to determine if successful completion of the two primary goals of this program resulted in changed provider behavior and impacted prescription drug related health outcomes in these states. In addition, this evaluation will identify cross-cutting barriers to and facilitators of successful implementation of the HIT integration and interstate interoperability projects funded through the PEHRIIE program. To address these evaluation questions, C</w:t>
      </w:r>
      <w:r>
        <w:rPr>
          <w:rFonts w:ascii="Times New Roman" w:hAnsi="Times New Roman" w:cs="Times New Roman"/>
        </w:rPr>
        <w:t xml:space="preserve">DC will combine the results of a </w:t>
      </w:r>
      <w:r w:rsidRPr="001C1F28">
        <w:rPr>
          <w:rFonts w:ascii="Times New Roman" w:hAnsi="Times New Roman" w:cs="Times New Roman"/>
        </w:rPr>
        <w:t xml:space="preserve">qualitative information collection with the results of a quantitative analysis of PDMP data from the PEHRIIE-funded states and </w:t>
      </w:r>
      <w:r>
        <w:rPr>
          <w:rFonts w:ascii="Times New Roman" w:hAnsi="Times New Roman" w:cs="Times New Roman"/>
        </w:rPr>
        <w:t xml:space="preserve">health outcomes </w:t>
      </w:r>
      <w:r w:rsidRPr="001C1F28">
        <w:rPr>
          <w:rFonts w:ascii="Times New Roman" w:hAnsi="Times New Roman" w:cs="Times New Roman"/>
        </w:rPr>
        <w:t>data from SAMHSA’s and CDC’s national datasets.</w:t>
      </w:r>
      <w:r>
        <w:rPr>
          <w:rFonts w:ascii="Times New Roman" w:hAnsi="Times New Roman" w:cs="Times New Roman"/>
        </w:rPr>
        <w:t xml:space="preserve"> These results will be supplemented with findings from a review of all documents relating to the PEHRIIE program, the individual state projects, and other publicly available information pertaining to the PDMPs in the PEHRIIE grantee states. </w:t>
      </w:r>
      <w:r w:rsidR="00C100D3" w:rsidRPr="001C1F28">
        <w:rPr>
          <w:rFonts w:ascii="Times New Roman" w:hAnsi="Times New Roman" w:cs="Times New Roman"/>
        </w:rPr>
        <w:t xml:space="preserve">States are required to participate in </w:t>
      </w:r>
      <w:r>
        <w:rPr>
          <w:rFonts w:ascii="Times New Roman" w:hAnsi="Times New Roman" w:cs="Times New Roman"/>
        </w:rPr>
        <w:t xml:space="preserve">these </w:t>
      </w:r>
      <w:r w:rsidR="00C100D3" w:rsidRPr="001C1F28">
        <w:rPr>
          <w:rFonts w:ascii="Times New Roman" w:hAnsi="Times New Roman" w:cs="Times New Roman"/>
        </w:rPr>
        <w:t>evaluation activities as a</w:t>
      </w:r>
      <w:r w:rsidR="007D60F2" w:rsidRPr="001C1F28">
        <w:rPr>
          <w:rFonts w:ascii="Times New Roman" w:hAnsi="Times New Roman" w:cs="Times New Roman"/>
        </w:rPr>
        <w:t xml:space="preserve"> condition of receiving funds from SAMHSA.  </w:t>
      </w:r>
      <w:r w:rsidR="00A62EEA" w:rsidRPr="001C1F28">
        <w:rPr>
          <w:rFonts w:ascii="Times New Roman" w:hAnsi="Times New Roman" w:cs="Times New Roman"/>
        </w:rPr>
        <w:t xml:space="preserve"> </w:t>
      </w:r>
    </w:p>
    <w:p w:rsidR="00BB2C29" w:rsidRPr="00414E40" w:rsidRDefault="00BB2C29" w:rsidP="002C2F44">
      <w:pPr>
        <w:spacing w:after="120" w:line="276" w:lineRule="auto"/>
        <w:jc w:val="both"/>
        <w:rPr>
          <w:rFonts w:ascii="Times New Roman" w:hAnsi="Times New Roman" w:cs="Times New Roman"/>
          <w:b/>
          <w:u w:val="single"/>
        </w:rPr>
      </w:pPr>
      <w:r w:rsidRPr="00414E40">
        <w:rPr>
          <w:rFonts w:ascii="Times New Roman" w:hAnsi="Times New Roman" w:cs="Times New Roman"/>
          <w:b/>
          <w:u w:val="single"/>
        </w:rPr>
        <w:t>Qualitative Information Collection</w:t>
      </w:r>
    </w:p>
    <w:p w:rsidR="00BB2C29" w:rsidRPr="000C3C41" w:rsidRDefault="00BB2C29" w:rsidP="00BB2C29">
      <w:pPr>
        <w:spacing w:after="120" w:line="276" w:lineRule="auto"/>
        <w:jc w:val="both"/>
        <w:rPr>
          <w:rFonts w:ascii="Times New Roman" w:hAnsi="Times New Roman" w:cs="Times New Roman"/>
        </w:rPr>
      </w:pPr>
      <w:r w:rsidRPr="00BB2C29">
        <w:rPr>
          <w:rFonts w:ascii="Times New Roman" w:hAnsi="Times New Roman" w:cs="Times New Roman"/>
        </w:rPr>
        <w:t>The CDC evaluation team will be conducting a qualitative evaluation of the PEHRIIE program in order to understand the processes, challenges, and successes in implementing and sustaining integration of PDMP data with Health Information Technology (HIT) systems and interoperability of PDMP systems across states. This information collection will also capture the experiences of clinical end users with the systems being upgraded under the PEHRIIE program as well as their recommendations for how the goals of the PEHRIIE program could have been better accomplished.</w:t>
      </w:r>
      <w:r>
        <w:rPr>
          <w:rFonts w:ascii="Times New Roman" w:hAnsi="Times New Roman" w:cs="Times New Roman"/>
        </w:rPr>
        <w:t xml:space="preserve"> In order to complete this component of the evaluation, t</w:t>
      </w:r>
      <w:r w:rsidRPr="00AE1683">
        <w:rPr>
          <w:rFonts w:ascii="Times New Roman" w:hAnsi="Times New Roman" w:cs="Times New Roman"/>
        </w:rPr>
        <w:t xml:space="preserve">he CDC </w:t>
      </w:r>
      <w:r>
        <w:rPr>
          <w:rFonts w:ascii="Times New Roman" w:hAnsi="Times New Roman" w:cs="Times New Roman"/>
        </w:rPr>
        <w:t xml:space="preserve">evaluation </w:t>
      </w:r>
      <w:r w:rsidRPr="00AE1683">
        <w:rPr>
          <w:rFonts w:ascii="Times New Roman" w:hAnsi="Times New Roman" w:cs="Times New Roman"/>
        </w:rPr>
        <w:t xml:space="preserve">team will </w:t>
      </w:r>
      <w:r>
        <w:rPr>
          <w:rFonts w:ascii="Times New Roman" w:hAnsi="Times New Roman" w:cs="Times New Roman"/>
        </w:rPr>
        <w:t xml:space="preserve">conduct qualitative interviews with individuals involved in the planning and implementation of the PEHRIIE projects (i.e. key project staff and stakeholders) as well as with the clinical end users (i.e. prescribers and pharmacists) of the PDMPs in the states where these </w:t>
      </w:r>
      <w:r>
        <w:rPr>
          <w:rFonts w:ascii="Times New Roman" w:hAnsi="Times New Roman" w:cs="Times New Roman"/>
        </w:rPr>
        <w:lastRenderedPageBreak/>
        <w:t>projects are taking place. In-person interviews will be conducted during the course of a four-day in state visit to each of</w:t>
      </w:r>
      <w:r w:rsidRPr="00AE1683">
        <w:rPr>
          <w:rFonts w:ascii="Times New Roman" w:hAnsi="Times New Roman" w:cs="Times New Roman"/>
        </w:rPr>
        <w:t xml:space="preserve"> the nine </w:t>
      </w:r>
      <w:r>
        <w:rPr>
          <w:rFonts w:ascii="Times New Roman" w:hAnsi="Times New Roman" w:cs="Times New Roman"/>
        </w:rPr>
        <w:t xml:space="preserve">PEHRIIE grantee </w:t>
      </w:r>
      <w:r w:rsidRPr="00AE1683">
        <w:rPr>
          <w:rFonts w:ascii="Times New Roman" w:hAnsi="Times New Roman" w:cs="Times New Roman"/>
        </w:rPr>
        <w:t>states</w:t>
      </w:r>
      <w:r w:rsidR="00FD68FC">
        <w:rPr>
          <w:rFonts w:ascii="Times New Roman" w:hAnsi="Times New Roman" w:cs="Times New Roman"/>
        </w:rPr>
        <w:t>, us</w:t>
      </w:r>
      <w:r>
        <w:rPr>
          <w:rFonts w:ascii="Times New Roman" w:hAnsi="Times New Roman" w:cs="Times New Roman"/>
        </w:rPr>
        <w:t>ing pilot-tested semi-structured interview guides.</w:t>
      </w:r>
      <w:r w:rsidRPr="00AE1683">
        <w:rPr>
          <w:rFonts w:ascii="Times New Roman" w:hAnsi="Times New Roman" w:cs="Times New Roman"/>
        </w:rPr>
        <w:t xml:space="preserve"> </w:t>
      </w:r>
      <w:r>
        <w:rPr>
          <w:rFonts w:ascii="Times New Roman" w:hAnsi="Times New Roman" w:cs="Times New Roman"/>
        </w:rPr>
        <w:t>At least two evaluation team members will conduct each interview during the site visits, with additional note takers participating via conference call</w:t>
      </w:r>
      <w:r w:rsidRPr="00AE1683">
        <w:rPr>
          <w:rFonts w:ascii="Times New Roman" w:hAnsi="Times New Roman" w:cs="Times New Roman"/>
        </w:rPr>
        <w:t>.</w:t>
      </w:r>
      <w:r>
        <w:rPr>
          <w:rFonts w:ascii="Times New Roman" w:hAnsi="Times New Roman" w:cs="Times New Roman"/>
        </w:rPr>
        <w:t xml:space="preserve"> Interviews with key project staff and stakeholders will take approximately 45 minutes and interviews with clinical end users will take approximately one hour.</w:t>
      </w:r>
      <w:r w:rsidRPr="00AE1683">
        <w:rPr>
          <w:rFonts w:ascii="Times New Roman" w:hAnsi="Times New Roman" w:cs="Times New Roman"/>
        </w:rPr>
        <w:t xml:space="preserve"> </w:t>
      </w:r>
      <w:r w:rsidRPr="000C3C41">
        <w:rPr>
          <w:rFonts w:ascii="Times New Roman" w:hAnsi="Times New Roman" w:cs="Times New Roman"/>
        </w:rPr>
        <w:t xml:space="preserve">When in-person interviews cannot be scheduled during the planned site visits, interviews will be conducted via conference call. </w:t>
      </w:r>
    </w:p>
    <w:p w:rsidR="00BB2C29" w:rsidRPr="000C3C41" w:rsidRDefault="00BB2C29" w:rsidP="00BB2C29">
      <w:pPr>
        <w:spacing w:after="120" w:line="276" w:lineRule="auto"/>
        <w:jc w:val="both"/>
        <w:rPr>
          <w:rFonts w:ascii="Times New Roman" w:hAnsi="Times New Roman" w:cs="Times New Roman"/>
        </w:rPr>
      </w:pPr>
      <w:r w:rsidRPr="000C3C41">
        <w:rPr>
          <w:rFonts w:ascii="Times New Roman" w:hAnsi="Times New Roman" w:cs="Times New Roman"/>
          <w:u w:val="single"/>
        </w:rPr>
        <w:t>Key Project Staff/Stakeholders Interviews</w:t>
      </w:r>
      <w:r w:rsidRPr="000C3C41">
        <w:rPr>
          <w:rFonts w:ascii="Times New Roman" w:hAnsi="Times New Roman" w:cs="Times New Roman"/>
        </w:rPr>
        <w:t xml:space="preserve">. Based on preliminary conversations with the primary project coordinators in each of the nine PEHRIIE grantee states, the evaluation team anticipates conducting interviews with </w:t>
      </w:r>
      <w:r>
        <w:rPr>
          <w:rFonts w:ascii="Times New Roman" w:hAnsi="Times New Roman" w:cs="Times New Roman"/>
        </w:rPr>
        <w:t>91</w:t>
      </w:r>
      <w:r w:rsidRPr="000C3C41">
        <w:rPr>
          <w:rFonts w:ascii="Times New Roman" w:hAnsi="Times New Roman" w:cs="Times New Roman"/>
        </w:rPr>
        <w:t xml:space="preserve"> key project staff members/stakeholders in each state as well as 14 individuals from vendors working with multiple PEHRIIE states. Individuals in the key project staff/stakeholder category include state officials and selected staff members involved in the operations and oversight of the state PDMP, including board officials of the agency where the PDMP is housed; other state officials involved in policy, technical, and legal support agencies as well as the state’s substance abuse authority; PDMP software and data sharing hub vendors; and HIT systems’ partners, including hospital staff responsible for EHR implementation at their site and their respective IT personnel. </w:t>
      </w:r>
    </w:p>
    <w:p w:rsidR="00BB2C29" w:rsidRPr="000C3C41" w:rsidRDefault="00BB2C29" w:rsidP="002C2F44">
      <w:pPr>
        <w:spacing w:after="120" w:line="276" w:lineRule="auto"/>
        <w:jc w:val="both"/>
        <w:rPr>
          <w:rFonts w:ascii="Times New Roman" w:hAnsi="Times New Roman" w:cs="Times New Roman"/>
        </w:rPr>
      </w:pPr>
      <w:r>
        <w:rPr>
          <w:rFonts w:ascii="Times New Roman" w:hAnsi="Times New Roman" w:cs="Times New Roman"/>
        </w:rPr>
        <w:t>The goal of these interviews is to solicit information that is not available through progress reports and reported quantitative data in order to gain qualitative perspectives on the PEHRIIE projects. To achieve this goal</w:t>
      </w:r>
      <w:r w:rsidRPr="000C3C41">
        <w:rPr>
          <w:rFonts w:ascii="Times New Roman" w:hAnsi="Times New Roman" w:cs="Times New Roman"/>
        </w:rPr>
        <w:t>, these interviews will consist of</w:t>
      </w:r>
      <w:r w:rsidR="002C2F44">
        <w:rPr>
          <w:rFonts w:ascii="Times New Roman" w:hAnsi="Times New Roman" w:cs="Times New Roman"/>
        </w:rPr>
        <w:t xml:space="preserve"> four domains:</w:t>
      </w:r>
      <w:r>
        <w:rPr>
          <w:rFonts w:ascii="Times New Roman" w:hAnsi="Times New Roman" w:cs="Times New Roman"/>
        </w:rPr>
        <w:t xml:space="preserve"> </w:t>
      </w:r>
      <w:r w:rsidR="002C2F44">
        <w:rPr>
          <w:rFonts w:ascii="Times New Roman" w:hAnsi="Times New Roman" w:cs="Times New Roman"/>
        </w:rPr>
        <w:t>1, Background and Project C</w:t>
      </w:r>
      <w:r w:rsidRPr="000C3C41">
        <w:rPr>
          <w:rFonts w:ascii="Times New Roman" w:hAnsi="Times New Roman" w:cs="Times New Roman"/>
        </w:rPr>
        <w:t>ontext</w:t>
      </w:r>
      <w:r w:rsidR="002C2F44">
        <w:rPr>
          <w:rFonts w:ascii="Times New Roman" w:hAnsi="Times New Roman" w:cs="Times New Roman"/>
        </w:rPr>
        <w:t>;</w:t>
      </w:r>
      <w:r w:rsidRPr="000C3C41">
        <w:rPr>
          <w:rFonts w:ascii="Times New Roman" w:hAnsi="Times New Roman" w:cs="Times New Roman"/>
        </w:rPr>
        <w:t xml:space="preserve"> </w:t>
      </w:r>
      <w:r w:rsidR="002C2F44">
        <w:rPr>
          <w:rFonts w:ascii="Times New Roman" w:hAnsi="Times New Roman" w:cs="Times New Roman"/>
        </w:rPr>
        <w:t>2, Activities and Challenges; 3, Successes and O</w:t>
      </w:r>
      <w:r w:rsidRPr="00BB2C29">
        <w:rPr>
          <w:rFonts w:ascii="Times New Roman" w:hAnsi="Times New Roman" w:cs="Times New Roman"/>
        </w:rPr>
        <w:t>utcomes</w:t>
      </w:r>
      <w:r w:rsidR="002C2F44">
        <w:rPr>
          <w:rFonts w:ascii="Times New Roman" w:hAnsi="Times New Roman" w:cs="Times New Roman"/>
        </w:rPr>
        <w:t>; and 4, F</w:t>
      </w:r>
      <w:r w:rsidRPr="000C3C41">
        <w:rPr>
          <w:rFonts w:ascii="Times New Roman" w:hAnsi="Times New Roman" w:cs="Times New Roman"/>
        </w:rPr>
        <w:t xml:space="preserve">uture </w:t>
      </w:r>
      <w:r w:rsidR="002C2F44">
        <w:rPr>
          <w:rFonts w:ascii="Times New Roman" w:hAnsi="Times New Roman" w:cs="Times New Roman"/>
        </w:rPr>
        <w:t>Work and Lessons L</w:t>
      </w:r>
      <w:r w:rsidRPr="000C3C41">
        <w:rPr>
          <w:rFonts w:ascii="Times New Roman" w:hAnsi="Times New Roman" w:cs="Times New Roman"/>
        </w:rPr>
        <w:t>earned</w:t>
      </w:r>
      <w:r w:rsidR="002C2F44">
        <w:rPr>
          <w:rFonts w:ascii="Times New Roman" w:hAnsi="Times New Roman" w:cs="Times New Roman"/>
        </w:rPr>
        <w:t>.</w:t>
      </w:r>
      <w:r w:rsidRPr="000C3C41">
        <w:rPr>
          <w:rFonts w:ascii="Times New Roman" w:hAnsi="Times New Roman" w:cs="Times New Roman"/>
        </w:rPr>
        <w:t xml:space="preserve"> </w:t>
      </w:r>
    </w:p>
    <w:p w:rsidR="00BB2C29" w:rsidRPr="000C3C41" w:rsidRDefault="00BB2C29" w:rsidP="00BB2C29">
      <w:pPr>
        <w:spacing w:after="120" w:line="276" w:lineRule="auto"/>
        <w:jc w:val="both"/>
        <w:rPr>
          <w:rFonts w:ascii="Times New Roman" w:hAnsi="Times New Roman" w:cs="Times New Roman"/>
        </w:rPr>
      </w:pPr>
      <w:r w:rsidRPr="000C3C41">
        <w:rPr>
          <w:rFonts w:ascii="Times New Roman" w:hAnsi="Times New Roman" w:cs="Times New Roman"/>
          <w:u w:val="single"/>
        </w:rPr>
        <w:t>Clinical End Users Interviews</w:t>
      </w:r>
      <w:r w:rsidRPr="000C3C41">
        <w:rPr>
          <w:rFonts w:ascii="Times New Roman" w:hAnsi="Times New Roman" w:cs="Times New Roman"/>
        </w:rPr>
        <w:t xml:space="preserve">. The evaluation team will also conduct interviews with three clinical end users of the upgraded PDMP systems at identified medical practice sites where access to the PDMP or PDMP data itself will be integrated into providers’ EHRs and/or </w:t>
      </w:r>
      <w:r w:rsidR="00FD68FC">
        <w:rPr>
          <w:rFonts w:ascii="Times New Roman" w:hAnsi="Times New Roman" w:cs="Times New Roman"/>
        </w:rPr>
        <w:t>pharmacy dispensing software systems</w:t>
      </w:r>
      <w:r w:rsidRPr="000C3C41">
        <w:rPr>
          <w:rFonts w:ascii="Times New Roman" w:hAnsi="Times New Roman" w:cs="Times New Roman"/>
        </w:rPr>
        <w:t xml:space="preserve">. These interviews will be conducted at an average of four implementation sites per state. Individuals in the clinical end users category include prescribers, pharmacists, and other pharmacy stakeholders. </w:t>
      </w:r>
    </w:p>
    <w:p w:rsidR="00BB2C29" w:rsidRPr="00817E5C" w:rsidRDefault="00BB2C29" w:rsidP="002C2F44">
      <w:pPr>
        <w:spacing w:after="120" w:line="276" w:lineRule="auto"/>
        <w:jc w:val="both"/>
        <w:rPr>
          <w:rFonts w:ascii="Times New Roman" w:hAnsi="Times New Roman" w:cs="Times New Roman"/>
        </w:rPr>
      </w:pPr>
      <w:r w:rsidRPr="00817E5C">
        <w:rPr>
          <w:rFonts w:ascii="Times New Roman" w:hAnsi="Times New Roman" w:cs="Times New Roman"/>
        </w:rPr>
        <w:t xml:space="preserve">The goal of these interviews is to capture the effectiveness of the PEHRIIE projects at improving PDMP data quality, accessibility, and usability and to better understand the impacts of these projects on provider behavior related to controlled substances prescribing and dispensing. To achieve these goals, these interviews will consist of four domains:  </w:t>
      </w:r>
      <w:r w:rsidR="002C2F44">
        <w:rPr>
          <w:rFonts w:ascii="Times New Roman" w:hAnsi="Times New Roman" w:cs="Times New Roman"/>
        </w:rPr>
        <w:t>1, Personal Background; 2, Current U</w:t>
      </w:r>
      <w:r w:rsidRPr="00817E5C">
        <w:rPr>
          <w:rFonts w:ascii="Times New Roman" w:hAnsi="Times New Roman" w:cs="Times New Roman"/>
        </w:rPr>
        <w:t xml:space="preserve">se </w:t>
      </w:r>
      <w:r>
        <w:rPr>
          <w:rFonts w:ascii="Times New Roman" w:hAnsi="Times New Roman" w:cs="Times New Roman"/>
        </w:rPr>
        <w:t>of the PDMP</w:t>
      </w:r>
      <w:r w:rsidR="002C2F44">
        <w:rPr>
          <w:rFonts w:ascii="Times New Roman" w:hAnsi="Times New Roman" w:cs="Times New Roman"/>
        </w:rPr>
        <w:t>; 3, Clinical I</w:t>
      </w:r>
      <w:r w:rsidRPr="00817E5C">
        <w:rPr>
          <w:rFonts w:ascii="Times New Roman" w:hAnsi="Times New Roman" w:cs="Times New Roman"/>
        </w:rPr>
        <w:t>mpact</w:t>
      </w:r>
      <w:r w:rsidR="002C2F44">
        <w:rPr>
          <w:rFonts w:ascii="Times New Roman" w:hAnsi="Times New Roman" w:cs="Times New Roman"/>
        </w:rPr>
        <w:t>; and 4, Recommendations for Future I</w:t>
      </w:r>
      <w:r w:rsidRPr="00817E5C">
        <w:rPr>
          <w:rFonts w:ascii="Times New Roman" w:hAnsi="Times New Roman" w:cs="Times New Roman"/>
        </w:rPr>
        <w:t>mprovements</w:t>
      </w:r>
      <w:r w:rsidR="002C2F44">
        <w:rPr>
          <w:rFonts w:ascii="Times New Roman" w:hAnsi="Times New Roman" w:cs="Times New Roman"/>
        </w:rPr>
        <w:t>.</w:t>
      </w:r>
      <w:r w:rsidRPr="00817E5C">
        <w:rPr>
          <w:rFonts w:ascii="Times New Roman" w:hAnsi="Times New Roman" w:cs="Times New Roman"/>
        </w:rPr>
        <w:t xml:space="preserve"> </w:t>
      </w:r>
    </w:p>
    <w:p w:rsidR="00BB2C29" w:rsidRPr="00817E5C" w:rsidRDefault="00BB2C29" w:rsidP="00BB2C29">
      <w:pPr>
        <w:spacing w:after="120" w:line="276" w:lineRule="auto"/>
        <w:jc w:val="both"/>
        <w:rPr>
          <w:rFonts w:ascii="Times New Roman" w:hAnsi="Times New Roman" w:cs="Times New Roman"/>
        </w:rPr>
      </w:pPr>
      <w:r w:rsidRPr="00817E5C">
        <w:rPr>
          <w:rFonts w:ascii="Times New Roman" w:hAnsi="Times New Roman" w:cs="Times New Roman"/>
        </w:rPr>
        <w:t xml:space="preserve">Prior to the interviews, each </w:t>
      </w:r>
      <w:r w:rsidR="00243BC7">
        <w:rPr>
          <w:rFonts w:ascii="Times New Roman" w:hAnsi="Times New Roman" w:cs="Times New Roman"/>
        </w:rPr>
        <w:t>interviewee</w:t>
      </w:r>
      <w:r w:rsidRPr="00817E5C">
        <w:rPr>
          <w:rFonts w:ascii="Times New Roman" w:hAnsi="Times New Roman" w:cs="Times New Roman"/>
        </w:rPr>
        <w:t xml:space="preserve"> will be provided with a summary of the evaluation plan and a brief description of the interview purpose, as well as a copy of the relevant interview guide. Potential participants will be given the option to refuse to participate</w:t>
      </w:r>
      <w:r w:rsidR="00243BC7">
        <w:rPr>
          <w:rFonts w:ascii="Times New Roman" w:hAnsi="Times New Roman" w:cs="Times New Roman"/>
        </w:rPr>
        <w:t xml:space="preserve"> in the interviews or</w:t>
      </w:r>
      <w:r w:rsidRPr="00817E5C">
        <w:rPr>
          <w:rFonts w:ascii="Times New Roman" w:hAnsi="Times New Roman" w:cs="Times New Roman"/>
        </w:rPr>
        <w:t xml:space="preserve"> to answer any question he or she does not feel comfortable answering. Interviewees will be audibly apprised of their privacy rights and asked to give vocal confirmation of their agreement to participate prior to each interview. This information will also be included in the distributed pre-interview materials. </w:t>
      </w:r>
    </w:p>
    <w:p w:rsidR="00BB2C29" w:rsidRPr="00817E5C" w:rsidRDefault="00BB2C29" w:rsidP="00BB2C29">
      <w:pPr>
        <w:spacing w:after="120" w:line="276" w:lineRule="auto"/>
        <w:jc w:val="both"/>
        <w:rPr>
          <w:rFonts w:ascii="Times New Roman" w:hAnsi="Times New Roman" w:cs="Times New Roman"/>
        </w:rPr>
      </w:pPr>
      <w:r w:rsidRPr="00817E5C">
        <w:rPr>
          <w:rFonts w:ascii="Times New Roman" w:hAnsi="Times New Roman" w:cs="Times New Roman"/>
        </w:rPr>
        <w:t xml:space="preserve">During the interviews, both the attending evaluation team members and those participating via conference call will take extensive notes using standard note-taking sheets in order to capture consistent data. With explicit permission from the interviewees, interviews will be audiotaped to use for reference and clarification in cases where the written notes are unclear. After each interview, all participating team members will compare their notes and compile a summary for that interview. </w:t>
      </w:r>
      <w:r w:rsidR="00243BC7">
        <w:rPr>
          <w:rFonts w:ascii="Times New Roman" w:hAnsi="Times New Roman" w:cs="Times New Roman"/>
        </w:rPr>
        <w:t>All notes,</w:t>
      </w:r>
      <w:r w:rsidRPr="00817E5C">
        <w:rPr>
          <w:rFonts w:ascii="Times New Roman" w:hAnsi="Times New Roman" w:cs="Times New Roman"/>
        </w:rPr>
        <w:t xml:space="preserve"> audio-recordings </w:t>
      </w:r>
      <w:r w:rsidR="00243BC7">
        <w:rPr>
          <w:rFonts w:ascii="Times New Roman" w:hAnsi="Times New Roman" w:cs="Times New Roman"/>
        </w:rPr>
        <w:t xml:space="preserve">and hard copies </w:t>
      </w:r>
      <w:r w:rsidRPr="00817E5C">
        <w:rPr>
          <w:rFonts w:ascii="Times New Roman" w:hAnsi="Times New Roman" w:cs="Times New Roman"/>
        </w:rPr>
        <w:t xml:space="preserve">will be stored </w:t>
      </w:r>
      <w:r w:rsidR="00243BC7">
        <w:rPr>
          <w:rFonts w:ascii="Times New Roman" w:hAnsi="Times New Roman" w:cs="Times New Roman"/>
        </w:rPr>
        <w:t>following standard CDC security procedures</w:t>
      </w:r>
      <w:r w:rsidRPr="00817E5C">
        <w:rPr>
          <w:rFonts w:ascii="Times New Roman" w:hAnsi="Times New Roman" w:cs="Times New Roman"/>
        </w:rPr>
        <w:t xml:space="preserve">. Files will </w:t>
      </w:r>
      <w:r>
        <w:rPr>
          <w:rFonts w:ascii="Times New Roman" w:hAnsi="Times New Roman" w:cs="Times New Roman"/>
        </w:rPr>
        <w:t>be maintained</w:t>
      </w:r>
      <w:r w:rsidRPr="00817E5C">
        <w:rPr>
          <w:rFonts w:ascii="Times New Roman" w:hAnsi="Times New Roman" w:cs="Times New Roman"/>
        </w:rPr>
        <w:t xml:space="preserve"> by</w:t>
      </w:r>
      <w:r>
        <w:rPr>
          <w:rFonts w:ascii="Times New Roman" w:hAnsi="Times New Roman" w:cs="Times New Roman"/>
        </w:rPr>
        <w:t xml:space="preserve"> </w:t>
      </w:r>
      <w:r>
        <w:rPr>
          <w:rFonts w:ascii="Times New Roman" w:hAnsi="Times New Roman" w:cs="Times New Roman"/>
        </w:rPr>
        <w:lastRenderedPageBreak/>
        <w:t>an</w:t>
      </w:r>
      <w:r w:rsidRPr="00817E5C">
        <w:rPr>
          <w:rFonts w:ascii="Times New Roman" w:hAnsi="Times New Roman" w:cs="Times New Roman"/>
        </w:rPr>
        <w:t xml:space="preserve"> assigned </w:t>
      </w:r>
      <w:r>
        <w:rPr>
          <w:rFonts w:ascii="Times New Roman" w:hAnsi="Times New Roman" w:cs="Times New Roman"/>
        </w:rPr>
        <w:t xml:space="preserve">12-character ID number </w:t>
      </w:r>
      <w:r w:rsidRPr="00817E5C">
        <w:rPr>
          <w:rFonts w:ascii="Times New Roman" w:hAnsi="Times New Roman" w:cs="Times New Roman"/>
        </w:rPr>
        <w:t xml:space="preserve">generated from a combination of state and site identifiers as well as the date and time of each interview. All files will be kept for six months following the completion of the evaluation in case any information is needed </w:t>
      </w:r>
      <w:r>
        <w:rPr>
          <w:rFonts w:ascii="Times New Roman" w:hAnsi="Times New Roman" w:cs="Times New Roman"/>
        </w:rPr>
        <w:t xml:space="preserve">and then destroyed thereafter. </w:t>
      </w:r>
    </w:p>
    <w:p w:rsidR="007A0AA0" w:rsidRPr="001C1F28" w:rsidRDefault="00BB2C29" w:rsidP="00BB2C29">
      <w:pPr>
        <w:spacing w:line="276" w:lineRule="auto"/>
        <w:jc w:val="both"/>
        <w:rPr>
          <w:rFonts w:ascii="Times New Roman" w:hAnsi="Times New Roman" w:cs="Times New Roman"/>
        </w:rPr>
      </w:pPr>
      <w:r w:rsidRPr="00817E5C">
        <w:rPr>
          <w:rFonts w:ascii="Times New Roman" w:hAnsi="Times New Roman" w:cs="Times New Roman"/>
        </w:rPr>
        <w:t>Following the completion of all interviews pertaining to a given PEHRIIE grantee state, the evaluators will conduct a thematic analysis of each finalized interview summary as well as within and across case qualitative analysis.</w:t>
      </w:r>
      <w:r w:rsidR="0043008D" w:rsidRPr="001C1F28">
        <w:rPr>
          <w:rFonts w:ascii="Times New Roman" w:hAnsi="Times New Roman" w:cs="Times New Roman"/>
        </w:rPr>
        <w:t xml:space="preserve">  </w:t>
      </w:r>
    </w:p>
    <w:p w:rsidR="0014738B" w:rsidRPr="001C1F28" w:rsidRDefault="0014738B" w:rsidP="001C1F28">
      <w:pPr>
        <w:spacing w:line="276" w:lineRule="auto"/>
        <w:jc w:val="both"/>
        <w:rPr>
          <w:rFonts w:ascii="Times New Roman" w:hAnsi="Times New Roman" w:cs="Times New Roman"/>
        </w:rPr>
      </w:pPr>
    </w:p>
    <w:p w:rsidR="00414E40" w:rsidRPr="00414E40" w:rsidRDefault="00414E40" w:rsidP="00FD68FC">
      <w:pPr>
        <w:spacing w:after="240" w:line="276" w:lineRule="auto"/>
        <w:jc w:val="both"/>
        <w:rPr>
          <w:rFonts w:ascii="Times New Roman" w:hAnsi="Times New Roman" w:cs="Times New Roman"/>
          <w:b/>
          <w:u w:val="single"/>
        </w:rPr>
      </w:pPr>
      <w:r>
        <w:rPr>
          <w:rFonts w:ascii="Times New Roman" w:hAnsi="Times New Roman" w:cs="Times New Roman"/>
          <w:b/>
          <w:u w:val="single"/>
        </w:rPr>
        <w:t>Quantitative Data Collection</w:t>
      </w:r>
    </w:p>
    <w:p w:rsidR="005D3DD1" w:rsidRPr="00254E84" w:rsidRDefault="005D3DD1" w:rsidP="005D3DD1">
      <w:pPr>
        <w:spacing w:after="120" w:line="276" w:lineRule="auto"/>
        <w:jc w:val="both"/>
        <w:rPr>
          <w:rFonts w:ascii="Times New Roman" w:hAnsi="Times New Roman" w:cs="Times New Roman"/>
          <w:color w:val="000000"/>
        </w:rPr>
      </w:pPr>
      <w:r w:rsidRPr="00BB2C29">
        <w:rPr>
          <w:rFonts w:ascii="Times New Roman" w:hAnsi="Times New Roman" w:cs="Times New Roman"/>
        </w:rPr>
        <w:t xml:space="preserve">The CDC evaluation team will </w:t>
      </w:r>
      <w:r>
        <w:rPr>
          <w:rFonts w:ascii="Times New Roman" w:hAnsi="Times New Roman" w:cs="Times New Roman"/>
        </w:rPr>
        <w:t xml:space="preserve">also </w:t>
      </w:r>
      <w:r w:rsidRPr="00BB2C29">
        <w:rPr>
          <w:rFonts w:ascii="Times New Roman" w:hAnsi="Times New Roman" w:cs="Times New Roman"/>
        </w:rPr>
        <w:t xml:space="preserve">be conducting a </w:t>
      </w:r>
      <w:r>
        <w:rPr>
          <w:rFonts w:ascii="Times New Roman" w:hAnsi="Times New Roman" w:cs="Times New Roman"/>
        </w:rPr>
        <w:t>quantitative</w:t>
      </w:r>
      <w:r w:rsidRPr="00BB2C29">
        <w:rPr>
          <w:rFonts w:ascii="Times New Roman" w:hAnsi="Times New Roman" w:cs="Times New Roman"/>
        </w:rPr>
        <w:t xml:space="preserve"> evaluation of the PEHRIIE program in order to understand the </w:t>
      </w:r>
      <w:r>
        <w:rPr>
          <w:rFonts w:ascii="Times New Roman" w:hAnsi="Times New Roman" w:cs="Times New Roman"/>
        </w:rPr>
        <w:t xml:space="preserve">impact of the PEHRIIE projects on the use of the PDMP by medical providers (including prescribers and pharmacists) </w:t>
      </w:r>
      <w:r w:rsidR="00FD68FC">
        <w:rPr>
          <w:rFonts w:ascii="Times New Roman" w:hAnsi="Times New Roman" w:cs="Times New Roman"/>
        </w:rPr>
        <w:t>and</w:t>
      </w:r>
      <w:r>
        <w:rPr>
          <w:rFonts w:ascii="Times New Roman" w:hAnsi="Times New Roman" w:cs="Times New Roman"/>
        </w:rPr>
        <w:t xml:space="preserve"> on early health outcomes related to </w:t>
      </w:r>
      <w:r w:rsidR="00FD68FC">
        <w:rPr>
          <w:rFonts w:ascii="Times New Roman" w:hAnsi="Times New Roman" w:cs="Times New Roman"/>
        </w:rPr>
        <w:t>the misuse and abuse</w:t>
      </w:r>
      <w:r>
        <w:rPr>
          <w:rFonts w:ascii="Times New Roman" w:hAnsi="Times New Roman" w:cs="Times New Roman"/>
        </w:rPr>
        <w:t xml:space="preserve"> of controlled prescription drugs</w:t>
      </w:r>
      <w:r w:rsidRPr="00BB2C29">
        <w:rPr>
          <w:rFonts w:ascii="Times New Roman" w:hAnsi="Times New Roman" w:cs="Times New Roman"/>
        </w:rPr>
        <w:t>.</w:t>
      </w:r>
      <w:r>
        <w:rPr>
          <w:rFonts w:ascii="Times New Roman" w:hAnsi="Times New Roman" w:cs="Times New Roman"/>
          <w:color w:val="000000"/>
        </w:rPr>
        <w:t xml:space="preserve"> </w:t>
      </w:r>
      <w:r w:rsidRPr="00254E84">
        <w:rPr>
          <w:rFonts w:ascii="Times New Roman" w:hAnsi="Times New Roman" w:cs="Times New Roman"/>
          <w:color w:val="000000"/>
        </w:rPr>
        <w:t xml:space="preserve">Quantitative data will be provided from two sources: PDMP data from each of the PEHRIIE states and </w:t>
      </w:r>
      <w:r w:rsidR="00047F26">
        <w:rPr>
          <w:rFonts w:ascii="Times New Roman" w:hAnsi="Times New Roman" w:cs="Times New Roman"/>
          <w:color w:val="000000"/>
        </w:rPr>
        <w:t xml:space="preserve">publicly available </w:t>
      </w:r>
      <w:r w:rsidRPr="00254E84">
        <w:rPr>
          <w:rFonts w:ascii="Times New Roman" w:hAnsi="Times New Roman" w:cs="Times New Roman"/>
          <w:color w:val="000000"/>
        </w:rPr>
        <w:t>state-level health outcomes surveillance dat</w:t>
      </w:r>
      <w:r>
        <w:rPr>
          <w:rFonts w:ascii="Times New Roman" w:hAnsi="Times New Roman" w:cs="Times New Roman"/>
          <w:color w:val="000000"/>
        </w:rPr>
        <w:t>a from CDC and SAMHSA.</w:t>
      </w:r>
    </w:p>
    <w:p w:rsidR="005D3DD1" w:rsidRPr="00254E84" w:rsidRDefault="005D3DD1" w:rsidP="005D3DD1">
      <w:pPr>
        <w:spacing w:after="120" w:line="276" w:lineRule="auto"/>
        <w:jc w:val="both"/>
        <w:rPr>
          <w:rFonts w:ascii="Times New Roman" w:hAnsi="Times New Roman" w:cs="Times New Roman"/>
        </w:rPr>
      </w:pPr>
      <w:r w:rsidRPr="00254E84">
        <w:rPr>
          <w:rFonts w:ascii="Times New Roman" w:hAnsi="Times New Roman" w:cs="Times New Roman"/>
          <w:color w:val="000000"/>
          <w:u w:val="single"/>
        </w:rPr>
        <w:t>PDMP Data</w:t>
      </w:r>
      <w:r w:rsidRPr="00254E84">
        <w:rPr>
          <w:rFonts w:ascii="Times New Roman" w:hAnsi="Times New Roman" w:cs="Times New Roman"/>
          <w:color w:val="000000"/>
        </w:rPr>
        <w:t>. As stipulated in the SAMHSA cooperative agreement</w:t>
      </w:r>
      <w:r>
        <w:rPr>
          <w:rFonts w:ascii="Times New Roman" w:hAnsi="Times New Roman" w:cs="Times New Roman"/>
          <w:color w:val="000000"/>
        </w:rPr>
        <w:t>s</w:t>
      </w:r>
      <w:r w:rsidRPr="00254E84">
        <w:rPr>
          <w:rFonts w:ascii="Times New Roman" w:hAnsi="Times New Roman" w:cs="Times New Roman"/>
          <w:color w:val="000000"/>
        </w:rPr>
        <w:t>, all grantee states will provide</w:t>
      </w:r>
      <w:r w:rsidR="00AA1E9B">
        <w:rPr>
          <w:rFonts w:ascii="Times New Roman" w:hAnsi="Times New Roman" w:cs="Times New Roman"/>
          <w:color w:val="000000"/>
        </w:rPr>
        <w:t xml:space="preserve"> either deidentified PDMP</w:t>
      </w:r>
      <w:r w:rsidRPr="00254E84">
        <w:rPr>
          <w:rFonts w:ascii="Times New Roman" w:hAnsi="Times New Roman" w:cs="Times New Roman"/>
          <w:color w:val="000000"/>
        </w:rPr>
        <w:t xml:space="preserve"> data</w:t>
      </w:r>
      <w:r w:rsidR="00AA1E9B">
        <w:rPr>
          <w:rFonts w:ascii="Times New Roman" w:hAnsi="Times New Roman" w:cs="Times New Roman"/>
          <w:color w:val="000000"/>
        </w:rPr>
        <w:t xml:space="preserve"> or quantitative measures derived there</w:t>
      </w:r>
      <w:r w:rsidR="00FD68FC">
        <w:rPr>
          <w:rFonts w:ascii="Times New Roman" w:hAnsi="Times New Roman" w:cs="Times New Roman"/>
          <w:color w:val="000000"/>
        </w:rPr>
        <w:t xml:space="preserve"> </w:t>
      </w:r>
      <w:r w:rsidR="00AA1E9B">
        <w:rPr>
          <w:rFonts w:ascii="Times New Roman" w:hAnsi="Times New Roman" w:cs="Times New Roman"/>
          <w:color w:val="000000"/>
        </w:rPr>
        <w:t>from</w:t>
      </w:r>
      <w:r w:rsidRPr="00254E84">
        <w:rPr>
          <w:rFonts w:ascii="Times New Roman" w:hAnsi="Times New Roman" w:cs="Times New Roman"/>
          <w:color w:val="000000"/>
        </w:rPr>
        <w:t xml:space="preserve"> upon request </w:t>
      </w:r>
      <w:r>
        <w:rPr>
          <w:rFonts w:ascii="Times New Roman" w:hAnsi="Times New Roman" w:cs="Times New Roman"/>
          <w:color w:val="000000"/>
        </w:rPr>
        <w:t>to</w:t>
      </w:r>
      <w:r w:rsidRPr="00254E84">
        <w:rPr>
          <w:rFonts w:ascii="Times New Roman" w:hAnsi="Times New Roman" w:cs="Times New Roman"/>
          <w:color w:val="000000"/>
        </w:rPr>
        <w:t xml:space="preserve"> the evaluation team during the </w:t>
      </w:r>
      <w:r w:rsidR="00AA1E9B">
        <w:rPr>
          <w:rFonts w:ascii="Times New Roman" w:hAnsi="Times New Roman" w:cs="Times New Roman"/>
          <w:color w:val="000000"/>
        </w:rPr>
        <w:t>program period</w:t>
      </w:r>
      <w:r w:rsidRPr="00254E84">
        <w:rPr>
          <w:rFonts w:ascii="Times New Roman" w:hAnsi="Times New Roman" w:cs="Times New Roman"/>
          <w:color w:val="000000"/>
        </w:rPr>
        <w:t xml:space="preserve">. </w:t>
      </w:r>
      <w:r>
        <w:rPr>
          <w:rFonts w:ascii="Times New Roman" w:hAnsi="Times New Roman" w:cs="Times New Roman"/>
        </w:rPr>
        <w:t>D</w:t>
      </w:r>
      <w:r w:rsidR="00243BC7">
        <w:rPr>
          <w:rFonts w:ascii="Times New Roman" w:hAnsi="Times New Roman" w:cs="Times New Roman"/>
        </w:rPr>
        <w:t>eidentified PDMP data</w:t>
      </w:r>
      <w:r w:rsidRPr="00254E84">
        <w:rPr>
          <w:rFonts w:ascii="Times New Roman" w:hAnsi="Times New Roman" w:cs="Times New Roman"/>
        </w:rPr>
        <w:t xml:space="preserve"> will be used to assess changes in patient, prescriber, and pharmacist behavior associated with PEHRIIE </w:t>
      </w:r>
      <w:r>
        <w:rPr>
          <w:rFonts w:ascii="Times New Roman" w:hAnsi="Times New Roman" w:cs="Times New Roman"/>
        </w:rPr>
        <w:t>project</w:t>
      </w:r>
      <w:r w:rsidRPr="00254E84">
        <w:rPr>
          <w:rFonts w:ascii="Times New Roman" w:hAnsi="Times New Roman" w:cs="Times New Roman"/>
        </w:rPr>
        <w:t>s. In addition, the evaluation team will ask grantees to document use of the PDMP data by prescribers and pharmacists associated with the pro</w:t>
      </w:r>
      <w:r>
        <w:rPr>
          <w:rFonts w:ascii="Times New Roman" w:hAnsi="Times New Roman" w:cs="Times New Roman"/>
        </w:rPr>
        <w:t>ject</w:t>
      </w:r>
      <w:r w:rsidRPr="00254E84">
        <w:rPr>
          <w:rFonts w:ascii="Times New Roman" w:hAnsi="Times New Roman" w:cs="Times New Roman"/>
        </w:rPr>
        <w:t xml:space="preserve">s. </w:t>
      </w:r>
    </w:p>
    <w:p w:rsidR="005D3DD1" w:rsidRPr="00254E84" w:rsidRDefault="005D3DD1" w:rsidP="005D3DD1">
      <w:pPr>
        <w:pStyle w:val="ListParagraph"/>
        <w:spacing w:after="120" w:line="276" w:lineRule="auto"/>
        <w:ind w:left="0"/>
        <w:contextualSpacing w:val="0"/>
        <w:jc w:val="both"/>
        <w:rPr>
          <w:sz w:val="22"/>
        </w:rPr>
      </w:pPr>
      <w:r>
        <w:rPr>
          <w:sz w:val="22"/>
        </w:rPr>
        <w:t>To protect the identities of the patients with records in each PDMP</w:t>
      </w:r>
      <w:r w:rsidR="00FD68FC">
        <w:rPr>
          <w:sz w:val="22"/>
        </w:rPr>
        <w:t xml:space="preserve"> database</w:t>
      </w:r>
      <w:r>
        <w:rPr>
          <w:sz w:val="22"/>
        </w:rPr>
        <w:t>, the majority of the identifying information will be removed from the records and a unique, project-specific identification number will be assigned in order to link all records associated with the same patient across the data collected for this evaluation. T</w:t>
      </w:r>
      <w:r w:rsidRPr="00254E84">
        <w:rPr>
          <w:sz w:val="22"/>
        </w:rPr>
        <w:t xml:space="preserve">he state and zip code of patient residence will be retained in the data to enable examination of geographic area variation, particularly around the </w:t>
      </w:r>
      <w:r>
        <w:rPr>
          <w:sz w:val="22"/>
        </w:rPr>
        <w:t>implementation</w:t>
      </w:r>
      <w:r w:rsidRPr="00254E84">
        <w:rPr>
          <w:sz w:val="22"/>
        </w:rPr>
        <w:t xml:space="preserve"> sites. </w:t>
      </w:r>
      <w:r>
        <w:rPr>
          <w:sz w:val="22"/>
        </w:rPr>
        <w:t>Identifying information relating to prescribers and dispensers will be treated similarly</w:t>
      </w:r>
      <w:r w:rsidRPr="00254E84">
        <w:rPr>
          <w:sz w:val="22"/>
        </w:rPr>
        <w:t xml:space="preserve">. </w:t>
      </w:r>
      <w:r>
        <w:rPr>
          <w:sz w:val="22"/>
        </w:rPr>
        <w:t>T</w:t>
      </w:r>
      <w:r w:rsidRPr="00254E84">
        <w:rPr>
          <w:sz w:val="22"/>
        </w:rPr>
        <w:t xml:space="preserve">he CDC evaluation team will also request data from each grantee </w:t>
      </w:r>
      <w:r>
        <w:rPr>
          <w:sz w:val="22"/>
        </w:rPr>
        <w:t>state</w:t>
      </w:r>
      <w:r w:rsidRPr="00254E84">
        <w:rPr>
          <w:sz w:val="22"/>
        </w:rPr>
        <w:t xml:space="preserve"> on prescriber and pharmacist regist</w:t>
      </w:r>
      <w:r>
        <w:rPr>
          <w:sz w:val="22"/>
        </w:rPr>
        <w:t>ration with and use of the PDMP.</w:t>
      </w:r>
      <w:r w:rsidRPr="00254E84">
        <w:rPr>
          <w:sz w:val="22"/>
        </w:rPr>
        <w:t xml:space="preserve"> A</w:t>
      </w:r>
      <w:r>
        <w:rPr>
          <w:sz w:val="22"/>
        </w:rPr>
        <w:t>s with the PDMP data</w:t>
      </w:r>
      <w:r w:rsidRPr="00254E84">
        <w:rPr>
          <w:sz w:val="22"/>
        </w:rPr>
        <w:t xml:space="preserve">, usage data will contain only project-specific ID numbers for prescribers and pharmacists, as well as their practice site zip codes. Finally, </w:t>
      </w:r>
      <w:r w:rsidR="00243BC7">
        <w:rPr>
          <w:sz w:val="22"/>
        </w:rPr>
        <w:t>the evaluation team will request that</w:t>
      </w:r>
      <w:r w:rsidRPr="00254E84">
        <w:rPr>
          <w:sz w:val="22"/>
        </w:rPr>
        <w:t xml:space="preserve"> each grantee </w:t>
      </w:r>
      <w:r w:rsidR="00FD68FC">
        <w:rPr>
          <w:sz w:val="22"/>
        </w:rPr>
        <w:t>state</w:t>
      </w:r>
      <w:r w:rsidRPr="00254E84">
        <w:rPr>
          <w:sz w:val="22"/>
        </w:rPr>
        <w:t xml:space="preserve"> create a dichotomous variable indicating which prescribers and pharmacists are associated with </w:t>
      </w:r>
      <w:r>
        <w:rPr>
          <w:sz w:val="22"/>
        </w:rPr>
        <w:t>implementa</w:t>
      </w:r>
      <w:r w:rsidRPr="00254E84">
        <w:rPr>
          <w:sz w:val="22"/>
        </w:rPr>
        <w:t xml:space="preserve">tion sites, and provide this variable </w:t>
      </w:r>
      <w:r w:rsidR="00FD68FC">
        <w:rPr>
          <w:sz w:val="22"/>
        </w:rPr>
        <w:t xml:space="preserve">along </w:t>
      </w:r>
      <w:r w:rsidRPr="00254E84">
        <w:rPr>
          <w:sz w:val="22"/>
        </w:rPr>
        <w:t xml:space="preserve">with the PDMP and usage data files. To ensure anonymity of prescribers and pharmacists associated with </w:t>
      </w:r>
      <w:r>
        <w:rPr>
          <w:sz w:val="22"/>
        </w:rPr>
        <w:t>implementation</w:t>
      </w:r>
      <w:r w:rsidRPr="00254E84">
        <w:rPr>
          <w:sz w:val="22"/>
        </w:rPr>
        <w:t xml:space="preserve"> sites, geographic and demographic strata with fewer than 25 prescribers or 25 pharmacists will not be used in the analysis of </w:t>
      </w:r>
      <w:r>
        <w:rPr>
          <w:sz w:val="22"/>
        </w:rPr>
        <w:t>project</w:t>
      </w:r>
      <w:r w:rsidRPr="00254E84">
        <w:rPr>
          <w:sz w:val="22"/>
        </w:rPr>
        <w:t xml:space="preserve"> effects. </w:t>
      </w:r>
      <w:r>
        <w:rPr>
          <w:sz w:val="22"/>
        </w:rPr>
        <w:t>Grantees that choose to prepare the metrics themselves will follow the same data preparation procedures</w:t>
      </w:r>
      <w:r w:rsidRPr="00254E84">
        <w:rPr>
          <w:sz w:val="22"/>
        </w:rPr>
        <w:t xml:space="preserve">. </w:t>
      </w:r>
    </w:p>
    <w:p w:rsidR="005D3DD1" w:rsidRPr="00254E84" w:rsidRDefault="005D3DD1" w:rsidP="005D3DD1">
      <w:pPr>
        <w:pStyle w:val="ListParagraph"/>
        <w:spacing w:after="120" w:line="276" w:lineRule="auto"/>
        <w:ind w:left="0"/>
        <w:contextualSpacing w:val="0"/>
        <w:jc w:val="both"/>
        <w:rPr>
          <w:sz w:val="22"/>
        </w:rPr>
      </w:pPr>
      <w:r>
        <w:rPr>
          <w:sz w:val="22"/>
        </w:rPr>
        <w:t>Quantitative data analysis will examine patterns of PDMP use</w:t>
      </w:r>
      <w:r w:rsidR="00FA7031">
        <w:rPr>
          <w:sz w:val="22"/>
        </w:rPr>
        <w:t xml:space="preserve"> as well as</w:t>
      </w:r>
      <w:r>
        <w:rPr>
          <w:sz w:val="22"/>
        </w:rPr>
        <w:t xml:space="preserve"> changes in the rates of risky patient behavior</w:t>
      </w:r>
      <w:r w:rsidRPr="00254E84">
        <w:rPr>
          <w:sz w:val="22"/>
        </w:rPr>
        <w:t xml:space="preserve"> and inappropriate prescriber or pharmacy behavior. Within each grantee state, pre-/post-</w:t>
      </w:r>
      <w:r>
        <w:rPr>
          <w:sz w:val="22"/>
        </w:rPr>
        <w:t>implementation</w:t>
      </w:r>
      <w:r w:rsidRPr="00254E84">
        <w:rPr>
          <w:sz w:val="22"/>
        </w:rPr>
        <w:t xml:space="preserve"> changes in each set of measures will be compared in aggregate for </w:t>
      </w:r>
      <w:r>
        <w:rPr>
          <w:sz w:val="22"/>
        </w:rPr>
        <w:t>implementation</w:t>
      </w:r>
      <w:r w:rsidRPr="00254E84">
        <w:rPr>
          <w:sz w:val="22"/>
        </w:rPr>
        <w:t xml:space="preserve"> and non-</w:t>
      </w:r>
      <w:r>
        <w:rPr>
          <w:sz w:val="22"/>
        </w:rPr>
        <w:t>implementation</w:t>
      </w:r>
      <w:r w:rsidRPr="00254E84">
        <w:rPr>
          <w:sz w:val="22"/>
        </w:rPr>
        <w:t xml:space="preserve"> </w:t>
      </w:r>
      <w:r w:rsidR="00FA7031">
        <w:rPr>
          <w:sz w:val="22"/>
        </w:rPr>
        <w:t>site</w:t>
      </w:r>
      <w:r w:rsidRPr="00254E84">
        <w:rPr>
          <w:sz w:val="22"/>
        </w:rPr>
        <w:t>s using a difference-in-differences approach.</w:t>
      </w:r>
    </w:p>
    <w:p w:rsidR="005D3DD1" w:rsidRPr="00254E84" w:rsidRDefault="005D3DD1" w:rsidP="005D3DD1">
      <w:pPr>
        <w:spacing w:after="120" w:line="276" w:lineRule="auto"/>
        <w:jc w:val="both"/>
        <w:rPr>
          <w:rFonts w:ascii="Times New Roman" w:hAnsi="Times New Roman" w:cs="Times New Roman"/>
        </w:rPr>
      </w:pPr>
      <w:r w:rsidRPr="00254E84">
        <w:rPr>
          <w:rFonts w:ascii="Times New Roman" w:hAnsi="Times New Roman" w:cs="Times New Roman"/>
        </w:rPr>
        <w:t>PDMP and provider usage data will be requested for</w:t>
      </w:r>
      <w:r w:rsidR="00FD68FC">
        <w:rPr>
          <w:rFonts w:ascii="Times New Roman" w:hAnsi="Times New Roman" w:cs="Times New Roman"/>
        </w:rPr>
        <w:t xml:space="preserve"> the two year</w:t>
      </w:r>
      <w:r w:rsidRPr="00254E84">
        <w:rPr>
          <w:rFonts w:ascii="Times New Roman" w:hAnsi="Times New Roman" w:cs="Times New Roman"/>
        </w:rPr>
        <w:t xml:space="preserve"> period preceding the </w:t>
      </w:r>
      <w:r>
        <w:rPr>
          <w:rFonts w:ascii="Times New Roman" w:hAnsi="Times New Roman" w:cs="Times New Roman"/>
        </w:rPr>
        <w:t>project implementation</w:t>
      </w:r>
      <w:r w:rsidRPr="00254E84">
        <w:rPr>
          <w:rFonts w:ascii="Times New Roman" w:hAnsi="Times New Roman" w:cs="Times New Roman"/>
        </w:rPr>
        <w:t xml:space="preserve"> as early as feasible in project year 1. Follow-up data of both types will be requested at </w:t>
      </w:r>
      <w:r w:rsidRPr="00254E84">
        <w:rPr>
          <w:rFonts w:ascii="Times New Roman" w:hAnsi="Times New Roman" w:cs="Times New Roman"/>
        </w:rPr>
        <w:lastRenderedPageBreak/>
        <w:t>approximately the 8</w:t>
      </w:r>
      <w:r w:rsidRPr="00254E84">
        <w:rPr>
          <w:rFonts w:ascii="Times New Roman" w:hAnsi="Times New Roman" w:cs="Times New Roman"/>
          <w:vertAlign w:val="superscript"/>
        </w:rPr>
        <w:t>th</w:t>
      </w:r>
      <w:r w:rsidRPr="00254E84">
        <w:rPr>
          <w:rFonts w:ascii="Times New Roman" w:hAnsi="Times New Roman" w:cs="Times New Roman"/>
        </w:rPr>
        <w:t xml:space="preserve"> month of project year 2, to allow for data preparation and data analysis by the evaluation team in preparation for its final report by the end of project year 2.  </w:t>
      </w:r>
    </w:p>
    <w:p w:rsidR="005D3DD1" w:rsidRPr="00254E84" w:rsidRDefault="005D3DD1" w:rsidP="00FA7031">
      <w:pPr>
        <w:pStyle w:val="Heading3"/>
        <w:spacing w:before="0" w:after="120" w:line="276" w:lineRule="auto"/>
        <w:jc w:val="both"/>
        <w:rPr>
          <w:rFonts w:ascii="Times New Roman" w:hAnsi="Times New Roman" w:cs="Times New Roman"/>
          <w:b w:val="0"/>
          <w:color w:val="auto"/>
          <w:sz w:val="22"/>
        </w:rPr>
      </w:pPr>
      <w:r w:rsidRPr="00254E84">
        <w:rPr>
          <w:rFonts w:ascii="Times New Roman" w:hAnsi="Times New Roman" w:cs="Times New Roman"/>
          <w:b w:val="0"/>
          <w:color w:val="auto"/>
          <w:sz w:val="22"/>
          <w:u w:val="single"/>
        </w:rPr>
        <w:t>Secondary health data variables from SAMSHA and CDC at the state level</w:t>
      </w:r>
      <w:r w:rsidRPr="00254E84">
        <w:rPr>
          <w:rFonts w:ascii="Times New Roman" w:hAnsi="Times New Roman" w:cs="Times New Roman"/>
          <w:b w:val="0"/>
          <w:color w:val="auto"/>
          <w:sz w:val="22"/>
        </w:rPr>
        <w:t xml:space="preserve">. To assess the impact of the PDMP grant program on nonmedical use, misuse, or abuse of controlled prescription drugs, we will examine health outcomes metrics including changes in: </w:t>
      </w:r>
    </w:p>
    <w:p w:rsidR="005D3DD1" w:rsidRPr="00254E84" w:rsidRDefault="005D3DD1" w:rsidP="00FA7031">
      <w:pPr>
        <w:pStyle w:val="Heading3"/>
        <w:numPr>
          <w:ilvl w:val="0"/>
          <w:numId w:val="14"/>
        </w:numPr>
        <w:spacing w:before="0" w:line="276" w:lineRule="auto"/>
        <w:jc w:val="both"/>
        <w:rPr>
          <w:rFonts w:ascii="Times New Roman" w:hAnsi="Times New Roman" w:cs="Times New Roman"/>
          <w:color w:val="auto"/>
          <w:sz w:val="22"/>
        </w:rPr>
      </w:pPr>
      <w:r w:rsidRPr="00254E84">
        <w:rPr>
          <w:rFonts w:ascii="Times New Roman" w:hAnsi="Times New Roman" w:cs="Times New Roman"/>
          <w:b w:val="0"/>
          <w:color w:val="auto"/>
          <w:sz w:val="22"/>
        </w:rPr>
        <w:t>Rates of reported non-medical use of controlled prescription drugs by state</w:t>
      </w:r>
    </w:p>
    <w:p w:rsidR="005D3DD1" w:rsidRPr="00254E84" w:rsidRDefault="005D3DD1" w:rsidP="00FA7031">
      <w:pPr>
        <w:pStyle w:val="Heading3"/>
        <w:numPr>
          <w:ilvl w:val="0"/>
          <w:numId w:val="14"/>
        </w:numPr>
        <w:spacing w:before="0" w:line="276" w:lineRule="auto"/>
        <w:jc w:val="both"/>
        <w:rPr>
          <w:rFonts w:ascii="Times New Roman" w:hAnsi="Times New Roman" w:cs="Times New Roman"/>
          <w:color w:val="auto"/>
          <w:sz w:val="22"/>
        </w:rPr>
      </w:pPr>
      <w:r w:rsidRPr="00254E84">
        <w:rPr>
          <w:rFonts w:ascii="Times New Roman" w:hAnsi="Times New Roman" w:cs="Times New Roman"/>
          <w:b w:val="0"/>
          <w:color w:val="auto"/>
          <w:sz w:val="22"/>
        </w:rPr>
        <w:t xml:space="preserve">Rates of emergency department visits associated with misuse or abuse of controlled </w:t>
      </w:r>
      <w:r>
        <w:rPr>
          <w:rFonts w:ascii="Times New Roman" w:hAnsi="Times New Roman" w:cs="Times New Roman"/>
          <w:b w:val="0"/>
          <w:color w:val="auto"/>
          <w:sz w:val="22"/>
        </w:rPr>
        <w:t>substance</w:t>
      </w:r>
      <w:r w:rsidRPr="00254E84">
        <w:rPr>
          <w:rFonts w:ascii="Times New Roman" w:hAnsi="Times New Roman" w:cs="Times New Roman"/>
          <w:b w:val="0"/>
          <w:color w:val="auto"/>
          <w:sz w:val="22"/>
        </w:rPr>
        <w:t>s</w:t>
      </w:r>
    </w:p>
    <w:p w:rsidR="005D3DD1" w:rsidRPr="00254E84" w:rsidRDefault="005D3DD1" w:rsidP="00FA7031">
      <w:pPr>
        <w:pStyle w:val="Heading3"/>
        <w:numPr>
          <w:ilvl w:val="0"/>
          <w:numId w:val="14"/>
        </w:numPr>
        <w:spacing w:before="0" w:line="276" w:lineRule="auto"/>
        <w:jc w:val="both"/>
        <w:rPr>
          <w:rFonts w:ascii="Times New Roman" w:hAnsi="Times New Roman" w:cs="Times New Roman"/>
          <w:color w:val="auto"/>
          <w:sz w:val="22"/>
        </w:rPr>
      </w:pPr>
      <w:r w:rsidRPr="00254E84">
        <w:rPr>
          <w:rFonts w:ascii="Times New Roman" w:hAnsi="Times New Roman" w:cs="Times New Roman"/>
          <w:b w:val="0"/>
          <w:color w:val="auto"/>
          <w:sz w:val="22"/>
        </w:rPr>
        <w:t xml:space="preserve">Rates of substance abuse treatment admissions associated with abuse of controlled </w:t>
      </w:r>
      <w:r>
        <w:rPr>
          <w:rFonts w:ascii="Times New Roman" w:hAnsi="Times New Roman" w:cs="Times New Roman"/>
          <w:b w:val="0"/>
          <w:color w:val="auto"/>
          <w:sz w:val="22"/>
        </w:rPr>
        <w:t>substances</w:t>
      </w:r>
    </w:p>
    <w:p w:rsidR="005D3DD1" w:rsidRPr="00254E84" w:rsidRDefault="005D3DD1" w:rsidP="00FA7031">
      <w:pPr>
        <w:pStyle w:val="Heading3"/>
        <w:numPr>
          <w:ilvl w:val="0"/>
          <w:numId w:val="14"/>
        </w:numPr>
        <w:spacing w:before="0" w:line="276" w:lineRule="auto"/>
        <w:jc w:val="both"/>
        <w:rPr>
          <w:rFonts w:ascii="Times New Roman" w:hAnsi="Times New Roman" w:cs="Times New Roman"/>
          <w:color w:val="auto"/>
          <w:sz w:val="22"/>
        </w:rPr>
      </w:pPr>
      <w:r w:rsidRPr="00254E84">
        <w:rPr>
          <w:rFonts w:ascii="Times New Roman" w:hAnsi="Times New Roman" w:cs="Times New Roman"/>
          <w:b w:val="0"/>
          <w:color w:val="auto"/>
          <w:sz w:val="22"/>
        </w:rPr>
        <w:t>Rates of overdose deaths involving controlled prescription drugs</w:t>
      </w:r>
    </w:p>
    <w:p w:rsidR="005D3DD1" w:rsidRPr="00254E84" w:rsidRDefault="005D3DD1" w:rsidP="00FA7031">
      <w:pPr>
        <w:pStyle w:val="Heading3"/>
        <w:numPr>
          <w:ilvl w:val="0"/>
          <w:numId w:val="14"/>
        </w:numPr>
        <w:spacing w:before="0" w:after="120" w:line="276" w:lineRule="auto"/>
        <w:jc w:val="both"/>
        <w:rPr>
          <w:rFonts w:ascii="Times New Roman" w:hAnsi="Times New Roman" w:cs="Times New Roman"/>
          <w:color w:val="auto"/>
          <w:sz w:val="22"/>
        </w:rPr>
      </w:pPr>
      <w:r w:rsidRPr="00254E84">
        <w:rPr>
          <w:rFonts w:ascii="Times New Roman" w:hAnsi="Times New Roman" w:cs="Times New Roman"/>
          <w:b w:val="0"/>
          <w:color w:val="auto"/>
          <w:sz w:val="22"/>
        </w:rPr>
        <w:t xml:space="preserve">Rates of hospital discharges associated with abuse of controlled prescription drugs. </w:t>
      </w:r>
    </w:p>
    <w:p w:rsidR="0014738B" w:rsidRPr="001C1F28" w:rsidRDefault="005D3DD1" w:rsidP="00FA7031">
      <w:pPr>
        <w:spacing w:line="276" w:lineRule="auto"/>
        <w:jc w:val="both"/>
        <w:rPr>
          <w:rFonts w:ascii="Times New Roman" w:hAnsi="Times New Roman" w:cs="Times New Roman"/>
        </w:rPr>
      </w:pPr>
      <w:r w:rsidRPr="00254E84">
        <w:rPr>
          <w:rFonts w:ascii="Times New Roman" w:hAnsi="Times New Roman" w:cs="Times New Roman"/>
        </w:rPr>
        <w:t xml:space="preserve">Due to the lag time in the availability of these metrics, an assessment of the changes associated with the </w:t>
      </w:r>
      <w:r>
        <w:rPr>
          <w:rFonts w:ascii="Times New Roman" w:hAnsi="Times New Roman" w:cs="Times New Roman"/>
        </w:rPr>
        <w:t>PEHRIIE project</w:t>
      </w:r>
      <w:r w:rsidRPr="00254E84">
        <w:rPr>
          <w:rFonts w:ascii="Times New Roman" w:hAnsi="Times New Roman" w:cs="Times New Roman"/>
        </w:rPr>
        <w:t>s may not be possible until one to two years after the end of the grant period.</w:t>
      </w:r>
    </w:p>
    <w:p w:rsidR="00FA7031" w:rsidRDefault="00FA7031" w:rsidP="001C1F28">
      <w:pPr>
        <w:spacing w:line="276" w:lineRule="auto"/>
        <w:jc w:val="both"/>
        <w:rPr>
          <w:rFonts w:ascii="Times New Roman" w:hAnsi="Times New Roman" w:cs="Times New Roman"/>
        </w:rPr>
      </w:pPr>
    </w:p>
    <w:p w:rsidR="00FA7031" w:rsidRPr="00FA7031" w:rsidRDefault="00FA7031" w:rsidP="00FA7031">
      <w:pPr>
        <w:spacing w:line="276" w:lineRule="auto"/>
        <w:jc w:val="both"/>
        <w:rPr>
          <w:rFonts w:ascii="Times New Roman" w:hAnsi="Times New Roman" w:cs="Times New Roman"/>
          <w:b/>
        </w:rPr>
      </w:pPr>
      <w:r w:rsidRPr="00FA7031">
        <w:rPr>
          <w:rFonts w:ascii="Times New Roman" w:hAnsi="Times New Roman" w:cs="Times New Roman"/>
          <w:b/>
          <w:u w:val="single"/>
        </w:rPr>
        <w:t>Document Review</w:t>
      </w:r>
      <w:r w:rsidRPr="00FA7031">
        <w:rPr>
          <w:rFonts w:ascii="Times New Roman" w:hAnsi="Times New Roman" w:cs="Times New Roman"/>
          <w:b/>
        </w:rPr>
        <w:t xml:space="preserve"> </w:t>
      </w:r>
    </w:p>
    <w:p w:rsidR="00FA7031" w:rsidRPr="00254E84" w:rsidRDefault="00FA7031" w:rsidP="00FA7031">
      <w:pPr>
        <w:spacing w:after="120" w:line="276" w:lineRule="auto"/>
        <w:jc w:val="both"/>
        <w:rPr>
          <w:rFonts w:ascii="Times New Roman" w:hAnsi="Times New Roman" w:cs="Times New Roman"/>
        </w:rPr>
      </w:pPr>
      <w:r w:rsidRPr="00254E84">
        <w:rPr>
          <w:rFonts w:ascii="Times New Roman" w:hAnsi="Times New Roman" w:cs="Times New Roman"/>
        </w:rPr>
        <w:t xml:space="preserve">As part of the cooperative agreements, grantees are required to submit proposals, progress reports, and similar project documents to </w:t>
      </w:r>
      <w:r w:rsidR="00FD68FC">
        <w:rPr>
          <w:rFonts w:ascii="Times New Roman" w:hAnsi="Times New Roman" w:cs="Times New Roman"/>
        </w:rPr>
        <w:t xml:space="preserve">both </w:t>
      </w:r>
      <w:r w:rsidRPr="00254E84">
        <w:rPr>
          <w:rFonts w:ascii="Times New Roman" w:hAnsi="Times New Roman" w:cs="Times New Roman"/>
        </w:rPr>
        <w:t xml:space="preserve">SAMHSA and the evaluation team. A systematic content analysis of these documents as well as publicly available information, such as laws relating to the grantee’s PDMP and other related PDMPs, will be conducted to capture both baseline status of the PDMP and changes made as part of this grant. Content analysis of these documents will also provide information for an across-case accounting of activities and outcomes that occurred </w:t>
      </w:r>
      <w:r w:rsidR="00FD68FC">
        <w:rPr>
          <w:rFonts w:ascii="Times New Roman" w:hAnsi="Times New Roman" w:cs="Times New Roman"/>
        </w:rPr>
        <w:t>as a result</w:t>
      </w:r>
      <w:r w:rsidRPr="00254E84">
        <w:rPr>
          <w:rFonts w:ascii="Times New Roman" w:hAnsi="Times New Roman" w:cs="Times New Roman"/>
        </w:rPr>
        <w:t xml:space="preserve"> of the grant</w:t>
      </w:r>
      <w:r>
        <w:rPr>
          <w:rFonts w:ascii="Times New Roman" w:hAnsi="Times New Roman" w:cs="Times New Roman"/>
        </w:rPr>
        <w:t>, including</w:t>
      </w:r>
      <w:r w:rsidRPr="00254E84">
        <w:rPr>
          <w:rFonts w:ascii="Times New Roman" w:hAnsi="Times New Roman" w:cs="Times New Roman"/>
        </w:rPr>
        <w:t xml:space="preserve">: </w:t>
      </w:r>
    </w:p>
    <w:p w:rsidR="00FA7031" w:rsidRPr="00254E84" w:rsidRDefault="00FA7031" w:rsidP="00FA7031">
      <w:pPr>
        <w:pStyle w:val="ListParagraph"/>
        <w:numPr>
          <w:ilvl w:val="0"/>
          <w:numId w:val="15"/>
        </w:numPr>
        <w:spacing w:line="276" w:lineRule="auto"/>
        <w:contextualSpacing w:val="0"/>
        <w:jc w:val="both"/>
        <w:rPr>
          <w:sz w:val="22"/>
        </w:rPr>
      </w:pPr>
      <w:r w:rsidRPr="00254E84">
        <w:rPr>
          <w:sz w:val="22"/>
        </w:rPr>
        <w:t xml:space="preserve">Number of grantees that had legislation regarding </w:t>
      </w:r>
      <w:r>
        <w:rPr>
          <w:sz w:val="22"/>
        </w:rPr>
        <w:t xml:space="preserve">the </w:t>
      </w:r>
      <w:r w:rsidRPr="00254E84">
        <w:rPr>
          <w:sz w:val="22"/>
        </w:rPr>
        <w:t xml:space="preserve">PDMP at the end of the grant that they did not </w:t>
      </w:r>
      <w:r>
        <w:rPr>
          <w:sz w:val="22"/>
        </w:rPr>
        <w:t xml:space="preserve">have </w:t>
      </w:r>
      <w:r w:rsidRPr="00254E84">
        <w:rPr>
          <w:sz w:val="22"/>
        </w:rPr>
        <w:t>before the grant program</w:t>
      </w:r>
    </w:p>
    <w:p w:rsidR="00FA7031" w:rsidRPr="00254E84" w:rsidRDefault="00FA7031" w:rsidP="00FA7031">
      <w:pPr>
        <w:pStyle w:val="ListParagraph"/>
        <w:numPr>
          <w:ilvl w:val="0"/>
          <w:numId w:val="15"/>
        </w:numPr>
        <w:spacing w:line="276" w:lineRule="auto"/>
        <w:contextualSpacing w:val="0"/>
        <w:jc w:val="both"/>
        <w:rPr>
          <w:sz w:val="22"/>
        </w:rPr>
      </w:pPr>
      <w:r w:rsidRPr="00254E84">
        <w:rPr>
          <w:sz w:val="22"/>
        </w:rPr>
        <w:t>Number of new data sharing agreements or memorandum of agreements between states</w:t>
      </w:r>
    </w:p>
    <w:p w:rsidR="00FA7031" w:rsidRPr="00254E84" w:rsidRDefault="00FA7031" w:rsidP="00FA7031">
      <w:pPr>
        <w:pStyle w:val="ListParagraph"/>
        <w:numPr>
          <w:ilvl w:val="0"/>
          <w:numId w:val="15"/>
        </w:numPr>
        <w:spacing w:line="276" w:lineRule="auto"/>
        <w:contextualSpacing w:val="0"/>
        <w:jc w:val="both"/>
        <w:rPr>
          <w:sz w:val="22"/>
        </w:rPr>
      </w:pPr>
      <w:r w:rsidRPr="00254E84">
        <w:rPr>
          <w:sz w:val="22"/>
        </w:rPr>
        <w:t xml:space="preserve">Number of new states </w:t>
      </w:r>
      <w:r>
        <w:rPr>
          <w:sz w:val="22"/>
        </w:rPr>
        <w:t xml:space="preserve">that </w:t>
      </w:r>
      <w:r w:rsidRPr="00254E84">
        <w:rPr>
          <w:sz w:val="22"/>
        </w:rPr>
        <w:t>grantee</w:t>
      </w:r>
      <w:r>
        <w:rPr>
          <w:sz w:val="22"/>
        </w:rPr>
        <w:t xml:space="preserve"> system</w:t>
      </w:r>
      <w:r w:rsidRPr="00254E84">
        <w:rPr>
          <w:sz w:val="22"/>
        </w:rPr>
        <w:t>s are now interoperable with</w:t>
      </w:r>
    </w:p>
    <w:p w:rsidR="00FA7031" w:rsidRPr="00254E84" w:rsidRDefault="00FA7031" w:rsidP="00FA7031">
      <w:pPr>
        <w:pStyle w:val="ListParagraph"/>
        <w:numPr>
          <w:ilvl w:val="0"/>
          <w:numId w:val="15"/>
        </w:numPr>
        <w:spacing w:line="276" w:lineRule="auto"/>
        <w:contextualSpacing w:val="0"/>
        <w:jc w:val="both"/>
        <w:rPr>
          <w:sz w:val="22"/>
        </w:rPr>
      </w:pPr>
      <w:r w:rsidRPr="00254E84">
        <w:rPr>
          <w:sz w:val="22"/>
        </w:rPr>
        <w:t xml:space="preserve">Number of new integrations with </w:t>
      </w:r>
      <w:r>
        <w:rPr>
          <w:sz w:val="22"/>
        </w:rPr>
        <w:t>HIT</w:t>
      </w:r>
      <w:r w:rsidRPr="00254E84">
        <w:rPr>
          <w:sz w:val="22"/>
        </w:rPr>
        <w:t xml:space="preserve"> systems</w:t>
      </w:r>
    </w:p>
    <w:p w:rsidR="00FA7031" w:rsidRPr="00254E84" w:rsidRDefault="00FA7031" w:rsidP="00FA7031">
      <w:pPr>
        <w:pStyle w:val="ListParagraph"/>
        <w:numPr>
          <w:ilvl w:val="0"/>
          <w:numId w:val="15"/>
        </w:numPr>
        <w:spacing w:after="120" w:line="276" w:lineRule="auto"/>
        <w:contextualSpacing w:val="0"/>
        <w:jc w:val="both"/>
        <w:rPr>
          <w:sz w:val="22"/>
        </w:rPr>
      </w:pPr>
      <w:r>
        <w:rPr>
          <w:sz w:val="22"/>
        </w:rPr>
        <w:t>Cost</w:t>
      </w:r>
      <w:r w:rsidRPr="00254E84">
        <w:rPr>
          <w:sz w:val="22"/>
        </w:rPr>
        <w:t xml:space="preserve">s associated with development and </w:t>
      </w:r>
      <w:r>
        <w:rPr>
          <w:sz w:val="22"/>
        </w:rPr>
        <w:t>implementation</w:t>
      </w:r>
      <w:r w:rsidRPr="00254E84">
        <w:rPr>
          <w:sz w:val="22"/>
        </w:rPr>
        <w:t xml:space="preserve"> of </w:t>
      </w:r>
      <w:r>
        <w:rPr>
          <w:sz w:val="22"/>
        </w:rPr>
        <w:t xml:space="preserve">integration and </w:t>
      </w:r>
      <w:r w:rsidRPr="00254E84">
        <w:rPr>
          <w:sz w:val="22"/>
        </w:rPr>
        <w:t>interoperability</w:t>
      </w:r>
    </w:p>
    <w:p w:rsidR="00FA7031" w:rsidRPr="00254E84" w:rsidRDefault="00FA7031" w:rsidP="00FA7031">
      <w:pPr>
        <w:spacing w:after="120" w:line="276" w:lineRule="auto"/>
        <w:jc w:val="both"/>
        <w:rPr>
          <w:rFonts w:ascii="Times New Roman" w:hAnsi="Times New Roman" w:cs="Times New Roman"/>
        </w:rPr>
      </w:pPr>
      <w:r w:rsidRPr="00254E84">
        <w:rPr>
          <w:rFonts w:ascii="Times New Roman" w:hAnsi="Times New Roman" w:cs="Times New Roman"/>
        </w:rPr>
        <w:t>Information about these indicators will allow the evaluation team to assess outcomes of the grant projects in relation to increasing interstate interoperability, integration with additional EHR systems, other enhancements to the PDMP, and costs associated with interoperability.</w:t>
      </w:r>
    </w:p>
    <w:p w:rsidR="00FA7031" w:rsidRDefault="00FA7031" w:rsidP="001C1F28">
      <w:pPr>
        <w:spacing w:line="276" w:lineRule="auto"/>
        <w:jc w:val="both"/>
        <w:rPr>
          <w:rFonts w:ascii="Times New Roman" w:hAnsi="Times New Roman" w:cs="Times New Roman"/>
        </w:rPr>
      </w:pPr>
      <w:r w:rsidRPr="00254E84">
        <w:rPr>
          <w:rFonts w:ascii="Times New Roman" w:hAnsi="Times New Roman" w:cs="Times New Roman"/>
        </w:rPr>
        <w:t xml:space="preserve">The primary results of </w:t>
      </w:r>
      <w:r>
        <w:rPr>
          <w:rFonts w:ascii="Times New Roman" w:hAnsi="Times New Roman" w:cs="Times New Roman"/>
        </w:rPr>
        <w:t>each evaluation component</w:t>
      </w:r>
      <w:r w:rsidRPr="00254E84">
        <w:rPr>
          <w:rFonts w:ascii="Times New Roman" w:hAnsi="Times New Roman" w:cs="Times New Roman"/>
        </w:rPr>
        <w:t xml:space="preserve"> will be included in summary reports for each of the nine PEHRIIE state grantees and a final comprehensive report of the overall evaluation findings, which will be disseminated to the primary stakeholders in the SAMHSA PEHRIIE cooperative a</w:t>
      </w:r>
      <w:r>
        <w:rPr>
          <w:rFonts w:ascii="Times New Roman" w:hAnsi="Times New Roman" w:cs="Times New Roman"/>
        </w:rPr>
        <w:t>greement program</w:t>
      </w:r>
      <w:r w:rsidRPr="00254E84">
        <w:rPr>
          <w:rFonts w:ascii="Times New Roman" w:hAnsi="Times New Roman" w:cs="Times New Roman"/>
        </w:rPr>
        <w:t>. Because this is the first evaluation of PDMP integration with HIT and interstate interoperability, the findings from the evaluation will likely inform future collaborations between government agencies, PDMP advisory groups, and state stakeholders as they pursue additional work focused on improving PDMP efficacy and reducing the epidemic of prescription drug misuse, abuse, and overdose. Moreover, while the results of this evaluation are not explicitly generalizable beyond the specific projects being evaluated, it is anticipated that the findings of this work will serve as an informative guide for additional states looking to make similar upgrades to their PDMP and HIT systems. Finally, it is anticipated that the reports resulting from this evaluation will be used by the PEHRIIE grantee states in order to refine and expand the improvements made to their PDMPs and HIT systems beyond the funding period</w:t>
      </w:r>
      <w:r w:rsidR="00243BC7">
        <w:rPr>
          <w:rFonts w:ascii="Times New Roman" w:hAnsi="Times New Roman" w:cs="Times New Roman"/>
        </w:rPr>
        <w:t>.</w:t>
      </w:r>
    </w:p>
    <w:sectPr w:rsidR="00FA7031" w:rsidSect="002A49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4F" w:rsidRDefault="003D654F" w:rsidP="0014738B">
      <w:r>
        <w:separator/>
      </w:r>
    </w:p>
  </w:endnote>
  <w:endnote w:type="continuationSeparator" w:id="0">
    <w:p w:rsidR="003D654F" w:rsidRDefault="003D654F" w:rsidP="0014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66819"/>
      <w:docPartObj>
        <w:docPartGallery w:val="Page Numbers (Bottom of Page)"/>
        <w:docPartUnique/>
      </w:docPartObj>
    </w:sdtPr>
    <w:sdtEndPr>
      <w:rPr>
        <w:noProof/>
      </w:rPr>
    </w:sdtEndPr>
    <w:sdtContent>
      <w:p w:rsidR="0014738B" w:rsidRDefault="009A6666">
        <w:pPr>
          <w:pStyle w:val="Footer"/>
          <w:jc w:val="center"/>
        </w:pPr>
        <w:r>
          <w:fldChar w:fldCharType="begin"/>
        </w:r>
        <w:r w:rsidR="0014738B">
          <w:instrText xml:space="preserve"> PAGE   \* MERGEFORMAT </w:instrText>
        </w:r>
        <w:r>
          <w:fldChar w:fldCharType="separate"/>
        </w:r>
        <w:r w:rsidR="00E247CD">
          <w:rPr>
            <w:noProof/>
          </w:rPr>
          <w:t>2</w:t>
        </w:r>
        <w:r>
          <w:rPr>
            <w:noProof/>
          </w:rPr>
          <w:fldChar w:fldCharType="end"/>
        </w:r>
      </w:p>
    </w:sdtContent>
  </w:sdt>
  <w:p w:rsidR="0014738B" w:rsidRDefault="00147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4F" w:rsidRDefault="003D654F" w:rsidP="0014738B">
      <w:r>
        <w:separator/>
      </w:r>
    </w:p>
  </w:footnote>
  <w:footnote w:type="continuationSeparator" w:id="0">
    <w:p w:rsidR="003D654F" w:rsidRDefault="003D654F" w:rsidP="00147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804"/>
    <w:multiLevelType w:val="hybridMultilevel"/>
    <w:tmpl w:val="BF9EA380"/>
    <w:lvl w:ilvl="0" w:tplc="032C0E1C">
      <w:start w:val="1"/>
      <w:numFmt w:val="bullet"/>
      <w:lvlText w:val="–"/>
      <w:lvlJc w:val="left"/>
      <w:pPr>
        <w:tabs>
          <w:tab w:val="num" w:pos="720"/>
        </w:tabs>
        <w:ind w:left="720" w:hanging="360"/>
      </w:pPr>
      <w:rPr>
        <w:rFonts w:ascii="Arial" w:hAnsi="Arial" w:hint="default"/>
      </w:rPr>
    </w:lvl>
    <w:lvl w:ilvl="1" w:tplc="94E816C8">
      <w:start w:val="1"/>
      <w:numFmt w:val="bullet"/>
      <w:lvlText w:val="–"/>
      <w:lvlJc w:val="left"/>
      <w:pPr>
        <w:tabs>
          <w:tab w:val="num" w:pos="1440"/>
        </w:tabs>
        <w:ind w:left="1440" w:hanging="360"/>
      </w:pPr>
      <w:rPr>
        <w:rFonts w:ascii="Arial" w:hAnsi="Arial" w:hint="default"/>
      </w:rPr>
    </w:lvl>
    <w:lvl w:ilvl="2" w:tplc="4684A272" w:tentative="1">
      <w:start w:val="1"/>
      <w:numFmt w:val="bullet"/>
      <w:lvlText w:val="–"/>
      <w:lvlJc w:val="left"/>
      <w:pPr>
        <w:tabs>
          <w:tab w:val="num" w:pos="2160"/>
        </w:tabs>
        <w:ind w:left="2160" w:hanging="360"/>
      </w:pPr>
      <w:rPr>
        <w:rFonts w:ascii="Arial" w:hAnsi="Arial" w:hint="default"/>
      </w:rPr>
    </w:lvl>
    <w:lvl w:ilvl="3" w:tplc="6B260D42" w:tentative="1">
      <w:start w:val="1"/>
      <w:numFmt w:val="bullet"/>
      <w:lvlText w:val="–"/>
      <w:lvlJc w:val="left"/>
      <w:pPr>
        <w:tabs>
          <w:tab w:val="num" w:pos="2880"/>
        </w:tabs>
        <w:ind w:left="2880" w:hanging="360"/>
      </w:pPr>
      <w:rPr>
        <w:rFonts w:ascii="Arial" w:hAnsi="Arial" w:hint="default"/>
      </w:rPr>
    </w:lvl>
    <w:lvl w:ilvl="4" w:tplc="DB6ECDFE" w:tentative="1">
      <w:start w:val="1"/>
      <w:numFmt w:val="bullet"/>
      <w:lvlText w:val="–"/>
      <w:lvlJc w:val="left"/>
      <w:pPr>
        <w:tabs>
          <w:tab w:val="num" w:pos="3600"/>
        </w:tabs>
        <w:ind w:left="3600" w:hanging="360"/>
      </w:pPr>
      <w:rPr>
        <w:rFonts w:ascii="Arial" w:hAnsi="Arial" w:hint="default"/>
      </w:rPr>
    </w:lvl>
    <w:lvl w:ilvl="5" w:tplc="0A720FA4" w:tentative="1">
      <w:start w:val="1"/>
      <w:numFmt w:val="bullet"/>
      <w:lvlText w:val="–"/>
      <w:lvlJc w:val="left"/>
      <w:pPr>
        <w:tabs>
          <w:tab w:val="num" w:pos="4320"/>
        </w:tabs>
        <w:ind w:left="4320" w:hanging="360"/>
      </w:pPr>
      <w:rPr>
        <w:rFonts w:ascii="Arial" w:hAnsi="Arial" w:hint="default"/>
      </w:rPr>
    </w:lvl>
    <w:lvl w:ilvl="6" w:tplc="89DE6E14" w:tentative="1">
      <w:start w:val="1"/>
      <w:numFmt w:val="bullet"/>
      <w:lvlText w:val="–"/>
      <w:lvlJc w:val="left"/>
      <w:pPr>
        <w:tabs>
          <w:tab w:val="num" w:pos="5040"/>
        </w:tabs>
        <w:ind w:left="5040" w:hanging="360"/>
      </w:pPr>
      <w:rPr>
        <w:rFonts w:ascii="Arial" w:hAnsi="Arial" w:hint="default"/>
      </w:rPr>
    </w:lvl>
    <w:lvl w:ilvl="7" w:tplc="63E6E316" w:tentative="1">
      <w:start w:val="1"/>
      <w:numFmt w:val="bullet"/>
      <w:lvlText w:val="–"/>
      <w:lvlJc w:val="left"/>
      <w:pPr>
        <w:tabs>
          <w:tab w:val="num" w:pos="5760"/>
        </w:tabs>
        <w:ind w:left="5760" w:hanging="360"/>
      </w:pPr>
      <w:rPr>
        <w:rFonts w:ascii="Arial" w:hAnsi="Arial" w:hint="default"/>
      </w:rPr>
    </w:lvl>
    <w:lvl w:ilvl="8" w:tplc="78280268" w:tentative="1">
      <w:start w:val="1"/>
      <w:numFmt w:val="bullet"/>
      <w:lvlText w:val="–"/>
      <w:lvlJc w:val="left"/>
      <w:pPr>
        <w:tabs>
          <w:tab w:val="num" w:pos="6480"/>
        </w:tabs>
        <w:ind w:left="6480" w:hanging="360"/>
      </w:pPr>
      <w:rPr>
        <w:rFonts w:ascii="Arial" w:hAnsi="Arial" w:hint="default"/>
      </w:rPr>
    </w:lvl>
  </w:abstractNum>
  <w:abstractNum w:abstractNumId="1">
    <w:nsid w:val="07322ACE"/>
    <w:multiLevelType w:val="hybridMultilevel"/>
    <w:tmpl w:val="D396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944E6"/>
    <w:multiLevelType w:val="hybridMultilevel"/>
    <w:tmpl w:val="F4B6699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0CC10944"/>
    <w:multiLevelType w:val="hybridMultilevel"/>
    <w:tmpl w:val="48C6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C7D08"/>
    <w:multiLevelType w:val="hybridMultilevel"/>
    <w:tmpl w:val="025CC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0020C"/>
    <w:multiLevelType w:val="hybridMultilevel"/>
    <w:tmpl w:val="517A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02768D"/>
    <w:multiLevelType w:val="hybridMultilevel"/>
    <w:tmpl w:val="A59CFFE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40886C1F"/>
    <w:multiLevelType w:val="hybridMultilevel"/>
    <w:tmpl w:val="62B650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40B159A"/>
    <w:multiLevelType w:val="hybridMultilevel"/>
    <w:tmpl w:val="EBF6E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71352A"/>
    <w:multiLevelType w:val="hybridMultilevel"/>
    <w:tmpl w:val="959A9ED8"/>
    <w:lvl w:ilvl="0" w:tplc="55086EBE">
      <w:start w:val="1"/>
      <w:numFmt w:val="bullet"/>
      <w:lvlText w:val="–"/>
      <w:lvlJc w:val="left"/>
      <w:pPr>
        <w:tabs>
          <w:tab w:val="num" w:pos="720"/>
        </w:tabs>
        <w:ind w:left="720" w:hanging="360"/>
      </w:pPr>
      <w:rPr>
        <w:rFonts w:ascii="Arial" w:hAnsi="Arial" w:hint="default"/>
      </w:rPr>
    </w:lvl>
    <w:lvl w:ilvl="1" w:tplc="0D969A26">
      <w:start w:val="1"/>
      <w:numFmt w:val="bullet"/>
      <w:lvlText w:val="–"/>
      <w:lvlJc w:val="left"/>
      <w:pPr>
        <w:tabs>
          <w:tab w:val="num" w:pos="1440"/>
        </w:tabs>
        <w:ind w:left="1440" w:hanging="360"/>
      </w:pPr>
      <w:rPr>
        <w:rFonts w:ascii="Arial" w:hAnsi="Arial" w:hint="default"/>
      </w:rPr>
    </w:lvl>
    <w:lvl w:ilvl="2" w:tplc="1C0C6CE8">
      <w:start w:val="1672"/>
      <w:numFmt w:val="bullet"/>
      <w:lvlText w:val="•"/>
      <w:lvlJc w:val="left"/>
      <w:pPr>
        <w:tabs>
          <w:tab w:val="num" w:pos="2160"/>
        </w:tabs>
        <w:ind w:left="2160" w:hanging="360"/>
      </w:pPr>
      <w:rPr>
        <w:rFonts w:ascii="Arial" w:hAnsi="Arial" w:hint="default"/>
      </w:rPr>
    </w:lvl>
    <w:lvl w:ilvl="3" w:tplc="9AA06D32" w:tentative="1">
      <w:start w:val="1"/>
      <w:numFmt w:val="bullet"/>
      <w:lvlText w:val="–"/>
      <w:lvlJc w:val="left"/>
      <w:pPr>
        <w:tabs>
          <w:tab w:val="num" w:pos="2880"/>
        </w:tabs>
        <w:ind w:left="2880" w:hanging="360"/>
      </w:pPr>
      <w:rPr>
        <w:rFonts w:ascii="Arial" w:hAnsi="Arial" w:hint="default"/>
      </w:rPr>
    </w:lvl>
    <w:lvl w:ilvl="4" w:tplc="8B0E0D3C" w:tentative="1">
      <w:start w:val="1"/>
      <w:numFmt w:val="bullet"/>
      <w:lvlText w:val="–"/>
      <w:lvlJc w:val="left"/>
      <w:pPr>
        <w:tabs>
          <w:tab w:val="num" w:pos="3600"/>
        </w:tabs>
        <w:ind w:left="3600" w:hanging="360"/>
      </w:pPr>
      <w:rPr>
        <w:rFonts w:ascii="Arial" w:hAnsi="Arial" w:hint="default"/>
      </w:rPr>
    </w:lvl>
    <w:lvl w:ilvl="5" w:tplc="FA22960C" w:tentative="1">
      <w:start w:val="1"/>
      <w:numFmt w:val="bullet"/>
      <w:lvlText w:val="–"/>
      <w:lvlJc w:val="left"/>
      <w:pPr>
        <w:tabs>
          <w:tab w:val="num" w:pos="4320"/>
        </w:tabs>
        <w:ind w:left="4320" w:hanging="360"/>
      </w:pPr>
      <w:rPr>
        <w:rFonts w:ascii="Arial" w:hAnsi="Arial" w:hint="default"/>
      </w:rPr>
    </w:lvl>
    <w:lvl w:ilvl="6" w:tplc="BA7CC6BA" w:tentative="1">
      <w:start w:val="1"/>
      <w:numFmt w:val="bullet"/>
      <w:lvlText w:val="–"/>
      <w:lvlJc w:val="left"/>
      <w:pPr>
        <w:tabs>
          <w:tab w:val="num" w:pos="5040"/>
        </w:tabs>
        <w:ind w:left="5040" w:hanging="360"/>
      </w:pPr>
      <w:rPr>
        <w:rFonts w:ascii="Arial" w:hAnsi="Arial" w:hint="default"/>
      </w:rPr>
    </w:lvl>
    <w:lvl w:ilvl="7" w:tplc="7852526E" w:tentative="1">
      <w:start w:val="1"/>
      <w:numFmt w:val="bullet"/>
      <w:lvlText w:val="–"/>
      <w:lvlJc w:val="left"/>
      <w:pPr>
        <w:tabs>
          <w:tab w:val="num" w:pos="5760"/>
        </w:tabs>
        <w:ind w:left="5760" w:hanging="360"/>
      </w:pPr>
      <w:rPr>
        <w:rFonts w:ascii="Arial" w:hAnsi="Arial" w:hint="default"/>
      </w:rPr>
    </w:lvl>
    <w:lvl w:ilvl="8" w:tplc="9F565420" w:tentative="1">
      <w:start w:val="1"/>
      <w:numFmt w:val="bullet"/>
      <w:lvlText w:val="–"/>
      <w:lvlJc w:val="left"/>
      <w:pPr>
        <w:tabs>
          <w:tab w:val="num" w:pos="6480"/>
        </w:tabs>
        <w:ind w:left="6480" w:hanging="360"/>
      </w:pPr>
      <w:rPr>
        <w:rFonts w:ascii="Arial" w:hAnsi="Arial" w:hint="default"/>
      </w:rPr>
    </w:lvl>
  </w:abstractNum>
  <w:abstractNum w:abstractNumId="10">
    <w:nsid w:val="46707F25"/>
    <w:multiLevelType w:val="hybridMultilevel"/>
    <w:tmpl w:val="2F3E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C141F"/>
    <w:multiLevelType w:val="hybridMultilevel"/>
    <w:tmpl w:val="2D742FC6"/>
    <w:lvl w:ilvl="0" w:tplc="10FA8F88">
      <w:start w:val="1"/>
      <w:numFmt w:val="bullet"/>
      <w:lvlText w:val="–"/>
      <w:lvlJc w:val="left"/>
      <w:pPr>
        <w:tabs>
          <w:tab w:val="num" w:pos="720"/>
        </w:tabs>
        <w:ind w:left="720" w:hanging="360"/>
      </w:pPr>
      <w:rPr>
        <w:rFonts w:ascii="Arial" w:hAnsi="Arial" w:hint="default"/>
      </w:rPr>
    </w:lvl>
    <w:lvl w:ilvl="1" w:tplc="021AFA1C">
      <w:start w:val="1"/>
      <w:numFmt w:val="bullet"/>
      <w:lvlText w:val="–"/>
      <w:lvlJc w:val="left"/>
      <w:pPr>
        <w:tabs>
          <w:tab w:val="num" w:pos="1440"/>
        </w:tabs>
        <w:ind w:left="1440" w:hanging="360"/>
      </w:pPr>
      <w:rPr>
        <w:rFonts w:ascii="Arial" w:hAnsi="Arial" w:hint="default"/>
      </w:rPr>
    </w:lvl>
    <w:lvl w:ilvl="2" w:tplc="9A78904E" w:tentative="1">
      <w:start w:val="1"/>
      <w:numFmt w:val="bullet"/>
      <w:lvlText w:val="–"/>
      <w:lvlJc w:val="left"/>
      <w:pPr>
        <w:tabs>
          <w:tab w:val="num" w:pos="2160"/>
        </w:tabs>
        <w:ind w:left="2160" w:hanging="360"/>
      </w:pPr>
      <w:rPr>
        <w:rFonts w:ascii="Arial" w:hAnsi="Arial" w:hint="default"/>
      </w:rPr>
    </w:lvl>
    <w:lvl w:ilvl="3" w:tplc="7296520C" w:tentative="1">
      <w:start w:val="1"/>
      <w:numFmt w:val="bullet"/>
      <w:lvlText w:val="–"/>
      <w:lvlJc w:val="left"/>
      <w:pPr>
        <w:tabs>
          <w:tab w:val="num" w:pos="2880"/>
        </w:tabs>
        <w:ind w:left="2880" w:hanging="360"/>
      </w:pPr>
      <w:rPr>
        <w:rFonts w:ascii="Arial" w:hAnsi="Arial" w:hint="default"/>
      </w:rPr>
    </w:lvl>
    <w:lvl w:ilvl="4" w:tplc="0A06C6F6" w:tentative="1">
      <w:start w:val="1"/>
      <w:numFmt w:val="bullet"/>
      <w:lvlText w:val="–"/>
      <w:lvlJc w:val="left"/>
      <w:pPr>
        <w:tabs>
          <w:tab w:val="num" w:pos="3600"/>
        </w:tabs>
        <w:ind w:left="3600" w:hanging="360"/>
      </w:pPr>
      <w:rPr>
        <w:rFonts w:ascii="Arial" w:hAnsi="Arial" w:hint="default"/>
      </w:rPr>
    </w:lvl>
    <w:lvl w:ilvl="5" w:tplc="5D7CCAC6" w:tentative="1">
      <w:start w:val="1"/>
      <w:numFmt w:val="bullet"/>
      <w:lvlText w:val="–"/>
      <w:lvlJc w:val="left"/>
      <w:pPr>
        <w:tabs>
          <w:tab w:val="num" w:pos="4320"/>
        </w:tabs>
        <w:ind w:left="4320" w:hanging="360"/>
      </w:pPr>
      <w:rPr>
        <w:rFonts w:ascii="Arial" w:hAnsi="Arial" w:hint="default"/>
      </w:rPr>
    </w:lvl>
    <w:lvl w:ilvl="6" w:tplc="8FAE9C58" w:tentative="1">
      <w:start w:val="1"/>
      <w:numFmt w:val="bullet"/>
      <w:lvlText w:val="–"/>
      <w:lvlJc w:val="left"/>
      <w:pPr>
        <w:tabs>
          <w:tab w:val="num" w:pos="5040"/>
        </w:tabs>
        <w:ind w:left="5040" w:hanging="360"/>
      </w:pPr>
      <w:rPr>
        <w:rFonts w:ascii="Arial" w:hAnsi="Arial" w:hint="default"/>
      </w:rPr>
    </w:lvl>
    <w:lvl w:ilvl="7" w:tplc="4CC0C684" w:tentative="1">
      <w:start w:val="1"/>
      <w:numFmt w:val="bullet"/>
      <w:lvlText w:val="–"/>
      <w:lvlJc w:val="left"/>
      <w:pPr>
        <w:tabs>
          <w:tab w:val="num" w:pos="5760"/>
        </w:tabs>
        <w:ind w:left="5760" w:hanging="360"/>
      </w:pPr>
      <w:rPr>
        <w:rFonts w:ascii="Arial" w:hAnsi="Arial" w:hint="default"/>
      </w:rPr>
    </w:lvl>
    <w:lvl w:ilvl="8" w:tplc="5E2641C8" w:tentative="1">
      <w:start w:val="1"/>
      <w:numFmt w:val="bullet"/>
      <w:lvlText w:val="–"/>
      <w:lvlJc w:val="left"/>
      <w:pPr>
        <w:tabs>
          <w:tab w:val="num" w:pos="6480"/>
        </w:tabs>
        <w:ind w:left="6480" w:hanging="360"/>
      </w:pPr>
      <w:rPr>
        <w:rFonts w:ascii="Arial" w:hAnsi="Arial" w:hint="default"/>
      </w:rPr>
    </w:lvl>
  </w:abstractNum>
  <w:abstractNum w:abstractNumId="12">
    <w:nsid w:val="540931CF"/>
    <w:multiLevelType w:val="hybridMultilevel"/>
    <w:tmpl w:val="220EB5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385F91"/>
    <w:multiLevelType w:val="hybridMultilevel"/>
    <w:tmpl w:val="2556D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E906CB"/>
    <w:multiLevelType w:val="hybridMultilevel"/>
    <w:tmpl w:val="72CA0EEA"/>
    <w:lvl w:ilvl="0" w:tplc="8804932E">
      <w:start w:val="1"/>
      <w:numFmt w:val="bullet"/>
      <w:lvlText w:val="•"/>
      <w:lvlJc w:val="left"/>
      <w:pPr>
        <w:tabs>
          <w:tab w:val="num" w:pos="720"/>
        </w:tabs>
        <w:ind w:left="720" w:hanging="360"/>
      </w:pPr>
      <w:rPr>
        <w:rFonts w:ascii="Arial" w:hAnsi="Arial" w:hint="default"/>
      </w:rPr>
    </w:lvl>
    <w:lvl w:ilvl="1" w:tplc="F5AC8666">
      <w:start w:val="1662"/>
      <w:numFmt w:val="bullet"/>
      <w:lvlText w:val="–"/>
      <w:lvlJc w:val="left"/>
      <w:pPr>
        <w:tabs>
          <w:tab w:val="num" w:pos="1440"/>
        </w:tabs>
        <w:ind w:left="1440" w:hanging="360"/>
      </w:pPr>
      <w:rPr>
        <w:rFonts w:ascii="Arial" w:hAnsi="Arial" w:hint="default"/>
      </w:rPr>
    </w:lvl>
    <w:lvl w:ilvl="2" w:tplc="722A591E" w:tentative="1">
      <w:start w:val="1"/>
      <w:numFmt w:val="bullet"/>
      <w:lvlText w:val="•"/>
      <w:lvlJc w:val="left"/>
      <w:pPr>
        <w:tabs>
          <w:tab w:val="num" w:pos="2160"/>
        </w:tabs>
        <w:ind w:left="2160" w:hanging="360"/>
      </w:pPr>
      <w:rPr>
        <w:rFonts w:ascii="Arial" w:hAnsi="Arial" w:hint="default"/>
      </w:rPr>
    </w:lvl>
    <w:lvl w:ilvl="3" w:tplc="51209F06" w:tentative="1">
      <w:start w:val="1"/>
      <w:numFmt w:val="bullet"/>
      <w:lvlText w:val="•"/>
      <w:lvlJc w:val="left"/>
      <w:pPr>
        <w:tabs>
          <w:tab w:val="num" w:pos="2880"/>
        </w:tabs>
        <w:ind w:left="2880" w:hanging="360"/>
      </w:pPr>
      <w:rPr>
        <w:rFonts w:ascii="Arial" w:hAnsi="Arial" w:hint="default"/>
      </w:rPr>
    </w:lvl>
    <w:lvl w:ilvl="4" w:tplc="44283E36" w:tentative="1">
      <w:start w:val="1"/>
      <w:numFmt w:val="bullet"/>
      <w:lvlText w:val="•"/>
      <w:lvlJc w:val="left"/>
      <w:pPr>
        <w:tabs>
          <w:tab w:val="num" w:pos="3600"/>
        </w:tabs>
        <w:ind w:left="3600" w:hanging="360"/>
      </w:pPr>
      <w:rPr>
        <w:rFonts w:ascii="Arial" w:hAnsi="Arial" w:hint="default"/>
      </w:rPr>
    </w:lvl>
    <w:lvl w:ilvl="5" w:tplc="0486EBD4" w:tentative="1">
      <w:start w:val="1"/>
      <w:numFmt w:val="bullet"/>
      <w:lvlText w:val="•"/>
      <w:lvlJc w:val="left"/>
      <w:pPr>
        <w:tabs>
          <w:tab w:val="num" w:pos="4320"/>
        </w:tabs>
        <w:ind w:left="4320" w:hanging="360"/>
      </w:pPr>
      <w:rPr>
        <w:rFonts w:ascii="Arial" w:hAnsi="Arial" w:hint="default"/>
      </w:rPr>
    </w:lvl>
    <w:lvl w:ilvl="6" w:tplc="AB2E8C4C" w:tentative="1">
      <w:start w:val="1"/>
      <w:numFmt w:val="bullet"/>
      <w:lvlText w:val="•"/>
      <w:lvlJc w:val="left"/>
      <w:pPr>
        <w:tabs>
          <w:tab w:val="num" w:pos="5040"/>
        </w:tabs>
        <w:ind w:left="5040" w:hanging="360"/>
      </w:pPr>
      <w:rPr>
        <w:rFonts w:ascii="Arial" w:hAnsi="Arial" w:hint="default"/>
      </w:rPr>
    </w:lvl>
    <w:lvl w:ilvl="7" w:tplc="E29E8BC0" w:tentative="1">
      <w:start w:val="1"/>
      <w:numFmt w:val="bullet"/>
      <w:lvlText w:val="•"/>
      <w:lvlJc w:val="left"/>
      <w:pPr>
        <w:tabs>
          <w:tab w:val="num" w:pos="5760"/>
        </w:tabs>
        <w:ind w:left="5760" w:hanging="360"/>
      </w:pPr>
      <w:rPr>
        <w:rFonts w:ascii="Arial" w:hAnsi="Arial" w:hint="default"/>
      </w:rPr>
    </w:lvl>
    <w:lvl w:ilvl="8" w:tplc="E7403EC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1"/>
  </w:num>
  <w:num w:numId="3">
    <w:abstractNumId w:val="13"/>
  </w:num>
  <w:num w:numId="4">
    <w:abstractNumId w:val="5"/>
  </w:num>
  <w:num w:numId="5">
    <w:abstractNumId w:val="9"/>
  </w:num>
  <w:num w:numId="6">
    <w:abstractNumId w:val="8"/>
  </w:num>
  <w:num w:numId="7">
    <w:abstractNumId w:val="14"/>
  </w:num>
  <w:num w:numId="8">
    <w:abstractNumId w:val="12"/>
  </w:num>
  <w:num w:numId="9">
    <w:abstractNumId w:val="4"/>
  </w:num>
  <w:num w:numId="10">
    <w:abstractNumId w:val="10"/>
  </w:num>
  <w:num w:numId="11">
    <w:abstractNumId w:val="2"/>
  </w:num>
  <w:num w:numId="12">
    <w:abstractNumId w:val="1"/>
  </w:num>
  <w:num w:numId="13">
    <w:abstractNumId w:val="6"/>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44"/>
    <w:rsid w:val="00036BCF"/>
    <w:rsid w:val="00047F26"/>
    <w:rsid w:val="000B6889"/>
    <w:rsid w:val="00116050"/>
    <w:rsid w:val="0014738B"/>
    <w:rsid w:val="001861EF"/>
    <w:rsid w:val="001C1F28"/>
    <w:rsid w:val="001C2AFC"/>
    <w:rsid w:val="001F638E"/>
    <w:rsid w:val="00243BC7"/>
    <w:rsid w:val="002A2298"/>
    <w:rsid w:val="002A49F7"/>
    <w:rsid w:val="002C2F44"/>
    <w:rsid w:val="00303A93"/>
    <w:rsid w:val="00323F65"/>
    <w:rsid w:val="00394523"/>
    <w:rsid w:val="00395240"/>
    <w:rsid w:val="003B6227"/>
    <w:rsid w:val="003D654F"/>
    <w:rsid w:val="003E7453"/>
    <w:rsid w:val="00414E40"/>
    <w:rsid w:val="0043008D"/>
    <w:rsid w:val="00460933"/>
    <w:rsid w:val="004C0844"/>
    <w:rsid w:val="005D3DD1"/>
    <w:rsid w:val="005F6C6E"/>
    <w:rsid w:val="006D738E"/>
    <w:rsid w:val="006F5DED"/>
    <w:rsid w:val="006F7A5A"/>
    <w:rsid w:val="007376FE"/>
    <w:rsid w:val="007A0AA0"/>
    <w:rsid w:val="007D17C7"/>
    <w:rsid w:val="007D60F2"/>
    <w:rsid w:val="00800FA2"/>
    <w:rsid w:val="008478F7"/>
    <w:rsid w:val="00866768"/>
    <w:rsid w:val="00873DBA"/>
    <w:rsid w:val="008C0363"/>
    <w:rsid w:val="00920DF0"/>
    <w:rsid w:val="00931032"/>
    <w:rsid w:val="009A2607"/>
    <w:rsid w:val="009A6666"/>
    <w:rsid w:val="00A62EEA"/>
    <w:rsid w:val="00AA1E9B"/>
    <w:rsid w:val="00BB2C29"/>
    <w:rsid w:val="00BE2C6E"/>
    <w:rsid w:val="00C04D06"/>
    <w:rsid w:val="00C100D3"/>
    <w:rsid w:val="00C41715"/>
    <w:rsid w:val="00D63655"/>
    <w:rsid w:val="00D969B7"/>
    <w:rsid w:val="00E2021A"/>
    <w:rsid w:val="00E247CD"/>
    <w:rsid w:val="00E27E5A"/>
    <w:rsid w:val="00E81EB2"/>
    <w:rsid w:val="00F0503C"/>
    <w:rsid w:val="00FA7031"/>
    <w:rsid w:val="00FB19DC"/>
    <w:rsid w:val="00FC4421"/>
    <w:rsid w:val="00FD6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D3DD1"/>
    <w:pPr>
      <w:keepNext/>
      <w:keepLines/>
      <w:spacing w:before="200"/>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933"/>
    <w:pPr>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738B"/>
    <w:pPr>
      <w:tabs>
        <w:tab w:val="center" w:pos="4680"/>
        <w:tab w:val="right" w:pos="9360"/>
      </w:tabs>
    </w:pPr>
  </w:style>
  <w:style w:type="character" w:customStyle="1" w:styleId="HeaderChar">
    <w:name w:val="Header Char"/>
    <w:basedOn w:val="DefaultParagraphFont"/>
    <w:link w:val="Header"/>
    <w:uiPriority w:val="99"/>
    <w:rsid w:val="0014738B"/>
  </w:style>
  <w:style w:type="paragraph" w:styleId="Footer">
    <w:name w:val="footer"/>
    <w:basedOn w:val="Normal"/>
    <w:link w:val="FooterChar"/>
    <w:uiPriority w:val="99"/>
    <w:unhideWhenUsed/>
    <w:rsid w:val="0014738B"/>
    <w:pPr>
      <w:tabs>
        <w:tab w:val="center" w:pos="4680"/>
        <w:tab w:val="right" w:pos="9360"/>
      </w:tabs>
    </w:pPr>
  </w:style>
  <w:style w:type="character" w:customStyle="1" w:styleId="FooterChar">
    <w:name w:val="Footer Char"/>
    <w:basedOn w:val="DefaultParagraphFont"/>
    <w:link w:val="Footer"/>
    <w:uiPriority w:val="99"/>
    <w:rsid w:val="0014738B"/>
  </w:style>
  <w:style w:type="character" w:styleId="CommentReference">
    <w:name w:val="annotation reference"/>
    <w:basedOn w:val="DefaultParagraphFont"/>
    <w:uiPriority w:val="99"/>
    <w:semiHidden/>
    <w:unhideWhenUsed/>
    <w:rsid w:val="007376FE"/>
    <w:rPr>
      <w:sz w:val="16"/>
      <w:szCs w:val="16"/>
    </w:rPr>
  </w:style>
  <w:style w:type="paragraph" w:styleId="CommentText">
    <w:name w:val="annotation text"/>
    <w:basedOn w:val="Normal"/>
    <w:link w:val="CommentTextChar"/>
    <w:uiPriority w:val="99"/>
    <w:semiHidden/>
    <w:unhideWhenUsed/>
    <w:rsid w:val="007376FE"/>
    <w:rPr>
      <w:sz w:val="20"/>
      <w:szCs w:val="20"/>
    </w:rPr>
  </w:style>
  <w:style w:type="character" w:customStyle="1" w:styleId="CommentTextChar">
    <w:name w:val="Comment Text Char"/>
    <w:basedOn w:val="DefaultParagraphFont"/>
    <w:link w:val="CommentText"/>
    <w:uiPriority w:val="99"/>
    <w:semiHidden/>
    <w:rsid w:val="007376FE"/>
    <w:rPr>
      <w:sz w:val="20"/>
      <w:szCs w:val="20"/>
    </w:rPr>
  </w:style>
  <w:style w:type="paragraph" w:styleId="CommentSubject">
    <w:name w:val="annotation subject"/>
    <w:basedOn w:val="CommentText"/>
    <w:next w:val="CommentText"/>
    <w:link w:val="CommentSubjectChar"/>
    <w:uiPriority w:val="99"/>
    <w:semiHidden/>
    <w:unhideWhenUsed/>
    <w:rsid w:val="007376FE"/>
    <w:rPr>
      <w:b/>
      <w:bCs/>
    </w:rPr>
  </w:style>
  <w:style w:type="character" w:customStyle="1" w:styleId="CommentSubjectChar">
    <w:name w:val="Comment Subject Char"/>
    <w:basedOn w:val="CommentTextChar"/>
    <w:link w:val="CommentSubject"/>
    <w:uiPriority w:val="99"/>
    <w:semiHidden/>
    <w:rsid w:val="007376FE"/>
    <w:rPr>
      <w:b/>
      <w:bCs/>
      <w:sz w:val="20"/>
      <w:szCs w:val="20"/>
    </w:rPr>
  </w:style>
  <w:style w:type="paragraph" w:styleId="BalloonText">
    <w:name w:val="Balloon Text"/>
    <w:basedOn w:val="Normal"/>
    <w:link w:val="BalloonTextChar"/>
    <w:uiPriority w:val="99"/>
    <w:semiHidden/>
    <w:unhideWhenUsed/>
    <w:rsid w:val="007376FE"/>
    <w:rPr>
      <w:rFonts w:ascii="Tahoma" w:hAnsi="Tahoma" w:cs="Tahoma"/>
      <w:sz w:val="16"/>
      <w:szCs w:val="16"/>
    </w:rPr>
  </w:style>
  <w:style w:type="character" w:customStyle="1" w:styleId="BalloonTextChar">
    <w:name w:val="Balloon Text Char"/>
    <w:basedOn w:val="DefaultParagraphFont"/>
    <w:link w:val="BalloonText"/>
    <w:uiPriority w:val="99"/>
    <w:semiHidden/>
    <w:rsid w:val="007376FE"/>
    <w:rPr>
      <w:rFonts w:ascii="Tahoma" w:hAnsi="Tahoma" w:cs="Tahoma"/>
      <w:sz w:val="16"/>
      <w:szCs w:val="16"/>
    </w:rPr>
  </w:style>
  <w:style w:type="character" w:customStyle="1" w:styleId="Heading3Char">
    <w:name w:val="Heading 3 Char"/>
    <w:basedOn w:val="DefaultParagraphFont"/>
    <w:link w:val="Heading3"/>
    <w:uiPriority w:val="9"/>
    <w:rsid w:val="005D3DD1"/>
    <w:rPr>
      <w:rFonts w:asciiTheme="majorHAnsi" w:eastAsiaTheme="majorEastAsia" w:hAnsiTheme="majorHAnsi" w:cstheme="majorBidi"/>
      <w:b/>
      <w:bCs/>
      <w:color w:val="4F81BD"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D3DD1"/>
    <w:pPr>
      <w:keepNext/>
      <w:keepLines/>
      <w:spacing w:before="200"/>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933"/>
    <w:pPr>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738B"/>
    <w:pPr>
      <w:tabs>
        <w:tab w:val="center" w:pos="4680"/>
        <w:tab w:val="right" w:pos="9360"/>
      </w:tabs>
    </w:pPr>
  </w:style>
  <w:style w:type="character" w:customStyle="1" w:styleId="HeaderChar">
    <w:name w:val="Header Char"/>
    <w:basedOn w:val="DefaultParagraphFont"/>
    <w:link w:val="Header"/>
    <w:uiPriority w:val="99"/>
    <w:rsid w:val="0014738B"/>
  </w:style>
  <w:style w:type="paragraph" w:styleId="Footer">
    <w:name w:val="footer"/>
    <w:basedOn w:val="Normal"/>
    <w:link w:val="FooterChar"/>
    <w:uiPriority w:val="99"/>
    <w:unhideWhenUsed/>
    <w:rsid w:val="0014738B"/>
    <w:pPr>
      <w:tabs>
        <w:tab w:val="center" w:pos="4680"/>
        <w:tab w:val="right" w:pos="9360"/>
      </w:tabs>
    </w:pPr>
  </w:style>
  <w:style w:type="character" w:customStyle="1" w:styleId="FooterChar">
    <w:name w:val="Footer Char"/>
    <w:basedOn w:val="DefaultParagraphFont"/>
    <w:link w:val="Footer"/>
    <w:uiPriority w:val="99"/>
    <w:rsid w:val="0014738B"/>
  </w:style>
  <w:style w:type="character" w:styleId="CommentReference">
    <w:name w:val="annotation reference"/>
    <w:basedOn w:val="DefaultParagraphFont"/>
    <w:uiPriority w:val="99"/>
    <w:semiHidden/>
    <w:unhideWhenUsed/>
    <w:rsid w:val="007376FE"/>
    <w:rPr>
      <w:sz w:val="16"/>
      <w:szCs w:val="16"/>
    </w:rPr>
  </w:style>
  <w:style w:type="paragraph" w:styleId="CommentText">
    <w:name w:val="annotation text"/>
    <w:basedOn w:val="Normal"/>
    <w:link w:val="CommentTextChar"/>
    <w:uiPriority w:val="99"/>
    <w:semiHidden/>
    <w:unhideWhenUsed/>
    <w:rsid w:val="007376FE"/>
    <w:rPr>
      <w:sz w:val="20"/>
      <w:szCs w:val="20"/>
    </w:rPr>
  </w:style>
  <w:style w:type="character" w:customStyle="1" w:styleId="CommentTextChar">
    <w:name w:val="Comment Text Char"/>
    <w:basedOn w:val="DefaultParagraphFont"/>
    <w:link w:val="CommentText"/>
    <w:uiPriority w:val="99"/>
    <w:semiHidden/>
    <w:rsid w:val="007376FE"/>
    <w:rPr>
      <w:sz w:val="20"/>
      <w:szCs w:val="20"/>
    </w:rPr>
  </w:style>
  <w:style w:type="paragraph" w:styleId="CommentSubject">
    <w:name w:val="annotation subject"/>
    <w:basedOn w:val="CommentText"/>
    <w:next w:val="CommentText"/>
    <w:link w:val="CommentSubjectChar"/>
    <w:uiPriority w:val="99"/>
    <w:semiHidden/>
    <w:unhideWhenUsed/>
    <w:rsid w:val="007376FE"/>
    <w:rPr>
      <w:b/>
      <w:bCs/>
    </w:rPr>
  </w:style>
  <w:style w:type="character" w:customStyle="1" w:styleId="CommentSubjectChar">
    <w:name w:val="Comment Subject Char"/>
    <w:basedOn w:val="CommentTextChar"/>
    <w:link w:val="CommentSubject"/>
    <w:uiPriority w:val="99"/>
    <w:semiHidden/>
    <w:rsid w:val="007376FE"/>
    <w:rPr>
      <w:b/>
      <w:bCs/>
      <w:sz w:val="20"/>
      <w:szCs w:val="20"/>
    </w:rPr>
  </w:style>
  <w:style w:type="paragraph" w:styleId="BalloonText">
    <w:name w:val="Balloon Text"/>
    <w:basedOn w:val="Normal"/>
    <w:link w:val="BalloonTextChar"/>
    <w:uiPriority w:val="99"/>
    <w:semiHidden/>
    <w:unhideWhenUsed/>
    <w:rsid w:val="007376FE"/>
    <w:rPr>
      <w:rFonts w:ascii="Tahoma" w:hAnsi="Tahoma" w:cs="Tahoma"/>
      <w:sz w:val="16"/>
      <w:szCs w:val="16"/>
    </w:rPr>
  </w:style>
  <w:style w:type="character" w:customStyle="1" w:styleId="BalloonTextChar">
    <w:name w:val="Balloon Text Char"/>
    <w:basedOn w:val="DefaultParagraphFont"/>
    <w:link w:val="BalloonText"/>
    <w:uiPriority w:val="99"/>
    <w:semiHidden/>
    <w:rsid w:val="007376FE"/>
    <w:rPr>
      <w:rFonts w:ascii="Tahoma" w:hAnsi="Tahoma" w:cs="Tahoma"/>
      <w:sz w:val="16"/>
      <w:szCs w:val="16"/>
    </w:rPr>
  </w:style>
  <w:style w:type="character" w:customStyle="1" w:styleId="Heading3Char">
    <w:name w:val="Heading 3 Char"/>
    <w:basedOn w:val="DefaultParagraphFont"/>
    <w:link w:val="Heading3"/>
    <w:uiPriority w:val="9"/>
    <w:rsid w:val="005D3DD1"/>
    <w:rPr>
      <w:rFonts w:asciiTheme="majorHAnsi" w:eastAsiaTheme="majorEastAsia" w:hAnsiTheme="majorHAnsi" w:cstheme="majorBidi"/>
      <w:b/>
      <w:b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55552">
      <w:bodyDiv w:val="1"/>
      <w:marLeft w:val="0"/>
      <w:marRight w:val="0"/>
      <w:marTop w:val="0"/>
      <w:marBottom w:val="0"/>
      <w:divBdr>
        <w:top w:val="none" w:sz="0" w:space="0" w:color="auto"/>
        <w:left w:val="none" w:sz="0" w:space="0" w:color="auto"/>
        <w:bottom w:val="none" w:sz="0" w:space="0" w:color="auto"/>
        <w:right w:val="none" w:sz="0" w:space="0" w:color="auto"/>
      </w:divBdr>
      <w:divsChild>
        <w:div w:id="1302661606">
          <w:marLeft w:val="1166"/>
          <w:marRight w:val="0"/>
          <w:marTop w:val="86"/>
          <w:marBottom w:val="0"/>
          <w:divBdr>
            <w:top w:val="none" w:sz="0" w:space="0" w:color="auto"/>
            <w:left w:val="none" w:sz="0" w:space="0" w:color="auto"/>
            <w:bottom w:val="none" w:sz="0" w:space="0" w:color="auto"/>
            <w:right w:val="none" w:sz="0" w:space="0" w:color="auto"/>
          </w:divBdr>
        </w:div>
        <w:div w:id="89279488">
          <w:marLeft w:val="1800"/>
          <w:marRight w:val="0"/>
          <w:marTop w:val="72"/>
          <w:marBottom w:val="0"/>
          <w:divBdr>
            <w:top w:val="none" w:sz="0" w:space="0" w:color="auto"/>
            <w:left w:val="none" w:sz="0" w:space="0" w:color="auto"/>
            <w:bottom w:val="none" w:sz="0" w:space="0" w:color="auto"/>
            <w:right w:val="none" w:sz="0" w:space="0" w:color="auto"/>
          </w:divBdr>
        </w:div>
        <w:div w:id="1485124080">
          <w:marLeft w:val="1166"/>
          <w:marRight w:val="0"/>
          <w:marTop w:val="86"/>
          <w:marBottom w:val="0"/>
          <w:divBdr>
            <w:top w:val="none" w:sz="0" w:space="0" w:color="auto"/>
            <w:left w:val="none" w:sz="0" w:space="0" w:color="auto"/>
            <w:bottom w:val="none" w:sz="0" w:space="0" w:color="auto"/>
            <w:right w:val="none" w:sz="0" w:space="0" w:color="auto"/>
          </w:divBdr>
        </w:div>
        <w:div w:id="137429519">
          <w:marLeft w:val="1166"/>
          <w:marRight w:val="0"/>
          <w:marTop w:val="86"/>
          <w:marBottom w:val="0"/>
          <w:divBdr>
            <w:top w:val="none" w:sz="0" w:space="0" w:color="auto"/>
            <w:left w:val="none" w:sz="0" w:space="0" w:color="auto"/>
            <w:bottom w:val="none" w:sz="0" w:space="0" w:color="auto"/>
            <w:right w:val="none" w:sz="0" w:space="0" w:color="auto"/>
          </w:divBdr>
        </w:div>
        <w:div w:id="249392736">
          <w:marLeft w:val="1166"/>
          <w:marRight w:val="0"/>
          <w:marTop w:val="86"/>
          <w:marBottom w:val="0"/>
          <w:divBdr>
            <w:top w:val="none" w:sz="0" w:space="0" w:color="auto"/>
            <w:left w:val="none" w:sz="0" w:space="0" w:color="auto"/>
            <w:bottom w:val="none" w:sz="0" w:space="0" w:color="auto"/>
            <w:right w:val="none" w:sz="0" w:space="0" w:color="auto"/>
          </w:divBdr>
        </w:div>
        <w:div w:id="1635719129">
          <w:marLeft w:val="1800"/>
          <w:marRight w:val="0"/>
          <w:marTop w:val="72"/>
          <w:marBottom w:val="0"/>
          <w:divBdr>
            <w:top w:val="none" w:sz="0" w:space="0" w:color="auto"/>
            <w:left w:val="none" w:sz="0" w:space="0" w:color="auto"/>
            <w:bottom w:val="none" w:sz="0" w:space="0" w:color="auto"/>
            <w:right w:val="none" w:sz="0" w:space="0" w:color="auto"/>
          </w:divBdr>
        </w:div>
        <w:div w:id="1739745182">
          <w:marLeft w:val="1166"/>
          <w:marRight w:val="0"/>
          <w:marTop w:val="86"/>
          <w:marBottom w:val="0"/>
          <w:divBdr>
            <w:top w:val="none" w:sz="0" w:space="0" w:color="auto"/>
            <w:left w:val="none" w:sz="0" w:space="0" w:color="auto"/>
            <w:bottom w:val="none" w:sz="0" w:space="0" w:color="auto"/>
            <w:right w:val="none" w:sz="0" w:space="0" w:color="auto"/>
          </w:divBdr>
        </w:div>
      </w:divsChild>
    </w:div>
    <w:div w:id="1375882907">
      <w:bodyDiv w:val="1"/>
      <w:marLeft w:val="0"/>
      <w:marRight w:val="0"/>
      <w:marTop w:val="0"/>
      <w:marBottom w:val="0"/>
      <w:divBdr>
        <w:top w:val="none" w:sz="0" w:space="0" w:color="auto"/>
        <w:left w:val="none" w:sz="0" w:space="0" w:color="auto"/>
        <w:bottom w:val="none" w:sz="0" w:space="0" w:color="auto"/>
        <w:right w:val="none" w:sz="0" w:space="0" w:color="auto"/>
      </w:divBdr>
      <w:divsChild>
        <w:div w:id="210776282">
          <w:marLeft w:val="1166"/>
          <w:marRight w:val="0"/>
          <w:marTop w:val="125"/>
          <w:marBottom w:val="0"/>
          <w:divBdr>
            <w:top w:val="none" w:sz="0" w:space="0" w:color="auto"/>
            <w:left w:val="none" w:sz="0" w:space="0" w:color="auto"/>
            <w:bottom w:val="none" w:sz="0" w:space="0" w:color="auto"/>
            <w:right w:val="none" w:sz="0" w:space="0" w:color="auto"/>
          </w:divBdr>
        </w:div>
        <w:div w:id="318920992">
          <w:marLeft w:val="1166"/>
          <w:marRight w:val="0"/>
          <w:marTop w:val="125"/>
          <w:marBottom w:val="0"/>
          <w:divBdr>
            <w:top w:val="none" w:sz="0" w:space="0" w:color="auto"/>
            <w:left w:val="none" w:sz="0" w:space="0" w:color="auto"/>
            <w:bottom w:val="none" w:sz="0" w:space="0" w:color="auto"/>
            <w:right w:val="none" w:sz="0" w:space="0" w:color="auto"/>
          </w:divBdr>
        </w:div>
        <w:div w:id="1997101975">
          <w:marLeft w:val="1166"/>
          <w:marRight w:val="0"/>
          <w:marTop w:val="125"/>
          <w:marBottom w:val="0"/>
          <w:divBdr>
            <w:top w:val="none" w:sz="0" w:space="0" w:color="auto"/>
            <w:left w:val="none" w:sz="0" w:space="0" w:color="auto"/>
            <w:bottom w:val="none" w:sz="0" w:space="0" w:color="auto"/>
            <w:right w:val="none" w:sz="0" w:space="0" w:color="auto"/>
          </w:divBdr>
        </w:div>
        <w:div w:id="2147310350">
          <w:marLeft w:val="1166"/>
          <w:marRight w:val="0"/>
          <w:marTop w:val="125"/>
          <w:marBottom w:val="0"/>
          <w:divBdr>
            <w:top w:val="none" w:sz="0" w:space="0" w:color="auto"/>
            <w:left w:val="none" w:sz="0" w:space="0" w:color="auto"/>
            <w:bottom w:val="none" w:sz="0" w:space="0" w:color="auto"/>
            <w:right w:val="none" w:sz="0" w:space="0" w:color="auto"/>
          </w:divBdr>
        </w:div>
        <w:div w:id="488716942">
          <w:marLeft w:val="1166"/>
          <w:marRight w:val="0"/>
          <w:marTop w:val="125"/>
          <w:marBottom w:val="0"/>
          <w:divBdr>
            <w:top w:val="none" w:sz="0" w:space="0" w:color="auto"/>
            <w:left w:val="none" w:sz="0" w:space="0" w:color="auto"/>
            <w:bottom w:val="none" w:sz="0" w:space="0" w:color="auto"/>
            <w:right w:val="none" w:sz="0" w:space="0" w:color="auto"/>
          </w:divBdr>
        </w:div>
        <w:div w:id="176044311">
          <w:marLeft w:val="1166"/>
          <w:marRight w:val="0"/>
          <w:marTop w:val="125"/>
          <w:marBottom w:val="0"/>
          <w:divBdr>
            <w:top w:val="none" w:sz="0" w:space="0" w:color="auto"/>
            <w:left w:val="none" w:sz="0" w:space="0" w:color="auto"/>
            <w:bottom w:val="none" w:sz="0" w:space="0" w:color="auto"/>
            <w:right w:val="none" w:sz="0" w:space="0" w:color="auto"/>
          </w:divBdr>
        </w:div>
        <w:div w:id="1231769554">
          <w:marLeft w:val="1166"/>
          <w:marRight w:val="0"/>
          <w:marTop w:val="125"/>
          <w:marBottom w:val="0"/>
          <w:divBdr>
            <w:top w:val="none" w:sz="0" w:space="0" w:color="auto"/>
            <w:left w:val="none" w:sz="0" w:space="0" w:color="auto"/>
            <w:bottom w:val="none" w:sz="0" w:space="0" w:color="auto"/>
            <w:right w:val="none" w:sz="0" w:space="0" w:color="auto"/>
          </w:divBdr>
        </w:div>
      </w:divsChild>
    </w:div>
    <w:div w:id="1617246912">
      <w:bodyDiv w:val="1"/>
      <w:marLeft w:val="0"/>
      <w:marRight w:val="0"/>
      <w:marTop w:val="0"/>
      <w:marBottom w:val="0"/>
      <w:divBdr>
        <w:top w:val="none" w:sz="0" w:space="0" w:color="auto"/>
        <w:left w:val="none" w:sz="0" w:space="0" w:color="auto"/>
        <w:bottom w:val="none" w:sz="0" w:space="0" w:color="auto"/>
        <w:right w:val="none" w:sz="0" w:space="0" w:color="auto"/>
      </w:divBdr>
      <w:divsChild>
        <w:div w:id="1119565694">
          <w:marLeft w:val="1166"/>
          <w:marRight w:val="0"/>
          <w:marTop w:val="115"/>
          <w:marBottom w:val="0"/>
          <w:divBdr>
            <w:top w:val="none" w:sz="0" w:space="0" w:color="auto"/>
            <w:left w:val="none" w:sz="0" w:space="0" w:color="auto"/>
            <w:bottom w:val="none" w:sz="0" w:space="0" w:color="auto"/>
            <w:right w:val="none" w:sz="0" w:space="0" w:color="auto"/>
          </w:divBdr>
        </w:div>
        <w:div w:id="1029799545">
          <w:marLeft w:val="1166"/>
          <w:marRight w:val="0"/>
          <w:marTop w:val="115"/>
          <w:marBottom w:val="0"/>
          <w:divBdr>
            <w:top w:val="none" w:sz="0" w:space="0" w:color="auto"/>
            <w:left w:val="none" w:sz="0" w:space="0" w:color="auto"/>
            <w:bottom w:val="none" w:sz="0" w:space="0" w:color="auto"/>
            <w:right w:val="none" w:sz="0" w:space="0" w:color="auto"/>
          </w:divBdr>
        </w:div>
        <w:div w:id="508757998">
          <w:marLeft w:val="1166"/>
          <w:marRight w:val="0"/>
          <w:marTop w:val="115"/>
          <w:marBottom w:val="0"/>
          <w:divBdr>
            <w:top w:val="none" w:sz="0" w:space="0" w:color="auto"/>
            <w:left w:val="none" w:sz="0" w:space="0" w:color="auto"/>
            <w:bottom w:val="none" w:sz="0" w:space="0" w:color="auto"/>
            <w:right w:val="none" w:sz="0" w:space="0" w:color="auto"/>
          </w:divBdr>
        </w:div>
        <w:div w:id="66269670">
          <w:marLeft w:val="1166"/>
          <w:marRight w:val="0"/>
          <w:marTop w:val="115"/>
          <w:marBottom w:val="0"/>
          <w:divBdr>
            <w:top w:val="none" w:sz="0" w:space="0" w:color="auto"/>
            <w:left w:val="none" w:sz="0" w:space="0" w:color="auto"/>
            <w:bottom w:val="none" w:sz="0" w:space="0" w:color="auto"/>
            <w:right w:val="none" w:sz="0" w:space="0" w:color="auto"/>
          </w:divBdr>
        </w:div>
      </w:divsChild>
    </w:div>
    <w:div w:id="2000838445">
      <w:bodyDiv w:val="1"/>
      <w:marLeft w:val="0"/>
      <w:marRight w:val="0"/>
      <w:marTop w:val="0"/>
      <w:marBottom w:val="0"/>
      <w:divBdr>
        <w:top w:val="none" w:sz="0" w:space="0" w:color="auto"/>
        <w:left w:val="none" w:sz="0" w:space="0" w:color="auto"/>
        <w:bottom w:val="none" w:sz="0" w:space="0" w:color="auto"/>
        <w:right w:val="none" w:sz="0" w:space="0" w:color="auto"/>
      </w:divBdr>
      <w:divsChild>
        <w:div w:id="2116051832">
          <w:marLeft w:val="547"/>
          <w:marRight w:val="0"/>
          <w:marTop w:val="144"/>
          <w:marBottom w:val="0"/>
          <w:divBdr>
            <w:top w:val="none" w:sz="0" w:space="0" w:color="auto"/>
            <w:left w:val="none" w:sz="0" w:space="0" w:color="auto"/>
            <w:bottom w:val="none" w:sz="0" w:space="0" w:color="auto"/>
            <w:right w:val="none" w:sz="0" w:space="0" w:color="auto"/>
          </w:divBdr>
        </w:div>
        <w:div w:id="1351418603">
          <w:marLeft w:val="1166"/>
          <w:marRight w:val="0"/>
          <w:marTop w:val="125"/>
          <w:marBottom w:val="0"/>
          <w:divBdr>
            <w:top w:val="none" w:sz="0" w:space="0" w:color="auto"/>
            <w:left w:val="none" w:sz="0" w:space="0" w:color="auto"/>
            <w:bottom w:val="none" w:sz="0" w:space="0" w:color="auto"/>
            <w:right w:val="none" w:sz="0" w:space="0" w:color="auto"/>
          </w:divBdr>
        </w:div>
        <w:div w:id="1656950684">
          <w:marLeft w:val="547"/>
          <w:marRight w:val="0"/>
          <w:marTop w:val="144"/>
          <w:marBottom w:val="0"/>
          <w:divBdr>
            <w:top w:val="none" w:sz="0" w:space="0" w:color="auto"/>
            <w:left w:val="none" w:sz="0" w:space="0" w:color="auto"/>
            <w:bottom w:val="none" w:sz="0" w:space="0" w:color="auto"/>
            <w:right w:val="none" w:sz="0" w:space="0" w:color="auto"/>
          </w:divBdr>
        </w:div>
        <w:div w:id="729841249">
          <w:marLeft w:val="1166"/>
          <w:marRight w:val="0"/>
          <w:marTop w:val="125"/>
          <w:marBottom w:val="0"/>
          <w:divBdr>
            <w:top w:val="none" w:sz="0" w:space="0" w:color="auto"/>
            <w:left w:val="none" w:sz="0" w:space="0" w:color="auto"/>
            <w:bottom w:val="none" w:sz="0" w:space="0" w:color="auto"/>
            <w:right w:val="none" w:sz="0" w:space="0" w:color="auto"/>
          </w:divBdr>
        </w:div>
        <w:div w:id="162167833">
          <w:marLeft w:val="547"/>
          <w:marRight w:val="0"/>
          <w:marTop w:val="144"/>
          <w:marBottom w:val="0"/>
          <w:divBdr>
            <w:top w:val="none" w:sz="0" w:space="0" w:color="auto"/>
            <w:left w:val="none" w:sz="0" w:space="0" w:color="auto"/>
            <w:bottom w:val="none" w:sz="0" w:space="0" w:color="auto"/>
            <w:right w:val="none" w:sz="0" w:space="0" w:color="auto"/>
          </w:divBdr>
        </w:div>
        <w:div w:id="438070480">
          <w:marLeft w:val="1166"/>
          <w:marRight w:val="0"/>
          <w:marTop w:val="125"/>
          <w:marBottom w:val="0"/>
          <w:divBdr>
            <w:top w:val="none" w:sz="0" w:space="0" w:color="auto"/>
            <w:left w:val="none" w:sz="0" w:space="0" w:color="auto"/>
            <w:bottom w:val="none" w:sz="0" w:space="0" w:color="auto"/>
            <w:right w:val="none" w:sz="0" w:space="0" w:color="auto"/>
          </w:divBdr>
        </w:div>
        <w:div w:id="206956785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2248</Words>
  <Characters>12819</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Parks Thomas</dc:creator>
  <cp:lastModifiedBy>Kristen Cincotta</cp:lastModifiedBy>
  <cp:revision>2</cp:revision>
  <cp:lastPrinted>2013-06-10T18:46:00Z</cp:lastPrinted>
  <dcterms:created xsi:type="dcterms:W3CDTF">2013-07-11T20:17:00Z</dcterms:created>
  <dcterms:modified xsi:type="dcterms:W3CDTF">2013-07-11T20:17:00Z</dcterms:modified>
</cp:coreProperties>
</file>