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199E" w:rsidRPr="00602C64" w:rsidRDefault="00602C64">
      <w:pPr>
        <w:jc w:val="center"/>
        <w:rPr>
          <w:b/>
          <w:sz w:val="28"/>
          <w:szCs w:val="28"/>
        </w:rPr>
      </w:pPr>
      <w:r>
        <w:rPr>
          <w:b/>
          <w:sz w:val="28"/>
          <w:szCs w:val="28"/>
        </w:rPr>
        <w:t>SUPPORTING STATEMENT</w:t>
      </w:r>
      <w:r w:rsidR="00752AE6">
        <w:rPr>
          <w:b/>
          <w:sz w:val="28"/>
          <w:szCs w:val="28"/>
        </w:rPr>
        <w:t xml:space="preserve"> – PART A</w:t>
      </w:r>
    </w:p>
    <w:p w:rsidR="00530BC1" w:rsidRDefault="00530BC1">
      <w:pPr>
        <w:jc w:val="center"/>
      </w:pPr>
    </w:p>
    <w:p w:rsidR="0001199E" w:rsidRPr="002B2A2A" w:rsidRDefault="0001199E">
      <w:r w:rsidRPr="0005592B">
        <w:t>A</w:t>
      </w:r>
      <w:r w:rsidRPr="002B2A2A">
        <w:t xml:space="preserve">.  </w:t>
      </w:r>
      <w:r w:rsidRPr="002B2A2A">
        <w:rPr>
          <w:u w:val="single"/>
        </w:rPr>
        <w:t>JUSTIFICATION</w:t>
      </w:r>
    </w:p>
    <w:p w:rsidR="0001199E" w:rsidRPr="002B2A2A" w:rsidRDefault="0001199E">
      <w:pPr>
        <w:tabs>
          <w:tab w:val="left" w:pos="360"/>
        </w:tabs>
      </w:pPr>
    </w:p>
    <w:p w:rsidR="0001199E" w:rsidRPr="002B2A2A" w:rsidRDefault="0001199E">
      <w:pPr>
        <w:tabs>
          <w:tab w:val="left" w:pos="360"/>
        </w:tabs>
      </w:pPr>
      <w:r w:rsidRPr="002B2A2A">
        <w:t xml:space="preserve">1.  </w:t>
      </w:r>
      <w:r w:rsidRPr="002B2A2A">
        <w:rPr>
          <w:u w:val="single"/>
        </w:rPr>
        <w:t>Need for the Information Collection</w:t>
      </w:r>
    </w:p>
    <w:p w:rsidR="00E440B2" w:rsidRPr="002B2A2A" w:rsidRDefault="00E440B2" w:rsidP="007C7D4E">
      <w:pPr>
        <w:tabs>
          <w:tab w:val="left" w:pos="360"/>
          <w:tab w:val="left" w:pos="450"/>
          <w:tab w:val="left" w:pos="630"/>
          <w:tab w:val="left" w:pos="900"/>
          <w:tab w:val="left" w:pos="990"/>
          <w:tab w:val="left" w:pos="1080"/>
          <w:tab w:val="left" w:pos="1260"/>
          <w:tab w:val="left" w:pos="1440"/>
          <w:tab w:val="left" w:pos="1800"/>
          <w:tab w:val="left" w:pos="2160"/>
          <w:tab w:val="left" w:pos="2520"/>
        </w:tabs>
      </w:pPr>
    </w:p>
    <w:p w:rsidR="00CF6DC9" w:rsidRDefault="00111663" w:rsidP="007C7D4E">
      <w:pPr>
        <w:tabs>
          <w:tab w:val="left" w:pos="360"/>
          <w:tab w:val="left" w:pos="450"/>
          <w:tab w:val="left" w:pos="630"/>
          <w:tab w:val="left" w:pos="900"/>
          <w:tab w:val="left" w:pos="990"/>
          <w:tab w:val="left" w:pos="1080"/>
          <w:tab w:val="left" w:pos="1260"/>
          <w:tab w:val="left" w:pos="1440"/>
          <w:tab w:val="left" w:pos="1800"/>
          <w:tab w:val="left" w:pos="2160"/>
          <w:tab w:val="left" w:pos="2520"/>
        </w:tabs>
      </w:pPr>
      <w:r w:rsidRPr="002B2A2A">
        <w:tab/>
      </w:r>
      <w:r w:rsidRPr="002B2A2A">
        <w:tab/>
      </w:r>
      <w:r w:rsidR="007C7D4E" w:rsidRPr="002B2A2A">
        <w:t>The D</w:t>
      </w:r>
      <w:r w:rsidR="00A121A8">
        <w:t xml:space="preserve">epartment </w:t>
      </w:r>
      <w:r w:rsidR="007C7D4E" w:rsidRPr="002B2A2A">
        <w:t>o</w:t>
      </w:r>
      <w:r w:rsidR="00A121A8">
        <w:t xml:space="preserve">f </w:t>
      </w:r>
      <w:r w:rsidR="007C7D4E" w:rsidRPr="002B2A2A">
        <w:t>D</w:t>
      </w:r>
      <w:r w:rsidR="00A121A8">
        <w:t>efense (DoD)</w:t>
      </w:r>
      <w:r w:rsidR="007C7D4E" w:rsidRPr="002B2A2A">
        <w:t xml:space="preserve"> Information Assurance and Scholarship Program (IASP), authorized by </w:t>
      </w:r>
      <w:r w:rsidR="00E658EA" w:rsidRPr="002B2A2A">
        <w:t xml:space="preserve">Section 2200 of title 10 of the United States Code </w:t>
      </w:r>
      <w:r w:rsidR="00381AB9" w:rsidRPr="002B2A2A">
        <w:t xml:space="preserve">is designed to: </w:t>
      </w:r>
      <w:r w:rsidR="007C7D4E" w:rsidRPr="002B2A2A">
        <w:t xml:space="preserve"> increase the number of new entrants to DoD who possess key Information Assurance (IA) and </w:t>
      </w:r>
      <w:r w:rsidR="00745140" w:rsidRPr="002B2A2A">
        <w:t>Information Technology (</w:t>
      </w:r>
      <w:r w:rsidR="007C7D4E" w:rsidRPr="002B2A2A">
        <w:t>IT</w:t>
      </w:r>
      <w:r w:rsidR="00745140" w:rsidRPr="002B2A2A">
        <w:t>)</w:t>
      </w:r>
      <w:r w:rsidR="007C7D4E" w:rsidRPr="002B2A2A">
        <w:t xml:space="preserve"> skill sets</w:t>
      </w:r>
      <w:r w:rsidR="00F43459">
        <w:t xml:space="preserve">; </w:t>
      </w:r>
      <w:r w:rsidR="00381AB9" w:rsidRPr="002B2A2A">
        <w:t xml:space="preserve">and </w:t>
      </w:r>
      <w:r w:rsidR="007C7D4E" w:rsidRPr="002B2A2A">
        <w:t xml:space="preserve">serve as a tool to </w:t>
      </w:r>
      <w:r w:rsidR="007C7D4E" w:rsidRPr="002B2A2A">
        <w:rPr>
          <w:color w:val="000000"/>
        </w:rPr>
        <w:t xml:space="preserve">develop and retain well-educated military and civilian personnel who support the Department’s critical IT management and infrastructure protection functions. </w:t>
      </w:r>
      <w:r w:rsidR="00885CCE" w:rsidRPr="002B2A2A">
        <w:rPr>
          <w:color w:val="000000"/>
        </w:rPr>
        <w:t xml:space="preserve"> The </w:t>
      </w:r>
      <w:r w:rsidR="00EE41A3" w:rsidRPr="002B2A2A">
        <w:rPr>
          <w:color w:val="000000"/>
        </w:rPr>
        <w:t>IASP</w:t>
      </w:r>
      <w:r w:rsidR="00885CCE" w:rsidRPr="002B2A2A">
        <w:rPr>
          <w:color w:val="000000"/>
        </w:rPr>
        <w:t xml:space="preserve"> </w:t>
      </w:r>
      <w:r w:rsidR="00871A86" w:rsidRPr="002B2A2A">
        <w:rPr>
          <w:color w:val="000000"/>
        </w:rPr>
        <w:t xml:space="preserve">recruitment </w:t>
      </w:r>
      <w:r w:rsidR="00885CCE" w:rsidRPr="002B2A2A">
        <w:rPr>
          <w:color w:val="000000"/>
        </w:rPr>
        <w:t>track</w:t>
      </w:r>
      <w:r w:rsidR="00EE41A3" w:rsidRPr="002B2A2A">
        <w:rPr>
          <w:color w:val="000000"/>
        </w:rPr>
        <w:t xml:space="preserve"> is for </w:t>
      </w:r>
      <w:r w:rsidR="00885CCE" w:rsidRPr="002B2A2A">
        <w:rPr>
          <w:color w:val="000000"/>
        </w:rPr>
        <w:t xml:space="preserve">college students who, </w:t>
      </w:r>
      <w:r w:rsidR="00F43459">
        <w:rPr>
          <w:color w:val="000000"/>
        </w:rPr>
        <w:t>up</w:t>
      </w:r>
      <w:r w:rsidR="00885CCE" w:rsidRPr="002B2A2A">
        <w:rPr>
          <w:color w:val="000000"/>
        </w:rPr>
        <w:t xml:space="preserve">on completion of the program, </w:t>
      </w:r>
      <w:r w:rsidR="006A7DCB">
        <w:rPr>
          <w:color w:val="000000"/>
        </w:rPr>
        <w:t xml:space="preserve">will </w:t>
      </w:r>
      <w:r w:rsidR="00EE41A3" w:rsidRPr="002B2A2A">
        <w:rPr>
          <w:color w:val="000000"/>
        </w:rPr>
        <w:t xml:space="preserve">work for the </w:t>
      </w:r>
      <w:proofErr w:type="gramStart"/>
      <w:r w:rsidR="00EE41A3" w:rsidRPr="002B2A2A">
        <w:rPr>
          <w:color w:val="000000"/>
        </w:rPr>
        <w:t>DoD</w:t>
      </w:r>
      <w:proofErr w:type="gramEnd"/>
      <w:r w:rsidR="00EE41A3" w:rsidRPr="002B2A2A">
        <w:rPr>
          <w:color w:val="000000"/>
        </w:rPr>
        <w:t>.  The</w:t>
      </w:r>
      <w:r w:rsidR="00885CCE" w:rsidRPr="002B2A2A">
        <w:rPr>
          <w:color w:val="000000"/>
        </w:rPr>
        <w:t xml:space="preserve"> retention track </w:t>
      </w:r>
      <w:r w:rsidR="00EE41A3" w:rsidRPr="002B2A2A">
        <w:rPr>
          <w:color w:val="000000"/>
        </w:rPr>
        <w:t xml:space="preserve">is </w:t>
      </w:r>
      <w:r w:rsidR="00885CCE" w:rsidRPr="002B2A2A">
        <w:rPr>
          <w:color w:val="000000"/>
        </w:rPr>
        <w:t xml:space="preserve">for current </w:t>
      </w:r>
      <w:proofErr w:type="gramStart"/>
      <w:r w:rsidR="00885CCE" w:rsidRPr="002B2A2A">
        <w:rPr>
          <w:color w:val="000000"/>
        </w:rPr>
        <w:t>DoD</w:t>
      </w:r>
      <w:proofErr w:type="gramEnd"/>
      <w:r w:rsidR="00885CCE" w:rsidRPr="002B2A2A">
        <w:rPr>
          <w:color w:val="000000"/>
        </w:rPr>
        <w:t xml:space="preserve"> employees who are excused from duty to attend college co</w:t>
      </w:r>
      <w:r w:rsidR="00EE41A3" w:rsidRPr="002B2A2A">
        <w:rPr>
          <w:color w:val="000000"/>
        </w:rPr>
        <w:t>urses</w:t>
      </w:r>
      <w:r w:rsidR="00E440B2" w:rsidRPr="002B2A2A">
        <w:rPr>
          <w:color w:val="000000"/>
        </w:rPr>
        <w:t xml:space="preserve"> through the IASP.  P</w:t>
      </w:r>
      <w:r w:rsidR="00885CCE" w:rsidRPr="002B2A2A">
        <w:rPr>
          <w:color w:val="000000"/>
        </w:rPr>
        <w:t>ending availability of fund</w:t>
      </w:r>
      <w:r w:rsidR="00E440B2" w:rsidRPr="002B2A2A">
        <w:rPr>
          <w:color w:val="000000"/>
        </w:rPr>
        <w:t>s</w:t>
      </w:r>
      <w:r w:rsidR="00885CCE" w:rsidRPr="002B2A2A">
        <w:rPr>
          <w:color w:val="000000"/>
        </w:rPr>
        <w:t>, the IASP may also award capacity-buil</w:t>
      </w:r>
      <w:r w:rsidR="00E440B2" w:rsidRPr="002B2A2A">
        <w:rPr>
          <w:color w:val="000000"/>
        </w:rPr>
        <w:t xml:space="preserve">ding grants to colleges and universities </w:t>
      </w:r>
      <w:r w:rsidR="00E658EA" w:rsidRPr="002B2A2A">
        <w:rPr>
          <w:color w:val="000000"/>
        </w:rPr>
        <w:t xml:space="preserve">designated as Centers of Academic Excellence in Information Assurance Education </w:t>
      </w:r>
      <w:r w:rsidR="00235B48">
        <w:rPr>
          <w:color w:val="000000"/>
        </w:rPr>
        <w:t>and</w:t>
      </w:r>
      <w:r w:rsidR="00D07B7F" w:rsidRPr="002B2A2A">
        <w:rPr>
          <w:color w:val="000000"/>
        </w:rPr>
        <w:t xml:space="preserve"> Research (collectively referred to </w:t>
      </w:r>
      <w:r w:rsidR="00871A86" w:rsidRPr="002B2A2A">
        <w:rPr>
          <w:color w:val="000000"/>
        </w:rPr>
        <w:t>herein</w:t>
      </w:r>
      <w:r w:rsidR="00D07B7F" w:rsidRPr="002B2A2A">
        <w:rPr>
          <w:color w:val="000000"/>
        </w:rPr>
        <w:t xml:space="preserve"> as CAEs)</w:t>
      </w:r>
      <w:r w:rsidR="00E658EA" w:rsidRPr="002B2A2A">
        <w:rPr>
          <w:color w:val="000000"/>
        </w:rPr>
        <w:t xml:space="preserve"> </w:t>
      </w:r>
      <w:r w:rsidR="00E440B2" w:rsidRPr="002B2A2A">
        <w:rPr>
          <w:color w:val="000000"/>
        </w:rPr>
        <w:t>for such purposes as developing IA curricula</w:t>
      </w:r>
      <w:r w:rsidR="008A6AC5">
        <w:rPr>
          <w:color w:val="000000"/>
        </w:rPr>
        <w:t>,</w:t>
      </w:r>
      <w:r w:rsidR="00E440B2" w:rsidRPr="002B2A2A">
        <w:rPr>
          <w:color w:val="000000"/>
        </w:rPr>
        <w:t xml:space="preserve"> faculty, and building IA laboratories</w:t>
      </w:r>
      <w:r w:rsidR="00502E60" w:rsidRPr="002B2A2A">
        <w:rPr>
          <w:color w:val="000000"/>
        </w:rPr>
        <w:t>.</w:t>
      </w:r>
      <w:r w:rsidR="00502878" w:rsidRPr="002B2A2A">
        <w:rPr>
          <w:color w:val="000000"/>
        </w:rPr>
        <w:t xml:space="preserve">  </w:t>
      </w:r>
      <w:r w:rsidR="008A6AC5">
        <w:rPr>
          <w:color w:val="000000"/>
        </w:rPr>
        <w:t xml:space="preserve">Each CAE has designated faculty who work on the grants and with the scholarship students; the faculty are referred to as Principal Investigators (PIs).  </w:t>
      </w:r>
      <w:r w:rsidR="00CF6DC9" w:rsidRPr="002B2A2A">
        <w:t>The National Security Agency (NSA) is the Executive Administrator of the program, serving on behalf of the O</w:t>
      </w:r>
      <w:r w:rsidR="00CF6DC9">
        <w:t xml:space="preserve">ffice of the </w:t>
      </w:r>
      <w:r w:rsidR="00CF6DC9" w:rsidRPr="002B2A2A">
        <w:t>DoD Chief Information Officer (DoD CIO).</w:t>
      </w:r>
      <w:r w:rsidR="00CF6DC9">
        <w:t xml:space="preserve">  </w:t>
      </w:r>
    </w:p>
    <w:p w:rsidR="00CF6DC9" w:rsidRDefault="00CF6DC9" w:rsidP="007C7D4E">
      <w:pPr>
        <w:tabs>
          <w:tab w:val="left" w:pos="360"/>
          <w:tab w:val="left" w:pos="450"/>
          <w:tab w:val="left" w:pos="630"/>
          <w:tab w:val="left" w:pos="900"/>
          <w:tab w:val="left" w:pos="990"/>
          <w:tab w:val="left" w:pos="1080"/>
          <w:tab w:val="left" w:pos="1260"/>
          <w:tab w:val="left" w:pos="1440"/>
          <w:tab w:val="left" w:pos="1800"/>
          <w:tab w:val="left" w:pos="2160"/>
          <w:tab w:val="left" w:pos="2520"/>
        </w:tabs>
      </w:pPr>
    </w:p>
    <w:p w:rsidR="00502E60" w:rsidRPr="00761F82" w:rsidRDefault="00B41869" w:rsidP="00F43459">
      <w:pPr>
        <w:tabs>
          <w:tab w:val="left" w:pos="360"/>
        </w:tabs>
      </w:pPr>
      <w:r>
        <w:tab/>
      </w:r>
      <w:r w:rsidR="00600A91" w:rsidRPr="00A121A8">
        <w:rPr>
          <w:color w:val="000000"/>
        </w:rPr>
        <w:tab/>
        <w:t>The IASP</w:t>
      </w:r>
      <w:r w:rsidR="00600A91">
        <w:rPr>
          <w:color w:val="000000"/>
        </w:rPr>
        <w:t xml:space="preserve"> Program Office </w:t>
      </w:r>
      <w:r>
        <w:rPr>
          <w:color w:val="000000"/>
        </w:rPr>
        <w:t xml:space="preserve">has a responsibility </w:t>
      </w:r>
      <w:r w:rsidR="00600A91">
        <w:rPr>
          <w:color w:val="000000"/>
        </w:rPr>
        <w:t>to collect information from scholarship recipients</w:t>
      </w:r>
      <w:r w:rsidR="00A42EBB">
        <w:rPr>
          <w:color w:val="000000"/>
        </w:rPr>
        <w:t xml:space="preserve"> </w:t>
      </w:r>
      <w:r w:rsidR="00F1490B">
        <w:rPr>
          <w:color w:val="000000"/>
        </w:rPr>
        <w:t>on the effectiveness of program operations</w:t>
      </w:r>
      <w:r w:rsidR="008A6AC5">
        <w:rPr>
          <w:color w:val="000000"/>
        </w:rPr>
        <w:t xml:space="preserve">, and from PIs </w:t>
      </w:r>
      <w:r w:rsidR="00F1490B">
        <w:rPr>
          <w:color w:val="000000"/>
        </w:rPr>
        <w:t>on the effectiveness of program administration.</w:t>
      </w:r>
      <w:r w:rsidR="00600A91">
        <w:rPr>
          <w:color w:val="000000"/>
        </w:rPr>
        <w:t xml:space="preserve">  </w:t>
      </w:r>
      <w:r w:rsidR="00A121A8">
        <w:rPr>
          <w:color w:val="000000"/>
        </w:rPr>
        <w:t xml:space="preserve">This is in accordance with </w:t>
      </w:r>
      <w:r w:rsidR="00A121A8" w:rsidRPr="00A121A8">
        <w:t>DoD Instruction 8145.01,</w:t>
      </w:r>
      <w:r w:rsidR="00A121A8">
        <w:t xml:space="preserve"> </w:t>
      </w:r>
      <w:r w:rsidR="00A121A8" w:rsidRPr="00A121A8">
        <w:t>“DoD Information Assurance Scholarship Program”</w:t>
      </w:r>
      <w:r w:rsidR="00A121A8">
        <w:t>, which</w:t>
      </w:r>
      <w:r w:rsidR="00A121A8" w:rsidRPr="00A121A8">
        <w:t xml:space="preserve"> states that “The </w:t>
      </w:r>
      <w:proofErr w:type="gramStart"/>
      <w:r w:rsidR="00A121A8" w:rsidRPr="00A121A8">
        <w:t>DoD</w:t>
      </w:r>
      <w:proofErr w:type="gramEnd"/>
      <w:r w:rsidR="00A121A8" w:rsidRPr="00A121A8">
        <w:t xml:space="preserve"> CIO shall…oversee and provide program direction over….DoD IASP metrics and analysis of performance results, including student, CAE, and sponsoring DoD Component feedback.” </w:t>
      </w:r>
      <w:r w:rsidR="00A121A8">
        <w:t xml:space="preserve"> </w:t>
      </w:r>
      <w:r w:rsidR="00600A91">
        <w:rPr>
          <w:color w:val="000000"/>
        </w:rPr>
        <w:t xml:space="preserve">Since the inception of the IASP </w:t>
      </w:r>
      <w:r w:rsidR="00C6446A">
        <w:rPr>
          <w:color w:val="000000"/>
        </w:rPr>
        <w:t>very little</w:t>
      </w:r>
      <w:r w:rsidR="008A6AC5">
        <w:rPr>
          <w:color w:val="000000"/>
        </w:rPr>
        <w:t xml:space="preserve"> data </w:t>
      </w:r>
      <w:r w:rsidR="00C6446A">
        <w:rPr>
          <w:color w:val="000000"/>
        </w:rPr>
        <w:t xml:space="preserve">has been </w:t>
      </w:r>
      <w:r w:rsidR="008A6AC5">
        <w:rPr>
          <w:color w:val="000000"/>
        </w:rPr>
        <w:t xml:space="preserve">collected </w:t>
      </w:r>
      <w:r w:rsidR="00A121A8">
        <w:rPr>
          <w:color w:val="000000"/>
        </w:rPr>
        <w:t xml:space="preserve">from a student or PI perspective </w:t>
      </w:r>
      <w:r w:rsidR="008A6AC5">
        <w:rPr>
          <w:color w:val="000000"/>
        </w:rPr>
        <w:t xml:space="preserve">about how the program is operated.  This </w:t>
      </w:r>
      <w:r w:rsidR="00E33C2B">
        <w:rPr>
          <w:color w:val="000000"/>
        </w:rPr>
        <w:t>I</w:t>
      </w:r>
      <w:r w:rsidR="008A6AC5">
        <w:rPr>
          <w:color w:val="000000"/>
        </w:rPr>
        <w:t xml:space="preserve">nformation </w:t>
      </w:r>
      <w:r w:rsidR="00E33C2B">
        <w:rPr>
          <w:color w:val="000000"/>
        </w:rPr>
        <w:t>C</w:t>
      </w:r>
      <w:r w:rsidR="00A121A8">
        <w:rPr>
          <w:color w:val="000000"/>
        </w:rPr>
        <w:t xml:space="preserve">ollection </w:t>
      </w:r>
      <w:r w:rsidR="008A6AC5">
        <w:rPr>
          <w:color w:val="000000"/>
        </w:rPr>
        <w:t xml:space="preserve">will </w:t>
      </w:r>
      <w:r>
        <w:rPr>
          <w:color w:val="000000"/>
        </w:rPr>
        <w:t xml:space="preserve">allow the IASP Program Office </w:t>
      </w:r>
      <w:r w:rsidR="008A6AC5">
        <w:rPr>
          <w:color w:val="000000"/>
        </w:rPr>
        <w:t xml:space="preserve">to find out </w:t>
      </w:r>
      <w:r>
        <w:rPr>
          <w:color w:val="000000"/>
        </w:rPr>
        <w:t xml:space="preserve">directly </w:t>
      </w:r>
      <w:r w:rsidR="008A6AC5">
        <w:rPr>
          <w:color w:val="000000"/>
        </w:rPr>
        <w:t xml:space="preserve">from students and PIs </w:t>
      </w:r>
      <w:r w:rsidR="00502DB3">
        <w:rPr>
          <w:color w:val="000000"/>
        </w:rPr>
        <w:t xml:space="preserve">about areas needing improvement and the challenges students and PIs encounter in acquiring scholarships and grants.  </w:t>
      </w:r>
      <w:r w:rsidR="008A6AC5">
        <w:t xml:space="preserve">Collecting student and PI assessments will </w:t>
      </w:r>
      <w:r w:rsidR="00502DB3">
        <w:t>enable the IASP Program Office</w:t>
      </w:r>
      <w:r w:rsidR="00F1490B">
        <w:t xml:space="preserve"> to replicate or expand upon successful components of the </w:t>
      </w:r>
      <w:r w:rsidR="00152E73">
        <w:t xml:space="preserve">IASP processes </w:t>
      </w:r>
      <w:r w:rsidR="00F1490B">
        <w:t xml:space="preserve">and </w:t>
      </w:r>
      <w:r w:rsidR="00152E73">
        <w:t xml:space="preserve">investigate or </w:t>
      </w:r>
      <w:r w:rsidR="00F1490B">
        <w:t xml:space="preserve">address </w:t>
      </w:r>
      <w:r w:rsidR="00152E73">
        <w:t xml:space="preserve">the </w:t>
      </w:r>
      <w:r w:rsidR="00F1490B">
        <w:t>less-effe</w:t>
      </w:r>
      <w:r w:rsidR="00152E73">
        <w:t>ctive aspects of the program</w:t>
      </w:r>
      <w:r w:rsidR="008A6AC5">
        <w:t>.</w:t>
      </w:r>
      <w:r w:rsidR="00A97CFA">
        <w:t xml:space="preserve"> </w:t>
      </w:r>
      <w:r w:rsidR="00F43459" w:rsidRPr="00235B48">
        <w:t xml:space="preserve">Without this written documentation </w:t>
      </w:r>
      <w:r w:rsidR="008A6AC5">
        <w:t>t</w:t>
      </w:r>
      <w:r w:rsidR="00F43459" w:rsidRPr="00235B48">
        <w:t xml:space="preserve">he </w:t>
      </w:r>
      <w:proofErr w:type="gramStart"/>
      <w:r w:rsidR="00F43459" w:rsidRPr="00235B48">
        <w:t>DoD</w:t>
      </w:r>
      <w:proofErr w:type="gramEnd"/>
      <w:r w:rsidR="00F43459" w:rsidRPr="00235B48">
        <w:t xml:space="preserve"> has no means of </w:t>
      </w:r>
      <w:r w:rsidR="008A6AC5">
        <w:t xml:space="preserve">evaluating the effectiveness of the application process and program performance.  </w:t>
      </w:r>
      <w:r w:rsidR="00F43459" w:rsidRPr="002B2A2A">
        <w:t xml:space="preserve"> </w:t>
      </w:r>
    </w:p>
    <w:p w:rsidR="00B41869" w:rsidRPr="002B2A2A" w:rsidRDefault="00B41869" w:rsidP="007C7D4E">
      <w:pPr>
        <w:tabs>
          <w:tab w:val="left" w:pos="360"/>
          <w:tab w:val="left" w:pos="450"/>
          <w:tab w:val="left" w:pos="630"/>
          <w:tab w:val="left" w:pos="900"/>
          <w:tab w:val="left" w:pos="990"/>
          <w:tab w:val="left" w:pos="1080"/>
          <w:tab w:val="left" w:pos="1260"/>
          <w:tab w:val="left" w:pos="1440"/>
          <w:tab w:val="left" w:pos="1800"/>
          <w:tab w:val="left" w:pos="2160"/>
          <w:tab w:val="left" w:pos="2520"/>
        </w:tabs>
        <w:rPr>
          <w:color w:val="000000"/>
        </w:rPr>
      </w:pPr>
    </w:p>
    <w:p w:rsidR="007C7D4E" w:rsidRDefault="007202A3" w:rsidP="007C7D4E">
      <w:pPr>
        <w:tabs>
          <w:tab w:val="left" w:pos="360"/>
          <w:tab w:val="left" w:pos="450"/>
          <w:tab w:val="left" w:pos="630"/>
          <w:tab w:val="left" w:pos="900"/>
          <w:tab w:val="left" w:pos="990"/>
          <w:tab w:val="left" w:pos="1080"/>
          <w:tab w:val="left" w:pos="1260"/>
          <w:tab w:val="left" w:pos="1440"/>
          <w:tab w:val="left" w:pos="1800"/>
          <w:tab w:val="left" w:pos="2160"/>
          <w:tab w:val="left" w:pos="2520"/>
        </w:tabs>
        <w:rPr>
          <w:color w:val="000000"/>
        </w:rPr>
      </w:pPr>
      <w:r w:rsidRPr="002B2A2A">
        <w:rPr>
          <w:color w:val="000000"/>
        </w:rPr>
        <w:tab/>
      </w:r>
      <w:r w:rsidR="00C120ED" w:rsidRPr="002B2A2A">
        <w:rPr>
          <w:color w:val="000000"/>
        </w:rPr>
        <w:t xml:space="preserve"> </w:t>
      </w:r>
      <w:r w:rsidR="00240F56">
        <w:rPr>
          <w:color w:val="000000"/>
        </w:rPr>
        <w:t>Th</w:t>
      </w:r>
      <w:r w:rsidR="00502878" w:rsidRPr="002B2A2A">
        <w:rPr>
          <w:color w:val="000000"/>
        </w:rPr>
        <w:t>e</w:t>
      </w:r>
      <w:r w:rsidR="00D9692E" w:rsidRPr="002B2A2A">
        <w:rPr>
          <w:color w:val="000000"/>
        </w:rPr>
        <w:t xml:space="preserve"> IASP </w:t>
      </w:r>
      <w:r w:rsidR="00152E73">
        <w:rPr>
          <w:color w:val="000000"/>
        </w:rPr>
        <w:t xml:space="preserve">recruitment and PI </w:t>
      </w:r>
      <w:r w:rsidR="00240F56">
        <w:rPr>
          <w:color w:val="000000"/>
        </w:rPr>
        <w:t xml:space="preserve">surveys </w:t>
      </w:r>
      <w:r w:rsidR="00D9692E" w:rsidRPr="002B2A2A">
        <w:rPr>
          <w:color w:val="000000"/>
        </w:rPr>
        <w:t xml:space="preserve">apply to non-DoD employee members of the general public who choose to become involved in the program and thus </w:t>
      </w:r>
      <w:r w:rsidR="0051301E" w:rsidRPr="002B2A2A">
        <w:rPr>
          <w:color w:val="000000"/>
        </w:rPr>
        <w:t xml:space="preserve">become </w:t>
      </w:r>
      <w:r w:rsidR="00E33C2B">
        <w:rPr>
          <w:color w:val="000000"/>
        </w:rPr>
        <w:t>subject to Information C</w:t>
      </w:r>
      <w:r w:rsidR="00D9692E" w:rsidRPr="002B2A2A">
        <w:rPr>
          <w:color w:val="000000"/>
        </w:rPr>
        <w:t>ollection requirements.</w:t>
      </w:r>
      <w:r w:rsidR="00502878" w:rsidRPr="002B2A2A">
        <w:rPr>
          <w:color w:val="000000"/>
        </w:rPr>
        <w:t xml:space="preserve">   </w:t>
      </w:r>
      <w:r w:rsidR="00D9692E" w:rsidRPr="00E76774">
        <w:rPr>
          <w:color w:val="000000"/>
        </w:rPr>
        <w:t xml:space="preserve">The </w:t>
      </w:r>
      <w:r w:rsidR="00871A86" w:rsidRPr="00E76774">
        <w:rPr>
          <w:color w:val="000000"/>
        </w:rPr>
        <w:t>r</w:t>
      </w:r>
      <w:r w:rsidR="00D9692E" w:rsidRPr="00E76774">
        <w:rPr>
          <w:color w:val="000000"/>
        </w:rPr>
        <w:t xml:space="preserve">etention aspect of the IASP applies only to current </w:t>
      </w:r>
      <w:proofErr w:type="gramStart"/>
      <w:r w:rsidR="00D9692E" w:rsidRPr="00E76774">
        <w:rPr>
          <w:color w:val="000000"/>
        </w:rPr>
        <w:t>DoD</w:t>
      </w:r>
      <w:proofErr w:type="gramEnd"/>
      <w:r w:rsidR="00D9692E" w:rsidRPr="00E76774">
        <w:rPr>
          <w:color w:val="000000"/>
        </w:rPr>
        <w:t xml:space="preserve"> personnel, and thus its </w:t>
      </w:r>
      <w:r w:rsidR="00E33C2B">
        <w:rPr>
          <w:color w:val="000000"/>
        </w:rPr>
        <w:t>Information C</w:t>
      </w:r>
      <w:r w:rsidR="00D9692E" w:rsidRPr="00E76774">
        <w:rPr>
          <w:color w:val="000000"/>
        </w:rPr>
        <w:t>ollection requirements are not addressed in this request.</w:t>
      </w:r>
      <w:r w:rsidR="000713B1">
        <w:rPr>
          <w:color w:val="000000"/>
        </w:rPr>
        <w:t xml:space="preserve">  </w:t>
      </w:r>
    </w:p>
    <w:p w:rsidR="0001199E" w:rsidRPr="002B2A2A" w:rsidRDefault="0001199E">
      <w:pPr>
        <w:tabs>
          <w:tab w:val="left" w:pos="360"/>
        </w:tabs>
      </w:pPr>
    </w:p>
    <w:p w:rsidR="0001199E" w:rsidRPr="002B2A2A" w:rsidRDefault="0001199E">
      <w:pPr>
        <w:tabs>
          <w:tab w:val="left" w:pos="360"/>
        </w:tabs>
      </w:pPr>
      <w:r w:rsidRPr="002B2A2A">
        <w:t xml:space="preserve">2.  </w:t>
      </w:r>
      <w:r w:rsidRPr="002B2A2A">
        <w:rPr>
          <w:u w:val="single"/>
        </w:rPr>
        <w:t>Use of the Information</w:t>
      </w:r>
    </w:p>
    <w:p w:rsidR="0001199E" w:rsidRPr="002B2A2A" w:rsidRDefault="0001199E">
      <w:pPr>
        <w:tabs>
          <w:tab w:val="left" w:pos="360"/>
        </w:tabs>
      </w:pPr>
    </w:p>
    <w:p w:rsidR="00CC5998" w:rsidRDefault="00111DE8" w:rsidP="00CC5998">
      <w:pPr>
        <w:tabs>
          <w:tab w:val="left" w:pos="360"/>
        </w:tabs>
      </w:pPr>
      <w:r>
        <w:tab/>
      </w:r>
      <w:r w:rsidR="00CC5998">
        <w:t>All student scholarship recipients</w:t>
      </w:r>
      <w:r w:rsidR="00CC5998" w:rsidRPr="009154BC">
        <w:t xml:space="preserve"> </w:t>
      </w:r>
      <w:r w:rsidR="00CC5998">
        <w:t xml:space="preserve">will receive a </w:t>
      </w:r>
      <w:bookmarkStart w:id="0" w:name="_GoBack"/>
      <w:bookmarkEnd w:id="0"/>
      <w:r w:rsidR="00CC5998">
        <w:t xml:space="preserve">student assessment survey asking them to provide feedback and suggestions regarding program performance.  IASP recruitment students </w:t>
      </w:r>
      <w:r w:rsidR="00CC5998">
        <w:lastRenderedPageBreak/>
        <w:t xml:space="preserve">can provide valuable feedback in three key areas: the scholarship application process; the support provided by their PI during their schooling; and the value of the scholarship program in preparing them for employment within the </w:t>
      </w:r>
      <w:proofErr w:type="gramStart"/>
      <w:r w:rsidR="00CC5998">
        <w:t>DoD</w:t>
      </w:r>
      <w:proofErr w:type="gramEnd"/>
      <w:r w:rsidR="00CC5998">
        <w:t xml:space="preserve">.  The survey will collect data on how satisfied students are with IASP, suggestions for improvement, and how helpful their university was in mentoring them, advising them on program curricula, and managing IASP funds.  The survey </w:t>
      </w:r>
      <w:r w:rsidR="008A6A95">
        <w:t xml:space="preserve">responses are </w:t>
      </w:r>
      <w:proofErr w:type="gramStart"/>
      <w:r w:rsidR="008A6A95">
        <w:t xml:space="preserve">anonymous </w:t>
      </w:r>
      <w:r w:rsidR="00CC5998">
        <w:t xml:space="preserve"> and</w:t>
      </w:r>
      <w:proofErr w:type="gramEnd"/>
      <w:r w:rsidR="00CC5998">
        <w:t xml:space="preserve"> these responses will support improvement in recruitment and mentoring activities across the program.  </w:t>
      </w:r>
    </w:p>
    <w:p w:rsidR="00CC5998" w:rsidRDefault="00CC5998" w:rsidP="00CC5998">
      <w:pPr>
        <w:tabs>
          <w:tab w:val="left" w:pos="360"/>
        </w:tabs>
      </w:pPr>
    </w:p>
    <w:p w:rsidR="00CC5998" w:rsidRDefault="00CC5998" w:rsidP="00CC5998">
      <w:pPr>
        <w:tabs>
          <w:tab w:val="left" w:pos="360"/>
        </w:tabs>
      </w:pPr>
      <w:r>
        <w:t xml:space="preserve">     A separate assessment survey will be distributed to IASP PIs.  One focus area of the survey will be on PI interaction with scholarship applicants.  Once funding has been distributed to scholarship recipients, PIs are asked to routinely meet with students to mentor them, advise them on program curricula, and encourage them to participate in extracurricular IA/IT activities.  The survey responses received from PIs will help the IASP Program Office better understand how strongly developed the relationships are between PIs and scholarship recipients.  </w:t>
      </w:r>
    </w:p>
    <w:p w:rsidR="00CC5998" w:rsidRDefault="00CC5998" w:rsidP="00CC5998">
      <w:pPr>
        <w:tabs>
          <w:tab w:val="left" w:pos="360"/>
        </w:tabs>
      </w:pPr>
    </w:p>
    <w:p w:rsidR="00CC5998" w:rsidRDefault="00CC5998" w:rsidP="00CC5998">
      <w:pPr>
        <w:tabs>
          <w:tab w:val="left" w:pos="360"/>
        </w:tabs>
      </w:pPr>
      <w:r>
        <w:t xml:space="preserve">     The IASP also supports capacity building initiatives at universities in several areas through a grants program to CAEs.  Centers of Academic Excellence interested in participating in the IASP </w:t>
      </w:r>
      <w:r w:rsidRPr="002B2A2A">
        <w:t xml:space="preserve">must complete and submit a written </w:t>
      </w:r>
      <w:r>
        <w:t xml:space="preserve">grant </w:t>
      </w:r>
      <w:r w:rsidRPr="002B2A2A">
        <w:t xml:space="preserve">proposal, and all </w:t>
      </w:r>
      <w:r>
        <w:t>CAEs</w:t>
      </w:r>
      <w:r w:rsidRPr="002B2A2A">
        <w:t xml:space="preserve"> receiving grants must provide documentation </w:t>
      </w:r>
      <w:r>
        <w:t>detailing the use of grant funding and the outcomes of the capacity building initiative</w:t>
      </w:r>
      <w:r w:rsidRPr="002B2A2A">
        <w:t>.</w:t>
      </w:r>
      <w:r>
        <w:t xml:space="preserve">  The PIs technical and deep understanding of IA/IT programs can provide significant insight on how effective the different types of capacity grants are as well as how the IASP grants program can be enhanced.  This direct feedback from the PIs about strengths and weaknesses of the IASP, and their comments and suggestions for improvements can positively impact several aspects of the program.  The information gathered will be used to drive improvements to program processes, strategic planning, human resources management, and communications at all levels and to all audiences of the program.  </w:t>
      </w:r>
    </w:p>
    <w:p w:rsidR="005B58D2" w:rsidRPr="002B2A2A" w:rsidRDefault="00BD2187" w:rsidP="00CC5998">
      <w:pPr>
        <w:tabs>
          <w:tab w:val="left" w:pos="360"/>
        </w:tabs>
      </w:pPr>
      <w:r>
        <w:tab/>
      </w:r>
    </w:p>
    <w:p w:rsidR="0001199E" w:rsidRPr="002B2A2A" w:rsidRDefault="0001199E">
      <w:pPr>
        <w:tabs>
          <w:tab w:val="left" w:pos="360"/>
        </w:tabs>
      </w:pPr>
      <w:r w:rsidRPr="002B2A2A">
        <w:t xml:space="preserve">3.  </w:t>
      </w:r>
      <w:r w:rsidRPr="002B2A2A">
        <w:rPr>
          <w:u w:val="single"/>
        </w:rPr>
        <w:t>Use of Information Technology</w:t>
      </w:r>
    </w:p>
    <w:p w:rsidR="0001199E" w:rsidRPr="002B2A2A" w:rsidRDefault="0001199E">
      <w:pPr>
        <w:tabs>
          <w:tab w:val="left" w:pos="360"/>
        </w:tabs>
      </w:pPr>
    </w:p>
    <w:p w:rsidR="006129B9" w:rsidRDefault="00111663" w:rsidP="00934893">
      <w:pPr>
        <w:tabs>
          <w:tab w:val="left" w:pos="360"/>
        </w:tabs>
      </w:pPr>
      <w:r w:rsidRPr="002B2A2A">
        <w:tab/>
      </w:r>
      <w:r w:rsidR="0077166E">
        <w:t xml:space="preserve">The </w:t>
      </w:r>
      <w:r w:rsidR="00934893">
        <w:t xml:space="preserve">Assessment surveys are distributed </w:t>
      </w:r>
      <w:r w:rsidR="00C96FEE">
        <w:t>electronically</w:t>
      </w:r>
      <w:r w:rsidR="00934893">
        <w:t>; the IASP Executive Administrator wi</w:t>
      </w:r>
      <w:r w:rsidR="00555C6B">
        <w:t>ll send one email out to all PI</w:t>
      </w:r>
      <w:r w:rsidR="00934893">
        <w:t xml:space="preserve">s with the survey </w:t>
      </w:r>
      <w:r w:rsidR="001F76C3">
        <w:t xml:space="preserve">document </w:t>
      </w:r>
      <w:r w:rsidR="00934893">
        <w:t xml:space="preserve">attached and one email out to all recruitment scholarship recipients with their survey </w:t>
      </w:r>
      <w:r w:rsidR="001F76C3">
        <w:t xml:space="preserve">document </w:t>
      </w:r>
      <w:r w:rsidR="00934893">
        <w:t xml:space="preserve">attached.  All respondents are asked to e-mail their </w:t>
      </w:r>
      <w:r w:rsidR="001F76C3">
        <w:t xml:space="preserve">completed </w:t>
      </w:r>
      <w:r w:rsidR="00934893">
        <w:t>survey</w:t>
      </w:r>
      <w:r w:rsidR="001F76C3">
        <w:t>s</w:t>
      </w:r>
      <w:r w:rsidR="00934893">
        <w:t xml:space="preserve"> back to </w:t>
      </w:r>
      <w:r w:rsidR="00857809">
        <w:t xml:space="preserve">an </w:t>
      </w:r>
      <w:r w:rsidR="00934893">
        <w:t>IASP email</w:t>
      </w:r>
      <w:r w:rsidR="00857809">
        <w:t xml:space="preserve"> address</w:t>
      </w:r>
      <w:r w:rsidR="006129B9">
        <w:t>/mailbox</w:t>
      </w:r>
      <w:r w:rsidR="00857809">
        <w:t xml:space="preserve"> created specifically for survey responses.  </w:t>
      </w:r>
      <w:r w:rsidR="006129B9">
        <w:t>Each day the mailbox will be checked for new responses.  As surveys are received each day, they will be opened and uploaded, and the emails from which they were sent will be deleted.  This will occur daily for a period of no more than sixty days.  After sixty days, no more survey responses will be collected</w:t>
      </w:r>
      <w:r w:rsidR="001F76C3">
        <w:t xml:space="preserve"> and the mailbox will be shut down</w:t>
      </w:r>
      <w:r w:rsidR="006129B9">
        <w:t xml:space="preserve">.  There is no identifying or personal information </w:t>
      </w:r>
      <w:r w:rsidR="001F76C3">
        <w:t xml:space="preserve">being collected </w:t>
      </w:r>
      <w:r w:rsidR="006129B9">
        <w:t xml:space="preserve">on the surveys.  </w:t>
      </w:r>
    </w:p>
    <w:p w:rsidR="006129B9" w:rsidRDefault="006129B9" w:rsidP="00934893">
      <w:pPr>
        <w:tabs>
          <w:tab w:val="left" w:pos="360"/>
        </w:tabs>
      </w:pPr>
    </w:p>
    <w:p w:rsidR="006129B9" w:rsidRDefault="00857809" w:rsidP="00934893">
      <w:pPr>
        <w:tabs>
          <w:tab w:val="left" w:pos="360"/>
        </w:tabs>
      </w:pPr>
      <w:r>
        <w:t>Responses</w:t>
      </w:r>
      <w:r w:rsidR="00934893">
        <w:t xml:space="preserve"> can</w:t>
      </w:r>
      <w:r>
        <w:t xml:space="preserve"> also</w:t>
      </w:r>
      <w:r w:rsidR="00934893">
        <w:t xml:space="preserve"> be mailed to</w:t>
      </w:r>
      <w:r w:rsidR="006B352C">
        <w:t xml:space="preserve"> the below address</w:t>
      </w:r>
      <w:r w:rsidR="001F76C3">
        <w:t xml:space="preserve"> and scanned in</w:t>
      </w:r>
      <w:r w:rsidR="00934893">
        <w:t xml:space="preserve">to a computer.  </w:t>
      </w:r>
    </w:p>
    <w:p w:rsidR="001F76C3" w:rsidRDefault="001F76C3" w:rsidP="00934893">
      <w:pPr>
        <w:tabs>
          <w:tab w:val="left" w:pos="360"/>
        </w:tabs>
      </w:pPr>
    </w:p>
    <w:p w:rsidR="001F76C3" w:rsidRDefault="001F76C3" w:rsidP="001F76C3">
      <w:r>
        <w:t>Survey Response Address:</w:t>
      </w:r>
    </w:p>
    <w:p w:rsidR="001F76C3" w:rsidRDefault="001F76C3" w:rsidP="001F76C3">
      <w:pPr>
        <w:tabs>
          <w:tab w:val="left" w:pos="360"/>
        </w:tabs>
      </w:pPr>
      <w:r>
        <w:t>IASP Program Office for Survey Responses</w:t>
      </w:r>
    </w:p>
    <w:p w:rsidR="001F76C3" w:rsidRDefault="001F76C3" w:rsidP="001F76C3">
      <w:pPr>
        <w:tabs>
          <w:tab w:val="left" w:pos="360"/>
        </w:tabs>
      </w:pPr>
      <w:r>
        <w:t xml:space="preserve">Attn: </w:t>
      </w:r>
      <w:proofErr w:type="gramStart"/>
      <w:r>
        <w:t>DoD</w:t>
      </w:r>
      <w:proofErr w:type="gramEnd"/>
      <w:r>
        <w:t xml:space="preserve"> CIO IM &amp; IT/IM Workforce Team</w:t>
      </w:r>
    </w:p>
    <w:p w:rsidR="001F76C3" w:rsidRDefault="001F76C3" w:rsidP="001F76C3">
      <w:pPr>
        <w:tabs>
          <w:tab w:val="left" w:pos="360"/>
        </w:tabs>
      </w:pPr>
      <w:r>
        <w:t>4800 Mark Center Drive, Suite 11E08</w:t>
      </w:r>
    </w:p>
    <w:p w:rsidR="001F76C3" w:rsidRDefault="001F76C3" w:rsidP="001F76C3">
      <w:pPr>
        <w:tabs>
          <w:tab w:val="left" w:pos="360"/>
        </w:tabs>
      </w:pPr>
      <w:r>
        <w:t>Alexandra, VA 22350</w:t>
      </w:r>
    </w:p>
    <w:p w:rsidR="00D9692E" w:rsidRPr="002B2A2A" w:rsidRDefault="00D9692E">
      <w:pPr>
        <w:tabs>
          <w:tab w:val="left" w:pos="360"/>
        </w:tabs>
      </w:pPr>
    </w:p>
    <w:p w:rsidR="0001199E" w:rsidRPr="002B2A2A" w:rsidRDefault="0001199E">
      <w:pPr>
        <w:tabs>
          <w:tab w:val="left" w:pos="360"/>
        </w:tabs>
      </w:pPr>
      <w:r w:rsidRPr="002B2A2A">
        <w:t xml:space="preserve">4.  </w:t>
      </w:r>
      <w:r w:rsidRPr="002B2A2A">
        <w:rPr>
          <w:u w:val="single"/>
        </w:rPr>
        <w:t>Non-duplication</w:t>
      </w:r>
    </w:p>
    <w:p w:rsidR="0001199E" w:rsidRPr="002B2A2A" w:rsidRDefault="0001199E">
      <w:pPr>
        <w:tabs>
          <w:tab w:val="left" w:pos="360"/>
        </w:tabs>
      </w:pPr>
    </w:p>
    <w:p w:rsidR="006129B9" w:rsidRPr="002B2A2A" w:rsidRDefault="006129B9">
      <w:pPr>
        <w:tabs>
          <w:tab w:val="left" w:pos="360"/>
        </w:tabs>
      </w:pPr>
      <w:r>
        <w:t xml:space="preserve">The information obtained from the surveys is not available anywhere else and this information has not been previously collected.  </w:t>
      </w:r>
    </w:p>
    <w:p w:rsidR="0001199E" w:rsidRPr="002B2A2A" w:rsidRDefault="0001199E">
      <w:pPr>
        <w:tabs>
          <w:tab w:val="left" w:pos="360"/>
        </w:tabs>
      </w:pPr>
    </w:p>
    <w:p w:rsidR="0001199E" w:rsidRPr="002B2A2A" w:rsidRDefault="0001199E">
      <w:pPr>
        <w:tabs>
          <w:tab w:val="left" w:pos="360"/>
        </w:tabs>
      </w:pPr>
      <w:r w:rsidRPr="002B2A2A">
        <w:t xml:space="preserve">5.  </w:t>
      </w:r>
      <w:r w:rsidRPr="002B2A2A">
        <w:rPr>
          <w:u w:val="single"/>
        </w:rPr>
        <w:t>Burden on Small Business</w:t>
      </w:r>
    </w:p>
    <w:p w:rsidR="0001199E" w:rsidRPr="002B2A2A" w:rsidRDefault="0001199E">
      <w:pPr>
        <w:tabs>
          <w:tab w:val="left" w:pos="360"/>
        </w:tabs>
      </w:pPr>
    </w:p>
    <w:p w:rsidR="0001199E" w:rsidRPr="002B2A2A" w:rsidRDefault="007606B1">
      <w:pPr>
        <w:tabs>
          <w:tab w:val="left" w:pos="360"/>
        </w:tabs>
      </w:pPr>
      <w:r>
        <w:t>This Information C</w:t>
      </w:r>
      <w:r w:rsidR="0001199E" w:rsidRPr="002B2A2A">
        <w:t>ollection doe</w:t>
      </w:r>
      <w:r w:rsidR="007F408E" w:rsidRPr="002B2A2A">
        <w:t xml:space="preserve">s not have any burden </w:t>
      </w:r>
      <w:r w:rsidR="0001199E" w:rsidRPr="002B2A2A">
        <w:t>on small businesses or other entities.</w:t>
      </w:r>
    </w:p>
    <w:p w:rsidR="00530BC1" w:rsidRPr="002B2A2A" w:rsidRDefault="00530BC1">
      <w:pPr>
        <w:tabs>
          <w:tab w:val="left" w:pos="360"/>
        </w:tabs>
      </w:pPr>
    </w:p>
    <w:p w:rsidR="0001199E" w:rsidRPr="002B2A2A" w:rsidRDefault="0001199E">
      <w:pPr>
        <w:tabs>
          <w:tab w:val="left" w:pos="360"/>
        </w:tabs>
      </w:pPr>
      <w:r w:rsidRPr="002B2A2A">
        <w:t xml:space="preserve">6.  </w:t>
      </w:r>
      <w:r w:rsidRPr="002B2A2A">
        <w:rPr>
          <w:u w:val="single"/>
        </w:rPr>
        <w:t>Less Frequent Collection</w:t>
      </w:r>
    </w:p>
    <w:p w:rsidR="0001199E" w:rsidRPr="002B2A2A" w:rsidRDefault="0001199E">
      <w:pPr>
        <w:tabs>
          <w:tab w:val="left" w:pos="360"/>
        </w:tabs>
      </w:pPr>
    </w:p>
    <w:p w:rsidR="002C42D9" w:rsidRPr="00C5438B" w:rsidRDefault="002C42D9">
      <w:pPr>
        <w:tabs>
          <w:tab w:val="left" w:pos="360"/>
        </w:tabs>
      </w:pPr>
      <w:proofErr w:type="gramStart"/>
      <w:r w:rsidRPr="00C5438B">
        <w:t>DoD</w:t>
      </w:r>
      <w:proofErr w:type="gramEnd"/>
      <w:r w:rsidRPr="00C5438B">
        <w:t xml:space="preserve"> uses the scholarship program as an annual recruiting mechanism to maintain a continuous flow of new cybersecurity professionals into the DoD cybersecurity workforce.  If the Information Coll</w:t>
      </w:r>
      <w:r w:rsidR="00240F56">
        <w:t>ection (i.e. surveys</w:t>
      </w:r>
      <w:r w:rsidRPr="00C5438B">
        <w:t xml:space="preserve">) </w:t>
      </w:r>
      <w:r w:rsidR="00B41869">
        <w:t>is</w:t>
      </w:r>
      <w:r w:rsidRPr="00C5438B">
        <w:t xml:space="preserve"> conducted less frequently</w:t>
      </w:r>
      <w:r w:rsidR="00C838DC">
        <w:t>,</w:t>
      </w:r>
      <w:r w:rsidR="001C2965">
        <w:t xml:space="preserve"> </w:t>
      </w:r>
      <w:r w:rsidRPr="00C5438B">
        <w:t>there w</w:t>
      </w:r>
      <w:r w:rsidR="00B41869">
        <w:t>ill</w:t>
      </w:r>
      <w:r w:rsidR="00C838DC">
        <w:t xml:space="preserve"> likely</w:t>
      </w:r>
      <w:r w:rsidRPr="00C5438B">
        <w:t xml:space="preserve"> be </w:t>
      </w:r>
      <w:r w:rsidR="00240F56">
        <w:t xml:space="preserve">a loss of data </w:t>
      </w:r>
      <w:r w:rsidR="00C838DC">
        <w:t xml:space="preserve">fidelity </w:t>
      </w:r>
      <w:r w:rsidR="00240F56">
        <w:t xml:space="preserve">from a </w:t>
      </w:r>
      <w:r w:rsidR="00C838DC">
        <w:t xml:space="preserve">sample </w:t>
      </w:r>
      <w:r w:rsidR="00240F56">
        <w:t>group</w:t>
      </w:r>
      <w:r w:rsidR="00C838DC">
        <w:t>,</w:t>
      </w:r>
      <w:r w:rsidR="00240F56">
        <w:t xml:space="preserve"> and gaps in understanding the effectiveness of any programmatic changes</w:t>
      </w:r>
      <w:r w:rsidRPr="00C5438B">
        <w:t xml:space="preserve">.  </w:t>
      </w:r>
      <w:r w:rsidR="00240F56">
        <w:t xml:space="preserve">Applicants cannot use </w:t>
      </w:r>
      <w:r w:rsidRPr="00C5438B">
        <w:t>prior year submissions</w:t>
      </w:r>
      <w:r w:rsidR="00C5438B" w:rsidRPr="00C5438B">
        <w:t xml:space="preserve">; </w:t>
      </w:r>
      <w:r w:rsidR="00240F56">
        <w:t>they</w:t>
      </w:r>
      <w:r w:rsidR="00C5438B" w:rsidRPr="00C5438B">
        <w:t xml:space="preserve"> must submit a separate, current application.</w:t>
      </w:r>
      <w:r w:rsidR="00240F56">
        <w:t xml:space="preserve">  </w:t>
      </w:r>
      <w:r w:rsidR="0006708B" w:rsidRPr="0006708B">
        <w:t>We cannot decipher</w:t>
      </w:r>
      <w:r w:rsidR="00240F56" w:rsidRPr="0006708B">
        <w:t xml:space="preserve"> which </w:t>
      </w:r>
      <w:r w:rsidR="0006708B" w:rsidRPr="0006708B">
        <w:t xml:space="preserve">scholarship </w:t>
      </w:r>
      <w:r w:rsidR="00FE3F7C" w:rsidRPr="0006708B">
        <w:t>recipients</w:t>
      </w:r>
      <w:r w:rsidR="00240F56" w:rsidRPr="0006708B">
        <w:t xml:space="preserve"> will re-apply</w:t>
      </w:r>
      <w:r w:rsidR="0006708B" w:rsidRPr="0006708B">
        <w:t xml:space="preserve"> to the program the next year</w:t>
      </w:r>
      <w:r w:rsidR="00240F56" w:rsidRPr="0006708B">
        <w:t xml:space="preserve">, </w:t>
      </w:r>
      <w:r w:rsidR="0006708B">
        <w:t xml:space="preserve">and many </w:t>
      </w:r>
      <w:r w:rsidR="00F63D9B">
        <w:t>recipient</w:t>
      </w:r>
      <w:r w:rsidR="0006708B">
        <w:t xml:space="preserve">s are in their final year of schooling when they enter the program, </w:t>
      </w:r>
      <w:r w:rsidR="00240F56" w:rsidRPr="0006708B">
        <w:t>therefore we need to administer the survey once per year</w:t>
      </w:r>
      <w:r w:rsidR="00B41869" w:rsidRPr="0006708B">
        <w:t xml:space="preserve"> to capture feedback from all scholarship recipients</w:t>
      </w:r>
      <w:r w:rsidR="00240F56" w:rsidRPr="0006708B">
        <w:t>.</w:t>
      </w:r>
      <w:r w:rsidR="00C5438B" w:rsidRPr="00C5438B">
        <w:t xml:space="preserve">  </w:t>
      </w:r>
    </w:p>
    <w:p w:rsidR="00C5438B" w:rsidRDefault="00C5438B">
      <w:pPr>
        <w:tabs>
          <w:tab w:val="left" w:pos="360"/>
        </w:tabs>
        <w:rPr>
          <w:u w:val="double"/>
        </w:rPr>
      </w:pPr>
    </w:p>
    <w:p w:rsidR="0001199E" w:rsidRPr="002B2A2A" w:rsidRDefault="007202A3">
      <w:pPr>
        <w:tabs>
          <w:tab w:val="left" w:pos="360"/>
        </w:tabs>
      </w:pPr>
      <w:r w:rsidRPr="002B2A2A">
        <w:t xml:space="preserve">7.  </w:t>
      </w:r>
      <w:r w:rsidR="0001199E" w:rsidRPr="002B2A2A">
        <w:rPr>
          <w:u w:val="single"/>
        </w:rPr>
        <w:t>Paperwork Reduction Act Guidelines</w:t>
      </w:r>
    </w:p>
    <w:p w:rsidR="0001199E" w:rsidRPr="002B2A2A" w:rsidRDefault="0001199E">
      <w:pPr>
        <w:tabs>
          <w:tab w:val="left" w:pos="360"/>
        </w:tabs>
      </w:pPr>
    </w:p>
    <w:p w:rsidR="0001199E" w:rsidRPr="002B2A2A" w:rsidRDefault="00DB1D7E">
      <w:pPr>
        <w:tabs>
          <w:tab w:val="left" w:pos="360"/>
        </w:tabs>
      </w:pPr>
      <w:r w:rsidRPr="002B2A2A">
        <w:tab/>
      </w:r>
      <w:r w:rsidR="0001199E" w:rsidRPr="002B2A2A">
        <w:t xml:space="preserve"> The </w:t>
      </w:r>
      <w:r w:rsidR="00E33C2B">
        <w:t>Information C</w:t>
      </w:r>
      <w:r w:rsidR="0001199E" w:rsidRPr="002B2A2A">
        <w:t>ollection will be conducted in a manner consistent with the guidelines in 5 CFR 1320.5(d</w:t>
      </w:r>
      <w:proofErr w:type="gramStart"/>
      <w:r w:rsidR="0001199E" w:rsidRPr="002B2A2A">
        <w:t>)(</w:t>
      </w:r>
      <w:proofErr w:type="gramEnd"/>
      <w:r w:rsidR="0001199E" w:rsidRPr="002B2A2A">
        <w:t>2).</w:t>
      </w:r>
    </w:p>
    <w:p w:rsidR="0001199E" w:rsidRPr="002B2A2A" w:rsidRDefault="0001199E">
      <w:pPr>
        <w:tabs>
          <w:tab w:val="left" w:pos="360"/>
        </w:tabs>
      </w:pPr>
    </w:p>
    <w:p w:rsidR="0001199E" w:rsidRPr="002B2A2A" w:rsidRDefault="0001199E">
      <w:pPr>
        <w:tabs>
          <w:tab w:val="left" w:pos="360"/>
        </w:tabs>
      </w:pPr>
      <w:r w:rsidRPr="002B2A2A">
        <w:t xml:space="preserve">8.  </w:t>
      </w:r>
      <w:r w:rsidRPr="002B2A2A">
        <w:rPr>
          <w:u w:val="single"/>
        </w:rPr>
        <w:t>Consultation and Public Comments</w:t>
      </w:r>
    </w:p>
    <w:p w:rsidR="0001199E" w:rsidRPr="002B2A2A" w:rsidRDefault="0001199E">
      <w:pPr>
        <w:tabs>
          <w:tab w:val="left" w:pos="360"/>
        </w:tabs>
      </w:pPr>
    </w:p>
    <w:p w:rsidR="00296B3A" w:rsidRPr="002B2A2A" w:rsidRDefault="0001199E">
      <w:pPr>
        <w:tabs>
          <w:tab w:val="left" w:pos="360"/>
        </w:tabs>
      </w:pPr>
      <w:r w:rsidRPr="002B2A2A">
        <w:tab/>
      </w:r>
      <w:r w:rsidR="00296B3A" w:rsidRPr="002B2A2A">
        <w:t xml:space="preserve">Public comments </w:t>
      </w:r>
      <w:r w:rsidR="006344CE">
        <w:t>were</w:t>
      </w:r>
      <w:r w:rsidR="00296B3A" w:rsidRPr="002B2A2A">
        <w:t xml:space="preserve"> solicited in the </w:t>
      </w:r>
      <w:r w:rsidR="00296B3A" w:rsidRPr="002B2A2A">
        <w:rPr>
          <w:u w:val="single"/>
        </w:rPr>
        <w:t>Federal Register</w:t>
      </w:r>
      <w:r w:rsidR="00296B3A" w:rsidRPr="002B2A2A">
        <w:t xml:space="preserve"> as required by 5 CFR 1320.8(d) in the preamble of the proposed rule.  </w:t>
      </w:r>
      <w:r w:rsidR="00E030FA">
        <w:t xml:space="preserve">The 60-day </w:t>
      </w:r>
      <w:r w:rsidR="00FE3F7C">
        <w:t>Federal Register Number</w:t>
      </w:r>
      <w:r w:rsidR="00E030FA">
        <w:t xml:space="preserve"> was published on 12/21/2012 on pages 75,619-75,620. </w:t>
      </w:r>
      <w:r w:rsidR="00E70280" w:rsidRPr="002B2A2A">
        <w:t xml:space="preserve"> </w:t>
      </w:r>
      <w:r w:rsidR="00CA4A37" w:rsidRPr="00221AC4">
        <w:t>No comments</w:t>
      </w:r>
      <w:r w:rsidR="00CA4A37">
        <w:t xml:space="preserve"> were received</w:t>
      </w:r>
      <w:r w:rsidR="00221AC4">
        <w:t>.</w:t>
      </w:r>
    </w:p>
    <w:p w:rsidR="00296B3A" w:rsidRPr="002B2A2A" w:rsidRDefault="00296B3A">
      <w:pPr>
        <w:tabs>
          <w:tab w:val="left" w:pos="360"/>
        </w:tabs>
      </w:pPr>
    </w:p>
    <w:p w:rsidR="0001199E" w:rsidRPr="002B2A2A" w:rsidRDefault="00EF5BC6">
      <w:pPr>
        <w:tabs>
          <w:tab w:val="left" w:pos="360"/>
        </w:tabs>
      </w:pPr>
      <w:r>
        <w:tab/>
      </w:r>
      <w:r w:rsidR="0001199E" w:rsidRPr="002B2A2A">
        <w:t xml:space="preserve">This data collection </w:t>
      </w:r>
      <w:r w:rsidR="00C90985" w:rsidRPr="002B2A2A">
        <w:t>is cons</w:t>
      </w:r>
      <w:r w:rsidR="00197C22" w:rsidRPr="002B2A2A">
        <w:t xml:space="preserve">tant with </w:t>
      </w:r>
      <w:r w:rsidR="0001199E" w:rsidRPr="002B2A2A">
        <w:t>requirement</w:t>
      </w:r>
      <w:r w:rsidR="00197C22" w:rsidRPr="002B2A2A">
        <w:t>s of similar government and non-government sponsored programs.</w:t>
      </w:r>
    </w:p>
    <w:p w:rsidR="0013663B" w:rsidRDefault="0013663B" w:rsidP="007761CA"/>
    <w:p w:rsidR="0001199E" w:rsidRPr="002B2A2A" w:rsidRDefault="0001199E">
      <w:pPr>
        <w:tabs>
          <w:tab w:val="left" w:pos="360"/>
        </w:tabs>
      </w:pPr>
      <w:r w:rsidRPr="002B2A2A">
        <w:t xml:space="preserve">9.  </w:t>
      </w:r>
      <w:r w:rsidRPr="002B2A2A">
        <w:rPr>
          <w:u w:val="single"/>
        </w:rPr>
        <w:t>Gifts or Payment</w:t>
      </w:r>
      <w:r w:rsidR="00FE3F7C">
        <w:rPr>
          <w:u w:val="single"/>
        </w:rPr>
        <w:t>s</w:t>
      </w:r>
    </w:p>
    <w:p w:rsidR="0001199E" w:rsidRPr="002B2A2A" w:rsidRDefault="0001199E">
      <w:pPr>
        <w:tabs>
          <w:tab w:val="left" w:pos="360"/>
        </w:tabs>
      </w:pPr>
    </w:p>
    <w:p w:rsidR="0001199E" w:rsidRPr="002B2A2A" w:rsidRDefault="0001199E">
      <w:pPr>
        <w:tabs>
          <w:tab w:val="left" w:pos="360"/>
        </w:tabs>
      </w:pPr>
      <w:r w:rsidRPr="002B2A2A">
        <w:tab/>
        <w:t xml:space="preserve">No </w:t>
      </w:r>
      <w:r w:rsidR="00111663" w:rsidRPr="002B2A2A">
        <w:t>gifts o</w:t>
      </w:r>
      <w:r w:rsidR="006A7DCB">
        <w:t>r</w:t>
      </w:r>
      <w:r w:rsidR="00111663" w:rsidRPr="002B2A2A">
        <w:t xml:space="preserve"> payments outside the scope of the program will be</w:t>
      </w:r>
      <w:r w:rsidRPr="002B2A2A">
        <w:t xml:space="preserve"> provided to respondents.</w:t>
      </w:r>
    </w:p>
    <w:p w:rsidR="0001199E" w:rsidRPr="002B2A2A" w:rsidRDefault="0001199E">
      <w:pPr>
        <w:tabs>
          <w:tab w:val="left" w:pos="360"/>
        </w:tabs>
      </w:pPr>
    </w:p>
    <w:p w:rsidR="0001199E" w:rsidRPr="002B2A2A" w:rsidRDefault="0001199E" w:rsidP="00E35D12">
      <w:pPr>
        <w:numPr>
          <w:ilvl w:val="0"/>
          <w:numId w:val="8"/>
        </w:numPr>
        <w:tabs>
          <w:tab w:val="left" w:pos="360"/>
        </w:tabs>
        <w:ind w:hanging="480"/>
        <w:rPr>
          <w:u w:val="single"/>
        </w:rPr>
      </w:pPr>
      <w:r w:rsidRPr="002B2A2A">
        <w:rPr>
          <w:u w:val="single"/>
        </w:rPr>
        <w:t>Confidentiality</w:t>
      </w:r>
    </w:p>
    <w:p w:rsidR="001D2667" w:rsidRPr="002B2A2A" w:rsidRDefault="001D2667" w:rsidP="001D2667">
      <w:pPr>
        <w:tabs>
          <w:tab w:val="left" w:pos="360"/>
        </w:tabs>
        <w:rPr>
          <w:u w:val="single"/>
        </w:rPr>
      </w:pPr>
    </w:p>
    <w:p w:rsidR="009371F2" w:rsidRDefault="0006712B" w:rsidP="00874567">
      <w:pPr>
        <w:autoSpaceDE w:val="0"/>
        <w:autoSpaceDN w:val="0"/>
        <w:adjustRightInd w:val="0"/>
        <w:ind w:firstLine="240"/>
      </w:pPr>
      <w:r w:rsidRPr="002B2A2A">
        <w:t xml:space="preserve">The DoD IASP </w:t>
      </w:r>
      <w:r w:rsidR="001D2667" w:rsidRPr="002B2A2A">
        <w:t>Executive Admini</w:t>
      </w:r>
      <w:r w:rsidR="00346719" w:rsidRPr="002B2A2A">
        <w:t xml:space="preserve">strator </w:t>
      </w:r>
      <w:r w:rsidR="001D2667" w:rsidRPr="002B2A2A">
        <w:t xml:space="preserve">recognizes the importance of protecting Personally Identifiable Information (PII). </w:t>
      </w:r>
      <w:r w:rsidR="00E70280" w:rsidRPr="002B2A2A">
        <w:t xml:space="preserve"> </w:t>
      </w:r>
      <w:r w:rsidR="00E24661">
        <w:t xml:space="preserve">The two surveys under review in this Information Collection do not contain any PII.  </w:t>
      </w:r>
      <w:r w:rsidR="0008730D">
        <w:t>T</w:t>
      </w:r>
      <w:r w:rsidR="00E24661">
        <w:t xml:space="preserve">he NSA Privacy Advocate </w:t>
      </w:r>
      <w:r w:rsidR="0008730D">
        <w:t xml:space="preserve">approved/signed the Privacy </w:t>
      </w:r>
      <w:r w:rsidR="000A34C9">
        <w:t>Impact</w:t>
      </w:r>
      <w:r w:rsidR="0008730D">
        <w:t xml:space="preserve"> Assessment for the </w:t>
      </w:r>
      <w:proofErr w:type="gramStart"/>
      <w:r w:rsidR="0008730D">
        <w:t>DoD</w:t>
      </w:r>
      <w:proofErr w:type="gramEnd"/>
      <w:r w:rsidR="0008730D">
        <w:t xml:space="preserve"> IASP on </w:t>
      </w:r>
      <w:r w:rsidR="000A34C9">
        <w:t>January 7, 2013.  The P</w:t>
      </w:r>
      <w:r w:rsidR="00235B48">
        <w:t xml:space="preserve">rivacy </w:t>
      </w:r>
      <w:r w:rsidR="000A34C9">
        <w:t>I</w:t>
      </w:r>
      <w:r w:rsidR="00235B48">
        <w:t xml:space="preserve">mpact </w:t>
      </w:r>
      <w:r w:rsidR="000A34C9">
        <w:t>A</w:t>
      </w:r>
      <w:r w:rsidR="00555C6B">
        <w:t>ssessment</w:t>
      </w:r>
      <w:r w:rsidR="00760D77">
        <w:t xml:space="preserve">, included as </w:t>
      </w:r>
      <w:r w:rsidR="00760D77">
        <w:lastRenderedPageBreak/>
        <w:t>part of this submission as Attachment 2,</w:t>
      </w:r>
      <w:r w:rsidR="000A34C9">
        <w:t xml:space="preserve"> states that </w:t>
      </w:r>
      <w:r w:rsidR="001D2667" w:rsidRPr="002B2A2A">
        <w:t xml:space="preserve">all data collected </w:t>
      </w:r>
      <w:r w:rsidR="00A24693" w:rsidRPr="002B2A2A">
        <w:t xml:space="preserve">for the purposes of the program </w:t>
      </w:r>
      <w:r w:rsidR="001D2667" w:rsidRPr="002B2A2A">
        <w:t>will be protected</w:t>
      </w:r>
      <w:r w:rsidR="00033A00">
        <w:t xml:space="preserve"> under the Privacy Act to the extent permitted by law</w:t>
      </w:r>
      <w:r w:rsidRPr="002B2A2A">
        <w:t xml:space="preserve"> in accordance with NSA’s privacy policy and procedures</w:t>
      </w:r>
      <w:r w:rsidR="001D2667" w:rsidRPr="002B2A2A">
        <w:t xml:space="preserve">.  </w:t>
      </w:r>
      <w:r w:rsidR="000A34C9">
        <w:t>A</w:t>
      </w:r>
      <w:r w:rsidRPr="002B2A2A">
        <w:t xml:space="preserve"> System of Records </w:t>
      </w:r>
      <w:r w:rsidR="00874567">
        <w:t>N</w:t>
      </w:r>
      <w:r w:rsidRPr="002B2A2A">
        <w:t xml:space="preserve">otice </w:t>
      </w:r>
      <w:r w:rsidR="00874567">
        <w:t>(SORN) was</w:t>
      </w:r>
      <w:r w:rsidRPr="002B2A2A">
        <w:t xml:space="preserve"> developed for the IASP and </w:t>
      </w:r>
      <w:r w:rsidR="00BF0C04">
        <w:t>was</w:t>
      </w:r>
      <w:r w:rsidR="00C96FEE" w:rsidRPr="002B2A2A">
        <w:t xml:space="preserve"> </w:t>
      </w:r>
      <w:r w:rsidR="00BF0C04">
        <w:t xml:space="preserve">initially </w:t>
      </w:r>
      <w:r w:rsidRPr="002B2A2A">
        <w:t xml:space="preserve">posted to the Federal Register </w:t>
      </w:r>
      <w:r w:rsidR="00BF0C04">
        <w:t xml:space="preserve">on November 3, 2010 (75 FR 67697) </w:t>
      </w:r>
      <w:r w:rsidRPr="002B2A2A">
        <w:t>by the Defense Privacy Office</w:t>
      </w:r>
      <w:r w:rsidR="00BF0C04">
        <w:t>.  The SORN was amended October 5, 2011 (76 FR 61679).</w:t>
      </w:r>
      <w:r w:rsidRPr="002B2A2A">
        <w:t xml:space="preserve">  </w:t>
      </w:r>
      <w:r w:rsidR="00A24693" w:rsidRPr="002B2A2A">
        <w:t>The</w:t>
      </w:r>
      <w:r w:rsidR="001D2667" w:rsidRPr="002B2A2A">
        <w:t xml:space="preserve"> </w:t>
      </w:r>
      <w:r w:rsidRPr="002B2A2A">
        <w:t xml:space="preserve">DoD IASP </w:t>
      </w:r>
      <w:r w:rsidR="001D2667" w:rsidRPr="002B2A2A">
        <w:t xml:space="preserve">Executive </w:t>
      </w:r>
      <w:r w:rsidR="00A24693" w:rsidRPr="002B2A2A">
        <w:t>Administrator</w:t>
      </w:r>
      <w:r w:rsidR="001D2667" w:rsidRPr="002B2A2A">
        <w:t xml:space="preserve"> </w:t>
      </w:r>
      <w:r w:rsidR="00E70280" w:rsidRPr="002B2A2A">
        <w:t xml:space="preserve">performs </w:t>
      </w:r>
      <w:r w:rsidR="001D2667" w:rsidRPr="002B2A2A">
        <w:t xml:space="preserve">the following </w:t>
      </w:r>
      <w:r w:rsidR="00A24693" w:rsidRPr="002B2A2A">
        <w:t xml:space="preserve">additional </w:t>
      </w:r>
      <w:r w:rsidR="001D2667" w:rsidRPr="002B2A2A">
        <w:t>protective measures</w:t>
      </w:r>
      <w:r w:rsidR="00A24693" w:rsidRPr="002B2A2A">
        <w:t xml:space="preserve"> to keep all parties</w:t>
      </w:r>
      <w:r w:rsidR="00235B48">
        <w:t>’</w:t>
      </w:r>
      <w:r w:rsidR="00A24693" w:rsidRPr="002B2A2A">
        <w:t xml:space="preserve"> information confidential and secure</w:t>
      </w:r>
      <w:r w:rsidR="009371F2">
        <w:t>:</w:t>
      </w:r>
    </w:p>
    <w:p w:rsidR="00874567" w:rsidRDefault="00874567" w:rsidP="00874567">
      <w:pPr>
        <w:autoSpaceDE w:val="0"/>
        <w:autoSpaceDN w:val="0"/>
        <w:adjustRightInd w:val="0"/>
        <w:ind w:firstLine="240"/>
      </w:pPr>
    </w:p>
    <w:p w:rsidR="0055537E" w:rsidRDefault="0055537E" w:rsidP="0055537E">
      <w:pPr>
        <w:pStyle w:val="ListParagraph"/>
        <w:numPr>
          <w:ilvl w:val="0"/>
          <w:numId w:val="13"/>
        </w:numPr>
        <w:autoSpaceDE w:val="0"/>
        <w:autoSpaceDN w:val="0"/>
        <w:adjustRightInd w:val="0"/>
      </w:pPr>
      <w:r>
        <w:t>Privacy Act Statements</w:t>
      </w:r>
      <w:r w:rsidR="00122FEB">
        <w:t xml:space="preserve">, including purposes of the </w:t>
      </w:r>
      <w:r w:rsidR="00E33C2B">
        <w:t>I</w:t>
      </w:r>
      <w:r w:rsidR="00122FEB">
        <w:t xml:space="preserve">nformation </w:t>
      </w:r>
      <w:r w:rsidR="00E33C2B">
        <w:t>C</w:t>
      </w:r>
      <w:r w:rsidR="00122FEB">
        <w:t>ollection, routine uses</w:t>
      </w:r>
      <w:r>
        <w:t xml:space="preserve"> </w:t>
      </w:r>
      <w:r w:rsidR="00122FEB">
        <w:t>and disclosure requirements are</w:t>
      </w:r>
      <w:r>
        <w:t xml:space="preserve"> placed on </w:t>
      </w:r>
      <w:r w:rsidR="00122FEB">
        <w:t>student application forms</w:t>
      </w:r>
      <w:r w:rsidR="00EC44DE">
        <w:t xml:space="preserve"> and program surveys</w:t>
      </w:r>
      <w:r w:rsidR="00122FEB">
        <w:t>.</w:t>
      </w:r>
      <w:r>
        <w:t xml:space="preserve"> </w:t>
      </w:r>
    </w:p>
    <w:p w:rsidR="0055537E" w:rsidRDefault="0055537E" w:rsidP="0055537E">
      <w:pPr>
        <w:pStyle w:val="ListParagraph"/>
        <w:numPr>
          <w:ilvl w:val="0"/>
          <w:numId w:val="13"/>
        </w:numPr>
        <w:autoSpaceDE w:val="0"/>
        <w:autoSpaceDN w:val="0"/>
        <w:adjustRightInd w:val="0"/>
      </w:pPr>
      <w:r>
        <w:t xml:space="preserve">Privacy Banners </w:t>
      </w:r>
      <w:r w:rsidR="00122FEB">
        <w:t>are</w:t>
      </w:r>
      <w:r>
        <w:t xml:space="preserve"> placed on any spreadsheets containing student PII or any documentation shared with participating DoD Components.</w:t>
      </w:r>
    </w:p>
    <w:p w:rsidR="00BF63CA" w:rsidRDefault="00BF63CA" w:rsidP="00BF63CA">
      <w:pPr>
        <w:pStyle w:val="PlainText"/>
        <w:ind w:left="960"/>
        <w:rPr>
          <w:rFonts w:ascii="Times New Roman" w:hAnsi="Times New Roman" w:cs="Times New Roman"/>
          <w:sz w:val="24"/>
          <w:szCs w:val="24"/>
        </w:rPr>
      </w:pPr>
    </w:p>
    <w:p w:rsidR="00BF63CA" w:rsidRDefault="00BF63CA" w:rsidP="00BF63CA">
      <w:pPr>
        <w:pStyle w:val="PlainText"/>
        <w:rPr>
          <w:rFonts w:ascii="Times New Roman" w:hAnsi="Times New Roman" w:cs="Times New Roman"/>
          <w:sz w:val="24"/>
          <w:szCs w:val="24"/>
        </w:rPr>
      </w:pPr>
      <w:r w:rsidRPr="00BF63CA">
        <w:rPr>
          <w:rFonts w:ascii="Times New Roman" w:hAnsi="Times New Roman" w:cs="Times New Roman"/>
          <w:sz w:val="24"/>
          <w:szCs w:val="24"/>
        </w:rPr>
        <w:t xml:space="preserve">SORN ID number: </w:t>
      </w:r>
      <w:r>
        <w:rPr>
          <w:rFonts w:ascii="Times New Roman" w:hAnsi="Times New Roman" w:cs="Times New Roman"/>
          <w:sz w:val="24"/>
          <w:szCs w:val="24"/>
        </w:rPr>
        <w:t>GNSA 27</w:t>
      </w:r>
    </w:p>
    <w:p w:rsidR="00BF63CA" w:rsidRPr="00BF63CA" w:rsidRDefault="00BF63CA" w:rsidP="00BF63CA">
      <w:pPr>
        <w:pStyle w:val="PlainText"/>
        <w:rPr>
          <w:rFonts w:ascii="Times New Roman" w:hAnsi="Times New Roman" w:cs="Times New Roman"/>
          <w:sz w:val="24"/>
          <w:szCs w:val="24"/>
        </w:rPr>
      </w:pPr>
      <w:r w:rsidRPr="00BF63CA">
        <w:rPr>
          <w:rFonts w:ascii="Times New Roman" w:hAnsi="Times New Roman" w:cs="Times New Roman"/>
          <w:sz w:val="24"/>
          <w:szCs w:val="24"/>
        </w:rPr>
        <w:t xml:space="preserve">SORN Title: Information Assurance Scholarship Program (October 5, </w:t>
      </w:r>
      <w:r>
        <w:rPr>
          <w:rFonts w:ascii="Times New Roman" w:hAnsi="Times New Roman" w:cs="Times New Roman"/>
          <w:sz w:val="24"/>
          <w:szCs w:val="24"/>
        </w:rPr>
        <w:t>2011, 76 FR 61679)</w:t>
      </w:r>
      <w:r w:rsidR="00760D77">
        <w:rPr>
          <w:rFonts w:ascii="Times New Roman" w:hAnsi="Times New Roman" w:cs="Times New Roman"/>
          <w:sz w:val="24"/>
          <w:szCs w:val="24"/>
        </w:rPr>
        <w:t xml:space="preserve"> – included as Attachment 3</w:t>
      </w:r>
      <w:r w:rsidR="00D330CF">
        <w:rPr>
          <w:rFonts w:ascii="Times New Roman" w:hAnsi="Times New Roman" w:cs="Times New Roman"/>
          <w:sz w:val="24"/>
          <w:szCs w:val="24"/>
        </w:rPr>
        <w:t xml:space="preserve"> IASP System of Records Notice.</w:t>
      </w:r>
    </w:p>
    <w:p w:rsidR="00BF63CA" w:rsidRPr="00BF63CA" w:rsidRDefault="00BF63CA" w:rsidP="00BF63CA">
      <w:pPr>
        <w:pStyle w:val="PlainText"/>
        <w:rPr>
          <w:rFonts w:ascii="Times New Roman" w:hAnsi="Times New Roman" w:cs="Times New Roman"/>
          <w:sz w:val="24"/>
          <w:szCs w:val="24"/>
        </w:rPr>
      </w:pPr>
      <w:r>
        <w:rPr>
          <w:rFonts w:ascii="Times New Roman" w:hAnsi="Times New Roman" w:cs="Times New Roman"/>
          <w:sz w:val="24"/>
          <w:szCs w:val="24"/>
        </w:rPr>
        <w:t xml:space="preserve">SORN </w:t>
      </w:r>
      <w:r w:rsidRPr="00BF63CA">
        <w:rPr>
          <w:rFonts w:ascii="Times New Roman" w:hAnsi="Times New Roman" w:cs="Times New Roman"/>
          <w:sz w:val="24"/>
          <w:szCs w:val="24"/>
        </w:rPr>
        <w:t xml:space="preserve">Website address: </w:t>
      </w:r>
      <w:hyperlink r:id="rId9" w:history="1">
        <w:r w:rsidR="00FE3F7C" w:rsidRPr="00D91B21">
          <w:rPr>
            <w:rStyle w:val="Hyperlink"/>
            <w:rFonts w:ascii="Times New Roman" w:hAnsi="Times New Roman" w:cs="Times New Roman"/>
            <w:sz w:val="24"/>
            <w:szCs w:val="24"/>
          </w:rPr>
          <w:t>http://dpclo.defense.gov/privacy/SORNs/component/nsa/GNSA-27.html</w:t>
        </w:r>
      </w:hyperlink>
      <w:r w:rsidR="00FE3F7C">
        <w:rPr>
          <w:rFonts w:ascii="Times New Roman" w:hAnsi="Times New Roman" w:cs="Times New Roman"/>
          <w:sz w:val="24"/>
          <w:szCs w:val="24"/>
        </w:rPr>
        <w:t xml:space="preserve"> </w:t>
      </w:r>
    </w:p>
    <w:p w:rsidR="00602C64" w:rsidRDefault="00602C64" w:rsidP="00602C64">
      <w:pPr>
        <w:tabs>
          <w:tab w:val="left" w:pos="540"/>
        </w:tabs>
      </w:pPr>
    </w:p>
    <w:p w:rsidR="00865945" w:rsidRPr="00602C64" w:rsidRDefault="00925D9A" w:rsidP="00602C64">
      <w:pPr>
        <w:pStyle w:val="ListParagraph"/>
        <w:numPr>
          <w:ilvl w:val="0"/>
          <w:numId w:val="8"/>
        </w:numPr>
        <w:tabs>
          <w:tab w:val="left" w:pos="450"/>
          <w:tab w:val="num" w:pos="660"/>
        </w:tabs>
        <w:ind w:hanging="660"/>
        <w:rPr>
          <w:u w:val="single"/>
        </w:rPr>
      </w:pPr>
      <w:r w:rsidRPr="00602C64">
        <w:rPr>
          <w:u w:val="single"/>
        </w:rPr>
        <w:t>Sensitive Questions</w:t>
      </w:r>
    </w:p>
    <w:p w:rsidR="0001199E" w:rsidRPr="002B2A2A" w:rsidRDefault="0001199E">
      <w:pPr>
        <w:tabs>
          <w:tab w:val="left" w:pos="360"/>
        </w:tabs>
      </w:pPr>
    </w:p>
    <w:p w:rsidR="00296B3A" w:rsidRPr="002B2A2A" w:rsidRDefault="00296B3A">
      <w:pPr>
        <w:tabs>
          <w:tab w:val="left" w:pos="360"/>
        </w:tabs>
      </w:pPr>
      <w:r w:rsidRPr="002B2A2A">
        <w:tab/>
        <w:t>No questions of a sensitive nature, such as sexual behavior and attitudes or re</w:t>
      </w:r>
      <w:r w:rsidR="00C2492F" w:rsidRPr="002B2A2A">
        <w:t>ligious bel</w:t>
      </w:r>
      <w:r w:rsidR="00985A30" w:rsidRPr="002B2A2A">
        <w:t>iefs will be asked, nor is demo</w:t>
      </w:r>
      <w:r w:rsidR="00C2492F" w:rsidRPr="002B2A2A">
        <w:t xml:space="preserve">graphic information such as </w:t>
      </w:r>
      <w:r w:rsidRPr="002B2A2A">
        <w:t>r</w:t>
      </w:r>
      <w:r w:rsidR="00C2492F" w:rsidRPr="002B2A2A">
        <w:t>ace or</w:t>
      </w:r>
      <w:r w:rsidRPr="002B2A2A">
        <w:t xml:space="preserve"> gende</w:t>
      </w:r>
      <w:r w:rsidR="00C2492F" w:rsidRPr="002B2A2A">
        <w:t>r requested</w:t>
      </w:r>
      <w:r w:rsidRPr="002B2A2A">
        <w:t>.</w:t>
      </w:r>
    </w:p>
    <w:p w:rsidR="00296B3A" w:rsidRPr="002B2A2A" w:rsidRDefault="00296B3A">
      <w:pPr>
        <w:tabs>
          <w:tab w:val="left" w:pos="360"/>
        </w:tabs>
      </w:pPr>
    </w:p>
    <w:p w:rsidR="008C25FA" w:rsidRPr="002B2A2A" w:rsidRDefault="0001199E" w:rsidP="008C25FA">
      <w:pPr>
        <w:tabs>
          <w:tab w:val="left" w:pos="360"/>
        </w:tabs>
      </w:pPr>
      <w:r w:rsidRPr="002B2A2A">
        <w:tab/>
      </w:r>
      <w:r w:rsidR="00D07B7F" w:rsidRPr="002B2A2A">
        <w:t xml:space="preserve">IASP-related </w:t>
      </w:r>
      <w:r w:rsidR="007606B1">
        <w:t>Information C</w:t>
      </w:r>
      <w:r w:rsidR="00D07B7F" w:rsidRPr="002B2A2A">
        <w:t>ollection</w:t>
      </w:r>
      <w:r w:rsidRPr="002B2A2A">
        <w:t xml:space="preserve"> </w:t>
      </w:r>
      <w:r w:rsidR="008C25FA" w:rsidRPr="002B2A2A">
        <w:t>does not include soci</w:t>
      </w:r>
      <w:r w:rsidR="00B87FF6" w:rsidRPr="002B2A2A">
        <w:t>al security numbers</w:t>
      </w:r>
      <w:r w:rsidR="00C2492F" w:rsidRPr="002B2A2A">
        <w:t xml:space="preserve">.  The collection of </w:t>
      </w:r>
      <w:r w:rsidR="008C25FA" w:rsidRPr="002B2A2A">
        <w:t xml:space="preserve">other </w:t>
      </w:r>
      <w:r w:rsidR="00985A30" w:rsidRPr="002B2A2A">
        <w:t xml:space="preserve">PII </w:t>
      </w:r>
      <w:r w:rsidR="008C25FA" w:rsidRPr="002B2A2A">
        <w:t>is addressed under item 10 above, “Confidentiality.”</w:t>
      </w:r>
    </w:p>
    <w:p w:rsidR="00E35D12" w:rsidRDefault="00E35D12" w:rsidP="00E35D12">
      <w:pPr>
        <w:tabs>
          <w:tab w:val="left" w:pos="270"/>
        </w:tabs>
      </w:pPr>
    </w:p>
    <w:p w:rsidR="0001199E" w:rsidRPr="002B2A2A" w:rsidRDefault="00111663" w:rsidP="00E35D12">
      <w:pPr>
        <w:tabs>
          <w:tab w:val="left" w:pos="360"/>
        </w:tabs>
      </w:pPr>
      <w:r w:rsidRPr="002B2A2A">
        <w:t xml:space="preserve">12.  </w:t>
      </w:r>
      <w:r w:rsidR="008C62B4" w:rsidRPr="002B2A2A">
        <w:rPr>
          <w:u w:val="single"/>
        </w:rPr>
        <w:t>Respondent</w:t>
      </w:r>
      <w:r w:rsidR="006D274A" w:rsidRPr="002B2A2A">
        <w:rPr>
          <w:u w:val="single"/>
        </w:rPr>
        <w:t xml:space="preserve"> </w:t>
      </w:r>
      <w:r w:rsidR="00C90985" w:rsidRPr="002B2A2A">
        <w:rPr>
          <w:u w:val="single"/>
        </w:rPr>
        <w:t>Burden</w:t>
      </w:r>
    </w:p>
    <w:p w:rsidR="000374C4" w:rsidRPr="002B2A2A" w:rsidRDefault="000374C4" w:rsidP="000374C4">
      <w:pPr>
        <w:tabs>
          <w:tab w:val="left" w:pos="360"/>
        </w:tabs>
        <w:ind w:left="360"/>
      </w:pPr>
    </w:p>
    <w:p w:rsidR="00BF0C04" w:rsidRDefault="007202A3" w:rsidP="007202A3">
      <w:r w:rsidRPr="002B2A2A">
        <w:t xml:space="preserve">        </w:t>
      </w:r>
      <w:r w:rsidR="001F458E" w:rsidRPr="002B2A2A">
        <w:t>Information is to be col</w:t>
      </w:r>
      <w:r w:rsidR="00502E60" w:rsidRPr="002B2A2A">
        <w:t xml:space="preserve">lected </w:t>
      </w:r>
      <w:r w:rsidR="00467A26">
        <w:t>from IASP sch</w:t>
      </w:r>
      <w:r w:rsidR="00555C6B">
        <w:t>olarship recipients and from PI</w:t>
      </w:r>
      <w:r w:rsidR="00467A26">
        <w:t xml:space="preserve">s at each of the CAEs </w:t>
      </w:r>
      <w:r w:rsidR="00502E60" w:rsidRPr="002B2A2A">
        <w:t>on the following aspects of</w:t>
      </w:r>
      <w:r w:rsidR="001D19EC" w:rsidRPr="002B2A2A">
        <w:t xml:space="preserve"> the IASP: </w:t>
      </w:r>
      <w:r w:rsidR="00B41869">
        <w:t xml:space="preserve">the application process, IA/IT curriculum development, mentoring opportunities, program management, and communications at all levels of the program.  </w:t>
      </w:r>
      <w:r w:rsidR="00556D74" w:rsidRPr="002B2A2A">
        <w:t>Burden hours and associated costs for each aspect of the program are broken out below and are reflec</w:t>
      </w:r>
      <w:r w:rsidR="004411EB" w:rsidRPr="002B2A2A">
        <w:t>ted on OMB Form 83-I.</w:t>
      </w:r>
      <w:r w:rsidR="00BF0C04">
        <w:t xml:space="preserve">  </w:t>
      </w:r>
      <w:r w:rsidR="00BF0C04" w:rsidRPr="00BF0C04">
        <w:t>Agency Disclosure and Burden Statem</w:t>
      </w:r>
      <w:r w:rsidR="00240F56">
        <w:t xml:space="preserve">ents are included on the surveys, as well as </w:t>
      </w:r>
      <w:r w:rsidR="00BF0C04" w:rsidRPr="00BF0C04">
        <w:t xml:space="preserve">in the Solicitation for Proposals </w:t>
      </w:r>
      <w:r w:rsidR="00FF233E" w:rsidRPr="00BF0C04">
        <w:t>announc</w:t>
      </w:r>
      <w:r w:rsidR="00FF233E">
        <w:t>ement</w:t>
      </w:r>
      <w:r w:rsidR="00FF233E" w:rsidRPr="00BF0C04">
        <w:t xml:space="preserve"> </w:t>
      </w:r>
      <w:r w:rsidR="00FF233E">
        <w:t xml:space="preserve">(See Attachment 1) </w:t>
      </w:r>
      <w:r w:rsidR="00BF0C04" w:rsidRPr="00BF0C04">
        <w:t xml:space="preserve">sent to CAEs annually. </w:t>
      </w:r>
      <w:r w:rsidR="00556D74" w:rsidRPr="002B2A2A">
        <w:t xml:space="preserve">  </w:t>
      </w:r>
    </w:p>
    <w:p w:rsidR="006A7DCB" w:rsidRDefault="006A7DCB" w:rsidP="007202A3"/>
    <w:p w:rsidR="00467A26" w:rsidRPr="002B2A2A" w:rsidRDefault="00467A26" w:rsidP="00467A26">
      <w:pPr>
        <w:tabs>
          <w:tab w:val="left" w:pos="360"/>
        </w:tabs>
        <w:rPr>
          <w:b/>
          <w:i/>
        </w:rPr>
      </w:pPr>
      <w:r w:rsidRPr="002B2A2A">
        <w:rPr>
          <w:b/>
          <w:i/>
        </w:rPr>
        <w:t>IASP Assessment Program</w:t>
      </w:r>
    </w:p>
    <w:p w:rsidR="00467A26" w:rsidRPr="002B2A2A" w:rsidRDefault="00467A26" w:rsidP="00467A26">
      <w:pPr>
        <w:tabs>
          <w:tab w:val="left" w:pos="360"/>
        </w:tabs>
      </w:pPr>
    </w:p>
    <w:p w:rsidR="00467A26" w:rsidRDefault="00467A26" w:rsidP="00467A26">
      <w:pPr>
        <w:tabs>
          <w:tab w:val="left" w:pos="360"/>
        </w:tabs>
      </w:pPr>
      <w:r w:rsidRPr="002B2A2A">
        <w:tab/>
        <w:t>IASP participants and their faculty advisors (</w:t>
      </w:r>
      <w:r w:rsidR="00362D79">
        <w:t xml:space="preserve">the </w:t>
      </w:r>
      <w:r w:rsidRPr="002B2A2A">
        <w:t xml:space="preserve">PIs) are </w:t>
      </w:r>
      <w:r>
        <w:t>asked</w:t>
      </w:r>
      <w:r w:rsidRPr="002B2A2A">
        <w:t xml:space="preserve"> to complete </w:t>
      </w:r>
      <w:r>
        <w:t xml:space="preserve">a </w:t>
      </w:r>
      <w:r w:rsidRPr="002B2A2A">
        <w:t xml:space="preserve">program assessment </w:t>
      </w:r>
      <w:r>
        <w:t>survey</w:t>
      </w:r>
      <w:r w:rsidR="00362D79">
        <w:t>, sent</w:t>
      </w:r>
      <w:r w:rsidRPr="002B2A2A">
        <w:t xml:space="preserve"> to them from the DoD IASP </w:t>
      </w:r>
      <w:r w:rsidR="00362D79">
        <w:t>Program Office</w:t>
      </w:r>
      <w:r w:rsidRPr="002B2A2A">
        <w:t>.  In general, the information requested relates to the respondent’s overall assessment of the program and suggestions for improvements.</w:t>
      </w:r>
      <w:r w:rsidR="00362D79">
        <w:t xml:space="preserve">  </w:t>
      </w:r>
      <w:r w:rsidRPr="00362D79">
        <w:t>It is important to note that the survey has not previously been distributed.  There are no previous year’s response rates to use as a baseline</w:t>
      </w:r>
      <w:r w:rsidR="00376903">
        <w:t xml:space="preserve">; however, based upon the number of scholarship recipients and the number of PIs, the program expects to receive </w:t>
      </w:r>
      <w:r w:rsidR="00376903" w:rsidRPr="00F31650">
        <w:t>174 responses</w:t>
      </w:r>
      <w:r w:rsidRPr="00F31650">
        <w:t>.</w:t>
      </w:r>
      <w:r>
        <w:t xml:space="preserve">  </w:t>
      </w:r>
    </w:p>
    <w:p w:rsidR="00467A26" w:rsidRPr="002B2A2A" w:rsidRDefault="00467A26" w:rsidP="00467A26">
      <w:pPr>
        <w:tabs>
          <w:tab w:val="left" w:pos="360"/>
        </w:tabs>
      </w:pPr>
    </w:p>
    <w:p w:rsidR="00467A26" w:rsidRDefault="00467A26" w:rsidP="00467A26">
      <w:pPr>
        <w:tabs>
          <w:tab w:val="left" w:pos="360"/>
        </w:tabs>
      </w:pPr>
      <w:r w:rsidRPr="002B2A2A">
        <w:lastRenderedPageBreak/>
        <w:tab/>
        <w:t xml:space="preserve">The response burden for the assessment program is determined by </w:t>
      </w:r>
      <w:r>
        <w:t>multiplying</w:t>
      </w:r>
      <w:r w:rsidRPr="002B2A2A">
        <w:t xml:space="preserve"> the number of </w:t>
      </w:r>
      <w:r>
        <w:t xml:space="preserve">respondents by the number of annual </w:t>
      </w:r>
      <w:r w:rsidRPr="002B2A2A">
        <w:t>responses</w:t>
      </w:r>
      <w:r>
        <w:t xml:space="preserve"> </w:t>
      </w:r>
      <w:r w:rsidRPr="002B2A2A">
        <w:t>by the total hours required to complete the response:</w:t>
      </w:r>
    </w:p>
    <w:p w:rsidR="00D03CD2" w:rsidRDefault="00D03CD2" w:rsidP="00467A26">
      <w:pPr>
        <w:tabs>
          <w:tab w:val="left" w:pos="360"/>
        </w:tabs>
      </w:pPr>
    </w:p>
    <w:p w:rsidR="00C85F2D" w:rsidRDefault="00C85F2D" w:rsidP="00C85F2D">
      <w:pPr>
        <w:spacing w:after="200" w:line="276" w:lineRule="auto"/>
        <w:ind w:left="360"/>
        <w:jc w:val="center"/>
      </w:pPr>
      <w:r w:rsidRPr="00F31650">
        <w:t>Table 1:  Proposed Population for Assessment Collection</w:t>
      </w:r>
    </w:p>
    <w:tbl>
      <w:tblPr>
        <w:tblW w:w="0" w:type="auto"/>
        <w:jc w:val="center"/>
        <w:tblInd w:w="1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0"/>
        <w:gridCol w:w="1080"/>
      </w:tblGrid>
      <w:tr w:rsidR="00C85F2D" w:rsidRPr="00F31650" w:rsidTr="00C85F2D">
        <w:trPr>
          <w:trHeight w:val="593"/>
          <w:jc w:val="center"/>
        </w:trPr>
        <w:tc>
          <w:tcPr>
            <w:tcW w:w="5160" w:type="dxa"/>
          </w:tcPr>
          <w:p w:rsidR="00C85F2D" w:rsidRPr="00F31650" w:rsidRDefault="00C85F2D" w:rsidP="00BA680D">
            <w:pPr>
              <w:autoSpaceDE w:val="0"/>
              <w:autoSpaceDN w:val="0"/>
              <w:adjustRightInd w:val="0"/>
            </w:pPr>
            <w:r w:rsidRPr="00F31650">
              <w:t>Current recruitment students</w:t>
            </w:r>
          </w:p>
        </w:tc>
        <w:tc>
          <w:tcPr>
            <w:tcW w:w="1080" w:type="dxa"/>
            <w:vAlign w:val="center"/>
          </w:tcPr>
          <w:p w:rsidR="00C85F2D" w:rsidRPr="00F31650" w:rsidRDefault="00C85F2D" w:rsidP="00BA680D">
            <w:pPr>
              <w:autoSpaceDE w:val="0"/>
              <w:autoSpaceDN w:val="0"/>
              <w:adjustRightInd w:val="0"/>
              <w:spacing w:line="480" w:lineRule="auto"/>
              <w:jc w:val="center"/>
            </w:pPr>
            <w:r>
              <w:t>93</w:t>
            </w:r>
          </w:p>
        </w:tc>
      </w:tr>
      <w:tr w:rsidR="00C85F2D" w:rsidRPr="002B2A2A" w:rsidTr="00C85F2D">
        <w:trPr>
          <w:trHeight w:val="647"/>
          <w:jc w:val="center"/>
        </w:trPr>
        <w:tc>
          <w:tcPr>
            <w:tcW w:w="5160" w:type="dxa"/>
          </w:tcPr>
          <w:p w:rsidR="00C85F2D" w:rsidRPr="00F31650" w:rsidRDefault="00C85F2D" w:rsidP="00BA680D">
            <w:pPr>
              <w:autoSpaceDE w:val="0"/>
              <w:autoSpaceDN w:val="0"/>
              <w:adjustRightInd w:val="0"/>
            </w:pPr>
            <w:r w:rsidRPr="00F31650">
              <w:t xml:space="preserve">Principal </w:t>
            </w:r>
            <w:bookmarkStart w:id="1" w:name="OLE_LINK3"/>
            <w:r w:rsidRPr="00F31650">
              <w:t>Investigators</w:t>
            </w:r>
            <w:bookmarkEnd w:id="1"/>
          </w:p>
        </w:tc>
        <w:tc>
          <w:tcPr>
            <w:tcW w:w="1080" w:type="dxa"/>
            <w:vAlign w:val="center"/>
          </w:tcPr>
          <w:p w:rsidR="00C85F2D" w:rsidRPr="002B2A2A" w:rsidRDefault="00C85F2D" w:rsidP="00BA680D">
            <w:pPr>
              <w:autoSpaceDE w:val="0"/>
              <w:autoSpaceDN w:val="0"/>
              <w:adjustRightInd w:val="0"/>
              <w:spacing w:line="480" w:lineRule="auto"/>
              <w:jc w:val="center"/>
            </w:pPr>
            <w:r w:rsidRPr="00F31650">
              <w:t>400</w:t>
            </w:r>
          </w:p>
        </w:tc>
      </w:tr>
      <w:tr w:rsidR="00C85F2D" w:rsidRPr="002B2A2A" w:rsidTr="00C85F2D">
        <w:trPr>
          <w:trHeight w:val="647"/>
          <w:jc w:val="center"/>
        </w:trPr>
        <w:tc>
          <w:tcPr>
            <w:tcW w:w="5160" w:type="dxa"/>
          </w:tcPr>
          <w:p w:rsidR="00C85F2D" w:rsidRPr="00F31650" w:rsidRDefault="00C85F2D" w:rsidP="00BA680D">
            <w:pPr>
              <w:autoSpaceDE w:val="0"/>
              <w:autoSpaceDN w:val="0"/>
              <w:adjustRightInd w:val="0"/>
            </w:pPr>
            <w:r>
              <w:t>Total</w:t>
            </w:r>
          </w:p>
        </w:tc>
        <w:tc>
          <w:tcPr>
            <w:tcW w:w="1080" w:type="dxa"/>
            <w:vAlign w:val="center"/>
          </w:tcPr>
          <w:p w:rsidR="00C85F2D" w:rsidRPr="00F31650" w:rsidRDefault="00C85F2D" w:rsidP="00BA680D">
            <w:pPr>
              <w:autoSpaceDE w:val="0"/>
              <w:autoSpaceDN w:val="0"/>
              <w:adjustRightInd w:val="0"/>
              <w:spacing w:line="480" w:lineRule="auto"/>
              <w:jc w:val="center"/>
            </w:pPr>
            <w:r>
              <w:t>493</w:t>
            </w:r>
          </w:p>
        </w:tc>
      </w:tr>
    </w:tbl>
    <w:p w:rsidR="00D03CD2" w:rsidRDefault="00D03CD2" w:rsidP="00D03CD2">
      <w:pPr>
        <w:pStyle w:val="ListParagraph"/>
      </w:pPr>
    </w:p>
    <w:p w:rsidR="00D03CD2" w:rsidRDefault="00D03CD2" w:rsidP="00D03CD2">
      <w:pPr>
        <w:pStyle w:val="ListParagraph"/>
        <w:ind w:left="0"/>
      </w:pPr>
      <w:r>
        <w:t xml:space="preserve">Average Burden per Response:  </w:t>
      </w:r>
      <w:r w:rsidR="00327D5F">
        <w:t>Test Case Respondent t</w:t>
      </w:r>
      <w:r>
        <w:t>ook the survey and it took her about 15 minutes</w:t>
      </w:r>
      <w:r w:rsidR="005D22B8">
        <w:t xml:space="preserve"> to complete</w:t>
      </w:r>
      <w:r>
        <w:t xml:space="preserve">. </w:t>
      </w:r>
    </w:p>
    <w:p w:rsidR="005D22B8" w:rsidRDefault="005D22B8" w:rsidP="00D03CD2">
      <w:pPr>
        <w:pStyle w:val="ListParagraph"/>
        <w:ind w:left="0"/>
      </w:pPr>
    </w:p>
    <w:p w:rsidR="00D03CD2" w:rsidRDefault="00D03CD2" w:rsidP="00D03CD2">
      <w:pPr>
        <w:pStyle w:val="ListParagraph"/>
        <w:ind w:left="0"/>
      </w:pPr>
      <w:r>
        <w:t>Annual Burden Hours: 493 responses x 15 minutes = 123.25 hours</w:t>
      </w:r>
    </w:p>
    <w:p w:rsidR="00D03CD2" w:rsidRPr="002B2A2A" w:rsidRDefault="00D03CD2" w:rsidP="00467A26">
      <w:pPr>
        <w:tabs>
          <w:tab w:val="left" w:pos="360"/>
        </w:tabs>
      </w:pPr>
    </w:p>
    <w:p w:rsidR="00467A26" w:rsidRPr="002B2A2A" w:rsidRDefault="00467A26" w:rsidP="00467A26">
      <w:pPr>
        <w:tabs>
          <w:tab w:val="left" w:pos="360"/>
        </w:tabs>
      </w:pPr>
    </w:p>
    <w:p w:rsidR="00467A26" w:rsidRPr="002B2A2A" w:rsidRDefault="00467A26" w:rsidP="00467A26">
      <w:pPr>
        <w:tabs>
          <w:tab w:val="left" w:pos="360"/>
        </w:tabs>
        <w:rPr>
          <w:u w:val="single"/>
        </w:rPr>
      </w:pPr>
      <w:r w:rsidRPr="002B2A2A">
        <w:rPr>
          <w:u w:val="single"/>
        </w:rPr>
        <w:t>Performance Assessment (electronic) (TAB B)</w:t>
      </w:r>
    </w:p>
    <w:p w:rsidR="00467A26" w:rsidRPr="002B2A2A" w:rsidRDefault="00467A26" w:rsidP="00467A26">
      <w:pPr>
        <w:tabs>
          <w:tab w:val="left" w:pos="360"/>
        </w:tabs>
      </w:pPr>
    </w:p>
    <w:p w:rsidR="00467A26" w:rsidRPr="002B2A2A" w:rsidRDefault="00467A26" w:rsidP="00467A26">
      <w:pPr>
        <w:tabs>
          <w:tab w:val="left" w:pos="360"/>
        </w:tabs>
      </w:pPr>
      <w:r w:rsidRPr="002B2A2A">
        <w:t xml:space="preserve">Number of Respondents: </w:t>
      </w:r>
      <w:r w:rsidRPr="002B2A2A">
        <w:tab/>
      </w:r>
      <w:r w:rsidRPr="002B2A2A">
        <w:tab/>
      </w:r>
      <w:r w:rsidRPr="002B2A2A">
        <w:tab/>
      </w:r>
      <w:r w:rsidRPr="002B2A2A">
        <w:tab/>
      </w:r>
      <w:r w:rsidRPr="002B2A2A">
        <w:tab/>
      </w:r>
      <w:r w:rsidRPr="002B2A2A">
        <w:tab/>
        <w:t xml:space="preserve"> </w:t>
      </w:r>
      <w:r w:rsidR="00D03CD2">
        <w:t>493</w:t>
      </w:r>
    </w:p>
    <w:p w:rsidR="00467A26" w:rsidRPr="002B2A2A" w:rsidRDefault="00467A26" w:rsidP="00467A26">
      <w:pPr>
        <w:tabs>
          <w:tab w:val="left" w:pos="360"/>
        </w:tabs>
      </w:pPr>
      <w:r w:rsidRPr="002B2A2A">
        <w:t>Frequency of Responses:</w:t>
      </w:r>
      <w:r w:rsidRPr="002B2A2A">
        <w:tab/>
      </w:r>
      <w:r w:rsidRPr="002B2A2A">
        <w:tab/>
      </w:r>
      <w:r w:rsidRPr="002B2A2A">
        <w:tab/>
      </w:r>
      <w:r w:rsidRPr="002B2A2A">
        <w:tab/>
      </w:r>
      <w:r w:rsidRPr="002B2A2A">
        <w:tab/>
      </w:r>
      <w:r w:rsidRPr="002B2A2A">
        <w:tab/>
        <w:t xml:space="preserve">     1</w:t>
      </w:r>
    </w:p>
    <w:p w:rsidR="00467A26" w:rsidRPr="002B2A2A" w:rsidRDefault="00467A26" w:rsidP="00467A26">
      <w:pPr>
        <w:tabs>
          <w:tab w:val="left" w:pos="360"/>
        </w:tabs>
      </w:pPr>
      <w:r w:rsidRPr="002B2A2A">
        <w:t>Total Annual Responses:</w:t>
      </w:r>
      <w:r w:rsidRPr="002B2A2A">
        <w:tab/>
      </w:r>
      <w:r w:rsidRPr="002B2A2A">
        <w:tab/>
      </w:r>
      <w:r w:rsidRPr="002B2A2A">
        <w:tab/>
      </w:r>
      <w:r w:rsidRPr="002B2A2A">
        <w:tab/>
      </w:r>
      <w:r w:rsidRPr="002B2A2A">
        <w:tab/>
      </w:r>
      <w:r w:rsidRPr="002B2A2A">
        <w:tab/>
        <w:t xml:space="preserve"> </w:t>
      </w:r>
      <w:r w:rsidR="00D03CD2">
        <w:t>493</w:t>
      </w:r>
    </w:p>
    <w:p w:rsidR="00467A26" w:rsidRPr="002B2A2A" w:rsidRDefault="00467A26" w:rsidP="00467A26">
      <w:pPr>
        <w:tabs>
          <w:tab w:val="left" w:pos="360"/>
        </w:tabs>
      </w:pPr>
      <w:r w:rsidRPr="002B2A2A">
        <w:t>Burden Per Response:</w:t>
      </w:r>
      <w:r w:rsidRPr="002B2A2A">
        <w:tab/>
      </w:r>
      <w:r w:rsidRPr="002B2A2A">
        <w:tab/>
      </w:r>
      <w:r w:rsidRPr="002B2A2A">
        <w:tab/>
      </w:r>
      <w:r w:rsidRPr="002B2A2A">
        <w:tab/>
      </w:r>
      <w:r w:rsidRPr="002B2A2A">
        <w:tab/>
      </w:r>
      <w:r w:rsidRPr="002B2A2A">
        <w:tab/>
      </w:r>
      <w:r w:rsidRPr="002B2A2A">
        <w:tab/>
        <w:t xml:space="preserve">    .</w:t>
      </w:r>
      <w:r>
        <w:t>25</w:t>
      </w:r>
      <w:r w:rsidRPr="002B2A2A">
        <w:t xml:space="preserve"> hours</w:t>
      </w:r>
    </w:p>
    <w:p w:rsidR="00467A26" w:rsidRPr="002B2A2A" w:rsidRDefault="00467A26" w:rsidP="00467A26">
      <w:pPr>
        <w:tabs>
          <w:tab w:val="left" w:pos="360"/>
        </w:tabs>
      </w:pPr>
      <w:r w:rsidRPr="002B2A2A">
        <w:t>Total Burden Hours:</w:t>
      </w:r>
      <w:r w:rsidRPr="002B2A2A">
        <w:tab/>
      </w:r>
      <w:r w:rsidRPr="002B2A2A">
        <w:tab/>
      </w:r>
      <w:r w:rsidRPr="002B2A2A">
        <w:tab/>
      </w:r>
      <w:r w:rsidRPr="002B2A2A">
        <w:tab/>
      </w:r>
      <w:r w:rsidRPr="002B2A2A">
        <w:tab/>
        <w:t xml:space="preserve">                        </w:t>
      </w:r>
      <w:r w:rsidR="00D03CD2">
        <w:t>12</w:t>
      </w:r>
      <w:r>
        <w:t>3.</w:t>
      </w:r>
      <w:r w:rsidR="00D03CD2">
        <w:t>2</w:t>
      </w:r>
      <w:r>
        <w:t>5</w:t>
      </w:r>
      <w:r w:rsidRPr="002B2A2A">
        <w:t xml:space="preserve"> hours</w:t>
      </w:r>
    </w:p>
    <w:p w:rsidR="00467A26" w:rsidRPr="002B2A2A" w:rsidRDefault="00467A26" w:rsidP="00467A26">
      <w:pPr>
        <w:tabs>
          <w:tab w:val="left" w:pos="360"/>
        </w:tabs>
      </w:pPr>
    </w:p>
    <w:p w:rsidR="00467A26" w:rsidRPr="005D22B8" w:rsidRDefault="00467A26" w:rsidP="00602C64">
      <w:pPr>
        <w:tabs>
          <w:tab w:val="left" w:pos="360"/>
        </w:tabs>
      </w:pPr>
      <w:r w:rsidRPr="002B2A2A">
        <w:tab/>
      </w:r>
      <w:r w:rsidRPr="005D22B8">
        <w:t xml:space="preserve">Cost is determined by estimating </w:t>
      </w:r>
      <w:r w:rsidR="00327D5F" w:rsidRPr="005D22B8">
        <w:t>93</w:t>
      </w:r>
      <w:r w:rsidRPr="005D22B8">
        <w:t xml:space="preserve"> student responses ($7.25 an hour x .25) and </w:t>
      </w:r>
      <w:r w:rsidR="00327D5F" w:rsidRPr="005D22B8">
        <w:t>4</w:t>
      </w:r>
      <w:r w:rsidRPr="005D22B8">
        <w:t>00 Principal Investigators ($53 an hour x .25):</w:t>
      </w:r>
    </w:p>
    <w:p w:rsidR="00467A26" w:rsidRPr="005D22B8" w:rsidRDefault="00467A26" w:rsidP="00467A26">
      <w:pPr>
        <w:tabs>
          <w:tab w:val="left" w:pos="360"/>
        </w:tabs>
      </w:pPr>
    </w:p>
    <w:p w:rsidR="00467A26" w:rsidRPr="005D22B8" w:rsidRDefault="00327D5F" w:rsidP="00467A26">
      <w:pPr>
        <w:tabs>
          <w:tab w:val="left" w:pos="360"/>
        </w:tabs>
      </w:pPr>
      <w:r w:rsidRPr="005D22B8">
        <w:t>93</w:t>
      </w:r>
      <w:r w:rsidR="00467A26" w:rsidRPr="005D22B8">
        <w:t xml:space="preserve"> student responses at $1.81 = $</w:t>
      </w:r>
      <w:r w:rsidRPr="005D22B8">
        <w:t>168.33</w:t>
      </w:r>
    </w:p>
    <w:p w:rsidR="00602C64" w:rsidRPr="005D22B8" w:rsidRDefault="00602C64" w:rsidP="00467A26">
      <w:pPr>
        <w:tabs>
          <w:tab w:val="left" w:pos="360"/>
        </w:tabs>
      </w:pPr>
    </w:p>
    <w:p w:rsidR="00467A26" w:rsidRPr="005D22B8" w:rsidRDefault="00327D5F" w:rsidP="00467A26">
      <w:pPr>
        <w:tabs>
          <w:tab w:val="left" w:pos="360"/>
        </w:tabs>
      </w:pPr>
      <w:r w:rsidRPr="005D22B8">
        <w:t>4</w:t>
      </w:r>
      <w:r w:rsidR="00467A26" w:rsidRPr="005D22B8">
        <w:t>00 Principal Investigator responses at $13.25 = $</w:t>
      </w:r>
      <w:r w:rsidRPr="005D22B8">
        <w:t>5</w:t>
      </w:r>
      <w:r w:rsidR="00467A26" w:rsidRPr="005D22B8">
        <w:t>3</w:t>
      </w:r>
      <w:r w:rsidRPr="005D22B8">
        <w:t>00</w:t>
      </w:r>
    </w:p>
    <w:p w:rsidR="007606B1" w:rsidRPr="005D22B8" w:rsidRDefault="007606B1" w:rsidP="00467A26">
      <w:pPr>
        <w:tabs>
          <w:tab w:val="left" w:pos="360"/>
        </w:tabs>
      </w:pPr>
    </w:p>
    <w:p w:rsidR="00467A26" w:rsidRDefault="00467A26" w:rsidP="00467A26">
      <w:pPr>
        <w:tabs>
          <w:tab w:val="left" w:pos="360"/>
        </w:tabs>
      </w:pPr>
      <w:r w:rsidRPr="005D22B8">
        <w:t>Total response cost =</w:t>
      </w:r>
      <w:r w:rsidRPr="005D22B8">
        <w:rPr>
          <w:b/>
        </w:rPr>
        <w:t xml:space="preserve"> </w:t>
      </w:r>
      <w:r w:rsidRPr="005D22B8">
        <w:rPr>
          <w:u w:val="single"/>
        </w:rPr>
        <w:t>$5</w:t>
      </w:r>
      <w:r w:rsidR="00327D5F" w:rsidRPr="005D22B8">
        <w:rPr>
          <w:u w:val="single"/>
        </w:rPr>
        <w:t>468.33</w:t>
      </w:r>
    </w:p>
    <w:p w:rsidR="00E2427C" w:rsidRDefault="00E2427C" w:rsidP="007202A3"/>
    <w:p w:rsidR="0001199E" w:rsidRPr="002B2A2A" w:rsidRDefault="0001199E" w:rsidP="00E35D12">
      <w:pPr>
        <w:tabs>
          <w:tab w:val="left" w:pos="360"/>
        </w:tabs>
      </w:pPr>
      <w:r w:rsidRPr="002B2A2A">
        <w:t xml:space="preserve">13.  </w:t>
      </w:r>
      <w:r w:rsidRPr="002B2A2A">
        <w:rPr>
          <w:u w:val="single"/>
        </w:rPr>
        <w:t xml:space="preserve">Respondent Costs Other </w:t>
      </w:r>
      <w:proofErr w:type="gramStart"/>
      <w:r w:rsidRPr="002B2A2A">
        <w:rPr>
          <w:u w:val="single"/>
        </w:rPr>
        <w:t>Than</w:t>
      </w:r>
      <w:proofErr w:type="gramEnd"/>
      <w:r w:rsidRPr="002B2A2A">
        <w:rPr>
          <w:u w:val="single"/>
        </w:rPr>
        <w:t xml:space="preserve"> Burden Hour Costs</w:t>
      </w:r>
    </w:p>
    <w:p w:rsidR="0001199E" w:rsidRPr="002B2A2A" w:rsidRDefault="0001199E">
      <w:pPr>
        <w:tabs>
          <w:tab w:val="left" w:pos="360"/>
        </w:tabs>
      </w:pPr>
    </w:p>
    <w:p w:rsidR="001F458E" w:rsidRPr="002B2A2A" w:rsidRDefault="009F2673" w:rsidP="001F458E">
      <w:pPr>
        <w:tabs>
          <w:tab w:val="left" w:pos="360"/>
        </w:tabs>
      </w:pPr>
      <w:proofErr w:type="gramStart"/>
      <w:r w:rsidRPr="002B2A2A">
        <w:t>None.</w:t>
      </w:r>
      <w:proofErr w:type="gramEnd"/>
      <w:r w:rsidRPr="002B2A2A">
        <w:t xml:space="preserve">  </w:t>
      </w:r>
      <w:r w:rsidR="0001199E" w:rsidRPr="002B2A2A">
        <w:t xml:space="preserve">There is no capital start-up cost associated with this </w:t>
      </w:r>
      <w:r w:rsidR="007606B1">
        <w:t>I</w:t>
      </w:r>
      <w:r w:rsidR="0001199E" w:rsidRPr="002B2A2A">
        <w:t xml:space="preserve">nformation </w:t>
      </w:r>
      <w:r w:rsidR="007606B1">
        <w:t>C</w:t>
      </w:r>
      <w:r w:rsidR="0001199E" w:rsidRPr="002B2A2A">
        <w:t>ollection.</w:t>
      </w:r>
    </w:p>
    <w:p w:rsidR="008D7A06" w:rsidRPr="002B2A2A" w:rsidRDefault="008D7A06" w:rsidP="001F458E">
      <w:pPr>
        <w:tabs>
          <w:tab w:val="left" w:pos="360"/>
        </w:tabs>
      </w:pPr>
    </w:p>
    <w:p w:rsidR="0001199E" w:rsidRPr="002B2A2A" w:rsidRDefault="001F458E" w:rsidP="00E35D12">
      <w:pPr>
        <w:tabs>
          <w:tab w:val="left" w:pos="270"/>
        </w:tabs>
      </w:pPr>
      <w:r w:rsidRPr="002B2A2A">
        <w:t xml:space="preserve">14. </w:t>
      </w:r>
      <w:r w:rsidR="007202A3" w:rsidRPr="002B2A2A">
        <w:t xml:space="preserve"> </w:t>
      </w:r>
      <w:r w:rsidR="00E00A73" w:rsidRPr="002B2A2A">
        <w:rPr>
          <w:u w:val="single"/>
        </w:rPr>
        <w:t xml:space="preserve">Costs </w:t>
      </w:r>
      <w:r w:rsidR="0001199E" w:rsidRPr="002B2A2A">
        <w:rPr>
          <w:u w:val="single"/>
        </w:rPr>
        <w:t>to the Federal Government</w:t>
      </w:r>
    </w:p>
    <w:p w:rsidR="005B1529" w:rsidRPr="002B2A2A" w:rsidRDefault="005B1529" w:rsidP="005B1529">
      <w:pPr>
        <w:tabs>
          <w:tab w:val="left" w:pos="360"/>
        </w:tabs>
        <w:rPr>
          <w:u w:val="single"/>
        </w:rPr>
      </w:pPr>
    </w:p>
    <w:p w:rsidR="00467A26" w:rsidRPr="002B2A2A" w:rsidRDefault="00467A26" w:rsidP="00467A26">
      <w:pPr>
        <w:tabs>
          <w:tab w:val="left" w:pos="360"/>
        </w:tabs>
        <w:rPr>
          <w:b/>
          <w:i/>
        </w:rPr>
      </w:pPr>
      <w:r w:rsidRPr="002B2A2A">
        <w:rPr>
          <w:b/>
          <w:i/>
        </w:rPr>
        <w:t>Assessment Program</w:t>
      </w:r>
    </w:p>
    <w:p w:rsidR="00467A26" w:rsidRPr="002B2A2A" w:rsidRDefault="00467A26" w:rsidP="00467A26">
      <w:pPr>
        <w:tabs>
          <w:tab w:val="left" w:pos="360"/>
        </w:tabs>
      </w:pPr>
    </w:p>
    <w:p w:rsidR="00467A26" w:rsidRPr="002B2A2A" w:rsidRDefault="00467A26" w:rsidP="00467A26">
      <w:pPr>
        <w:tabs>
          <w:tab w:val="left" w:pos="360"/>
        </w:tabs>
      </w:pPr>
      <w:r w:rsidRPr="002B2A2A">
        <w:lastRenderedPageBreak/>
        <w:tab/>
        <w:t xml:space="preserve">Cost to the Federal Government for reviewing the Assessment Program responses is determined using the reviewer’s </w:t>
      </w:r>
      <w:r w:rsidRPr="00377DB3">
        <w:t>(GS-1</w:t>
      </w:r>
      <w:r w:rsidR="00305473" w:rsidRPr="00377DB3">
        <w:t>2</w:t>
      </w:r>
      <w:r w:rsidRPr="00377DB3">
        <w:t xml:space="preserve">/5) hourly salary </w:t>
      </w:r>
      <w:r w:rsidRPr="000928FF">
        <w:t>of $3</w:t>
      </w:r>
      <w:r w:rsidR="000928FF" w:rsidRPr="000928FF">
        <w:t>3</w:t>
      </w:r>
      <w:r w:rsidR="00E33C2B" w:rsidRPr="000928FF">
        <w:t xml:space="preserve"> </w:t>
      </w:r>
      <w:r w:rsidRPr="002B2A2A">
        <w:t>multiplied by total hours the review would take:</w:t>
      </w:r>
    </w:p>
    <w:p w:rsidR="00467A26" w:rsidRPr="002B2A2A" w:rsidRDefault="00467A26" w:rsidP="00467A26">
      <w:pPr>
        <w:tabs>
          <w:tab w:val="left" w:pos="360"/>
        </w:tabs>
      </w:pPr>
    </w:p>
    <w:p w:rsidR="00467A26" w:rsidRPr="002B2A2A" w:rsidRDefault="00467A26" w:rsidP="00467A26">
      <w:pPr>
        <w:tabs>
          <w:tab w:val="left" w:pos="360"/>
        </w:tabs>
        <w:rPr>
          <w:u w:val="single"/>
        </w:rPr>
      </w:pPr>
      <w:r w:rsidRPr="002B2A2A">
        <w:rPr>
          <w:u w:val="single"/>
        </w:rPr>
        <w:t>Performance Assessment Review</w:t>
      </w:r>
    </w:p>
    <w:p w:rsidR="00467A26" w:rsidRPr="000A5707" w:rsidRDefault="00467A26" w:rsidP="00467A26">
      <w:pPr>
        <w:tabs>
          <w:tab w:val="left" w:pos="360"/>
          <w:tab w:val="left" w:pos="7560"/>
        </w:tabs>
      </w:pPr>
      <w:r w:rsidRPr="002B2A2A">
        <w:tab/>
      </w:r>
      <w:r w:rsidRPr="000A5707">
        <w:t>Number of Respondents:</w:t>
      </w:r>
      <w:r w:rsidRPr="000A5707">
        <w:tab/>
      </w:r>
      <w:r w:rsidR="00D03CD2" w:rsidRPr="000A5707">
        <w:t>493</w:t>
      </w:r>
    </w:p>
    <w:p w:rsidR="00467A26" w:rsidRPr="000A5707" w:rsidRDefault="00467A26" w:rsidP="00467A26">
      <w:pPr>
        <w:tabs>
          <w:tab w:val="left" w:pos="360"/>
        </w:tabs>
      </w:pPr>
      <w:r w:rsidRPr="000A5707">
        <w:tab/>
        <w:t>Frequency of Responses:</w:t>
      </w:r>
      <w:r w:rsidRPr="000A5707">
        <w:tab/>
      </w:r>
      <w:r w:rsidRPr="000A5707">
        <w:tab/>
      </w:r>
      <w:r w:rsidRPr="000A5707">
        <w:tab/>
        <w:t xml:space="preserve">    </w:t>
      </w:r>
      <w:r w:rsidRPr="000A5707">
        <w:tab/>
      </w:r>
      <w:r w:rsidRPr="000A5707">
        <w:tab/>
      </w:r>
      <w:r w:rsidRPr="000A5707">
        <w:tab/>
        <w:t xml:space="preserve">                      1</w:t>
      </w:r>
    </w:p>
    <w:p w:rsidR="00467A26" w:rsidRPr="000A5707" w:rsidRDefault="00467A26" w:rsidP="00467A26">
      <w:pPr>
        <w:tabs>
          <w:tab w:val="left" w:pos="360"/>
        </w:tabs>
      </w:pPr>
      <w:r w:rsidRPr="000A5707">
        <w:tab/>
        <w:t>Total Annual Responses:</w:t>
      </w:r>
      <w:r w:rsidRPr="000A5707">
        <w:tab/>
      </w:r>
      <w:r w:rsidRPr="000A5707">
        <w:tab/>
      </w:r>
      <w:r w:rsidRPr="000A5707">
        <w:tab/>
      </w:r>
      <w:r w:rsidRPr="000A5707">
        <w:tab/>
      </w:r>
      <w:r w:rsidRPr="000A5707">
        <w:tab/>
      </w:r>
      <w:r w:rsidRPr="000A5707">
        <w:tab/>
        <w:t xml:space="preserve">                  </w:t>
      </w:r>
      <w:r w:rsidR="00D03CD2" w:rsidRPr="000A5707">
        <w:t>493</w:t>
      </w:r>
    </w:p>
    <w:p w:rsidR="00467A26" w:rsidRPr="000A5707" w:rsidRDefault="00467A26" w:rsidP="00467A26">
      <w:pPr>
        <w:tabs>
          <w:tab w:val="left" w:pos="360"/>
        </w:tabs>
      </w:pPr>
      <w:r w:rsidRPr="000A5707">
        <w:tab/>
        <w:t>Burden Per Response:</w:t>
      </w:r>
      <w:r w:rsidRPr="000A5707">
        <w:tab/>
      </w:r>
      <w:r w:rsidRPr="000A5707">
        <w:tab/>
      </w:r>
      <w:r w:rsidRPr="000A5707">
        <w:tab/>
      </w:r>
      <w:r w:rsidRPr="000A5707">
        <w:tab/>
        <w:t xml:space="preserve">  </w:t>
      </w:r>
      <w:r w:rsidRPr="000A5707">
        <w:tab/>
      </w:r>
      <w:r w:rsidRPr="000A5707">
        <w:tab/>
      </w:r>
      <w:r w:rsidRPr="000A5707">
        <w:tab/>
        <w:t xml:space="preserve">         .5 hour</w:t>
      </w:r>
    </w:p>
    <w:p w:rsidR="00467A26" w:rsidRPr="000A5707" w:rsidRDefault="00467A26" w:rsidP="00467A26">
      <w:pPr>
        <w:tabs>
          <w:tab w:val="left" w:pos="360"/>
        </w:tabs>
      </w:pPr>
      <w:r w:rsidRPr="000A5707">
        <w:tab/>
        <w:t>Total Burden Hours:</w:t>
      </w:r>
      <w:r w:rsidRPr="000A5707">
        <w:tab/>
      </w:r>
      <w:r w:rsidRPr="000A5707">
        <w:tab/>
      </w:r>
      <w:r w:rsidRPr="000A5707">
        <w:tab/>
      </w:r>
      <w:r w:rsidRPr="000A5707">
        <w:tab/>
      </w:r>
      <w:r w:rsidRPr="000A5707">
        <w:tab/>
      </w:r>
      <w:r w:rsidRPr="000A5707">
        <w:tab/>
      </w:r>
      <w:r w:rsidRPr="000A5707">
        <w:tab/>
        <w:t xml:space="preserve">        </w:t>
      </w:r>
      <w:r w:rsidR="00D03CD2" w:rsidRPr="000A5707">
        <w:t>246.5</w:t>
      </w:r>
      <w:r w:rsidRPr="000A5707">
        <w:t xml:space="preserve"> hours</w:t>
      </w:r>
    </w:p>
    <w:p w:rsidR="00467A26" w:rsidRPr="000A5707" w:rsidRDefault="00467A26" w:rsidP="00467A26">
      <w:pPr>
        <w:tabs>
          <w:tab w:val="left" w:pos="360"/>
        </w:tabs>
      </w:pPr>
      <w:r w:rsidRPr="000A5707">
        <w:tab/>
        <w:t>Average Cost Per Response:  ($3</w:t>
      </w:r>
      <w:r w:rsidR="000928FF" w:rsidRPr="000A5707">
        <w:t>3</w:t>
      </w:r>
      <w:r w:rsidRPr="000A5707">
        <w:t xml:space="preserve">/hour) </w:t>
      </w:r>
      <w:r w:rsidRPr="000A5707">
        <w:tab/>
      </w:r>
      <w:r w:rsidRPr="000A5707">
        <w:tab/>
        <w:t xml:space="preserve">               </w:t>
      </w:r>
      <w:r w:rsidRPr="000A5707">
        <w:tab/>
        <w:t xml:space="preserve">    </w:t>
      </w:r>
      <w:r w:rsidRPr="000A5707">
        <w:tab/>
        <w:t xml:space="preserve">        $16</w:t>
      </w:r>
      <w:r w:rsidR="000928FF" w:rsidRPr="000A5707">
        <w:t>.50</w:t>
      </w:r>
    </w:p>
    <w:p w:rsidR="00467A26" w:rsidRPr="002B2A2A" w:rsidRDefault="00467A26" w:rsidP="00467A26">
      <w:pPr>
        <w:tabs>
          <w:tab w:val="left" w:pos="360"/>
        </w:tabs>
        <w:rPr>
          <w:u w:val="single"/>
        </w:rPr>
      </w:pPr>
      <w:r w:rsidRPr="000A5707">
        <w:tab/>
      </w:r>
      <w:r w:rsidRPr="000A5707">
        <w:rPr>
          <w:u w:val="single"/>
        </w:rPr>
        <w:t>Total Cost:</w:t>
      </w:r>
      <w:r w:rsidRPr="000A5707">
        <w:rPr>
          <w:u w:val="single"/>
        </w:rPr>
        <w:tab/>
      </w:r>
      <w:r w:rsidRPr="000A5707">
        <w:rPr>
          <w:u w:val="single"/>
        </w:rPr>
        <w:tab/>
      </w:r>
      <w:r w:rsidRPr="000A5707">
        <w:rPr>
          <w:u w:val="single"/>
        </w:rPr>
        <w:tab/>
      </w:r>
      <w:r w:rsidRPr="000A5707">
        <w:rPr>
          <w:u w:val="single"/>
        </w:rPr>
        <w:tab/>
        <w:t xml:space="preserve">           </w:t>
      </w:r>
      <w:r w:rsidRPr="000A5707">
        <w:rPr>
          <w:u w:val="single"/>
        </w:rPr>
        <w:tab/>
      </w:r>
      <w:r w:rsidRPr="000A5707">
        <w:rPr>
          <w:u w:val="single"/>
        </w:rPr>
        <w:tab/>
      </w:r>
      <w:r w:rsidRPr="000A5707">
        <w:rPr>
          <w:u w:val="single"/>
        </w:rPr>
        <w:tab/>
        <w:t xml:space="preserve">                                $</w:t>
      </w:r>
      <w:r w:rsidR="00D03CD2" w:rsidRPr="000A5707">
        <w:rPr>
          <w:u w:val="single"/>
        </w:rPr>
        <w:t>4,067.25</w:t>
      </w:r>
      <w:r w:rsidRPr="002B2A2A">
        <w:rPr>
          <w:u w:val="single"/>
        </w:rPr>
        <w:t xml:space="preserve"> </w:t>
      </w:r>
    </w:p>
    <w:p w:rsidR="00446EB2" w:rsidRPr="002B2A2A" w:rsidRDefault="00446EB2" w:rsidP="00446EB2">
      <w:pPr>
        <w:tabs>
          <w:tab w:val="left" w:pos="360"/>
        </w:tabs>
      </w:pPr>
    </w:p>
    <w:p w:rsidR="0001199E" w:rsidRPr="002B2A2A" w:rsidRDefault="0001199E" w:rsidP="00E35D12">
      <w:pPr>
        <w:tabs>
          <w:tab w:val="left" w:pos="360"/>
        </w:tabs>
      </w:pPr>
      <w:r w:rsidRPr="002B2A2A">
        <w:t xml:space="preserve">15.  </w:t>
      </w:r>
      <w:r w:rsidRPr="002B2A2A">
        <w:rPr>
          <w:u w:val="single"/>
        </w:rPr>
        <w:t>Reasons for Change in Burden</w:t>
      </w:r>
    </w:p>
    <w:p w:rsidR="005B1529" w:rsidRPr="002B2A2A" w:rsidRDefault="005B1529" w:rsidP="005B1529">
      <w:pPr>
        <w:tabs>
          <w:tab w:val="left" w:pos="360"/>
        </w:tabs>
      </w:pPr>
    </w:p>
    <w:p w:rsidR="00E35D12" w:rsidRDefault="00467A26" w:rsidP="00E35D12">
      <w:pPr>
        <w:tabs>
          <w:tab w:val="left" w:pos="360"/>
        </w:tabs>
      </w:pPr>
      <w:r>
        <w:tab/>
      </w:r>
      <w:r w:rsidR="00E33C2B">
        <w:t xml:space="preserve">An </w:t>
      </w:r>
      <w:r>
        <w:t xml:space="preserve">Information Collection package </w:t>
      </w:r>
      <w:r w:rsidR="00E33C2B">
        <w:t xml:space="preserve">was </w:t>
      </w:r>
      <w:r>
        <w:t xml:space="preserve">submitted </w:t>
      </w:r>
      <w:r w:rsidR="00E33C2B">
        <w:t xml:space="preserve">for IASP </w:t>
      </w:r>
      <w:r>
        <w:t xml:space="preserve">last year, </w:t>
      </w:r>
      <w:r w:rsidR="00E33C2B">
        <w:t>including surveys</w:t>
      </w:r>
      <w:r>
        <w:t xml:space="preserve"> </w:t>
      </w:r>
      <w:r w:rsidR="00E33C2B">
        <w:t xml:space="preserve">for recruitment students and PIs; the surveys were approved condition to requested changes from OMB, and were ultimately not distributed.  The surveys submitted last year had an </w:t>
      </w:r>
      <w:r>
        <w:t xml:space="preserve">average burden per response </w:t>
      </w:r>
      <w:r w:rsidR="00E33C2B">
        <w:t xml:space="preserve">of one </w:t>
      </w:r>
      <w:r>
        <w:t xml:space="preserve">half hour of time.  The </w:t>
      </w:r>
      <w:r w:rsidR="00E33C2B">
        <w:t>surveys have</w:t>
      </w:r>
      <w:r>
        <w:t xml:space="preserve"> been streamlined and shortened to reduce the average burden to 15 minutes of time, or .25 hours per response.  Key changes include reducing the 7 point scale to a 5 point scale, revising the questions to be more direct, and reducing the number of questions.  The number of questions on the PIs </w:t>
      </w:r>
      <w:r w:rsidR="00E33C2B">
        <w:t>survey</w:t>
      </w:r>
      <w:r>
        <w:t xml:space="preserve"> was reduced from 28 questions to 13 questions.  The number of questions on the Recruitment Student </w:t>
      </w:r>
      <w:r w:rsidR="00E33C2B">
        <w:t>survey</w:t>
      </w:r>
      <w:r>
        <w:t xml:space="preserve"> was reduced from 19 questions to 15 questions.    </w:t>
      </w:r>
    </w:p>
    <w:p w:rsidR="00E35D12" w:rsidRDefault="00E35D12" w:rsidP="00E35D12">
      <w:pPr>
        <w:tabs>
          <w:tab w:val="left" w:pos="360"/>
        </w:tabs>
      </w:pPr>
    </w:p>
    <w:p w:rsidR="0001199E" w:rsidRPr="002B2A2A" w:rsidRDefault="0001199E" w:rsidP="00E35D12">
      <w:pPr>
        <w:tabs>
          <w:tab w:val="left" w:pos="360"/>
        </w:tabs>
      </w:pPr>
      <w:r w:rsidRPr="002B2A2A">
        <w:t xml:space="preserve">16.  </w:t>
      </w:r>
      <w:r w:rsidRPr="002B2A2A">
        <w:rPr>
          <w:u w:val="single"/>
        </w:rPr>
        <w:t>Publication of Results</w:t>
      </w:r>
    </w:p>
    <w:p w:rsidR="0001199E" w:rsidRPr="002B2A2A" w:rsidRDefault="0001199E" w:rsidP="00E76774"/>
    <w:p w:rsidR="0001199E" w:rsidRPr="002B2A2A" w:rsidRDefault="007202A3" w:rsidP="007606B1">
      <w:r w:rsidRPr="00A42EBB">
        <w:t>D</w:t>
      </w:r>
      <w:r w:rsidR="009F2673" w:rsidRPr="00A42EBB">
        <w:t xml:space="preserve">ata obtained in this </w:t>
      </w:r>
      <w:r w:rsidR="00E33C2B">
        <w:t>I</w:t>
      </w:r>
      <w:r w:rsidR="009F2673" w:rsidRPr="00A42EBB">
        <w:t xml:space="preserve">nformation </w:t>
      </w:r>
      <w:r w:rsidR="00E33C2B">
        <w:t>C</w:t>
      </w:r>
      <w:r w:rsidR="009F2673" w:rsidRPr="00A42EBB">
        <w:t>ollection will be limited to</w:t>
      </w:r>
      <w:r w:rsidR="0021492F" w:rsidRPr="00A42EBB">
        <w:t xml:space="preserve"> the use of the </w:t>
      </w:r>
      <w:r w:rsidR="002B45D2" w:rsidRPr="00A42EBB">
        <w:t xml:space="preserve">DoD IASP </w:t>
      </w:r>
      <w:r w:rsidR="0021492F" w:rsidRPr="00A42EBB">
        <w:t>Executive</w:t>
      </w:r>
      <w:r w:rsidR="002B45D2" w:rsidRPr="00A42EBB">
        <w:t xml:space="preserve"> </w:t>
      </w:r>
      <w:r w:rsidR="0021492F" w:rsidRPr="00A42EBB">
        <w:t>Administrator (NSA) and the sponsoring organization (</w:t>
      </w:r>
      <w:r w:rsidR="008A2B68" w:rsidRPr="00A42EBB">
        <w:t>DoD CIO)</w:t>
      </w:r>
      <w:r w:rsidR="0001199E" w:rsidRPr="00A42EBB">
        <w:t>.</w:t>
      </w:r>
    </w:p>
    <w:p w:rsidR="00E35D12" w:rsidRDefault="007202A3" w:rsidP="00E35D12">
      <w:pPr>
        <w:ind w:left="90"/>
      </w:pPr>
      <w:r w:rsidRPr="002B2A2A">
        <w:tab/>
      </w:r>
    </w:p>
    <w:p w:rsidR="0001199E" w:rsidRPr="002B2A2A" w:rsidRDefault="0001199E" w:rsidP="00602C64">
      <w:r w:rsidRPr="002B2A2A">
        <w:t xml:space="preserve">17.  </w:t>
      </w:r>
      <w:r w:rsidRPr="002B2A2A">
        <w:rPr>
          <w:u w:val="single"/>
        </w:rPr>
        <w:t>Non-Display of OMB Expiration Date</w:t>
      </w:r>
    </w:p>
    <w:p w:rsidR="0001199E" w:rsidRPr="002B2A2A" w:rsidRDefault="0001199E" w:rsidP="00E76774">
      <w:pPr>
        <w:ind w:left="90"/>
      </w:pPr>
    </w:p>
    <w:p w:rsidR="0001199E" w:rsidRPr="002B2A2A" w:rsidRDefault="00E33C2B" w:rsidP="007606B1">
      <w:r>
        <w:t>T</w:t>
      </w:r>
      <w:r w:rsidR="0001199E" w:rsidRPr="002B2A2A">
        <w:t xml:space="preserve">he expiration date </w:t>
      </w:r>
      <w:r>
        <w:t xml:space="preserve">of the Information Collection </w:t>
      </w:r>
      <w:r w:rsidR="0001199E" w:rsidRPr="002B2A2A">
        <w:t xml:space="preserve">for OMB approval </w:t>
      </w:r>
      <w:r>
        <w:t>can be displayed</w:t>
      </w:r>
      <w:r w:rsidR="0001199E" w:rsidRPr="002B2A2A">
        <w:t>.</w:t>
      </w:r>
    </w:p>
    <w:p w:rsidR="0001199E" w:rsidRPr="002B2A2A" w:rsidRDefault="0001199E" w:rsidP="00E76774">
      <w:pPr>
        <w:ind w:left="90"/>
      </w:pPr>
    </w:p>
    <w:p w:rsidR="0001199E" w:rsidRPr="002B2A2A" w:rsidRDefault="0001199E" w:rsidP="00602C64">
      <w:r w:rsidRPr="002B2A2A">
        <w:t xml:space="preserve">18.   </w:t>
      </w:r>
      <w:r w:rsidRPr="002B2A2A">
        <w:rPr>
          <w:u w:val="single"/>
        </w:rPr>
        <w:t>Exceptions to “Certification for Paperwork Reduction Submission”</w:t>
      </w:r>
    </w:p>
    <w:p w:rsidR="0001199E" w:rsidRPr="002B2A2A" w:rsidRDefault="0001199E" w:rsidP="00E76774">
      <w:pPr>
        <w:ind w:left="90"/>
      </w:pPr>
    </w:p>
    <w:p w:rsidR="0001199E" w:rsidRDefault="0001199E" w:rsidP="007606B1">
      <w:r w:rsidRPr="002B2A2A">
        <w:t>No exceptions to the certification statement are being sought.</w:t>
      </w:r>
    </w:p>
    <w:p w:rsidR="007606B1" w:rsidRDefault="007606B1" w:rsidP="00784720">
      <w:pPr>
        <w:tabs>
          <w:tab w:val="left" w:pos="360"/>
        </w:tabs>
      </w:pPr>
    </w:p>
    <w:sectPr w:rsidR="007606B1" w:rsidSect="001E0D1B">
      <w:footerReference w:type="even" r:id="rId10"/>
      <w:footerReference w:type="default" r:id="rId11"/>
      <w:footerReference w:type="firs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745" w:rsidRDefault="00784745">
      <w:r>
        <w:separator/>
      </w:r>
    </w:p>
  </w:endnote>
  <w:endnote w:type="continuationSeparator" w:id="0">
    <w:p w:rsidR="00784745" w:rsidRDefault="0078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3AB" w:rsidRDefault="006202C3" w:rsidP="001E0D1B">
    <w:pPr>
      <w:pStyle w:val="Footer"/>
      <w:framePr w:wrap="around" w:vAnchor="text" w:hAnchor="margin" w:xAlign="center" w:y="1"/>
      <w:rPr>
        <w:rStyle w:val="PageNumber"/>
      </w:rPr>
    </w:pPr>
    <w:r>
      <w:rPr>
        <w:rStyle w:val="PageNumber"/>
      </w:rPr>
      <w:fldChar w:fldCharType="begin"/>
    </w:r>
    <w:r w:rsidR="00C673AB">
      <w:rPr>
        <w:rStyle w:val="PageNumber"/>
      </w:rPr>
      <w:instrText xml:space="preserve">PAGE  </w:instrText>
    </w:r>
    <w:r>
      <w:rPr>
        <w:rStyle w:val="PageNumber"/>
      </w:rPr>
      <w:fldChar w:fldCharType="separate"/>
    </w:r>
    <w:r w:rsidR="00C673AB">
      <w:rPr>
        <w:rStyle w:val="PageNumber"/>
        <w:noProof/>
      </w:rPr>
      <w:t>4</w:t>
    </w:r>
    <w:r>
      <w:rPr>
        <w:rStyle w:val="PageNumber"/>
      </w:rPr>
      <w:fldChar w:fldCharType="end"/>
    </w:r>
  </w:p>
  <w:p w:rsidR="00C673AB" w:rsidRDefault="00C673A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3AB" w:rsidRDefault="006202C3" w:rsidP="001E0D1B">
    <w:pPr>
      <w:pStyle w:val="Footer"/>
      <w:framePr w:wrap="around" w:vAnchor="text" w:hAnchor="margin" w:xAlign="center" w:y="1"/>
      <w:rPr>
        <w:rStyle w:val="PageNumber"/>
      </w:rPr>
    </w:pPr>
    <w:r>
      <w:rPr>
        <w:rStyle w:val="PageNumber"/>
      </w:rPr>
      <w:fldChar w:fldCharType="begin"/>
    </w:r>
    <w:r w:rsidR="00C673AB">
      <w:rPr>
        <w:rStyle w:val="PageNumber"/>
      </w:rPr>
      <w:instrText xml:space="preserve">PAGE  </w:instrText>
    </w:r>
    <w:r>
      <w:rPr>
        <w:rStyle w:val="PageNumber"/>
      </w:rPr>
      <w:fldChar w:fldCharType="separate"/>
    </w:r>
    <w:r w:rsidR="00A14E11">
      <w:rPr>
        <w:rStyle w:val="PageNumber"/>
        <w:noProof/>
      </w:rPr>
      <w:t>6</w:t>
    </w:r>
    <w:r>
      <w:rPr>
        <w:rStyle w:val="PageNumber"/>
      </w:rPr>
      <w:fldChar w:fldCharType="end"/>
    </w:r>
  </w:p>
  <w:p w:rsidR="00C673AB" w:rsidRDefault="00C673A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16794"/>
      <w:docPartObj>
        <w:docPartGallery w:val="Page Numbers (Bottom of Page)"/>
        <w:docPartUnique/>
      </w:docPartObj>
    </w:sdtPr>
    <w:sdtEndPr>
      <w:rPr>
        <w:noProof/>
      </w:rPr>
    </w:sdtEndPr>
    <w:sdtContent>
      <w:p w:rsidR="00A14E11" w:rsidRDefault="00A14E1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A14E11" w:rsidRDefault="00A14E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745" w:rsidRDefault="00784745">
      <w:r>
        <w:separator/>
      </w:r>
    </w:p>
  </w:footnote>
  <w:footnote w:type="continuationSeparator" w:id="0">
    <w:p w:rsidR="00784745" w:rsidRDefault="007847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5E1D"/>
    <w:multiLevelType w:val="hybridMultilevel"/>
    <w:tmpl w:val="A6C8CA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EA07D3"/>
    <w:multiLevelType w:val="hybridMultilevel"/>
    <w:tmpl w:val="BEDC739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21F71BE"/>
    <w:multiLevelType w:val="hybridMultilevel"/>
    <w:tmpl w:val="BE3C73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1E336E"/>
    <w:multiLevelType w:val="hybridMultilevel"/>
    <w:tmpl w:val="6B84369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2933444E"/>
    <w:multiLevelType w:val="hybridMultilevel"/>
    <w:tmpl w:val="F1CA6D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B1502CE"/>
    <w:multiLevelType w:val="hybridMultilevel"/>
    <w:tmpl w:val="62468282"/>
    <w:lvl w:ilvl="0" w:tplc="8FC6287C">
      <w:start w:val="10"/>
      <w:numFmt w:val="decimal"/>
      <w:lvlText w:val="%1."/>
      <w:lvlJc w:val="left"/>
      <w:pPr>
        <w:tabs>
          <w:tab w:val="num" w:pos="480"/>
        </w:tabs>
        <w:ind w:left="480" w:hanging="420"/>
      </w:pPr>
      <w:rPr>
        <w:rFonts w:hint="default"/>
        <w:u w:val="none"/>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nsid w:val="2D170BAB"/>
    <w:multiLevelType w:val="hybridMultilevel"/>
    <w:tmpl w:val="AE8E29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5163B4"/>
    <w:multiLevelType w:val="hybridMultilevel"/>
    <w:tmpl w:val="B416250A"/>
    <w:lvl w:ilvl="0" w:tplc="0409000F">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8">
    <w:nsid w:val="4F1F1941"/>
    <w:multiLevelType w:val="hybridMultilevel"/>
    <w:tmpl w:val="14426DD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84924AE"/>
    <w:multiLevelType w:val="hybridMultilevel"/>
    <w:tmpl w:val="052CA5C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0">
    <w:nsid w:val="62CD1F2E"/>
    <w:multiLevelType w:val="multilevel"/>
    <w:tmpl w:val="9BEE732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F62F78"/>
    <w:multiLevelType w:val="hybridMultilevel"/>
    <w:tmpl w:val="17ACA3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4293CDC"/>
    <w:multiLevelType w:val="hybridMultilevel"/>
    <w:tmpl w:val="032AE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746738"/>
    <w:multiLevelType w:val="hybridMultilevel"/>
    <w:tmpl w:val="2D9E82F2"/>
    <w:lvl w:ilvl="0" w:tplc="F718D6A6">
      <w:start w:val="12"/>
      <w:numFmt w:val="decimal"/>
      <w:lvlText w:val="%1."/>
      <w:lvlJc w:val="left"/>
      <w:pPr>
        <w:tabs>
          <w:tab w:val="num" w:pos="780"/>
        </w:tabs>
        <w:ind w:left="780" w:hanging="4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8C459EB"/>
    <w:multiLevelType w:val="hybridMultilevel"/>
    <w:tmpl w:val="ABD23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0"/>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 w:numId="7">
    <w:abstractNumId w:val="11"/>
  </w:num>
  <w:num w:numId="8">
    <w:abstractNumId w:val="5"/>
  </w:num>
  <w:num w:numId="9">
    <w:abstractNumId w:val="4"/>
  </w:num>
  <w:num w:numId="10">
    <w:abstractNumId w:val="1"/>
  </w:num>
  <w:num w:numId="11">
    <w:abstractNumId w:val="6"/>
  </w:num>
  <w:num w:numId="12">
    <w:abstractNumId w:val="2"/>
  </w:num>
  <w:num w:numId="13">
    <w:abstractNumId w:val="9"/>
  </w:num>
  <w:num w:numId="14">
    <w:abstractNumId w:val="14"/>
  </w:num>
  <w:num w:numId="15">
    <w:abstractNumId w:val="7"/>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F74"/>
    <w:rsid w:val="00001138"/>
    <w:rsid w:val="00006FFF"/>
    <w:rsid w:val="0001199E"/>
    <w:rsid w:val="00013624"/>
    <w:rsid w:val="0001511F"/>
    <w:rsid w:val="00025DF2"/>
    <w:rsid w:val="000302D1"/>
    <w:rsid w:val="00032D90"/>
    <w:rsid w:val="000337B5"/>
    <w:rsid w:val="00033A00"/>
    <w:rsid w:val="000374C4"/>
    <w:rsid w:val="00037F66"/>
    <w:rsid w:val="000439DC"/>
    <w:rsid w:val="00046752"/>
    <w:rsid w:val="00054DC1"/>
    <w:rsid w:val="0005592B"/>
    <w:rsid w:val="0006308A"/>
    <w:rsid w:val="00067076"/>
    <w:rsid w:val="0006708B"/>
    <w:rsid w:val="0006712B"/>
    <w:rsid w:val="000713B1"/>
    <w:rsid w:val="0007290A"/>
    <w:rsid w:val="00087226"/>
    <w:rsid w:val="0008730D"/>
    <w:rsid w:val="000928FF"/>
    <w:rsid w:val="000931AC"/>
    <w:rsid w:val="000A1B6E"/>
    <w:rsid w:val="000A2E7F"/>
    <w:rsid w:val="000A34C9"/>
    <w:rsid w:val="000A5707"/>
    <w:rsid w:val="000A7967"/>
    <w:rsid w:val="000B6242"/>
    <w:rsid w:val="000B70A1"/>
    <w:rsid w:val="000C6FA8"/>
    <w:rsid w:val="000D6016"/>
    <w:rsid w:val="000D7268"/>
    <w:rsid w:val="000E0918"/>
    <w:rsid w:val="000E35CE"/>
    <w:rsid w:val="000E4BAA"/>
    <w:rsid w:val="000E7D63"/>
    <w:rsid w:val="000F6099"/>
    <w:rsid w:val="00104EDA"/>
    <w:rsid w:val="001068DE"/>
    <w:rsid w:val="00106A7B"/>
    <w:rsid w:val="00111663"/>
    <w:rsid w:val="00111DE8"/>
    <w:rsid w:val="00117CA1"/>
    <w:rsid w:val="00122FEB"/>
    <w:rsid w:val="001260C1"/>
    <w:rsid w:val="001264CB"/>
    <w:rsid w:val="00131609"/>
    <w:rsid w:val="00132FD5"/>
    <w:rsid w:val="0013663B"/>
    <w:rsid w:val="00141566"/>
    <w:rsid w:val="001415E8"/>
    <w:rsid w:val="00141EA6"/>
    <w:rsid w:val="00152E73"/>
    <w:rsid w:val="001541DE"/>
    <w:rsid w:val="0016112A"/>
    <w:rsid w:val="0016282C"/>
    <w:rsid w:val="001652A2"/>
    <w:rsid w:val="00167FBC"/>
    <w:rsid w:val="00174521"/>
    <w:rsid w:val="00174879"/>
    <w:rsid w:val="001764B1"/>
    <w:rsid w:val="001827E9"/>
    <w:rsid w:val="0019277E"/>
    <w:rsid w:val="001934F2"/>
    <w:rsid w:val="00197C22"/>
    <w:rsid w:val="001A59E9"/>
    <w:rsid w:val="001A5BE5"/>
    <w:rsid w:val="001B4F00"/>
    <w:rsid w:val="001C075E"/>
    <w:rsid w:val="001C2965"/>
    <w:rsid w:val="001C4D8C"/>
    <w:rsid w:val="001D0CCA"/>
    <w:rsid w:val="001D19EC"/>
    <w:rsid w:val="001D2667"/>
    <w:rsid w:val="001D7C38"/>
    <w:rsid w:val="001E0D1B"/>
    <w:rsid w:val="001E293E"/>
    <w:rsid w:val="001E3E77"/>
    <w:rsid w:val="001F458E"/>
    <w:rsid w:val="001F76C3"/>
    <w:rsid w:val="00206250"/>
    <w:rsid w:val="0021392C"/>
    <w:rsid w:val="0021492F"/>
    <w:rsid w:val="00221AC4"/>
    <w:rsid w:val="00235B48"/>
    <w:rsid w:val="0023661B"/>
    <w:rsid w:val="00240B9B"/>
    <w:rsid w:val="00240F56"/>
    <w:rsid w:val="0025411D"/>
    <w:rsid w:val="0025480A"/>
    <w:rsid w:val="00262FBD"/>
    <w:rsid w:val="00275AD5"/>
    <w:rsid w:val="00280C26"/>
    <w:rsid w:val="002853E5"/>
    <w:rsid w:val="00291868"/>
    <w:rsid w:val="00292CBA"/>
    <w:rsid w:val="00296B3A"/>
    <w:rsid w:val="002A1B98"/>
    <w:rsid w:val="002B2A2A"/>
    <w:rsid w:val="002B45D2"/>
    <w:rsid w:val="002C42D9"/>
    <w:rsid w:val="002C5227"/>
    <w:rsid w:val="002C5350"/>
    <w:rsid w:val="002C5AC3"/>
    <w:rsid w:val="002E1DB8"/>
    <w:rsid w:val="002F5FFF"/>
    <w:rsid w:val="00305473"/>
    <w:rsid w:val="00311864"/>
    <w:rsid w:val="00313E27"/>
    <w:rsid w:val="00315955"/>
    <w:rsid w:val="00327D5F"/>
    <w:rsid w:val="00331389"/>
    <w:rsid w:val="00334F94"/>
    <w:rsid w:val="00342AC6"/>
    <w:rsid w:val="00345C42"/>
    <w:rsid w:val="00346719"/>
    <w:rsid w:val="00347845"/>
    <w:rsid w:val="00350E0D"/>
    <w:rsid w:val="00355BC9"/>
    <w:rsid w:val="00362D79"/>
    <w:rsid w:val="00365A80"/>
    <w:rsid w:val="00376903"/>
    <w:rsid w:val="00377DB3"/>
    <w:rsid w:val="003813AC"/>
    <w:rsid w:val="003818D6"/>
    <w:rsid w:val="003819CD"/>
    <w:rsid w:val="00381AB9"/>
    <w:rsid w:val="00383235"/>
    <w:rsid w:val="003850C6"/>
    <w:rsid w:val="00390AB7"/>
    <w:rsid w:val="00394F99"/>
    <w:rsid w:val="003A048A"/>
    <w:rsid w:val="003A04F1"/>
    <w:rsid w:val="003A14F0"/>
    <w:rsid w:val="003A3E7F"/>
    <w:rsid w:val="003A40B9"/>
    <w:rsid w:val="003A439D"/>
    <w:rsid w:val="003B48B0"/>
    <w:rsid w:val="003C49B1"/>
    <w:rsid w:val="003E0A10"/>
    <w:rsid w:val="003E263E"/>
    <w:rsid w:val="003E3715"/>
    <w:rsid w:val="003F077E"/>
    <w:rsid w:val="003F72B5"/>
    <w:rsid w:val="0040027C"/>
    <w:rsid w:val="00401676"/>
    <w:rsid w:val="00405871"/>
    <w:rsid w:val="00415925"/>
    <w:rsid w:val="00425E97"/>
    <w:rsid w:val="00432D20"/>
    <w:rsid w:val="004411EB"/>
    <w:rsid w:val="00446EB2"/>
    <w:rsid w:val="00452FA6"/>
    <w:rsid w:val="00455313"/>
    <w:rsid w:val="004575C0"/>
    <w:rsid w:val="0046080C"/>
    <w:rsid w:val="00460F7E"/>
    <w:rsid w:val="00467A26"/>
    <w:rsid w:val="00476159"/>
    <w:rsid w:val="00490D28"/>
    <w:rsid w:val="00490F5C"/>
    <w:rsid w:val="004978EB"/>
    <w:rsid w:val="004A068D"/>
    <w:rsid w:val="004C28A3"/>
    <w:rsid w:val="004C63AE"/>
    <w:rsid w:val="004D349F"/>
    <w:rsid w:val="004D34AB"/>
    <w:rsid w:val="004D3F74"/>
    <w:rsid w:val="004D7038"/>
    <w:rsid w:val="004E1D77"/>
    <w:rsid w:val="004E6BF8"/>
    <w:rsid w:val="004F25D3"/>
    <w:rsid w:val="00501F4A"/>
    <w:rsid w:val="00502878"/>
    <w:rsid w:val="00502DB3"/>
    <w:rsid w:val="00502E60"/>
    <w:rsid w:val="005125F3"/>
    <w:rsid w:val="0051301E"/>
    <w:rsid w:val="00515A5F"/>
    <w:rsid w:val="00530BC1"/>
    <w:rsid w:val="00543FBD"/>
    <w:rsid w:val="0055537E"/>
    <w:rsid w:val="00555C6B"/>
    <w:rsid w:val="00556D74"/>
    <w:rsid w:val="00560257"/>
    <w:rsid w:val="00563783"/>
    <w:rsid w:val="00563D7E"/>
    <w:rsid w:val="00565A36"/>
    <w:rsid w:val="005709F5"/>
    <w:rsid w:val="00571AF7"/>
    <w:rsid w:val="00575714"/>
    <w:rsid w:val="0059635E"/>
    <w:rsid w:val="005A5FD2"/>
    <w:rsid w:val="005B05C5"/>
    <w:rsid w:val="005B1529"/>
    <w:rsid w:val="005B48EC"/>
    <w:rsid w:val="005B58D2"/>
    <w:rsid w:val="005C1EA5"/>
    <w:rsid w:val="005C66E3"/>
    <w:rsid w:val="005D1B7D"/>
    <w:rsid w:val="005D22B8"/>
    <w:rsid w:val="005D32B7"/>
    <w:rsid w:val="005E6471"/>
    <w:rsid w:val="005E6987"/>
    <w:rsid w:val="005F6639"/>
    <w:rsid w:val="00600A91"/>
    <w:rsid w:val="0060129A"/>
    <w:rsid w:val="00602C64"/>
    <w:rsid w:val="00605FA1"/>
    <w:rsid w:val="00610203"/>
    <w:rsid w:val="006129B9"/>
    <w:rsid w:val="00615FC0"/>
    <w:rsid w:val="0061646F"/>
    <w:rsid w:val="006166D0"/>
    <w:rsid w:val="006202C3"/>
    <w:rsid w:val="00620619"/>
    <w:rsid w:val="00625B1A"/>
    <w:rsid w:val="00631EEB"/>
    <w:rsid w:val="006344CE"/>
    <w:rsid w:val="00635EF8"/>
    <w:rsid w:val="0065118D"/>
    <w:rsid w:val="00657C43"/>
    <w:rsid w:val="006615BA"/>
    <w:rsid w:val="00663CAC"/>
    <w:rsid w:val="0068264F"/>
    <w:rsid w:val="0069224B"/>
    <w:rsid w:val="006A3BFC"/>
    <w:rsid w:val="006A4EE8"/>
    <w:rsid w:val="006A7DCB"/>
    <w:rsid w:val="006B0230"/>
    <w:rsid w:val="006B352C"/>
    <w:rsid w:val="006B54C0"/>
    <w:rsid w:val="006C5A5A"/>
    <w:rsid w:val="006C6AA4"/>
    <w:rsid w:val="006D274A"/>
    <w:rsid w:val="006D2FB6"/>
    <w:rsid w:val="006E1D53"/>
    <w:rsid w:val="006E22E0"/>
    <w:rsid w:val="006F09EF"/>
    <w:rsid w:val="006F20E6"/>
    <w:rsid w:val="006F3B52"/>
    <w:rsid w:val="006F55E1"/>
    <w:rsid w:val="006F71D0"/>
    <w:rsid w:val="006F77BF"/>
    <w:rsid w:val="00706A2C"/>
    <w:rsid w:val="007202A3"/>
    <w:rsid w:val="00730E9B"/>
    <w:rsid w:val="00745140"/>
    <w:rsid w:val="0075064F"/>
    <w:rsid w:val="0075067D"/>
    <w:rsid w:val="00751830"/>
    <w:rsid w:val="00752AE6"/>
    <w:rsid w:val="007606B1"/>
    <w:rsid w:val="00760D77"/>
    <w:rsid w:val="00761F82"/>
    <w:rsid w:val="0077166E"/>
    <w:rsid w:val="007761CA"/>
    <w:rsid w:val="00784720"/>
    <w:rsid w:val="00784745"/>
    <w:rsid w:val="00787197"/>
    <w:rsid w:val="00796389"/>
    <w:rsid w:val="00796A88"/>
    <w:rsid w:val="00797343"/>
    <w:rsid w:val="007A68E4"/>
    <w:rsid w:val="007B5448"/>
    <w:rsid w:val="007B7558"/>
    <w:rsid w:val="007C40A9"/>
    <w:rsid w:val="007C7612"/>
    <w:rsid w:val="007C7D4E"/>
    <w:rsid w:val="007D082F"/>
    <w:rsid w:val="007D54A5"/>
    <w:rsid w:val="007E32B6"/>
    <w:rsid w:val="007E7D2D"/>
    <w:rsid w:val="007F2A14"/>
    <w:rsid w:val="007F408E"/>
    <w:rsid w:val="007F44C4"/>
    <w:rsid w:val="007F712D"/>
    <w:rsid w:val="0080066B"/>
    <w:rsid w:val="00804292"/>
    <w:rsid w:val="00825156"/>
    <w:rsid w:val="00825E18"/>
    <w:rsid w:val="008278C7"/>
    <w:rsid w:val="008322BE"/>
    <w:rsid w:val="00833923"/>
    <w:rsid w:val="008372A2"/>
    <w:rsid w:val="00846F14"/>
    <w:rsid w:val="008514EF"/>
    <w:rsid w:val="00855E17"/>
    <w:rsid w:val="00857809"/>
    <w:rsid w:val="00865945"/>
    <w:rsid w:val="00867EFF"/>
    <w:rsid w:val="00871A86"/>
    <w:rsid w:val="00874567"/>
    <w:rsid w:val="0087677B"/>
    <w:rsid w:val="00880DCC"/>
    <w:rsid w:val="00885CCE"/>
    <w:rsid w:val="00896609"/>
    <w:rsid w:val="008A2B68"/>
    <w:rsid w:val="008A2E54"/>
    <w:rsid w:val="008A3374"/>
    <w:rsid w:val="008A496E"/>
    <w:rsid w:val="008A656D"/>
    <w:rsid w:val="008A6A95"/>
    <w:rsid w:val="008A6AC5"/>
    <w:rsid w:val="008A79B8"/>
    <w:rsid w:val="008C25FA"/>
    <w:rsid w:val="008C62B4"/>
    <w:rsid w:val="008D561E"/>
    <w:rsid w:val="008D6FBB"/>
    <w:rsid w:val="008D7A06"/>
    <w:rsid w:val="008D7B5E"/>
    <w:rsid w:val="008E08BF"/>
    <w:rsid w:val="008F39F9"/>
    <w:rsid w:val="00907798"/>
    <w:rsid w:val="0091464F"/>
    <w:rsid w:val="00917A41"/>
    <w:rsid w:val="00921187"/>
    <w:rsid w:val="00925D9A"/>
    <w:rsid w:val="00933279"/>
    <w:rsid w:val="00934893"/>
    <w:rsid w:val="009371F2"/>
    <w:rsid w:val="00940BDB"/>
    <w:rsid w:val="0094154B"/>
    <w:rsid w:val="009440AC"/>
    <w:rsid w:val="00946759"/>
    <w:rsid w:val="00947A41"/>
    <w:rsid w:val="00966E37"/>
    <w:rsid w:val="00976284"/>
    <w:rsid w:val="009813EE"/>
    <w:rsid w:val="009833D5"/>
    <w:rsid w:val="00985A30"/>
    <w:rsid w:val="009B30FD"/>
    <w:rsid w:val="009C073C"/>
    <w:rsid w:val="009C18E3"/>
    <w:rsid w:val="009C19C5"/>
    <w:rsid w:val="009C3079"/>
    <w:rsid w:val="009C4992"/>
    <w:rsid w:val="009C6307"/>
    <w:rsid w:val="009D2144"/>
    <w:rsid w:val="009D281E"/>
    <w:rsid w:val="009D44BD"/>
    <w:rsid w:val="009F182F"/>
    <w:rsid w:val="009F266E"/>
    <w:rsid w:val="009F2673"/>
    <w:rsid w:val="00A0281F"/>
    <w:rsid w:val="00A121A8"/>
    <w:rsid w:val="00A1221B"/>
    <w:rsid w:val="00A14E11"/>
    <w:rsid w:val="00A24693"/>
    <w:rsid w:val="00A30878"/>
    <w:rsid w:val="00A367F2"/>
    <w:rsid w:val="00A36FC7"/>
    <w:rsid w:val="00A37C4C"/>
    <w:rsid w:val="00A40CE1"/>
    <w:rsid w:val="00A42EBB"/>
    <w:rsid w:val="00A51D6A"/>
    <w:rsid w:val="00A56E66"/>
    <w:rsid w:val="00A61A34"/>
    <w:rsid w:val="00A67722"/>
    <w:rsid w:val="00A83B6A"/>
    <w:rsid w:val="00A85E5D"/>
    <w:rsid w:val="00A87E9E"/>
    <w:rsid w:val="00A946D8"/>
    <w:rsid w:val="00A94ABF"/>
    <w:rsid w:val="00A96CF2"/>
    <w:rsid w:val="00A97CFA"/>
    <w:rsid w:val="00AB0420"/>
    <w:rsid w:val="00AB2BCA"/>
    <w:rsid w:val="00AB30A2"/>
    <w:rsid w:val="00AB6DC1"/>
    <w:rsid w:val="00AB76DC"/>
    <w:rsid w:val="00AC1231"/>
    <w:rsid w:val="00AC3FF5"/>
    <w:rsid w:val="00AC7C8B"/>
    <w:rsid w:val="00AE3955"/>
    <w:rsid w:val="00AF6CFD"/>
    <w:rsid w:val="00B14477"/>
    <w:rsid w:val="00B161E9"/>
    <w:rsid w:val="00B30757"/>
    <w:rsid w:val="00B37B86"/>
    <w:rsid w:val="00B41869"/>
    <w:rsid w:val="00B451CA"/>
    <w:rsid w:val="00B471DC"/>
    <w:rsid w:val="00B50AA9"/>
    <w:rsid w:val="00B61DAE"/>
    <w:rsid w:val="00B6672A"/>
    <w:rsid w:val="00B70EFF"/>
    <w:rsid w:val="00B7773B"/>
    <w:rsid w:val="00B80103"/>
    <w:rsid w:val="00B82353"/>
    <w:rsid w:val="00B87FF6"/>
    <w:rsid w:val="00B92DB7"/>
    <w:rsid w:val="00B9579C"/>
    <w:rsid w:val="00B97DB2"/>
    <w:rsid w:val="00BA2418"/>
    <w:rsid w:val="00BA6BC3"/>
    <w:rsid w:val="00BB1DAD"/>
    <w:rsid w:val="00BB523F"/>
    <w:rsid w:val="00BB6A27"/>
    <w:rsid w:val="00BD1CB3"/>
    <w:rsid w:val="00BD2187"/>
    <w:rsid w:val="00BD3906"/>
    <w:rsid w:val="00BD4780"/>
    <w:rsid w:val="00BE0EB2"/>
    <w:rsid w:val="00BE49BA"/>
    <w:rsid w:val="00BF0C04"/>
    <w:rsid w:val="00BF1DA4"/>
    <w:rsid w:val="00BF49DE"/>
    <w:rsid w:val="00BF63CA"/>
    <w:rsid w:val="00C018BE"/>
    <w:rsid w:val="00C06A41"/>
    <w:rsid w:val="00C06FD5"/>
    <w:rsid w:val="00C120ED"/>
    <w:rsid w:val="00C14F74"/>
    <w:rsid w:val="00C2492F"/>
    <w:rsid w:val="00C27A3A"/>
    <w:rsid w:val="00C41A07"/>
    <w:rsid w:val="00C4297F"/>
    <w:rsid w:val="00C52E13"/>
    <w:rsid w:val="00C538AA"/>
    <w:rsid w:val="00C5438B"/>
    <w:rsid w:val="00C6027A"/>
    <w:rsid w:val="00C6446A"/>
    <w:rsid w:val="00C673AB"/>
    <w:rsid w:val="00C723F3"/>
    <w:rsid w:val="00C72743"/>
    <w:rsid w:val="00C727E4"/>
    <w:rsid w:val="00C74466"/>
    <w:rsid w:val="00C81592"/>
    <w:rsid w:val="00C820E2"/>
    <w:rsid w:val="00C838DC"/>
    <w:rsid w:val="00C85F2D"/>
    <w:rsid w:val="00C90985"/>
    <w:rsid w:val="00C96FEE"/>
    <w:rsid w:val="00CA1231"/>
    <w:rsid w:val="00CA2D0A"/>
    <w:rsid w:val="00CA4A37"/>
    <w:rsid w:val="00CA7ADF"/>
    <w:rsid w:val="00CC5998"/>
    <w:rsid w:val="00CD4CBD"/>
    <w:rsid w:val="00CE55CD"/>
    <w:rsid w:val="00CF093F"/>
    <w:rsid w:val="00CF123B"/>
    <w:rsid w:val="00CF1B6A"/>
    <w:rsid w:val="00CF4207"/>
    <w:rsid w:val="00CF6DC9"/>
    <w:rsid w:val="00D03CD2"/>
    <w:rsid w:val="00D04D1D"/>
    <w:rsid w:val="00D07B7F"/>
    <w:rsid w:val="00D10497"/>
    <w:rsid w:val="00D17EC0"/>
    <w:rsid w:val="00D22BB4"/>
    <w:rsid w:val="00D23CAE"/>
    <w:rsid w:val="00D30E6F"/>
    <w:rsid w:val="00D330CF"/>
    <w:rsid w:val="00D34131"/>
    <w:rsid w:val="00D37EDA"/>
    <w:rsid w:val="00D45C5C"/>
    <w:rsid w:val="00D562B2"/>
    <w:rsid w:val="00D56B2F"/>
    <w:rsid w:val="00D56DEC"/>
    <w:rsid w:val="00D6216A"/>
    <w:rsid w:val="00D86DEF"/>
    <w:rsid w:val="00D95C12"/>
    <w:rsid w:val="00D9692E"/>
    <w:rsid w:val="00DA79E3"/>
    <w:rsid w:val="00DB0589"/>
    <w:rsid w:val="00DB1D7E"/>
    <w:rsid w:val="00DB6B27"/>
    <w:rsid w:val="00DB7DDB"/>
    <w:rsid w:val="00DC4113"/>
    <w:rsid w:val="00DC7474"/>
    <w:rsid w:val="00DD0BCE"/>
    <w:rsid w:val="00DE0412"/>
    <w:rsid w:val="00DE3A8E"/>
    <w:rsid w:val="00DF1C10"/>
    <w:rsid w:val="00DF50A1"/>
    <w:rsid w:val="00DF7A3A"/>
    <w:rsid w:val="00E00A73"/>
    <w:rsid w:val="00E011B3"/>
    <w:rsid w:val="00E01999"/>
    <w:rsid w:val="00E030FA"/>
    <w:rsid w:val="00E03DCB"/>
    <w:rsid w:val="00E1018C"/>
    <w:rsid w:val="00E11DA9"/>
    <w:rsid w:val="00E2427C"/>
    <w:rsid w:val="00E24661"/>
    <w:rsid w:val="00E24786"/>
    <w:rsid w:val="00E2489E"/>
    <w:rsid w:val="00E33C2B"/>
    <w:rsid w:val="00E33FAD"/>
    <w:rsid w:val="00E35D12"/>
    <w:rsid w:val="00E440B2"/>
    <w:rsid w:val="00E47A3E"/>
    <w:rsid w:val="00E658EA"/>
    <w:rsid w:val="00E70280"/>
    <w:rsid w:val="00E725CB"/>
    <w:rsid w:val="00E72DE6"/>
    <w:rsid w:val="00E74277"/>
    <w:rsid w:val="00E76774"/>
    <w:rsid w:val="00E81575"/>
    <w:rsid w:val="00E85A38"/>
    <w:rsid w:val="00EA2C1E"/>
    <w:rsid w:val="00EA2E06"/>
    <w:rsid w:val="00EA3783"/>
    <w:rsid w:val="00EC194C"/>
    <w:rsid w:val="00EC21B8"/>
    <w:rsid w:val="00EC44DE"/>
    <w:rsid w:val="00EE41A3"/>
    <w:rsid w:val="00EE45A7"/>
    <w:rsid w:val="00EF490F"/>
    <w:rsid w:val="00EF5BC6"/>
    <w:rsid w:val="00EF6E3A"/>
    <w:rsid w:val="00F12711"/>
    <w:rsid w:val="00F1490B"/>
    <w:rsid w:val="00F20E33"/>
    <w:rsid w:val="00F234A5"/>
    <w:rsid w:val="00F23A1C"/>
    <w:rsid w:val="00F302CD"/>
    <w:rsid w:val="00F30AAD"/>
    <w:rsid w:val="00F31650"/>
    <w:rsid w:val="00F3660D"/>
    <w:rsid w:val="00F43459"/>
    <w:rsid w:val="00F43E6B"/>
    <w:rsid w:val="00F43F7D"/>
    <w:rsid w:val="00F47243"/>
    <w:rsid w:val="00F53F39"/>
    <w:rsid w:val="00F63D9B"/>
    <w:rsid w:val="00F76957"/>
    <w:rsid w:val="00F919DE"/>
    <w:rsid w:val="00F93A06"/>
    <w:rsid w:val="00FA2842"/>
    <w:rsid w:val="00FB26BF"/>
    <w:rsid w:val="00FB7C5B"/>
    <w:rsid w:val="00FC39E4"/>
    <w:rsid w:val="00FC6F5F"/>
    <w:rsid w:val="00FE1BAE"/>
    <w:rsid w:val="00FE3F7C"/>
    <w:rsid w:val="00FF1BD4"/>
    <w:rsid w:val="00FF233E"/>
    <w:rsid w:val="00FF41C4"/>
    <w:rsid w:val="00FF7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1CB3"/>
    <w:rPr>
      <w:sz w:val="24"/>
      <w:szCs w:val="24"/>
    </w:rPr>
  </w:style>
  <w:style w:type="paragraph" w:styleId="Heading1">
    <w:name w:val="heading 1"/>
    <w:basedOn w:val="Normal"/>
    <w:next w:val="Normal"/>
    <w:link w:val="Heading1Char"/>
    <w:qFormat/>
    <w:rsid w:val="00FB26BF"/>
    <w:pPr>
      <w:keepNext/>
      <w:jc w:val="center"/>
      <w:outlineLvl w:val="0"/>
    </w:pPr>
    <w:rPr>
      <w:b/>
      <w:bCs/>
      <w:color w:val="0000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61DAE"/>
    <w:pPr>
      <w:tabs>
        <w:tab w:val="center" w:pos="4320"/>
        <w:tab w:val="right" w:pos="8640"/>
      </w:tabs>
    </w:pPr>
  </w:style>
  <w:style w:type="character" w:styleId="PageNumber">
    <w:name w:val="page number"/>
    <w:basedOn w:val="DefaultParagraphFont"/>
    <w:rsid w:val="00B61DAE"/>
  </w:style>
  <w:style w:type="paragraph" w:styleId="NormalWeb">
    <w:name w:val="Normal (Web)"/>
    <w:basedOn w:val="Normal"/>
    <w:rsid w:val="00885CCE"/>
    <w:pPr>
      <w:spacing w:before="100" w:beforeAutospacing="1" w:after="100" w:afterAutospacing="1"/>
    </w:pPr>
  </w:style>
  <w:style w:type="paragraph" w:styleId="FootnoteText">
    <w:name w:val="footnote text"/>
    <w:basedOn w:val="Normal"/>
    <w:semiHidden/>
    <w:rsid w:val="00885CCE"/>
    <w:rPr>
      <w:sz w:val="20"/>
      <w:szCs w:val="20"/>
    </w:rPr>
  </w:style>
  <w:style w:type="character" w:styleId="FootnoteReference">
    <w:name w:val="footnote reference"/>
    <w:basedOn w:val="DefaultParagraphFont"/>
    <w:semiHidden/>
    <w:rsid w:val="00885CCE"/>
    <w:rPr>
      <w:vertAlign w:val="superscript"/>
    </w:rPr>
  </w:style>
  <w:style w:type="character" w:customStyle="1" w:styleId="Heading1Char">
    <w:name w:val="Heading 1 Char"/>
    <w:basedOn w:val="DefaultParagraphFont"/>
    <w:link w:val="Heading1"/>
    <w:locked/>
    <w:rsid w:val="00FB26BF"/>
    <w:rPr>
      <w:b/>
      <w:bCs/>
      <w:color w:val="000000"/>
      <w:sz w:val="40"/>
      <w:szCs w:val="40"/>
      <w:lang w:val="en-US" w:eastAsia="en-US" w:bidi="ar-SA"/>
    </w:rPr>
  </w:style>
  <w:style w:type="character" w:customStyle="1" w:styleId="CommentTextChar">
    <w:name w:val="Comment Text Char"/>
    <w:basedOn w:val="DefaultParagraphFont"/>
    <w:link w:val="CommentText"/>
    <w:semiHidden/>
    <w:locked/>
    <w:rsid w:val="00FB26BF"/>
    <w:rPr>
      <w:lang w:val="en-US" w:eastAsia="en-US" w:bidi="ar-SA"/>
    </w:rPr>
  </w:style>
  <w:style w:type="paragraph" w:styleId="CommentText">
    <w:name w:val="annotation text"/>
    <w:basedOn w:val="Normal"/>
    <w:link w:val="CommentTextChar"/>
    <w:semiHidden/>
    <w:rsid w:val="00FB26BF"/>
    <w:rPr>
      <w:sz w:val="20"/>
      <w:szCs w:val="20"/>
    </w:rPr>
  </w:style>
  <w:style w:type="character" w:customStyle="1" w:styleId="FooterChar">
    <w:name w:val="Footer Char"/>
    <w:basedOn w:val="DefaultParagraphFont"/>
    <w:link w:val="Footer"/>
    <w:uiPriority w:val="99"/>
    <w:locked/>
    <w:rsid w:val="00FB26BF"/>
    <w:rPr>
      <w:sz w:val="24"/>
      <w:szCs w:val="24"/>
      <w:lang w:val="en-US" w:eastAsia="en-US" w:bidi="ar-SA"/>
    </w:rPr>
  </w:style>
  <w:style w:type="character" w:customStyle="1" w:styleId="BodyTextChar">
    <w:name w:val="Body Text Char"/>
    <w:basedOn w:val="DefaultParagraphFont"/>
    <w:link w:val="BodyText"/>
    <w:semiHidden/>
    <w:locked/>
    <w:rsid w:val="00FB26BF"/>
    <w:rPr>
      <w:color w:val="000000"/>
      <w:sz w:val="24"/>
      <w:szCs w:val="24"/>
      <w:lang w:val="en-US" w:eastAsia="en-US" w:bidi="ar-SA"/>
    </w:rPr>
  </w:style>
  <w:style w:type="paragraph" w:styleId="BodyText">
    <w:name w:val="Body Text"/>
    <w:basedOn w:val="Normal"/>
    <w:link w:val="BodyTextChar"/>
    <w:rsid w:val="00FB26BF"/>
    <w:pPr>
      <w:spacing w:before="60" w:after="60"/>
    </w:pPr>
    <w:rPr>
      <w:color w:val="000000"/>
    </w:rPr>
  </w:style>
  <w:style w:type="character" w:styleId="CommentReference">
    <w:name w:val="annotation reference"/>
    <w:basedOn w:val="DefaultParagraphFont"/>
    <w:semiHidden/>
    <w:rsid w:val="00FB26BF"/>
    <w:rPr>
      <w:rFonts w:ascii="Times New Roman" w:hAnsi="Times New Roman" w:cs="Times New Roman" w:hint="default"/>
      <w:sz w:val="16"/>
      <w:szCs w:val="16"/>
    </w:rPr>
  </w:style>
  <w:style w:type="character" w:customStyle="1" w:styleId="ptext-2">
    <w:name w:val="ptext-2"/>
    <w:basedOn w:val="DefaultParagraphFont"/>
    <w:rsid w:val="00FB26BF"/>
    <w:rPr>
      <w:rFonts w:ascii="Times New Roman" w:hAnsi="Times New Roman" w:cs="Times New Roman" w:hint="default"/>
    </w:rPr>
  </w:style>
  <w:style w:type="paragraph" w:styleId="BalloonText">
    <w:name w:val="Balloon Text"/>
    <w:basedOn w:val="Normal"/>
    <w:semiHidden/>
    <w:rsid w:val="00FB26BF"/>
    <w:rPr>
      <w:rFonts w:ascii="Tahoma" w:hAnsi="Tahoma" w:cs="Tahoma"/>
      <w:sz w:val="16"/>
      <w:szCs w:val="16"/>
    </w:rPr>
  </w:style>
  <w:style w:type="table" w:styleId="TableGrid">
    <w:name w:val="Table Grid"/>
    <w:basedOn w:val="TableNormal"/>
    <w:rsid w:val="00571A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DC4113"/>
    <w:rPr>
      <w:b/>
      <w:bCs/>
    </w:rPr>
  </w:style>
  <w:style w:type="character" w:customStyle="1" w:styleId="CommentSubjectChar">
    <w:name w:val="Comment Subject Char"/>
    <w:basedOn w:val="CommentTextChar"/>
    <w:link w:val="CommentSubject"/>
    <w:rsid w:val="00DC4113"/>
    <w:rPr>
      <w:b/>
      <w:bCs/>
      <w:lang w:val="en-US" w:eastAsia="en-US" w:bidi="ar-SA"/>
    </w:rPr>
  </w:style>
  <w:style w:type="paragraph" w:styleId="ListParagraph">
    <w:name w:val="List Paragraph"/>
    <w:basedOn w:val="Normal"/>
    <w:uiPriority w:val="34"/>
    <w:qFormat/>
    <w:rsid w:val="000713B1"/>
    <w:pPr>
      <w:ind w:left="720"/>
      <w:contextualSpacing/>
    </w:pPr>
  </w:style>
  <w:style w:type="character" w:styleId="Hyperlink">
    <w:name w:val="Hyperlink"/>
    <w:basedOn w:val="DefaultParagraphFont"/>
    <w:rsid w:val="005A5FD2"/>
    <w:rPr>
      <w:color w:val="0000FF" w:themeColor="hyperlink"/>
      <w:u w:val="single"/>
    </w:rPr>
  </w:style>
  <w:style w:type="paragraph" w:styleId="PlainText">
    <w:name w:val="Plain Text"/>
    <w:basedOn w:val="Normal"/>
    <w:link w:val="PlainTextChar"/>
    <w:uiPriority w:val="99"/>
    <w:unhideWhenUsed/>
    <w:rsid w:val="00BF63C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F63CA"/>
    <w:rPr>
      <w:rFonts w:ascii="Calibri" w:eastAsiaTheme="minorHAnsi" w:hAnsi="Calibri" w:cstheme="minorBidi"/>
      <w:sz w:val="22"/>
      <w:szCs w:val="21"/>
    </w:rPr>
  </w:style>
  <w:style w:type="paragraph" w:styleId="Header">
    <w:name w:val="header"/>
    <w:basedOn w:val="Normal"/>
    <w:link w:val="HeaderChar"/>
    <w:rsid w:val="00A14E11"/>
    <w:pPr>
      <w:tabs>
        <w:tab w:val="center" w:pos="4680"/>
        <w:tab w:val="right" w:pos="9360"/>
      </w:tabs>
    </w:pPr>
  </w:style>
  <w:style w:type="character" w:customStyle="1" w:styleId="HeaderChar">
    <w:name w:val="Header Char"/>
    <w:basedOn w:val="DefaultParagraphFont"/>
    <w:link w:val="Header"/>
    <w:rsid w:val="00A14E1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1CB3"/>
    <w:rPr>
      <w:sz w:val="24"/>
      <w:szCs w:val="24"/>
    </w:rPr>
  </w:style>
  <w:style w:type="paragraph" w:styleId="Heading1">
    <w:name w:val="heading 1"/>
    <w:basedOn w:val="Normal"/>
    <w:next w:val="Normal"/>
    <w:link w:val="Heading1Char"/>
    <w:qFormat/>
    <w:rsid w:val="00FB26BF"/>
    <w:pPr>
      <w:keepNext/>
      <w:jc w:val="center"/>
      <w:outlineLvl w:val="0"/>
    </w:pPr>
    <w:rPr>
      <w:b/>
      <w:bCs/>
      <w:color w:val="00000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61DAE"/>
    <w:pPr>
      <w:tabs>
        <w:tab w:val="center" w:pos="4320"/>
        <w:tab w:val="right" w:pos="8640"/>
      </w:tabs>
    </w:pPr>
  </w:style>
  <w:style w:type="character" w:styleId="PageNumber">
    <w:name w:val="page number"/>
    <w:basedOn w:val="DefaultParagraphFont"/>
    <w:rsid w:val="00B61DAE"/>
  </w:style>
  <w:style w:type="paragraph" w:styleId="NormalWeb">
    <w:name w:val="Normal (Web)"/>
    <w:basedOn w:val="Normal"/>
    <w:rsid w:val="00885CCE"/>
    <w:pPr>
      <w:spacing w:before="100" w:beforeAutospacing="1" w:after="100" w:afterAutospacing="1"/>
    </w:pPr>
  </w:style>
  <w:style w:type="paragraph" w:styleId="FootnoteText">
    <w:name w:val="footnote text"/>
    <w:basedOn w:val="Normal"/>
    <w:semiHidden/>
    <w:rsid w:val="00885CCE"/>
    <w:rPr>
      <w:sz w:val="20"/>
      <w:szCs w:val="20"/>
    </w:rPr>
  </w:style>
  <w:style w:type="character" w:styleId="FootnoteReference">
    <w:name w:val="footnote reference"/>
    <w:basedOn w:val="DefaultParagraphFont"/>
    <w:semiHidden/>
    <w:rsid w:val="00885CCE"/>
    <w:rPr>
      <w:vertAlign w:val="superscript"/>
    </w:rPr>
  </w:style>
  <w:style w:type="character" w:customStyle="1" w:styleId="Heading1Char">
    <w:name w:val="Heading 1 Char"/>
    <w:basedOn w:val="DefaultParagraphFont"/>
    <w:link w:val="Heading1"/>
    <w:locked/>
    <w:rsid w:val="00FB26BF"/>
    <w:rPr>
      <w:b/>
      <w:bCs/>
      <w:color w:val="000000"/>
      <w:sz w:val="40"/>
      <w:szCs w:val="40"/>
      <w:lang w:val="en-US" w:eastAsia="en-US" w:bidi="ar-SA"/>
    </w:rPr>
  </w:style>
  <w:style w:type="character" w:customStyle="1" w:styleId="CommentTextChar">
    <w:name w:val="Comment Text Char"/>
    <w:basedOn w:val="DefaultParagraphFont"/>
    <w:link w:val="CommentText"/>
    <w:semiHidden/>
    <w:locked/>
    <w:rsid w:val="00FB26BF"/>
    <w:rPr>
      <w:lang w:val="en-US" w:eastAsia="en-US" w:bidi="ar-SA"/>
    </w:rPr>
  </w:style>
  <w:style w:type="paragraph" w:styleId="CommentText">
    <w:name w:val="annotation text"/>
    <w:basedOn w:val="Normal"/>
    <w:link w:val="CommentTextChar"/>
    <w:semiHidden/>
    <w:rsid w:val="00FB26BF"/>
    <w:rPr>
      <w:sz w:val="20"/>
      <w:szCs w:val="20"/>
    </w:rPr>
  </w:style>
  <w:style w:type="character" w:customStyle="1" w:styleId="FooterChar">
    <w:name w:val="Footer Char"/>
    <w:basedOn w:val="DefaultParagraphFont"/>
    <w:link w:val="Footer"/>
    <w:uiPriority w:val="99"/>
    <w:locked/>
    <w:rsid w:val="00FB26BF"/>
    <w:rPr>
      <w:sz w:val="24"/>
      <w:szCs w:val="24"/>
      <w:lang w:val="en-US" w:eastAsia="en-US" w:bidi="ar-SA"/>
    </w:rPr>
  </w:style>
  <w:style w:type="character" w:customStyle="1" w:styleId="BodyTextChar">
    <w:name w:val="Body Text Char"/>
    <w:basedOn w:val="DefaultParagraphFont"/>
    <w:link w:val="BodyText"/>
    <w:semiHidden/>
    <w:locked/>
    <w:rsid w:val="00FB26BF"/>
    <w:rPr>
      <w:color w:val="000000"/>
      <w:sz w:val="24"/>
      <w:szCs w:val="24"/>
      <w:lang w:val="en-US" w:eastAsia="en-US" w:bidi="ar-SA"/>
    </w:rPr>
  </w:style>
  <w:style w:type="paragraph" w:styleId="BodyText">
    <w:name w:val="Body Text"/>
    <w:basedOn w:val="Normal"/>
    <w:link w:val="BodyTextChar"/>
    <w:rsid w:val="00FB26BF"/>
    <w:pPr>
      <w:spacing w:before="60" w:after="60"/>
    </w:pPr>
    <w:rPr>
      <w:color w:val="000000"/>
    </w:rPr>
  </w:style>
  <w:style w:type="character" w:styleId="CommentReference">
    <w:name w:val="annotation reference"/>
    <w:basedOn w:val="DefaultParagraphFont"/>
    <w:semiHidden/>
    <w:rsid w:val="00FB26BF"/>
    <w:rPr>
      <w:rFonts w:ascii="Times New Roman" w:hAnsi="Times New Roman" w:cs="Times New Roman" w:hint="default"/>
      <w:sz w:val="16"/>
      <w:szCs w:val="16"/>
    </w:rPr>
  </w:style>
  <w:style w:type="character" w:customStyle="1" w:styleId="ptext-2">
    <w:name w:val="ptext-2"/>
    <w:basedOn w:val="DefaultParagraphFont"/>
    <w:rsid w:val="00FB26BF"/>
    <w:rPr>
      <w:rFonts w:ascii="Times New Roman" w:hAnsi="Times New Roman" w:cs="Times New Roman" w:hint="default"/>
    </w:rPr>
  </w:style>
  <w:style w:type="paragraph" w:styleId="BalloonText">
    <w:name w:val="Balloon Text"/>
    <w:basedOn w:val="Normal"/>
    <w:semiHidden/>
    <w:rsid w:val="00FB26BF"/>
    <w:rPr>
      <w:rFonts w:ascii="Tahoma" w:hAnsi="Tahoma" w:cs="Tahoma"/>
      <w:sz w:val="16"/>
      <w:szCs w:val="16"/>
    </w:rPr>
  </w:style>
  <w:style w:type="table" w:styleId="TableGrid">
    <w:name w:val="Table Grid"/>
    <w:basedOn w:val="TableNormal"/>
    <w:rsid w:val="00571A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DC4113"/>
    <w:rPr>
      <w:b/>
      <w:bCs/>
    </w:rPr>
  </w:style>
  <w:style w:type="character" w:customStyle="1" w:styleId="CommentSubjectChar">
    <w:name w:val="Comment Subject Char"/>
    <w:basedOn w:val="CommentTextChar"/>
    <w:link w:val="CommentSubject"/>
    <w:rsid w:val="00DC4113"/>
    <w:rPr>
      <w:b/>
      <w:bCs/>
      <w:lang w:val="en-US" w:eastAsia="en-US" w:bidi="ar-SA"/>
    </w:rPr>
  </w:style>
  <w:style w:type="paragraph" w:styleId="ListParagraph">
    <w:name w:val="List Paragraph"/>
    <w:basedOn w:val="Normal"/>
    <w:uiPriority w:val="34"/>
    <w:qFormat/>
    <w:rsid w:val="000713B1"/>
    <w:pPr>
      <w:ind w:left="720"/>
      <w:contextualSpacing/>
    </w:pPr>
  </w:style>
  <w:style w:type="character" w:styleId="Hyperlink">
    <w:name w:val="Hyperlink"/>
    <w:basedOn w:val="DefaultParagraphFont"/>
    <w:rsid w:val="005A5FD2"/>
    <w:rPr>
      <w:color w:val="0000FF" w:themeColor="hyperlink"/>
      <w:u w:val="single"/>
    </w:rPr>
  </w:style>
  <w:style w:type="paragraph" w:styleId="PlainText">
    <w:name w:val="Plain Text"/>
    <w:basedOn w:val="Normal"/>
    <w:link w:val="PlainTextChar"/>
    <w:uiPriority w:val="99"/>
    <w:unhideWhenUsed/>
    <w:rsid w:val="00BF63C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BF63CA"/>
    <w:rPr>
      <w:rFonts w:ascii="Calibri" w:eastAsiaTheme="minorHAnsi" w:hAnsi="Calibri" w:cstheme="minorBidi"/>
      <w:sz w:val="22"/>
      <w:szCs w:val="21"/>
    </w:rPr>
  </w:style>
  <w:style w:type="paragraph" w:styleId="Header">
    <w:name w:val="header"/>
    <w:basedOn w:val="Normal"/>
    <w:link w:val="HeaderChar"/>
    <w:rsid w:val="00A14E11"/>
    <w:pPr>
      <w:tabs>
        <w:tab w:val="center" w:pos="4680"/>
        <w:tab w:val="right" w:pos="9360"/>
      </w:tabs>
    </w:pPr>
  </w:style>
  <w:style w:type="character" w:customStyle="1" w:styleId="HeaderChar">
    <w:name w:val="Header Char"/>
    <w:basedOn w:val="DefaultParagraphFont"/>
    <w:link w:val="Header"/>
    <w:rsid w:val="00A14E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36461">
      <w:bodyDiv w:val="1"/>
      <w:marLeft w:val="0"/>
      <w:marRight w:val="0"/>
      <w:marTop w:val="0"/>
      <w:marBottom w:val="0"/>
      <w:divBdr>
        <w:top w:val="none" w:sz="0" w:space="0" w:color="auto"/>
        <w:left w:val="none" w:sz="0" w:space="0" w:color="auto"/>
        <w:bottom w:val="none" w:sz="0" w:space="0" w:color="auto"/>
        <w:right w:val="none" w:sz="0" w:space="0" w:color="auto"/>
      </w:divBdr>
    </w:div>
    <w:div w:id="650210975">
      <w:bodyDiv w:val="1"/>
      <w:marLeft w:val="0"/>
      <w:marRight w:val="0"/>
      <w:marTop w:val="0"/>
      <w:marBottom w:val="0"/>
      <w:divBdr>
        <w:top w:val="none" w:sz="0" w:space="0" w:color="auto"/>
        <w:left w:val="none" w:sz="0" w:space="0" w:color="auto"/>
        <w:bottom w:val="none" w:sz="0" w:space="0" w:color="auto"/>
        <w:right w:val="none" w:sz="0" w:space="0" w:color="auto"/>
      </w:divBdr>
    </w:div>
    <w:div w:id="811678250">
      <w:bodyDiv w:val="1"/>
      <w:marLeft w:val="0"/>
      <w:marRight w:val="0"/>
      <w:marTop w:val="0"/>
      <w:marBottom w:val="0"/>
      <w:divBdr>
        <w:top w:val="none" w:sz="0" w:space="0" w:color="auto"/>
        <w:left w:val="none" w:sz="0" w:space="0" w:color="auto"/>
        <w:bottom w:val="none" w:sz="0" w:space="0" w:color="auto"/>
        <w:right w:val="none" w:sz="0" w:space="0" w:color="auto"/>
      </w:divBdr>
    </w:div>
    <w:div w:id="838429474">
      <w:bodyDiv w:val="1"/>
      <w:marLeft w:val="0"/>
      <w:marRight w:val="0"/>
      <w:marTop w:val="0"/>
      <w:marBottom w:val="0"/>
      <w:divBdr>
        <w:top w:val="none" w:sz="0" w:space="0" w:color="auto"/>
        <w:left w:val="none" w:sz="0" w:space="0" w:color="auto"/>
        <w:bottom w:val="none" w:sz="0" w:space="0" w:color="auto"/>
        <w:right w:val="none" w:sz="0" w:space="0" w:color="auto"/>
      </w:divBdr>
    </w:div>
    <w:div w:id="912548087">
      <w:bodyDiv w:val="1"/>
      <w:marLeft w:val="0"/>
      <w:marRight w:val="0"/>
      <w:marTop w:val="0"/>
      <w:marBottom w:val="0"/>
      <w:divBdr>
        <w:top w:val="none" w:sz="0" w:space="0" w:color="auto"/>
        <w:left w:val="none" w:sz="0" w:space="0" w:color="auto"/>
        <w:bottom w:val="none" w:sz="0" w:space="0" w:color="auto"/>
        <w:right w:val="none" w:sz="0" w:space="0" w:color="auto"/>
      </w:divBdr>
    </w:div>
    <w:div w:id="1264218075">
      <w:bodyDiv w:val="1"/>
      <w:marLeft w:val="0"/>
      <w:marRight w:val="0"/>
      <w:marTop w:val="0"/>
      <w:marBottom w:val="0"/>
      <w:divBdr>
        <w:top w:val="none" w:sz="0" w:space="0" w:color="auto"/>
        <w:left w:val="none" w:sz="0" w:space="0" w:color="auto"/>
        <w:bottom w:val="none" w:sz="0" w:space="0" w:color="auto"/>
        <w:right w:val="none" w:sz="0" w:space="0" w:color="auto"/>
      </w:divBdr>
    </w:div>
    <w:div w:id="1817184198">
      <w:bodyDiv w:val="1"/>
      <w:marLeft w:val="0"/>
      <w:marRight w:val="0"/>
      <w:marTop w:val="0"/>
      <w:marBottom w:val="0"/>
      <w:divBdr>
        <w:top w:val="none" w:sz="0" w:space="0" w:color="auto"/>
        <w:left w:val="none" w:sz="0" w:space="0" w:color="auto"/>
        <w:bottom w:val="none" w:sz="0" w:space="0" w:color="auto"/>
        <w:right w:val="none" w:sz="0" w:space="0" w:color="auto"/>
      </w:divBdr>
    </w:div>
    <w:div w:id="2000956756">
      <w:bodyDiv w:val="1"/>
      <w:marLeft w:val="0"/>
      <w:marRight w:val="0"/>
      <w:marTop w:val="0"/>
      <w:marBottom w:val="0"/>
      <w:divBdr>
        <w:top w:val="none" w:sz="0" w:space="0" w:color="auto"/>
        <w:left w:val="none" w:sz="0" w:space="0" w:color="auto"/>
        <w:bottom w:val="none" w:sz="0" w:space="0" w:color="auto"/>
        <w:right w:val="none" w:sz="0" w:space="0" w:color="auto"/>
      </w:divBdr>
    </w:div>
    <w:div w:id="2081754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dpclo.defense.gov/privacy/SORNs/component/nsa/GNSA-27.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45BAD-6D0A-4E81-9D61-A4AECF9DB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2126</Words>
  <Characters>12425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Directives and Records Branch</Company>
  <LinksUpToDate>false</LinksUpToDate>
  <CharactersWithSpaces>14522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Patricia Toppings</dc:creator>
  <cp:lastModifiedBy>Frederick Licari</cp:lastModifiedBy>
  <cp:revision>3</cp:revision>
  <cp:lastPrinted>2014-02-05T16:57:00Z</cp:lastPrinted>
  <dcterms:created xsi:type="dcterms:W3CDTF">2014-02-05T16:56:00Z</dcterms:created>
  <dcterms:modified xsi:type="dcterms:W3CDTF">2014-02-05T16:57:00Z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