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B32" w:rsidRDefault="00745B32" w:rsidP="00745B32">
      <w:pPr>
        <w:jc w:val="center"/>
        <w:rPr>
          <w:rFonts w:ascii="Arial" w:hAnsi="Arial"/>
          <w:b/>
          <w:sz w:val="24"/>
          <w:u w:val="single"/>
        </w:rPr>
      </w:pPr>
      <w:r>
        <w:rPr>
          <w:rFonts w:ascii="Arial" w:hAnsi="Arial"/>
          <w:b/>
          <w:sz w:val="24"/>
          <w:u w:val="single"/>
        </w:rPr>
        <w:t>SUPPORTING STATEMENT FOR PAPERWORK REDUCTION ACT SUBMISSIONS</w:t>
      </w:r>
    </w:p>
    <w:p w:rsidR="00745B32" w:rsidRDefault="00745B32" w:rsidP="00745B32">
      <w:pPr>
        <w:jc w:val="center"/>
        <w:rPr>
          <w:rFonts w:ascii="Arial" w:hAnsi="Arial"/>
          <w:b/>
          <w:sz w:val="24"/>
          <w:u w:val="single"/>
        </w:rPr>
      </w:pPr>
      <w:r>
        <w:rPr>
          <w:rFonts w:ascii="Arial" w:hAnsi="Arial"/>
          <w:b/>
          <w:sz w:val="24"/>
          <w:u w:val="single"/>
        </w:rPr>
        <w:t>3133-0134</w:t>
      </w:r>
    </w:p>
    <w:p w:rsidR="00E008EA" w:rsidRDefault="00E008EA" w:rsidP="00745B32">
      <w:pPr>
        <w:jc w:val="center"/>
        <w:rPr>
          <w:rFonts w:ascii="Arial" w:hAnsi="Arial"/>
          <w:b/>
          <w:sz w:val="24"/>
          <w:u w:val="single"/>
        </w:rPr>
      </w:pPr>
      <w:r>
        <w:rPr>
          <w:rFonts w:ascii="Arial" w:hAnsi="Arial"/>
          <w:b/>
          <w:sz w:val="24"/>
          <w:u w:val="single"/>
        </w:rPr>
        <w:t>Truth in Savings</w:t>
      </w:r>
    </w:p>
    <w:p w:rsidR="00CC560E" w:rsidRDefault="00CC560E" w:rsidP="00745B32">
      <w:pPr>
        <w:jc w:val="center"/>
        <w:rPr>
          <w:rFonts w:ascii="Arial" w:hAnsi="Arial"/>
          <w:b/>
          <w:sz w:val="24"/>
          <w:u w:val="single"/>
        </w:rPr>
      </w:pPr>
      <w:r>
        <w:rPr>
          <w:rFonts w:ascii="Arial" w:hAnsi="Arial"/>
          <w:b/>
          <w:sz w:val="24"/>
          <w:u w:val="single"/>
        </w:rPr>
        <w:t>Disclosure</w:t>
      </w:r>
      <w:r w:rsidR="00745B32">
        <w:rPr>
          <w:rFonts w:ascii="Arial" w:hAnsi="Arial"/>
          <w:b/>
          <w:sz w:val="24"/>
          <w:u w:val="single"/>
        </w:rPr>
        <w:t xml:space="preserve"> and Recordkeeping Requirements under 12 U.S.C. 4301 et seq. and 12 CFR </w:t>
      </w:r>
      <w:proofErr w:type="gramStart"/>
      <w:r w:rsidR="00745B32">
        <w:rPr>
          <w:rFonts w:ascii="Arial" w:hAnsi="Arial"/>
          <w:b/>
          <w:sz w:val="24"/>
          <w:u w:val="single"/>
        </w:rPr>
        <w:t>Part</w:t>
      </w:r>
      <w:proofErr w:type="gramEnd"/>
      <w:r w:rsidR="00745B32">
        <w:rPr>
          <w:rFonts w:ascii="Arial" w:hAnsi="Arial"/>
          <w:b/>
          <w:sz w:val="24"/>
          <w:u w:val="single"/>
        </w:rPr>
        <w:t xml:space="preserve"> 707</w:t>
      </w:r>
    </w:p>
    <w:p w:rsidR="00745B32" w:rsidRDefault="00745B32" w:rsidP="00745B32">
      <w:pPr>
        <w:jc w:val="center"/>
        <w:rPr>
          <w:rFonts w:ascii="Arial" w:hAnsi="Arial"/>
          <w:b/>
          <w:sz w:val="24"/>
          <w:u w:val="single"/>
        </w:rPr>
      </w:pPr>
      <w:r>
        <w:rPr>
          <w:rFonts w:ascii="Arial" w:hAnsi="Arial"/>
          <w:b/>
          <w:sz w:val="24"/>
          <w:u w:val="single"/>
        </w:rPr>
        <w:t>2013</w:t>
      </w:r>
    </w:p>
    <w:p w:rsidR="00A66E9A" w:rsidRDefault="00A66E9A" w:rsidP="00A66E9A">
      <w:pPr>
        <w:pStyle w:val="Heading2"/>
      </w:pPr>
    </w:p>
    <w:p w:rsidR="00A66E9A" w:rsidRDefault="00A66E9A" w:rsidP="00A66E9A">
      <w:pPr>
        <w:rPr>
          <w:rFonts w:ascii="Arial" w:hAnsi="Arial" w:cs="Arial"/>
          <w:sz w:val="24"/>
        </w:rPr>
      </w:pPr>
    </w:p>
    <w:p w:rsidR="00A66E9A" w:rsidRDefault="00A66E9A" w:rsidP="00A66E9A">
      <w:pPr>
        <w:rPr>
          <w:rFonts w:ascii="Arial" w:hAnsi="Arial" w:cs="Arial"/>
          <w:sz w:val="24"/>
        </w:rPr>
      </w:pPr>
      <w:r>
        <w:rPr>
          <w:rFonts w:ascii="Arial" w:hAnsi="Arial" w:cs="Arial"/>
          <w:sz w:val="24"/>
        </w:rPr>
        <w:t>A.</w:t>
      </w:r>
      <w:r>
        <w:rPr>
          <w:rFonts w:ascii="Arial" w:hAnsi="Arial" w:cs="Arial"/>
          <w:sz w:val="24"/>
        </w:rPr>
        <w:tab/>
      </w:r>
      <w:r>
        <w:rPr>
          <w:rFonts w:ascii="Arial" w:hAnsi="Arial" w:cs="Arial"/>
          <w:sz w:val="24"/>
          <w:u w:val="single"/>
        </w:rPr>
        <w:t>Justification</w:t>
      </w:r>
    </w:p>
    <w:p w:rsidR="00A66E9A" w:rsidRDefault="00A66E9A" w:rsidP="00A66E9A">
      <w:pPr>
        <w:rPr>
          <w:rFonts w:ascii="Arial" w:hAnsi="Arial" w:cs="Arial"/>
          <w:sz w:val="24"/>
        </w:rPr>
      </w:pPr>
    </w:p>
    <w:p w:rsidR="00A66E9A" w:rsidRDefault="00A66E9A" w:rsidP="00A66E9A">
      <w:pPr>
        <w:rPr>
          <w:rFonts w:ascii="Arial" w:hAnsi="Arial" w:cs="Arial"/>
          <w:sz w:val="24"/>
        </w:rPr>
      </w:pPr>
    </w:p>
    <w:p w:rsidR="00A66E9A" w:rsidRDefault="00A66E9A" w:rsidP="00A66E9A">
      <w:pPr>
        <w:rPr>
          <w:rFonts w:ascii="Arial" w:hAnsi="Arial" w:cs="Arial"/>
          <w:sz w:val="24"/>
        </w:rPr>
      </w:pPr>
      <w:r>
        <w:rPr>
          <w:rFonts w:ascii="Arial" w:hAnsi="Arial" w:cs="Arial"/>
          <w:sz w:val="24"/>
        </w:rPr>
        <w:t>1.</w:t>
      </w:r>
      <w:r>
        <w:rPr>
          <w:rFonts w:ascii="Arial" w:hAnsi="Arial" w:cs="Arial"/>
          <w:sz w:val="24"/>
        </w:rPr>
        <w:tab/>
      </w:r>
      <w:r>
        <w:rPr>
          <w:rFonts w:ascii="Arial" w:hAnsi="Arial" w:cs="Arial"/>
          <w:sz w:val="24"/>
          <w:u w:val="single"/>
        </w:rPr>
        <w:t>Circumstances that make the collection necessary:</w:t>
      </w:r>
    </w:p>
    <w:p w:rsidR="00A66E9A" w:rsidRDefault="00A66E9A" w:rsidP="00A66E9A">
      <w:pPr>
        <w:rPr>
          <w:rFonts w:ascii="Arial" w:hAnsi="Arial" w:cs="Arial"/>
          <w:sz w:val="24"/>
        </w:rPr>
      </w:pPr>
    </w:p>
    <w:p w:rsidR="00EC05BA" w:rsidRDefault="00A66E9A" w:rsidP="00A66E9A">
      <w:pPr>
        <w:rPr>
          <w:rFonts w:ascii="Arial" w:hAnsi="Arial" w:cs="Arial"/>
          <w:sz w:val="24"/>
        </w:rPr>
      </w:pPr>
      <w:r>
        <w:rPr>
          <w:rFonts w:ascii="Arial" w:hAnsi="Arial" w:cs="Arial"/>
          <w:sz w:val="24"/>
        </w:rPr>
        <w:t xml:space="preserve">The Truth in Savings Act, 12 U.S.C. §§4301 et seq., (TISA) requires </w:t>
      </w:r>
      <w:r w:rsidR="00EC05BA">
        <w:rPr>
          <w:rFonts w:ascii="Arial" w:hAnsi="Arial" w:cs="Arial"/>
          <w:sz w:val="24"/>
        </w:rPr>
        <w:t>depository institutions</w:t>
      </w:r>
      <w:r>
        <w:rPr>
          <w:rFonts w:ascii="Arial" w:hAnsi="Arial" w:cs="Arial"/>
          <w:sz w:val="24"/>
        </w:rPr>
        <w:t xml:space="preserve"> to disclose to </w:t>
      </w:r>
      <w:r w:rsidR="00EC05BA">
        <w:rPr>
          <w:rFonts w:ascii="Arial" w:hAnsi="Arial" w:cs="Arial"/>
          <w:sz w:val="24"/>
        </w:rPr>
        <w:t>consumers</w:t>
      </w:r>
      <w:r>
        <w:rPr>
          <w:rFonts w:ascii="Arial" w:hAnsi="Arial" w:cs="Arial"/>
          <w:sz w:val="24"/>
        </w:rPr>
        <w:t xml:space="preserve"> certain information, including interest rates,</w:t>
      </w:r>
      <w:r w:rsidR="005E3C51">
        <w:rPr>
          <w:rFonts w:ascii="Arial" w:hAnsi="Arial" w:cs="Arial"/>
          <w:sz w:val="24"/>
        </w:rPr>
        <w:t xml:space="preserve"> dividends,</w:t>
      </w:r>
      <w:r>
        <w:rPr>
          <w:rFonts w:ascii="Arial" w:hAnsi="Arial" w:cs="Arial"/>
          <w:sz w:val="24"/>
        </w:rPr>
        <w:t xml:space="preserve"> bonuses, and fees associated with </w:t>
      </w:r>
      <w:r w:rsidR="00EC05BA">
        <w:rPr>
          <w:rFonts w:ascii="Arial" w:hAnsi="Arial" w:cs="Arial"/>
          <w:sz w:val="24"/>
        </w:rPr>
        <w:t>their deposit accounts</w:t>
      </w:r>
      <w:r>
        <w:rPr>
          <w:rFonts w:ascii="Arial" w:hAnsi="Arial" w:cs="Arial"/>
          <w:sz w:val="24"/>
        </w:rPr>
        <w:t xml:space="preserve"> and accompanying services.  TISA directed NCUA to promulgate regulations governing all credit unions</w:t>
      </w:r>
      <w:r w:rsidR="00EC05BA">
        <w:rPr>
          <w:rFonts w:ascii="Arial" w:hAnsi="Arial" w:cs="Arial"/>
          <w:sz w:val="24"/>
        </w:rPr>
        <w:t>, which are found in</w:t>
      </w:r>
      <w:r>
        <w:rPr>
          <w:rFonts w:ascii="Arial" w:hAnsi="Arial" w:cs="Arial"/>
          <w:sz w:val="24"/>
        </w:rPr>
        <w:t xml:space="preserve"> 12 CFR Part 707.</w:t>
      </w:r>
    </w:p>
    <w:p w:rsidR="00EC05BA" w:rsidRDefault="00EC05BA" w:rsidP="00A66E9A">
      <w:pPr>
        <w:rPr>
          <w:rFonts w:ascii="Arial" w:hAnsi="Arial" w:cs="Arial"/>
          <w:sz w:val="24"/>
        </w:rPr>
      </w:pPr>
    </w:p>
    <w:p w:rsidR="00A66E9A" w:rsidRDefault="00A66E9A" w:rsidP="00A66E9A">
      <w:pPr>
        <w:rPr>
          <w:rFonts w:ascii="Arial" w:hAnsi="Arial" w:cs="Arial"/>
          <w:sz w:val="24"/>
        </w:rPr>
      </w:pPr>
      <w:r>
        <w:rPr>
          <w:rFonts w:ascii="Arial" w:hAnsi="Arial" w:cs="Arial"/>
          <w:sz w:val="24"/>
        </w:rPr>
        <w:t xml:space="preserve">NCUA regulations require credit unions to provide specific disclosures </w:t>
      </w:r>
      <w:r w:rsidR="00D4203E">
        <w:rPr>
          <w:rFonts w:ascii="Arial" w:hAnsi="Arial" w:cs="Arial"/>
          <w:sz w:val="24"/>
        </w:rPr>
        <w:t xml:space="preserve">when an account is opened, when a disclosed term changes or a term account is close to renewal, on periodic statements of account activity, in advertisements, and </w:t>
      </w:r>
      <w:r>
        <w:rPr>
          <w:rFonts w:ascii="Arial" w:hAnsi="Arial" w:cs="Arial"/>
          <w:sz w:val="24"/>
        </w:rPr>
        <w:t>upon a member</w:t>
      </w:r>
      <w:r w:rsidR="00EC05BA">
        <w:rPr>
          <w:rFonts w:ascii="Arial" w:hAnsi="Arial" w:cs="Arial"/>
          <w:sz w:val="24"/>
        </w:rPr>
        <w:t xml:space="preserve"> or potential member</w:t>
      </w:r>
      <w:r>
        <w:rPr>
          <w:rFonts w:ascii="Arial" w:hAnsi="Arial" w:cs="Arial"/>
          <w:sz w:val="24"/>
        </w:rPr>
        <w:t>’s request,  12 CFR §§</w:t>
      </w:r>
      <w:r w:rsidR="00D4203E">
        <w:rPr>
          <w:rFonts w:ascii="Arial" w:hAnsi="Arial" w:cs="Arial"/>
          <w:sz w:val="24"/>
        </w:rPr>
        <w:t xml:space="preserve"> </w:t>
      </w:r>
      <w:r>
        <w:rPr>
          <w:rFonts w:ascii="Arial" w:hAnsi="Arial" w:cs="Arial"/>
          <w:sz w:val="24"/>
        </w:rPr>
        <w:t xml:space="preserve">707.4, 707.5, 707.6, 707.8.  These disclosures are for the benefit of </w:t>
      </w:r>
      <w:r w:rsidR="00D4203E">
        <w:rPr>
          <w:rFonts w:ascii="Arial" w:hAnsi="Arial" w:cs="Arial"/>
          <w:sz w:val="24"/>
        </w:rPr>
        <w:t>credit union members and consumers</w:t>
      </w:r>
      <w:r>
        <w:rPr>
          <w:rFonts w:ascii="Arial" w:hAnsi="Arial" w:cs="Arial"/>
          <w:sz w:val="24"/>
        </w:rPr>
        <w:t>.  Credit union</w:t>
      </w:r>
      <w:r w:rsidR="00D4203E">
        <w:rPr>
          <w:rFonts w:ascii="Arial" w:hAnsi="Arial" w:cs="Arial"/>
          <w:sz w:val="24"/>
        </w:rPr>
        <w:t>s</w:t>
      </w:r>
      <w:r>
        <w:rPr>
          <w:rFonts w:ascii="Arial" w:hAnsi="Arial" w:cs="Arial"/>
          <w:sz w:val="24"/>
        </w:rPr>
        <w:t xml:space="preserve"> must retain evidence of compliance for two years after the disclosures are required.  12 C.F.R. §</w:t>
      </w:r>
      <w:r w:rsidR="00D4203E">
        <w:rPr>
          <w:rFonts w:ascii="Arial" w:hAnsi="Arial" w:cs="Arial"/>
          <w:sz w:val="24"/>
        </w:rPr>
        <w:t> </w:t>
      </w:r>
      <w:r>
        <w:rPr>
          <w:rFonts w:ascii="Arial" w:hAnsi="Arial" w:cs="Arial"/>
          <w:sz w:val="24"/>
        </w:rPr>
        <w:t>707.9(c).  Thus, the regulation imposes an information collection burden.</w:t>
      </w:r>
    </w:p>
    <w:p w:rsidR="00A66E9A" w:rsidRDefault="00A66E9A" w:rsidP="00A66E9A">
      <w:pPr>
        <w:rPr>
          <w:rFonts w:ascii="Arial" w:hAnsi="Arial" w:cs="Arial"/>
          <w:sz w:val="24"/>
        </w:rPr>
      </w:pPr>
    </w:p>
    <w:p w:rsidR="00A66E9A" w:rsidRDefault="00A66E9A" w:rsidP="00A66E9A">
      <w:pPr>
        <w:rPr>
          <w:rFonts w:ascii="Arial" w:hAnsi="Arial" w:cs="Arial"/>
          <w:sz w:val="24"/>
        </w:rPr>
      </w:pPr>
      <w:r>
        <w:rPr>
          <w:rFonts w:ascii="Arial" w:hAnsi="Arial" w:cs="Arial"/>
          <w:sz w:val="24"/>
        </w:rPr>
        <w:t xml:space="preserve">The requirements </w:t>
      </w:r>
      <w:r w:rsidR="00D4203E">
        <w:rPr>
          <w:rFonts w:ascii="Arial" w:hAnsi="Arial" w:cs="Arial"/>
          <w:sz w:val="24"/>
        </w:rPr>
        <w:t xml:space="preserve">for </w:t>
      </w:r>
      <w:r>
        <w:rPr>
          <w:rFonts w:ascii="Arial" w:hAnsi="Arial" w:cs="Arial"/>
          <w:sz w:val="24"/>
        </w:rPr>
        <w:t xml:space="preserve">creating and disseminating account disclosures, change in terms notices, term share renewal notices, statement disclosures, and advertising disclosures are necessary to implement TISA’s purpose of providing the public with information that will permit informed comparisons of accounts at financial institutions. </w:t>
      </w:r>
      <w:r w:rsidR="004A5624">
        <w:rPr>
          <w:rFonts w:ascii="Arial" w:hAnsi="Arial" w:cs="Arial"/>
          <w:sz w:val="24"/>
        </w:rPr>
        <w:t xml:space="preserve">The </w:t>
      </w:r>
      <w:r w:rsidR="00D4203E">
        <w:rPr>
          <w:rFonts w:ascii="Arial" w:hAnsi="Arial" w:cs="Arial"/>
          <w:sz w:val="24"/>
        </w:rPr>
        <w:t>regulation</w:t>
      </w:r>
      <w:r w:rsidR="004A5624">
        <w:rPr>
          <w:rFonts w:ascii="Arial" w:hAnsi="Arial" w:cs="Arial"/>
          <w:sz w:val="24"/>
        </w:rPr>
        <w:t xml:space="preserve"> </w:t>
      </w:r>
      <w:r w:rsidR="00D4203E">
        <w:rPr>
          <w:rFonts w:ascii="Arial" w:hAnsi="Arial" w:cs="Arial"/>
          <w:sz w:val="24"/>
        </w:rPr>
        <w:t>mitigates</w:t>
      </w:r>
      <w:r w:rsidR="004A5624">
        <w:rPr>
          <w:rFonts w:ascii="Arial" w:hAnsi="Arial" w:cs="Arial"/>
          <w:sz w:val="24"/>
        </w:rPr>
        <w:t xml:space="preserve"> the regulatory burden associated with </w:t>
      </w:r>
      <w:r w:rsidR="00D4203E">
        <w:rPr>
          <w:rFonts w:ascii="Arial" w:hAnsi="Arial" w:cs="Arial"/>
          <w:sz w:val="24"/>
        </w:rPr>
        <w:t>TISA</w:t>
      </w:r>
      <w:r w:rsidR="004A5624">
        <w:rPr>
          <w:rFonts w:ascii="Arial" w:hAnsi="Arial" w:cs="Arial"/>
          <w:sz w:val="24"/>
        </w:rPr>
        <w:t xml:space="preserve"> disclosures </w:t>
      </w:r>
      <w:r w:rsidR="00D4203E">
        <w:rPr>
          <w:rFonts w:ascii="Arial" w:hAnsi="Arial" w:cs="Arial"/>
          <w:sz w:val="24"/>
        </w:rPr>
        <w:t xml:space="preserve">by allowing credit unions to provide disclosures </w:t>
      </w:r>
      <w:r w:rsidR="004A5624">
        <w:rPr>
          <w:rFonts w:ascii="Arial" w:hAnsi="Arial" w:cs="Arial"/>
          <w:sz w:val="24"/>
        </w:rPr>
        <w:t>through electronic means.</w:t>
      </w:r>
      <w:r w:rsidR="00D4203E">
        <w:rPr>
          <w:rFonts w:ascii="Arial" w:hAnsi="Arial" w:cs="Arial"/>
          <w:sz w:val="24"/>
        </w:rPr>
        <w:t xml:space="preserve"> </w:t>
      </w:r>
      <w:r>
        <w:rPr>
          <w:rFonts w:ascii="Arial" w:hAnsi="Arial" w:cs="Arial"/>
          <w:sz w:val="24"/>
        </w:rPr>
        <w:t>The information collection requirements of §707.9(c) will help NCUA examiners and state regulators evaluate compliance with Part 707 quickly and efficiently.  The collections will also prove credit union compliance with the regulation in the event of a lawsuit.</w:t>
      </w:r>
    </w:p>
    <w:p w:rsidR="00A66E9A" w:rsidRDefault="00A66E9A" w:rsidP="00A66E9A">
      <w:pPr>
        <w:rPr>
          <w:rFonts w:ascii="Arial" w:hAnsi="Arial"/>
          <w:sz w:val="24"/>
        </w:rPr>
      </w:pPr>
    </w:p>
    <w:p w:rsidR="00A66E9A" w:rsidRDefault="00A66E9A" w:rsidP="00A66E9A">
      <w:pPr>
        <w:rPr>
          <w:rFonts w:ascii="Arial" w:hAnsi="Arial"/>
          <w:sz w:val="24"/>
        </w:rPr>
      </w:pPr>
    </w:p>
    <w:p w:rsidR="00A66E9A" w:rsidRDefault="00A66E9A" w:rsidP="00A66E9A">
      <w:pPr>
        <w:tabs>
          <w:tab w:val="left" w:pos="-1440"/>
        </w:tabs>
        <w:ind w:left="720" w:hanging="720"/>
        <w:rPr>
          <w:rFonts w:ascii="Arial" w:hAnsi="Arial"/>
          <w:sz w:val="24"/>
        </w:rPr>
      </w:pPr>
      <w:r>
        <w:rPr>
          <w:rFonts w:ascii="Arial" w:hAnsi="Arial"/>
          <w:sz w:val="24"/>
        </w:rPr>
        <w:t>2.</w:t>
      </w:r>
      <w:r>
        <w:rPr>
          <w:rFonts w:ascii="Arial" w:hAnsi="Arial"/>
          <w:sz w:val="24"/>
        </w:rPr>
        <w:tab/>
      </w:r>
      <w:r>
        <w:rPr>
          <w:rFonts w:ascii="Arial" w:hAnsi="Arial"/>
          <w:sz w:val="24"/>
          <w:u w:val="single"/>
        </w:rPr>
        <w:t>Use of the information:</w:t>
      </w:r>
    </w:p>
    <w:p w:rsidR="00A66E9A" w:rsidRDefault="00A66E9A" w:rsidP="00A66E9A">
      <w:pPr>
        <w:pStyle w:val="Header"/>
        <w:tabs>
          <w:tab w:val="clear" w:pos="4320"/>
          <w:tab w:val="clear" w:pos="8640"/>
        </w:tabs>
        <w:autoSpaceDE w:val="0"/>
        <w:autoSpaceDN w:val="0"/>
        <w:adjustRightInd w:val="0"/>
        <w:rPr>
          <w:rFonts w:ascii="Arial" w:hAnsi="Arial"/>
          <w:szCs w:val="24"/>
        </w:rPr>
      </w:pPr>
    </w:p>
    <w:p w:rsidR="00A66E9A" w:rsidRDefault="00A66E9A" w:rsidP="00A66E9A">
      <w:pPr>
        <w:pStyle w:val="BodyText"/>
      </w:pPr>
      <w:r>
        <w:t>NCUA use</w:t>
      </w:r>
      <w:r w:rsidR="00D4203E">
        <w:t>s</w:t>
      </w:r>
      <w:r>
        <w:t xml:space="preserve"> the information to determine </w:t>
      </w:r>
      <w:r w:rsidR="00D4203E">
        <w:t xml:space="preserve">whether </w:t>
      </w:r>
      <w:r>
        <w:t xml:space="preserve">a credit union is in compliance with </w:t>
      </w:r>
      <w:r w:rsidR="00D4203E">
        <w:t xml:space="preserve">TISA and </w:t>
      </w:r>
      <w:r>
        <w:t xml:space="preserve">Part 707.  Credit unions may also use the information to prove compliance with the </w:t>
      </w:r>
      <w:r w:rsidR="00D4203E">
        <w:t xml:space="preserve">law and </w:t>
      </w:r>
      <w:r>
        <w:t>regulation</w:t>
      </w:r>
      <w:r w:rsidR="00D4203E">
        <w:t>, particularly in the event of a lawsuit</w:t>
      </w:r>
      <w:r>
        <w:t xml:space="preserve">.  </w:t>
      </w:r>
      <w:r w:rsidR="00D4203E">
        <w:t xml:space="preserve">See </w:t>
      </w:r>
      <w:r>
        <w:t>12 U.S.C. §</w:t>
      </w:r>
      <w:r w:rsidR="00D4203E">
        <w:t xml:space="preserve"> </w:t>
      </w:r>
      <w:r>
        <w:t>4310.</w:t>
      </w:r>
    </w:p>
    <w:p w:rsidR="00A66E9A" w:rsidRDefault="00A66E9A" w:rsidP="00A66E9A">
      <w:pPr>
        <w:rPr>
          <w:rFonts w:ascii="Arial" w:hAnsi="Arial"/>
          <w:sz w:val="24"/>
        </w:rPr>
      </w:pPr>
    </w:p>
    <w:p w:rsidR="00A66E9A" w:rsidRDefault="00A66E9A" w:rsidP="00A66E9A">
      <w:pPr>
        <w:rPr>
          <w:rFonts w:ascii="Arial" w:hAnsi="Arial"/>
          <w:sz w:val="24"/>
        </w:rPr>
      </w:pPr>
    </w:p>
    <w:p w:rsidR="003109CA" w:rsidRDefault="003109CA" w:rsidP="00A66E9A">
      <w:pPr>
        <w:tabs>
          <w:tab w:val="left" w:pos="-1440"/>
        </w:tabs>
        <w:rPr>
          <w:rFonts w:ascii="Arial" w:hAnsi="Arial"/>
          <w:sz w:val="24"/>
        </w:rPr>
      </w:pPr>
    </w:p>
    <w:p w:rsidR="00A66E9A" w:rsidRDefault="00A66E9A" w:rsidP="00A66E9A">
      <w:pPr>
        <w:tabs>
          <w:tab w:val="left" w:pos="-1440"/>
        </w:tabs>
        <w:rPr>
          <w:rFonts w:ascii="Arial" w:hAnsi="Arial"/>
          <w:sz w:val="24"/>
          <w:u w:val="single"/>
        </w:rPr>
      </w:pPr>
      <w:r>
        <w:rPr>
          <w:rFonts w:ascii="Arial" w:hAnsi="Arial"/>
          <w:sz w:val="24"/>
        </w:rPr>
        <w:lastRenderedPageBreak/>
        <w:t>3.</w:t>
      </w:r>
      <w:r>
        <w:rPr>
          <w:rFonts w:ascii="Arial" w:hAnsi="Arial"/>
          <w:sz w:val="24"/>
        </w:rPr>
        <w:tab/>
      </w:r>
      <w:r>
        <w:rPr>
          <w:rFonts w:ascii="Arial" w:hAnsi="Arial"/>
          <w:sz w:val="24"/>
          <w:u w:val="single"/>
        </w:rPr>
        <w:t>Consideration of the use of improved information technology:</w:t>
      </w:r>
    </w:p>
    <w:p w:rsidR="00A66E9A" w:rsidRDefault="00A66E9A" w:rsidP="00A66E9A">
      <w:pPr>
        <w:tabs>
          <w:tab w:val="left" w:pos="-1440"/>
        </w:tabs>
        <w:ind w:left="720" w:hanging="720"/>
        <w:rPr>
          <w:rFonts w:ascii="Arial" w:hAnsi="Arial"/>
          <w:sz w:val="24"/>
        </w:rPr>
      </w:pPr>
    </w:p>
    <w:p w:rsidR="00D4203E" w:rsidRPr="00D4203E" w:rsidRDefault="00A66E9A" w:rsidP="00D4203E">
      <w:pPr>
        <w:pStyle w:val="BodyText"/>
      </w:pPr>
      <w:r>
        <w:t xml:space="preserve">The regulation does not prescribe any particular form in which the collected information must be kept.  Therefore, to the degree that credit unions have available to them technology that would simplify retaining the necessary information, they may use it to reduce the burden imposed by the regulation. </w:t>
      </w:r>
      <w:r w:rsidR="00D4203E">
        <w:t xml:space="preserve">  For purposes of disclosure to the public, credit unions may also rely upon the </w:t>
      </w:r>
      <w:r w:rsidR="00D4203E" w:rsidRPr="00D4203E">
        <w:t xml:space="preserve">Electronic Signatures </w:t>
      </w:r>
      <w:r w:rsidR="00E40BF6" w:rsidRPr="00D4203E">
        <w:t>in</w:t>
      </w:r>
      <w:r w:rsidR="00D4203E" w:rsidRPr="00D4203E">
        <w:t xml:space="preserve"> Global And</w:t>
      </w:r>
    </w:p>
    <w:p w:rsidR="00A66E9A" w:rsidRDefault="00D4203E" w:rsidP="00D4203E">
      <w:pPr>
        <w:pStyle w:val="BodyText"/>
      </w:pPr>
      <w:r w:rsidRPr="00D4203E">
        <w:t>National Commerce Act</w:t>
      </w:r>
      <w:r>
        <w:t xml:space="preserve"> (E-Sign Act), 12 U.S.C. 7001, et seq., when </w:t>
      </w:r>
      <w:r w:rsidR="00E40BF6">
        <w:t>complying</w:t>
      </w:r>
      <w:r>
        <w:t xml:space="preserve"> with TISA and Part 707.</w:t>
      </w:r>
    </w:p>
    <w:p w:rsidR="00A66E9A" w:rsidRDefault="00A66E9A" w:rsidP="00A66E9A">
      <w:pPr>
        <w:rPr>
          <w:rFonts w:ascii="Arial" w:hAnsi="Arial"/>
          <w:sz w:val="24"/>
        </w:rPr>
      </w:pPr>
    </w:p>
    <w:p w:rsidR="00A66E9A" w:rsidRDefault="00A66E9A" w:rsidP="00A66E9A">
      <w:pPr>
        <w:rPr>
          <w:rFonts w:ascii="Arial" w:hAnsi="Arial"/>
          <w:sz w:val="24"/>
        </w:rPr>
      </w:pPr>
    </w:p>
    <w:p w:rsidR="00A66E9A" w:rsidRDefault="00A66E9A" w:rsidP="00A66E9A">
      <w:pPr>
        <w:tabs>
          <w:tab w:val="left" w:pos="-1440"/>
        </w:tabs>
        <w:ind w:left="720" w:hanging="720"/>
        <w:rPr>
          <w:rFonts w:ascii="Arial" w:hAnsi="Arial"/>
          <w:sz w:val="24"/>
        </w:rPr>
      </w:pPr>
      <w:r>
        <w:rPr>
          <w:rFonts w:ascii="Arial" w:hAnsi="Arial"/>
          <w:sz w:val="24"/>
        </w:rPr>
        <w:t>4.</w:t>
      </w:r>
      <w:r>
        <w:rPr>
          <w:rFonts w:ascii="Arial" w:hAnsi="Arial"/>
          <w:sz w:val="24"/>
        </w:rPr>
        <w:tab/>
      </w:r>
      <w:r>
        <w:rPr>
          <w:rFonts w:ascii="Arial" w:hAnsi="Arial"/>
          <w:sz w:val="24"/>
          <w:u w:val="single"/>
        </w:rPr>
        <w:t>Efforts to identify duplication:</w:t>
      </w:r>
    </w:p>
    <w:p w:rsidR="00A66E9A" w:rsidRDefault="00A66E9A" w:rsidP="00A66E9A">
      <w:pPr>
        <w:rPr>
          <w:rFonts w:ascii="Arial" w:hAnsi="Arial"/>
          <w:sz w:val="24"/>
        </w:rPr>
      </w:pPr>
    </w:p>
    <w:p w:rsidR="00A66E9A" w:rsidRDefault="00A66E9A" w:rsidP="00A66E9A">
      <w:pPr>
        <w:pStyle w:val="BodyText"/>
      </w:pPr>
      <w:r>
        <w:t xml:space="preserve">There is no duplication in these reporting requirements.  </w:t>
      </w:r>
    </w:p>
    <w:p w:rsidR="00A66E9A" w:rsidRDefault="00A66E9A" w:rsidP="00A66E9A">
      <w:pPr>
        <w:rPr>
          <w:rFonts w:ascii="Arial" w:hAnsi="Arial"/>
          <w:sz w:val="24"/>
        </w:rPr>
      </w:pPr>
    </w:p>
    <w:p w:rsidR="00A66E9A" w:rsidRDefault="00A66E9A" w:rsidP="00A66E9A">
      <w:pPr>
        <w:rPr>
          <w:rFonts w:ascii="Arial" w:hAnsi="Arial"/>
          <w:sz w:val="24"/>
        </w:rPr>
      </w:pPr>
    </w:p>
    <w:p w:rsidR="00A66E9A" w:rsidRDefault="00A66E9A" w:rsidP="00A66E9A">
      <w:pPr>
        <w:tabs>
          <w:tab w:val="left" w:pos="-1440"/>
        </w:tabs>
        <w:ind w:left="720" w:hanging="720"/>
        <w:rPr>
          <w:rFonts w:ascii="Arial" w:hAnsi="Arial"/>
          <w:sz w:val="24"/>
        </w:rPr>
      </w:pPr>
      <w:r>
        <w:rPr>
          <w:rFonts w:ascii="Arial" w:hAnsi="Arial"/>
          <w:sz w:val="24"/>
        </w:rPr>
        <w:t>5.</w:t>
      </w:r>
      <w:r>
        <w:rPr>
          <w:rFonts w:ascii="Arial" w:hAnsi="Arial"/>
          <w:sz w:val="24"/>
        </w:rPr>
        <w:tab/>
      </w:r>
      <w:r>
        <w:rPr>
          <w:rFonts w:ascii="Arial" w:hAnsi="Arial"/>
          <w:sz w:val="24"/>
          <w:u w:val="single"/>
        </w:rPr>
        <w:t>Methods used to minimize burden if the collection has a significant impact on substantial number of small entities:</w:t>
      </w:r>
    </w:p>
    <w:p w:rsidR="00A66E9A" w:rsidRDefault="00A66E9A" w:rsidP="00A66E9A">
      <w:pPr>
        <w:pStyle w:val="BodyText"/>
        <w:rPr>
          <w:rFonts w:cs="Arial"/>
        </w:rPr>
      </w:pPr>
    </w:p>
    <w:p w:rsidR="00A66E9A" w:rsidRDefault="00A66E9A" w:rsidP="00A66E9A">
      <w:pPr>
        <w:pStyle w:val="BodyText"/>
        <w:rPr>
          <w:rFonts w:cs="Arial"/>
        </w:rPr>
      </w:pPr>
    </w:p>
    <w:p w:rsidR="001C7802" w:rsidRDefault="00A66E9A" w:rsidP="00A66E9A">
      <w:pPr>
        <w:pStyle w:val="BodyText"/>
        <w:rPr>
          <w:rFonts w:cs="Arial"/>
        </w:rPr>
      </w:pPr>
      <w:r>
        <w:rPr>
          <w:rFonts w:cs="Arial"/>
        </w:rPr>
        <w:t xml:space="preserve">NCUA has instituted a program to provide technical help to small credit unions that may not be automated or need help complying with TISA and Part 707.  NCUA has also developed special training for small credit unions and their staffs.  </w:t>
      </w:r>
    </w:p>
    <w:p w:rsidR="00A66E9A" w:rsidRDefault="00A66E9A" w:rsidP="00A66E9A">
      <w:pPr>
        <w:pStyle w:val="BodyText"/>
        <w:rPr>
          <w:rFonts w:cs="Arial"/>
        </w:rPr>
      </w:pPr>
    </w:p>
    <w:p w:rsidR="00D93297" w:rsidRDefault="00D93297"/>
    <w:p w:rsidR="00A66E9A" w:rsidRDefault="00A66E9A" w:rsidP="00A66E9A">
      <w:pPr>
        <w:tabs>
          <w:tab w:val="left" w:pos="-1440"/>
        </w:tabs>
        <w:ind w:left="720" w:hanging="720"/>
        <w:rPr>
          <w:rFonts w:ascii="Arial" w:hAnsi="Arial"/>
          <w:sz w:val="24"/>
        </w:rPr>
      </w:pPr>
      <w:r>
        <w:rPr>
          <w:rFonts w:ascii="Arial" w:hAnsi="Arial"/>
          <w:sz w:val="24"/>
        </w:rPr>
        <w:t>6.</w:t>
      </w:r>
      <w:r>
        <w:rPr>
          <w:rFonts w:ascii="Arial" w:hAnsi="Arial"/>
          <w:sz w:val="24"/>
        </w:rPr>
        <w:tab/>
      </w:r>
      <w:r>
        <w:rPr>
          <w:rFonts w:ascii="Arial" w:hAnsi="Arial"/>
          <w:sz w:val="24"/>
          <w:u w:val="single"/>
        </w:rPr>
        <w:t>Consequences to the Federal program if the collections were conducted less frequently:</w:t>
      </w:r>
    </w:p>
    <w:p w:rsidR="00A66E9A" w:rsidRDefault="00A66E9A" w:rsidP="00A66E9A">
      <w:pPr>
        <w:rPr>
          <w:rFonts w:ascii="Arial" w:hAnsi="Arial"/>
          <w:sz w:val="24"/>
        </w:rPr>
      </w:pPr>
    </w:p>
    <w:p w:rsidR="00A66E9A" w:rsidRDefault="00A66E9A" w:rsidP="00A66E9A">
      <w:pPr>
        <w:rPr>
          <w:rFonts w:ascii="Arial" w:hAnsi="Arial"/>
          <w:sz w:val="24"/>
        </w:rPr>
      </w:pPr>
      <w:r>
        <w:rPr>
          <w:rFonts w:ascii="Arial" w:hAnsi="Arial"/>
          <w:sz w:val="24"/>
        </w:rPr>
        <w:t xml:space="preserve">Part 707 and its recent amendments follow closely the </w:t>
      </w:r>
      <w:r w:rsidR="001C7802">
        <w:rPr>
          <w:rFonts w:ascii="Arial" w:hAnsi="Arial"/>
          <w:sz w:val="24"/>
        </w:rPr>
        <w:t>Consumer Financial Protection Bureau</w:t>
      </w:r>
      <w:r>
        <w:rPr>
          <w:rFonts w:ascii="Arial" w:hAnsi="Arial"/>
          <w:sz w:val="24"/>
        </w:rPr>
        <w:t xml:space="preserve">’s </w:t>
      </w:r>
      <w:r w:rsidR="00745B32">
        <w:rPr>
          <w:rFonts w:ascii="Arial" w:hAnsi="Arial"/>
          <w:sz w:val="24"/>
        </w:rPr>
        <w:t xml:space="preserve">(CFPB’s) </w:t>
      </w:r>
      <w:r>
        <w:rPr>
          <w:rFonts w:ascii="Arial" w:hAnsi="Arial"/>
          <w:sz w:val="24"/>
        </w:rPr>
        <w:t xml:space="preserve">Regulation DD, 12 C.F.R. Part </w:t>
      </w:r>
      <w:r w:rsidR="001C7802">
        <w:rPr>
          <w:rFonts w:ascii="Arial" w:hAnsi="Arial"/>
          <w:sz w:val="24"/>
        </w:rPr>
        <w:t>1030</w:t>
      </w:r>
      <w:r>
        <w:rPr>
          <w:rFonts w:ascii="Arial" w:hAnsi="Arial"/>
          <w:sz w:val="24"/>
        </w:rPr>
        <w:t>.  If these collections were collected less frequently, credit union members would not receive the same information as banking consumers.  This would not serve fully Congress’ intent in enacting TISA or NCUA’s intent in promulgating the rule.</w:t>
      </w:r>
    </w:p>
    <w:p w:rsidR="00A66E9A" w:rsidRDefault="00A66E9A" w:rsidP="00A66E9A">
      <w:pPr>
        <w:rPr>
          <w:rFonts w:ascii="Arial" w:hAnsi="Arial"/>
          <w:sz w:val="24"/>
        </w:rPr>
      </w:pPr>
    </w:p>
    <w:p w:rsidR="00A66E9A" w:rsidRDefault="00A66E9A" w:rsidP="00A66E9A">
      <w:pPr>
        <w:rPr>
          <w:rFonts w:ascii="Arial" w:hAnsi="Arial"/>
          <w:sz w:val="24"/>
        </w:rPr>
      </w:pPr>
    </w:p>
    <w:p w:rsidR="00A66E9A" w:rsidRDefault="00A66E9A" w:rsidP="00A66E9A">
      <w:pPr>
        <w:tabs>
          <w:tab w:val="left" w:pos="-1440"/>
        </w:tabs>
        <w:ind w:left="720" w:hanging="720"/>
        <w:rPr>
          <w:rFonts w:ascii="Arial" w:hAnsi="Arial"/>
          <w:sz w:val="24"/>
        </w:rPr>
      </w:pPr>
      <w:r>
        <w:rPr>
          <w:rFonts w:ascii="Arial" w:hAnsi="Arial"/>
          <w:sz w:val="24"/>
        </w:rPr>
        <w:t>7.</w:t>
      </w:r>
      <w:r>
        <w:rPr>
          <w:rFonts w:ascii="Arial" w:hAnsi="Arial"/>
          <w:sz w:val="24"/>
        </w:rPr>
        <w:tab/>
      </w:r>
      <w:r>
        <w:rPr>
          <w:rFonts w:ascii="Arial" w:hAnsi="Arial"/>
          <w:sz w:val="24"/>
          <w:u w:val="single"/>
        </w:rPr>
        <w:t>Special circumstances necessitating collection inconsistent with 5 CFR Part 1320:</w:t>
      </w:r>
    </w:p>
    <w:p w:rsidR="00A66E9A" w:rsidRDefault="00A66E9A" w:rsidP="00A66E9A">
      <w:pPr>
        <w:rPr>
          <w:rFonts w:ascii="Arial" w:hAnsi="Arial"/>
          <w:sz w:val="24"/>
        </w:rPr>
      </w:pPr>
    </w:p>
    <w:p w:rsidR="00A66E9A" w:rsidRDefault="00A66E9A" w:rsidP="00A66E9A">
      <w:pPr>
        <w:pStyle w:val="BodyText"/>
      </w:pPr>
      <w:r>
        <w:t xml:space="preserve">These information collections are conducted in a manner consistent with the requirements of 5 CFR Part 1320.  </w:t>
      </w:r>
    </w:p>
    <w:p w:rsidR="00A66E9A" w:rsidRDefault="00A66E9A" w:rsidP="00A66E9A">
      <w:pPr>
        <w:rPr>
          <w:rFonts w:ascii="Arial" w:hAnsi="Arial"/>
          <w:sz w:val="24"/>
        </w:rPr>
      </w:pPr>
    </w:p>
    <w:p w:rsidR="00A66E9A" w:rsidRDefault="00A66E9A" w:rsidP="00A66E9A">
      <w:pPr>
        <w:rPr>
          <w:rFonts w:ascii="Arial" w:hAnsi="Arial"/>
          <w:sz w:val="24"/>
        </w:rPr>
      </w:pPr>
    </w:p>
    <w:p w:rsidR="00A66E9A" w:rsidRDefault="00A66E9A" w:rsidP="00A66E9A">
      <w:pPr>
        <w:tabs>
          <w:tab w:val="left" w:pos="-1440"/>
        </w:tabs>
        <w:ind w:left="720" w:hanging="720"/>
        <w:rPr>
          <w:rFonts w:ascii="Arial" w:hAnsi="Arial"/>
          <w:sz w:val="24"/>
        </w:rPr>
      </w:pPr>
      <w:r>
        <w:rPr>
          <w:rFonts w:ascii="Arial" w:hAnsi="Arial"/>
          <w:sz w:val="24"/>
        </w:rPr>
        <w:t>8.</w:t>
      </w:r>
      <w:r>
        <w:rPr>
          <w:rFonts w:ascii="Arial" w:hAnsi="Arial"/>
          <w:sz w:val="24"/>
        </w:rPr>
        <w:tab/>
      </w:r>
      <w:r>
        <w:rPr>
          <w:rFonts w:ascii="Arial" w:hAnsi="Arial"/>
          <w:sz w:val="24"/>
          <w:u w:val="single"/>
        </w:rPr>
        <w:t>Efforts to consult with persons outside the agency:</w:t>
      </w:r>
    </w:p>
    <w:p w:rsidR="00A66E9A" w:rsidRDefault="00A66E9A" w:rsidP="00A66E9A">
      <w:pPr>
        <w:rPr>
          <w:rFonts w:ascii="Arial" w:hAnsi="Arial"/>
          <w:sz w:val="24"/>
        </w:rPr>
      </w:pPr>
    </w:p>
    <w:p w:rsidR="00DD38AA" w:rsidRDefault="00A66E9A" w:rsidP="00DD38AA">
      <w:pPr>
        <w:pStyle w:val="BodyText"/>
      </w:pPr>
      <w:r>
        <w:t xml:space="preserve">These information collections are contained in </w:t>
      </w:r>
      <w:r w:rsidR="001C7802">
        <w:t>Part 707</w:t>
      </w:r>
      <w:r>
        <w:t xml:space="preserve"> </w:t>
      </w:r>
      <w:r w:rsidR="00C01D8E">
        <w:t xml:space="preserve">and closely </w:t>
      </w:r>
      <w:r>
        <w:t xml:space="preserve">follow the </w:t>
      </w:r>
      <w:r w:rsidR="00745B32">
        <w:t>CFPB</w:t>
      </w:r>
      <w:r>
        <w:t xml:space="preserve">’s Regulation DD. </w:t>
      </w:r>
      <w:r w:rsidR="00885758" w:rsidRPr="00885758">
        <w:t>Notice of the proposed information collection</w:t>
      </w:r>
      <w:r w:rsidR="0031684A">
        <w:t xml:space="preserve"> and request for public comment </w:t>
      </w:r>
      <w:r w:rsidR="00885758" w:rsidRPr="00885758">
        <w:t xml:space="preserve">was published with a 60-day comment period in the Federal Register on </w:t>
      </w:r>
      <w:r w:rsidR="00885758">
        <w:lastRenderedPageBreak/>
        <w:t>August 5, 2013 (78 FR 47424</w:t>
      </w:r>
      <w:r w:rsidR="00885758" w:rsidRPr="00885758">
        <w:t xml:space="preserve">).  </w:t>
      </w:r>
    </w:p>
    <w:p w:rsidR="00DD38AA" w:rsidRDefault="00DD38AA" w:rsidP="00DD38AA">
      <w:pPr>
        <w:pStyle w:val="BodyText"/>
      </w:pPr>
    </w:p>
    <w:p w:rsidR="00DD38AA" w:rsidRDefault="00885758" w:rsidP="00DD38AA">
      <w:pPr>
        <w:pStyle w:val="BodyText"/>
        <w:rPr>
          <w:rFonts w:cs="Arial"/>
        </w:rPr>
      </w:pPr>
      <w:r w:rsidRPr="00885758">
        <w:t>NCUA receive</w:t>
      </w:r>
      <w:r>
        <w:t>d one</w:t>
      </w:r>
      <w:r w:rsidRPr="00885758">
        <w:t xml:space="preserve"> comment regarding the collection</w:t>
      </w:r>
      <w:r w:rsidR="00DD38AA">
        <w:t xml:space="preserve"> which requested “that credit unions should be allowed to make the disclosures required under Part 707 in electronic form wherever feasible”</w:t>
      </w:r>
      <w:r w:rsidRPr="00885758">
        <w:t>.</w:t>
      </w:r>
      <w:r w:rsidR="00DD38AA">
        <w:t xml:space="preserve">  The Truth in Savings Act requires NCUA to issue regulations substantially similar to any final rule promulgated by the CFPB, taking in to account the nature of credit unions.  See </w:t>
      </w:r>
      <w:r w:rsidR="00DD38AA" w:rsidRPr="00DD38AA">
        <w:rPr>
          <w:rFonts w:cs="Arial"/>
        </w:rPr>
        <w:t>12 U.S.C. 4311.  Under the CFPB’s Regulation DD and NCUA’s Part 707, financial institutions may provide the disclosures in electronic form, subject</w:t>
      </w:r>
      <w:r w:rsidR="00DD38AA">
        <w:rPr>
          <w:rFonts w:cs="Arial"/>
        </w:rPr>
        <w:t xml:space="preserve"> </w:t>
      </w:r>
      <w:r w:rsidR="00DD38AA" w:rsidRPr="00DD38AA">
        <w:rPr>
          <w:rFonts w:cs="Arial"/>
        </w:rPr>
        <w:t xml:space="preserve">to compliance with the consent and other applicable provisions of the Electronic Signatures in Global and National Commerce Act (E–Sign Act), 15 U.S.C. 7001 </w:t>
      </w:r>
      <w:r w:rsidR="00DD38AA" w:rsidRPr="00DD38AA">
        <w:rPr>
          <w:rFonts w:cs="Arial"/>
          <w:i/>
          <w:iCs/>
        </w:rPr>
        <w:t>et seq.</w:t>
      </w:r>
      <w:r w:rsidR="00DD38AA" w:rsidRPr="00DD38AA">
        <w:rPr>
          <w:rFonts w:cs="Arial"/>
        </w:rPr>
        <w:t xml:space="preserve">  </w:t>
      </w:r>
      <w:proofErr w:type="gramStart"/>
      <w:r w:rsidR="00DD38AA" w:rsidRPr="00DD38AA">
        <w:rPr>
          <w:rFonts w:cs="Arial"/>
        </w:rPr>
        <w:t>12 CFR §§ 707.3(a), 1030.3(a).</w:t>
      </w:r>
      <w:proofErr w:type="gramEnd"/>
      <w:r w:rsidR="00DD38AA" w:rsidRPr="00DD38AA">
        <w:rPr>
          <w:rFonts w:cs="Arial"/>
        </w:rPr>
        <w:t>  Issuing disclosures in electronic form might reduce the regulatory burden for credit unions, however NCUA does not track which credit unions provide electronic</w:t>
      </w:r>
      <w:r w:rsidR="00DD38AA">
        <w:rPr>
          <w:rFonts w:cs="Arial"/>
        </w:rPr>
        <w:t xml:space="preserve"> disclosures. </w:t>
      </w:r>
      <w:r w:rsidR="00DD38AA" w:rsidRPr="00DD38AA">
        <w:rPr>
          <w:rFonts w:cs="Arial"/>
        </w:rPr>
        <w:t>Therefore, the burden analysis was estimated based on paper disclosures under the regulation.</w:t>
      </w:r>
    </w:p>
    <w:p w:rsidR="00DD38AA" w:rsidRDefault="00DD38AA" w:rsidP="00DD38AA">
      <w:pPr>
        <w:pStyle w:val="BodyText"/>
        <w:rPr>
          <w:rFonts w:cs="Arial"/>
        </w:rPr>
      </w:pPr>
    </w:p>
    <w:p w:rsidR="00A66E9A" w:rsidRDefault="00A66E9A" w:rsidP="00DD38AA">
      <w:pPr>
        <w:pStyle w:val="BodyText"/>
      </w:pPr>
      <w:r>
        <w:t>9.</w:t>
      </w:r>
      <w:r>
        <w:tab/>
      </w:r>
      <w:r>
        <w:rPr>
          <w:u w:val="single"/>
        </w:rPr>
        <w:t>Payment to respondents:</w:t>
      </w:r>
    </w:p>
    <w:p w:rsidR="00A66E9A" w:rsidRDefault="00A66E9A" w:rsidP="00A66E9A">
      <w:pPr>
        <w:rPr>
          <w:rFonts w:ascii="Arial" w:hAnsi="Arial"/>
          <w:sz w:val="24"/>
        </w:rPr>
      </w:pPr>
    </w:p>
    <w:p w:rsidR="00A66E9A" w:rsidRDefault="00A66E9A" w:rsidP="00A66E9A">
      <w:pPr>
        <w:rPr>
          <w:rFonts w:ascii="Arial" w:hAnsi="Arial"/>
          <w:sz w:val="24"/>
        </w:rPr>
      </w:pPr>
      <w:r>
        <w:rPr>
          <w:rFonts w:ascii="Arial" w:hAnsi="Arial"/>
          <w:sz w:val="24"/>
        </w:rPr>
        <w:t xml:space="preserve">NCUA will make no payments to credit unions for this </w:t>
      </w:r>
      <w:r w:rsidR="00745B32">
        <w:rPr>
          <w:rFonts w:ascii="Arial" w:hAnsi="Arial"/>
          <w:sz w:val="24"/>
        </w:rPr>
        <w:t xml:space="preserve">information </w:t>
      </w:r>
      <w:r>
        <w:rPr>
          <w:rFonts w:ascii="Arial" w:hAnsi="Arial"/>
          <w:sz w:val="24"/>
        </w:rPr>
        <w:t>collection.</w:t>
      </w:r>
    </w:p>
    <w:p w:rsidR="00A66E9A" w:rsidRDefault="00A66E9A" w:rsidP="00A66E9A">
      <w:pPr>
        <w:rPr>
          <w:rFonts w:ascii="Arial" w:hAnsi="Arial"/>
          <w:sz w:val="24"/>
        </w:rPr>
      </w:pPr>
    </w:p>
    <w:p w:rsidR="00A66E9A" w:rsidRDefault="00A66E9A" w:rsidP="00A66E9A">
      <w:pPr>
        <w:rPr>
          <w:rFonts w:ascii="Arial" w:hAnsi="Arial"/>
          <w:sz w:val="24"/>
        </w:rPr>
      </w:pPr>
    </w:p>
    <w:p w:rsidR="00A66E9A" w:rsidRDefault="00A66E9A" w:rsidP="00A66E9A">
      <w:pPr>
        <w:tabs>
          <w:tab w:val="left" w:pos="-1440"/>
        </w:tabs>
        <w:ind w:left="720" w:hanging="720"/>
        <w:rPr>
          <w:rFonts w:ascii="Arial" w:hAnsi="Arial"/>
          <w:sz w:val="24"/>
        </w:rPr>
      </w:pPr>
      <w:r>
        <w:rPr>
          <w:rFonts w:ascii="Arial" w:hAnsi="Arial"/>
          <w:sz w:val="24"/>
        </w:rPr>
        <w:t>10.</w:t>
      </w:r>
      <w:r>
        <w:rPr>
          <w:rFonts w:ascii="Arial" w:hAnsi="Arial"/>
          <w:sz w:val="24"/>
        </w:rPr>
        <w:tab/>
      </w:r>
      <w:r>
        <w:rPr>
          <w:rFonts w:ascii="Arial" w:hAnsi="Arial"/>
          <w:sz w:val="24"/>
          <w:u w:val="single"/>
        </w:rPr>
        <w:t>Any assurance of confidentiality:</w:t>
      </w:r>
    </w:p>
    <w:p w:rsidR="00A66E9A" w:rsidRDefault="00A66E9A" w:rsidP="00A66E9A">
      <w:pPr>
        <w:rPr>
          <w:rFonts w:ascii="Arial" w:hAnsi="Arial"/>
          <w:sz w:val="24"/>
        </w:rPr>
      </w:pPr>
    </w:p>
    <w:p w:rsidR="00A66E9A" w:rsidRDefault="00A66E9A" w:rsidP="00A66E9A">
      <w:pPr>
        <w:rPr>
          <w:rFonts w:ascii="Arial" w:hAnsi="Arial"/>
          <w:sz w:val="24"/>
        </w:rPr>
      </w:pPr>
      <w:r>
        <w:rPr>
          <w:rFonts w:ascii="Arial" w:hAnsi="Arial"/>
          <w:sz w:val="24"/>
        </w:rPr>
        <w:t xml:space="preserve">Credit unions will not provide the information collected under the </w:t>
      </w:r>
      <w:r w:rsidR="00745B32">
        <w:rPr>
          <w:rFonts w:ascii="Arial" w:hAnsi="Arial"/>
          <w:sz w:val="24"/>
        </w:rPr>
        <w:t>Part 707</w:t>
      </w:r>
      <w:r>
        <w:rPr>
          <w:rFonts w:ascii="Arial" w:hAnsi="Arial"/>
          <w:sz w:val="24"/>
        </w:rPr>
        <w:t xml:space="preserve"> to NCUA.  Credit union members will receive disclosures of fees for their transactions on individual, personal periodic statements.  Additionally, credit unions will retain the information to prove compliance with TISA and the rule.</w:t>
      </w:r>
    </w:p>
    <w:p w:rsidR="00A66E9A" w:rsidRDefault="00A66E9A" w:rsidP="00A66E9A">
      <w:pPr>
        <w:rPr>
          <w:rFonts w:ascii="Arial" w:hAnsi="Arial"/>
          <w:sz w:val="24"/>
        </w:rPr>
      </w:pPr>
    </w:p>
    <w:p w:rsidR="00A66E9A" w:rsidRDefault="00A66E9A" w:rsidP="00A66E9A">
      <w:pPr>
        <w:rPr>
          <w:rFonts w:ascii="Arial" w:hAnsi="Arial"/>
          <w:sz w:val="24"/>
        </w:rPr>
      </w:pPr>
    </w:p>
    <w:p w:rsidR="00A66E9A" w:rsidRDefault="00A66E9A" w:rsidP="00A66E9A">
      <w:pPr>
        <w:tabs>
          <w:tab w:val="left" w:pos="-1440"/>
        </w:tabs>
        <w:ind w:left="720" w:hanging="720"/>
        <w:rPr>
          <w:rFonts w:ascii="Arial" w:hAnsi="Arial"/>
          <w:sz w:val="24"/>
        </w:rPr>
      </w:pPr>
      <w:r>
        <w:rPr>
          <w:rFonts w:ascii="Arial" w:hAnsi="Arial"/>
          <w:sz w:val="24"/>
        </w:rPr>
        <w:t>11.</w:t>
      </w:r>
      <w:r>
        <w:rPr>
          <w:rFonts w:ascii="Arial" w:hAnsi="Arial"/>
          <w:sz w:val="24"/>
        </w:rPr>
        <w:tab/>
      </w:r>
      <w:r>
        <w:rPr>
          <w:rFonts w:ascii="Arial" w:hAnsi="Arial"/>
          <w:sz w:val="24"/>
          <w:u w:val="single"/>
        </w:rPr>
        <w:t>Justification for questions of a sensitive nature:</w:t>
      </w:r>
    </w:p>
    <w:p w:rsidR="00A66E9A" w:rsidRDefault="00A66E9A" w:rsidP="00A66E9A">
      <w:pPr>
        <w:rPr>
          <w:rFonts w:ascii="Arial" w:hAnsi="Arial"/>
          <w:sz w:val="24"/>
        </w:rPr>
      </w:pPr>
    </w:p>
    <w:p w:rsidR="00A66E9A" w:rsidRDefault="00A66E9A" w:rsidP="00A66E9A">
      <w:pPr>
        <w:rPr>
          <w:rFonts w:ascii="Arial" w:hAnsi="Arial"/>
          <w:sz w:val="24"/>
        </w:rPr>
      </w:pPr>
      <w:r>
        <w:rPr>
          <w:rFonts w:ascii="Arial" w:hAnsi="Arial"/>
          <w:sz w:val="24"/>
        </w:rPr>
        <w:t>No questions of a sensitive nature are involved.</w:t>
      </w:r>
    </w:p>
    <w:p w:rsidR="009D5FBC" w:rsidRDefault="009D5FBC" w:rsidP="00A66E9A">
      <w:pPr>
        <w:rPr>
          <w:rFonts w:ascii="Arial" w:hAnsi="Arial"/>
          <w:sz w:val="24"/>
        </w:rPr>
      </w:pPr>
    </w:p>
    <w:p w:rsidR="003109CA" w:rsidRDefault="003109CA" w:rsidP="009D11AF">
      <w:pPr>
        <w:rPr>
          <w:rFonts w:ascii="Arial" w:hAnsi="Arial" w:cs="Arial"/>
          <w:sz w:val="24"/>
        </w:rPr>
      </w:pPr>
    </w:p>
    <w:p w:rsidR="009D11AF" w:rsidRPr="009D5FBC" w:rsidRDefault="009D11AF" w:rsidP="009D11AF">
      <w:pPr>
        <w:rPr>
          <w:rFonts w:ascii="Arial" w:hAnsi="Arial" w:cs="Arial"/>
          <w:sz w:val="24"/>
        </w:rPr>
      </w:pPr>
      <w:r w:rsidRPr="009D5FBC">
        <w:rPr>
          <w:rFonts w:ascii="Arial" w:hAnsi="Arial" w:cs="Arial"/>
          <w:sz w:val="24"/>
        </w:rPr>
        <w:t>12.</w:t>
      </w:r>
      <w:r w:rsidRPr="009D5FBC">
        <w:rPr>
          <w:rFonts w:ascii="Arial" w:hAnsi="Arial" w:cs="Arial"/>
          <w:sz w:val="24"/>
        </w:rPr>
        <w:tab/>
      </w:r>
      <w:r w:rsidRPr="009D5FBC">
        <w:rPr>
          <w:rFonts w:ascii="Arial" w:hAnsi="Arial" w:cs="Arial"/>
          <w:sz w:val="24"/>
          <w:u w:val="single"/>
        </w:rPr>
        <w:t>Burden estimate</w:t>
      </w:r>
      <w:r w:rsidRPr="009D5FBC">
        <w:rPr>
          <w:rFonts w:ascii="Arial" w:hAnsi="Arial" w:cs="Arial"/>
          <w:b/>
          <w:bCs/>
          <w:sz w:val="24"/>
          <w:u w:val="single"/>
          <w:vertAlign w:val="superscript"/>
        </w:rPr>
        <w:footnoteReference w:id="1"/>
      </w:r>
      <w:r w:rsidRPr="009D5FBC">
        <w:rPr>
          <w:rFonts w:ascii="Arial" w:hAnsi="Arial" w:cs="Arial"/>
          <w:sz w:val="24"/>
          <w:u w:val="single"/>
        </w:rPr>
        <w:t>:</w:t>
      </w:r>
    </w:p>
    <w:p w:rsidR="009D11AF" w:rsidRPr="009D5FBC" w:rsidRDefault="009D11AF" w:rsidP="009D11AF">
      <w:pPr>
        <w:rPr>
          <w:rFonts w:ascii="Arial" w:hAnsi="Arial" w:cs="Arial"/>
          <w:sz w:val="24"/>
        </w:rPr>
      </w:pPr>
    </w:p>
    <w:p w:rsidR="009D11AF" w:rsidRPr="009D5FBC" w:rsidRDefault="009D11AF" w:rsidP="009D11AF">
      <w:pPr>
        <w:rPr>
          <w:rFonts w:ascii="Arial" w:hAnsi="Arial" w:cs="Arial"/>
          <w:sz w:val="24"/>
        </w:rPr>
      </w:pPr>
      <w:r w:rsidRPr="009D5FBC">
        <w:rPr>
          <w:rFonts w:ascii="Arial" w:hAnsi="Arial" w:cs="Arial"/>
          <w:sz w:val="24"/>
        </w:rPr>
        <w:t>The estimated number of respondents includes the total number of credit unions based on the NCUA year-end call report data for 2012.  The Credit Union National Association, a national trade association, contributed to information regarding privately-insured credit unions.  The analysis assumes that all credit unions will collect the TISA information and therefore, be subject to this rule.</w:t>
      </w:r>
    </w:p>
    <w:p w:rsidR="009D11AF" w:rsidRPr="009D5FBC" w:rsidRDefault="009D11AF" w:rsidP="009D11AF">
      <w:pPr>
        <w:rPr>
          <w:rFonts w:ascii="Arial" w:hAnsi="Arial" w:cs="Arial"/>
          <w:sz w:val="24"/>
        </w:rPr>
      </w:pPr>
    </w:p>
    <w:p w:rsidR="009D5FBC" w:rsidRDefault="009D5FBC" w:rsidP="009D11AF">
      <w:pPr>
        <w:rPr>
          <w:rFonts w:ascii="Arial" w:hAnsi="Arial" w:cs="Arial"/>
          <w:b/>
          <w:bCs/>
          <w:sz w:val="24"/>
        </w:rPr>
      </w:pPr>
    </w:p>
    <w:p w:rsidR="009D5FBC" w:rsidRDefault="009D5FBC" w:rsidP="009D11AF">
      <w:pPr>
        <w:rPr>
          <w:rFonts w:ascii="Arial" w:hAnsi="Arial" w:cs="Arial"/>
          <w:b/>
          <w:bCs/>
          <w:sz w:val="24"/>
        </w:rPr>
      </w:pPr>
    </w:p>
    <w:p w:rsidR="009D11AF" w:rsidRPr="009D5FBC" w:rsidRDefault="009D11AF" w:rsidP="009D11AF">
      <w:pPr>
        <w:rPr>
          <w:rFonts w:ascii="Arial" w:hAnsi="Arial" w:cs="Arial"/>
          <w:b/>
          <w:bCs/>
          <w:sz w:val="24"/>
        </w:rPr>
      </w:pPr>
      <w:r w:rsidRPr="009D5FBC">
        <w:rPr>
          <w:rFonts w:ascii="Arial" w:hAnsi="Arial" w:cs="Arial"/>
          <w:b/>
          <w:bCs/>
          <w:sz w:val="24"/>
        </w:rPr>
        <w:t>Number of credit unions:</w:t>
      </w:r>
      <w:r w:rsidRPr="009D5FBC">
        <w:rPr>
          <w:rFonts w:ascii="Arial" w:hAnsi="Arial" w:cs="Arial"/>
          <w:b/>
          <w:bCs/>
          <w:sz w:val="24"/>
        </w:rPr>
        <w:tab/>
      </w:r>
      <w:r w:rsidRPr="009D5FBC">
        <w:rPr>
          <w:rFonts w:ascii="Arial" w:hAnsi="Arial" w:cs="Arial"/>
          <w:b/>
          <w:bCs/>
          <w:sz w:val="24"/>
        </w:rPr>
        <w:tab/>
      </w:r>
      <w:r w:rsidRPr="009D5FBC">
        <w:rPr>
          <w:rFonts w:ascii="Arial" w:hAnsi="Arial" w:cs="Arial"/>
          <w:b/>
          <w:bCs/>
          <w:sz w:val="24"/>
        </w:rPr>
        <w:tab/>
      </w:r>
      <w:r w:rsidRPr="009D5FBC">
        <w:rPr>
          <w:rFonts w:ascii="Arial" w:hAnsi="Arial" w:cs="Arial"/>
          <w:b/>
          <w:bCs/>
          <w:sz w:val="24"/>
        </w:rPr>
        <w:tab/>
      </w:r>
      <w:r w:rsidRPr="009D5FBC">
        <w:rPr>
          <w:rFonts w:ascii="Arial" w:hAnsi="Arial" w:cs="Arial"/>
          <w:b/>
          <w:bCs/>
          <w:sz w:val="24"/>
        </w:rPr>
        <w:tab/>
      </w:r>
      <w:r w:rsidRPr="009D5FBC">
        <w:rPr>
          <w:rFonts w:ascii="Arial" w:hAnsi="Arial" w:cs="Arial"/>
          <w:b/>
          <w:bCs/>
          <w:sz w:val="24"/>
        </w:rPr>
        <w:tab/>
      </w:r>
      <w:r w:rsidR="009D5FBC">
        <w:rPr>
          <w:rFonts w:ascii="Arial" w:hAnsi="Arial" w:cs="Arial"/>
          <w:b/>
          <w:bCs/>
          <w:sz w:val="24"/>
        </w:rPr>
        <w:tab/>
      </w:r>
      <w:r w:rsidRPr="009D5FBC">
        <w:rPr>
          <w:rFonts w:ascii="Arial" w:hAnsi="Arial" w:cs="Arial"/>
          <w:b/>
          <w:bCs/>
          <w:sz w:val="24"/>
        </w:rPr>
        <w:t>6859</w:t>
      </w:r>
    </w:p>
    <w:p w:rsidR="009D11AF" w:rsidRPr="009D5FBC" w:rsidRDefault="009D11AF" w:rsidP="009D11AF">
      <w:pPr>
        <w:rPr>
          <w:rFonts w:ascii="Arial" w:hAnsi="Arial" w:cs="Arial"/>
          <w:b/>
          <w:bCs/>
          <w:sz w:val="24"/>
        </w:rPr>
      </w:pPr>
    </w:p>
    <w:p w:rsidR="009D11AF" w:rsidRPr="009D5FBC" w:rsidRDefault="009D11AF" w:rsidP="009D11AF">
      <w:pPr>
        <w:rPr>
          <w:rFonts w:ascii="Arial" w:hAnsi="Arial" w:cs="Arial"/>
          <w:b/>
          <w:bCs/>
          <w:sz w:val="24"/>
        </w:rPr>
      </w:pPr>
      <w:r w:rsidRPr="009D5FBC">
        <w:rPr>
          <w:rFonts w:ascii="Arial" w:hAnsi="Arial" w:cs="Arial"/>
          <w:b/>
          <w:bCs/>
          <w:sz w:val="24"/>
        </w:rPr>
        <w:t>Federal credit unions:</w:t>
      </w:r>
      <w:r w:rsidRPr="009D5FBC">
        <w:rPr>
          <w:rFonts w:ascii="Arial" w:hAnsi="Arial" w:cs="Arial"/>
          <w:b/>
          <w:bCs/>
          <w:sz w:val="24"/>
        </w:rPr>
        <w:tab/>
      </w:r>
      <w:r w:rsidRPr="009D5FBC">
        <w:rPr>
          <w:rFonts w:ascii="Arial" w:hAnsi="Arial" w:cs="Arial"/>
          <w:b/>
          <w:bCs/>
          <w:sz w:val="24"/>
        </w:rPr>
        <w:tab/>
      </w:r>
      <w:r w:rsidRPr="009D5FBC">
        <w:rPr>
          <w:rFonts w:ascii="Arial" w:hAnsi="Arial" w:cs="Arial"/>
          <w:b/>
          <w:bCs/>
          <w:sz w:val="24"/>
        </w:rPr>
        <w:tab/>
      </w:r>
      <w:r w:rsidRPr="009D5FBC">
        <w:rPr>
          <w:rFonts w:ascii="Arial" w:hAnsi="Arial" w:cs="Arial"/>
          <w:b/>
          <w:bCs/>
          <w:sz w:val="24"/>
        </w:rPr>
        <w:tab/>
      </w:r>
      <w:r w:rsidRPr="009D5FBC">
        <w:rPr>
          <w:rFonts w:ascii="Arial" w:hAnsi="Arial" w:cs="Arial"/>
          <w:b/>
          <w:bCs/>
          <w:sz w:val="24"/>
        </w:rPr>
        <w:tab/>
      </w:r>
      <w:r w:rsidRPr="009D5FBC">
        <w:rPr>
          <w:rFonts w:ascii="Arial" w:hAnsi="Arial" w:cs="Arial"/>
          <w:b/>
          <w:bCs/>
          <w:sz w:val="24"/>
        </w:rPr>
        <w:tab/>
      </w:r>
      <w:r w:rsidR="009D5FBC">
        <w:rPr>
          <w:rFonts w:ascii="Arial" w:hAnsi="Arial" w:cs="Arial"/>
          <w:b/>
          <w:bCs/>
          <w:sz w:val="24"/>
        </w:rPr>
        <w:tab/>
      </w:r>
      <w:r w:rsidRPr="009D5FBC">
        <w:rPr>
          <w:rFonts w:ascii="Arial" w:hAnsi="Arial" w:cs="Arial"/>
          <w:b/>
          <w:bCs/>
          <w:sz w:val="24"/>
        </w:rPr>
        <w:t>4211</w:t>
      </w:r>
    </w:p>
    <w:p w:rsidR="009D11AF" w:rsidRPr="009D5FBC" w:rsidRDefault="009D11AF" w:rsidP="009D11AF">
      <w:pPr>
        <w:rPr>
          <w:rFonts w:ascii="Arial" w:hAnsi="Arial" w:cs="Arial"/>
          <w:b/>
          <w:bCs/>
          <w:sz w:val="24"/>
        </w:rPr>
      </w:pPr>
      <w:r w:rsidRPr="009D5FBC">
        <w:rPr>
          <w:rFonts w:ascii="Arial" w:hAnsi="Arial" w:cs="Arial"/>
          <w:b/>
          <w:bCs/>
          <w:sz w:val="24"/>
        </w:rPr>
        <w:t xml:space="preserve">  </w:t>
      </w:r>
    </w:p>
    <w:p w:rsidR="009D11AF" w:rsidRPr="009D5FBC" w:rsidRDefault="009D11AF" w:rsidP="009D11AF">
      <w:pPr>
        <w:rPr>
          <w:rFonts w:ascii="Arial" w:hAnsi="Arial" w:cs="Arial"/>
          <w:b/>
          <w:bCs/>
          <w:sz w:val="24"/>
        </w:rPr>
      </w:pPr>
      <w:r w:rsidRPr="009D5FBC">
        <w:rPr>
          <w:rFonts w:ascii="Arial" w:hAnsi="Arial" w:cs="Arial"/>
          <w:b/>
          <w:bCs/>
          <w:sz w:val="24"/>
        </w:rPr>
        <w:t>State chartered, federally-insured credit unions:</w:t>
      </w:r>
      <w:r w:rsidRPr="009D5FBC">
        <w:rPr>
          <w:rFonts w:ascii="Arial" w:hAnsi="Arial" w:cs="Arial"/>
          <w:b/>
          <w:bCs/>
          <w:sz w:val="24"/>
        </w:rPr>
        <w:tab/>
      </w:r>
      <w:r w:rsidRPr="009D5FBC">
        <w:rPr>
          <w:rFonts w:ascii="Arial" w:hAnsi="Arial" w:cs="Arial"/>
          <w:b/>
          <w:bCs/>
          <w:sz w:val="24"/>
        </w:rPr>
        <w:tab/>
      </w:r>
      <w:r w:rsidRPr="009D5FBC">
        <w:rPr>
          <w:rFonts w:ascii="Arial" w:hAnsi="Arial" w:cs="Arial"/>
          <w:b/>
          <w:bCs/>
          <w:sz w:val="24"/>
        </w:rPr>
        <w:tab/>
        <w:t>2507</w:t>
      </w:r>
    </w:p>
    <w:p w:rsidR="009D11AF" w:rsidRPr="009D5FBC" w:rsidRDefault="009D11AF" w:rsidP="009D11AF">
      <w:pPr>
        <w:rPr>
          <w:rFonts w:ascii="Arial" w:hAnsi="Arial" w:cs="Arial"/>
          <w:b/>
          <w:bCs/>
          <w:sz w:val="24"/>
        </w:rPr>
      </w:pPr>
      <w:r w:rsidRPr="009D5FBC">
        <w:rPr>
          <w:rFonts w:ascii="Arial" w:hAnsi="Arial" w:cs="Arial"/>
          <w:b/>
          <w:bCs/>
          <w:sz w:val="24"/>
        </w:rPr>
        <w:t xml:space="preserve">                                       </w:t>
      </w:r>
    </w:p>
    <w:p w:rsidR="009D11AF" w:rsidRPr="009D5FBC" w:rsidRDefault="009D11AF" w:rsidP="009D11AF">
      <w:pPr>
        <w:rPr>
          <w:rFonts w:ascii="Arial" w:hAnsi="Arial" w:cs="Arial"/>
          <w:b/>
          <w:bCs/>
          <w:sz w:val="24"/>
        </w:rPr>
      </w:pPr>
      <w:r w:rsidRPr="009D5FBC">
        <w:rPr>
          <w:rFonts w:ascii="Arial" w:hAnsi="Arial" w:cs="Arial"/>
          <w:b/>
          <w:bCs/>
          <w:sz w:val="24"/>
        </w:rPr>
        <w:t>State chartered, privately-insured credit unions:</w:t>
      </w:r>
      <w:r w:rsidRPr="009D5FBC">
        <w:rPr>
          <w:rFonts w:ascii="Arial" w:hAnsi="Arial" w:cs="Arial"/>
          <w:b/>
          <w:bCs/>
          <w:sz w:val="24"/>
        </w:rPr>
        <w:tab/>
      </w:r>
      <w:r w:rsidRPr="009D5FBC">
        <w:rPr>
          <w:rFonts w:ascii="Arial" w:hAnsi="Arial" w:cs="Arial"/>
          <w:b/>
          <w:bCs/>
          <w:sz w:val="24"/>
        </w:rPr>
        <w:tab/>
      </w:r>
      <w:r w:rsidRPr="009D5FBC">
        <w:rPr>
          <w:rFonts w:ascii="Arial" w:hAnsi="Arial" w:cs="Arial"/>
          <w:b/>
          <w:bCs/>
          <w:sz w:val="24"/>
        </w:rPr>
        <w:tab/>
        <w:t>141</w:t>
      </w:r>
    </w:p>
    <w:p w:rsidR="009D11AF" w:rsidRPr="009D5FBC" w:rsidRDefault="009D11AF" w:rsidP="009D11AF">
      <w:pPr>
        <w:rPr>
          <w:rFonts w:ascii="Arial" w:hAnsi="Arial" w:cs="Arial"/>
          <w:b/>
          <w:bCs/>
          <w:sz w:val="24"/>
        </w:rPr>
      </w:pPr>
    </w:p>
    <w:p w:rsidR="009D11AF" w:rsidRPr="009D5FBC" w:rsidRDefault="009D11AF" w:rsidP="009D11AF">
      <w:pPr>
        <w:rPr>
          <w:rFonts w:ascii="Arial" w:hAnsi="Arial" w:cs="Arial"/>
          <w:b/>
          <w:bCs/>
          <w:sz w:val="24"/>
        </w:rPr>
      </w:pPr>
      <w:r w:rsidRPr="009D5FBC">
        <w:rPr>
          <w:rFonts w:ascii="Arial" w:hAnsi="Arial" w:cs="Arial"/>
          <w:b/>
          <w:bCs/>
          <w:sz w:val="24"/>
        </w:rPr>
        <w:t>Number of credit unions with assets under $10 million:</w:t>
      </w:r>
      <w:r w:rsidRPr="009D5FBC">
        <w:rPr>
          <w:rFonts w:ascii="Arial" w:hAnsi="Arial" w:cs="Arial"/>
          <w:b/>
          <w:bCs/>
          <w:sz w:val="24"/>
        </w:rPr>
        <w:tab/>
      </w:r>
      <w:r w:rsidRPr="009D5FBC">
        <w:rPr>
          <w:rFonts w:ascii="Arial" w:hAnsi="Arial" w:cs="Arial"/>
          <w:b/>
          <w:bCs/>
          <w:sz w:val="24"/>
        </w:rPr>
        <w:tab/>
        <w:t>2339</w:t>
      </w:r>
    </w:p>
    <w:p w:rsidR="009D11AF" w:rsidRPr="009D5FBC" w:rsidRDefault="009D11AF" w:rsidP="009D11AF">
      <w:pPr>
        <w:rPr>
          <w:rFonts w:ascii="Arial" w:hAnsi="Arial" w:cs="Arial"/>
          <w:b/>
          <w:bCs/>
          <w:sz w:val="24"/>
        </w:rPr>
      </w:pPr>
    </w:p>
    <w:p w:rsidR="009D11AF" w:rsidRPr="009D5FBC" w:rsidRDefault="009D11AF" w:rsidP="009D11AF">
      <w:pPr>
        <w:rPr>
          <w:rFonts w:ascii="Arial" w:hAnsi="Arial" w:cs="Arial"/>
          <w:b/>
          <w:bCs/>
          <w:sz w:val="24"/>
        </w:rPr>
      </w:pPr>
      <w:r w:rsidRPr="009D5FBC">
        <w:rPr>
          <w:rFonts w:ascii="Arial" w:hAnsi="Arial" w:cs="Arial"/>
          <w:b/>
          <w:bCs/>
          <w:sz w:val="24"/>
        </w:rPr>
        <w:t>One-time burden</w:t>
      </w:r>
      <w:r w:rsidRPr="009D5FBC">
        <w:rPr>
          <w:rFonts w:ascii="Arial" w:hAnsi="Arial" w:cs="Arial"/>
          <w:b/>
          <w:bCs/>
          <w:sz w:val="24"/>
          <w:vertAlign w:val="superscript"/>
        </w:rPr>
        <w:footnoteReference w:id="2"/>
      </w:r>
      <w:r w:rsidRPr="009D5FBC">
        <w:rPr>
          <w:rFonts w:ascii="Arial" w:hAnsi="Arial" w:cs="Arial"/>
          <w:b/>
          <w:bCs/>
          <w:sz w:val="24"/>
        </w:rPr>
        <w:t>:</w:t>
      </w:r>
    </w:p>
    <w:p w:rsidR="009D11AF" w:rsidRPr="009D5FBC" w:rsidRDefault="009D11AF" w:rsidP="009D11AF">
      <w:pPr>
        <w:rPr>
          <w:rFonts w:ascii="Arial" w:hAnsi="Arial" w:cs="Arial"/>
          <w:b/>
          <w:bCs/>
          <w:sz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94"/>
        <w:gridCol w:w="2394"/>
        <w:gridCol w:w="2394"/>
        <w:gridCol w:w="2394"/>
      </w:tblGrid>
      <w:tr w:rsidR="009D11AF" w:rsidRPr="009D5FBC" w:rsidTr="004F7845">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bCs/>
                <w:sz w:val="24"/>
              </w:rPr>
            </w:pP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bCs/>
                <w:sz w:val="24"/>
              </w:rPr>
            </w:pPr>
            <w:r w:rsidRPr="009D5FBC">
              <w:rPr>
                <w:rFonts w:ascii="Arial" w:hAnsi="Arial" w:cs="Arial"/>
                <w:b/>
                <w:bCs/>
                <w:sz w:val="24"/>
              </w:rPr>
              <w:t>Responses subject to requirement</w:t>
            </w:r>
          </w:p>
          <w:p w:rsidR="009D11AF" w:rsidRPr="009D5FBC" w:rsidRDefault="009D11AF" w:rsidP="004F7845">
            <w:pPr>
              <w:rPr>
                <w:rFonts w:ascii="Arial" w:hAnsi="Arial" w:cs="Arial"/>
                <w:b/>
                <w:bCs/>
                <w:sz w:val="24"/>
              </w:rPr>
            </w:pPr>
          </w:p>
        </w:tc>
        <w:tc>
          <w:tcPr>
            <w:tcW w:w="2394" w:type="dxa"/>
            <w:tcBorders>
              <w:top w:val="dotted" w:sz="4" w:space="0" w:color="auto"/>
              <w:left w:val="dotted" w:sz="4" w:space="0" w:color="auto"/>
              <w:bottom w:val="dotted" w:sz="4" w:space="0" w:color="auto"/>
              <w:right w:val="dotted" w:sz="4" w:space="0" w:color="auto"/>
            </w:tcBorders>
            <w:hideMark/>
          </w:tcPr>
          <w:p w:rsidR="009D11AF" w:rsidRPr="009D5FBC" w:rsidRDefault="009D11AF" w:rsidP="004F7845">
            <w:pPr>
              <w:rPr>
                <w:rFonts w:ascii="Arial" w:hAnsi="Arial" w:cs="Arial"/>
                <w:b/>
                <w:bCs/>
                <w:sz w:val="24"/>
              </w:rPr>
            </w:pPr>
            <w:r w:rsidRPr="009D5FBC">
              <w:rPr>
                <w:rFonts w:ascii="Arial" w:hAnsi="Arial" w:cs="Arial"/>
                <w:b/>
                <w:bCs/>
                <w:sz w:val="24"/>
              </w:rPr>
              <w:t>Estimated time per response</w:t>
            </w:r>
          </w:p>
        </w:tc>
        <w:tc>
          <w:tcPr>
            <w:tcW w:w="2394" w:type="dxa"/>
            <w:tcBorders>
              <w:top w:val="dotted" w:sz="4" w:space="0" w:color="auto"/>
              <w:left w:val="dotted" w:sz="4" w:space="0" w:color="auto"/>
              <w:bottom w:val="dotted" w:sz="4" w:space="0" w:color="auto"/>
              <w:right w:val="dotted" w:sz="4" w:space="0" w:color="auto"/>
            </w:tcBorders>
            <w:hideMark/>
          </w:tcPr>
          <w:p w:rsidR="009D11AF" w:rsidRPr="009D5FBC" w:rsidRDefault="009D11AF" w:rsidP="004F7845">
            <w:pPr>
              <w:rPr>
                <w:rFonts w:ascii="Arial" w:hAnsi="Arial" w:cs="Arial"/>
                <w:b/>
                <w:bCs/>
                <w:sz w:val="24"/>
              </w:rPr>
            </w:pPr>
            <w:r w:rsidRPr="009D5FBC">
              <w:rPr>
                <w:rFonts w:ascii="Arial" w:hAnsi="Arial" w:cs="Arial"/>
                <w:b/>
                <w:bCs/>
                <w:sz w:val="24"/>
              </w:rPr>
              <w:t>Annual reporting burden</w:t>
            </w:r>
          </w:p>
        </w:tc>
      </w:tr>
      <w:tr w:rsidR="009D11AF" w:rsidRPr="009D5FBC" w:rsidTr="004F7845">
        <w:tc>
          <w:tcPr>
            <w:tcW w:w="2394" w:type="dxa"/>
            <w:tcBorders>
              <w:top w:val="dotted" w:sz="4" w:space="0" w:color="auto"/>
              <w:left w:val="dotted" w:sz="4" w:space="0" w:color="auto"/>
              <w:bottom w:val="dotted" w:sz="4" w:space="0" w:color="auto"/>
              <w:right w:val="dotted" w:sz="4" w:space="0" w:color="auto"/>
            </w:tcBorders>
            <w:hideMark/>
          </w:tcPr>
          <w:p w:rsidR="009D11AF" w:rsidRPr="009D5FBC" w:rsidRDefault="009D11AF" w:rsidP="004F7845">
            <w:pPr>
              <w:rPr>
                <w:rFonts w:ascii="Arial" w:hAnsi="Arial" w:cs="Arial"/>
                <w:b/>
                <w:bCs/>
                <w:sz w:val="24"/>
              </w:rPr>
            </w:pPr>
            <w:r w:rsidRPr="009D5FBC">
              <w:rPr>
                <w:rFonts w:ascii="Arial" w:hAnsi="Arial" w:cs="Arial"/>
                <w:b/>
                <w:bCs/>
                <w:sz w:val="24"/>
              </w:rPr>
              <w:t>Notice to existing accountholders</w:t>
            </w:r>
            <w:r w:rsidRPr="009D5FBC">
              <w:rPr>
                <w:rFonts w:ascii="Arial" w:hAnsi="Arial" w:cs="Arial"/>
                <w:b/>
                <w:bCs/>
                <w:sz w:val="24"/>
                <w:vertAlign w:val="superscript"/>
              </w:rPr>
              <w:footnoteReference w:id="3"/>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bCs/>
                <w:sz w:val="24"/>
              </w:rPr>
            </w:pPr>
          </w:p>
          <w:p w:rsidR="009D11AF" w:rsidRPr="009D5FBC" w:rsidRDefault="009D11AF" w:rsidP="004F7845">
            <w:pPr>
              <w:rPr>
                <w:rFonts w:ascii="Arial" w:hAnsi="Arial" w:cs="Arial"/>
                <w:b/>
                <w:bCs/>
                <w:sz w:val="24"/>
              </w:rPr>
            </w:pPr>
            <w:r w:rsidRPr="009D5FBC">
              <w:rPr>
                <w:rFonts w:ascii="Arial" w:hAnsi="Arial" w:cs="Arial"/>
                <w:b/>
                <w:bCs/>
                <w:sz w:val="24"/>
              </w:rPr>
              <w:t>95,032,999</w:t>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bCs/>
                <w:sz w:val="24"/>
              </w:rPr>
            </w:pPr>
          </w:p>
          <w:p w:rsidR="009D11AF" w:rsidRPr="009D5FBC" w:rsidRDefault="009D11AF" w:rsidP="004F7845">
            <w:pPr>
              <w:rPr>
                <w:rFonts w:ascii="Arial" w:hAnsi="Arial" w:cs="Arial"/>
                <w:b/>
                <w:bCs/>
                <w:sz w:val="24"/>
              </w:rPr>
            </w:pPr>
            <w:r w:rsidRPr="009D5FBC">
              <w:rPr>
                <w:rFonts w:ascii="Arial" w:hAnsi="Arial" w:cs="Arial"/>
                <w:b/>
                <w:bCs/>
                <w:sz w:val="24"/>
              </w:rPr>
              <w:t>1.5 minutes</w:t>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bCs/>
                <w:sz w:val="24"/>
              </w:rPr>
            </w:pPr>
          </w:p>
          <w:p w:rsidR="009D11AF" w:rsidRPr="009D5FBC" w:rsidRDefault="009D11AF" w:rsidP="004F7845">
            <w:pPr>
              <w:rPr>
                <w:rFonts w:ascii="Arial" w:hAnsi="Arial" w:cs="Arial"/>
                <w:b/>
                <w:bCs/>
                <w:sz w:val="24"/>
              </w:rPr>
            </w:pPr>
            <w:r w:rsidRPr="009D5FBC">
              <w:rPr>
                <w:rFonts w:ascii="Arial" w:hAnsi="Arial" w:cs="Arial"/>
                <w:b/>
                <w:bCs/>
                <w:sz w:val="24"/>
              </w:rPr>
              <w:t>2,375,825 hours</w:t>
            </w:r>
          </w:p>
          <w:p w:rsidR="009D11AF" w:rsidRPr="009D5FBC" w:rsidRDefault="009D11AF" w:rsidP="004F7845">
            <w:pPr>
              <w:rPr>
                <w:rFonts w:ascii="Arial" w:hAnsi="Arial" w:cs="Arial"/>
                <w:b/>
                <w:bCs/>
                <w:sz w:val="24"/>
              </w:rPr>
            </w:pPr>
          </w:p>
        </w:tc>
      </w:tr>
      <w:tr w:rsidR="009D11AF" w:rsidRPr="009D5FBC" w:rsidTr="004F7845">
        <w:tc>
          <w:tcPr>
            <w:tcW w:w="2394" w:type="dxa"/>
            <w:tcBorders>
              <w:top w:val="dotted" w:sz="4" w:space="0" w:color="auto"/>
              <w:left w:val="dotted" w:sz="4" w:space="0" w:color="auto"/>
              <w:bottom w:val="dotted" w:sz="4" w:space="0" w:color="auto"/>
              <w:right w:val="dotted" w:sz="4" w:space="0" w:color="auto"/>
            </w:tcBorders>
            <w:hideMark/>
          </w:tcPr>
          <w:p w:rsidR="009D11AF" w:rsidRPr="009D5FBC" w:rsidRDefault="009D11AF" w:rsidP="004F7845">
            <w:pPr>
              <w:rPr>
                <w:rFonts w:ascii="Arial" w:hAnsi="Arial" w:cs="Arial"/>
                <w:b/>
                <w:bCs/>
                <w:sz w:val="24"/>
              </w:rPr>
            </w:pPr>
            <w:r w:rsidRPr="009D5FBC">
              <w:rPr>
                <w:rFonts w:ascii="Arial" w:hAnsi="Arial" w:cs="Arial"/>
                <w:b/>
                <w:bCs/>
                <w:sz w:val="24"/>
              </w:rPr>
              <w:t>Initial training and education of staff</w:t>
            </w:r>
            <w:r w:rsidRPr="009D5FBC">
              <w:rPr>
                <w:rFonts w:ascii="Arial" w:hAnsi="Arial" w:cs="Arial"/>
                <w:b/>
                <w:bCs/>
                <w:sz w:val="24"/>
                <w:vertAlign w:val="superscript"/>
              </w:rPr>
              <w:footnoteReference w:id="4"/>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bCs/>
                <w:sz w:val="24"/>
              </w:rPr>
            </w:pPr>
          </w:p>
          <w:p w:rsidR="009D11AF" w:rsidRPr="009D5FBC" w:rsidRDefault="009D11AF" w:rsidP="004F7845">
            <w:pPr>
              <w:rPr>
                <w:rFonts w:ascii="Arial" w:hAnsi="Arial" w:cs="Arial"/>
                <w:b/>
                <w:bCs/>
                <w:sz w:val="24"/>
              </w:rPr>
            </w:pPr>
            <w:r w:rsidRPr="009D5FBC">
              <w:rPr>
                <w:rFonts w:ascii="Arial" w:hAnsi="Arial" w:cs="Arial"/>
                <w:b/>
                <w:bCs/>
                <w:sz w:val="24"/>
              </w:rPr>
              <w:t>13,718</w:t>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bCs/>
                <w:sz w:val="24"/>
              </w:rPr>
            </w:pPr>
          </w:p>
          <w:p w:rsidR="009D11AF" w:rsidRPr="009D5FBC" w:rsidRDefault="009D11AF" w:rsidP="004F7845">
            <w:pPr>
              <w:rPr>
                <w:rFonts w:ascii="Arial" w:hAnsi="Arial" w:cs="Arial"/>
                <w:b/>
                <w:bCs/>
                <w:sz w:val="24"/>
              </w:rPr>
            </w:pPr>
            <w:r w:rsidRPr="009D5FBC">
              <w:rPr>
                <w:rFonts w:ascii="Arial" w:hAnsi="Arial" w:cs="Arial"/>
                <w:b/>
                <w:bCs/>
                <w:sz w:val="24"/>
              </w:rPr>
              <w:t>16 hours</w:t>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bCs/>
                <w:sz w:val="24"/>
              </w:rPr>
            </w:pPr>
          </w:p>
          <w:p w:rsidR="009D11AF" w:rsidRPr="009D5FBC" w:rsidRDefault="009D11AF" w:rsidP="004F7845">
            <w:pPr>
              <w:rPr>
                <w:rFonts w:ascii="Arial" w:hAnsi="Arial" w:cs="Arial"/>
                <w:b/>
                <w:bCs/>
                <w:sz w:val="24"/>
              </w:rPr>
            </w:pPr>
            <w:r w:rsidRPr="009D5FBC">
              <w:rPr>
                <w:rFonts w:ascii="Arial" w:hAnsi="Arial" w:cs="Arial"/>
                <w:b/>
                <w:bCs/>
                <w:sz w:val="24"/>
              </w:rPr>
              <w:t>219,488 hours</w:t>
            </w:r>
          </w:p>
          <w:p w:rsidR="009D11AF" w:rsidRPr="009D5FBC" w:rsidRDefault="009D11AF" w:rsidP="004F7845">
            <w:pPr>
              <w:rPr>
                <w:rFonts w:ascii="Arial" w:hAnsi="Arial" w:cs="Arial"/>
                <w:b/>
                <w:bCs/>
                <w:sz w:val="24"/>
              </w:rPr>
            </w:pPr>
          </w:p>
        </w:tc>
      </w:tr>
      <w:tr w:rsidR="009D11AF" w:rsidRPr="009D5FBC" w:rsidTr="004F7845">
        <w:tc>
          <w:tcPr>
            <w:tcW w:w="2394" w:type="dxa"/>
            <w:tcBorders>
              <w:top w:val="dotted" w:sz="4" w:space="0" w:color="auto"/>
              <w:left w:val="dotted" w:sz="4" w:space="0" w:color="auto"/>
              <w:bottom w:val="dotted" w:sz="4" w:space="0" w:color="auto"/>
              <w:right w:val="dotted" w:sz="4" w:space="0" w:color="auto"/>
            </w:tcBorders>
            <w:hideMark/>
          </w:tcPr>
          <w:p w:rsidR="009D11AF" w:rsidRPr="009D5FBC" w:rsidRDefault="009D11AF" w:rsidP="004F7845">
            <w:pPr>
              <w:rPr>
                <w:rFonts w:ascii="Arial" w:hAnsi="Arial" w:cs="Arial"/>
                <w:b/>
                <w:bCs/>
                <w:sz w:val="24"/>
              </w:rPr>
            </w:pPr>
            <w:r w:rsidRPr="009D5FBC">
              <w:rPr>
                <w:rFonts w:ascii="Arial" w:hAnsi="Arial" w:cs="Arial"/>
                <w:b/>
                <w:bCs/>
                <w:sz w:val="24"/>
              </w:rPr>
              <w:t>System updates</w:t>
            </w:r>
            <w:r w:rsidRPr="009D5FBC">
              <w:rPr>
                <w:rFonts w:ascii="Arial" w:hAnsi="Arial" w:cs="Arial"/>
                <w:b/>
                <w:bCs/>
                <w:sz w:val="24"/>
                <w:vertAlign w:val="superscript"/>
              </w:rPr>
              <w:footnoteReference w:id="5"/>
            </w:r>
          </w:p>
        </w:tc>
        <w:tc>
          <w:tcPr>
            <w:tcW w:w="2394" w:type="dxa"/>
            <w:tcBorders>
              <w:top w:val="dotted" w:sz="4" w:space="0" w:color="auto"/>
              <w:left w:val="dotted" w:sz="4" w:space="0" w:color="auto"/>
              <w:bottom w:val="dotted" w:sz="4" w:space="0" w:color="auto"/>
              <w:right w:val="dotted" w:sz="4" w:space="0" w:color="auto"/>
            </w:tcBorders>
            <w:hideMark/>
          </w:tcPr>
          <w:p w:rsidR="009D11AF" w:rsidRPr="009D5FBC" w:rsidRDefault="009D11AF" w:rsidP="004F7845">
            <w:pPr>
              <w:rPr>
                <w:rFonts w:ascii="Arial" w:hAnsi="Arial" w:cs="Arial"/>
                <w:b/>
                <w:bCs/>
                <w:sz w:val="24"/>
              </w:rPr>
            </w:pPr>
            <w:r w:rsidRPr="009D5FBC">
              <w:rPr>
                <w:rFonts w:ascii="Arial" w:hAnsi="Arial" w:cs="Arial"/>
                <w:b/>
                <w:bCs/>
                <w:sz w:val="24"/>
              </w:rPr>
              <w:t>6859</w:t>
            </w:r>
          </w:p>
        </w:tc>
        <w:tc>
          <w:tcPr>
            <w:tcW w:w="2394" w:type="dxa"/>
            <w:tcBorders>
              <w:top w:val="dotted" w:sz="4" w:space="0" w:color="auto"/>
              <w:left w:val="dotted" w:sz="4" w:space="0" w:color="auto"/>
              <w:bottom w:val="dotted" w:sz="4" w:space="0" w:color="auto"/>
              <w:right w:val="dotted" w:sz="4" w:space="0" w:color="auto"/>
            </w:tcBorders>
            <w:hideMark/>
          </w:tcPr>
          <w:p w:rsidR="009D11AF" w:rsidRPr="009D5FBC" w:rsidRDefault="009D11AF" w:rsidP="004F7845">
            <w:pPr>
              <w:rPr>
                <w:rFonts w:ascii="Arial" w:hAnsi="Arial" w:cs="Arial"/>
                <w:b/>
                <w:bCs/>
                <w:sz w:val="24"/>
              </w:rPr>
            </w:pPr>
            <w:r w:rsidRPr="009D5FBC">
              <w:rPr>
                <w:rFonts w:ascii="Arial" w:hAnsi="Arial" w:cs="Arial"/>
                <w:b/>
                <w:bCs/>
                <w:sz w:val="24"/>
              </w:rPr>
              <w:t>8 hours</w:t>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bCs/>
                <w:sz w:val="24"/>
              </w:rPr>
            </w:pPr>
            <w:r w:rsidRPr="009D5FBC">
              <w:rPr>
                <w:rFonts w:ascii="Arial" w:hAnsi="Arial" w:cs="Arial"/>
                <w:b/>
                <w:bCs/>
                <w:sz w:val="24"/>
              </w:rPr>
              <w:t>54,872 hours</w:t>
            </w:r>
          </w:p>
          <w:p w:rsidR="009D11AF" w:rsidRPr="009D5FBC" w:rsidRDefault="009D11AF" w:rsidP="004F7845">
            <w:pPr>
              <w:rPr>
                <w:rFonts w:ascii="Arial" w:hAnsi="Arial" w:cs="Arial"/>
                <w:b/>
                <w:bCs/>
                <w:sz w:val="24"/>
              </w:rPr>
            </w:pPr>
          </w:p>
        </w:tc>
      </w:tr>
      <w:tr w:rsidR="009D11AF" w:rsidRPr="009D5FBC" w:rsidTr="004F7845">
        <w:tc>
          <w:tcPr>
            <w:tcW w:w="2394" w:type="dxa"/>
            <w:tcBorders>
              <w:top w:val="dotted" w:sz="4" w:space="0" w:color="auto"/>
              <w:left w:val="dotted" w:sz="4" w:space="0" w:color="auto"/>
              <w:bottom w:val="dotted" w:sz="4" w:space="0" w:color="auto"/>
              <w:right w:val="dotted" w:sz="4" w:space="0" w:color="auto"/>
            </w:tcBorders>
            <w:hideMark/>
          </w:tcPr>
          <w:p w:rsidR="009D11AF" w:rsidRPr="009D5FBC" w:rsidRDefault="009D11AF" w:rsidP="004F7845">
            <w:pPr>
              <w:rPr>
                <w:rFonts w:ascii="Arial" w:hAnsi="Arial" w:cs="Arial"/>
                <w:b/>
                <w:bCs/>
                <w:sz w:val="24"/>
              </w:rPr>
            </w:pPr>
            <w:r w:rsidRPr="009D5FBC">
              <w:rPr>
                <w:rFonts w:ascii="Arial" w:hAnsi="Arial" w:cs="Arial"/>
                <w:b/>
                <w:bCs/>
                <w:sz w:val="24"/>
              </w:rPr>
              <w:t>Advertising updates</w:t>
            </w:r>
            <w:r w:rsidRPr="009D5FBC">
              <w:rPr>
                <w:rFonts w:ascii="Arial" w:hAnsi="Arial" w:cs="Arial"/>
                <w:b/>
                <w:bCs/>
                <w:sz w:val="24"/>
                <w:vertAlign w:val="superscript"/>
              </w:rPr>
              <w:footnoteReference w:id="6"/>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bCs/>
                <w:sz w:val="24"/>
              </w:rPr>
            </w:pPr>
          </w:p>
          <w:p w:rsidR="009D11AF" w:rsidRPr="009D5FBC" w:rsidRDefault="009D11AF" w:rsidP="004F7845">
            <w:pPr>
              <w:rPr>
                <w:rFonts w:ascii="Arial" w:hAnsi="Arial" w:cs="Arial"/>
                <w:b/>
                <w:bCs/>
                <w:sz w:val="24"/>
              </w:rPr>
            </w:pPr>
            <w:r w:rsidRPr="009D5FBC">
              <w:rPr>
                <w:rFonts w:ascii="Arial" w:hAnsi="Arial" w:cs="Arial"/>
                <w:b/>
                <w:bCs/>
                <w:sz w:val="24"/>
              </w:rPr>
              <w:t>6859</w:t>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bCs/>
                <w:sz w:val="24"/>
              </w:rPr>
            </w:pPr>
          </w:p>
          <w:p w:rsidR="009D11AF" w:rsidRPr="009D5FBC" w:rsidRDefault="009D11AF" w:rsidP="004F7845">
            <w:pPr>
              <w:rPr>
                <w:rFonts w:ascii="Arial" w:hAnsi="Arial" w:cs="Arial"/>
                <w:b/>
                <w:bCs/>
                <w:sz w:val="24"/>
              </w:rPr>
            </w:pPr>
            <w:r w:rsidRPr="009D5FBC">
              <w:rPr>
                <w:rFonts w:ascii="Arial" w:hAnsi="Arial" w:cs="Arial"/>
                <w:b/>
                <w:bCs/>
                <w:sz w:val="24"/>
              </w:rPr>
              <w:t>16 hours</w:t>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bCs/>
                <w:sz w:val="24"/>
              </w:rPr>
            </w:pPr>
          </w:p>
          <w:p w:rsidR="009D11AF" w:rsidRPr="009D5FBC" w:rsidRDefault="009D11AF" w:rsidP="004F7845">
            <w:pPr>
              <w:rPr>
                <w:rFonts w:ascii="Arial" w:hAnsi="Arial" w:cs="Arial"/>
                <w:b/>
                <w:bCs/>
                <w:sz w:val="24"/>
              </w:rPr>
            </w:pPr>
            <w:r w:rsidRPr="009D5FBC">
              <w:rPr>
                <w:rFonts w:ascii="Arial" w:hAnsi="Arial" w:cs="Arial"/>
                <w:b/>
                <w:bCs/>
                <w:sz w:val="24"/>
              </w:rPr>
              <w:t>109,744 hours</w:t>
            </w:r>
          </w:p>
        </w:tc>
      </w:tr>
      <w:tr w:rsidR="009D11AF" w:rsidRPr="009D5FBC" w:rsidTr="004F7845">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bCs/>
                <w:sz w:val="24"/>
              </w:rPr>
            </w:pPr>
          </w:p>
          <w:p w:rsidR="009D11AF" w:rsidRPr="009D5FBC" w:rsidRDefault="009D11AF" w:rsidP="004F7845">
            <w:pPr>
              <w:rPr>
                <w:rFonts w:ascii="Arial" w:hAnsi="Arial" w:cs="Arial"/>
                <w:b/>
                <w:bCs/>
                <w:sz w:val="24"/>
              </w:rPr>
            </w:pPr>
            <w:r w:rsidRPr="009D5FBC">
              <w:rPr>
                <w:rFonts w:ascii="Arial" w:hAnsi="Arial" w:cs="Arial"/>
                <w:b/>
                <w:bCs/>
                <w:sz w:val="24"/>
              </w:rPr>
              <w:t xml:space="preserve">Total </w:t>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bCs/>
                <w:sz w:val="24"/>
              </w:rPr>
            </w:pP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bCs/>
                <w:sz w:val="24"/>
              </w:rPr>
            </w:pP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bCs/>
                <w:sz w:val="24"/>
              </w:rPr>
            </w:pPr>
          </w:p>
          <w:p w:rsidR="009D11AF" w:rsidRPr="009D5FBC" w:rsidRDefault="009D11AF" w:rsidP="004F7845">
            <w:pPr>
              <w:rPr>
                <w:rFonts w:ascii="Arial" w:hAnsi="Arial" w:cs="Arial"/>
                <w:b/>
                <w:bCs/>
                <w:sz w:val="24"/>
              </w:rPr>
            </w:pPr>
            <w:r w:rsidRPr="009D5FBC">
              <w:rPr>
                <w:rFonts w:ascii="Arial" w:hAnsi="Arial" w:cs="Arial"/>
                <w:b/>
                <w:bCs/>
                <w:sz w:val="24"/>
              </w:rPr>
              <w:t>2,759,929 hours</w:t>
            </w:r>
          </w:p>
        </w:tc>
      </w:tr>
    </w:tbl>
    <w:p w:rsidR="009D11AF" w:rsidRPr="009D5FBC" w:rsidRDefault="009D11AF" w:rsidP="009D11AF">
      <w:pPr>
        <w:rPr>
          <w:rFonts w:ascii="Arial" w:hAnsi="Arial" w:cs="Arial"/>
          <w:b/>
          <w:bCs/>
          <w:sz w:val="24"/>
        </w:rPr>
      </w:pPr>
    </w:p>
    <w:p w:rsidR="009D11AF" w:rsidRPr="009D5FBC" w:rsidRDefault="009D11AF" w:rsidP="009D11AF">
      <w:pPr>
        <w:rPr>
          <w:rFonts w:ascii="Arial" w:hAnsi="Arial" w:cs="Arial"/>
          <w:sz w:val="24"/>
        </w:rPr>
      </w:pPr>
    </w:p>
    <w:p w:rsidR="009D11AF" w:rsidRPr="009D5FBC" w:rsidRDefault="009D11AF" w:rsidP="009D11AF">
      <w:pPr>
        <w:rPr>
          <w:rFonts w:ascii="Arial" w:hAnsi="Arial" w:cs="Arial"/>
          <w:sz w:val="24"/>
        </w:rPr>
      </w:pPr>
    </w:p>
    <w:p w:rsidR="009D5FBC" w:rsidRDefault="009D5FBC" w:rsidP="009D11AF">
      <w:pPr>
        <w:rPr>
          <w:rFonts w:ascii="Arial" w:hAnsi="Arial" w:cs="Arial"/>
          <w:b/>
          <w:sz w:val="24"/>
        </w:rPr>
      </w:pPr>
    </w:p>
    <w:p w:rsidR="009D5FBC" w:rsidRDefault="009D5FBC" w:rsidP="009D11AF">
      <w:pPr>
        <w:rPr>
          <w:rFonts w:ascii="Arial" w:hAnsi="Arial" w:cs="Arial"/>
          <w:b/>
          <w:sz w:val="24"/>
        </w:rPr>
      </w:pPr>
    </w:p>
    <w:p w:rsidR="009D5FBC" w:rsidRDefault="009D5FBC" w:rsidP="009D11AF">
      <w:pPr>
        <w:rPr>
          <w:rFonts w:ascii="Arial" w:hAnsi="Arial" w:cs="Arial"/>
          <w:b/>
          <w:sz w:val="24"/>
        </w:rPr>
      </w:pPr>
    </w:p>
    <w:p w:rsidR="009D5FBC" w:rsidRDefault="009D5FBC" w:rsidP="009D11AF">
      <w:pPr>
        <w:rPr>
          <w:rFonts w:ascii="Arial" w:hAnsi="Arial" w:cs="Arial"/>
          <w:b/>
          <w:sz w:val="24"/>
        </w:rPr>
      </w:pPr>
    </w:p>
    <w:p w:rsidR="009D5FBC" w:rsidRDefault="009D5FBC" w:rsidP="009D11AF">
      <w:pPr>
        <w:rPr>
          <w:rFonts w:ascii="Arial" w:hAnsi="Arial" w:cs="Arial"/>
          <w:b/>
          <w:sz w:val="24"/>
        </w:rPr>
      </w:pPr>
    </w:p>
    <w:p w:rsidR="009D11AF" w:rsidRPr="009D5FBC" w:rsidRDefault="009D11AF" w:rsidP="009D11AF">
      <w:pPr>
        <w:rPr>
          <w:rFonts w:ascii="Arial" w:hAnsi="Arial" w:cs="Arial"/>
          <w:b/>
          <w:sz w:val="24"/>
        </w:rPr>
      </w:pPr>
      <w:r w:rsidRPr="009D5FBC">
        <w:rPr>
          <w:rFonts w:ascii="Arial" w:hAnsi="Arial" w:cs="Arial"/>
          <w:b/>
          <w:sz w:val="24"/>
        </w:rPr>
        <w:t>Continuing Annual Burden:</w:t>
      </w:r>
    </w:p>
    <w:p w:rsidR="009D11AF" w:rsidRPr="009D5FBC" w:rsidRDefault="009D11AF" w:rsidP="009D11AF">
      <w:pPr>
        <w:rPr>
          <w:rFonts w:ascii="Arial" w:hAnsi="Arial" w:cs="Arial"/>
          <w:b/>
          <w:sz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94"/>
        <w:gridCol w:w="2394"/>
        <w:gridCol w:w="2394"/>
        <w:gridCol w:w="2394"/>
      </w:tblGrid>
      <w:tr w:rsidR="009D11AF" w:rsidRPr="009D5FBC" w:rsidTr="004F7845">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bCs/>
                <w:sz w:val="24"/>
              </w:rPr>
            </w:pPr>
          </w:p>
        </w:tc>
        <w:tc>
          <w:tcPr>
            <w:tcW w:w="2394" w:type="dxa"/>
            <w:tcBorders>
              <w:top w:val="dotted" w:sz="4" w:space="0" w:color="auto"/>
              <w:left w:val="dotted" w:sz="4" w:space="0" w:color="auto"/>
              <w:bottom w:val="dotted" w:sz="4" w:space="0" w:color="auto"/>
              <w:right w:val="dotted" w:sz="4" w:space="0" w:color="auto"/>
            </w:tcBorders>
            <w:hideMark/>
          </w:tcPr>
          <w:p w:rsidR="009D11AF" w:rsidRPr="009D5FBC" w:rsidRDefault="009D11AF" w:rsidP="004F7845">
            <w:pPr>
              <w:rPr>
                <w:rFonts w:ascii="Arial" w:hAnsi="Arial" w:cs="Arial"/>
                <w:b/>
                <w:bCs/>
                <w:sz w:val="24"/>
              </w:rPr>
            </w:pPr>
            <w:r w:rsidRPr="009D5FBC">
              <w:rPr>
                <w:rFonts w:ascii="Arial" w:hAnsi="Arial" w:cs="Arial"/>
                <w:b/>
                <w:bCs/>
                <w:sz w:val="24"/>
              </w:rPr>
              <w:t>Responses subject to requirement</w:t>
            </w:r>
          </w:p>
        </w:tc>
        <w:tc>
          <w:tcPr>
            <w:tcW w:w="2394" w:type="dxa"/>
            <w:tcBorders>
              <w:top w:val="dotted" w:sz="4" w:space="0" w:color="auto"/>
              <w:left w:val="dotted" w:sz="4" w:space="0" w:color="auto"/>
              <w:bottom w:val="dotted" w:sz="4" w:space="0" w:color="auto"/>
              <w:right w:val="dotted" w:sz="4" w:space="0" w:color="auto"/>
            </w:tcBorders>
            <w:hideMark/>
          </w:tcPr>
          <w:p w:rsidR="009D11AF" w:rsidRPr="009D5FBC" w:rsidRDefault="009D11AF" w:rsidP="004F7845">
            <w:pPr>
              <w:rPr>
                <w:rFonts w:ascii="Arial" w:hAnsi="Arial" w:cs="Arial"/>
                <w:b/>
                <w:bCs/>
                <w:sz w:val="24"/>
              </w:rPr>
            </w:pPr>
            <w:r w:rsidRPr="009D5FBC">
              <w:rPr>
                <w:rFonts w:ascii="Arial" w:hAnsi="Arial" w:cs="Arial"/>
                <w:b/>
                <w:bCs/>
                <w:sz w:val="24"/>
              </w:rPr>
              <w:t>Estimated time per response</w:t>
            </w:r>
          </w:p>
        </w:tc>
        <w:tc>
          <w:tcPr>
            <w:tcW w:w="2394" w:type="dxa"/>
            <w:tcBorders>
              <w:top w:val="dotted" w:sz="4" w:space="0" w:color="auto"/>
              <w:left w:val="dotted" w:sz="4" w:space="0" w:color="auto"/>
              <w:bottom w:val="dotted" w:sz="4" w:space="0" w:color="auto"/>
              <w:right w:val="dotted" w:sz="4" w:space="0" w:color="auto"/>
            </w:tcBorders>
            <w:hideMark/>
          </w:tcPr>
          <w:p w:rsidR="009D11AF" w:rsidRPr="009D5FBC" w:rsidRDefault="009D11AF" w:rsidP="004F7845">
            <w:pPr>
              <w:rPr>
                <w:rFonts w:ascii="Arial" w:hAnsi="Arial" w:cs="Arial"/>
                <w:b/>
                <w:bCs/>
                <w:sz w:val="24"/>
              </w:rPr>
            </w:pPr>
            <w:r w:rsidRPr="009D5FBC">
              <w:rPr>
                <w:rFonts w:ascii="Arial" w:hAnsi="Arial" w:cs="Arial"/>
                <w:b/>
                <w:bCs/>
                <w:sz w:val="24"/>
              </w:rPr>
              <w:t>Annual reporting burden</w:t>
            </w:r>
          </w:p>
        </w:tc>
      </w:tr>
      <w:tr w:rsidR="009D11AF" w:rsidRPr="009D5FBC" w:rsidTr="004F7845">
        <w:trPr>
          <w:trHeight w:val="773"/>
        </w:trPr>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sz w:val="24"/>
              </w:rPr>
            </w:pPr>
            <w:r w:rsidRPr="009D5FBC">
              <w:rPr>
                <w:rFonts w:ascii="Arial" w:hAnsi="Arial" w:cs="Arial"/>
                <w:b/>
                <w:sz w:val="24"/>
              </w:rPr>
              <w:t>New account/requested disclosures</w:t>
            </w:r>
            <w:r w:rsidRPr="009D5FBC">
              <w:rPr>
                <w:rFonts w:ascii="Arial" w:hAnsi="Arial" w:cs="Arial"/>
                <w:b/>
                <w:sz w:val="24"/>
                <w:vertAlign w:val="superscript"/>
              </w:rPr>
              <w:footnoteReference w:id="7"/>
            </w:r>
          </w:p>
          <w:p w:rsidR="009D11AF" w:rsidRPr="009D5FBC" w:rsidRDefault="009D11AF" w:rsidP="004F7845">
            <w:pPr>
              <w:rPr>
                <w:rFonts w:ascii="Arial" w:hAnsi="Arial" w:cs="Arial"/>
                <w:b/>
                <w:sz w:val="24"/>
              </w:rPr>
            </w:pP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sz w:val="24"/>
              </w:rPr>
            </w:pPr>
          </w:p>
          <w:p w:rsidR="009D11AF" w:rsidRPr="009D5FBC" w:rsidRDefault="009D11AF" w:rsidP="004F7845">
            <w:pPr>
              <w:rPr>
                <w:rFonts w:ascii="Arial" w:hAnsi="Arial" w:cs="Arial"/>
                <w:b/>
                <w:sz w:val="24"/>
              </w:rPr>
            </w:pPr>
            <w:r w:rsidRPr="009D5FBC">
              <w:rPr>
                <w:rFonts w:ascii="Arial" w:hAnsi="Arial" w:cs="Arial"/>
                <w:b/>
                <w:sz w:val="24"/>
              </w:rPr>
              <w:t>1,988,244</w:t>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sz w:val="24"/>
              </w:rPr>
            </w:pPr>
          </w:p>
          <w:p w:rsidR="009D11AF" w:rsidRPr="009D5FBC" w:rsidRDefault="009D11AF" w:rsidP="004F7845">
            <w:pPr>
              <w:rPr>
                <w:rFonts w:ascii="Arial" w:hAnsi="Arial" w:cs="Arial"/>
                <w:b/>
                <w:sz w:val="24"/>
              </w:rPr>
            </w:pPr>
            <w:r w:rsidRPr="009D5FBC">
              <w:rPr>
                <w:rFonts w:ascii="Arial" w:hAnsi="Arial" w:cs="Arial"/>
                <w:b/>
                <w:sz w:val="24"/>
              </w:rPr>
              <w:t>5 minutes</w:t>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sz w:val="24"/>
              </w:rPr>
            </w:pPr>
          </w:p>
          <w:p w:rsidR="009D11AF" w:rsidRPr="009D5FBC" w:rsidRDefault="009D11AF" w:rsidP="004F7845">
            <w:pPr>
              <w:rPr>
                <w:rFonts w:ascii="Arial" w:hAnsi="Arial" w:cs="Arial"/>
                <w:b/>
                <w:sz w:val="24"/>
              </w:rPr>
            </w:pPr>
            <w:r w:rsidRPr="009D5FBC">
              <w:rPr>
                <w:rFonts w:ascii="Arial" w:hAnsi="Arial" w:cs="Arial"/>
                <w:b/>
                <w:sz w:val="24"/>
              </w:rPr>
              <w:t>165,687 hours</w:t>
            </w:r>
          </w:p>
        </w:tc>
      </w:tr>
      <w:tr w:rsidR="009D11AF" w:rsidRPr="009D5FBC" w:rsidTr="004F7845">
        <w:tc>
          <w:tcPr>
            <w:tcW w:w="2394" w:type="dxa"/>
            <w:tcBorders>
              <w:top w:val="dotted" w:sz="4" w:space="0" w:color="auto"/>
              <w:left w:val="dotted" w:sz="4" w:space="0" w:color="auto"/>
              <w:bottom w:val="dotted" w:sz="4" w:space="0" w:color="auto"/>
              <w:right w:val="dotted" w:sz="4" w:space="0" w:color="auto"/>
            </w:tcBorders>
            <w:hideMark/>
          </w:tcPr>
          <w:p w:rsidR="009D11AF" w:rsidRPr="009D5FBC" w:rsidRDefault="009D11AF" w:rsidP="004F7845">
            <w:pPr>
              <w:rPr>
                <w:rFonts w:ascii="Arial" w:hAnsi="Arial" w:cs="Arial"/>
                <w:b/>
                <w:sz w:val="24"/>
              </w:rPr>
            </w:pPr>
            <w:r w:rsidRPr="009D5FBC">
              <w:rPr>
                <w:rFonts w:ascii="Arial" w:hAnsi="Arial" w:cs="Arial"/>
                <w:sz w:val="24"/>
              </w:rPr>
              <w:br w:type="page"/>
            </w:r>
            <w:r w:rsidRPr="009D5FBC">
              <w:rPr>
                <w:rFonts w:ascii="Arial" w:hAnsi="Arial" w:cs="Arial"/>
                <w:b/>
                <w:sz w:val="24"/>
              </w:rPr>
              <w:t>Term account renewal notices</w:t>
            </w:r>
            <w:r w:rsidRPr="009D5FBC">
              <w:rPr>
                <w:rFonts w:ascii="Arial" w:hAnsi="Arial" w:cs="Arial"/>
                <w:b/>
                <w:sz w:val="24"/>
                <w:vertAlign w:val="superscript"/>
              </w:rPr>
              <w:footnoteReference w:id="8"/>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sz w:val="24"/>
              </w:rPr>
            </w:pPr>
          </w:p>
          <w:p w:rsidR="009D11AF" w:rsidRPr="009D5FBC" w:rsidRDefault="009D11AF" w:rsidP="004F7845">
            <w:pPr>
              <w:rPr>
                <w:rFonts w:ascii="Arial" w:hAnsi="Arial" w:cs="Arial"/>
                <w:b/>
                <w:sz w:val="24"/>
              </w:rPr>
            </w:pPr>
            <w:r w:rsidRPr="009D5FBC">
              <w:rPr>
                <w:rFonts w:ascii="Arial" w:hAnsi="Arial" w:cs="Arial"/>
                <w:b/>
                <w:sz w:val="24"/>
              </w:rPr>
              <w:t>7,112,023</w:t>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sz w:val="24"/>
              </w:rPr>
            </w:pPr>
          </w:p>
          <w:p w:rsidR="009D11AF" w:rsidRPr="009D5FBC" w:rsidRDefault="009D11AF" w:rsidP="004F7845">
            <w:pPr>
              <w:rPr>
                <w:rFonts w:ascii="Arial" w:hAnsi="Arial" w:cs="Arial"/>
                <w:b/>
                <w:sz w:val="24"/>
              </w:rPr>
            </w:pPr>
            <w:r w:rsidRPr="009D5FBC">
              <w:rPr>
                <w:rFonts w:ascii="Arial" w:hAnsi="Arial" w:cs="Arial"/>
                <w:b/>
                <w:sz w:val="24"/>
              </w:rPr>
              <w:t>1 minute</w:t>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sz w:val="24"/>
              </w:rPr>
            </w:pPr>
          </w:p>
          <w:p w:rsidR="009D11AF" w:rsidRPr="009D5FBC" w:rsidRDefault="009D11AF" w:rsidP="004F7845">
            <w:pPr>
              <w:rPr>
                <w:rFonts w:ascii="Arial" w:hAnsi="Arial" w:cs="Arial"/>
                <w:b/>
                <w:sz w:val="24"/>
              </w:rPr>
            </w:pPr>
            <w:r w:rsidRPr="009D5FBC">
              <w:rPr>
                <w:rFonts w:ascii="Arial" w:hAnsi="Arial" w:cs="Arial"/>
                <w:b/>
                <w:sz w:val="24"/>
              </w:rPr>
              <w:t>118,534 hours</w:t>
            </w:r>
          </w:p>
          <w:p w:rsidR="009D11AF" w:rsidRPr="009D5FBC" w:rsidRDefault="009D11AF" w:rsidP="004F7845">
            <w:pPr>
              <w:rPr>
                <w:rFonts w:ascii="Arial" w:hAnsi="Arial" w:cs="Arial"/>
                <w:b/>
                <w:sz w:val="24"/>
              </w:rPr>
            </w:pPr>
          </w:p>
        </w:tc>
      </w:tr>
      <w:tr w:rsidR="009D11AF" w:rsidRPr="009D5FBC" w:rsidTr="004F7845">
        <w:tc>
          <w:tcPr>
            <w:tcW w:w="2394" w:type="dxa"/>
            <w:tcBorders>
              <w:top w:val="dotted" w:sz="4" w:space="0" w:color="auto"/>
              <w:left w:val="dotted" w:sz="4" w:space="0" w:color="auto"/>
              <w:bottom w:val="dotted" w:sz="4" w:space="0" w:color="auto"/>
              <w:right w:val="dotted" w:sz="4" w:space="0" w:color="auto"/>
            </w:tcBorders>
            <w:hideMark/>
          </w:tcPr>
          <w:p w:rsidR="009D11AF" w:rsidRPr="009D5FBC" w:rsidRDefault="009D11AF" w:rsidP="004F7845">
            <w:pPr>
              <w:rPr>
                <w:rFonts w:ascii="Arial" w:hAnsi="Arial" w:cs="Arial"/>
                <w:b/>
                <w:sz w:val="24"/>
              </w:rPr>
            </w:pPr>
            <w:r w:rsidRPr="009D5FBC">
              <w:rPr>
                <w:rFonts w:ascii="Arial" w:hAnsi="Arial" w:cs="Arial"/>
                <w:b/>
                <w:sz w:val="24"/>
              </w:rPr>
              <w:t>Change-in-term notices</w:t>
            </w:r>
            <w:r w:rsidRPr="009D5FBC">
              <w:rPr>
                <w:rFonts w:ascii="Arial" w:hAnsi="Arial" w:cs="Arial"/>
                <w:b/>
                <w:sz w:val="24"/>
                <w:vertAlign w:val="superscript"/>
              </w:rPr>
              <w:footnoteReference w:id="9"/>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sz w:val="24"/>
              </w:rPr>
            </w:pPr>
          </w:p>
          <w:p w:rsidR="009D11AF" w:rsidRPr="009D5FBC" w:rsidRDefault="009D11AF" w:rsidP="004F7845">
            <w:pPr>
              <w:rPr>
                <w:rFonts w:ascii="Arial" w:hAnsi="Arial" w:cs="Arial"/>
                <w:b/>
                <w:sz w:val="24"/>
              </w:rPr>
            </w:pPr>
            <w:r w:rsidRPr="009D5FBC">
              <w:rPr>
                <w:rFonts w:ascii="Arial" w:hAnsi="Arial" w:cs="Arial"/>
                <w:b/>
                <w:sz w:val="24"/>
              </w:rPr>
              <w:t>23,758,250</w:t>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sz w:val="24"/>
              </w:rPr>
            </w:pPr>
          </w:p>
          <w:p w:rsidR="009D11AF" w:rsidRPr="009D5FBC" w:rsidRDefault="009D11AF" w:rsidP="004F7845">
            <w:pPr>
              <w:rPr>
                <w:rFonts w:ascii="Arial" w:hAnsi="Arial" w:cs="Arial"/>
                <w:b/>
                <w:sz w:val="24"/>
              </w:rPr>
            </w:pPr>
            <w:r w:rsidRPr="009D5FBC">
              <w:rPr>
                <w:rFonts w:ascii="Arial" w:hAnsi="Arial" w:cs="Arial"/>
                <w:b/>
                <w:sz w:val="24"/>
              </w:rPr>
              <w:t>1 minute</w:t>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sz w:val="24"/>
              </w:rPr>
            </w:pPr>
          </w:p>
          <w:p w:rsidR="009D11AF" w:rsidRPr="009D5FBC" w:rsidRDefault="009D11AF" w:rsidP="004F7845">
            <w:pPr>
              <w:rPr>
                <w:rFonts w:ascii="Arial" w:hAnsi="Arial" w:cs="Arial"/>
                <w:b/>
                <w:sz w:val="24"/>
              </w:rPr>
            </w:pPr>
            <w:r w:rsidRPr="009D5FBC">
              <w:rPr>
                <w:rFonts w:ascii="Arial" w:hAnsi="Arial" w:cs="Arial"/>
                <w:b/>
                <w:sz w:val="24"/>
              </w:rPr>
              <w:t>395,971 hours</w:t>
            </w:r>
          </w:p>
          <w:p w:rsidR="009D11AF" w:rsidRPr="009D5FBC" w:rsidRDefault="009D11AF" w:rsidP="004F7845">
            <w:pPr>
              <w:rPr>
                <w:rFonts w:ascii="Arial" w:hAnsi="Arial" w:cs="Arial"/>
                <w:b/>
                <w:sz w:val="24"/>
              </w:rPr>
            </w:pPr>
          </w:p>
        </w:tc>
      </w:tr>
      <w:tr w:rsidR="009D11AF" w:rsidRPr="009D5FBC" w:rsidTr="004F7845">
        <w:tc>
          <w:tcPr>
            <w:tcW w:w="2394" w:type="dxa"/>
            <w:tcBorders>
              <w:top w:val="dotted" w:sz="4" w:space="0" w:color="auto"/>
              <w:left w:val="dotted" w:sz="4" w:space="0" w:color="auto"/>
              <w:bottom w:val="dotted" w:sz="4" w:space="0" w:color="auto"/>
              <w:right w:val="dotted" w:sz="4" w:space="0" w:color="auto"/>
            </w:tcBorders>
            <w:hideMark/>
          </w:tcPr>
          <w:p w:rsidR="009D11AF" w:rsidRPr="009D5FBC" w:rsidRDefault="009D11AF" w:rsidP="004F7845">
            <w:pPr>
              <w:rPr>
                <w:rFonts w:ascii="Arial" w:hAnsi="Arial" w:cs="Arial"/>
                <w:b/>
                <w:sz w:val="24"/>
              </w:rPr>
            </w:pPr>
            <w:r w:rsidRPr="009D5FBC">
              <w:rPr>
                <w:rFonts w:ascii="Arial" w:hAnsi="Arial" w:cs="Arial"/>
                <w:b/>
                <w:sz w:val="24"/>
              </w:rPr>
              <w:t>Periodic Statements</w:t>
            </w:r>
            <w:r w:rsidRPr="009D5FBC">
              <w:rPr>
                <w:rFonts w:ascii="Arial" w:hAnsi="Arial" w:cs="Arial"/>
                <w:b/>
                <w:sz w:val="24"/>
                <w:vertAlign w:val="superscript"/>
              </w:rPr>
              <w:footnoteReference w:id="10"/>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sz w:val="24"/>
              </w:rPr>
            </w:pPr>
          </w:p>
          <w:p w:rsidR="009D11AF" w:rsidRPr="009D5FBC" w:rsidRDefault="009D11AF" w:rsidP="004F7845">
            <w:pPr>
              <w:rPr>
                <w:rFonts w:ascii="Arial" w:hAnsi="Arial" w:cs="Arial"/>
                <w:b/>
                <w:sz w:val="24"/>
              </w:rPr>
            </w:pPr>
            <w:r w:rsidRPr="009D5FBC">
              <w:rPr>
                <w:rFonts w:ascii="Arial" w:hAnsi="Arial" w:cs="Arial"/>
                <w:b/>
                <w:sz w:val="24"/>
              </w:rPr>
              <w:t>380,131,996</w:t>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sz w:val="24"/>
              </w:rPr>
            </w:pPr>
          </w:p>
          <w:p w:rsidR="009D11AF" w:rsidRPr="009D5FBC" w:rsidRDefault="009D11AF" w:rsidP="004F7845">
            <w:pPr>
              <w:rPr>
                <w:rFonts w:ascii="Arial" w:hAnsi="Arial" w:cs="Arial"/>
                <w:b/>
                <w:sz w:val="24"/>
              </w:rPr>
            </w:pPr>
            <w:r w:rsidRPr="009D5FBC">
              <w:rPr>
                <w:rFonts w:ascii="Arial" w:hAnsi="Arial" w:cs="Arial"/>
                <w:b/>
                <w:sz w:val="24"/>
              </w:rPr>
              <w:t>1 minute</w:t>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sz w:val="24"/>
              </w:rPr>
            </w:pPr>
          </w:p>
          <w:p w:rsidR="009D11AF" w:rsidRPr="009D5FBC" w:rsidRDefault="009D11AF" w:rsidP="004F7845">
            <w:pPr>
              <w:rPr>
                <w:rFonts w:ascii="Arial" w:hAnsi="Arial" w:cs="Arial"/>
                <w:b/>
                <w:sz w:val="24"/>
              </w:rPr>
            </w:pPr>
            <w:r w:rsidRPr="009D5FBC">
              <w:rPr>
                <w:rFonts w:ascii="Arial" w:hAnsi="Arial" w:cs="Arial"/>
                <w:b/>
                <w:sz w:val="24"/>
              </w:rPr>
              <w:t>6,335,533 hours</w:t>
            </w:r>
          </w:p>
          <w:p w:rsidR="009D11AF" w:rsidRPr="009D5FBC" w:rsidRDefault="009D11AF" w:rsidP="004F7845">
            <w:pPr>
              <w:rPr>
                <w:rFonts w:ascii="Arial" w:hAnsi="Arial" w:cs="Arial"/>
                <w:b/>
                <w:sz w:val="24"/>
              </w:rPr>
            </w:pPr>
          </w:p>
        </w:tc>
      </w:tr>
      <w:tr w:rsidR="009D11AF" w:rsidRPr="009D5FBC" w:rsidTr="004F7845">
        <w:tc>
          <w:tcPr>
            <w:tcW w:w="2394" w:type="dxa"/>
            <w:tcBorders>
              <w:top w:val="dotted" w:sz="4" w:space="0" w:color="auto"/>
              <w:left w:val="dotted" w:sz="4" w:space="0" w:color="auto"/>
              <w:bottom w:val="dotted" w:sz="4" w:space="0" w:color="auto"/>
              <w:right w:val="dotted" w:sz="4" w:space="0" w:color="auto"/>
            </w:tcBorders>
            <w:hideMark/>
          </w:tcPr>
          <w:p w:rsidR="009D11AF" w:rsidRPr="009D5FBC" w:rsidRDefault="009D11AF" w:rsidP="004F7845">
            <w:pPr>
              <w:rPr>
                <w:rFonts w:ascii="Arial" w:hAnsi="Arial" w:cs="Arial"/>
                <w:b/>
                <w:sz w:val="24"/>
              </w:rPr>
            </w:pPr>
            <w:r w:rsidRPr="009D5FBC">
              <w:rPr>
                <w:rFonts w:ascii="Arial" w:hAnsi="Arial" w:cs="Arial"/>
                <w:b/>
                <w:sz w:val="24"/>
              </w:rPr>
              <w:t>Advertising</w:t>
            </w:r>
            <w:r w:rsidRPr="009D5FBC">
              <w:rPr>
                <w:rFonts w:ascii="Arial" w:hAnsi="Arial" w:cs="Arial"/>
                <w:b/>
                <w:sz w:val="24"/>
                <w:vertAlign w:val="superscript"/>
              </w:rPr>
              <w:footnoteReference w:id="11"/>
            </w:r>
          </w:p>
        </w:tc>
        <w:tc>
          <w:tcPr>
            <w:tcW w:w="2394" w:type="dxa"/>
            <w:tcBorders>
              <w:top w:val="dotted" w:sz="4" w:space="0" w:color="auto"/>
              <w:left w:val="dotted" w:sz="4" w:space="0" w:color="auto"/>
              <w:bottom w:val="dotted" w:sz="4" w:space="0" w:color="auto"/>
              <w:right w:val="dotted" w:sz="4" w:space="0" w:color="auto"/>
            </w:tcBorders>
            <w:hideMark/>
          </w:tcPr>
          <w:p w:rsidR="009D11AF" w:rsidRPr="009D5FBC" w:rsidRDefault="009D11AF" w:rsidP="004F7845">
            <w:pPr>
              <w:rPr>
                <w:rFonts w:ascii="Arial" w:hAnsi="Arial" w:cs="Arial"/>
                <w:b/>
                <w:sz w:val="24"/>
              </w:rPr>
            </w:pPr>
            <w:r w:rsidRPr="009D5FBC">
              <w:rPr>
                <w:rFonts w:ascii="Arial" w:hAnsi="Arial" w:cs="Arial"/>
                <w:b/>
                <w:sz w:val="24"/>
              </w:rPr>
              <w:t>6859</w:t>
            </w:r>
          </w:p>
        </w:tc>
        <w:tc>
          <w:tcPr>
            <w:tcW w:w="2394" w:type="dxa"/>
            <w:tcBorders>
              <w:top w:val="dotted" w:sz="4" w:space="0" w:color="auto"/>
              <w:left w:val="dotted" w:sz="4" w:space="0" w:color="auto"/>
              <w:bottom w:val="dotted" w:sz="4" w:space="0" w:color="auto"/>
              <w:right w:val="dotted" w:sz="4" w:space="0" w:color="auto"/>
            </w:tcBorders>
            <w:hideMark/>
          </w:tcPr>
          <w:p w:rsidR="009D11AF" w:rsidRPr="009D5FBC" w:rsidRDefault="009D11AF" w:rsidP="004F7845">
            <w:pPr>
              <w:rPr>
                <w:rFonts w:ascii="Arial" w:hAnsi="Arial" w:cs="Arial"/>
                <w:b/>
                <w:sz w:val="24"/>
              </w:rPr>
            </w:pPr>
            <w:r w:rsidRPr="009D5FBC">
              <w:rPr>
                <w:rFonts w:ascii="Arial" w:hAnsi="Arial" w:cs="Arial"/>
                <w:b/>
                <w:sz w:val="24"/>
              </w:rPr>
              <w:t>10 hours</w:t>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sz w:val="24"/>
              </w:rPr>
            </w:pPr>
            <w:r w:rsidRPr="009D5FBC">
              <w:rPr>
                <w:rFonts w:ascii="Arial" w:hAnsi="Arial" w:cs="Arial"/>
                <w:b/>
                <w:sz w:val="24"/>
              </w:rPr>
              <w:t>68,590 hours</w:t>
            </w:r>
          </w:p>
          <w:p w:rsidR="009D11AF" w:rsidRPr="009D5FBC" w:rsidRDefault="009D11AF" w:rsidP="004F7845">
            <w:pPr>
              <w:rPr>
                <w:rFonts w:ascii="Arial" w:hAnsi="Arial" w:cs="Arial"/>
                <w:b/>
                <w:sz w:val="24"/>
              </w:rPr>
            </w:pPr>
          </w:p>
        </w:tc>
      </w:tr>
      <w:tr w:rsidR="009D11AF" w:rsidRPr="009D5FBC" w:rsidTr="004F7845">
        <w:tc>
          <w:tcPr>
            <w:tcW w:w="2394" w:type="dxa"/>
            <w:tcBorders>
              <w:top w:val="dotted" w:sz="4" w:space="0" w:color="auto"/>
              <w:left w:val="dotted" w:sz="4" w:space="0" w:color="auto"/>
              <w:bottom w:val="dotted" w:sz="4" w:space="0" w:color="auto"/>
              <w:right w:val="dotted" w:sz="4" w:space="0" w:color="auto"/>
            </w:tcBorders>
            <w:hideMark/>
          </w:tcPr>
          <w:p w:rsidR="009D11AF" w:rsidRPr="009D5FBC" w:rsidRDefault="009D11AF" w:rsidP="004F7845">
            <w:pPr>
              <w:rPr>
                <w:rFonts w:ascii="Arial" w:hAnsi="Arial" w:cs="Arial"/>
                <w:b/>
                <w:sz w:val="24"/>
              </w:rPr>
            </w:pPr>
            <w:r w:rsidRPr="009D5FBC">
              <w:rPr>
                <w:rFonts w:ascii="Arial" w:hAnsi="Arial" w:cs="Arial"/>
                <w:b/>
                <w:sz w:val="24"/>
              </w:rPr>
              <w:t>Continuing Training</w:t>
            </w:r>
            <w:r w:rsidRPr="009D5FBC">
              <w:rPr>
                <w:rFonts w:ascii="Arial" w:hAnsi="Arial" w:cs="Arial"/>
                <w:b/>
                <w:sz w:val="24"/>
                <w:vertAlign w:val="superscript"/>
              </w:rPr>
              <w:footnoteReference w:id="12"/>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sz w:val="24"/>
              </w:rPr>
            </w:pPr>
          </w:p>
          <w:p w:rsidR="009D11AF" w:rsidRPr="009D5FBC" w:rsidRDefault="009D11AF" w:rsidP="004F7845">
            <w:pPr>
              <w:rPr>
                <w:rFonts w:ascii="Arial" w:hAnsi="Arial" w:cs="Arial"/>
                <w:b/>
                <w:sz w:val="24"/>
              </w:rPr>
            </w:pPr>
            <w:r w:rsidRPr="009D5FBC">
              <w:rPr>
                <w:rFonts w:ascii="Arial" w:hAnsi="Arial" w:cs="Arial"/>
                <w:b/>
                <w:sz w:val="24"/>
              </w:rPr>
              <w:t>13,718</w:t>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sz w:val="24"/>
              </w:rPr>
            </w:pPr>
          </w:p>
          <w:p w:rsidR="009D11AF" w:rsidRPr="009D5FBC" w:rsidRDefault="009D11AF" w:rsidP="004F7845">
            <w:pPr>
              <w:rPr>
                <w:rFonts w:ascii="Arial" w:hAnsi="Arial" w:cs="Arial"/>
                <w:b/>
                <w:sz w:val="24"/>
              </w:rPr>
            </w:pPr>
            <w:r w:rsidRPr="009D5FBC">
              <w:rPr>
                <w:rFonts w:ascii="Arial" w:hAnsi="Arial" w:cs="Arial"/>
                <w:b/>
                <w:sz w:val="24"/>
              </w:rPr>
              <w:t>4 hours</w:t>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sz w:val="24"/>
              </w:rPr>
            </w:pPr>
          </w:p>
          <w:p w:rsidR="009D11AF" w:rsidRPr="009D5FBC" w:rsidRDefault="009D11AF" w:rsidP="004F7845">
            <w:pPr>
              <w:rPr>
                <w:rFonts w:ascii="Arial" w:hAnsi="Arial" w:cs="Arial"/>
                <w:b/>
                <w:sz w:val="24"/>
              </w:rPr>
            </w:pPr>
            <w:r w:rsidRPr="009D5FBC">
              <w:rPr>
                <w:rFonts w:ascii="Arial" w:hAnsi="Arial" w:cs="Arial"/>
                <w:b/>
                <w:sz w:val="24"/>
              </w:rPr>
              <w:t>54,872 hours</w:t>
            </w:r>
          </w:p>
          <w:p w:rsidR="009D11AF" w:rsidRPr="009D5FBC" w:rsidRDefault="009D11AF" w:rsidP="004F7845">
            <w:pPr>
              <w:rPr>
                <w:rFonts w:ascii="Arial" w:hAnsi="Arial" w:cs="Arial"/>
                <w:b/>
                <w:sz w:val="24"/>
              </w:rPr>
            </w:pPr>
          </w:p>
        </w:tc>
      </w:tr>
      <w:tr w:rsidR="009D11AF" w:rsidRPr="009D11AF" w:rsidTr="004F7845">
        <w:tc>
          <w:tcPr>
            <w:tcW w:w="2394" w:type="dxa"/>
            <w:tcBorders>
              <w:top w:val="dotted" w:sz="4" w:space="0" w:color="auto"/>
              <w:left w:val="dotted" w:sz="4" w:space="0" w:color="auto"/>
              <w:bottom w:val="dotted" w:sz="4" w:space="0" w:color="auto"/>
              <w:right w:val="dotted" w:sz="4" w:space="0" w:color="auto"/>
            </w:tcBorders>
            <w:hideMark/>
          </w:tcPr>
          <w:p w:rsidR="009D11AF" w:rsidRPr="009D5FBC" w:rsidRDefault="009D11AF" w:rsidP="004F7845">
            <w:pPr>
              <w:rPr>
                <w:rFonts w:ascii="Arial" w:hAnsi="Arial" w:cs="Arial"/>
                <w:b/>
                <w:sz w:val="24"/>
              </w:rPr>
            </w:pPr>
            <w:r w:rsidRPr="009D5FBC">
              <w:rPr>
                <w:rFonts w:ascii="Arial" w:hAnsi="Arial" w:cs="Arial"/>
                <w:b/>
                <w:sz w:val="24"/>
              </w:rPr>
              <w:t>Total annual burden</w:t>
            </w: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sz w:val="24"/>
              </w:rPr>
            </w:pP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sz w:val="24"/>
              </w:rPr>
            </w:pPr>
          </w:p>
        </w:tc>
        <w:tc>
          <w:tcPr>
            <w:tcW w:w="2394" w:type="dxa"/>
            <w:tcBorders>
              <w:top w:val="dotted" w:sz="4" w:space="0" w:color="auto"/>
              <w:left w:val="dotted" w:sz="4" w:space="0" w:color="auto"/>
              <w:bottom w:val="dotted" w:sz="4" w:space="0" w:color="auto"/>
              <w:right w:val="dotted" w:sz="4" w:space="0" w:color="auto"/>
            </w:tcBorders>
          </w:tcPr>
          <w:p w:rsidR="009D11AF" w:rsidRPr="009D5FBC" w:rsidRDefault="009D11AF" w:rsidP="004F7845">
            <w:pPr>
              <w:rPr>
                <w:rFonts w:ascii="Arial" w:hAnsi="Arial" w:cs="Arial"/>
                <w:b/>
                <w:sz w:val="24"/>
              </w:rPr>
            </w:pPr>
          </w:p>
          <w:p w:rsidR="009D11AF" w:rsidRPr="009D11AF" w:rsidRDefault="009D11AF" w:rsidP="004F7845">
            <w:pPr>
              <w:rPr>
                <w:rFonts w:ascii="Arial" w:hAnsi="Arial" w:cs="Arial"/>
                <w:b/>
                <w:sz w:val="24"/>
              </w:rPr>
            </w:pPr>
            <w:r w:rsidRPr="009D5FBC">
              <w:rPr>
                <w:rFonts w:ascii="Arial" w:hAnsi="Arial" w:cs="Arial"/>
                <w:b/>
                <w:sz w:val="24"/>
              </w:rPr>
              <w:t>7,139,187 hours</w:t>
            </w:r>
          </w:p>
        </w:tc>
      </w:tr>
    </w:tbl>
    <w:p w:rsidR="009D11AF" w:rsidRPr="009D11AF" w:rsidRDefault="009D11AF" w:rsidP="009D11AF">
      <w:pPr>
        <w:rPr>
          <w:rFonts w:ascii="Arial" w:hAnsi="Arial" w:cs="Arial"/>
          <w:sz w:val="24"/>
        </w:rPr>
      </w:pPr>
    </w:p>
    <w:p w:rsidR="00A66E9A" w:rsidRPr="009D11AF" w:rsidRDefault="00A66E9A" w:rsidP="00A66E9A">
      <w:pPr>
        <w:rPr>
          <w:rFonts w:ascii="Arial" w:hAnsi="Arial" w:cs="Arial"/>
          <w:sz w:val="24"/>
        </w:rPr>
      </w:pPr>
    </w:p>
    <w:p w:rsidR="00A66E9A" w:rsidRDefault="00A66E9A" w:rsidP="00A66E9A">
      <w:pPr>
        <w:tabs>
          <w:tab w:val="left" w:pos="-1440"/>
        </w:tabs>
        <w:ind w:left="720" w:hanging="720"/>
        <w:rPr>
          <w:rFonts w:ascii="Arial" w:hAnsi="Arial"/>
          <w:sz w:val="24"/>
        </w:rPr>
      </w:pPr>
      <w:r>
        <w:rPr>
          <w:rFonts w:ascii="Arial" w:hAnsi="Arial"/>
          <w:sz w:val="24"/>
        </w:rPr>
        <w:t>13.</w:t>
      </w:r>
      <w:r>
        <w:rPr>
          <w:rFonts w:ascii="Arial" w:hAnsi="Arial"/>
          <w:sz w:val="24"/>
        </w:rPr>
        <w:tab/>
      </w:r>
      <w:r>
        <w:rPr>
          <w:rFonts w:ascii="Arial" w:hAnsi="Arial"/>
          <w:sz w:val="24"/>
          <w:u w:val="single"/>
        </w:rPr>
        <w:t>Estimates of total annual costs to respondents</w:t>
      </w:r>
    </w:p>
    <w:p w:rsidR="00A66E9A" w:rsidRDefault="00A66E9A" w:rsidP="00A66E9A">
      <w:pPr>
        <w:rPr>
          <w:rFonts w:ascii="Arial" w:hAnsi="Arial"/>
          <w:sz w:val="24"/>
        </w:rPr>
      </w:pPr>
    </w:p>
    <w:p w:rsidR="004A5624" w:rsidRDefault="00A66E9A" w:rsidP="004A5624">
      <w:pPr>
        <w:rPr>
          <w:rFonts w:ascii="Arial" w:hAnsi="Arial"/>
          <w:sz w:val="24"/>
        </w:rPr>
      </w:pPr>
      <w:r>
        <w:rPr>
          <w:rFonts w:ascii="Arial" w:hAnsi="Arial"/>
          <w:sz w:val="24"/>
        </w:rPr>
        <w:t>FCUs should be able to use readily available equipment to comply with the information collections in the rule.  However, credit unions will likely incur some software and other costs associated with the burden described above in paragraph 12.  Many credit union systems are dynamic and are revised on a continuing basis.  Therefore, the costs would be a part of usual and customary business practice.</w:t>
      </w:r>
      <w:r w:rsidR="004A5624">
        <w:rPr>
          <w:rFonts w:ascii="Arial" w:hAnsi="Arial"/>
          <w:sz w:val="24"/>
        </w:rPr>
        <w:t xml:space="preserve"> </w:t>
      </w:r>
    </w:p>
    <w:p w:rsidR="00A66E9A" w:rsidRDefault="00A66E9A" w:rsidP="00A66E9A">
      <w:pPr>
        <w:rPr>
          <w:rFonts w:ascii="Arial" w:hAnsi="Arial"/>
          <w:sz w:val="24"/>
        </w:rPr>
      </w:pPr>
      <w:r>
        <w:rPr>
          <w:rFonts w:ascii="Arial" w:hAnsi="Arial"/>
          <w:sz w:val="24"/>
        </w:rPr>
        <w:br/>
      </w:r>
    </w:p>
    <w:p w:rsidR="00A66E9A" w:rsidRDefault="00A66E9A" w:rsidP="00A66E9A">
      <w:pPr>
        <w:tabs>
          <w:tab w:val="left" w:pos="-1440"/>
        </w:tabs>
        <w:ind w:left="720" w:hanging="720"/>
        <w:rPr>
          <w:rFonts w:ascii="Arial" w:hAnsi="Arial"/>
          <w:sz w:val="24"/>
        </w:rPr>
      </w:pPr>
      <w:r>
        <w:rPr>
          <w:rFonts w:ascii="Arial" w:hAnsi="Arial"/>
          <w:sz w:val="24"/>
        </w:rPr>
        <w:t>14.</w:t>
      </w:r>
      <w:r>
        <w:rPr>
          <w:rFonts w:ascii="Arial" w:hAnsi="Arial"/>
          <w:sz w:val="24"/>
        </w:rPr>
        <w:tab/>
      </w:r>
      <w:r>
        <w:rPr>
          <w:rFonts w:ascii="Arial" w:hAnsi="Arial"/>
          <w:sz w:val="24"/>
          <w:u w:val="single"/>
        </w:rPr>
        <w:t>Estimates of annualized cost to the Federal Government:</w:t>
      </w:r>
    </w:p>
    <w:p w:rsidR="00A66E9A" w:rsidRDefault="00A66E9A" w:rsidP="00A66E9A">
      <w:pPr>
        <w:rPr>
          <w:rFonts w:ascii="Arial" w:hAnsi="Arial"/>
          <w:sz w:val="24"/>
        </w:rPr>
      </w:pPr>
    </w:p>
    <w:p w:rsidR="00A66E9A" w:rsidRDefault="00A66E9A" w:rsidP="00A66E9A">
      <w:pPr>
        <w:rPr>
          <w:rFonts w:ascii="Arial" w:hAnsi="Arial"/>
          <w:sz w:val="24"/>
        </w:rPr>
      </w:pPr>
      <w:r>
        <w:rPr>
          <w:rFonts w:ascii="Arial" w:hAnsi="Arial"/>
          <w:sz w:val="24"/>
        </w:rPr>
        <w:t>There are no costs to the Government with this collection.</w:t>
      </w:r>
    </w:p>
    <w:p w:rsidR="00A66E9A" w:rsidRDefault="00A66E9A" w:rsidP="00A66E9A">
      <w:pPr>
        <w:tabs>
          <w:tab w:val="left" w:pos="-1440"/>
        </w:tabs>
        <w:ind w:left="720" w:hanging="720"/>
        <w:rPr>
          <w:rFonts w:ascii="Arial" w:hAnsi="Arial"/>
          <w:sz w:val="24"/>
        </w:rPr>
      </w:pPr>
    </w:p>
    <w:p w:rsidR="00A66E9A" w:rsidRDefault="00A66E9A" w:rsidP="00A66E9A">
      <w:pPr>
        <w:tabs>
          <w:tab w:val="left" w:pos="-1440"/>
        </w:tabs>
        <w:ind w:left="720" w:hanging="720"/>
        <w:rPr>
          <w:rFonts w:ascii="Arial" w:hAnsi="Arial"/>
          <w:sz w:val="24"/>
        </w:rPr>
      </w:pPr>
    </w:p>
    <w:p w:rsidR="009D11AF" w:rsidRPr="009D5FBC" w:rsidRDefault="009D11AF" w:rsidP="009D11AF">
      <w:pPr>
        <w:ind w:left="720" w:hanging="720"/>
        <w:rPr>
          <w:rFonts w:ascii="Arial" w:hAnsi="Arial" w:cs="Arial"/>
          <w:sz w:val="24"/>
          <w:u w:val="single"/>
        </w:rPr>
      </w:pPr>
      <w:r w:rsidRPr="009D5FBC">
        <w:rPr>
          <w:rFonts w:ascii="Arial" w:hAnsi="Arial" w:cs="Arial"/>
          <w:sz w:val="24"/>
        </w:rPr>
        <w:t xml:space="preserve">15.  </w:t>
      </w:r>
      <w:r w:rsidRPr="009D5FBC">
        <w:rPr>
          <w:rFonts w:ascii="Arial" w:hAnsi="Arial" w:cs="Arial"/>
          <w:sz w:val="24"/>
        </w:rPr>
        <w:tab/>
      </w:r>
      <w:r w:rsidRPr="009D5FBC">
        <w:rPr>
          <w:rFonts w:ascii="Arial" w:hAnsi="Arial" w:cs="Arial"/>
          <w:sz w:val="24"/>
          <w:u w:val="single"/>
        </w:rPr>
        <w:t>Changes in burden:</w:t>
      </w:r>
    </w:p>
    <w:p w:rsidR="009D11AF" w:rsidRPr="009D5FBC" w:rsidRDefault="009D11AF" w:rsidP="009D11AF">
      <w:pPr>
        <w:rPr>
          <w:rFonts w:ascii="Arial" w:hAnsi="Arial" w:cs="Arial"/>
          <w:sz w:val="24"/>
        </w:rPr>
      </w:pPr>
    </w:p>
    <w:p w:rsidR="009D11AF" w:rsidRPr="009D5FBC" w:rsidRDefault="009D11AF" w:rsidP="009D11AF">
      <w:pPr>
        <w:rPr>
          <w:rFonts w:ascii="Arial" w:hAnsi="Arial" w:cs="Arial"/>
          <w:sz w:val="24"/>
        </w:rPr>
      </w:pPr>
      <w:r w:rsidRPr="009D5FBC">
        <w:rPr>
          <w:rFonts w:ascii="Arial" w:hAnsi="Arial" w:cs="Arial"/>
          <w:sz w:val="24"/>
        </w:rPr>
        <w:t>This is a reinstatement of a previously approved collection.  In comparison with prior submission and approval, the information collection involves a program change of -2269 respondents.  This is due to a change in the number of credit unions.  Due to a steady increase in credit union membership over the past five years, however, the disclosure and recordkeeping burden has increased by an inestimable number of hours.</w:t>
      </w:r>
    </w:p>
    <w:p w:rsidR="009D11AF" w:rsidRPr="009D5FBC" w:rsidRDefault="009D11AF" w:rsidP="009D11AF">
      <w:pPr>
        <w:rPr>
          <w:rFonts w:ascii="Arial" w:hAnsi="Arial" w:cs="Arial"/>
          <w:sz w:val="24"/>
        </w:rPr>
      </w:pPr>
    </w:p>
    <w:p w:rsidR="009D11AF" w:rsidRDefault="009D11AF" w:rsidP="009D11AF">
      <w:r w:rsidRPr="009D5FBC">
        <w:rPr>
          <w:rFonts w:ascii="Arial" w:hAnsi="Arial" w:cs="Arial"/>
          <w:sz w:val="24"/>
        </w:rPr>
        <w:t>NCUA is correcting the initial reinstatement request because of an inadvertent mathematical error</w:t>
      </w:r>
      <w:r w:rsidR="00D54D68">
        <w:rPr>
          <w:rFonts w:ascii="Arial" w:hAnsi="Arial" w:cs="Arial"/>
          <w:sz w:val="24"/>
        </w:rPr>
        <w:t xml:space="preserve">.  </w:t>
      </w:r>
      <w:r w:rsidRPr="009D5FBC">
        <w:rPr>
          <w:rFonts w:ascii="Arial" w:hAnsi="Arial" w:cs="Arial"/>
          <w:sz w:val="24"/>
        </w:rPr>
        <w:t xml:space="preserve">The initial burden estimate is being reduced as described in question 12 above, which also reduces the estimated annual </w:t>
      </w:r>
      <w:bookmarkStart w:id="0" w:name="_GoBack"/>
      <w:bookmarkEnd w:id="0"/>
      <w:r w:rsidRPr="009D5FBC">
        <w:rPr>
          <w:rFonts w:ascii="Arial" w:hAnsi="Arial" w:cs="Arial"/>
          <w:sz w:val="24"/>
        </w:rPr>
        <w:t>burden hours.</w:t>
      </w:r>
    </w:p>
    <w:p w:rsidR="00A66E9A" w:rsidRDefault="00A66E9A" w:rsidP="00A66E9A">
      <w:pPr>
        <w:rPr>
          <w:rFonts w:ascii="Arial" w:hAnsi="Arial"/>
          <w:sz w:val="24"/>
        </w:rPr>
      </w:pPr>
    </w:p>
    <w:p w:rsidR="00A66E9A" w:rsidRDefault="00A66E9A" w:rsidP="00A66E9A">
      <w:pPr>
        <w:tabs>
          <w:tab w:val="left" w:pos="-1440"/>
        </w:tabs>
        <w:rPr>
          <w:rFonts w:ascii="Arial" w:hAnsi="Arial"/>
          <w:sz w:val="24"/>
        </w:rPr>
      </w:pPr>
    </w:p>
    <w:p w:rsidR="00A66E9A" w:rsidRDefault="00A66E9A" w:rsidP="00A66E9A">
      <w:pPr>
        <w:tabs>
          <w:tab w:val="left" w:pos="-1440"/>
        </w:tabs>
        <w:rPr>
          <w:rFonts w:ascii="Arial" w:hAnsi="Arial"/>
          <w:sz w:val="24"/>
        </w:rPr>
      </w:pPr>
      <w:r>
        <w:rPr>
          <w:rFonts w:ascii="Arial" w:hAnsi="Arial"/>
          <w:sz w:val="24"/>
        </w:rPr>
        <w:t>16.</w:t>
      </w:r>
      <w:r>
        <w:rPr>
          <w:rFonts w:ascii="Arial" w:hAnsi="Arial"/>
          <w:sz w:val="24"/>
        </w:rPr>
        <w:tab/>
      </w:r>
      <w:r>
        <w:rPr>
          <w:rFonts w:ascii="Arial" w:hAnsi="Arial"/>
          <w:sz w:val="24"/>
          <w:u w:val="single"/>
        </w:rPr>
        <w:t>Information regarding collections whose results are planned to be published for statistical use:</w:t>
      </w:r>
    </w:p>
    <w:p w:rsidR="00A66E9A" w:rsidRDefault="00A66E9A" w:rsidP="00A66E9A">
      <w:pPr>
        <w:rPr>
          <w:rFonts w:ascii="Arial" w:hAnsi="Arial"/>
          <w:sz w:val="24"/>
        </w:rPr>
      </w:pPr>
    </w:p>
    <w:p w:rsidR="00A66E9A" w:rsidRDefault="00A66E9A" w:rsidP="00A66E9A">
      <w:pPr>
        <w:rPr>
          <w:rFonts w:ascii="Arial" w:hAnsi="Arial"/>
          <w:sz w:val="24"/>
        </w:rPr>
      </w:pPr>
      <w:r>
        <w:rPr>
          <w:rFonts w:ascii="Arial" w:hAnsi="Arial"/>
          <w:sz w:val="24"/>
        </w:rPr>
        <w:t xml:space="preserve">These are disclosures from credit unions to their members.  The NCUA is not collecting </w:t>
      </w:r>
      <w:r w:rsidR="00E40BF6">
        <w:rPr>
          <w:rFonts w:ascii="Arial" w:hAnsi="Arial"/>
          <w:sz w:val="24"/>
        </w:rPr>
        <w:t>information</w:t>
      </w:r>
      <w:r>
        <w:rPr>
          <w:rFonts w:ascii="Arial" w:hAnsi="Arial"/>
          <w:sz w:val="24"/>
        </w:rPr>
        <w:t xml:space="preserve">.  Therefore, no </w:t>
      </w:r>
      <w:r w:rsidR="00E40BF6">
        <w:rPr>
          <w:rFonts w:ascii="Arial" w:hAnsi="Arial"/>
          <w:sz w:val="24"/>
        </w:rPr>
        <w:t xml:space="preserve">information </w:t>
      </w:r>
      <w:r>
        <w:rPr>
          <w:rFonts w:ascii="Arial" w:hAnsi="Arial"/>
          <w:sz w:val="24"/>
        </w:rPr>
        <w:t>will be published for statistical or other purposes.</w:t>
      </w:r>
    </w:p>
    <w:p w:rsidR="00A66E9A" w:rsidRDefault="00A66E9A" w:rsidP="00A66E9A">
      <w:pPr>
        <w:rPr>
          <w:rFonts w:ascii="Arial" w:hAnsi="Arial"/>
          <w:sz w:val="24"/>
        </w:rPr>
      </w:pPr>
    </w:p>
    <w:p w:rsidR="00A66E9A" w:rsidRDefault="00A66E9A" w:rsidP="00A66E9A">
      <w:pPr>
        <w:rPr>
          <w:rFonts w:ascii="Arial" w:hAnsi="Arial"/>
          <w:sz w:val="24"/>
        </w:rPr>
      </w:pPr>
    </w:p>
    <w:p w:rsidR="00A66E9A" w:rsidRDefault="00A66E9A" w:rsidP="00A66E9A">
      <w:pPr>
        <w:rPr>
          <w:rFonts w:ascii="Arial" w:hAnsi="Arial"/>
          <w:sz w:val="24"/>
        </w:rPr>
      </w:pPr>
      <w:r>
        <w:rPr>
          <w:rFonts w:ascii="Arial" w:hAnsi="Arial"/>
          <w:sz w:val="24"/>
        </w:rPr>
        <w:t>17.</w:t>
      </w:r>
      <w:r>
        <w:rPr>
          <w:rFonts w:ascii="Arial" w:hAnsi="Arial"/>
          <w:sz w:val="24"/>
        </w:rPr>
        <w:tab/>
      </w:r>
      <w:r>
        <w:rPr>
          <w:rFonts w:ascii="Arial" w:hAnsi="Arial"/>
          <w:sz w:val="24"/>
          <w:u w:val="single"/>
        </w:rPr>
        <w:t>Display of expiration date:</w:t>
      </w:r>
    </w:p>
    <w:p w:rsidR="00A66E9A" w:rsidRDefault="00A66E9A" w:rsidP="00A66E9A">
      <w:pPr>
        <w:rPr>
          <w:rFonts w:ascii="Arial" w:hAnsi="Arial"/>
          <w:sz w:val="24"/>
        </w:rPr>
      </w:pPr>
    </w:p>
    <w:p w:rsidR="00A66E9A" w:rsidRDefault="00A66E9A" w:rsidP="00A66E9A">
      <w:pPr>
        <w:tabs>
          <w:tab w:val="left" w:pos="0"/>
          <w:tab w:val="left" w:pos="473"/>
          <w:tab w:val="right" w:pos="9253"/>
        </w:tabs>
        <w:ind w:right="54"/>
        <w:rPr>
          <w:rFonts w:ascii="Arial" w:hAnsi="Arial"/>
          <w:sz w:val="24"/>
        </w:rPr>
      </w:pPr>
      <w:r>
        <w:rPr>
          <w:rFonts w:ascii="Arial" w:hAnsi="Arial"/>
          <w:sz w:val="24"/>
        </w:rPr>
        <w:t>Since no specific forms will be used to collect the information, the expiration date will not be displayed.</w:t>
      </w:r>
    </w:p>
    <w:p w:rsidR="00A66E9A" w:rsidRDefault="00A66E9A" w:rsidP="00A66E9A">
      <w:pPr>
        <w:rPr>
          <w:rFonts w:ascii="Arial" w:hAnsi="Arial"/>
          <w:sz w:val="24"/>
        </w:rPr>
      </w:pPr>
    </w:p>
    <w:p w:rsidR="00A66E9A" w:rsidRDefault="00A66E9A" w:rsidP="00A66E9A">
      <w:pPr>
        <w:rPr>
          <w:rFonts w:ascii="Arial" w:hAnsi="Arial"/>
          <w:sz w:val="24"/>
        </w:rPr>
      </w:pPr>
    </w:p>
    <w:p w:rsidR="00A66E9A" w:rsidRDefault="00A66E9A" w:rsidP="00A66E9A">
      <w:pPr>
        <w:rPr>
          <w:rFonts w:ascii="Arial" w:hAnsi="Arial"/>
          <w:sz w:val="24"/>
        </w:rPr>
      </w:pPr>
      <w:r>
        <w:rPr>
          <w:rFonts w:ascii="Arial" w:hAnsi="Arial"/>
          <w:sz w:val="24"/>
        </w:rPr>
        <w:t>18.</w:t>
      </w:r>
      <w:r>
        <w:rPr>
          <w:rFonts w:ascii="Arial" w:hAnsi="Arial"/>
          <w:sz w:val="24"/>
        </w:rPr>
        <w:tab/>
      </w:r>
      <w:r>
        <w:rPr>
          <w:rFonts w:ascii="Arial" w:hAnsi="Arial"/>
          <w:sz w:val="24"/>
          <w:u w:val="single"/>
        </w:rPr>
        <w:t>Exceptions to certification statement:</w:t>
      </w:r>
    </w:p>
    <w:p w:rsidR="00A66E9A" w:rsidRDefault="00A66E9A" w:rsidP="00A66E9A">
      <w:pPr>
        <w:ind w:firstLine="720"/>
        <w:rPr>
          <w:rFonts w:ascii="Arial" w:hAnsi="Arial"/>
          <w:sz w:val="24"/>
        </w:rPr>
      </w:pPr>
    </w:p>
    <w:p w:rsidR="00A66E9A" w:rsidRDefault="00A66E9A" w:rsidP="00A66E9A">
      <w:pPr>
        <w:rPr>
          <w:rFonts w:ascii="Arial" w:hAnsi="Arial"/>
          <w:sz w:val="24"/>
        </w:rPr>
      </w:pPr>
      <w:r>
        <w:rPr>
          <w:rFonts w:ascii="Arial" w:hAnsi="Arial"/>
          <w:sz w:val="24"/>
        </w:rPr>
        <w:t>There are no exceptions</w:t>
      </w:r>
      <w:r w:rsidR="00C01D8E">
        <w:rPr>
          <w:rFonts w:ascii="Arial" w:hAnsi="Arial"/>
          <w:sz w:val="24"/>
        </w:rPr>
        <w:t xml:space="preserve"> to the certification statement</w:t>
      </w:r>
      <w:r>
        <w:rPr>
          <w:rFonts w:ascii="Arial" w:hAnsi="Arial"/>
          <w:sz w:val="24"/>
        </w:rPr>
        <w:t>.</w:t>
      </w:r>
    </w:p>
    <w:p w:rsidR="00A66E9A" w:rsidRDefault="00A66E9A" w:rsidP="00A66E9A">
      <w:pPr>
        <w:rPr>
          <w:rFonts w:ascii="Arial" w:hAnsi="Arial"/>
          <w:sz w:val="24"/>
        </w:rPr>
      </w:pPr>
    </w:p>
    <w:p w:rsidR="00A66E9A" w:rsidRDefault="00A66E9A" w:rsidP="00A66E9A">
      <w:pPr>
        <w:tabs>
          <w:tab w:val="left" w:pos="-1440"/>
        </w:tabs>
        <w:ind w:left="720" w:hanging="720"/>
        <w:rPr>
          <w:rFonts w:ascii="Arial" w:hAnsi="Arial"/>
          <w:sz w:val="24"/>
        </w:rPr>
      </w:pPr>
    </w:p>
    <w:p w:rsidR="00A66E9A" w:rsidRDefault="00A66E9A" w:rsidP="00A66E9A">
      <w:pPr>
        <w:tabs>
          <w:tab w:val="left" w:pos="-1440"/>
        </w:tabs>
        <w:ind w:left="720" w:hanging="720"/>
        <w:rPr>
          <w:rFonts w:ascii="Arial" w:hAnsi="Arial"/>
          <w:sz w:val="24"/>
          <w:u w:val="single"/>
        </w:rPr>
      </w:pPr>
      <w:r>
        <w:rPr>
          <w:rFonts w:ascii="Arial" w:hAnsi="Arial"/>
          <w:sz w:val="24"/>
        </w:rPr>
        <w:t>B.</w:t>
      </w:r>
      <w:r>
        <w:rPr>
          <w:rFonts w:ascii="Arial" w:hAnsi="Arial"/>
          <w:sz w:val="24"/>
        </w:rPr>
        <w:tab/>
      </w:r>
      <w:r>
        <w:rPr>
          <w:rFonts w:ascii="Arial" w:hAnsi="Arial"/>
          <w:sz w:val="24"/>
          <w:u w:val="single"/>
        </w:rPr>
        <w:t>Collections of Information Employing Statistical Methods.</w:t>
      </w:r>
    </w:p>
    <w:p w:rsidR="00A66E9A" w:rsidRDefault="00A66E9A" w:rsidP="00A66E9A">
      <w:pPr>
        <w:rPr>
          <w:rFonts w:ascii="Arial" w:hAnsi="Arial"/>
          <w:sz w:val="24"/>
          <w:u w:val="single"/>
        </w:rPr>
      </w:pPr>
    </w:p>
    <w:p w:rsidR="00A66E9A" w:rsidRDefault="00A66E9A" w:rsidP="00A66E9A">
      <w:r>
        <w:rPr>
          <w:rFonts w:ascii="Arial" w:hAnsi="Arial"/>
          <w:sz w:val="24"/>
        </w:rPr>
        <w:t>This collection does not employ statistical methods.</w:t>
      </w:r>
    </w:p>
    <w:sectPr w:rsidR="00A66E9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0A6" w:rsidRDefault="005F60A6" w:rsidP="00A66E9A">
      <w:r>
        <w:separator/>
      </w:r>
    </w:p>
  </w:endnote>
  <w:endnote w:type="continuationSeparator" w:id="0">
    <w:p w:rsidR="005F60A6" w:rsidRDefault="005F60A6" w:rsidP="00A6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61" w:rsidRDefault="00220D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61" w:rsidRDefault="00220D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61" w:rsidRDefault="00220D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0A6" w:rsidRDefault="005F60A6" w:rsidP="00A66E9A">
      <w:r>
        <w:separator/>
      </w:r>
    </w:p>
  </w:footnote>
  <w:footnote w:type="continuationSeparator" w:id="0">
    <w:p w:rsidR="005F60A6" w:rsidRDefault="005F60A6" w:rsidP="00A66E9A">
      <w:r>
        <w:continuationSeparator/>
      </w:r>
    </w:p>
  </w:footnote>
  <w:footnote w:id="1">
    <w:p w:rsidR="009D11AF" w:rsidRDefault="009D11AF" w:rsidP="009D11AF">
      <w:pPr>
        <w:pStyle w:val="FootnoteText"/>
        <w:rPr>
          <w:rFonts w:cs="Arial"/>
        </w:rPr>
      </w:pPr>
      <w:r>
        <w:rPr>
          <w:rStyle w:val="FootnoteReference"/>
        </w:rPr>
        <w:footnoteRef/>
      </w:r>
      <w:r>
        <w:rPr>
          <w:rFonts w:cs="Arial"/>
          <w:vertAlign w:val="superscript"/>
        </w:rPr>
        <w:t xml:space="preserve"> </w:t>
      </w:r>
      <w:r>
        <w:rPr>
          <w:rFonts w:cs="Arial"/>
        </w:rPr>
        <w:t>In the absence of supplementary information in determining the reporting burden for credit unions, NCUA has adopted the same estimated time per response as the Federal Reserve System.  The supporting information associated with Regulation DD (OMB Control No: 7100-0271) is published at 76 FR 29242 (May 20, 2011).</w:t>
      </w:r>
    </w:p>
    <w:p w:rsidR="009D11AF" w:rsidRDefault="009D11AF" w:rsidP="009D11AF">
      <w:pPr>
        <w:pStyle w:val="FootnoteText"/>
        <w:rPr>
          <w:rFonts w:cs="Arial"/>
        </w:rPr>
      </w:pPr>
    </w:p>
  </w:footnote>
  <w:footnote w:id="2">
    <w:p w:rsidR="009D11AF" w:rsidRDefault="009D11AF" w:rsidP="009D11AF">
      <w:pPr>
        <w:pStyle w:val="FootnoteText"/>
      </w:pPr>
      <w:r>
        <w:rPr>
          <w:rStyle w:val="FootnoteReference"/>
        </w:rPr>
        <w:footnoteRef/>
      </w:r>
      <w:r>
        <w:t xml:space="preserve"> The one-time burden would only apply to a newly chartered credit union.  Pre-existing credit unions will only have a continuing annual compliance burden.</w:t>
      </w:r>
    </w:p>
  </w:footnote>
  <w:footnote w:id="3">
    <w:p w:rsidR="009D11AF" w:rsidRDefault="009D11AF" w:rsidP="009D11AF">
      <w:pPr>
        <w:pStyle w:val="FootnoteText"/>
        <w:rPr>
          <w:rFonts w:cs="Arial"/>
        </w:rPr>
      </w:pPr>
      <w:r>
        <w:rPr>
          <w:rStyle w:val="FootnoteReference"/>
        </w:rPr>
        <w:footnoteRef/>
      </w:r>
      <w:r>
        <w:rPr>
          <w:rFonts w:cs="Arial"/>
        </w:rPr>
        <w:t xml:space="preserve"> The one-time burden was estimated using the estimated total number of credit union members, 95,032,999 million as of December 31, 2012.</w:t>
      </w:r>
    </w:p>
  </w:footnote>
  <w:footnote w:id="4">
    <w:p w:rsidR="009D11AF" w:rsidRDefault="009D11AF" w:rsidP="009D11AF">
      <w:pPr>
        <w:pStyle w:val="FootnoteText"/>
        <w:rPr>
          <w:rFonts w:cs="Arial"/>
          <w:vertAlign w:val="superscript"/>
        </w:rPr>
      </w:pPr>
      <w:r>
        <w:rPr>
          <w:rStyle w:val="FootnoteReference"/>
        </w:rPr>
        <w:footnoteRef/>
      </w:r>
      <w:r>
        <w:rPr>
          <w:rFonts w:cs="Arial"/>
          <w:vertAlign w:val="superscript"/>
        </w:rPr>
        <w:t xml:space="preserve"> </w:t>
      </w:r>
      <w:r>
        <w:rPr>
          <w:rFonts w:cs="Arial"/>
        </w:rPr>
        <w:t>This estimate is based on the assumption that at least 2 employees, a manager and teller, would be trained for every credit union.  It is also estimated that training will require an average of 16 hours.</w:t>
      </w:r>
    </w:p>
  </w:footnote>
  <w:footnote w:id="5">
    <w:p w:rsidR="009D11AF" w:rsidRDefault="009D11AF" w:rsidP="009D11AF">
      <w:pPr>
        <w:pStyle w:val="FootnoteText"/>
        <w:rPr>
          <w:rStyle w:val="FootnoteReference"/>
          <w:b/>
          <w:bCs/>
        </w:rPr>
      </w:pPr>
      <w:r>
        <w:rPr>
          <w:rStyle w:val="FootnoteReference"/>
        </w:rPr>
        <w:footnoteRef/>
      </w:r>
      <w:r>
        <w:rPr>
          <w:rFonts w:cs="Arial"/>
        </w:rPr>
        <w:t xml:space="preserve"> Many credit unions use automated technology, i.e. computer software, to aid in their compliance with TISA and the regulations.  NCUA estimates that credit unions will need approximately one business day, eight hours, for necessary system maintenance.</w:t>
      </w:r>
    </w:p>
  </w:footnote>
  <w:footnote w:id="6">
    <w:p w:rsidR="009D11AF" w:rsidRDefault="009D11AF" w:rsidP="009D11AF">
      <w:pPr>
        <w:pStyle w:val="FootnoteText"/>
      </w:pPr>
      <w:r>
        <w:rPr>
          <w:rStyle w:val="FootnoteReference"/>
        </w:rPr>
        <w:footnoteRef/>
      </w:r>
      <w:r>
        <w:t xml:space="preserve"> Credit unions must monitor their advertising materials to ensure compliance with TISA and Part 707.  NCUA estimates it takes two business days, 16 hours, for these compliance reviews.</w:t>
      </w:r>
    </w:p>
  </w:footnote>
  <w:footnote w:id="7">
    <w:p w:rsidR="009D11AF" w:rsidRDefault="009D11AF" w:rsidP="009D11AF">
      <w:pPr>
        <w:pStyle w:val="FootnoteText"/>
      </w:pPr>
      <w:r>
        <w:rPr>
          <w:rStyle w:val="FootnoteReference"/>
        </w:rPr>
        <w:footnoteRef/>
      </w:r>
      <w:r>
        <w:t xml:space="preserve"> This estimate is based on the difference between the total number of accounts at year-end 2011 and 2012.  The difference is an estimate of the total number of new accounts.</w:t>
      </w:r>
    </w:p>
  </w:footnote>
  <w:footnote w:id="8">
    <w:p w:rsidR="009D11AF" w:rsidRDefault="009D11AF" w:rsidP="009D11AF">
      <w:pPr>
        <w:pStyle w:val="FootnoteText"/>
      </w:pPr>
      <w:r>
        <w:rPr>
          <w:rStyle w:val="FootnoteReference"/>
        </w:rPr>
        <w:footnoteRef/>
      </w:r>
      <w:r>
        <w:t xml:space="preserve"> The total number of term share accounts, share certificates, was broken out by the dollar amount proportions of various maturing categories of certificates.  Information on the dollar amounts placed in certificates with maturities less than one year, one to three years, and greater than three years is available.  The ratio of each dollar volume category was applied to the total number of term share accounts in the less than one year category were assumed to have an annual disclosure requirement.  One-half of the number of term share accounts in the one to three year category was assumed to have an annual disclosure requirement.  Twenty percent of certificates in the over three </w:t>
      </w:r>
      <w:proofErr w:type="gramStart"/>
      <w:r>
        <w:t>years</w:t>
      </w:r>
      <w:proofErr w:type="gramEnd"/>
      <w:r>
        <w:t xml:space="preserve"> category were assumed to have an annual disclosure requirement. </w:t>
      </w:r>
    </w:p>
  </w:footnote>
  <w:footnote w:id="9">
    <w:p w:rsidR="009D11AF" w:rsidRDefault="009D11AF" w:rsidP="009D11AF">
      <w:pPr>
        <w:pStyle w:val="FootnoteText"/>
      </w:pPr>
      <w:r>
        <w:rPr>
          <w:rStyle w:val="FootnoteReference"/>
        </w:rPr>
        <w:footnoteRef/>
      </w:r>
      <w:r>
        <w:t xml:space="preserve"> Twenty-five percent of the total number of existing accountholders is assumed to require notification, on an annual basis, of a change-in-terms notice.  The estimate is conservative and assumes very stable market interest rates for fixed-rate accounts.</w:t>
      </w:r>
    </w:p>
  </w:footnote>
  <w:footnote w:id="10">
    <w:p w:rsidR="009D11AF" w:rsidRDefault="009D11AF" w:rsidP="009D11AF">
      <w:pPr>
        <w:pStyle w:val="FootnoteText"/>
      </w:pPr>
      <w:r>
        <w:rPr>
          <w:rStyle w:val="FootnoteReference"/>
        </w:rPr>
        <w:footnoteRef/>
      </w:r>
      <w:r>
        <w:t xml:space="preserve"> The figure for periodic statements was estimated by assuming that on average, members receive quarterly statements.</w:t>
      </w:r>
    </w:p>
  </w:footnote>
  <w:footnote w:id="11">
    <w:p w:rsidR="009D11AF" w:rsidRDefault="009D11AF" w:rsidP="009D11AF">
      <w:pPr>
        <w:pStyle w:val="FootnoteText"/>
      </w:pPr>
      <w:r>
        <w:rPr>
          <w:rStyle w:val="FootnoteReference"/>
        </w:rPr>
        <w:footnoteRef/>
      </w:r>
      <w:r>
        <w:t xml:space="preserve"> While the burden of advertising is difficult to assess, NCUA believes that a minimum of 10 hours per credit union per year is a conservative estimate of the increased advertising compliance burden required due to the Truth in Savings rule.</w:t>
      </w:r>
    </w:p>
  </w:footnote>
  <w:footnote w:id="12">
    <w:p w:rsidR="009D11AF" w:rsidRDefault="009D11AF" w:rsidP="009D11AF">
      <w:pPr>
        <w:pStyle w:val="FootnoteText"/>
      </w:pPr>
      <w:r>
        <w:rPr>
          <w:rStyle w:val="FootnoteReference"/>
        </w:rPr>
        <w:footnoteRef/>
      </w:r>
      <w:r>
        <w:t xml:space="preserve"> NCUA estimates that credit unions will need to perform continuous training for new employees and to refresh existing employees on TISA and Part 707.  Based on an average of two employees per year per credit union, NCUA has used the four hours of training per employee that it applies to continuing NCUA examiner training as the estimated an annual burden for credit unions.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61" w:rsidRDefault="00220D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61" w:rsidRDefault="00220D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61" w:rsidRDefault="00220D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77874"/>
    <w:multiLevelType w:val="hybridMultilevel"/>
    <w:tmpl w:val="AC1AD2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9A"/>
    <w:rsid w:val="001835C2"/>
    <w:rsid w:val="001C7802"/>
    <w:rsid w:val="00220D61"/>
    <w:rsid w:val="00236C6C"/>
    <w:rsid w:val="00236F5E"/>
    <w:rsid w:val="003109CA"/>
    <w:rsid w:val="0031684A"/>
    <w:rsid w:val="004A5624"/>
    <w:rsid w:val="004E5412"/>
    <w:rsid w:val="00523363"/>
    <w:rsid w:val="005B00EB"/>
    <w:rsid w:val="005E3C51"/>
    <w:rsid w:val="005F60A6"/>
    <w:rsid w:val="00696226"/>
    <w:rsid w:val="00710F70"/>
    <w:rsid w:val="00745B32"/>
    <w:rsid w:val="007608E7"/>
    <w:rsid w:val="00885758"/>
    <w:rsid w:val="009D11AF"/>
    <w:rsid w:val="009D5FBC"/>
    <w:rsid w:val="00A66E9A"/>
    <w:rsid w:val="00A927AD"/>
    <w:rsid w:val="00B34FAA"/>
    <w:rsid w:val="00C01D8E"/>
    <w:rsid w:val="00C162E8"/>
    <w:rsid w:val="00C40338"/>
    <w:rsid w:val="00C43B27"/>
    <w:rsid w:val="00CC560E"/>
    <w:rsid w:val="00D4203E"/>
    <w:rsid w:val="00D54D68"/>
    <w:rsid w:val="00D93297"/>
    <w:rsid w:val="00DD38AA"/>
    <w:rsid w:val="00E008EA"/>
    <w:rsid w:val="00E40BF6"/>
    <w:rsid w:val="00EC05BA"/>
    <w:rsid w:val="00EF0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8E7"/>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A66E9A"/>
    <w:pPr>
      <w:keepNext/>
      <w:outlineLvl w:val="0"/>
    </w:pPr>
    <w:rPr>
      <w:rFonts w:ascii="Arial" w:hAnsi="Arial" w:cs="Arial"/>
      <w:b/>
      <w:bCs/>
      <w:sz w:val="24"/>
    </w:rPr>
  </w:style>
  <w:style w:type="paragraph" w:styleId="Heading2">
    <w:name w:val="heading 2"/>
    <w:basedOn w:val="Normal"/>
    <w:next w:val="Normal"/>
    <w:link w:val="Heading2Char"/>
    <w:qFormat/>
    <w:rsid w:val="00A66E9A"/>
    <w:pPr>
      <w:keepNext/>
      <w:jc w:val="center"/>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E9A"/>
    <w:rPr>
      <w:rFonts w:ascii="Arial" w:eastAsia="Times New Roman" w:hAnsi="Arial" w:cs="Arial"/>
      <w:b/>
      <w:bCs/>
      <w:sz w:val="24"/>
      <w:szCs w:val="24"/>
    </w:rPr>
  </w:style>
  <w:style w:type="character" w:customStyle="1" w:styleId="Heading2Char">
    <w:name w:val="Heading 2 Char"/>
    <w:basedOn w:val="DefaultParagraphFont"/>
    <w:link w:val="Heading2"/>
    <w:rsid w:val="00A66E9A"/>
    <w:rPr>
      <w:rFonts w:ascii="Arial" w:eastAsia="Times New Roman" w:hAnsi="Arial" w:cs="Arial"/>
      <w:b/>
      <w:bCs/>
      <w:sz w:val="24"/>
      <w:szCs w:val="24"/>
    </w:rPr>
  </w:style>
  <w:style w:type="paragraph" w:styleId="Header">
    <w:name w:val="header"/>
    <w:basedOn w:val="Normal"/>
    <w:link w:val="HeaderChar"/>
    <w:rsid w:val="00A66E9A"/>
    <w:pPr>
      <w:tabs>
        <w:tab w:val="center" w:pos="4320"/>
        <w:tab w:val="right" w:pos="8640"/>
      </w:tabs>
      <w:autoSpaceDE/>
      <w:autoSpaceDN/>
      <w:adjustRightInd/>
    </w:pPr>
    <w:rPr>
      <w:rFonts w:ascii="Times New Roman" w:hAnsi="Times New Roman"/>
      <w:sz w:val="24"/>
      <w:szCs w:val="20"/>
    </w:rPr>
  </w:style>
  <w:style w:type="character" w:customStyle="1" w:styleId="HeaderChar">
    <w:name w:val="Header Char"/>
    <w:basedOn w:val="DefaultParagraphFont"/>
    <w:link w:val="Header"/>
    <w:rsid w:val="00A66E9A"/>
    <w:rPr>
      <w:rFonts w:ascii="Times New Roman" w:eastAsia="Times New Roman" w:hAnsi="Times New Roman" w:cs="Times New Roman"/>
      <w:sz w:val="24"/>
      <w:szCs w:val="20"/>
    </w:rPr>
  </w:style>
  <w:style w:type="paragraph" w:styleId="BodyText">
    <w:name w:val="Body Text"/>
    <w:basedOn w:val="Normal"/>
    <w:link w:val="BodyTextChar"/>
    <w:rsid w:val="00A66E9A"/>
    <w:rPr>
      <w:rFonts w:ascii="Arial" w:hAnsi="Arial"/>
      <w:sz w:val="24"/>
    </w:rPr>
  </w:style>
  <w:style w:type="character" w:customStyle="1" w:styleId="BodyTextChar">
    <w:name w:val="Body Text Char"/>
    <w:basedOn w:val="DefaultParagraphFont"/>
    <w:link w:val="BodyText"/>
    <w:rsid w:val="00A66E9A"/>
    <w:rPr>
      <w:rFonts w:ascii="Arial" w:eastAsia="Times New Roman" w:hAnsi="Arial" w:cs="Times New Roman"/>
      <w:sz w:val="24"/>
      <w:szCs w:val="24"/>
    </w:rPr>
  </w:style>
  <w:style w:type="character" w:styleId="FootnoteReference">
    <w:name w:val="footnote reference"/>
    <w:semiHidden/>
    <w:rsid w:val="00A66E9A"/>
    <w:rPr>
      <w:rFonts w:ascii="Times New Roman" w:hAnsi="Times New Roman"/>
      <w:vertAlign w:val="superscript"/>
    </w:rPr>
  </w:style>
  <w:style w:type="paragraph" w:styleId="FootnoteText">
    <w:name w:val="footnote text"/>
    <w:basedOn w:val="Normal"/>
    <w:link w:val="FootnoteTextChar"/>
    <w:semiHidden/>
    <w:rsid w:val="00A66E9A"/>
    <w:rPr>
      <w:rFonts w:ascii="Arial" w:hAnsi="Arial"/>
      <w:szCs w:val="20"/>
    </w:rPr>
  </w:style>
  <w:style w:type="character" w:customStyle="1" w:styleId="FootnoteTextChar">
    <w:name w:val="Footnote Text Char"/>
    <w:basedOn w:val="DefaultParagraphFont"/>
    <w:link w:val="FootnoteText"/>
    <w:semiHidden/>
    <w:rsid w:val="00A66E9A"/>
    <w:rPr>
      <w:rFonts w:ascii="Arial" w:eastAsia="Times New Roman" w:hAnsi="Arial" w:cs="Times New Roman"/>
      <w:sz w:val="20"/>
      <w:szCs w:val="20"/>
    </w:rPr>
  </w:style>
  <w:style w:type="character" w:customStyle="1" w:styleId="StyleFootnoteReferenceArial12ptBold">
    <w:name w:val="Style Footnote Reference + Arial 12 pt Bold"/>
    <w:rsid w:val="00A66E9A"/>
    <w:rPr>
      <w:rFonts w:ascii="Arial" w:hAnsi="Arial"/>
      <w:b/>
      <w:bCs/>
      <w:sz w:val="24"/>
      <w:szCs w:val="24"/>
      <w:vertAlign w:val="superscript"/>
    </w:rPr>
  </w:style>
  <w:style w:type="paragraph" w:styleId="BalloonText">
    <w:name w:val="Balloon Text"/>
    <w:basedOn w:val="Normal"/>
    <w:link w:val="BalloonTextChar"/>
    <w:uiPriority w:val="99"/>
    <w:semiHidden/>
    <w:unhideWhenUsed/>
    <w:rsid w:val="00EC05BA"/>
    <w:rPr>
      <w:rFonts w:ascii="Tahoma" w:hAnsi="Tahoma" w:cs="Tahoma"/>
      <w:sz w:val="16"/>
      <w:szCs w:val="16"/>
    </w:rPr>
  </w:style>
  <w:style w:type="character" w:customStyle="1" w:styleId="BalloonTextChar">
    <w:name w:val="Balloon Text Char"/>
    <w:basedOn w:val="DefaultParagraphFont"/>
    <w:link w:val="BalloonText"/>
    <w:uiPriority w:val="99"/>
    <w:semiHidden/>
    <w:rsid w:val="00EC05BA"/>
    <w:rPr>
      <w:rFonts w:ascii="Tahoma" w:eastAsia="Times New Roman" w:hAnsi="Tahoma" w:cs="Tahoma"/>
      <w:sz w:val="16"/>
      <w:szCs w:val="16"/>
    </w:rPr>
  </w:style>
  <w:style w:type="paragraph" w:styleId="Footer">
    <w:name w:val="footer"/>
    <w:basedOn w:val="Normal"/>
    <w:link w:val="FooterChar"/>
    <w:uiPriority w:val="99"/>
    <w:unhideWhenUsed/>
    <w:rsid w:val="00220D61"/>
    <w:pPr>
      <w:tabs>
        <w:tab w:val="center" w:pos="4680"/>
        <w:tab w:val="right" w:pos="9360"/>
      </w:tabs>
    </w:pPr>
  </w:style>
  <w:style w:type="character" w:customStyle="1" w:styleId="FooterChar">
    <w:name w:val="Footer Char"/>
    <w:basedOn w:val="DefaultParagraphFont"/>
    <w:link w:val="Footer"/>
    <w:uiPriority w:val="99"/>
    <w:rsid w:val="00220D61"/>
    <w:rPr>
      <w:rFonts w:ascii="Courier" w:eastAsia="Times New Roman" w:hAnsi="Courier"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8E7"/>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A66E9A"/>
    <w:pPr>
      <w:keepNext/>
      <w:outlineLvl w:val="0"/>
    </w:pPr>
    <w:rPr>
      <w:rFonts w:ascii="Arial" w:hAnsi="Arial" w:cs="Arial"/>
      <w:b/>
      <w:bCs/>
      <w:sz w:val="24"/>
    </w:rPr>
  </w:style>
  <w:style w:type="paragraph" w:styleId="Heading2">
    <w:name w:val="heading 2"/>
    <w:basedOn w:val="Normal"/>
    <w:next w:val="Normal"/>
    <w:link w:val="Heading2Char"/>
    <w:qFormat/>
    <w:rsid w:val="00A66E9A"/>
    <w:pPr>
      <w:keepNext/>
      <w:jc w:val="center"/>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E9A"/>
    <w:rPr>
      <w:rFonts w:ascii="Arial" w:eastAsia="Times New Roman" w:hAnsi="Arial" w:cs="Arial"/>
      <w:b/>
      <w:bCs/>
      <w:sz w:val="24"/>
      <w:szCs w:val="24"/>
    </w:rPr>
  </w:style>
  <w:style w:type="character" w:customStyle="1" w:styleId="Heading2Char">
    <w:name w:val="Heading 2 Char"/>
    <w:basedOn w:val="DefaultParagraphFont"/>
    <w:link w:val="Heading2"/>
    <w:rsid w:val="00A66E9A"/>
    <w:rPr>
      <w:rFonts w:ascii="Arial" w:eastAsia="Times New Roman" w:hAnsi="Arial" w:cs="Arial"/>
      <w:b/>
      <w:bCs/>
      <w:sz w:val="24"/>
      <w:szCs w:val="24"/>
    </w:rPr>
  </w:style>
  <w:style w:type="paragraph" w:styleId="Header">
    <w:name w:val="header"/>
    <w:basedOn w:val="Normal"/>
    <w:link w:val="HeaderChar"/>
    <w:rsid w:val="00A66E9A"/>
    <w:pPr>
      <w:tabs>
        <w:tab w:val="center" w:pos="4320"/>
        <w:tab w:val="right" w:pos="8640"/>
      </w:tabs>
      <w:autoSpaceDE/>
      <w:autoSpaceDN/>
      <w:adjustRightInd/>
    </w:pPr>
    <w:rPr>
      <w:rFonts w:ascii="Times New Roman" w:hAnsi="Times New Roman"/>
      <w:sz w:val="24"/>
      <w:szCs w:val="20"/>
    </w:rPr>
  </w:style>
  <w:style w:type="character" w:customStyle="1" w:styleId="HeaderChar">
    <w:name w:val="Header Char"/>
    <w:basedOn w:val="DefaultParagraphFont"/>
    <w:link w:val="Header"/>
    <w:rsid w:val="00A66E9A"/>
    <w:rPr>
      <w:rFonts w:ascii="Times New Roman" w:eastAsia="Times New Roman" w:hAnsi="Times New Roman" w:cs="Times New Roman"/>
      <w:sz w:val="24"/>
      <w:szCs w:val="20"/>
    </w:rPr>
  </w:style>
  <w:style w:type="paragraph" w:styleId="BodyText">
    <w:name w:val="Body Text"/>
    <w:basedOn w:val="Normal"/>
    <w:link w:val="BodyTextChar"/>
    <w:rsid w:val="00A66E9A"/>
    <w:rPr>
      <w:rFonts w:ascii="Arial" w:hAnsi="Arial"/>
      <w:sz w:val="24"/>
    </w:rPr>
  </w:style>
  <w:style w:type="character" w:customStyle="1" w:styleId="BodyTextChar">
    <w:name w:val="Body Text Char"/>
    <w:basedOn w:val="DefaultParagraphFont"/>
    <w:link w:val="BodyText"/>
    <w:rsid w:val="00A66E9A"/>
    <w:rPr>
      <w:rFonts w:ascii="Arial" w:eastAsia="Times New Roman" w:hAnsi="Arial" w:cs="Times New Roman"/>
      <w:sz w:val="24"/>
      <w:szCs w:val="24"/>
    </w:rPr>
  </w:style>
  <w:style w:type="character" w:styleId="FootnoteReference">
    <w:name w:val="footnote reference"/>
    <w:semiHidden/>
    <w:rsid w:val="00A66E9A"/>
    <w:rPr>
      <w:rFonts w:ascii="Times New Roman" w:hAnsi="Times New Roman"/>
      <w:vertAlign w:val="superscript"/>
    </w:rPr>
  </w:style>
  <w:style w:type="paragraph" w:styleId="FootnoteText">
    <w:name w:val="footnote text"/>
    <w:basedOn w:val="Normal"/>
    <w:link w:val="FootnoteTextChar"/>
    <w:semiHidden/>
    <w:rsid w:val="00A66E9A"/>
    <w:rPr>
      <w:rFonts w:ascii="Arial" w:hAnsi="Arial"/>
      <w:szCs w:val="20"/>
    </w:rPr>
  </w:style>
  <w:style w:type="character" w:customStyle="1" w:styleId="FootnoteTextChar">
    <w:name w:val="Footnote Text Char"/>
    <w:basedOn w:val="DefaultParagraphFont"/>
    <w:link w:val="FootnoteText"/>
    <w:semiHidden/>
    <w:rsid w:val="00A66E9A"/>
    <w:rPr>
      <w:rFonts w:ascii="Arial" w:eastAsia="Times New Roman" w:hAnsi="Arial" w:cs="Times New Roman"/>
      <w:sz w:val="20"/>
      <w:szCs w:val="20"/>
    </w:rPr>
  </w:style>
  <w:style w:type="character" w:customStyle="1" w:styleId="StyleFootnoteReferenceArial12ptBold">
    <w:name w:val="Style Footnote Reference + Arial 12 pt Bold"/>
    <w:rsid w:val="00A66E9A"/>
    <w:rPr>
      <w:rFonts w:ascii="Arial" w:hAnsi="Arial"/>
      <w:b/>
      <w:bCs/>
      <w:sz w:val="24"/>
      <w:szCs w:val="24"/>
      <w:vertAlign w:val="superscript"/>
    </w:rPr>
  </w:style>
  <w:style w:type="paragraph" w:styleId="BalloonText">
    <w:name w:val="Balloon Text"/>
    <w:basedOn w:val="Normal"/>
    <w:link w:val="BalloonTextChar"/>
    <w:uiPriority w:val="99"/>
    <w:semiHidden/>
    <w:unhideWhenUsed/>
    <w:rsid w:val="00EC05BA"/>
    <w:rPr>
      <w:rFonts w:ascii="Tahoma" w:hAnsi="Tahoma" w:cs="Tahoma"/>
      <w:sz w:val="16"/>
      <w:szCs w:val="16"/>
    </w:rPr>
  </w:style>
  <w:style w:type="character" w:customStyle="1" w:styleId="BalloonTextChar">
    <w:name w:val="Balloon Text Char"/>
    <w:basedOn w:val="DefaultParagraphFont"/>
    <w:link w:val="BalloonText"/>
    <w:uiPriority w:val="99"/>
    <w:semiHidden/>
    <w:rsid w:val="00EC05BA"/>
    <w:rPr>
      <w:rFonts w:ascii="Tahoma" w:eastAsia="Times New Roman" w:hAnsi="Tahoma" w:cs="Tahoma"/>
      <w:sz w:val="16"/>
      <w:szCs w:val="16"/>
    </w:rPr>
  </w:style>
  <w:style w:type="paragraph" w:styleId="Footer">
    <w:name w:val="footer"/>
    <w:basedOn w:val="Normal"/>
    <w:link w:val="FooterChar"/>
    <w:uiPriority w:val="99"/>
    <w:unhideWhenUsed/>
    <w:rsid w:val="00220D61"/>
    <w:pPr>
      <w:tabs>
        <w:tab w:val="center" w:pos="4680"/>
        <w:tab w:val="right" w:pos="9360"/>
      </w:tabs>
    </w:pPr>
  </w:style>
  <w:style w:type="character" w:customStyle="1" w:styleId="FooterChar">
    <w:name w:val="Footer Char"/>
    <w:basedOn w:val="DefaultParagraphFont"/>
    <w:link w:val="Footer"/>
    <w:uiPriority w:val="99"/>
    <w:rsid w:val="00220D61"/>
    <w:rPr>
      <w:rFonts w:ascii="Courier" w:eastAsia="Times New Roman" w:hAnsi="Courier"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572931">
      <w:bodyDiv w:val="1"/>
      <w:marLeft w:val="0"/>
      <w:marRight w:val="0"/>
      <w:marTop w:val="0"/>
      <w:marBottom w:val="0"/>
      <w:divBdr>
        <w:top w:val="none" w:sz="0" w:space="0" w:color="auto"/>
        <w:left w:val="none" w:sz="0" w:space="0" w:color="auto"/>
        <w:bottom w:val="none" w:sz="0" w:space="0" w:color="auto"/>
        <w:right w:val="none" w:sz="0" w:space="0" w:color="auto"/>
      </w:divBdr>
    </w:div>
    <w:div w:id="384186927">
      <w:bodyDiv w:val="1"/>
      <w:marLeft w:val="0"/>
      <w:marRight w:val="0"/>
      <w:marTop w:val="0"/>
      <w:marBottom w:val="450"/>
      <w:divBdr>
        <w:top w:val="none" w:sz="0" w:space="0" w:color="auto"/>
        <w:left w:val="none" w:sz="0" w:space="0" w:color="auto"/>
        <w:bottom w:val="none" w:sz="0" w:space="0" w:color="auto"/>
        <w:right w:val="none" w:sz="0" w:space="0" w:color="auto"/>
      </w:divBdr>
      <w:divsChild>
        <w:div w:id="472719676">
          <w:marLeft w:val="90"/>
          <w:marRight w:val="90"/>
          <w:marTop w:val="0"/>
          <w:marBottom w:val="0"/>
          <w:divBdr>
            <w:top w:val="single" w:sz="6" w:space="23" w:color="DFDFDF"/>
            <w:left w:val="single" w:sz="6" w:space="23" w:color="DFDFDF"/>
            <w:bottom w:val="single" w:sz="6" w:space="8" w:color="DFDFDF"/>
            <w:right w:val="single" w:sz="6" w:space="23" w:color="DFDFDF"/>
          </w:divBdr>
          <w:divsChild>
            <w:div w:id="20940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5414">
      <w:bodyDiv w:val="1"/>
      <w:marLeft w:val="0"/>
      <w:marRight w:val="0"/>
      <w:marTop w:val="0"/>
      <w:marBottom w:val="450"/>
      <w:divBdr>
        <w:top w:val="none" w:sz="0" w:space="0" w:color="auto"/>
        <w:left w:val="none" w:sz="0" w:space="0" w:color="auto"/>
        <w:bottom w:val="none" w:sz="0" w:space="0" w:color="auto"/>
        <w:right w:val="none" w:sz="0" w:space="0" w:color="auto"/>
      </w:divBdr>
      <w:divsChild>
        <w:div w:id="254633833">
          <w:marLeft w:val="90"/>
          <w:marRight w:val="90"/>
          <w:marTop w:val="0"/>
          <w:marBottom w:val="0"/>
          <w:divBdr>
            <w:top w:val="single" w:sz="6" w:space="23" w:color="DFDFDF"/>
            <w:left w:val="single" w:sz="6" w:space="23" w:color="DFDFDF"/>
            <w:bottom w:val="single" w:sz="6" w:space="8" w:color="DFDFDF"/>
            <w:right w:val="single" w:sz="6" w:space="23" w:color="DFDFDF"/>
          </w:divBdr>
          <w:divsChild>
            <w:div w:id="12926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54655">
      <w:bodyDiv w:val="1"/>
      <w:marLeft w:val="0"/>
      <w:marRight w:val="0"/>
      <w:marTop w:val="0"/>
      <w:marBottom w:val="450"/>
      <w:divBdr>
        <w:top w:val="none" w:sz="0" w:space="0" w:color="auto"/>
        <w:left w:val="none" w:sz="0" w:space="0" w:color="auto"/>
        <w:bottom w:val="none" w:sz="0" w:space="0" w:color="auto"/>
        <w:right w:val="none" w:sz="0" w:space="0" w:color="auto"/>
      </w:divBdr>
      <w:divsChild>
        <w:div w:id="45371748">
          <w:marLeft w:val="90"/>
          <w:marRight w:val="90"/>
          <w:marTop w:val="0"/>
          <w:marBottom w:val="0"/>
          <w:divBdr>
            <w:top w:val="single" w:sz="6" w:space="23" w:color="DFDFDF"/>
            <w:left w:val="single" w:sz="6" w:space="23" w:color="DFDFDF"/>
            <w:bottom w:val="single" w:sz="6" w:space="8" w:color="DFDFDF"/>
            <w:right w:val="single" w:sz="6" w:space="23" w:color="DFDFDF"/>
          </w:divBdr>
          <w:divsChild>
            <w:div w:id="7731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9897">
      <w:bodyDiv w:val="1"/>
      <w:marLeft w:val="0"/>
      <w:marRight w:val="0"/>
      <w:marTop w:val="0"/>
      <w:marBottom w:val="450"/>
      <w:divBdr>
        <w:top w:val="none" w:sz="0" w:space="0" w:color="auto"/>
        <w:left w:val="none" w:sz="0" w:space="0" w:color="auto"/>
        <w:bottom w:val="none" w:sz="0" w:space="0" w:color="auto"/>
        <w:right w:val="none" w:sz="0" w:space="0" w:color="auto"/>
      </w:divBdr>
      <w:divsChild>
        <w:div w:id="1665663406">
          <w:marLeft w:val="90"/>
          <w:marRight w:val="90"/>
          <w:marTop w:val="0"/>
          <w:marBottom w:val="0"/>
          <w:divBdr>
            <w:top w:val="single" w:sz="6" w:space="23" w:color="DFDFDF"/>
            <w:left w:val="single" w:sz="6" w:space="23" w:color="DFDFDF"/>
            <w:bottom w:val="single" w:sz="6" w:space="8" w:color="DFDFDF"/>
            <w:right w:val="single" w:sz="6" w:space="23" w:color="DFDFDF"/>
          </w:divBdr>
          <w:divsChild>
            <w:div w:id="108252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94B27-BD8F-4A1B-BF4F-DE2E0EC34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 Brittney (Intern / OCP)</dc:creator>
  <cp:lastModifiedBy>Tracy Crews</cp:lastModifiedBy>
  <cp:revision>7</cp:revision>
  <cp:lastPrinted>2013-11-07T18:39:00Z</cp:lastPrinted>
  <dcterms:created xsi:type="dcterms:W3CDTF">2013-11-07T18:28:00Z</dcterms:created>
  <dcterms:modified xsi:type="dcterms:W3CDTF">2013-11-07T19:32:00Z</dcterms:modified>
</cp:coreProperties>
</file>