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FD" w:rsidRPr="00165553" w:rsidRDefault="00740BFD" w:rsidP="00740BF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Cs/>
        </w:rPr>
      </w:pPr>
      <w:r>
        <w:t>14.  Institutions should consider liquidity costs, benefits, and risks in strategic planning and budgeting processes.  Significant business activities should be evaluated for both liquidity risk exposure and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957F5B" w:rsidRDefault="00957F5B"/>
    <w:sectPr w:rsidR="00957F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BFD"/>
    <w:rsid w:val="0029200F"/>
    <w:rsid w:val="00740BFD"/>
    <w:rsid w:val="008D7F91"/>
    <w:rsid w:val="00926CE1"/>
    <w:rsid w:val="00957F5B"/>
    <w:rsid w:val="00AE3FF4"/>
    <w:rsid w:val="00AF1998"/>
    <w:rsid w:val="00E16F57"/>
    <w:rsid w:val="00E671AC"/>
    <w:rsid w:val="00EF70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BF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vt:lpstr>
    </vt:vector>
  </TitlesOfParts>
  <Company>OCC</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creator>OCC</dc:creator>
  <cp:lastModifiedBy>Tracy Crews</cp:lastModifiedBy>
  <cp:revision>2</cp:revision>
  <dcterms:created xsi:type="dcterms:W3CDTF">2010-05-21T18:35:00Z</dcterms:created>
  <dcterms:modified xsi:type="dcterms:W3CDTF">2010-05-21T18:35:00Z</dcterms:modified>
</cp:coreProperties>
</file>