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B9F" w:rsidRPr="00A36B9F" w:rsidRDefault="00A36B9F" w:rsidP="00A36B9F">
      <w:pPr>
        <w:pStyle w:val="Title"/>
        <w:tabs>
          <w:tab w:val="center" w:pos="5148"/>
        </w:tabs>
        <w:rPr>
          <w:rFonts w:ascii="Times New Roman" w:hAnsi="Times New Roman"/>
          <w:sz w:val="24"/>
          <w:szCs w:val="24"/>
        </w:rPr>
      </w:pPr>
      <w:bookmarkStart w:id="0" w:name="_GoBack"/>
      <w:bookmarkEnd w:id="0"/>
      <w:r w:rsidRPr="00A36B9F">
        <w:rPr>
          <w:rFonts w:ascii="Times New Roman" w:hAnsi="Times New Roman"/>
          <w:sz w:val="24"/>
          <w:szCs w:val="24"/>
        </w:rPr>
        <w:t>Supporting Statement for Paperwork Reduction Act Submissions</w:t>
      </w:r>
    </w:p>
    <w:p w:rsidR="00A36B9F" w:rsidRPr="00A36B9F" w:rsidRDefault="00A36B9F" w:rsidP="00A36B9F">
      <w:pPr>
        <w:tabs>
          <w:tab w:val="center" w:pos="5148"/>
        </w:tabs>
        <w:suppressAutoHyphens/>
        <w:jc w:val="center"/>
        <w:rPr>
          <w:b/>
          <w:sz w:val="24"/>
          <w:szCs w:val="24"/>
        </w:rPr>
      </w:pPr>
      <w:r w:rsidRPr="00A36B9F">
        <w:rPr>
          <w:b/>
          <w:sz w:val="24"/>
          <w:szCs w:val="24"/>
        </w:rPr>
        <w:t>Promise Zones</w:t>
      </w:r>
    </w:p>
    <w:p w:rsidR="00A36B9F" w:rsidRPr="00A36B9F" w:rsidRDefault="00A36B9F" w:rsidP="00A36B9F">
      <w:pPr>
        <w:tabs>
          <w:tab w:val="center" w:pos="5148"/>
        </w:tabs>
        <w:suppressAutoHyphens/>
        <w:jc w:val="center"/>
        <w:rPr>
          <w:b/>
          <w:sz w:val="24"/>
          <w:szCs w:val="24"/>
        </w:rPr>
      </w:pPr>
      <w:r w:rsidRPr="00A36B9F">
        <w:rPr>
          <w:b/>
          <w:sz w:val="24"/>
          <w:szCs w:val="24"/>
        </w:rPr>
        <w:t>OMB Number 2577-xxxx</w:t>
      </w:r>
    </w:p>
    <w:p w:rsidR="00A36B9F" w:rsidRDefault="00A36B9F" w:rsidP="00A36B9F">
      <w:pPr>
        <w:tabs>
          <w:tab w:val="center" w:pos="5148"/>
        </w:tabs>
        <w:suppressAutoHyphens/>
        <w:jc w:val="center"/>
        <w:rPr>
          <w:b/>
        </w:rPr>
      </w:pPr>
    </w:p>
    <w:p w:rsidR="00A36B9F" w:rsidRDefault="00A36B9F" w:rsidP="00A36B9F">
      <w:pPr>
        <w:tabs>
          <w:tab w:val="center" w:pos="5148"/>
        </w:tabs>
        <w:suppressAutoHyphens/>
        <w:jc w:val="center"/>
        <w:rPr>
          <w:b/>
        </w:rPr>
      </w:pPr>
    </w:p>
    <w:p w:rsidR="00A36B9F" w:rsidRDefault="00A36B9F" w:rsidP="00A36B9F">
      <w:pPr>
        <w:pStyle w:val="BodyTextIndent2"/>
        <w:tabs>
          <w:tab w:val="clear" w:pos="0"/>
          <w:tab w:val="left" w:pos="360"/>
        </w:tabs>
        <w:spacing w:after="120" w:line="240" w:lineRule="auto"/>
        <w:ind w:hanging="360"/>
        <w:rPr>
          <w:b/>
        </w:rPr>
      </w:pPr>
      <w:r>
        <w:rPr>
          <w:b/>
        </w:rPr>
        <w:t>A.</w:t>
      </w:r>
      <w:r>
        <w:rPr>
          <w:b/>
        </w:rPr>
        <w:tab/>
        <w:t>Justification</w:t>
      </w:r>
    </w:p>
    <w:p w:rsidR="00A36B9F" w:rsidRPr="00B275B8" w:rsidRDefault="00A36B9F" w:rsidP="00A36B9F">
      <w:pPr>
        <w:ind w:left="360"/>
        <w:rPr>
          <w:sz w:val="24"/>
          <w:szCs w:val="24"/>
        </w:rPr>
      </w:pPr>
      <w:r w:rsidRPr="00B275B8">
        <w:rPr>
          <w:sz w:val="24"/>
          <w:szCs w:val="24"/>
        </w:rPr>
        <w:t>1.</w:t>
      </w:r>
      <w:r w:rsidRPr="00B275B8">
        <w:rPr>
          <w:sz w:val="24"/>
          <w:szCs w:val="24"/>
        </w:rPr>
        <w:tab/>
        <w:t>Under the Promise Zones initiative, the federal government will invest and partner with high-poverty urban, rural, and tribal communities to create jobs, increase economic activity, improve educational opportunities, leverage private investment, and reduce violent crime. Additional information about the Promise Zones initiative can be found at </w:t>
      </w:r>
      <w:hyperlink r:id="rId7" w:history="1">
        <w:r w:rsidRPr="00B275B8">
          <w:rPr>
            <w:rStyle w:val="Hyperlink"/>
            <w:i/>
            <w:iCs/>
            <w:sz w:val="24"/>
            <w:szCs w:val="24"/>
          </w:rPr>
          <w:t>www.hud.gov/promisezones</w:t>
        </w:r>
      </w:hyperlink>
      <w:r w:rsidRPr="00B275B8">
        <w:rPr>
          <w:sz w:val="24"/>
          <w:szCs w:val="24"/>
        </w:rPr>
        <w:t>, and questions can be addressed to </w:t>
      </w:r>
      <w:hyperlink r:id="rId8" w:history="1">
        <w:r w:rsidRPr="00B275B8">
          <w:rPr>
            <w:rStyle w:val="Hyperlink"/>
            <w:i/>
            <w:iCs/>
            <w:sz w:val="24"/>
            <w:szCs w:val="24"/>
          </w:rPr>
          <w:t>promisezones@hud.gov</w:t>
        </w:r>
      </w:hyperlink>
      <w:r w:rsidRPr="00B275B8">
        <w:rPr>
          <w:i/>
          <w:iCs/>
          <w:sz w:val="24"/>
          <w:szCs w:val="24"/>
        </w:rPr>
        <w:t>.</w:t>
      </w:r>
      <w:r w:rsidRPr="00B275B8">
        <w:rPr>
          <w:sz w:val="24"/>
          <w:szCs w:val="24"/>
        </w:rPr>
        <w:t xml:space="preserve">  The selection of communities to be designated as Promise Zones in 2013 is being conducted as a demonstration pursuant to section 7(d) of the Department of Housing and Urban Development Act, and following a process meeting the requirements of Section 470(a) of the Housing and Urban-Rural Recovery Act of 1983 (42 U.S.C. 3542).  </w:t>
      </w:r>
    </w:p>
    <w:p w:rsidR="00A36B9F" w:rsidRPr="00B275B8" w:rsidRDefault="00A36B9F" w:rsidP="00A36B9F">
      <w:pPr>
        <w:ind w:firstLine="720"/>
      </w:pPr>
    </w:p>
    <w:p w:rsidR="00A36B9F" w:rsidRPr="00B275B8" w:rsidRDefault="00A36B9F" w:rsidP="00A36B9F">
      <w:pPr>
        <w:pStyle w:val="BodyTextIndent2"/>
        <w:tabs>
          <w:tab w:val="clear" w:pos="0"/>
          <w:tab w:val="left" w:pos="360"/>
        </w:tabs>
        <w:spacing w:after="120" w:line="240" w:lineRule="auto"/>
        <w:ind w:hanging="360"/>
      </w:pPr>
      <w:r w:rsidRPr="00B275B8">
        <w:rPr>
          <w:b/>
          <w:bCs/>
        </w:rPr>
        <w:tab/>
      </w:r>
      <w:r w:rsidRPr="00B275B8">
        <w:t xml:space="preserve">Eligible applicants interested in obtaining Promise Zone designations will be required to submit applications to HUD.  The application covers the information needed from local government entities, or housing authorities or nonprofits working with local government entities to determine which applicants should be designated.  The information provided demonstrates the applicants’ plans to implement the initiative requirements, which includes the capacity of lead applicant and partners.  The information will be used by federal agency staff to evaluate threshold requirements and rate and rank applications.  </w:t>
      </w:r>
    </w:p>
    <w:p w:rsidR="00A36B9F" w:rsidRPr="00B275B8" w:rsidRDefault="00A36B9F" w:rsidP="00A36B9F">
      <w:pPr>
        <w:pStyle w:val="BodyTextIndent2"/>
        <w:tabs>
          <w:tab w:val="clear" w:pos="0"/>
          <w:tab w:val="left" w:pos="360"/>
        </w:tabs>
        <w:spacing w:after="120" w:line="240" w:lineRule="auto"/>
        <w:ind w:hanging="360"/>
      </w:pPr>
      <w:r w:rsidRPr="00B275B8">
        <w:rPr>
          <w:b/>
          <w:bCs/>
        </w:rPr>
        <w:t>3</w:t>
      </w:r>
      <w:r w:rsidRPr="00B275B8">
        <w:t>.</w:t>
      </w:r>
      <w:r w:rsidRPr="00B275B8">
        <w:tab/>
      </w:r>
      <w:r w:rsidRPr="00B275B8">
        <w:rPr>
          <w:b/>
          <w:bCs/>
        </w:rPr>
        <w:t xml:space="preserve">Technology applied to the collection: </w:t>
      </w:r>
      <w:r w:rsidRPr="00B275B8">
        <w:t xml:space="preserve">This information collection includes a fillable PDF form to improve data quality and to reduce the public reporting burden. Other materials will be collected through electronic submission via </w:t>
      </w:r>
      <w:hyperlink r:id="rId9" w:history="1">
        <w:r w:rsidRPr="00B275B8">
          <w:rPr>
            <w:rStyle w:val="Hyperlink"/>
          </w:rPr>
          <w:t>promisezones@hud.gov</w:t>
        </w:r>
      </w:hyperlink>
      <w:r w:rsidRPr="00B275B8">
        <w:t xml:space="preserve">. </w:t>
      </w:r>
    </w:p>
    <w:p w:rsidR="00A36B9F" w:rsidRPr="00B275B8" w:rsidRDefault="00A36B9F" w:rsidP="00A36B9F">
      <w:pPr>
        <w:pStyle w:val="BodyTextIndent2"/>
        <w:tabs>
          <w:tab w:val="clear" w:pos="0"/>
          <w:tab w:val="left" w:pos="360"/>
        </w:tabs>
        <w:spacing w:after="120" w:line="240" w:lineRule="auto"/>
        <w:ind w:hanging="360"/>
      </w:pPr>
      <w:r w:rsidRPr="00B275B8">
        <w:rPr>
          <w:b/>
        </w:rPr>
        <w:t>4.</w:t>
      </w:r>
      <w:r w:rsidRPr="00B275B8">
        <w:rPr>
          <w:b/>
        </w:rPr>
        <w:tab/>
        <w:t xml:space="preserve">Duplication of Effort: </w:t>
      </w:r>
      <w:r w:rsidRPr="00B275B8">
        <w:t xml:space="preserve">There is no duplication of effort.  Information collected is unique to each type of collection and does not duplicate any similar information or method.  </w:t>
      </w:r>
      <w:proofErr w:type="gramStart"/>
      <w:r w:rsidRPr="00B275B8">
        <w:t>In developing this information collection, HUD and other agencies have built upon the experience with programs in relevant policy areas that are administered by multiple agencies, including the Choice Neighborhoods, Promise Neighborhoods, Byrne Criminal Justice Innovation programs and Rural Development programs.</w:t>
      </w:r>
      <w:proofErr w:type="gramEnd"/>
      <w:r w:rsidRPr="00B275B8">
        <w:t xml:space="preserve">  An online mapping tool, adapted from the Choice Neighborhoods program, will be used to assist applicants in gathering demographic, property and other important data for the geography they define as their Promise Zone.  </w:t>
      </w:r>
    </w:p>
    <w:p w:rsidR="00A36B9F" w:rsidRPr="00B275B8" w:rsidRDefault="00A36B9F" w:rsidP="00A36B9F">
      <w:pPr>
        <w:pStyle w:val="BodyTextIndent2"/>
        <w:tabs>
          <w:tab w:val="clear" w:pos="0"/>
          <w:tab w:val="left" w:pos="360"/>
        </w:tabs>
        <w:spacing w:after="120" w:line="240" w:lineRule="auto"/>
        <w:ind w:hanging="360"/>
      </w:pPr>
      <w:r w:rsidRPr="00B275B8">
        <w:rPr>
          <w:b/>
        </w:rPr>
        <w:t>5.</w:t>
      </w:r>
      <w:r w:rsidRPr="00B275B8">
        <w:rPr>
          <w:b/>
        </w:rPr>
        <w:tab/>
        <w:t xml:space="preserve">Impact on Small Business and Small Entities:  </w:t>
      </w:r>
      <w:r w:rsidRPr="00B275B8">
        <w:t>These information collections have no impact on small businesses or other entities.</w:t>
      </w:r>
    </w:p>
    <w:p w:rsidR="00A36B9F" w:rsidRPr="00B275B8" w:rsidRDefault="00A36B9F" w:rsidP="00A36B9F">
      <w:pPr>
        <w:pStyle w:val="BodyTextIndent2"/>
        <w:tabs>
          <w:tab w:val="clear" w:pos="0"/>
          <w:tab w:val="left" w:pos="360"/>
        </w:tabs>
        <w:spacing w:after="120" w:line="240" w:lineRule="auto"/>
        <w:ind w:hanging="360"/>
      </w:pPr>
      <w:r w:rsidRPr="00B275B8">
        <w:rPr>
          <w:b/>
        </w:rPr>
        <w:t>6.</w:t>
      </w:r>
      <w:r w:rsidRPr="00B275B8">
        <w:rPr>
          <w:b/>
        </w:rPr>
        <w:tab/>
        <w:t xml:space="preserve">Consequence of Less Frequent Collection:  </w:t>
      </w:r>
      <w:r w:rsidRPr="00B275B8">
        <w:t xml:space="preserve">The selection process for designations could not be conducted in a fair and transparent manner if the collection is not conducted.  </w:t>
      </w:r>
    </w:p>
    <w:p w:rsidR="00A36B9F" w:rsidRPr="00B275B8" w:rsidRDefault="00A36B9F" w:rsidP="00A36B9F">
      <w:pPr>
        <w:pStyle w:val="BodyTextIndent2"/>
        <w:tabs>
          <w:tab w:val="clear" w:pos="0"/>
          <w:tab w:val="left" w:pos="360"/>
        </w:tabs>
        <w:spacing w:after="120" w:line="240" w:lineRule="auto"/>
        <w:ind w:hanging="360"/>
      </w:pPr>
      <w:r w:rsidRPr="00B275B8">
        <w:rPr>
          <w:b/>
        </w:rPr>
        <w:t xml:space="preserve">7. </w:t>
      </w:r>
      <w:r w:rsidRPr="00B275B8">
        <w:rPr>
          <w:b/>
        </w:rPr>
        <w:tab/>
        <w:t xml:space="preserve">Special Circumstances for Information Collection: </w:t>
      </w:r>
      <w:r w:rsidRPr="00B275B8">
        <w:t xml:space="preserve">There are no special circumstances that would cause these information collections to be conducted inappropriately. </w:t>
      </w:r>
    </w:p>
    <w:p w:rsidR="00A36B9F" w:rsidRDefault="00A36B9F" w:rsidP="00A36B9F">
      <w:pPr>
        <w:pStyle w:val="BodyTextIndent2"/>
        <w:tabs>
          <w:tab w:val="clear" w:pos="0"/>
          <w:tab w:val="left" w:pos="360"/>
        </w:tabs>
        <w:spacing w:after="120" w:line="240" w:lineRule="auto"/>
        <w:ind w:hanging="360"/>
      </w:pPr>
      <w:r w:rsidRPr="00B275B8">
        <w:rPr>
          <w:b/>
        </w:rPr>
        <w:t xml:space="preserve"> 8.</w:t>
      </w:r>
      <w:r w:rsidRPr="00B275B8">
        <w:rPr>
          <w:b/>
        </w:rPr>
        <w:tab/>
        <w:t xml:space="preserve">Federal Register Notice and Public Comments:  </w:t>
      </w:r>
      <w:r w:rsidRPr="00B275B8">
        <w:t xml:space="preserve">A Notice was published in the </w:t>
      </w:r>
      <w:r w:rsidRPr="00B275B8">
        <w:rPr>
          <w:i/>
        </w:rPr>
        <w:t>Federal Register,</w:t>
      </w:r>
      <w:r w:rsidRPr="00B275B8">
        <w:t xml:space="preserve"> Volume 78, </w:t>
      </w:r>
      <w:proofErr w:type="gramStart"/>
      <w:r w:rsidRPr="00B275B8">
        <w:t>page</w:t>
      </w:r>
      <w:proofErr w:type="gramEnd"/>
      <w:r w:rsidRPr="00B275B8">
        <w:t xml:space="preserve"> 48182 on</w:t>
      </w:r>
      <w:r w:rsidRPr="00B275B8">
        <w:rPr>
          <w:rFonts w:ascii="Melior" w:hAnsi="Melior" w:cs="Melior"/>
        </w:rPr>
        <w:t xml:space="preserve"> Wednesday, August 7, 2013</w:t>
      </w:r>
      <w:r w:rsidRPr="00B275B8">
        <w:t>, to solicit comments on the Promise Zones information collection. Two comments were received in response to the Federal Register notice.  While many comments and questions were received by email about the initiative, they generally focused on the policy and programmatic content of the initiative, how it will be evaluated, and related matters.  No questions received by email related to the estimated burden of the information collection except requests for clarification respecting submission deadlines.</w:t>
      </w:r>
      <w:r>
        <w:t xml:space="preserve">  </w:t>
      </w:r>
    </w:p>
    <w:p w:rsidR="00A36B9F" w:rsidRDefault="00A36B9F" w:rsidP="00A36B9F">
      <w:pPr>
        <w:pStyle w:val="BodyTextIndent2"/>
        <w:tabs>
          <w:tab w:val="clear" w:pos="0"/>
          <w:tab w:val="left" w:pos="360"/>
        </w:tabs>
        <w:spacing w:after="120" w:line="240" w:lineRule="auto"/>
      </w:pPr>
      <w:r>
        <w:rPr>
          <w:rFonts w:eastAsiaTheme="minorEastAsia"/>
          <w:color w:val="000000"/>
          <w:szCs w:val="24"/>
        </w:rPr>
        <w:lastRenderedPageBreak/>
        <w:t xml:space="preserve">The Department is requesting </w:t>
      </w:r>
      <w:r w:rsidRPr="00653F5B">
        <w:rPr>
          <w:rFonts w:eastAsiaTheme="minorEastAsia"/>
          <w:color w:val="000000"/>
          <w:szCs w:val="24"/>
        </w:rPr>
        <w:t xml:space="preserve">emergency clearance procedures </w:t>
      </w:r>
      <w:r>
        <w:rPr>
          <w:rFonts w:eastAsiaTheme="minorEastAsia"/>
          <w:color w:val="000000"/>
          <w:szCs w:val="24"/>
        </w:rPr>
        <w:t xml:space="preserve">and waiver of the second Federal Register notice and comment period.  The request is being made </w:t>
      </w:r>
      <w:r w:rsidRPr="00653F5B">
        <w:rPr>
          <w:rFonts w:eastAsiaTheme="minorEastAsia"/>
          <w:color w:val="000000"/>
          <w:szCs w:val="24"/>
        </w:rPr>
        <w:t>due to the unexpected event of the partial government shut-down, which prevented the publication of the second Federal Register notice and consideration of comment during the period beginning October 1 and ending October 16, 2013</w:t>
      </w:r>
      <w:r>
        <w:rPr>
          <w:rFonts w:eastAsiaTheme="minorEastAsia"/>
          <w:color w:val="000000"/>
          <w:szCs w:val="24"/>
        </w:rPr>
        <w:t>.</w:t>
      </w:r>
    </w:p>
    <w:p w:rsidR="00A36B9F" w:rsidRDefault="00A36B9F" w:rsidP="00A36B9F">
      <w:pPr>
        <w:pStyle w:val="BodyTextIndent2"/>
        <w:tabs>
          <w:tab w:val="clear" w:pos="0"/>
          <w:tab w:val="left" w:pos="360"/>
        </w:tabs>
        <w:spacing w:after="120" w:line="240" w:lineRule="auto"/>
        <w:ind w:hanging="360"/>
      </w:pPr>
      <w:r>
        <w:rPr>
          <w:b/>
        </w:rPr>
        <w:t>9.</w:t>
      </w:r>
      <w:r>
        <w:rPr>
          <w:b/>
        </w:rPr>
        <w:tab/>
        <w:t xml:space="preserve">Payment/Gifts to Respondents:  </w:t>
      </w:r>
      <w:r>
        <w:t>No payments or gifts are provided to respondents for any of these information collections.</w:t>
      </w:r>
    </w:p>
    <w:p w:rsidR="00A36B9F" w:rsidRDefault="00A36B9F" w:rsidP="00A36B9F">
      <w:pPr>
        <w:pStyle w:val="BodyTextIndent2"/>
        <w:tabs>
          <w:tab w:val="clear" w:pos="0"/>
          <w:tab w:val="left" w:pos="360"/>
        </w:tabs>
        <w:spacing w:after="120" w:line="240" w:lineRule="auto"/>
        <w:ind w:hanging="360"/>
      </w:pPr>
      <w:r>
        <w:rPr>
          <w:b/>
        </w:rPr>
        <w:t>10.</w:t>
      </w:r>
      <w:r>
        <w:rPr>
          <w:b/>
        </w:rPr>
        <w:tab/>
        <w:t xml:space="preserve">Assurances of Confidentiality:  </w:t>
      </w:r>
      <w:r>
        <w:tab/>
        <w:t xml:space="preserve">Assurance of confidentiality is neither provided nor needed for any of these information collections.  </w:t>
      </w:r>
    </w:p>
    <w:p w:rsidR="00A36B9F" w:rsidRDefault="00A36B9F" w:rsidP="00A36B9F">
      <w:pPr>
        <w:pStyle w:val="BodyTextIndent2"/>
        <w:tabs>
          <w:tab w:val="clear" w:pos="0"/>
          <w:tab w:val="left" w:pos="360"/>
        </w:tabs>
        <w:spacing w:after="120" w:line="240" w:lineRule="auto"/>
        <w:ind w:hanging="360"/>
      </w:pPr>
      <w:r>
        <w:rPr>
          <w:b/>
        </w:rPr>
        <w:t>11.</w:t>
      </w:r>
      <w:r>
        <w:rPr>
          <w:b/>
        </w:rPr>
        <w:tab/>
        <w:t xml:space="preserve">Questions of a Sensitive Nature:  </w:t>
      </w:r>
      <w:r>
        <w:t>No sensitive questions are being asked for any of these information collections.</w:t>
      </w:r>
    </w:p>
    <w:p w:rsidR="00A36B9F" w:rsidRDefault="00A36B9F" w:rsidP="00A36B9F">
      <w:pPr>
        <w:pStyle w:val="BodyTextIndent2"/>
        <w:keepNext/>
        <w:keepLines/>
        <w:tabs>
          <w:tab w:val="clear" w:pos="0"/>
          <w:tab w:val="left" w:pos="360"/>
        </w:tabs>
        <w:spacing w:after="120" w:line="240" w:lineRule="auto"/>
        <w:ind w:hanging="360"/>
      </w:pPr>
      <w:r>
        <w:rPr>
          <w:b/>
        </w:rPr>
        <w:t>12.</w:t>
      </w:r>
      <w:r>
        <w:rPr>
          <w:b/>
        </w:rPr>
        <w:tab/>
        <w:t xml:space="preserve">Estimate of Annual Burden Hours for Information Collection:  </w:t>
      </w:r>
      <w:r>
        <w:rPr>
          <w:bCs/>
        </w:rPr>
        <w:t>The chart below outlines the burden associated with the various aspects of the Promise Zones initiative and a breakout of the forms associated with each portion of that burden.</w:t>
      </w:r>
    </w:p>
    <w:p w:rsidR="00A36B9F" w:rsidRDefault="00A36B9F" w:rsidP="00A36B9F">
      <w:pPr>
        <w:pStyle w:val="BodyTextIndent2"/>
        <w:tabs>
          <w:tab w:val="left" w:pos="360"/>
        </w:tabs>
        <w:spacing w:after="120" w:line="240" w:lineRule="auto"/>
        <w:ind w:hanging="336"/>
      </w:pPr>
      <w:r>
        <w:rPr>
          <w:b/>
        </w:rPr>
        <w:tab/>
      </w:r>
      <w:r w:rsidRPr="00406851">
        <w:t>F</w:t>
      </w:r>
      <w:r>
        <w:t xml:space="preserve">or Promise Zones the burden hours per response total 48 hours. The total burden hours is estimated at 3,744 hours.  </w:t>
      </w:r>
    </w:p>
    <w:tbl>
      <w:tblPr>
        <w:tblW w:w="10080" w:type="dxa"/>
        <w:tblInd w:w="-72" w:type="dxa"/>
        <w:tblLayout w:type="fixed"/>
        <w:tblCellMar>
          <w:left w:w="0" w:type="dxa"/>
          <w:right w:w="0" w:type="dxa"/>
        </w:tblCellMar>
        <w:tblLook w:val="04A0" w:firstRow="1" w:lastRow="0" w:firstColumn="1" w:lastColumn="0" w:noHBand="0" w:noVBand="1"/>
      </w:tblPr>
      <w:tblGrid>
        <w:gridCol w:w="1800"/>
        <w:gridCol w:w="1350"/>
        <w:gridCol w:w="1260"/>
        <w:gridCol w:w="1170"/>
        <w:gridCol w:w="1080"/>
        <w:gridCol w:w="900"/>
        <w:gridCol w:w="1350"/>
        <w:gridCol w:w="1170"/>
      </w:tblGrid>
      <w:tr w:rsidR="00A36B9F" w:rsidTr="000A0C05">
        <w:tc>
          <w:tcPr>
            <w:tcW w:w="180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36B9F" w:rsidRDefault="00A36B9F" w:rsidP="000A0C05">
            <w:pPr>
              <w:jc w:val="center"/>
              <w:rPr>
                <w:rFonts w:eastAsia="Calibri"/>
                <w:b/>
                <w:color w:val="000000"/>
              </w:rPr>
            </w:pPr>
            <w:r>
              <w:rPr>
                <w:b/>
                <w:color w:val="000000"/>
              </w:rPr>
              <w:t>Information Collection</w:t>
            </w:r>
          </w:p>
        </w:tc>
        <w:tc>
          <w:tcPr>
            <w:tcW w:w="135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A36B9F" w:rsidRDefault="00A36B9F" w:rsidP="000A0C05">
            <w:pPr>
              <w:jc w:val="center"/>
              <w:rPr>
                <w:rFonts w:eastAsia="Calibri"/>
                <w:b/>
                <w:color w:val="000000"/>
              </w:rPr>
            </w:pPr>
            <w:r>
              <w:rPr>
                <w:b/>
                <w:color w:val="000000"/>
              </w:rPr>
              <w:t>Number of Respondents</w:t>
            </w:r>
          </w:p>
        </w:tc>
        <w:tc>
          <w:tcPr>
            <w:tcW w:w="126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A36B9F" w:rsidRDefault="00A36B9F" w:rsidP="000A0C05">
            <w:pPr>
              <w:jc w:val="center"/>
              <w:rPr>
                <w:rFonts w:eastAsia="Calibri"/>
                <w:b/>
                <w:color w:val="000000"/>
              </w:rPr>
            </w:pPr>
            <w:r>
              <w:rPr>
                <w:b/>
                <w:color w:val="000000"/>
              </w:rPr>
              <w:t>Frequency of Response</w:t>
            </w:r>
          </w:p>
        </w:tc>
        <w:tc>
          <w:tcPr>
            <w:tcW w:w="117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A36B9F" w:rsidRDefault="00A36B9F" w:rsidP="000A0C05">
            <w:pPr>
              <w:jc w:val="center"/>
              <w:rPr>
                <w:rFonts w:eastAsia="Calibri"/>
                <w:b/>
                <w:color w:val="000000"/>
              </w:rPr>
            </w:pPr>
            <w:r>
              <w:rPr>
                <w:b/>
                <w:color w:val="000000"/>
              </w:rPr>
              <w:t>Responses</w:t>
            </w:r>
          </w:p>
          <w:p w:rsidR="00A36B9F" w:rsidRDefault="00A36B9F" w:rsidP="000A0C05">
            <w:pPr>
              <w:jc w:val="center"/>
              <w:rPr>
                <w:rFonts w:eastAsia="Calibri"/>
                <w:b/>
                <w:color w:val="000000"/>
              </w:rPr>
            </w:pPr>
            <w:r>
              <w:rPr>
                <w:b/>
                <w:color w:val="000000"/>
              </w:rPr>
              <w:t>Per Annum</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A36B9F" w:rsidRDefault="00A36B9F" w:rsidP="000A0C05">
            <w:pPr>
              <w:jc w:val="center"/>
              <w:rPr>
                <w:rFonts w:eastAsia="Calibri"/>
                <w:b/>
                <w:color w:val="000000"/>
              </w:rPr>
            </w:pPr>
            <w:r>
              <w:rPr>
                <w:b/>
                <w:color w:val="000000"/>
              </w:rPr>
              <w:t>Burden Hour Per Response</w:t>
            </w:r>
          </w:p>
        </w:tc>
        <w:tc>
          <w:tcPr>
            <w:tcW w:w="90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A36B9F" w:rsidRDefault="00A36B9F" w:rsidP="000A0C05">
            <w:pPr>
              <w:jc w:val="center"/>
              <w:rPr>
                <w:rFonts w:eastAsia="Calibri"/>
                <w:b/>
                <w:color w:val="000000"/>
              </w:rPr>
            </w:pPr>
            <w:r>
              <w:rPr>
                <w:b/>
                <w:color w:val="000000"/>
              </w:rPr>
              <w:t>Annual Burden Hours</w:t>
            </w:r>
          </w:p>
        </w:tc>
        <w:tc>
          <w:tcPr>
            <w:tcW w:w="135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A36B9F" w:rsidRDefault="00A36B9F" w:rsidP="000A0C05">
            <w:pPr>
              <w:jc w:val="center"/>
              <w:rPr>
                <w:rFonts w:eastAsia="Calibri"/>
                <w:b/>
                <w:color w:val="000000"/>
              </w:rPr>
            </w:pPr>
            <w:r>
              <w:rPr>
                <w:b/>
                <w:color w:val="000000"/>
              </w:rPr>
              <w:t>Hourly Cost Per Response</w:t>
            </w:r>
          </w:p>
        </w:tc>
        <w:tc>
          <w:tcPr>
            <w:tcW w:w="117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36B9F" w:rsidRDefault="00A36B9F" w:rsidP="000A0C05">
            <w:pPr>
              <w:jc w:val="center"/>
              <w:rPr>
                <w:rFonts w:eastAsia="Calibri"/>
                <w:b/>
                <w:color w:val="000000"/>
              </w:rPr>
            </w:pPr>
            <w:r>
              <w:rPr>
                <w:b/>
                <w:color w:val="000000"/>
              </w:rPr>
              <w:t>Annual Cost</w:t>
            </w:r>
          </w:p>
          <w:p w:rsidR="00A36B9F" w:rsidRDefault="00A36B9F" w:rsidP="000A0C05">
            <w:pPr>
              <w:jc w:val="center"/>
              <w:rPr>
                <w:rFonts w:eastAsia="Calibri"/>
                <w:b/>
                <w:color w:val="000000"/>
              </w:rPr>
            </w:pPr>
          </w:p>
        </w:tc>
      </w:tr>
      <w:tr w:rsidR="00A36B9F" w:rsidTr="000A0C05">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6B9F" w:rsidRDefault="00A36B9F" w:rsidP="000A0C05">
            <w:pPr>
              <w:rPr>
                <w:bCs/>
                <w:color w:val="000000"/>
              </w:rPr>
            </w:pPr>
            <w:r>
              <w:rPr>
                <w:bCs/>
                <w:color w:val="000000"/>
              </w:rPr>
              <w:t>Abstract</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6B9F" w:rsidRDefault="00A36B9F" w:rsidP="000A0C05">
            <w:pPr>
              <w:jc w:val="center"/>
              <w:rPr>
                <w:bCs/>
                <w:color w:val="000000"/>
              </w:rPr>
            </w:pPr>
            <w:r>
              <w:rPr>
                <w:bCs/>
                <w:color w:val="000000"/>
              </w:rPr>
              <w:t>78</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6B9F" w:rsidRDefault="00A36B9F" w:rsidP="000A0C05">
            <w:pPr>
              <w:jc w:val="center"/>
              <w:rPr>
                <w:rFonts w:eastAsia="Calibri"/>
                <w:bCs/>
                <w:color w:val="000000"/>
              </w:rPr>
            </w:pPr>
            <w:r>
              <w:rPr>
                <w:rFonts w:eastAsia="Calibri"/>
                <w:bCs/>
                <w:color w:val="000000"/>
              </w:rPr>
              <w:t>1</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6B9F" w:rsidRDefault="00A36B9F" w:rsidP="000A0C05">
            <w:pPr>
              <w:jc w:val="center"/>
              <w:rPr>
                <w:rFonts w:eastAsia="Calibri"/>
                <w:bCs/>
                <w:color w:val="000000"/>
              </w:rPr>
            </w:pPr>
            <w:r>
              <w:rPr>
                <w:rFonts w:eastAsia="Calibri"/>
                <w:bCs/>
                <w:color w:val="000000"/>
              </w:rPr>
              <w:t>1</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6B9F" w:rsidRDefault="00A36B9F" w:rsidP="000A0C05">
            <w:pPr>
              <w:jc w:val="center"/>
              <w:rPr>
                <w:rFonts w:eastAsia="Calibri"/>
                <w:bCs/>
                <w:color w:val="000000"/>
              </w:rPr>
            </w:pPr>
            <w:r>
              <w:rPr>
                <w:rFonts w:eastAsia="Calibri"/>
                <w:bCs/>
                <w:color w:val="000000"/>
              </w:rPr>
              <w:t>3</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6B9F" w:rsidRDefault="00A36B9F" w:rsidP="000A0C05">
            <w:pPr>
              <w:jc w:val="center"/>
              <w:rPr>
                <w:rFonts w:eastAsia="Calibri"/>
                <w:bCs/>
                <w:color w:val="000000"/>
              </w:rPr>
            </w:pPr>
            <w:r>
              <w:rPr>
                <w:rFonts w:eastAsia="Calibri"/>
                <w:bCs/>
                <w:color w:val="000000"/>
              </w:rPr>
              <w:t>234</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6B9F" w:rsidRDefault="00A36B9F" w:rsidP="000A0C05">
            <w:pPr>
              <w:jc w:val="right"/>
              <w:rPr>
                <w:rFonts w:eastAsia="Calibri"/>
                <w:bCs/>
                <w:color w:val="000000"/>
              </w:rPr>
            </w:pPr>
            <w:r>
              <w:rPr>
                <w:rFonts w:eastAsia="Calibri"/>
                <w:bCs/>
                <w:color w:val="000000"/>
              </w:rPr>
              <w:t>$40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6B9F" w:rsidRDefault="00A36B9F" w:rsidP="000A0C05">
            <w:pPr>
              <w:jc w:val="right"/>
              <w:rPr>
                <w:rFonts w:eastAsia="Calibri"/>
                <w:bCs/>
                <w:color w:val="000000"/>
              </w:rPr>
            </w:pPr>
            <w:r>
              <w:rPr>
                <w:rFonts w:eastAsia="Calibri"/>
                <w:bCs/>
                <w:color w:val="000000"/>
              </w:rPr>
              <w:t>$9360</w:t>
            </w:r>
          </w:p>
        </w:tc>
      </w:tr>
      <w:tr w:rsidR="00A36B9F" w:rsidTr="000A0C05">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rPr>
                <w:bCs/>
                <w:color w:val="000000"/>
                <w:sz w:val="22"/>
                <w:szCs w:val="22"/>
              </w:rPr>
            </w:pPr>
            <w:r>
              <w:rPr>
                <w:bCs/>
                <w:color w:val="000000"/>
              </w:rPr>
              <w:t xml:space="preserve">Qualifying Criteria/ Need – Mapping with Narrative </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bCs/>
                <w:color w:val="000000"/>
                <w:sz w:val="22"/>
                <w:szCs w:val="22"/>
              </w:rPr>
            </w:pPr>
            <w:r>
              <w:rPr>
                <w:bCs/>
                <w:color w:val="000000"/>
              </w:rPr>
              <w:t>78</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1</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1</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5</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390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right"/>
              <w:rPr>
                <w:rFonts w:eastAsia="Calibri"/>
                <w:bCs/>
                <w:color w:val="000000"/>
                <w:sz w:val="22"/>
                <w:szCs w:val="22"/>
              </w:rPr>
            </w:pPr>
            <w:r>
              <w:rPr>
                <w:rFonts w:eastAsia="Calibri"/>
                <w:bCs/>
                <w:color w:val="000000"/>
              </w:rPr>
              <w:t>$40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right"/>
              <w:rPr>
                <w:rFonts w:eastAsia="Calibri"/>
                <w:bCs/>
                <w:color w:val="000000"/>
                <w:sz w:val="22"/>
                <w:szCs w:val="22"/>
              </w:rPr>
            </w:pPr>
            <w:r>
              <w:rPr>
                <w:rFonts w:eastAsia="Calibri"/>
                <w:bCs/>
                <w:color w:val="000000"/>
              </w:rPr>
              <w:t>$15600</w:t>
            </w:r>
          </w:p>
        </w:tc>
      </w:tr>
      <w:tr w:rsidR="00A36B9F" w:rsidTr="000A0C05">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rPr>
                <w:bCs/>
                <w:color w:val="000000"/>
                <w:sz w:val="22"/>
                <w:szCs w:val="22"/>
              </w:rPr>
            </w:pPr>
            <w:r>
              <w:rPr>
                <w:bCs/>
                <w:color w:val="000000"/>
              </w:rPr>
              <w:t>Local leadership support- Documentation</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bCs/>
                <w:color w:val="000000"/>
                <w:sz w:val="22"/>
                <w:szCs w:val="22"/>
              </w:rPr>
            </w:pPr>
            <w:r>
              <w:rPr>
                <w:bCs/>
                <w:color w:val="000000"/>
              </w:rPr>
              <w:t>78</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1</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1</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4</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312</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right"/>
              <w:rPr>
                <w:rFonts w:eastAsia="Calibri"/>
                <w:bCs/>
                <w:color w:val="000000"/>
                <w:sz w:val="22"/>
                <w:szCs w:val="22"/>
              </w:rPr>
            </w:pPr>
            <w:r>
              <w:rPr>
                <w:rFonts w:eastAsia="Calibri"/>
                <w:bCs/>
                <w:color w:val="000000"/>
              </w:rPr>
              <w:t>$40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right"/>
              <w:rPr>
                <w:rFonts w:eastAsia="Calibri"/>
                <w:bCs/>
                <w:color w:val="000000"/>
                <w:sz w:val="22"/>
                <w:szCs w:val="22"/>
              </w:rPr>
            </w:pPr>
            <w:r>
              <w:rPr>
                <w:rFonts w:eastAsia="Calibri"/>
                <w:bCs/>
                <w:color w:val="000000"/>
              </w:rPr>
              <w:t>$12480</w:t>
            </w:r>
          </w:p>
        </w:tc>
      </w:tr>
      <w:tr w:rsidR="00A36B9F" w:rsidTr="000A0C05">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rPr>
                <w:bCs/>
                <w:color w:val="000000"/>
                <w:sz w:val="22"/>
                <w:szCs w:val="22"/>
              </w:rPr>
            </w:pPr>
            <w:r>
              <w:rPr>
                <w:bCs/>
                <w:color w:val="000000"/>
              </w:rPr>
              <w:t>Need - Poverty rate</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bCs/>
                <w:color w:val="000000"/>
                <w:sz w:val="22"/>
                <w:szCs w:val="22"/>
              </w:rPr>
            </w:pPr>
            <w:r>
              <w:rPr>
                <w:bCs/>
                <w:color w:val="000000"/>
              </w:rPr>
              <w:t>78</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1</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1</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1</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78</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right"/>
              <w:rPr>
                <w:rFonts w:eastAsia="Calibri"/>
                <w:bCs/>
                <w:color w:val="000000"/>
                <w:sz w:val="22"/>
                <w:szCs w:val="22"/>
              </w:rPr>
            </w:pPr>
            <w:r>
              <w:rPr>
                <w:rFonts w:eastAsia="Calibri"/>
                <w:bCs/>
                <w:color w:val="000000"/>
              </w:rPr>
              <w:t>$40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right"/>
              <w:rPr>
                <w:rFonts w:eastAsia="Calibri"/>
                <w:bCs/>
                <w:color w:val="000000"/>
                <w:sz w:val="22"/>
                <w:szCs w:val="22"/>
              </w:rPr>
            </w:pPr>
            <w:r>
              <w:rPr>
                <w:rFonts w:eastAsia="Calibri"/>
                <w:bCs/>
                <w:color w:val="000000"/>
              </w:rPr>
              <w:t>$3120</w:t>
            </w:r>
          </w:p>
        </w:tc>
      </w:tr>
      <w:tr w:rsidR="00A36B9F" w:rsidTr="000A0C05">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rPr>
                <w:bCs/>
                <w:color w:val="000000"/>
                <w:sz w:val="22"/>
                <w:szCs w:val="22"/>
              </w:rPr>
            </w:pPr>
            <w:r>
              <w:rPr>
                <w:bCs/>
                <w:color w:val="000000"/>
              </w:rPr>
              <w:t>Need - Crime rate</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bCs/>
                <w:color w:val="000000"/>
                <w:sz w:val="22"/>
                <w:szCs w:val="22"/>
              </w:rPr>
            </w:pPr>
            <w:r>
              <w:rPr>
                <w:bCs/>
                <w:color w:val="000000"/>
              </w:rPr>
              <w:t>78</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1</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1</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3</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234</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right"/>
              <w:rPr>
                <w:rFonts w:eastAsia="Calibri"/>
                <w:bCs/>
                <w:color w:val="000000"/>
                <w:sz w:val="22"/>
                <w:szCs w:val="22"/>
              </w:rPr>
            </w:pPr>
            <w:r>
              <w:rPr>
                <w:rFonts w:eastAsia="Calibri"/>
                <w:bCs/>
                <w:color w:val="000000"/>
              </w:rPr>
              <w:t>$40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right"/>
              <w:rPr>
                <w:rFonts w:eastAsia="Calibri"/>
                <w:bCs/>
                <w:color w:val="000000"/>
                <w:sz w:val="22"/>
                <w:szCs w:val="22"/>
              </w:rPr>
            </w:pPr>
            <w:r>
              <w:rPr>
                <w:rFonts w:eastAsia="Calibri"/>
                <w:bCs/>
                <w:color w:val="000000"/>
              </w:rPr>
              <w:t>$9360</w:t>
            </w:r>
          </w:p>
        </w:tc>
      </w:tr>
      <w:tr w:rsidR="00A36B9F" w:rsidTr="000A0C05">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rPr>
                <w:bCs/>
                <w:color w:val="000000"/>
                <w:sz w:val="22"/>
                <w:szCs w:val="22"/>
              </w:rPr>
            </w:pPr>
            <w:r>
              <w:rPr>
                <w:bCs/>
                <w:color w:val="000000"/>
              </w:rPr>
              <w:t xml:space="preserve">Need - Employment rate </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bCs/>
                <w:color w:val="000000"/>
                <w:sz w:val="22"/>
                <w:szCs w:val="22"/>
              </w:rPr>
            </w:pPr>
            <w:r>
              <w:rPr>
                <w:bCs/>
                <w:color w:val="000000"/>
              </w:rPr>
              <w:t>78</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1</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1</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1</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78</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right"/>
              <w:rPr>
                <w:rFonts w:eastAsia="Calibri"/>
                <w:bCs/>
                <w:color w:val="000000"/>
                <w:sz w:val="22"/>
                <w:szCs w:val="22"/>
              </w:rPr>
            </w:pPr>
            <w:r>
              <w:rPr>
                <w:rFonts w:eastAsia="Calibri"/>
                <w:bCs/>
                <w:color w:val="000000"/>
              </w:rPr>
              <w:t>$40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right"/>
              <w:rPr>
                <w:rFonts w:eastAsia="Calibri"/>
                <w:bCs/>
                <w:color w:val="000000"/>
                <w:sz w:val="22"/>
                <w:szCs w:val="22"/>
              </w:rPr>
            </w:pPr>
            <w:r>
              <w:rPr>
                <w:rFonts w:eastAsia="Calibri"/>
                <w:bCs/>
                <w:color w:val="000000"/>
              </w:rPr>
              <w:t>$3120</w:t>
            </w:r>
          </w:p>
        </w:tc>
      </w:tr>
      <w:tr w:rsidR="00A36B9F" w:rsidTr="000A0C05">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rPr>
                <w:bCs/>
                <w:color w:val="000000"/>
                <w:sz w:val="22"/>
                <w:szCs w:val="22"/>
              </w:rPr>
            </w:pPr>
            <w:r>
              <w:rPr>
                <w:bCs/>
                <w:color w:val="000000"/>
              </w:rPr>
              <w:t xml:space="preserve">Need – Vacancy rate </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bCs/>
                <w:color w:val="000000"/>
                <w:sz w:val="22"/>
                <w:szCs w:val="22"/>
              </w:rPr>
            </w:pPr>
            <w:r>
              <w:rPr>
                <w:bCs/>
                <w:color w:val="000000"/>
              </w:rPr>
              <w:t>78</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1</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1</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1</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78</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right"/>
              <w:rPr>
                <w:rFonts w:eastAsia="Calibri"/>
                <w:bCs/>
                <w:color w:val="000000"/>
                <w:sz w:val="22"/>
                <w:szCs w:val="22"/>
              </w:rPr>
            </w:pPr>
            <w:r>
              <w:rPr>
                <w:rFonts w:eastAsia="Calibri"/>
                <w:bCs/>
                <w:color w:val="000000"/>
              </w:rPr>
              <w:t>$40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right"/>
              <w:rPr>
                <w:rFonts w:eastAsia="Calibri"/>
                <w:bCs/>
                <w:color w:val="000000"/>
                <w:sz w:val="22"/>
                <w:szCs w:val="22"/>
              </w:rPr>
            </w:pPr>
            <w:r>
              <w:rPr>
                <w:rFonts w:eastAsia="Calibri"/>
                <w:bCs/>
                <w:color w:val="000000"/>
              </w:rPr>
              <w:t>$3120</w:t>
            </w:r>
          </w:p>
        </w:tc>
      </w:tr>
      <w:tr w:rsidR="00A36B9F" w:rsidTr="000A0C05">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rPr>
                <w:b/>
                <w:bCs/>
                <w:color w:val="000000"/>
                <w:sz w:val="22"/>
                <w:szCs w:val="22"/>
              </w:rPr>
            </w:pPr>
            <w:r>
              <w:rPr>
                <w:bCs/>
                <w:color w:val="000000"/>
              </w:rPr>
              <w:t>Strategy – Community Assets and Neighborhood Position</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bCs/>
                <w:color w:val="000000"/>
                <w:sz w:val="22"/>
                <w:szCs w:val="22"/>
              </w:rPr>
            </w:pPr>
            <w:r>
              <w:rPr>
                <w:bCs/>
                <w:color w:val="000000"/>
              </w:rPr>
              <w:t>78</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1</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1</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4</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312</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right"/>
              <w:rPr>
                <w:rFonts w:eastAsia="Calibri"/>
                <w:bCs/>
                <w:color w:val="000000"/>
                <w:sz w:val="22"/>
                <w:szCs w:val="22"/>
              </w:rPr>
            </w:pPr>
            <w:r>
              <w:rPr>
                <w:rFonts w:eastAsia="Calibri"/>
                <w:bCs/>
                <w:color w:val="000000"/>
              </w:rPr>
              <w:t>$40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right"/>
              <w:rPr>
                <w:rFonts w:eastAsia="Calibri"/>
                <w:bCs/>
                <w:color w:val="000000"/>
                <w:sz w:val="22"/>
                <w:szCs w:val="22"/>
              </w:rPr>
            </w:pPr>
            <w:r>
              <w:rPr>
                <w:rFonts w:eastAsia="Calibri"/>
                <w:bCs/>
                <w:color w:val="000000"/>
              </w:rPr>
              <w:t>$12480</w:t>
            </w:r>
          </w:p>
        </w:tc>
      </w:tr>
      <w:tr w:rsidR="00A36B9F" w:rsidTr="000A0C05">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rPr>
                <w:bCs/>
                <w:color w:val="000000"/>
                <w:sz w:val="22"/>
                <w:szCs w:val="22"/>
              </w:rPr>
            </w:pPr>
            <w:r>
              <w:rPr>
                <w:bCs/>
                <w:color w:val="000000"/>
              </w:rPr>
              <w:t>Strategy – Narrative</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bCs/>
                <w:color w:val="000000"/>
                <w:sz w:val="22"/>
                <w:szCs w:val="22"/>
              </w:rPr>
            </w:pPr>
            <w:r>
              <w:rPr>
                <w:bCs/>
                <w:color w:val="000000"/>
              </w:rPr>
              <w:t>78</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1</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1</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3</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234</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right"/>
              <w:rPr>
                <w:rFonts w:eastAsia="Calibri"/>
                <w:bCs/>
                <w:color w:val="000000"/>
                <w:sz w:val="22"/>
                <w:szCs w:val="22"/>
              </w:rPr>
            </w:pPr>
            <w:r>
              <w:rPr>
                <w:rFonts w:eastAsia="Calibri"/>
                <w:bCs/>
                <w:color w:val="000000"/>
              </w:rPr>
              <w:t>$40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right"/>
              <w:rPr>
                <w:rFonts w:eastAsia="Calibri"/>
                <w:bCs/>
                <w:color w:val="000000"/>
                <w:sz w:val="22"/>
                <w:szCs w:val="22"/>
              </w:rPr>
            </w:pPr>
            <w:r>
              <w:rPr>
                <w:rFonts w:eastAsia="Calibri"/>
                <w:bCs/>
                <w:color w:val="000000"/>
              </w:rPr>
              <w:t>$9360</w:t>
            </w:r>
          </w:p>
        </w:tc>
      </w:tr>
      <w:tr w:rsidR="00A36B9F" w:rsidTr="000A0C05">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rPr>
                <w:bCs/>
                <w:color w:val="000000"/>
                <w:sz w:val="22"/>
                <w:szCs w:val="22"/>
              </w:rPr>
            </w:pPr>
            <w:r>
              <w:rPr>
                <w:bCs/>
                <w:color w:val="000000"/>
              </w:rPr>
              <w:t>Strategy – Evidence base</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bCs/>
                <w:color w:val="000000"/>
                <w:sz w:val="22"/>
                <w:szCs w:val="22"/>
              </w:rPr>
            </w:pPr>
            <w:r>
              <w:rPr>
                <w:bCs/>
                <w:color w:val="000000"/>
              </w:rPr>
              <w:t>78</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1</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1</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3</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234</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right"/>
              <w:rPr>
                <w:rFonts w:eastAsia="Calibri"/>
                <w:bCs/>
                <w:color w:val="000000"/>
                <w:sz w:val="22"/>
                <w:szCs w:val="22"/>
              </w:rPr>
            </w:pPr>
            <w:r>
              <w:rPr>
                <w:rFonts w:eastAsia="Calibri"/>
                <w:bCs/>
                <w:color w:val="000000"/>
              </w:rPr>
              <w:t>$40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right"/>
              <w:rPr>
                <w:rFonts w:eastAsia="Calibri"/>
                <w:bCs/>
                <w:color w:val="000000"/>
                <w:sz w:val="22"/>
                <w:szCs w:val="22"/>
              </w:rPr>
            </w:pPr>
            <w:r>
              <w:rPr>
                <w:rFonts w:eastAsia="Calibri"/>
                <w:bCs/>
                <w:color w:val="000000"/>
              </w:rPr>
              <w:t>$9360</w:t>
            </w:r>
          </w:p>
        </w:tc>
      </w:tr>
      <w:tr w:rsidR="00A36B9F" w:rsidTr="000A0C05">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rPr>
                <w:bCs/>
                <w:color w:val="000000"/>
                <w:sz w:val="22"/>
                <w:szCs w:val="22"/>
              </w:rPr>
            </w:pPr>
            <w:r>
              <w:rPr>
                <w:bCs/>
                <w:color w:val="000000"/>
              </w:rPr>
              <w:t>Strategy – Sustainability and financial feasibility</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bCs/>
                <w:color w:val="000000"/>
                <w:sz w:val="22"/>
                <w:szCs w:val="22"/>
              </w:rPr>
            </w:pPr>
            <w:r>
              <w:rPr>
                <w:bCs/>
                <w:color w:val="000000"/>
              </w:rPr>
              <w:t>78</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1</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1</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3</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234</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right"/>
              <w:rPr>
                <w:rFonts w:eastAsia="Calibri"/>
                <w:bCs/>
                <w:color w:val="000000"/>
                <w:sz w:val="22"/>
                <w:szCs w:val="22"/>
              </w:rPr>
            </w:pPr>
            <w:r>
              <w:rPr>
                <w:rFonts w:eastAsia="Calibri"/>
                <w:bCs/>
                <w:color w:val="000000"/>
              </w:rPr>
              <w:t>$40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right"/>
              <w:rPr>
                <w:rFonts w:eastAsia="Calibri"/>
                <w:bCs/>
                <w:color w:val="000000"/>
                <w:sz w:val="22"/>
                <w:szCs w:val="22"/>
              </w:rPr>
            </w:pPr>
            <w:r>
              <w:rPr>
                <w:rFonts w:eastAsia="Calibri"/>
                <w:bCs/>
                <w:color w:val="000000"/>
              </w:rPr>
              <w:t>$9360</w:t>
            </w:r>
          </w:p>
        </w:tc>
      </w:tr>
      <w:tr w:rsidR="00A36B9F" w:rsidTr="000A0C05">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rPr>
                <w:bCs/>
                <w:color w:val="000000"/>
                <w:sz w:val="22"/>
                <w:szCs w:val="22"/>
              </w:rPr>
            </w:pPr>
            <w:r>
              <w:rPr>
                <w:bCs/>
                <w:color w:val="000000"/>
              </w:rPr>
              <w:t>Capacity – Lead documentation</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bCs/>
                <w:color w:val="000000"/>
                <w:sz w:val="22"/>
                <w:szCs w:val="22"/>
              </w:rPr>
            </w:pPr>
            <w:r>
              <w:rPr>
                <w:bCs/>
                <w:color w:val="000000"/>
              </w:rPr>
              <w:t>78</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1</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1</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3</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234</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right"/>
              <w:rPr>
                <w:rFonts w:eastAsia="Calibri"/>
                <w:bCs/>
                <w:color w:val="000000"/>
                <w:sz w:val="22"/>
                <w:szCs w:val="22"/>
              </w:rPr>
            </w:pPr>
            <w:r>
              <w:rPr>
                <w:rFonts w:eastAsia="Calibri"/>
                <w:bCs/>
                <w:color w:val="000000"/>
              </w:rPr>
              <w:t>$40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right"/>
              <w:rPr>
                <w:rFonts w:eastAsia="Calibri"/>
                <w:bCs/>
                <w:color w:val="000000"/>
                <w:sz w:val="22"/>
                <w:szCs w:val="22"/>
              </w:rPr>
            </w:pPr>
            <w:r>
              <w:rPr>
                <w:rFonts w:eastAsia="Calibri"/>
                <w:bCs/>
                <w:color w:val="000000"/>
              </w:rPr>
              <w:t>$9360</w:t>
            </w:r>
          </w:p>
        </w:tc>
      </w:tr>
      <w:tr w:rsidR="00A36B9F" w:rsidTr="000A0C05">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rPr>
                <w:bCs/>
                <w:color w:val="000000"/>
                <w:sz w:val="22"/>
                <w:szCs w:val="22"/>
              </w:rPr>
            </w:pPr>
            <w:r>
              <w:rPr>
                <w:bCs/>
                <w:color w:val="000000"/>
              </w:rPr>
              <w:t>Capacity – Partner documentation</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bCs/>
                <w:color w:val="000000"/>
                <w:sz w:val="22"/>
                <w:szCs w:val="22"/>
              </w:rPr>
            </w:pPr>
            <w:r>
              <w:rPr>
                <w:bCs/>
                <w:color w:val="000000"/>
              </w:rPr>
              <w:t>78</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1</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1</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4</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312</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right"/>
              <w:rPr>
                <w:rFonts w:eastAsia="Calibri"/>
                <w:bCs/>
                <w:color w:val="000000"/>
                <w:sz w:val="22"/>
                <w:szCs w:val="22"/>
              </w:rPr>
            </w:pPr>
            <w:r>
              <w:rPr>
                <w:rFonts w:eastAsia="Calibri"/>
                <w:bCs/>
                <w:color w:val="000000"/>
              </w:rPr>
              <w:t>$40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right"/>
              <w:rPr>
                <w:rFonts w:eastAsia="Calibri"/>
                <w:bCs/>
                <w:color w:val="000000"/>
                <w:sz w:val="22"/>
                <w:szCs w:val="22"/>
              </w:rPr>
            </w:pPr>
            <w:r>
              <w:rPr>
                <w:rFonts w:eastAsia="Calibri"/>
                <w:bCs/>
                <w:color w:val="000000"/>
              </w:rPr>
              <w:t>$12480</w:t>
            </w:r>
          </w:p>
        </w:tc>
      </w:tr>
      <w:tr w:rsidR="00A36B9F" w:rsidTr="000A0C05">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rPr>
                <w:bCs/>
                <w:color w:val="000000"/>
                <w:sz w:val="22"/>
                <w:szCs w:val="22"/>
              </w:rPr>
            </w:pPr>
            <w:r>
              <w:rPr>
                <w:bCs/>
                <w:color w:val="000000"/>
              </w:rPr>
              <w:t>Capacity – Partner Organization Chart</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bCs/>
                <w:color w:val="000000"/>
                <w:sz w:val="22"/>
                <w:szCs w:val="22"/>
              </w:rPr>
            </w:pPr>
            <w:r>
              <w:rPr>
                <w:bCs/>
                <w:color w:val="000000"/>
              </w:rPr>
              <w:t>78</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1</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1</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4</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312</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right"/>
              <w:rPr>
                <w:rFonts w:eastAsia="Calibri"/>
                <w:bCs/>
                <w:color w:val="000000"/>
                <w:sz w:val="22"/>
                <w:szCs w:val="22"/>
              </w:rPr>
            </w:pPr>
            <w:r>
              <w:rPr>
                <w:rFonts w:eastAsia="Calibri"/>
                <w:bCs/>
                <w:color w:val="000000"/>
              </w:rPr>
              <w:t>$40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right"/>
              <w:rPr>
                <w:rFonts w:eastAsia="Calibri"/>
                <w:bCs/>
                <w:color w:val="000000"/>
                <w:sz w:val="22"/>
                <w:szCs w:val="22"/>
              </w:rPr>
            </w:pPr>
            <w:r>
              <w:rPr>
                <w:rFonts w:eastAsia="Calibri"/>
                <w:bCs/>
                <w:color w:val="000000"/>
              </w:rPr>
              <w:t>$12480</w:t>
            </w:r>
          </w:p>
        </w:tc>
      </w:tr>
      <w:tr w:rsidR="00A36B9F" w:rsidTr="000A0C05">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rPr>
                <w:bCs/>
                <w:color w:val="000000"/>
                <w:sz w:val="22"/>
                <w:szCs w:val="22"/>
              </w:rPr>
            </w:pPr>
            <w:r>
              <w:rPr>
                <w:bCs/>
                <w:color w:val="000000"/>
              </w:rPr>
              <w:t xml:space="preserve">Capacity – Local government </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bCs/>
                <w:color w:val="000000"/>
                <w:sz w:val="22"/>
                <w:szCs w:val="22"/>
              </w:rPr>
            </w:pPr>
            <w:r>
              <w:rPr>
                <w:bCs/>
                <w:color w:val="000000"/>
              </w:rPr>
              <w:t>78</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1</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1</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3</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234</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right"/>
              <w:rPr>
                <w:rFonts w:eastAsia="Calibri"/>
                <w:bCs/>
                <w:color w:val="000000"/>
                <w:sz w:val="22"/>
                <w:szCs w:val="22"/>
              </w:rPr>
            </w:pPr>
            <w:r>
              <w:rPr>
                <w:rFonts w:eastAsia="Calibri"/>
                <w:bCs/>
                <w:color w:val="000000"/>
              </w:rPr>
              <w:t>$40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right"/>
              <w:rPr>
                <w:rFonts w:eastAsia="Calibri"/>
                <w:bCs/>
                <w:color w:val="000000"/>
                <w:sz w:val="22"/>
                <w:szCs w:val="22"/>
              </w:rPr>
            </w:pPr>
            <w:r>
              <w:rPr>
                <w:rFonts w:eastAsia="Calibri"/>
                <w:bCs/>
                <w:color w:val="000000"/>
              </w:rPr>
              <w:t>$9360</w:t>
            </w:r>
          </w:p>
        </w:tc>
      </w:tr>
      <w:tr w:rsidR="00A36B9F" w:rsidTr="000A0C05">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rPr>
                <w:bCs/>
                <w:color w:val="000000"/>
                <w:sz w:val="22"/>
                <w:szCs w:val="22"/>
              </w:rPr>
            </w:pPr>
            <w:r>
              <w:rPr>
                <w:bCs/>
                <w:color w:val="000000"/>
              </w:rPr>
              <w:lastRenderedPageBreak/>
              <w:t>Capacity – Partnership commitments documentation</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bCs/>
                <w:color w:val="000000"/>
                <w:sz w:val="22"/>
                <w:szCs w:val="22"/>
              </w:rPr>
            </w:pPr>
            <w:r>
              <w:rPr>
                <w:bCs/>
                <w:color w:val="000000"/>
              </w:rPr>
              <w:t>78</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1</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1</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3</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Cs/>
                <w:color w:val="000000"/>
                <w:sz w:val="22"/>
                <w:szCs w:val="22"/>
              </w:rPr>
            </w:pPr>
            <w:r>
              <w:rPr>
                <w:rFonts w:eastAsia="Calibri"/>
                <w:bCs/>
                <w:color w:val="000000"/>
              </w:rPr>
              <w:t>234</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right"/>
              <w:rPr>
                <w:rFonts w:eastAsia="Calibri"/>
                <w:bCs/>
                <w:color w:val="000000"/>
                <w:sz w:val="22"/>
                <w:szCs w:val="22"/>
              </w:rPr>
            </w:pPr>
            <w:r>
              <w:rPr>
                <w:rFonts w:eastAsia="Calibri"/>
                <w:bCs/>
                <w:color w:val="000000"/>
              </w:rPr>
              <w:t>$40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right"/>
              <w:rPr>
                <w:rFonts w:eastAsia="Calibri"/>
                <w:bCs/>
                <w:color w:val="000000"/>
                <w:sz w:val="22"/>
                <w:szCs w:val="22"/>
              </w:rPr>
            </w:pPr>
            <w:r>
              <w:rPr>
                <w:rFonts w:eastAsia="Calibri"/>
                <w:bCs/>
                <w:color w:val="000000"/>
              </w:rPr>
              <w:t>$9360</w:t>
            </w:r>
          </w:p>
        </w:tc>
      </w:tr>
      <w:tr w:rsidR="00A36B9F" w:rsidTr="000A0C05">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rPr>
                <w:b/>
                <w:bCs/>
                <w:color w:val="000000"/>
                <w:sz w:val="22"/>
                <w:szCs w:val="22"/>
              </w:rPr>
            </w:pPr>
            <w:r>
              <w:rPr>
                <w:b/>
                <w:bCs/>
                <w:color w:val="000000"/>
              </w:rPr>
              <w:t>Total</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b/>
                <w:bCs/>
                <w:color w:val="000000"/>
                <w:sz w:val="22"/>
                <w:szCs w:val="22"/>
              </w:rPr>
            </w:pPr>
            <w:r>
              <w:rPr>
                <w:b/>
                <w:bCs/>
                <w:color w:val="000000"/>
              </w:rPr>
              <w:t>78</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
                <w:bCs/>
                <w:color w:val="000000"/>
                <w:sz w:val="22"/>
                <w:szCs w:val="22"/>
              </w:rPr>
            </w:pPr>
            <w:r>
              <w:rPr>
                <w:rFonts w:eastAsia="Calibri"/>
                <w:b/>
                <w:bCs/>
                <w:color w:val="000000"/>
              </w:rPr>
              <w:t>1</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
                <w:bCs/>
                <w:color w:val="000000"/>
                <w:sz w:val="22"/>
                <w:szCs w:val="22"/>
              </w:rPr>
            </w:pPr>
            <w:r>
              <w:rPr>
                <w:rFonts w:eastAsia="Calibri"/>
                <w:b/>
                <w:bCs/>
                <w:color w:val="000000"/>
              </w:rPr>
              <w:t>1</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
                <w:bCs/>
                <w:color w:val="000000"/>
                <w:sz w:val="22"/>
                <w:szCs w:val="22"/>
              </w:rPr>
            </w:pPr>
            <w:r>
              <w:rPr>
                <w:rFonts w:eastAsia="Calibri"/>
                <w:b/>
                <w:bCs/>
                <w:color w:val="000000"/>
              </w:rPr>
              <w:t>48</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center"/>
              <w:rPr>
                <w:rFonts w:eastAsia="Calibri"/>
                <w:b/>
                <w:bCs/>
                <w:color w:val="000000"/>
                <w:sz w:val="22"/>
                <w:szCs w:val="22"/>
              </w:rPr>
            </w:pPr>
            <w:r>
              <w:rPr>
                <w:rFonts w:eastAsia="Calibri"/>
                <w:b/>
                <w:bCs/>
                <w:color w:val="000000"/>
              </w:rPr>
              <w:t>3744</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6B9F" w:rsidRDefault="00A36B9F" w:rsidP="000A0C05">
            <w:pPr>
              <w:jc w:val="right"/>
              <w:rPr>
                <w:rFonts w:eastAsia="Calibri"/>
                <w:b/>
                <w:bCs/>
                <w:color w:val="000000"/>
                <w:sz w:val="22"/>
                <w:szCs w:val="22"/>
              </w:rPr>
            </w:pPr>
            <w:r>
              <w:rPr>
                <w:rFonts w:eastAsia="Calibri"/>
                <w:b/>
                <w:bCs/>
                <w:color w:val="000000"/>
              </w:rPr>
              <w:t>$40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6B9F" w:rsidRDefault="00A36B9F" w:rsidP="000A0C05">
            <w:pPr>
              <w:jc w:val="right"/>
              <w:rPr>
                <w:rFonts w:eastAsia="Calibri"/>
                <w:b/>
                <w:bCs/>
                <w:color w:val="000000"/>
              </w:rPr>
            </w:pPr>
            <w:r>
              <w:rPr>
                <w:rFonts w:eastAsia="Calibri"/>
                <w:b/>
                <w:bCs/>
                <w:color w:val="000000"/>
              </w:rPr>
              <w:t>$149, 760</w:t>
            </w:r>
          </w:p>
          <w:p w:rsidR="00A36B9F" w:rsidRDefault="00A36B9F" w:rsidP="000A0C05">
            <w:pPr>
              <w:jc w:val="center"/>
              <w:rPr>
                <w:rFonts w:eastAsia="Calibri"/>
                <w:b/>
                <w:bCs/>
                <w:color w:val="000000"/>
                <w:sz w:val="22"/>
                <w:szCs w:val="22"/>
              </w:rPr>
            </w:pPr>
          </w:p>
        </w:tc>
      </w:tr>
    </w:tbl>
    <w:p w:rsidR="00A36B9F" w:rsidRDefault="00A36B9F" w:rsidP="00A36B9F">
      <w:pPr>
        <w:pStyle w:val="BodyTextIndent2"/>
        <w:keepNext/>
        <w:keepLines/>
        <w:tabs>
          <w:tab w:val="clear" w:pos="0"/>
          <w:tab w:val="left" w:pos="360"/>
        </w:tabs>
        <w:spacing w:after="120" w:line="240" w:lineRule="auto"/>
        <w:ind w:hanging="360"/>
        <w:rPr>
          <w:b/>
        </w:rPr>
      </w:pPr>
    </w:p>
    <w:p w:rsidR="00A36B9F" w:rsidRPr="00653F5B" w:rsidRDefault="00A36B9F" w:rsidP="00A36B9F">
      <w:pPr>
        <w:pStyle w:val="BodyTextIndent2"/>
        <w:tabs>
          <w:tab w:val="left" w:pos="360"/>
        </w:tabs>
        <w:spacing w:after="120" w:line="240" w:lineRule="auto"/>
        <w:ind w:hanging="336"/>
        <w:rPr>
          <w:b/>
        </w:rPr>
      </w:pPr>
      <w:r>
        <w:rPr>
          <w:b/>
        </w:rPr>
        <w:t>13.</w:t>
      </w:r>
      <w:r>
        <w:rPr>
          <w:b/>
        </w:rPr>
        <w:tab/>
        <w:t xml:space="preserve">Cost Burden of Information Collection: </w:t>
      </w:r>
      <w:r w:rsidRPr="0035477E">
        <w:t xml:space="preserve">There </w:t>
      </w:r>
      <w:proofErr w:type="gramStart"/>
      <w:r w:rsidRPr="0035477E">
        <w:t>are</w:t>
      </w:r>
      <w:proofErr w:type="gramEnd"/>
      <w:r w:rsidRPr="0035477E">
        <w:t xml:space="preserve"> no start-up or additional costs to the respondents other than those reported in Item 12 above in the Burden Cost Column.  The GS-14-1 wage was used for most collections, at $40 per hour.  </w:t>
      </w:r>
    </w:p>
    <w:p w:rsidR="00A36B9F" w:rsidRPr="00B275B8" w:rsidRDefault="00A36B9F" w:rsidP="00A36B9F">
      <w:pPr>
        <w:pStyle w:val="BodyTextIndent2"/>
        <w:tabs>
          <w:tab w:val="left" w:pos="360"/>
        </w:tabs>
        <w:spacing w:after="120" w:line="240" w:lineRule="auto"/>
        <w:ind w:left="0"/>
      </w:pPr>
      <w:r>
        <w:rPr>
          <w:b/>
        </w:rPr>
        <w:t>14.</w:t>
      </w:r>
      <w:r>
        <w:rPr>
          <w:b/>
        </w:rPr>
        <w:tab/>
        <w:t xml:space="preserve">Annualized Cost to Federal Government:  </w:t>
      </w:r>
      <w:r w:rsidRPr="00B275B8">
        <w:t>The development of the information collection instrument has required, in its initial year, approximately three full-time equivalent positions plus substantial part-time engagement from other participating agencies.  Review of information collected using this instrument will require at least two weeks of full-time effort by approximately 28 people from several participating agencies.  While the development of the information collection instrument and related programmatic materials will be less intensive in future rounds, a much wider range of communities will be eligible to apply, and the increased volume of applications is anticipated to require a consistent level of three full time equivalents at HUD plus part time effort from at least five other agencies.     This level of effort is estimated to cost an average of $794, 585 annually.</w:t>
      </w:r>
    </w:p>
    <w:p w:rsidR="00A36B9F" w:rsidRPr="00B275B8" w:rsidRDefault="00A36B9F" w:rsidP="00A36B9F">
      <w:pPr>
        <w:pStyle w:val="BodyTextIndent2"/>
        <w:tabs>
          <w:tab w:val="left" w:pos="360"/>
        </w:tabs>
        <w:spacing w:after="120" w:line="240" w:lineRule="auto"/>
        <w:ind w:hanging="336"/>
      </w:pPr>
      <w:r w:rsidRPr="00B275B8">
        <w:rPr>
          <w:b/>
        </w:rPr>
        <w:t>15.</w:t>
      </w:r>
      <w:r w:rsidRPr="00B275B8">
        <w:rPr>
          <w:b/>
        </w:rPr>
        <w:tab/>
        <w:t xml:space="preserve">Changes or Adjustments to OMB Form 83-I:   </w:t>
      </w:r>
      <w:r w:rsidRPr="00B275B8">
        <w:t xml:space="preserve"> None.</w:t>
      </w:r>
    </w:p>
    <w:p w:rsidR="00A36B9F" w:rsidRPr="00B275B8" w:rsidRDefault="00A36B9F" w:rsidP="00A36B9F">
      <w:pPr>
        <w:rPr>
          <w:sz w:val="24"/>
          <w:szCs w:val="24"/>
        </w:rPr>
      </w:pPr>
      <w:r w:rsidRPr="00B275B8">
        <w:rPr>
          <w:b/>
          <w:sz w:val="24"/>
          <w:szCs w:val="24"/>
        </w:rPr>
        <w:t>16.</w:t>
      </w:r>
      <w:r w:rsidRPr="00B275B8">
        <w:rPr>
          <w:b/>
          <w:sz w:val="24"/>
          <w:szCs w:val="24"/>
        </w:rPr>
        <w:tab/>
        <w:t xml:space="preserve">Publication of Information Collection Results:  </w:t>
      </w:r>
      <w:r w:rsidRPr="00B275B8">
        <w:rPr>
          <w:sz w:val="24"/>
          <w:szCs w:val="24"/>
        </w:rPr>
        <w:t xml:space="preserve">Notification of decisions will be made by letter, and </w:t>
      </w:r>
      <w:proofErr w:type="gramStart"/>
      <w:r w:rsidRPr="00B275B8">
        <w:rPr>
          <w:sz w:val="24"/>
          <w:szCs w:val="24"/>
        </w:rPr>
        <w:t>a Notice of Promise Zone designations</w:t>
      </w:r>
      <w:proofErr w:type="gramEnd"/>
      <w:r w:rsidRPr="00B275B8">
        <w:rPr>
          <w:sz w:val="24"/>
          <w:szCs w:val="24"/>
        </w:rPr>
        <w:t xml:space="preserve"> for 2013 and a description of the Promise Zone initiative will be published in the Federal Register.  Such notifications and publication are expected to take place within the first two months of calendar year 2014.</w:t>
      </w:r>
    </w:p>
    <w:p w:rsidR="00A36B9F" w:rsidRPr="00B275B8" w:rsidRDefault="00A36B9F" w:rsidP="00A36B9F">
      <w:pPr>
        <w:rPr>
          <w:sz w:val="24"/>
          <w:szCs w:val="24"/>
        </w:rPr>
      </w:pPr>
    </w:p>
    <w:p w:rsidR="00A36B9F" w:rsidRPr="00B275B8" w:rsidRDefault="00A36B9F" w:rsidP="00A36B9F">
      <w:pPr>
        <w:rPr>
          <w:bCs/>
        </w:rPr>
      </w:pPr>
      <w:r w:rsidRPr="00B275B8">
        <w:rPr>
          <w:sz w:val="23"/>
          <w:szCs w:val="23"/>
        </w:rPr>
        <w:t xml:space="preserve">After the selection process, HUD may post on-line certain summary and contact information from the applications of communities selected as Promise Zones or Promise Zone finalists (e.g., the Executive Summary, neighborhood map, Lead Applicant contact information, etc.) in order </w:t>
      </w:r>
      <w:r w:rsidRPr="00B275B8">
        <w:rPr>
          <w:sz w:val="22"/>
          <w:szCs w:val="22"/>
        </w:rPr>
        <w:t>to provide information to interested non-federal organizations and members of the public.</w:t>
      </w:r>
    </w:p>
    <w:p w:rsidR="00A36B9F" w:rsidRPr="00B275B8" w:rsidRDefault="00A36B9F" w:rsidP="00A36B9F">
      <w:pPr>
        <w:rPr>
          <w:sz w:val="24"/>
          <w:szCs w:val="24"/>
        </w:rPr>
      </w:pPr>
    </w:p>
    <w:p w:rsidR="00A36B9F" w:rsidRDefault="00A36B9F" w:rsidP="00A36B9F">
      <w:pPr>
        <w:rPr>
          <w:bCs/>
          <w:sz w:val="22"/>
          <w:szCs w:val="22"/>
        </w:rPr>
      </w:pPr>
      <w:r w:rsidRPr="00B275B8">
        <w:rPr>
          <w:bCs/>
          <w:sz w:val="22"/>
          <w:szCs w:val="22"/>
        </w:rPr>
        <w:t>All lead organizations of designated Promise Zones, implementation partners in the Promise Zone strategies and any federal grantees whose federally funded work contributes to Promise Zone strategies will be required to participate in evaluations of Promise Zone and related federal grant activities that may be conducted from time to time.  Lead organizations, implementation partners and federal grantees contributing to Promise Zones   must agree to work with evaluators designated by federal agencies, including providing access to program personnel and all relevant programmatic and administrative data as specified by the evaluator(s) under the direction of a federal agency, during and after the term of the Promise Zone designation and/or grant agreement.</w:t>
      </w:r>
    </w:p>
    <w:p w:rsidR="00A36B9F" w:rsidRDefault="00A36B9F" w:rsidP="00A36B9F">
      <w:pPr>
        <w:rPr>
          <w:bCs/>
          <w:sz w:val="22"/>
          <w:szCs w:val="22"/>
        </w:rPr>
      </w:pPr>
    </w:p>
    <w:p w:rsidR="00A36B9F" w:rsidRPr="00AC7950" w:rsidRDefault="00A36B9F" w:rsidP="00A36B9F">
      <w:pPr>
        <w:jc w:val="both"/>
        <w:rPr>
          <w:sz w:val="24"/>
          <w:szCs w:val="24"/>
        </w:rPr>
      </w:pPr>
    </w:p>
    <w:p w:rsidR="00A36B9F" w:rsidRDefault="00A36B9F" w:rsidP="00A36B9F">
      <w:pPr>
        <w:pStyle w:val="BodyTextIndent2"/>
        <w:tabs>
          <w:tab w:val="clear" w:pos="0"/>
          <w:tab w:val="left" w:pos="360"/>
        </w:tabs>
        <w:spacing w:after="120" w:line="240" w:lineRule="auto"/>
        <w:ind w:hanging="360"/>
      </w:pPr>
      <w:r>
        <w:rPr>
          <w:b/>
        </w:rPr>
        <w:t>17.</w:t>
      </w:r>
      <w:r>
        <w:rPr>
          <w:b/>
        </w:rPr>
        <w:tab/>
        <w:t xml:space="preserve">Expiration Date:  </w:t>
      </w:r>
      <w:r>
        <w:t>The OMB approval number and date will appear on the HUD-prescribed forms.</w:t>
      </w:r>
    </w:p>
    <w:p w:rsidR="00A36B9F" w:rsidRDefault="00A36B9F" w:rsidP="00A36B9F">
      <w:pPr>
        <w:pStyle w:val="BodyTextIndent2"/>
        <w:tabs>
          <w:tab w:val="clear" w:pos="0"/>
          <w:tab w:val="left" w:pos="360"/>
        </w:tabs>
        <w:spacing w:after="120" w:line="240" w:lineRule="auto"/>
        <w:ind w:hanging="360"/>
      </w:pPr>
      <w:r>
        <w:rPr>
          <w:b/>
        </w:rPr>
        <w:t>18.</w:t>
      </w:r>
      <w:r>
        <w:rPr>
          <w:b/>
        </w:rPr>
        <w:tab/>
        <w:t xml:space="preserve">Exceptions to Certification Statement:  </w:t>
      </w:r>
      <w:r>
        <w:t>There are no exceptions to the certification statement identified in item 19.</w:t>
      </w:r>
    </w:p>
    <w:p w:rsidR="00A36B9F" w:rsidRDefault="00A36B9F" w:rsidP="00A36B9F">
      <w:pPr>
        <w:tabs>
          <w:tab w:val="left" w:pos="360"/>
          <w:tab w:val="left" w:pos="720"/>
        </w:tabs>
        <w:ind w:left="360" w:hanging="360"/>
      </w:pPr>
    </w:p>
    <w:p w:rsidR="00A36B9F" w:rsidRPr="007A6401" w:rsidRDefault="00A36B9F" w:rsidP="00A36B9F">
      <w:pPr>
        <w:pStyle w:val="BodyTextIndent2"/>
        <w:tabs>
          <w:tab w:val="clear" w:pos="0"/>
          <w:tab w:val="left" w:pos="360"/>
        </w:tabs>
        <w:spacing w:after="120" w:line="240" w:lineRule="auto"/>
        <w:ind w:hanging="360"/>
      </w:pPr>
      <w:r>
        <w:rPr>
          <w:b/>
        </w:rPr>
        <w:t xml:space="preserve">B. </w:t>
      </w:r>
      <w:r>
        <w:rPr>
          <w:b/>
        </w:rPr>
        <w:tab/>
        <w:t>Collections of Information Employing Statistical Methods:</w:t>
      </w:r>
      <w:r>
        <w:tab/>
        <w:t>There are no collections of information that employ statistical methods.</w:t>
      </w:r>
    </w:p>
    <w:p w:rsidR="00442F00" w:rsidRPr="00A36B9F" w:rsidRDefault="00442F00" w:rsidP="00A36B9F"/>
    <w:sectPr w:rsidR="00442F00" w:rsidRPr="00A36B9F" w:rsidSect="00A36B9F">
      <w:headerReference w:type="default" r:id="rId10"/>
      <w:footerReference w:type="default" r:id="rId11"/>
      <w:type w:val="continuous"/>
      <w:pgSz w:w="12240" w:h="15840"/>
      <w:pgMar w:top="960" w:right="1440" w:bottom="960" w:left="960" w:header="720" w:footer="72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344" w:rsidRDefault="00D56344">
      <w:r>
        <w:separator/>
      </w:r>
    </w:p>
  </w:endnote>
  <w:endnote w:type="continuationSeparator" w:id="0">
    <w:p w:rsidR="00D56344" w:rsidRDefault="00D56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355" w:rsidRDefault="00D56344">
    <w:pPr>
      <w:pStyle w:val="Footer"/>
      <w:tabs>
        <w:tab w:val="clear" w:pos="4320"/>
        <w:tab w:val="clear" w:pos="8640"/>
        <w:tab w:val="right" w:pos="10920"/>
      </w:tabs>
      <w:spacing w:line="120" w:lineRule="exact"/>
      <w:ind w:left="-120" w:right="-120"/>
      <w:rPr>
        <w:rFonts w:ascii="Helvetica" w:hAnsi="Helvetica"/>
        <w:b/>
        <w:sz w:val="18"/>
      </w:rPr>
    </w:pPr>
  </w:p>
  <w:p w:rsidR="008C6355" w:rsidRDefault="00A36B9F">
    <w:pPr>
      <w:pStyle w:val="Footer"/>
      <w:tabs>
        <w:tab w:val="clear" w:pos="4320"/>
        <w:tab w:val="clear" w:pos="8640"/>
        <w:tab w:val="right" w:pos="10920"/>
      </w:tabs>
      <w:ind w:left="-120" w:right="-120"/>
    </w:pPr>
    <w:r>
      <w:rPr>
        <w:rFonts w:ascii="Helvetica" w:hAnsi="Helvetica"/>
        <w:b/>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344" w:rsidRDefault="00D56344">
      <w:r>
        <w:separator/>
      </w:r>
    </w:p>
  </w:footnote>
  <w:footnote w:type="continuationSeparator" w:id="0">
    <w:p w:rsidR="00D56344" w:rsidRDefault="00D563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355" w:rsidRDefault="00A36B9F">
    <w:pPr>
      <w:suppressAutoHyphens/>
    </w:pPr>
    <w:r>
      <w:rPr>
        <w:noProof/>
      </w:rPr>
      <mc:AlternateContent>
        <mc:Choice Requires="wps">
          <w:drawing>
            <wp:anchor distT="0" distB="0" distL="114300" distR="114300" simplePos="0" relativeHeight="251659264" behindDoc="0" locked="0" layoutInCell="0" allowOverlap="1" wp14:anchorId="43BC1F27" wp14:editId="2304002C">
              <wp:simplePos x="0" y="0"/>
              <wp:positionH relativeFrom="page">
                <wp:posOffset>548640</wp:posOffset>
              </wp:positionH>
              <wp:positionV relativeFrom="paragraph">
                <wp:posOffset>0</wp:posOffset>
              </wp:positionV>
              <wp:extent cx="653796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7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C6355" w:rsidRDefault="00A36B9F">
                          <w:pPr>
                            <w:tabs>
                              <w:tab w:val="center" w:pos="5148"/>
                              <w:tab w:val="right" w:pos="10296"/>
                            </w:tabs>
                          </w:pPr>
                          <w:r>
                            <w:tab/>
                          </w:r>
                          <w:r>
                            <w:tab/>
                          </w:r>
                          <w:r>
                            <w:fldChar w:fldCharType="begin"/>
                          </w:r>
                          <w:r>
                            <w:instrText>page \* arabic</w:instrText>
                          </w:r>
                          <w:r>
                            <w:fldChar w:fldCharType="separate"/>
                          </w:r>
                          <w:r w:rsidR="00E877ED">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3.2pt;margin-top:0;width:514.8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YJpQIAAJ0FAAAOAAAAZHJzL2Uyb0RvYy54bWysVF1v0zAUfUfiP1h+z5J06UeipdPWNAhp&#10;wMTgB7iO01g4drDdphviv3PtLN26CQkBfYiu7evrc+45vReXh1agPdOGK5nj+CzCiEmqKi63Of76&#10;pQwWGBlLZEWEkizH98zgy+XbNxd9l7GJapSomEZQRJqs73LcWNtlYWhow1pizlTHJBzWSrfEwlJv&#10;w0qTHqq3IpxE0Szsla46rSgzBnaL4RAvff26ZtR+qmvDLBI5BmzWf7X/btw3XF6QbKtJ13D6CIP8&#10;BYqWcAmPHksVxBK00/xVqZZTrYyq7RlVbajqmlPmOQCbOHrB5q4hHfNcoDmmO7bJ/L+y9OP+ViNe&#10;gXYYSdKCRJ+haURuBUOxa0/fmQyy7rpb7Qia7kbRbwZJtWogi11prfqGkQpA+fzw5IJbGLiKNv0H&#10;VUF1srPKd+pQ69YVhB6ggxfk/igIO1hEYXM2PZ+nM9CNwlk8nSSRVywk2Xi708a+Y6pFLsixBuy+&#10;OtnfGAvoIXVMcY9JVXIhvOhCnmxA4rADb8NVd+ZQeA1/pFG6XqwXSZBMZusgiYoiuCpXSTAr4/m0&#10;OC9WqyL+6d6Nk6zhVcWke2b0U5z8mV6Pzh6ccHSUUYJXrpyDZPR2sxIa7Qn4ufQ/pxGAf5YWnsLw&#10;x8DlBaUYunk9SYNytpgHSZlMg3QeLYIoTq+h5UmaFOUppRsu2b9TQr1T2XP5LbHI/14TI1nLLYwL&#10;wdscL45JJHP+W8vK62oJF0P8rA8O+1MfoF2jyt6tzqCD0e1hc4AqzrUbVd2Db7UCW4EDYcZB0Cj9&#10;gFEP8yLH5vuOaIaReC/B+264jIEeg80YEEnhao4tRkO4ssMQ2nWabxuoHPueSHUF/4+ae+s+oQDo&#10;bgEzwJN4nFduyDxf+6ynqbr8BQAA//8DAFBLAwQUAAYACAAAACEAcJ037twAAAAHAQAADwAAAGRy&#10;cy9kb3ducmV2LnhtbEyPQU+DQBCF7yb+h82YeLMLTUMqsjSmhERv2nrxtmWnQMrOArsF/PdOT3p7&#10;k/fy3jfZbrGdmHD0rSMF8SoCgVQ501Kt4OtYPm1B+KDJ6M4RKvhBD7v8/i7TqXEzfeJ0CLXgEvKp&#10;VtCE0KdS+qpBq/3K9Ujsnd1odeBzrKUZ9czltpPrKEqk1S3xQqN73DdYXQ5Xq6AYE1P6/VtRPn/P&#10;RXj/GKZBDko9PiyvLyACLuEvDDd8RoecmU7uSsaLTsE22XBSAT90c+M4YXVSsN5EIPNM/ufPfwEA&#10;AP//AwBQSwECLQAUAAYACAAAACEAtoM4kv4AAADhAQAAEwAAAAAAAAAAAAAAAAAAAAAAW0NvbnRl&#10;bnRfVHlwZXNdLnhtbFBLAQItABQABgAIAAAAIQA4/SH/1gAAAJQBAAALAAAAAAAAAAAAAAAAAC8B&#10;AABfcmVscy8ucmVsc1BLAQItABQABgAIAAAAIQALj+YJpQIAAJ0FAAAOAAAAAAAAAAAAAAAAAC4C&#10;AABkcnMvZTJvRG9jLnhtbFBLAQItABQABgAIAAAAIQBwnTfu3AAAAAcBAAAPAAAAAAAAAAAAAAAA&#10;AP8EAABkcnMvZG93bnJldi54bWxQSwUGAAAAAAQABADzAAAACAYAAAAA&#10;" o:allowincell="f" filled="f" stroked="f" strokeweight="0">
              <v:textbox inset="0,0,0,0">
                <w:txbxContent>
                  <w:p w:rsidR="008C6355" w:rsidRDefault="00A36B9F">
                    <w:pPr>
                      <w:tabs>
                        <w:tab w:val="center" w:pos="5148"/>
                        <w:tab w:val="right" w:pos="10296"/>
                      </w:tabs>
                    </w:pPr>
                    <w:r>
                      <w:tab/>
                    </w:r>
                    <w:r>
                      <w:tab/>
                    </w:r>
                    <w:r>
                      <w:fldChar w:fldCharType="begin"/>
                    </w:r>
                    <w:r>
                      <w:instrText>page \* arabic</w:instrText>
                    </w:r>
                    <w:r>
                      <w:fldChar w:fldCharType="separate"/>
                    </w:r>
                    <w:r w:rsidR="00E877ED">
                      <w:rPr>
                        <w:noProof/>
                      </w:rPr>
                      <w:t>3</w:t>
                    </w:r>
                    <w:r>
                      <w:rPr>
                        <w:noProof/>
                      </w:rPr>
                      <w:fldChar w:fldCharType="end"/>
                    </w:r>
                  </w:p>
                </w:txbxContent>
              </v:textbox>
              <w10:wrap anchorx="page"/>
            </v:rect>
          </w:pict>
        </mc:Fallback>
      </mc:AlternateContent>
    </w:r>
  </w:p>
  <w:p w:rsidR="008C6355" w:rsidRDefault="00D56344">
    <w:pPr>
      <w:suppressAutoHyphens/>
      <w:spacing w:after="140" w:line="100" w:lineRule="exact"/>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B9F"/>
    <w:rsid w:val="00442F00"/>
    <w:rsid w:val="009D217B"/>
    <w:rsid w:val="00A36B9F"/>
    <w:rsid w:val="00D56344"/>
    <w:rsid w:val="00E87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B9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4">
    <w:name w:val="heading 4"/>
    <w:basedOn w:val="Normal"/>
    <w:next w:val="Normal"/>
    <w:link w:val="Heading4Char"/>
    <w:semiHidden/>
    <w:unhideWhenUsed/>
    <w:qFormat/>
    <w:rsid w:val="00A36B9F"/>
    <w:pPr>
      <w:keepNext/>
      <w:jc w:val="center"/>
      <w:textAlignment w:val="auto"/>
      <w:outlineLvl w:val="3"/>
    </w:pPr>
    <w:rPr>
      <w:rFonts w:ascii="Helvetica" w:hAnsi="Helvetica"/>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36B9F"/>
    <w:pPr>
      <w:tabs>
        <w:tab w:val="center" w:pos="4320"/>
        <w:tab w:val="right" w:pos="8640"/>
      </w:tabs>
    </w:pPr>
  </w:style>
  <w:style w:type="character" w:customStyle="1" w:styleId="FooterChar">
    <w:name w:val="Footer Char"/>
    <w:basedOn w:val="DefaultParagraphFont"/>
    <w:link w:val="Footer"/>
    <w:rsid w:val="00A36B9F"/>
    <w:rPr>
      <w:rFonts w:ascii="Times New Roman" w:eastAsia="Times New Roman" w:hAnsi="Times New Roman" w:cs="Times New Roman"/>
      <w:sz w:val="20"/>
      <w:szCs w:val="20"/>
    </w:rPr>
  </w:style>
  <w:style w:type="paragraph" w:styleId="Title">
    <w:name w:val="Title"/>
    <w:basedOn w:val="Normal"/>
    <w:link w:val="TitleChar"/>
    <w:qFormat/>
    <w:rsid w:val="00A36B9F"/>
    <w:pPr>
      <w:jc w:val="center"/>
    </w:pPr>
    <w:rPr>
      <w:rFonts w:ascii="Helvetica" w:hAnsi="Helvetica"/>
      <w:b/>
      <w:sz w:val="28"/>
    </w:rPr>
  </w:style>
  <w:style w:type="character" w:customStyle="1" w:styleId="TitleChar">
    <w:name w:val="Title Char"/>
    <w:basedOn w:val="DefaultParagraphFont"/>
    <w:link w:val="Title"/>
    <w:rsid w:val="00A36B9F"/>
    <w:rPr>
      <w:rFonts w:ascii="Helvetica" w:eastAsia="Times New Roman" w:hAnsi="Helvetica" w:cs="Times New Roman"/>
      <w:b/>
      <w:sz w:val="28"/>
      <w:szCs w:val="20"/>
    </w:rPr>
  </w:style>
  <w:style w:type="paragraph" w:styleId="BodyTextIndent2">
    <w:name w:val="Body Text Indent 2"/>
    <w:basedOn w:val="Normal"/>
    <w:link w:val="BodyTextIndent2Char"/>
    <w:rsid w:val="00A36B9F"/>
    <w:pPr>
      <w:widowControl w:val="0"/>
      <w:tabs>
        <w:tab w:val="left" w:pos="-720"/>
        <w:tab w:val="left" w:pos="0"/>
      </w:tabs>
      <w:suppressAutoHyphens/>
      <w:spacing w:line="480" w:lineRule="auto"/>
      <w:ind w:left="360"/>
    </w:pPr>
    <w:rPr>
      <w:sz w:val="24"/>
    </w:rPr>
  </w:style>
  <w:style w:type="character" w:customStyle="1" w:styleId="BodyTextIndent2Char">
    <w:name w:val="Body Text Indent 2 Char"/>
    <w:basedOn w:val="DefaultParagraphFont"/>
    <w:link w:val="BodyTextIndent2"/>
    <w:rsid w:val="00A36B9F"/>
    <w:rPr>
      <w:rFonts w:ascii="Times New Roman" w:eastAsia="Times New Roman" w:hAnsi="Times New Roman" w:cs="Times New Roman"/>
      <w:sz w:val="24"/>
      <w:szCs w:val="20"/>
    </w:rPr>
  </w:style>
  <w:style w:type="character" w:styleId="Hyperlink">
    <w:name w:val="Hyperlink"/>
    <w:basedOn w:val="DefaultParagraphFont"/>
    <w:rsid w:val="00A36B9F"/>
    <w:rPr>
      <w:color w:val="0000FF" w:themeColor="hyperlink"/>
      <w:u w:val="single"/>
    </w:rPr>
  </w:style>
  <w:style w:type="character" w:customStyle="1" w:styleId="Heading4Char">
    <w:name w:val="Heading 4 Char"/>
    <w:basedOn w:val="DefaultParagraphFont"/>
    <w:link w:val="Heading4"/>
    <w:semiHidden/>
    <w:rsid w:val="00A36B9F"/>
    <w:rPr>
      <w:rFonts w:ascii="Helvetica" w:eastAsia="Times New Roman" w:hAnsi="Helvetica" w:cs="Times New Roman"/>
      <w:b/>
      <w:bC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B9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4">
    <w:name w:val="heading 4"/>
    <w:basedOn w:val="Normal"/>
    <w:next w:val="Normal"/>
    <w:link w:val="Heading4Char"/>
    <w:semiHidden/>
    <w:unhideWhenUsed/>
    <w:qFormat/>
    <w:rsid w:val="00A36B9F"/>
    <w:pPr>
      <w:keepNext/>
      <w:jc w:val="center"/>
      <w:textAlignment w:val="auto"/>
      <w:outlineLvl w:val="3"/>
    </w:pPr>
    <w:rPr>
      <w:rFonts w:ascii="Helvetica" w:hAnsi="Helvetica"/>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36B9F"/>
    <w:pPr>
      <w:tabs>
        <w:tab w:val="center" w:pos="4320"/>
        <w:tab w:val="right" w:pos="8640"/>
      </w:tabs>
    </w:pPr>
  </w:style>
  <w:style w:type="character" w:customStyle="1" w:styleId="FooterChar">
    <w:name w:val="Footer Char"/>
    <w:basedOn w:val="DefaultParagraphFont"/>
    <w:link w:val="Footer"/>
    <w:rsid w:val="00A36B9F"/>
    <w:rPr>
      <w:rFonts w:ascii="Times New Roman" w:eastAsia="Times New Roman" w:hAnsi="Times New Roman" w:cs="Times New Roman"/>
      <w:sz w:val="20"/>
      <w:szCs w:val="20"/>
    </w:rPr>
  </w:style>
  <w:style w:type="paragraph" w:styleId="Title">
    <w:name w:val="Title"/>
    <w:basedOn w:val="Normal"/>
    <w:link w:val="TitleChar"/>
    <w:qFormat/>
    <w:rsid w:val="00A36B9F"/>
    <w:pPr>
      <w:jc w:val="center"/>
    </w:pPr>
    <w:rPr>
      <w:rFonts w:ascii="Helvetica" w:hAnsi="Helvetica"/>
      <w:b/>
      <w:sz w:val="28"/>
    </w:rPr>
  </w:style>
  <w:style w:type="character" w:customStyle="1" w:styleId="TitleChar">
    <w:name w:val="Title Char"/>
    <w:basedOn w:val="DefaultParagraphFont"/>
    <w:link w:val="Title"/>
    <w:rsid w:val="00A36B9F"/>
    <w:rPr>
      <w:rFonts w:ascii="Helvetica" w:eastAsia="Times New Roman" w:hAnsi="Helvetica" w:cs="Times New Roman"/>
      <w:b/>
      <w:sz w:val="28"/>
      <w:szCs w:val="20"/>
    </w:rPr>
  </w:style>
  <w:style w:type="paragraph" w:styleId="BodyTextIndent2">
    <w:name w:val="Body Text Indent 2"/>
    <w:basedOn w:val="Normal"/>
    <w:link w:val="BodyTextIndent2Char"/>
    <w:rsid w:val="00A36B9F"/>
    <w:pPr>
      <w:widowControl w:val="0"/>
      <w:tabs>
        <w:tab w:val="left" w:pos="-720"/>
        <w:tab w:val="left" w:pos="0"/>
      </w:tabs>
      <w:suppressAutoHyphens/>
      <w:spacing w:line="480" w:lineRule="auto"/>
      <w:ind w:left="360"/>
    </w:pPr>
    <w:rPr>
      <w:sz w:val="24"/>
    </w:rPr>
  </w:style>
  <w:style w:type="character" w:customStyle="1" w:styleId="BodyTextIndent2Char">
    <w:name w:val="Body Text Indent 2 Char"/>
    <w:basedOn w:val="DefaultParagraphFont"/>
    <w:link w:val="BodyTextIndent2"/>
    <w:rsid w:val="00A36B9F"/>
    <w:rPr>
      <w:rFonts w:ascii="Times New Roman" w:eastAsia="Times New Roman" w:hAnsi="Times New Roman" w:cs="Times New Roman"/>
      <w:sz w:val="24"/>
      <w:szCs w:val="20"/>
    </w:rPr>
  </w:style>
  <w:style w:type="character" w:styleId="Hyperlink">
    <w:name w:val="Hyperlink"/>
    <w:basedOn w:val="DefaultParagraphFont"/>
    <w:rsid w:val="00A36B9F"/>
    <w:rPr>
      <w:color w:val="0000FF" w:themeColor="hyperlink"/>
      <w:u w:val="single"/>
    </w:rPr>
  </w:style>
  <w:style w:type="character" w:customStyle="1" w:styleId="Heading4Char">
    <w:name w:val="Heading 4 Char"/>
    <w:basedOn w:val="DefaultParagraphFont"/>
    <w:link w:val="Heading4"/>
    <w:semiHidden/>
    <w:rsid w:val="00A36B9F"/>
    <w:rPr>
      <w:rFonts w:ascii="Helvetica" w:eastAsia="Times New Roman" w:hAnsi="Helvetica"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58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misezones@hud.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ud.gov/promisezones"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misezones@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1345</Words>
  <Characters>7670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User</dc:creator>
  <cp:lastModifiedBy>HUD User</cp:lastModifiedBy>
  <cp:revision>2</cp:revision>
  <dcterms:created xsi:type="dcterms:W3CDTF">2013-10-30T16:23:00Z</dcterms:created>
  <dcterms:modified xsi:type="dcterms:W3CDTF">2013-10-30T16:23:00Z</dcterms:modified>
</cp:coreProperties>
</file>