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04" w:rsidRDefault="00672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72004" w:rsidRDefault="00672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672004" w:rsidRDefault="0067200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p>
    <w:p w:rsidR="00E973D1" w:rsidRPr="00E973D1" w:rsidRDefault="00E973D1" w:rsidP="00E973D1">
      <w:pPr>
        <w:pStyle w:val="Heading4"/>
        <w:jc w:val="center"/>
        <w:rPr>
          <w:sz w:val="28"/>
          <w:szCs w:val="28"/>
        </w:rPr>
      </w:pPr>
      <w:r w:rsidRPr="00E973D1">
        <w:rPr>
          <w:b w:val="0"/>
          <w:color w:val="000000" w:themeColor="text1"/>
          <w:sz w:val="28"/>
          <w:szCs w:val="28"/>
        </w:rPr>
        <w:t>FHA-Insured Mortgage Loan Servicing Involving the Claims and Conveyance Process, Property Inspection/Preservation</w:t>
      </w:r>
    </w:p>
    <w:p w:rsidR="00C83A6B" w:rsidRPr="00C83A6B" w:rsidRDefault="00C83A6B" w:rsidP="00C83A6B">
      <w:pPr>
        <w:jc w:val="center"/>
        <w:rPr>
          <w:b/>
          <w:sz w:val="24"/>
          <w:szCs w:val="24"/>
        </w:rPr>
      </w:pPr>
      <w:r w:rsidRPr="00C83A6B">
        <w:rPr>
          <w:b/>
          <w:sz w:val="24"/>
          <w:szCs w:val="24"/>
        </w:rPr>
        <w:t>2502-0429</w:t>
      </w:r>
    </w:p>
    <w:p w:rsidR="00C83A6B" w:rsidRPr="00C83A6B" w:rsidRDefault="00C83A6B" w:rsidP="00C83A6B">
      <w:pPr>
        <w:jc w:val="center"/>
        <w:rPr>
          <w:b/>
          <w:sz w:val="24"/>
          <w:szCs w:val="24"/>
        </w:rPr>
      </w:pPr>
    </w:p>
    <w:p w:rsidR="00672004" w:rsidRDefault="00672004">
      <w:pPr>
        <w:pStyle w:val="Heading1"/>
        <w:rPr>
          <w:bCs/>
        </w:rPr>
      </w:pPr>
    </w:p>
    <w:p w:rsidR="00672004" w:rsidRDefault="00672004">
      <w:pPr>
        <w:pStyle w:val="Heading1"/>
        <w:jc w:val="left"/>
        <w:rPr>
          <w:bCs/>
        </w:rPr>
      </w:pPr>
      <w:r>
        <w:rPr>
          <w:bCs/>
        </w:rPr>
        <w:t>A.</w:t>
      </w:r>
      <w:r>
        <w:rPr>
          <w:bCs/>
        </w:rPr>
        <w:tab/>
        <w:t>Justification</w:t>
      </w:r>
    </w:p>
    <w:p w:rsidR="00672004" w:rsidRDefault="00672004">
      <w:pPr>
        <w:pStyle w:val="HTMLPreformatted"/>
        <w:tabs>
          <w:tab w:val="left" w:pos="1062"/>
        </w:tabs>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eastAsia="Times New Roman" w:hAnsi="Times New Roman" w:cs="Times New Roman"/>
          <w:sz w:val="24"/>
        </w:rPr>
        <w:t>The National Housing Act (P.L. 479, 48 Stat., 1246, 12 U.S.C., 1701 et seq.) authorizes the Secretary of Housing and Urban Development to insure financial institutions against losses as a result of mortgagor defaults on single-family mortgages.</w:t>
      </w:r>
      <w:r>
        <w:rPr>
          <w:rFonts w:ascii="Times New Roman" w:hAnsi="Times New Roman" w:cs="Times New Roman"/>
          <w:sz w:val="24"/>
        </w:rPr>
        <w:t xml:space="preserve">  The Act also allows HUD to deal with, complete, rent, renovate, modernize, insure, or sell for cash or credit, at his/her discretion, any properties conveyed to the Department under contracts of mortgage insurance.  Re</w:t>
      </w:r>
      <w:r w:rsidR="00421F6C">
        <w:rPr>
          <w:rFonts w:ascii="Times New Roman" w:hAnsi="Times New Roman" w:cs="Times New Roman"/>
          <w:sz w:val="24"/>
        </w:rPr>
        <w:t>-</w:t>
      </w:r>
      <w:r>
        <w:rPr>
          <w:rFonts w:ascii="Times New Roman" w:hAnsi="Times New Roman" w:cs="Times New Roman"/>
          <w:sz w:val="24"/>
        </w:rPr>
        <w:t xml:space="preserve">delegations of authority to enter into and administer procurement contracts for goods and services for acquired properties have been made to specific positions within HUD local offices.  Departmental officials assigned, detailed, or acting in these positions </w:t>
      </w:r>
      <w:r w:rsidR="001C647F">
        <w:rPr>
          <w:rFonts w:ascii="Times New Roman" w:hAnsi="Times New Roman" w:cs="Times New Roman"/>
          <w:sz w:val="24"/>
        </w:rPr>
        <w:t>has</w:t>
      </w:r>
      <w:r>
        <w:rPr>
          <w:rFonts w:ascii="Times New Roman" w:hAnsi="Times New Roman" w:cs="Times New Roman"/>
          <w:sz w:val="24"/>
        </w:rPr>
        <w:t xml:space="preserve"> been made responsible for exercising such procurement authority in accordance with all applicable laws, regulations, and procedures.  Applicable regulations regarding procurement are contained in the Department's input to the Federal Acquisition Regulations.  </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B775BE" w:rsidRDefault="00672004" w:rsidP="00B775BE">
      <w:pPr>
        <w:rPr>
          <w:sz w:val="24"/>
          <w:szCs w:val="24"/>
        </w:rPr>
      </w:pPr>
      <w:r>
        <w:rPr>
          <w:sz w:val="24"/>
        </w:rPr>
        <w:t>2.</w:t>
      </w:r>
      <w:r>
        <w:rPr>
          <w:sz w:val="24"/>
        </w:rPr>
        <w:tab/>
      </w:r>
      <w:r w:rsidR="00CC3E8B">
        <w:rPr>
          <w:sz w:val="24"/>
          <w:szCs w:val="24"/>
        </w:rPr>
        <w:t>This information collection</w:t>
      </w:r>
      <w:r w:rsidR="00B775BE" w:rsidRPr="00B775BE">
        <w:rPr>
          <w:sz w:val="24"/>
          <w:szCs w:val="24"/>
        </w:rPr>
        <w:t xml:space="preserve"> is based on the claims activity involving the mortgage loan servicing of foreclosed mortgage loans after the foreclosure.  Due to conditions in the mortgage banking industry, foreclosures, claims, and acquisitions have increased.  Additionally, due to the increased popularity of the FHA-insured loan program the loan portfolio has increased over ten times since this PRA was first established three years ago.  The number of respondents has also increased in addition to existing respondents becoming more active.  </w:t>
      </w:r>
    </w:p>
    <w:p w:rsidR="00B775BE" w:rsidRPr="00B775BE" w:rsidRDefault="00B775BE" w:rsidP="00B775BE">
      <w:pPr>
        <w:rPr>
          <w:sz w:val="24"/>
          <w:szCs w:val="24"/>
        </w:rPr>
      </w:pPr>
    </w:p>
    <w:p w:rsidR="00672004" w:rsidRDefault="00925D04" w:rsidP="00B775BE">
      <w:pPr>
        <w:ind w:firstLine="720"/>
        <w:rPr>
          <w:sz w:val="24"/>
        </w:rPr>
      </w:pPr>
      <w:r>
        <w:rPr>
          <w:sz w:val="24"/>
        </w:rPr>
        <w:t xml:space="preserve">The respondents for the collection are Mortgagees, Mortgagors and Contractors </w:t>
      </w:r>
      <w:r w:rsidR="00393D9A">
        <w:rPr>
          <w:sz w:val="24"/>
        </w:rPr>
        <w:t>that</w:t>
      </w:r>
      <w:r w:rsidR="00672004">
        <w:rPr>
          <w:sz w:val="24"/>
        </w:rPr>
        <w:t xml:space="preserve"> service FHA-insured mortgage loans</w:t>
      </w:r>
      <w:r w:rsidR="00F902B2">
        <w:rPr>
          <w:sz w:val="24"/>
        </w:rPr>
        <w:t>, mortgagors who are the homeowners</w:t>
      </w:r>
      <w:r w:rsidR="00672004">
        <w:rPr>
          <w:sz w:val="24"/>
        </w:rPr>
        <w:t xml:space="preserve"> and </w:t>
      </w:r>
      <w:r w:rsidR="00F902B2">
        <w:rPr>
          <w:sz w:val="24"/>
        </w:rPr>
        <w:t>contractors (M</w:t>
      </w:r>
      <w:r w:rsidR="00B74859">
        <w:rPr>
          <w:sz w:val="24"/>
        </w:rPr>
        <w:t>C</w:t>
      </w:r>
      <w:r w:rsidR="00F902B2">
        <w:rPr>
          <w:sz w:val="24"/>
        </w:rPr>
        <w:t xml:space="preserve">M’s) who manage HUD REO </w:t>
      </w:r>
      <w:r w:rsidR="00C45C2D">
        <w:rPr>
          <w:sz w:val="24"/>
        </w:rPr>
        <w:t>activities.  Mortgage insurance claims for Home Equity Conversion Mortgages (HECM) also utilize form HUD-27011,</w:t>
      </w:r>
      <w:r w:rsidR="00421F6C">
        <w:rPr>
          <w:sz w:val="24"/>
        </w:rPr>
        <w:t xml:space="preserve"> </w:t>
      </w:r>
      <w:r w:rsidR="00DE286C">
        <w:rPr>
          <w:sz w:val="24"/>
        </w:rPr>
        <w:t>(</w:t>
      </w:r>
      <w:r w:rsidR="00C45C2D">
        <w:rPr>
          <w:sz w:val="24"/>
        </w:rPr>
        <w:t>parts A</w:t>
      </w:r>
      <w:r w:rsidR="009803BA">
        <w:rPr>
          <w:sz w:val="24"/>
        </w:rPr>
        <w:t>, B, C, D</w:t>
      </w:r>
      <w:r w:rsidR="00DE286C">
        <w:rPr>
          <w:sz w:val="24"/>
        </w:rPr>
        <w:t xml:space="preserve"> &amp; E), Single Family Application for Insurance Benefits. </w:t>
      </w:r>
      <w:r w:rsidR="00421F6C">
        <w:rPr>
          <w:sz w:val="24"/>
        </w:rPr>
        <w:t xml:space="preserve"> </w:t>
      </w:r>
      <w:r w:rsidR="00DE286C">
        <w:rPr>
          <w:sz w:val="24"/>
        </w:rPr>
        <w:t>The specific regulatory citations for H</w:t>
      </w:r>
      <w:r w:rsidR="00393D9A">
        <w:rPr>
          <w:sz w:val="24"/>
        </w:rPr>
        <w:t>ECM claims are also cited below:</w:t>
      </w:r>
    </w:p>
    <w:p w:rsidR="00672004" w:rsidRDefault="00672004">
      <w:pPr>
        <w:rPr>
          <w:sz w:val="24"/>
        </w:rPr>
      </w:pPr>
    </w:p>
    <w:p w:rsidR="00672004" w:rsidRDefault="00672004">
      <w:pPr>
        <w:ind w:firstLine="720"/>
        <w:rPr>
          <w:sz w:val="24"/>
        </w:rPr>
      </w:pPr>
      <w:r>
        <w:rPr>
          <w:sz w:val="24"/>
        </w:rPr>
        <w:t xml:space="preserve">The following activities and requirements for this PRA are set forth in Title 24 of the Code of Federal Regulations (CFR) in numerous locations of the CFR, specifically 24 § 203.350, § 203.355, § 203.357, § 203.359, § 203.360, § 203.362, § 203.363, § 203.364, § 203.365, § 203.368, § 203.369, </w:t>
      </w:r>
      <w:r w:rsidR="00C45C2D">
        <w:rPr>
          <w:sz w:val="24"/>
        </w:rPr>
        <w:t xml:space="preserve">§203.370,§203.371, </w:t>
      </w:r>
      <w:r>
        <w:rPr>
          <w:sz w:val="24"/>
        </w:rPr>
        <w:t>§203.377, § 203.378, § 203.379, § 203.381, § 203.382, § 203.389, § 203.402, § 203.414, § 203.670, § 203.671, § 203.672, § 203.673, § 203.674, § 203.675, § 203.676, § 203.677, § 203.678, § 203.679, § 203.680, § 203.681</w:t>
      </w:r>
      <w:r w:rsidR="001351C6">
        <w:rPr>
          <w:sz w:val="24"/>
        </w:rPr>
        <w:t xml:space="preserve">, </w:t>
      </w:r>
      <w:r w:rsidR="007200C3">
        <w:rPr>
          <w:sz w:val="24"/>
        </w:rPr>
        <w:t>§206.123.</w:t>
      </w:r>
      <w:r w:rsidR="001351C6">
        <w:rPr>
          <w:sz w:val="24"/>
        </w:rPr>
        <w:t>§206.125, §206.127,</w:t>
      </w:r>
      <w:r w:rsidR="001351C6" w:rsidRPr="001351C6">
        <w:rPr>
          <w:sz w:val="24"/>
        </w:rPr>
        <w:t xml:space="preserve"> </w:t>
      </w:r>
      <w:r w:rsidR="001351C6">
        <w:rPr>
          <w:sz w:val="24"/>
        </w:rPr>
        <w:t>§206.129.</w:t>
      </w:r>
    </w:p>
    <w:p w:rsidR="00672004" w:rsidRDefault="00672004">
      <w:pPr>
        <w:rPr>
          <w:b/>
          <w:bCs/>
          <w:sz w:val="24"/>
        </w:rPr>
      </w:pPr>
    </w:p>
    <w:p w:rsidR="00672004" w:rsidRDefault="00672004">
      <w:pPr>
        <w:pStyle w:val="HTMLPreformatted"/>
        <w:tabs>
          <w:tab w:val="left" w:pos="1062"/>
        </w:tabs>
        <w:rPr>
          <w:rFonts w:ascii="Times New Roman" w:hAnsi="Times New Roman" w:cs="Times New Roman"/>
          <w:b/>
          <w:bCs/>
          <w:color w:val="0000FF"/>
          <w:sz w:val="24"/>
        </w:rPr>
      </w:pPr>
      <w:r>
        <w:rPr>
          <w:rFonts w:ascii="Times New Roman" w:hAnsi="Times New Roman" w:cs="Times New Roman"/>
          <w:b/>
          <w:bCs/>
          <w:sz w:val="24"/>
        </w:rPr>
        <w:t>Claims and Conveyance</w:t>
      </w:r>
    </w:p>
    <w:p w:rsidR="00672004" w:rsidRDefault="00672004">
      <w:pPr>
        <w:pStyle w:val="HTMLPreformatted"/>
        <w:tabs>
          <w:tab w:val="left" w:pos="1062"/>
        </w:tabs>
        <w:rPr>
          <w:rFonts w:ascii="Times New Roman" w:hAnsi="Times New Roman" w:cs="Times New Roman"/>
          <w:sz w:val="24"/>
        </w:rPr>
      </w:pPr>
    </w:p>
    <w:p w:rsidR="00672004" w:rsidRDefault="00672004" w:rsidP="00393D9A">
      <w:pPr>
        <w:ind w:firstLine="360"/>
        <w:rPr>
          <w:sz w:val="24"/>
        </w:rPr>
      </w:pPr>
      <w:r>
        <w:rPr>
          <w:sz w:val="24"/>
        </w:rPr>
        <w:t>The filing</w:t>
      </w:r>
      <w:r w:rsidR="00A92905">
        <w:rPr>
          <w:sz w:val="24"/>
        </w:rPr>
        <w:t xml:space="preserve"> </w:t>
      </w:r>
      <w:r>
        <w:rPr>
          <w:sz w:val="24"/>
        </w:rPr>
        <w:t xml:space="preserve">of Claims for insurance benefits and Conveyances to </w:t>
      </w:r>
      <w:r w:rsidR="00A92905">
        <w:rPr>
          <w:sz w:val="24"/>
        </w:rPr>
        <w:t>the Department are</w:t>
      </w:r>
      <w:r>
        <w:rPr>
          <w:sz w:val="24"/>
        </w:rPr>
        <w:t xml:space="preserve"> covered in this PRA</w:t>
      </w:r>
      <w:r w:rsidR="00A92905">
        <w:rPr>
          <w:sz w:val="24"/>
        </w:rPr>
        <w:t xml:space="preserve"> as well as</w:t>
      </w:r>
      <w:r w:rsidR="008F311A">
        <w:rPr>
          <w:sz w:val="24"/>
        </w:rPr>
        <w:t xml:space="preserve"> </w:t>
      </w:r>
      <w:r>
        <w:rPr>
          <w:sz w:val="24"/>
        </w:rPr>
        <w:t>activities</w:t>
      </w:r>
      <w:r w:rsidR="00A92905">
        <w:rPr>
          <w:sz w:val="24"/>
        </w:rPr>
        <w:t xml:space="preserve"> for conveyance and property preservation.</w:t>
      </w:r>
    </w:p>
    <w:p w:rsidR="00672004" w:rsidRDefault="00672004">
      <w:pPr>
        <w:pStyle w:val="HTMLPreformatted"/>
        <w:tabs>
          <w:tab w:val="left" w:pos="1062"/>
        </w:tabs>
        <w:rPr>
          <w:rFonts w:ascii="Times New Roman" w:hAnsi="Times New Roman" w:cs="Times New Roman"/>
          <w:sz w:val="24"/>
        </w:rPr>
      </w:pPr>
      <w:r>
        <w:rPr>
          <w:rFonts w:ascii="Times New Roman" w:hAnsi="Times New Roman" w:cs="Times New Roman"/>
          <w:sz w:val="24"/>
        </w:rPr>
        <w:t xml:space="preserve"> </w:t>
      </w:r>
    </w:p>
    <w:p w:rsidR="00421F6C" w:rsidRDefault="00532119" w:rsidP="00511AB0">
      <w:pPr>
        <w:pStyle w:val="ListParagraph"/>
        <w:numPr>
          <w:ilvl w:val="0"/>
          <w:numId w:val="28"/>
        </w:numPr>
        <w:ind w:left="360" w:firstLine="0"/>
        <w:rPr>
          <w:sz w:val="24"/>
        </w:rPr>
      </w:pPr>
      <w:r w:rsidRPr="00A92905">
        <w:rPr>
          <w:sz w:val="24"/>
        </w:rPr>
        <w:t>A</w:t>
      </w:r>
      <w:r w:rsidR="00672004" w:rsidRPr="00A92905">
        <w:rPr>
          <w:sz w:val="24"/>
        </w:rPr>
        <w:t xml:space="preserve">uthority for obtaining information is provided in regulations governing </w:t>
      </w:r>
      <w:r w:rsidR="00672004" w:rsidRPr="00A92905">
        <w:rPr>
          <w:b/>
          <w:bCs/>
          <w:sz w:val="24"/>
        </w:rPr>
        <w:t>occupied conveyance</w:t>
      </w:r>
      <w:r w:rsidR="00672004" w:rsidRPr="00A92905">
        <w:rPr>
          <w:sz w:val="24"/>
        </w:rPr>
        <w:t xml:space="preserve"> at </w:t>
      </w:r>
    </w:p>
    <w:p w:rsidR="00BA053C" w:rsidRPr="00A92905" w:rsidRDefault="00672004" w:rsidP="00421F6C">
      <w:pPr>
        <w:pStyle w:val="ListParagraph"/>
        <w:ind w:left="360"/>
        <w:rPr>
          <w:sz w:val="24"/>
        </w:rPr>
      </w:pPr>
      <w:r w:rsidRPr="00A92905">
        <w:rPr>
          <w:sz w:val="24"/>
        </w:rPr>
        <w:t xml:space="preserve">(24 CFR § 203.670 through § 203.681) stating that at least 60 days but not more than 90 days before the date on which the mortgagee expects to acquire title to the property: the mortgagee shall notify the mortgagor and each head of household who is occupying a unit of its potential acquisition by HUD.  Mortgagees are required to provide a notice of acquisition to mortgagors and to any occupant of the </w:t>
      </w:r>
      <w:r w:rsidRPr="00A92905">
        <w:rPr>
          <w:sz w:val="24"/>
        </w:rPr>
        <w:lastRenderedPageBreak/>
        <w:t xml:space="preserve">property.  In its first notice to the occupancy, the mortgagee </w:t>
      </w:r>
      <w:r w:rsidR="00532119" w:rsidRPr="00A92905">
        <w:rPr>
          <w:sz w:val="24"/>
        </w:rPr>
        <w:t xml:space="preserve">informs the occupancy of his/her rights and </w:t>
      </w:r>
      <w:r w:rsidRPr="00A92905">
        <w:rPr>
          <w:sz w:val="24"/>
        </w:rPr>
        <w:t xml:space="preserve">includes </w:t>
      </w:r>
      <w:r w:rsidR="00532119" w:rsidRPr="00A92905">
        <w:rPr>
          <w:sz w:val="24"/>
        </w:rPr>
        <w:t xml:space="preserve">the conditions for continued occupancy; A </w:t>
      </w:r>
      <w:r w:rsidRPr="00A92905">
        <w:rPr>
          <w:sz w:val="24"/>
        </w:rPr>
        <w:t xml:space="preserve">Form HUD-9539, </w:t>
      </w:r>
      <w:r w:rsidR="00A92905" w:rsidRPr="00A92905">
        <w:rPr>
          <w:sz w:val="24"/>
        </w:rPr>
        <w:t>“</w:t>
      </w:r>
      <w:r w:rsidRPr="00A92905">
        <w:rPr>
          <w:sz w:val="24"/>
        </w:rPr>
        <w:t>Request for Occupied Conveyance</w:t>
      </w:r>
      <w:r w:rsidR="00A92905" w:rsidRPr="00A92905">
        <w:rPr>
          <w:sz w:val="24"/>
        </w:rPr>
        <w:t>”</w:t>
      </w:r>
      <w:r w:rsidR="00532119" w:rsidRPr="00A92905">
        <w:rPr>
          <w:sz w:val="24"/>
        </w:rPr>
        <w:t xml:space="preserve"> is sent at this time</w:t>
      </w:r>
      <w:r w:rsidRPr="00A92905">
        <w:rPr>
          <w:sz w:val="24"/>
        </w:rPr>
        <w:t xml:space="preserve">.  If the occupant desires to remain in occupancy, the occupant must </w:t>
      </w:r>
      <w:r w:rsidR="003E3ACB">
        <w:rPr>
          <w:sz w:val="24"/>
        </w:rPr>
        <w:t>complete the subject form, HUD-</w:t>
      </w:r>
      <w:r w:rsidRPr="00A92905">
        <w:rPr>
          <w:sz w:val="24"/>
        </w:rPr>
        <w:t>9539, and submit the form to the local HUD office within 20 days after the d</w:t>
      </w:r>
      <w:r w:rsidR="00DA6D97" w:rsidRPr="00A92905">
        <w:rPr>
          <w:sz w:val="24"/>
        </w:rPr>
        <w:t>ate of the mortgagee’s notice.</w:t>
      </w:r>
      <w:r w:rsidR="004869F0" w:rsidRPr="00A92905">
        <w:rPr>
          <w:sz w:val="24"/>
        </w:rPr>
        <w:t xml:space="preserve">  </w:t>
      </w:r>
      <w:r w:rsidR="00BA053C" w:rsidRPr="00A92905">
        <w:rPr>
          <w:sz w:val="24"/>
        </w:rPr>
        <w:t>Th</w:t>
      </w:r>
      <w:r w:rsidR="004869F0" w:rsidRPr="00A92905">
        <w:rPr>
          <w:sz w:val="24"/>
        </w:rPr>
        <w:t>is</w:t>
      </w:r>
      <w:r w:rsidR="00BA053C" w:rsidRPr="00A92905">
        <w:rPr>
          <w:sz w:val="24"/>
        </w:rPr>
        <w:t xml:space="preserve"> information is necessary for HUD to determine if the occupant is financially able to pay the fair market rent; and/or whether a member of the immediate family residing in the residence suffers from a temporary, permanent, or </w:t>
      </w:r>
      <w:r w:rsidR="00532119" w:rsidRPr="00A92905">
        <w:rPr>
          <w:sz w:val="24"/>
        </w:rPr>
        <w:t>long term</w:t>
      </w:r>
      <w:r w:rsidR="00BA053C" w:rsidRPr="00A92905">
        <w:rPr>
          <w:sz w:val="24"/>
        </w:rPr>
        <w:t xml:space="preserve"> illness or injury which would be aggravated by the process of moving from the property.  </w:t>
      </w:r>
      <w:r w:rsidR="005E5155">
        <w:rPr>
          <w:sz w:val="24"/>
        </w:rPr>
        <w:t>HUD</w:t>
      </w:r>
      <w:r w:rsidR="00BA053C" w:rsidRPr="00A92905">
        <w:rPr>
          <w:sz w:val="24"/>
        </w:rPr>
        <w:t xml:space="preserve"> uses the information in making its determination as to whether to approve or disapprove the occupant’s request for occupied conveyance.  An occupant w</w:t>
      </w:r>
      <w:r w:rsidR="00DF2B34">
        <w:rPr>
          <w:sz w:val="24"/>
        </w:rPr>
        <w:t xml:space="preserve">ith an approved request </w:t>
      </w:r>
      <w:r w:rsidR="00BA053C" w:rsidRPr="00A92905">
        <w:rPr>
          <w:sz w:val="24"/>
        </w:rPr>
        <w:t xml:space="preserve">must execute a month-to month lease and a copy of the lease is mailed along with the HUD-9539 form to </w:t>
      </w:r>
      <w:r w:rsidR="004869F0" w:rsidRPr="00A92905">
        <w:rPr>
          <w:sz w:val="24"/>
        </w:rPr>
        <w:t>the Department</w:t>
      </w:r>
      <w:r w:rsidR="00BA053C" w:rsidRPr="00A92905">
        <w:rPr>
          <w:sz w:val="24"/>
        </w:rPr>
        <w:t xml:space="preserve">.  </w:t>
      </w:r>
      <w:r w:rsidR="004869F0" w:rsidRPr="00A92905">
        <w:rPr>
          <w:sz w:val="24"/>
        </w:rPr>
        <w:t>The Department</w:t>
      </w:r>
      <w:r w:rsidR="00BA053C" w:rsidRPr="00A92905">
        <w:rPr>
          <w:sz w:val="24"/>
        </w:rPr>
        <w:t xml:space="preserve"> may provide pertinent information to a local real estate broker who manages the property.  The information may also be used to collect past due rents. </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Pr="00511AB0" w:rsidRDefault="00A92905" w:rsidP="00511AB0">
      <w:pPr>
        <w:pStyle w:val="ListParagraph"/>
        <w:keepLines/>
        <w:numPr>
          <w:ilvl w:val="0"/>
          <w:numId w:val="28"/>
        </w:numPr>
        <w:spacing w:after="80"/>
        <w:ind w:left="360" w:firstLine="0"/>
        <w:rPr>
          <w:color w:val="000000"/>
          <w:sz w:val="24"/>
          <w:szCs w:val="24"/>
        </w:rPr>
      </w:pPr>
      <w:r w:rsidRPr="00511AB0">
        <w:rPr>
          <w:sz w:val="24"/>
        </w:rPr>
        <w:t>A</w:t>
      </w:r>
      <w:r w:rsidR="00672004" w:rsidRPr="00511AB0">
        <w:rPr>
          <w:sz w:val="24"/>
        </w:rPr>
        <w:t xml:space="preserve">uthority for obtaining information is provided in regulations governing a </w:t>
      </w:r>
      <w:r w:rsidR="00672004" w:rsidRPr="00511AB0">
        <w:rPr>
          <w:b/>
          <w:bCs/>
          <w:sz w:val="24"/>
        </w:rPr>
        <w:t>request for extensions of time requirements</w:t>
      </w:r>
      <w:r w:rsidR="00672004" w:rsidRPr="00511AB0">
        <w:rPr>
          <w:sz w:val="24"/>
        </w:rPr>
        <w:t xml:space="preserve"> are found at 24 CFR § 2</w:t>
      </w:r>
      <w:r w:rsidR="00511AB0" w:rsidRPr="00511AB0">
        <w:rPr>
          <w:sz w:val="24"/>
        </w:rPr>
        <w:t xml:space="preserve">03.355, 357, 359, 363 and 365.  </w:t>
      </w:r>
      <w:r w:rsidR="00672004" w:rsidRPr="00511AB0">
        <w:rPr>
          <w:sz w:val="24"/>
        </w:rPr>
        <w:t xml:space="preserve">The respondents are FHA mortgagee’s who file form HUD-50012 “Mortgagees Request for Extension of Time Requirements” if, for some reason, it is not possible to take certain actions within specific time limitations.  If HUD finds, after notice of </w:t>
      </w:r>
      <w:r w:rsidR="00E23343" w:rsidRPr="00511AB0">
        <w:rPr>
          <w:sz w:val="24"/>
        </w:rPr>
        <w:t>default that</w:t>
      </w:r>
      <w:r w:rsidR="00672004" w:rsidRPr="00511AB0">
        <w:rPr>
          <w:sz w:val="24"/>
        </w:rPr>
        <w:t xml:space="preserve"> the default was due to circumstances beyond the control of the mortgagee, HUD may, upon such terms and conditions as prescribed, approve the request of the mortgagee for an extension of the time for curing the default and time for commencing foreclosure proceedings or for acquiring title to the mortgaged property.  Form HUD-50012, is used by HUD to evaluate requests for extensions of regulatory time limits within which specific foreclosure processing steps must be taken and to respond to the requests.  The request for an extension of time must be filed with HUD prior to the expiration of the </w:t>
      </w:r>
      <w:r w:rsidR="00DF2B34">
        <w:rPr>
          <w:sz w:val="24"/>
        </w:rPr>
        <w:t xml:space="preserve">due diligence </w:t>
      </w:r>
      <w:r w:rsidR="00672004" w:rsidRPr="00511AB0">
        <w:rPr>
          <w:sz w:val="24"/>
        </w:rPr>
        <w:t>time frames</w:t>
      </w:r>
      <w:r w:rsidR="00DF2B34">
        <w:rPr>
          <w:sz w:val="24"/>
        </w:rPr>
        <w:t xml:space="preserve"> and may be submitted electronically</w:t>
      </w:r>
      <w:r w:rsidR="00672004" w:rsidRPr="00511AB0">
        <w:rPr>
          <w:color w:val="000000"/>
          <w:sz w:val="24"/>
          <w:szCs w:val="24"/>
        </w:rPr>
        <w:t xml:space="preserve">.  Mortgagees maintain copies of the HUD approval with related claim documents to </w:t>
      </w:r>
      <w:r w:rsidR="0049242A" w:rsidRPr="00511AB0">
        <w:rPr>
          <w:color w:val="000000"/>
          <w:sz w:val="24"/>
          <w:szCs w:val="24"/>
        </w:rPr>
        <w:t>verify</w:t>
      </w:r>
      <w:r w:rsidR="00672004" w:rsidRPr="00511AB0">
        <w:rPr>
          <w:color w:val="000000"/>
          <w:sz w:val="24"/>
          <w:szCs w:val="24"/>
        </w:rPr>
        <w:t xml:space="preserve"> that HUD has authorized</w:t>
      </w:r>
      <w:r w:rsidR="0049242A" w:rsidRPr="00511AB0">
        <w:rPr>
          <w:color w:val="000000"/>
          <w:sz w:val="24"/>
          <w:szCs w:val="24"/>
        </w:rPr>
        <w:t xml:space="preserve"> the</w:t>
      </w:r>
      <w:r w:rsidR="00672004" w:rsidRPr="00511AB0">
        <w:rPr>
          <w:color w:val="000000"/>
          <w:sz w:val="24"/>
          <w:szCs w:val="24"/>
        </w:rPr>
        <w:t xml:space="preserve"> extension of time on </w:t>
      </w:r>
      <w:r w:rsidR="0049242A" w:rsidRPr="00511AB0">
        <w:rPr>
          <w:color w:val="000000"/>
          <w:sz w:val="24"/>
          <w:szCs w:val="24"/>
        </w:rPr>
        <w:t xml:space="preserve">a </w:t>
      </w:r>
      <w:r w:rsidR="00672004" w:rsidRPr="00511AB0">
        <w:rPr>
          <w:color w:val="000000"/>
          <w:sz w:val="24"/>
          <w:szCs w:val="24"/>
        </w:rPr>
        <w:t>specific case.</w:t>
      </w:r>
    </w:p>
    <w:p w:rsidR="00672004" w:rsidRDefault="00672004">
      <w:pPr>
        <w:tabs>
          <w:tab w:val="left" w:pos="360"/>
        </w:tabs>
        <w:rPr>
          <w:sz w:val="24"/>
        </w:rPr>
      </w:pPr>
    </w:p>
    <w:p w:rsidR="00672004" w:rsidRDefault="00791791" w:rsidP="000C6F4C">
      <w:pPr>
        <w:pStyle w:val="BodyTextIndent2"/>
        <w:keepLines/>
        <w:spacing w:after="80"/>
        <w:ind w:left="360"/>
      </w:pPr>
      <w:r>
        <w:t xml:space="preserve">An example of Form HUD 50012 is </w:t>
      </w:r>
      <w:r w:rsidR="00672004">
        <w:t xml:space="preserve">available on HUDClips.  </w:t>
      </w:r>
      <w:r>
        <w:t>T</w:t>
      </w:r>
      <w:r w:rsidR="00672004">
        <w:t xml:space="preserve">he printed form is signed and sent </w:t>
      </w:r>
      <w:r w:rsidR="00982D61">
        <w:t>via e-mail</w:t>
      </w:r>
      <w:r w:rsidR="006A3267">
        <w:t>,</w:t>
      </w:r>
      <w:r w:rsidR="00982D61">
        <w:t xml:space="preserve"> fax</w:t>
      </w:r>
      <w:r w:rsidR="00E23343">
        <w:t xml:space="preserve"> </w:t>
      </w:r>
      <w:r w:rsidR="006A3267">
        <w:t xml:space="preserve">or regular mail </w:t>
      </w:r>
      <w:r w:rsidR="00672004">
        <w:t xml:space="preserve">to the </w:t>
      </w:r>
      <w:r>
        <w:t>Mortgage Compliance Manager</w:t>
      </w:r>
      <w:r w:rsidR="00681C99">
        <w:t xml:space="preserve"> (MCM)</w:t>
      </w:r>
      <w:r>
        <w:t xml:space="preserve"> </w:t>
      </w:r>
      <w:r w:rsidR="00672004">
        <w:t>or its M</w:t>
      </w:r>
      <w:r>
        <w:t xml:space="preserve">arketing </w:t>
      </w:r>
      <w:r w:rsidR="00672004">
        <w:t>&amp;</w:t>
      </w:r>
      <w:r>
        <w:t xml:space="preserve"> Management</w:t>
      </w:r>
      <w:r w:rsidR="00672004">
        <w:t xml:space="preserve"> </w:t>
      </w:r>
      <w:r w:rsidR="00681C99">
        <w:t xml:space="preserve">(M&amp;M) </w:t>
      </w:r>
      <w:r w:rsidR="00672004">
        <w:t xml:space="preserve">contractor </w:t>
      </w:r>
      <w:r>
        <w:t xml:space="preserve">who </w:t>
      </w:r>
      <w:r w:rsidR="00672004">
        <w:t xml:space="preserve">documents its decision on the form, signs it, and returns it </w:t>
      </w:r>
      <w:r w:rsidR="00982D61">
        <w:t>via e-mail</w:t>
      </w:r>
      <w:r w:rsidR="006A3267">
        <w:t xml:space="preserve">, </w:t>
      </w:r>
      <w:r w:rsidR="00982D61">
        <w:t>fax</w:t>
      </w:r>
      <w:r w:rsidR="006A3267">
        <w:t xml:space="preserve"> or regular mail </w:t>
      </w:r>
      <w:r w:rsidR="00672004">
        <w:t xml:space="preserve">to the mortgagee </w:t>
      </w:r>
      <w:r w:rsidR="006A3267">
        <w:t xml:space="preserve">who </w:t>
      </w:r>
      <w:r w:rsidR="00672004">
        <w:t>maintain</w:t>
      </w:r>
      <w:r w:rsidR="006A3267">
        <w:t>s the approved or denied request</w:t>
      </w:r>
      <w:r w:rsidR="00672004">
        <w:t xml:space="preserve"> in the claim file.  This single form documents both the request for extension and HUD’s approval or denial and is easily maintained in the mortgagee’s claim file.</w:t>
      </w:r>
      <w:r w:rsidR="00681C99">
        <w:t xml:space="preserve">  The MCM shall also upload a completed copy of Form HUD 20012 to P260.</w:t>
      </w:r>
    </w:p>
    <w:p w:rsidR="00672004" w:rsidRDefault="00672004" w:rsidP="000C6F4C">
      <w:pPr>
        <w:ind w:left="360"/>
        <w:rPr>
          <w:sz w:val="24"/>
        </w:rPr>
      </w:pPr>
    </w:p>
    <w:p w:rsidR="000C6F4C" w:rsidRDefault="00672004" w:rsidP="00104F5F">
      <w:pPr>
        <w:pStyle w:val="BodyTextIndent2"/>
        <w:numPr>
          <w:ilvl w:val="0"/>
          <w:numId w:val="29"/>
        </w:numPr>
        <w:ind w:left="360" w:firstLine="0"/>
      </w:pPr>
      <w:r>
        <w:t>Form HUD-27011, Parts A, B, C, D and E “</w:t>
      </w:r>
      <w:r w:rsidRPr="00421F6C">
        <w:rPr>
          <w:b/>
        </w:rPr>
        <w:t xml:space="preserve">Single </w:t>
      </w:r>
      <w:r w:rsidRPr="00104F5F">
        <w:rPr>
          <w:b/>
        </w:rPr>
        <w:t>Family Application for Insurance Benefits”</w:t>
      </w:r>
      <w:r>
        <w:t xml:space="preserve"> is the only form used by </w:t>
      </w:r>
      <w:r w:rsidR="00681C99">
        <w:t>HUD</w:t>
      </w:r>
      <w:r>
        <w:t xml:space="preserve"> to allow mortgagees to </w:t>
      </w:r>
      <w:r w:rsidR="00681C99">
        <w:t xml:space="preserve">file a </w:t>
      </w:r>
      <w:r>
        <w:t xml:space="preserve">claim </w:t>
      </w:r>
      <w:r w:rsidR="00681C99">
        <w:t xml:space="preserve">for </w:t>
      </w:r>
      <w:r>
        <w:t>insurance benefits on single-family mortgages</w:t>
      </w:r>
      <w:r w:rsidR="00681C99">
        <w:t>.  As a matter of standard business practice, used by m</w:t>
      </w:r>
      <w:r>
        <w:t xml:space="preserve">ortgagees </w:t>
      </w:r>
      <w:r w:rsidR="00681C99">
        <w:t xml:space="preserve">to initiate </w:t>
      </w:r>
      <w:r w:rsidR="006A3267">
        <w:t xml:space="preserve">and document </w:t>
      </w:r>
      <w:r w:rsidR="00681C99">
        <w:t>i</w:t>
      </w:r>
      <w:r w:rsidR="00142809">
        <w:t>t</w:t>
      </w:r>
      <w:r w:rsidR="00681C99">
        <w:t xml:space="preserve">s </w:t>
      </w:r>
      <w:r>
        <w:t>loan servicing activities</w:t>
      </w:r>
      <w:r w:rsidR="00681C99">
        <w:t xml:space="preserve">. </w:t>
      </w:r>
      <w:r>
        <w:t xml:space="preserve"> Action for defaulted borrowers include, but are not limited to deeds in lieu of foreclosure, Pre-foreclosure sales, assumptions, special forbearances, partial claims, and recasting of mortgages.  Information is collected regarding the verification of residence or employment, condition of property, short and long-term plans for housing and employment</w:t>
      </w:r>
      <w:r w:rsidR="00142809">
        <w:t xml:space="preserve"> income</w:t>
      </w:r>
      <w:r>
        <w:t>, and access to financial services may be collected for evaluation of appropriate loss mitigation.</w:t>
      </w:r>
      <w:r w:rsidR="000C6F4C" w:rsidRPr="000C6F4C">
        <w:t xml:space="preserve"> </w:t>
      </w:r>
      <w:r w:rsidR="000C6F4C">
        <w:t xml:space="preserve"> Authority for obtaining this information is provided in regulations Section 204(a) of the National Housing Act (12 U.S.C. 1710) which outlines the terms and conditions under which the Secretary of HUD may pay insurance benefits to a mortgagee for any insured mortgage.  Regulations are found in 24 CFR § 203.350 through § 203.414 and 206.123 through</w:t>
      </w:r>
      <w:r w:rsidR="005E5155">
        <w:t xml:space="preserve"> </w:t>
      </w:r>
      <w:r w:rsidR="000C6F4C">
        <w:t xml:space="preserve">206.129).  </w:t>
      </w:r>
    </w:p>
    <w:p w:rsidR="00672004" w:rsidRDefault="00672004" w:rsidP="000C6F4C">
      <w:pPr>
        <w:ind w:left="360"/>
        <w:rPr>
          <w:sz w:val="24"/>
        </w:rPr>
      </w:pPr>
    </w:p>
    <w:p w:rsidR="00672004" w:rsidRDefault="00672004" w:rsidP="000C6F4C">
      <w:pPr>
        <w:ind w:left="360"/>
        <w:rPr>
          <w:sz w:val="24"/>
        </w:rPr>
      </w:pPr>
      <w:r>
        <w:rPr>
          <w:sz w:val="24"/>
        </w:rPr>
        <w:t xml:space="preserve">The vast majority of insurance claim forms are filed electronically using the FHA Connection or can also be submitted via the Electronic Data Interchange (EDI).  In </w:t>
      </w:r>
      <w:r w:rsidR="00982D61">
        <w:rPr>
          <w:sz w:val="24"/>
        </w:rPr>
        <w:t xml:space="preserve">very </w:t>
      </w:r>
      <w:r>
        <w:rPr>
          <w:sz w:val="24"/>
        </w:rPr>
        <w:t>few cases</w:t>
      </w:r>
      <w:r w:rsidR="00BD1E69">
        <w:rPr>
          <w:sz w:val="24"/>
        </w:rPr>
        <w:t>,</w:t>
      </w:r>
      <w:r>
        <w:rPr>
          <w:sz w:val="24"/>
        </w:rPr>
        <w:t xml:space="preserve"> </w:t>
      </w:r>
      <w:r w:rsidR="00BD1E69">
        <w:rPr>
          <w:sz w:val="24"/>
        </w:rPr>
        <w:t xml:space="preserve">at HUD’s request or instruction, </w:t>
      </w:r>
      <w:r>
        <w:rPr>
          <w:sz w:val="24"/>
        </w:rPr>
        <w:t>a paper submission of the insurance claim may be required</w:t>
      </w:r>
      <w:r w:rsidR="001604A0">
        <w:rPr>
          <w:sz w:val="24"/>
        </w:rPr>
        <w:t xml:space="preserve"> </w:t>
      </w:r>
      <w:r w:rsidR="00BD1E69">
        <w:rPr>
          <w:sz w:val="24"/>
        </w:rPr>
        <w:t xml:space="preserve">and sent </w:t>
      </w:r>
      <w:r w:rsidR="001604A0" w:rsidRPr="001604A0">
        <w:rPr>
          <w:sz w:val="24"/>
        </w:rPr>
        <w:t xml:space="preserve">via </w:t>
      </w:r>
      <w:r w:rsidR="001604A0" w:rsidRPr="001604A0">
        <w:rPr>
          <w:sz w:val="24"/>
          <w:szCs w:val="24"/>
        </w:rPr>
        <w:t>e-mail, fax or regular mail</w:t>
      </w:r>
      <w:r w:rsidR="00BD1E69">
        <w:rPr>
          <w:sz w:val="24"/>
          <w:szCs w:val="24"/>
        </w:rPr>
        <w:t xml:space="preserve">.  HUD reserves the right to request </w:t>
      </w:r>
      <w:r w:rsidR="00F75845">
        <w:rPr>
          <w:sz w:val="24"/>
          <w:szCs w:val="24"/>
        </w:rPr>
        <w:t xml:space="preserve">documentation in the form of hard </w:t>
      </w:r>
      <w:r w:rsidR="00BD1E69">
        <w:rPr>
          <w:sz w:val="24"/>
          <w:szCs w:val="24"/>
        </w:rPr>
        <w:t>cop</w:t>
      </w:r>
      <w:r w:rsidR="00F75845">
        <w:rPr>
          <w:sz w:val="24"/>
          <w:szCs w:val="24"/>
        </w:rPr>
        <w:t xml:space="preserve">y </w:t>
      </w:r>
      <w:r w:rsidR="00BD1E69">
        <w:rPr>
          <w:sz w:val="24"/>
          <w:szCs w:val="24"/>
        </w:rPr>
        <w:t xml:space="preserve">for </w:t>
      </w:r>
      <w:r w:rsidR="006408A7">
        <w:rPr>
          <w:sz w:val="24"/>
        </w:rPr>
        <w:t xml:space="preserve">audit purposes </w:t>
      </w:r>
      <w:r w:rsidR="00681C99">
        <w:rPr>
          <w:sz w:val="24"/>
        </w:rPr>
        <w:t>from</w:t>
      </w:r>
      <w:r w:rsidR="001604A0">
        <w:rPr>
          <w:sz w:val="24"/>
        </w:rPr>
        <w:t xml:space="preserve"> HUD’</w:t>
      </w:r>
      <w:r w:rsidR="006408A7">
        <w:rPr>
          <w:sz w:val="24"/>
        </w:rPr>
        <w:t xml:space="preserve">s </w:t>
      </w:r>
      <w:r w:rsidR="0047510A">
        <w:rPr>
          <w:sz w:val="24"/>
        </w:rPr>
        <w:t>MC</w:t>
      </w:r>
      <w:r w:rsidR="001604A0">
        <w:rPr>
          <w:sz w:val="24"/>
        </w:rPr>
        <w:t xml:space="preserve">M </w:t>
      </w:r>
      <w:r w:rsidR="001604A0">
        <w:rPr>
          <w:sz w:val="24"/>
        </w:rPr>
        <w:lastRenderedPageBreak/>
        <w:t>contractors</w:t>
      </w:r>
      <w:r w:rsidR="00F75845">
        <w:rPr>
          <w:sz w:val="24"/>
        </w:rPr>
        <w:t xml:space="preserve"> pursuant to HUD current or future direction.  </w:t>
      </w:r>
      <w:r>
        <w:rPr>
          <w:sz w:val="24"/>
          <w:szCs w:val="24"/>
        </w:rPr>
        <w:t>All information collected to some degree is standard business practice, however due to HUD’s claim process HUD ascribes burden hours thereto.</w:t>
      </w:r>
    </w:p>
    <w:p w:rsidR="00672004" w:rsidRDefault="00672004">
      <w:pPr>
        <w:rPr>
          <w:sz w:val="24"/>
        </w:rPr>
      </w:pPr>
    </w:p>
    <w:p w:rsidR="00672004" w:rsidRDefault="00672004">
      <w:pPr>
        <w:numPr>
          <w:ilvl w:val="1"/>
          <w:numId w:val="16"/>
        </w:numPr>
        <w:rPr>
          <w:sz w:val="24"/>
        </w:rPr>
      </w:pPr>
      <w:r>
        <w:rPr>
          <w:sz w:val="24"/>
        </w:rPr>
        <w:t xml:space="preserve">The type of property information consists of: property appraisal; evidence of property damage type (tornado, boiler explosion, fire, flood, earthquake); evidence of damage or destruction of vacant or abandoned properties; </w:t>
      </w:r>
      <w:r w:rsidR="006408A7">
        <w:rPr>
          <w:sz w:val="24"/>
        </w:rPr>
        <w:t xml:space="preserve">approvals to convey a damaged property; evidence of vacancy or abandonment; documentation of P&amp;P actions performed; </w:t>
      </w:r>
      <w:r>
        <w:rPr>
          <w:sz w:val="24"/>
        </w:rPr>
        <w:t xml:space="preserve">date damage occurred; estimate of recovery or damage; property tax information; certification of property condition; special assessments; hazard insurance; insurance settlement for damage to the property; occupants of property and date vacated; title evidence (including easements, encroachments, violations of codes or covenants); oil, water, or mineral rights; other liens on the property; charges for community owned property; assignment information; acceptance of deed-in-lieu of foreclosure; documentation for pre-foreclosure sale (including the borrower’s application to participate in the program, the lender’s approval, </w:t>
      </w:r>
      <w:r w:rsidR="00142809">
        <w:rPr>
          <w:sz w:val="24"/>
        </w:rPr>
        <w:t xml:space="preserve">and </w:t>
      </w:r>
      <w:r>
        <w:rPr>
          <w:sz w:val="24"/>
        </w:rPr>
        <w:t>evidence of housing counseling to the borrower).</w:t>
      </w:r>
    </w:p>
    <w:p w:rsidR="00672004" w:rsidRDefault="00672004">
      <w:pPr>
        <w:ind w:left="630"/>
        <w:rPr>
          <w:sz w:val="24"/>
        </w:rPr>
      </w:pPr>
    </w:p>
    <w:p w:rsidR="00672004" w:rsidRDefault="00672004">
      <w:pPr>
        <w:numPr>
          <w:ilvl w:val="1"/>
          <w:numId w:val="16"/>
        </w:numPr>
        <w:rPr>
          <w:sz w:val="24"/>
        </w:rPr>
      </w:pPr>
      <w:r>
        <w:rPr>
          <w:sz w:val="24"/>
        </w:rPr>
        <w:t xml:space="preserve">The type of </w:t>
      </w:r>
      <w:r w:rsidR="00C57E8A">
        <w:rPr>
          <w:sz w:val="24"/>
        </w:rPr>
        <w:t xml:space="preserve">property expenses consists of: </w:t>
      </w:r>
      <w:r>
        <w:rPr>
          <w:sz w:val="24"/>
        </w:rPr>
        <w:t>disbursements for protection and preservation; property inspection reports; rental income/expense; attorney/trustee fees; mortgage insurance premiums; lost opportunity costs; advertising; eviction expenses; uncollected interest; foreclosure action (including notice of default, notice of sale, conducting the sale, transfer to title and recording of documents, transfer of funds); costs of sale (discount points, sales commission, recording fees servicing charge, termite report, title  insurance); correction of any title defects.</w:t>
      </w:r>
    </w:p>
    <w:p w:rsidR="00672004" w:rsidRDefault="00672004">
      <w:pPr>
        <w:ind w:left="630"/>
        <w:rPr>
          <w:sz w:val="24"/>
        </w:rPr>
      </w:pPr>
    </w:p>
    <w:p w:rsidR="00672004" w:rsidRDefault="00672004">
      <w:pPr>
        <w:numPr>
          <w:ilvl w:val="1"/>
          <w:numId w:val="16"/>
        </w:numPr>
        <w:rPr>
          <w:sz w:val="24"/>
        </w:rPr>
      </w:pPr>
      <w:r>
        <w:rPr>
          <w:sz w:val="24"/>
        </w:rPr>
        <w:t xml:space="preserve">The type of borrower information consists of:  Financial information; verification of employment; original credit and security instruments; underwriting documentation; loan payment history; firm commitment; mortgage insurance certificate; deed; subordinate liens for partial claims; notice of default; borrower meetings; documents signed to modify the loan; late fees; penalties; non-sufficient check fees; loan subordination information; bankruptcy filing/discharge/release/dismissal; deficiency judgment after foreclosure. </w:t>
      </w:r>
    </w:p>
    <w:p w:rsidR="00672004" w:rsidRDefault="00672004">
      <w:pPr>
        <w:rPr>
          <w:sz w:val="24"/>
        </w:rPr>
      </w:pPr>
    </w:p>
    <w:p w:rsidR="00421F6C" w:rsidRPr="00421F6C" w:rsidRDefault="00672004" w:rsidP="00104F5F">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firstLine="0"/>
        <w:rPr>
          <w:rFonts w:ascii="Times New Roman" w:hAnsi="Times New Roman" w:cs="Times New Roman"/>
          <w:color w:val="0000FF"/>
          <w:sz w:val="24"/>
        </w:rPr>
      </w:pPr>
      <w:r>
        <w:rPr>
          <w:rFonts w:ascii="Times New Roman" w:hAnsi="Times New Roman" w:cs="Times New Roman"/>
          <w:sz w:val="24"/>
        </w:rPr>
        <w:t xml:space="preserve">Section 426 of the Housing and Urban-Rural Recovery Act of 1983 amended Section 204(a) of the National Housing Act authorizing payment of insurance benefits for </w:t>
      </w:r>
      <w:r w:rsidRPr="00421F6C">
        <w:rPr>
          <w:rFonts w:ascii="Times New Roman" w:hAnsi="Times New Roman" w:cs="Times New Roman"/>
          <w:b/>
          <w:bCs/>
          <w:sz w:val="24"/>
        </w:rPr>
        <w:t>Claim</w:t>
      </w:r>
      <w:r>
        <w:rPr>
          <w:rFonts w:ascii="Times New Roman" w:hAnsi="Times New Roman" w:cs="Times New Roman"/>
          <w:b/>
          <w:bCs/>
          <w:sz w:val="24"/>
        </w:rPr>
        <w:t xml:space="preserve">s </w:t>
      </w:r>
      <w:proofErr w:type="gramStart"/>
      <w:r>
        <w:rPr>
          <w:rFonts w:ascii="Times New Roman" w:hAnsi="Times New Roman" w:cs="Times New Roman"/>
          <w:b/>
          <w:bCs/>
          <w:sz w:val="24"/>
        </w:rPr>
        <w:t>Without</w:t>
      </w:r>
      <w:proofErr w:type="gramEnd"/>
      <w:r>
        <w:rPr>
          <w:rFonts w:ascii="Times New Roman" w:hAnsi="Times New Roman" w:cs="Times New Roman"/>
          <w:b/>
          <w:bCs/>
          <w:sz w:val="24"/>
        </w:rPr>
        <w:t xml:space="preserve"> Conveyance of Title (CWCOT)</w:t>
      </w:r>
      <w:r>
        <w:rPr>
          <w:rFonts w:ascii="Times New Roman" w:hAnsi="Times New Roman" w:cs="Times New Roman"/>
          <w:sz w:val="24"/>
        </w:rPr>
        <w:t xml:space="preserve">, without conveying title of the foreclosed properties to HUD.  On August 1, 1990, the CWCOT regulatory procedure was adapted for use only in cases involving deficiency judgments, or other situations where HUD either requests or requires a mortgagee to obtain a property appraisal and to use CWCOT </w:t>
      </w:r>
    </w:p>
    <w:p w:rsidR="00672004" w:rsidRDefault="00672004" w:rsidP="00421F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color w:val="0000FF"/>
          <w:sz w:val="24"/>
        </w:rPr>
      </w:pPr>
      <w:proofErr w:type="gramStart"/>
      <w:r>
        <w:rPr>
          <w:rFonts w:ascii="Times New Roman" w:hAnsi="Times New Roman" w:cs="Times New Roman"/>
          <w:sz w:val="24"/>
        </w:rPr>
        <w:t>(24 CFR § 203.368).</w:t>
      </w:r>
      <w:proofErr w:type="gramEnd"/>
      <w:r>
        <w:rPr>
          <w:rFonts w:ascii="Times New Roman" w:hAnsi="Times New Roman" w:cs="Times New Roman"/>
          <w:sz w:val="24"/>
        </w:rPr>
        <w:t xml:space="preserve">  The mortgagee may submit a request for CWCOT to HUD’s local office to encourage the possibility of third party bidders at the foreclosure sale or to establish a deficiency judgment.  This procedure allows for the filing of a claim without conveying title of the foreclosed property to HUD.  There are mortgage loan origination dates that apply to loans in which the mortgagee can decline the use of CWCOT and other dates in which HUD can require the mortgagee to use CWCOT.</w:t>
      </w:r>
    </w:p>
    <w:p w:rsidR="00672004" w:rsidRDefault="00672004">
      <w:pPr>
        <w:pStyle w:val="HTMLPreformatted"/>
        <w:tabs>
          <w:tab w:val="left" w:pos="1062"/>
        </w:tabs>
        <w:rPr>
          <w:rFonts w:ascii="Times New Roman" w:hAnsi="Times New Roman" w:cs="Times New Roman"/>
          <w:sz w:val="24"/>
        </w:rPr>
      </w:pPr>
    </w:p>
    <w:p w:rsidR="00672004" w:rsidRDefault="00672004" w:rsidP="00104F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color w:val="0000FF"/>
          <w:sz w:val="24"/>
        </w:rPr>
      </w:pPr>
      <w:r>
        <w:rPr>
          <w:rFonts w:ascii="Times New Roman" w:hAnsi="Times New Roman" w:cs="Times New Roman"/>
          <w:sz w:val="24"/>
        </w:rPr>
        <w:t xml:space="preserve">Where HUD has directed or authorized a mortgagee to use the CWCOT procedure, the mortgagee must estimate the foreclosure sale date for form HUD-91022 and hand carry or mail the form to the local HUD office 45 days prior to the estimated foreclosure sale date.  The mortgagee shall furnish a copy of the legal Notice of Sale or other notification other the actual foreclosure sale date to the local HUD office on or before the date of publication, posing, or other standard legal notice.  The name of the HUD-approved appraiser will be submitted on the form and when the appraisal is completed, forwarded to the local HUD office and a copy to the mortgagee.  HUD will review the HUD-91022 and appraisal to set an adjusted fair market value for foreclosure sale bidding to the mortgagee, 5 working days prior to the foreclosure sale date.  At the foreclosure sale, either the mortgagee or a third party will be the successful bidder.  Where the mortgagee is the successful bidder, the mortgage may elect to either retain title to the property or convey </w:t>
      </w:r>
      <w:r>
        <w:rPr>
          <w:rFonts w:ascii="Times New Roman" w:hAnsi="Times New Roman" w:cs="Times New Roman"/>
          <w:sz w:val="24"/>
        </w:rPr>
        <w:lastRenderedPageBreak/>
        <w:t>title to the property to HUD.  In either case, the mortgagee must file its claim for benefits within 30 days after acquiring good, marketable title to the mortgaged property.</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firstLine="0"/>
        <w:rPr>
          <w:rFonts w:ascii="Times New Roman" w:hAnsi="Times New Roman" w:cs="Times New Roman"/>
          <w:sz w:val="24"/>
        </w:rPr>
      </w:pPr>
      <w:r>
        <w:rPr>
          <w:rFonts w:ascii="Times New Roman" w:hAnsi="Times New Roman" w:cs="Times New Roman"/>
          <w:sz w:val="24"/>
        </w:rPr>
        <w:t xml:space="preserve">Mortgagees after the foreclosure and acquiring good marketable title and possession of the property must </w:t>
      </w:r>
      <w:r>
        <w:rPr>
          <w:rFonts w:ascii="Times New Roman" w:hAnsi="Times New Roman" w:cs="Times New Roman"/>
          <w:b/>
          <w:bCs/>
          <w:sz w:val="24"/>
        </w:rPr>
        <w:t>transfer/co</w:t>
      </w:r>
      <w:r w:rsidR="006408A7">
        <w:rPr>
          <w:rFonts w:ascii="Times New Roman" w:hAnsi="Times New Roman" w:cs="Times New Roman"/>
          <w:b/>
          <w:bCs/>
          <w:sz w:val="24"/>
        </w:rPr>
        <w:t>n</w:t>
      </w:r>
      <w:r w:rsidR="00E23343">
        <w:rPr>
          <w:rFonts w:ascii="Times New Roman" w:hAnsi="Times New Roman" w:cs="Times New Roman"/>
          <w:b/>
          <w:bCs/>
          <w:sz w:val="24"/>
        </w:rPr>
        <w:t>v</w:t>
      </w:r>
      <w:r>
        <w:rPr>
          <w:rFonts w:ascii="Times New Roman" w:hAnsi="Times New Roman" w:cs="Times New Roman"/>
          <w:b/>
          <w:bCs/>
          <w:sz w:val="24"/>
        </w:rPr>
        <w:t>ey</w:t>
      </w:r>
      <w:r>
        <w:rPr>
          <w:rFonts w:ascii="Times New Roman" w:hAnsi="Times New Roman" w:cs="Times New Roman"/>
          <w:sz w:val="24"/>
        </w:rPr>
        <w:t xml:space="preserve"> the property to HUD within 30 days or within such further time as may be necessary to complete the title examination and perfect the title (24 CFR § 203.359 and § 203.389).  Title conveyed to HUD must be good and marketable, but may accept certain specific and common exceptions to the title as listed in the regulations.  HUD offices may waive additional objections, based on local practice and the general marketability of title clouded by those objections.</w:t>
      </w:r>
    </w:p>
    <w:p w:rsidR="00672004" w:rsidRDefault="00672004">
      <w:pPr>
        <w:pStyle w:val="HTMLPreformatted"/>
        <w:tabs>
          <w:tab w:val="left" w:pos="1062"/>
        </w:tabs>
        <w:ind w:left="288"/>
        <w:rPr>
          <w:rFonts w:ascii="Times New Roman" w:hAnsi="Times New Roman" w:cs="Times New Roman"/>
          <w:sz w:val="24"/>
        </w:rPr>
      </w:pPr>
    </w:p>
    <w:p w:rsidR="00672004" w:rsidRDefault="00672004" w:rsidP="00104F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If a mortgagee fails to comply with HUD’s conveyance regulations, HUD may </w:t>
      </w:r>
      <w:proofErr w:type="spellStart"/>
      <w:r>
        <w:rPr>
          <w:rFonts w:ascii="Times New Roman" w:hAnsi="Times New Roman" w:cs="Times New Roman"/>
          <w:b/>
          <w:bCs/>
          <w:sz w:val="24"/>
        </w:rPr>
        <w:t>reconvey</w:t>
      </w:r>
      <w:proofErr w:type="spellEnd"/>
      <w:r>
        <w:rPr>
          <w:rFonts w:ascii="Times New Roman" w:hAnsi="Times New Roman" w:cs="Times New Roman"/>
          <w:b/>
          <w:bCs/>
          <w:sz w:val="24"/>
        </w:rPr>
        <w:t xml:space="preserve"> title</w:t>
      </w:r>
      <w:r>
        <w:rPr>
          <w:rFonts w:ascii="Times New Roman" w:hAnsi="Times New Roman" w:cs="Times New Roman"/>
          <w:sz w:val="24"/>
        </w:rPr>
        <w:t xml:space="preserve"> to the mortgagee (24 CFR § 203.363).  Under these conditions, HUD will cancel the claim for insurance benefits.  HUD will require reimbursement for expenses incurred regarding acquisition, holding and </w:t>
      </w:r>
      <w:proofErr w:type="spellStart"/>
      <w:r>
        <w:rPr>
          <w:rFonts w:ascii="Times New Roman" w:hAnsi="Times New Roman" w:cs="Times New Roman"/>
          <w:sz w:val="24"/>
        </w:rPr>
        <w:t>reconveyance</w:t>
      </w:r>
      <w:proofErr w:type="spellEnd"/>
      <w:r>
        <w:rPr>
          <w:rFonts w:ascii="Times New Roman" w:hAnsi="Times New Roman" w:cs="Times New Roman"/>
          <w:sz w:val="24"/>
        </w:rPr>
        <w:t>, less an</w:t>
      </w:r>
      <w:r w:rsidR="00BA0ACF">
        <w:rPr>
          <w:rFonts w:ascii="Times New Roman" w:hAnsi="Times New Roman" w:cs="Times New Roman"/>
          <w:sz w:val="24"/>
        </w:rPr>
        <w:t>y</w:t>
      </w:r>
      <w:r>
        <w:rPr>
          <w:rFonts w:ascii="Times New Roman" w:hAnsi="Times New Roman" w:cs="Times New Roman"/>
          <w:sz w:val="24"/>
        </w:rPr>
        <w:t xml:space="preserve"> income received from the property.  The mortgagee may reapply for insurance benefits at a subsequent date; </w:t>
      </w:r>
      <w:r w:rsidR="003E273A">
        <w:rPr>
          <w:rFonts w:ascii="Times New Roman" w:hAnsi="Times New Roman" w:cs="Times New Roman"/>
          <w:sz w:val="24"/>
        </w:rPr>
        <w:t>provided</w:t>
      </w:r>
      <w:r>
        <w:rPr>
          <w:rFonts w:ascii="Times New Roman" w:hAnsi="Times New Roman" w:cs="Times New Roman"/>
          <w:sz w:val="24"/>
        </w:rPr>
        <w:t xml:space="preserve"> that the mortgagee may not be reimbursed for any expenses incurred in connection with the property after it has been </w:t>
      </w:r>
      <w:proofErr w:type="spellStart"/>
      <w:r>
        <w:rPr>
          <w:rFonts w:ascii="Times New Roman" w:hAnsi="Times New Roman" w:cs="Times New Roman"/>
          <w:sz w:val="24"/>
        </w:rPr>
        <w:t>reconveyed</w:t>
      </w:r>
      <w:proofErr w:type="spellEnd"/>
      <w:r>
        <w:rPr>
          <w:rFonts w:ascii="Times New Roman" w:hAnsi="Times New Roman" w:cs="Times New Roman"/>
          <w:sz w:val="24"/>
        </w:rPr>
        <w:t xml:space="preserve"> by HUD</w:t>
      </w:r>
      <w:r w:rsidR="00BA0ACF">
        <w:rPr>
          <w:rFonts w:ascii="Times New Roman" w:hAnsi="Times New Roman" w:cs="Times New Roman"/>
          <w:sz w:val="24"/>
        </w:rPr>
        <w:t>.</w:t>
      </w:r>
      <w:r>
        <w:rPr>
          <w:rFonts w:ascii="Times New Roman" w:hAnsi="Times New Roman" w:cs="Times New Roman"/>
          <w:sz w:val="24"/>
        </w:rPr>
        <w:t xml:space="preserve">  </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firstLine="0"/>
        <w:rPr>
          <w:rFonts w:ascii="Times New Roman" w:hAnsi="Times New Roman" w:cs="Times New Roman"/>
          <w:sz w:val="24"/>
        </w:rPr>
      </w:pPr>
      <w:r>
        <w:rPr>
          <w:rFonts w:ascii="Times New Roman" w:hAnsi="Times New Roman" w:cs="Times New Roman"/>
          <w:sz w:val="24"/>
        </w:rPr>
        <w:t xml:space="preserve">Generally, the </w:t>
      </w:r>
      <w:r>
        <w:rPr>
          <w:rFonts w:ascii="Times New Roman" w:hAnsi="Times New Roman" w:cs="Times New Roman"/>
          <w:b/>
          <w:bCs/>
          <w:sz w:val="24"/>
        </w:rPr>
        <w:t>property condition</w:t>
      </w:r>
      <w:r>
        <w:rPr>
          <w:rFonts w:ascii="Times New Roman" w:hAnsi="Times New Roman" w:cs="Times New Roman"/>
          <w:sz w:val="24"/>
        </w:rPr>
        <w:t xml:space="preserve"> will be undamaged by fire, earthquake, flood or tornado when a mortgagee conveys the title and property to HUD (24 CFR § 203.378 and § 203.379).  Additionally, mortgagees are also responsible for loans in default and properties that are vacant or abandoned, when such damage or destruction is due to the mortgagee’s failure to take reasonable action to inspect, protect and preserve the property.</w:t>
      </w:r>
    </w:p>
    <w:p w:rsidR="00672004" w:rsidRDefault="00672004">
      <w:pPr>
        <w:pStyle w:val="HTMLPreformatted"/>
        <w:tabs>
          <w:tab w:val="left" w:pos="1062"/>
        </w:tabs>
        <w:rPr>
          <w:rFonts w:ascii="Times New Roman" w:hAnsi="Times New Roman" w:cs="Times New Roman"/>
          <w:sz w:val="24"/>
        </w:rPr>
      </w:pPr>
    </w:p>
    <w:p w:rsidR="00485157" w:rsidRPr="002F0BB8" w:rsidRDefault="00485157" w:rsidP="004851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szCs w:val="24"/>
        </w:rPr>
      </w:pPr>
      <w:r w:rsidRPr="008A7498">
        <w:rPr>
          <w:rFonts w:ascii="Times New Roman" w:hAnsi="Times New Roman" w:cs="Times New Roman"/>
          <w:bCs/>
          <w:iCs/>
          <w:sz w:val="24"/>
          <w:szCs w:val="24"/>
        </w:rPr>
        <w:t xml:space="preserve">For example, </w:t>
      </w:r>
      <w:r w:rsidRPr="008A7498">
        <w:rPr>
          <w:rFonts w:ascii="Times New Roman" w:hAnsi="Times New Roman" w:cs="Times New Roman"/>
          <w:sz w:val="24"/>
        </w:rPr>
        <w:t>24 CFR § 203.377</w:t>
      </w:r>
      <w:r w:rsidRPr="008A7498">
        <w:rPr>
          <w:rFonts w:ascii="Times New Roman" w:hAnsi="Times New Roman" w:cs="Times New Roman"/>
          <w:bCs/>
          <w:iCs/>
          <w:sz w:val="24"/>
          <w:szCs w:val="24"/>
        </w:rPr>
        <w:t xml:space="preserve"> makes the mortgagee “responsible for a visual inspection of the security property to determine whether the property is vacant . . . and shall take reasonable action to protect and preserve such security property when it is determined to be vacant or abandoned. . .”  The regulations at </w:t>
      </w:r>
      <w:r w:rsidRPr="008A7498">
        <w:rPr>
          <w:rFonts w:ascii="Times New Roman" w:hAnsi="Times New Roman" w:cs="Times New Roman"/>
          <w:sz w:val="24"/>
        </w:rPr>
        <w:t>24 CFR § 203.379</w:t>
      </w:r>
      <w:r w:rsidRPr="008A7498">
        <w:rPr>
          <w:rFonts w:ascii="Times New Roman" w:hAnsi="Times New Roman" w:cs="Times New Roman"/>
          <w:bCs/>
          <w:iCs/>
          <w:sz w:val="24"/>
          <w:szCs w:val="24"/>
        </w:rPr>
        <w:t xml:space="preserve"> set forth the conditions for adjustment to insurance benefits in cases of </w:t>
      </w:r>
      <w:r w:rsidRPr="008A7498">
        <w:rPr>
          <w:rFonts w:ascii="Times New Roman" w:hAnsi="Times New Roman" w:cs="Times New Roman"/>
          <w:b/>
          <w:bCs/>
          <w:iCs/>
          <w:sz w:val="24"/>
          <w:szCs w:val="24"/>
        </w:rPr>
        <w:t>damages or neglect</w:t>
      </w:r>
      <w:r w:rsidRPr="008A7498">
        <w:rPr>
          <w:rFonts w:ascii="Times New Roman" w:hAnsi="Times New Roman" w:cs="Times New Roman"/>
          <w:bCs/>
          <w:iCs/>
          <w:sz w:val="24"/>
          <w:szCs w:val="24"/>
        </w:rPr>
        <w:t>.  Subparagraph (c) of 203.379 regulations contains the information collection for which this collection is being submitted.  Item 14B of the Form HUD-92900, which is covered by PRA 2502-0059, defines the limits of hazard insurance to be required by the lender as part of the mortgagor’s payment.</w:t>
      </w:r>
      <w:r w:rsidRPr="002F0BB8">
        <w:rPr>
          <w:rFonts w:ascii="Times New Roman" w:hAnsi="Times New Roman" w:cs="Times New Roman"/>
          <w:bCs/>
          <w:iCs/>
          <w:sz w:val="24"/>
          <w:szCs w:val="24"/>
        </w:rPr>
        <w:t xml:space="preserve">  </w:t>
      </w:r>
    </w:p>
    <w:p w:rsidR="00485157" w:rsidRDefault="00485157" w:rsidP="00485157">
      <w:pPr>
        <w:pStyle w:val="HTMLPreformatted"/>
        <w:tabs>
          <w:tab w:val="left" w:pos="1062"/>
        </w:tabs>
        <w:rPr>
          <w:rFonts w:ascii="Times New Roman" w:hAnsi="Times New Roman" w:cs="Times New Roman"/>
          <w:sz w:val="24"/>
        </w:rPr>
      </w:pPr>
    </w:p>
    <w:p w:rsidR="00485157" w:rsidRDefault="00485157" w:rsidP="004851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In some cases, with HUD approval, damaged properties may be accepted.  The mortgagee will provide a written request with full written description of the circumstances.  The written description should contain the reason the mortgagee does not wish to make repairs, and an estimate by the mortgagee of the cost of repairs.  The amount of the insurance recovery, if any should be noted.  In the event HUD approves the acceptance of a property that has been damaged by fire, flood, earthquake, hurricane, tornado or the property has suffered damage because of the mortgagee’s failure to take action, HUD will make an adjustment for damage or neglect to the mortgagee’s claim for insurance benefits.</w:t>
      </w:r>
    </w:p>
    <w:p w:rsidR="00485157" w:rsidRDefault="00485157" w:rsidP="004851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485157" w:rsidRPr="000D32AE" w:rsidRDefault="00485157" w:rsidP="0048515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sidRPr="008A7498">
        <w:rPr>
          <w:rFonts w:ascii="Times New Roman" w:hAnsi="Times New Roman" w:cs="Times New Roman"/>
          <w:sz w:val="24"/>
        </w:rPr>
        <w:t>Mortgagees must have documentation in their files to support their certification that they are entitled to file a claim and to convey a fire-damaged property without penalty where fire insurance was not available. The only entity that would ever be responsible for this certification would be a mortgagee that had a property that suffered fire damage prior to conveyance to HUD.  If the situation surrounding the inability of the mortgagee to have the property fully insured met all the criteria in 24 CFR § 203.379 (a</w:t>
      </w:r>
      <w:proofErr w:type="gramStart"/>
      <w:r w:rsidRPr="008A7498">
        <w:rPr>
          <w:rFonts w:ascii="Times New Roman" w:hAnsi="Times New Roman" w:cs="Times New Roman"/>
          <w:sz w:val="24"/>
        </w:rPr>
        <w:t>)(</w:t>
      </w:r>
      <w:proofErr w:type="gramEnd"/>
      <w:r w:rsidRPr="008A7498">
        <w:rPr>
          <w:rFonts w:ascii="Times New Roman" w:hAnsi="Times New Roman" w:cs="Times New Roman"/>
          <w:sz w:val="24"/>
        </w:rPr>
        <w:t>2), then the mortgagee’s reduction for the damage would be limited to the amount of insurance.  The mortgagee would certify pursuant to 24 CFR § 203.379(a</w:t>
      </w:r>
      <w:proofErr w:type="gramStart"/>
      <w:r w:rsidRPr="008A7498">
        <w:rPr>
          <w:rFonts w:ascii="Times New Roman" w:hAnsi="Times New Roman" w:cs="Times New Roman"/>
          <w:sz w:val="24"/>
        </w:rPr>
        <w:t>)(</w:t>
      </w:r>
      <w:proofErr w:type="gramEnd"/>
      <w:r w:rsidRPr="008A7498">
        <w:rPr>
          <w:rFonts w:ascii="Times New Roman" w:hAnsi="Times New Roman" w:cs="Times New Roman"/>
          <w:sz w:val="24"/>
        </w:rPr>
        <w:t>2).  This happens very rarely.</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rsidP="00104F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mortgagee is responsible for the </w:t>
      </w:r>
      <w:r>
        <w:rPr>
          <w:rFonts w:ascii="Times New Roman" w:hAnsi="Times New Roman" w:cs="Times New Roman"/>
          <w:b/>
          <w:bCs/>
          <w:sz w:val="24"/>
        </w:rPr>
        <w:t>inspection and preservation of properties</w:t>
      </w:r>
      <w:r>
        <w:rPr>
          <w:rFonts w:ascii="Times New Roman" w:hAnsi="Times New Roman" w:cs="Times New Roman"/>
          <w:sz w:val="24"/>
        </w:rPr>
        <w:t xml:space="preserve"> by taking reasonable actions to protect the value of the security until title can be conveyed to HUD (24 CFR § 203.377).  Inspections are identified as initial, occupancy and vacant.  The initial and vacant inspections are required by HUD regulations.  The occupancy inspection is necessary to determine when foreclosure action must be </w:t>
      </w:r>
      <w:r>
        <w:rPr>
          <w:rFonts w:ascii="Times New Roman" w:hAnsi="Times New Roman" w:cs="Times New Roman"/>
          <w:sz w:val="24"/>
        </w:rPr>
        <w:lastRenderedPageBreak/>
        <w:t>initiated and when protection and preservation action must be taken, if the mortgagee cannot determine the occupancy status by telephone, letter</w:t>
      </w:r>
      <w:r w:rsidR="002B3F8B">
        <w:rPr>
          <w:rFonts w:ascii="Times New Roman" w:hAnsi="Times New Roman" w:cs="Times New Roman"/>
          <w:sz w:val="24"/>
        </w:rPr>
        <w:t>, notice on doors</w:t>
      </w:r>
      <w:r>
        <w:rPr>
          <w:rFonts w:ascii="Times New Roman" w:hAnsi="Times New Roman" w:cs="Times New Roman"/>
          <w:sz w:val="24"/>
        </w:rPr>
        <w:t xml:space="preserve"> or other means.  The mortgagee is required to protect and preserve the property until its conveyance to HUD.</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rsidR="008A7498" w:rsidRDefault="00672004" w:rsidP="00104F5F">
      <w:pPr>
        <w:pStyle w:val="BodyTextIndent2"/>
        <w:ind w:left="360"/>
      </w:pPr>
      <w:r>
        <w:t>When a mortgage is in default, a payment is not received within 45 days of the due date, and efforts to reach the Mortgagor by telephone or other means within that period have proven unsuccessful, the Mortgagee must make an inspection of the property</w:t>
      </w:r>
      <w:r w:rsidR="008A7498">
        <w:t xml:space="preserve"> to determine occupancy status.  </w:t>
      </w:r>
      <w:r>
        <w:t xml:space="preserve">Inspections must be performed </w:t>
      </w:r>
    </w:p>
    <w:p w:rsidR="00672004" w:rsidRDefault="00672004" w:rsidP="00104F5F">
      <w:pPr>
        <w:pStyle w:val="BodyTextIndent2"/>
        <w:ind w:left="360"/>
      </w:pPr>
      <w:proofErr w:type="gramStart"/>
      <w:r>
        <w:t>25-35 days following any prior inspection if the property is vacant, or 25-35 days following the last documented contact with the Mortgagor if the mortgage remains in default.</w:t>
      </w:r>
      <w:proofErr w:type="gramEnd"/>
      <w:r>
        <w:t xml:space="preserve"> </w:t>
      </w:r>
    </w:p>
    <w:p w:rsidR="00672004" w:rsidRDefault="00672004">
      <w:pPr>
        <w:rPr>
          <w:sz w:val="24"/>
        </w:rPr>
      </w:pPr>
    </w:p>
    <w:p w:rsidR="00672004" w:rsidRPr="00104F5F" w:rsidRDefault="00672004" w:rsidP="00104F5F">
      <w:pPr>
        <w:pStyle w:val="ListParagraph"/>
        <w:numPr>
          <w:ilvl w:val="0"/>
          <w:numId w:val="29"/>
        </w:numPr>
        <w:ind w:left="360" w:firstLine="0"/>
        <w:rPr>
          <w:sz w:val="24"/>
        </w:rPr>
      </w:pPr>
      <w:r w:rsidRPr="00104F5F">
        <w:rPr>
          <w:sz w:val="24"/>
        </w:rPr>
        <w:t xml:space="preserve">There are five types of property inspections: occupancy inspections, initial vacant property inspections, vacant property inspections, voluntary pre-conveyance inspections and eviction inspections.  HUD form 9519-A, “Property Inspection Report” may be used to document and support each claimed inspection/ expense and </w:t>
      </w:r>
      <w:r w:rsidR="002B3F8B" w:rsidRPr="00104F5F">
        <w:rPr>
          <w:sz w:val="24"/>
        </w:rPr>
        <w:t xml:space="preserve">such a report </w:t>
      </w:r>
      <w:r w:rsidRPr="00104F5F">
        <w:rPr>
          <w:sz w:val="24"/>
        </w:rPr>
        <w:t xml:space="preserve">must be maintained in the Mortgagee’s case file </w:t>
      </w:r>
      <w:r w:rsidR="00BA0ACF">
        <w:rPr>
          <w:sz w:val="24"/>
        </w:rPr>
        <w:t xml:space="preserve">uploaded to P260 </w:t>
      </w:r>
      <w:r w:rsidRPr="00104F5F">
        <w:rPr>
          <w:sz w:val="24"/>
        </w:rPr>
        <w:t>and must be provided to HUD or its Management and Marketing (M&amp;M) contractor upon request.</w:t>
      </w:r>
    </w:p>
    <w:p w:rsidR="00EB4B8B" w:rsidRDefault="00EB4B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b/>
          <w:bCs/>
          <w:sz w:val="24"/>
        </w:rPr>
      </w:pPr>
      <w:r>
        <w:rPr>
          <w:rFonts w:ascii="Times New Roman" w:hAnsi="Times New Roman" w:cs="Times New Roman"/>
          <w:b/>
          <w:bCs/>
          <w:sz w:val="24"/>
        </w:rPr>
        <w:t>Occupancy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numPr>
          <w:ilvl w:val="1"/>
          <w:numId w:val="15"/>
        </w:numPr>
        <w:rPr>
          <w:sz w:val="24"/>
        </w:rPr>
      </w:pPr>
      <w:r>
        <w:rPr>
          <w:sz w:val="24"/>
        </w:rPr>
        <w:t>The Mortgagee must make an occupancy inspection to determine if the property is vacant or abandoned when a mortgage is in default, a payment is not received within 45 calendar days of the due date, and efforts to reach the Mortgagor by telephone or correspondence within that period have proven unsuccessful. Some areas may require more frequent inspections. If the inspection determines that the property is occupied or is vacant but is obviously being maintained (e.g., doors and windows secured, lawn is cut, For Sale sign on the property, etc.), but the Mortgagor continues to be in default, the Mortgagee must attempt to make telephone or other contact with the Mortgagor or occupant each month. If the occupancy inspection establishes that the property is abandoned, the Mortgagee must initiate preservation and protection actions beginning with an initial inspection and securing.</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rPr>
      </w:pPr>
      <w:r>
        <w:rPr>
          <w:rFonts w:ascii="Times New Roman" w:hAnsi="Times New Roman" w:cs="Times New Roman"/>
          <w:b/>
          <w:bCs/>
          <w:sz w:val="24"/>
        </w:rPr>
        <w:t>Initial Vacant Property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rsidR="00672004" w:rsidRDefault="00672004">
      <w:pPr>
        <w:numPr>
          <w:ilvl w:val="1"/>
          <w:numId w:val="15"/>
        </w:numPr>
        <w:rPr>
          <w:sz w:val="24"/>
        </w:rPr>
      </w:pPr>
      <w:r>
        <w:rPr>
          <w:sz w:val="24"/>
        </w:rPr>
        <w:t>An initial vacant property inspection, also called the “initial inspection”, is performed on the date a Mortgagee first takes physical possession of a property by securing it. This should be as soon as reasonably practical, but no more than five calendar days following the determination that the property is vacant and/or abandoned. If the occupancy inspection identifies an imminent source of property damage or a health and safety hazard (e.g., flowing water, collapsed roof, gas leak) the Mortgagee must take action to remediate the damage/hazard no later than 48 hours following discovery.</w:t>
      </w:r>
    </w:p>
    <w:p w:rsidR="00672004" w:rsidRDefault="00672004">
      <w:pPr>
        <w:rPr>
          <w:sz w:val="24"/>
        </w:rPr>
      </w:pPr>
    </w:p>
    <w:p w:rsidR="00672004" w:rsidRDefault="00672004">
      <w:pPr>
        <w:ind w:left="1440"/>
        <w:rPr>
          <w:sz w:val="24"/>
        </w:rPr>
      </w:pPr>
      <w:r>
        <w:rPr>
          <w:sz w:val="24"/>
        </w:rPr>
        <w:t xml:space="preserve">In some instances the initial inspection will take place on the same date as the occupancy inspection. In these cases, the Mortgagee may only claim the cost of the initial inspection. The initial inspection report establishes the condition in which the Mortgagee first found the property, and may be of critical importance in distinguishing between Mortgagor and Mortgagee neglect, following conveyance. </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rPr>
      </w:pPr>
      <w:r>
        <w:rPr>
          <w:rFonts w:ascii="Times New Roman" w:hAnsi="Times New Roman" w:cs="Times New Roman"/>
          <w:b/>
          <w:bCs/>
          <w:sz w:val="24"/>
        </w:rPr>
        <w:t>Vacant Property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rsidR="00672004" w:rsidRDefault="00672004">
      <w:pPr>
        <w:numPr>
          <w:ilvl w:val="1"/>
          <w:numId w:val="15"/>
        </w:numPr>
        <w:rPr>
          <w:sz w:val="24"/>
        </w:rPr>
      </w:pPr>
      <w:r>
        <w:rPr>
          <w:sz w:val="24"/>
        </w:rPr>
        <w:t xml:space="preserve">Vacant property inspections are performed after the initial inspection and securing have occurred. The Mortgagee must inspect a vacant or abandoned property every 25-35 days following an initial inspection, or more frequently as prescribed in local variations to determine </w:t>
      </w:r>
      <w:r>
        <w:rPr>
          <w:sz w:val="24"/>
        </w:rPr>
        <w:lastRenderedPageBreak/>
        <w:t>whether any subsequent preservation and protection action is necessary. Vacant property inspections must include both interior and exterior assessments of property condition.</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C50E31" w:rsidRDefault="00C50E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b/>
          <w:bCs/>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rPr>
      </w:pPr>
      <w:r>
        <w:rPr>
          <w:rFonts w:ascii="Times New Roman" w:hAnsi="Times New Roman" w:cs="Times New Roman"/>
          <w:b/>
          <w:bCs/>
          <w:sz w:val="24"/>
        </w:rPr>
        <w:t>Voluntary Pre-Conveyance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numPr>
          <w:ilvl w:val="1"/>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Pr>
          <w:rFonts w:ascii="Times New Roman" w:hAnsi="Times New Roman" w:cs="Times New Roman"/>
          <w:sz w:val="24"/>
        </w:rPr>
        <w:t xml:space="preserve">HUD encourages, but does not require, Mortgagees or </w:t>
      </w:r>
      <w:r w:rsidR="005F769E">
        <w:rPr>
          <w:rFonts w:ascii="Times New Roman" w:hAnsi="Times New Roman" w:cs="Times New Roman"/>
          <w:sz w:val="24"/>
        </w:rPr>
        <w:t>HUD’s MC</w:t>
      </w:r>
      <w:r>
        <w:rPr>
          <w:rFonts w:ascii="Times New Roman" w:hAnsi="Times New Roman" w:cs="Times New Roman"/>
          <w:sz w:val="24"/>
        </w:rPr>
        <w:t>M contractor to conduct pre-conveyance inspections. Pre-conveyance inspections may significantly reduce post-conveyance disputes between Mortgagees and M</w:t>
      </w:r>
      <w:r w:rsidR="005F769E">
        <w:rPr>
          <w:rFonts w:ascii="Times New Roman" w:hAnsi="Times New Roman" w:cs="Times New Roman"/>
          <w:sz w:val="24"/>
        </w:rPr>
        <w:t>C</w:t>
      </w:r>
      <w:r>
        <w:rPr>
          <w:rFonts w:ascii="Times New Roman" w:hAnsi="Times New Roman" w:cs="Times New Roman"/>
          <w:sz w:val="24"/>
        </w:rPr>
        <w:t xml:space="preserve">M contractor by allowing each party to agree that properties are in conveyance condition or identify additional requirements that must be met prior to conveyance. This is especially beneficial when properties will be conveyed damaged, as it will allow the Mortgagee to demonstrate that the damage is not </w:t>
      </w:r>
      <w:proofErr w:type="spellStart"/>
      <w:r>
        <w:rPr>
          <w:rFonts w:ascii="Times New Roman" w:hAnsi="Times New Roman" w:cs="Times New Roman"/>
          <w:sz w:val="24"/>
        </w:rPr>
        <w:t>surchargable</w:t>
      </w:r>
      <w:proofErr w:type="spellEnd"/>
      <w:r>
        <w:rPr>
          <w:rFonts w:ascii="Times New Roman" w:hAnsi="Times New Roman" w:cs="Times New Roman"/>
          <w:sz w:val="24"/>
        </w:rPr>
        <w:t>, thereby reducing the likelihood of demand letters, re-conveyance, or other sanctions.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6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rPr>
      </w:pPr>
      <w:r>
        <w:rPr>
          <w:rFonts w:ascii="Times New Roman" w:hAnsi="Times New Roman" w:cs="Times New Roman"/>
          <w:sz w:val="24"/>
        </w:rPr>
        <w:t>Pre-conveyance inspections should be scheduled no earlier than five calendar days prior to the scheduled conveyance date. To encourage this practice, HUD will allow Mortgagees to claim the cost of one additional inspection, claimed at the rate of an occupancy inspection, provided the pre-conveyance inspection does not coincide with the regular inspection schedule.</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60"/>
        <w:rPr>
          <w:rFonts w:ascii="Times New Roman" w:hAnsi="Times New Roman" w:cs="Times New Roman"/>
          <w:sz w:val="24"/>
        </w:rPr>
      </w:pPr>
    </w:p>
    <w:p w:rsidR="00672004" w:rsidRDefault="00672004">
      <w:pPr>
        <w:ind w:left="1440"/>
        <w:rPr>
          <w:sz w:val="24"/>
        </w:rPr>
      </w:pPr>
      <w:r>
        <w:rPr>
          <w:sz w:val="24"/>
        </w:rPr>
        <w:t>Mortgagees s</w:t>
      </w:r>
      <w:r w:rsidR="005F769E">
        <w:rPr>
          <w:sz w:val="24"/>
        </w:rPr>
        <w:t>hould contact the MC</w:t>
      </w:r>
      <w:r>
        <w:rPr>
          <w:sz w:val="24"/>
        </w:rPr>
        <w:t>M contractor directly for further information on procedures regarding voluntary pre-conveyance inspections in their contract areas. The M</w:t>
      </w:r>
      <w:r w:rsidR="005F769E">
        <w:rPr>
          <w:sz w:val="24"/>
        </w:rPr>
        <w:t>C</w:t>
      </w:r>
      <w:r>
        <w:rPr>
          <w:sz w:val="24"/>
        </w:rPr>
        <w:t xml:space="preserve">M contractor, using HUD’s inspection form, will perform voluntary pre-conveyance inspections.  </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Times New Roman" w:hAnsi="Times New Roman" w:cs="Times New Roman"/>
          <w:sz w:val="24"/>
        </w:rPr>
      </w:pPr>
      <w:r>
        <w:rPr>
          <w:rFonts w:ascii="Times New Roman" w:hAnsi="Times New Roman" w:cs="Times New Roman"/>
          <w:b/>
          <w:bCs/>
          <w:sz w:val="24"/>
        </w:rPr>
        <w:t>Pre-Eviction Inspections</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Times New Roman" w:hAnsi="Times New Roman" w:cs="Times New Roman"/>
          <w:sz w:val="24"/>
        </w:rPr>
      </w:pPr>
    </w:p>
    <w:p w:rsidR="00672004" w:rsidRDefault="00672004">
      <w:pPr>
        <w:pStyle w:val="BodyText2"/>
        <w:numPr>
          <w:ilvl w:val="1"/>
          <w:numId w:val="15"/>
        </w:numPr>
      </w:pPr>
      <w:r>
        <w:t>Mortgagees are required to perform a pre-eviction inspection within 72 hours of a scheduled eviction, whenever there is any doubt that a property is vacant. The pre-eviction inspection will be reimbursable as a vacant property inspection. When an inspection is already scheduled for the same week as the eviction, the pre-eviction inspection is to be performed within 72 hours of the eviction date. Mortgagees are to confirm the scheduled eviction the day before or morning of the scheduled eviction to be eligible to claim one hour of labor per person for a canceled or rescheduled eviction. Mortgagees should document in the claim review file, the name of the person or place called, the date and time of the call and results of the call.</w:t>
      </w:r>
    </w:p>
    <w:p w:rsidR="00672004" w:rsidRDefault="006720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rPr>
          <w:rFonts w:ascii="Times New Roman" w:hAnsi="Times New Roman" w:cs="Times New Roman"/>
          <w:sz w:val="24"/>
        </w:rPr>
      </w:pPr>
    </w:p>
    <w:p w:rsidR="00672004" w:rsidRPr="005E5155" w:rsidRDefault="00672004" w:rsidP="005E5155">
      <w:pPr>
        <w:pStyle w:val="ListParagraph"/>
        <w:numPr>
          <w:ilvl w:val="0"/>
          <w:numId w:val="29"/>
        </w:numPr>
        <w:ind w:left="360" w:firstLine="0"/>
        <w:rPr>
          <w:sz w:val="24"/>
        </w:rPr>
      </w:pPr>
      <w:r w:rsidRPr="005E5155">
        <w:rPr>
          <w:sz w:val="24"/>
        </w:rPr>
        <w:t xml:space="preserve">In most cases the mortgagees will not board up vacant properties but in a minority of cases there may be cause for </w:t>
      </w:r>
      <w:r w:rsidRPr="005E5155">
        <w:rPr>
          <w:b/>
          <w:sz w:val="24"/>
        </w:rPr>
        <w:t>preservation and protection</w:t>
      </w:r>
      <w:r w:rsidRPr="005E5155">
        <w:rPr>
          <w:sz w:val="24"/>
        </w:rPr>
        <w:t xml:space="preserve"> of the property.  Actions may be taken on a case-by-case basis after they are reviewed and approved by the local HUD office.  </w:t>
      </w:r>
      <w:r w:rsidRPr="005E5155">
        <w:rPr>
          <w:rFonts w:cs="Arial"/>
          <w:color w:val="000000"/>
          <w:sz w:val="24"/>
          <w:szCs w:val="18"/>
        </w:rPr>
        <w:t xml:space="preserve">HUD allows certain amounts for lenders to spend on the preservation and protection of mortgaged properties.  If a specific service cannot be performed at the scheduled rate, the lender must request HUD permission to exceed that cost limit through the use of form HUD-50002, Request to Exceed Cost Limits for Preservation and Protection.    24 CFR </w:t>
      </w:r>
      <w:r w:rsidRPr="005E5155">
        <w:rPr>
          <w:sz w:val="24"/>
        </w:rPr>
        <w:t xml:space="preserve">§ </w:t>
      </w:r>
      <w:r w:rsidRPr="005E5155">
        <w:rPr>
          <w:rFonts w:cs="Arial"/>
          <w:color w:val="000000"/>
          <w:sz w:val="24"/>
          <w:szCs w:val="18"/>
        </w:rPr>
        <w:t>203.402(g</w:t>
      </w:r>
      <w:proofErr w:type="gramStart"/>
      <w:r w:rsidRPr="005E5155">
        <w:rPr>
          <w:rFonts w:cs="Arial"/>
          <w:color w:val="000000"/>
          <w:sz w:val="24"/>
          <w:szCs w:val="18"/>
        </w:rPr>
        <w:t>)(</w:t>
      </w:r>
      <w:proofErr w:type="gramEnd"/>
      <w:r w:rsidRPr="005E5155">
        <w:rPr>
          <w:rFonts w:cs="Arial"/>
          <w:color w:val="000000"/>
          <w:sz w:val="24"/>
          <w:szCs w:val="18"/>
        </w:rPr>
        <w:t xml:space="preserve">1) and (g)(2) requires prior HUD approval to exceed scheduled amounts.  </w:t>
      </w:r>
      <w:r w:rsidRPr="005E5155">
        <w:rPr>
          <w:sz w:val="24"/>
        </w:rPr>
        <w:t>Collection of information and FHA documentation is retained for a period of three years and may be stored in paper or electronic media after final and supplemental payments.</w:t>
      </w:r>
    </w:p>
    <w:p w:rsidR="00672004" w:rsidRDefault="00672004">
      <w:pPr>
        <w:pStyle w:val="HTMLPreformatted"/>
        <w:tabs>
          <w:tab w:val="left" w:pos="1062"/>
        </w:tabs>
        <w:rPr>
          <w:rFonts w:ascii="Times New Roman" w:hAnsi="Times New Roman" w:cs="Times New Roman"/>
          <w:sz w:val="24"/>
        </w:rPr>
      </w:pPr>
    </w:p>
    <w:p w:rsidR="00672004" w:rsidRDefault="00672004" w:rsidP="005E5155">
      <w:pPr>
        <w:ind w:left="360"/>
        <w:rPr>
          <w:sz w:val="24"/>
        </w:rPr>
      </w:pPr>
      <w:r>
        <w:rPr>
          <w:sz w:val="24"/>
        </w:rPr>
        <w:t xml:space="preserve">The mortgagee must certify to HUD, on the date the deed is filed for record, that the </w:t>
      </w:r>
      <w:r>
        <w:rPr>
          <w:b/>
          <w:bCs/>
          <w:sz w:val="24"/>
        </w:rPr>
        <w:t>occupancy status of the property</w:t>
      </w:r>
      <w:r>
        <w:rPr>
          <w:sz w:val="24"/>
        </w:rPr>
        <w:t xml:space="preserve"> is vacant and free of personal property unless HUD has agreed to accept title with the property occupied (24 CFR § 203.381).  The mortgagee must notify the mortgagors or occupants at least 60 days, but not more than 90 days before the mortgagee reasonably expects to acquire title.  If the occupant contacts HUD within 20 days of the date of the mortgagee’s notice, requesting to remain in the property, HUD will notify the mortgagee.  In the event HUD approves an occupied conveyance, the mortgagee must not</w:t>
      </w:r>
      <w:r w:rsidR="00142809">
        <w:rPr>
          <w:sz w:val="24"/>
        </w:rPr>
        <w:t>e</w:t>
      </w:r>
      <w:r>
        <w:rPr>
          <w:sz w:val="24"/>
        </w:rPr>
        <w:t xml:space="preserve"> the date of HUD’s approval letter on its claim for benefits.</w:t>
      </w:r>
    </w:p>
    <w:p w:rsidR="00672004" w:rsidRDefault="00672004">
      <w:pPr>
        <w:rPr>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mortgagee must request the </w:t>
      </w:r>
      <w:r>
        <w:rPr>
          <w:rFonts w:ascii="Times New Roman" w:hAnsi="Times New Roman" w:cs="Times New Roman"/>
          <w:b/>
          <w:bCs/>
          <w:sz w:val="24"/>
        </w:rPr>
        <w:t>cancellation of the hazard insurance</w:t>
      </w:r>
      <w:r>
        <w:rPr>
          <w:rFonts w:ascii="Times New Roman" w:hAnsi="Times New Roman" w:cs="Times New Roman"/>
          <w:sz w:val="24"/>
        </w:rPr>
        <w:t xml:space="preserve"> as of the date the deed is filed for record (24 CFR § 203.382). </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mortgagee shall notify the Commissioner of HUD of the filing of such </w:t>
      </w:r>
      <w:r>
        <w:rPr>
          <w:rFonts w:ascii="Times New Roman" w:hAnsi="Times New Roman" w:cs="Times New Roman"/>
          <w:b/>
          <w:bCs/>
          <w:sz w:val="24"/>
        </w:rPr>
        <w:t>property conveyance</w:t>
      </w:r>
      <w:r>
        <w:rPr>
          <w:rFonts w:ascii="Times New Roman" w:hAnsi="Times New Roman" w:cs="Times New Roman"/>
          <w:sz w:val="24"/>
        </w:rPr>
        <w:t xml:space="preserve"> and shall assign without recourse or warranty, any or all claims, which the mortgagee has acquired in connection with the mortgage loan foreclosure proceedings (24 CFR § 203.360).</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The mortgagee will furnish HUD with </w:t>
      </w:r>
      <w:r>
        <w:rPr>
          <w:rFonts w:ascii="Times New Roman" w:hAnsi="Times New Roman" w:cs="Times New Roman"/>
          <w:b/>
          <w:bCs/>
          <w:sz w:val="24"/>
        </w:rPr>
        <w:t>documents and information for a HUD claims review</w:t>
      </w:r>
      <w:r>
        <w:rPr>
          <w:rFonts w:ascii="Times New Roman" w:hAnsi="Times New Roman" w:cs="Times New Roman"/>
          <w:sz w:val="24"/>
        </w:rPr>
        <w:t xml:space="preserve"> that consists of a copy of the deed, fiscal data pertaining to the mortgage loan transaction and any additional information that HUD may require (24 CFR § 203.365).</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The mortgagee must maintain a claim file containing the documentation supporting all information submitted to claim payment for at least 3 years after the clam has been paid.  HUD may request the mortgagee provide a file of the claim within 24 hours.</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firstLine="0"/>
        <w:rPr>
          <w:rFonts w:ascii="Times New Roman" w:hAnsi="Times New Roman" w:cs="Times New Roman"/>
          <w:sz w:val="24"/>
        </w:rPr>
      </w:pPr>
      <w:r>
        <w:rPr>
          <w:rFonts w:ascii="Times New Roman" w:hAnsi="Times New Roman" w:cs="Times New Roman"/>
          <w:sz w:val="24"/>
        </w:rPr>
        <w:t xml:space="preserve">The mortgagee may foreclose and be required to pursue a </w:t>
      </w:r>
      <w:r>
        <w:rPr>
          <w:rFonts w:ascii="Times New Roman" w:hAnsi="Times New Roman" w:cs="Times New Roman"/>
          <w:b/>
          <w:bCs/>
          <w:sz w:val="24"/>
        </w:rPr>
        <w:t>deficiency judgment</w:t>
      </w:r>
      <w:r>
        <w:rPr>
          <w:rFonts w:ascii="Times New Roman" w:hAnsi="Times New Roman" w:cs="Times New Roman"/>
          <w:sz w:val="24"/>
        </w:rPr>
        <w:t xml:space="preserve"> if required by HUD.  Deficiency judgments are generally being pursued department-wide, except where state law makes them impossible or highly impracticable (24 CFR § 203.369 and § 203.402 (o)).  The local HUD offices use internal data pertaining to defaults and foreclosure to identify mortgagors against whom deficiency judgments should be sought or the mortgagee can initiate the process by notifying the local HUD office.  Deficiency judgments pursued by mortgagees must be assigned and transmitted to the local HUD office within 30 days of being obtained.  HUD will utilize various methods to collect once the judgments have been assigned. </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If the mortgagee </w:t>
      </w:r>
      <w:r>
        <w:rPr>
          <w:rFonts w:ascii="Times New Roman" w:hAnsi="Times New Roman" w:cs="Times New Roman"/>
          <w:b/>
          <w:bCs/>
          <w:sz w:val="24"/>
        </w:rPr>
        <w:t>fails to comply with HUD regulations</w:t>
      </w:r>
      <w:r>
        <w:rPr>
          <w:rFonts w:ascii="Times New Roman" w:hAnsi="Times New Roman" w:cs="Times New Roman"/>
          <w:sz w:val="24"/>
        </w:rPr>
        <w:t xml:space="preserve">, HUD may hold processing of the claim for insurance benefits in abeyance for a reasonable time in order to permit the mortgagee to comply.  HUD may re-convey title of the property to the mortgagee and cancel the application for insurance benefits </w:t>
      </w:r>
      <w:r w:rsidR="00A91DCA">
        <w:rPr>
          <w:rFonts w:ascii="Times New Roman" w:hAnsi="Times New Roman" w:cs="Times New Roman"/>
          <w:sz w:val="24"/>
        </w:rPr>
        <w:t>without</w:t>
      </w:r>
      <w:r>
        <w:rPr>
          <w:rFonts w:ascii="Times New Roman" w:hAnsi="Times New Roman" w:cs="Times New Roman"/>
          <w:sz w:val="24"/>
        </w:rPr>
        <w:t xml:space="preserve"> prejudice to the rights of the mortgagee to reapply for insurance benefits at a subsequent date (24 CFR § 203.363). </w:t>
      </w:r>
    </w:p>
    <w:p w:rsidR="00672004" w:rsidRDefault="00672004">
      <w:pPr>
        <w:pStyle w:val="HTMLPreformatted"/>
        <w:tabs>
          <w:tab w:val="left" w:pos="1062"/>
        </w:tabs>
        <w:rPr>
          <w:rFonts w:ascii="Times New Roman" w:hAnsi="Times New Roman" w:cs="Times New Roman"/>
          <w:sz w:val="24"/>
        </w:rPr>
      </w:pPr>
    </w:p>
    <w:p w:rsidR="00672004" w:rsidRDefault="00672004" w:rsidP="005E51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 w:val="24"/>
        </w:rPr>
      </w:pPr>
      <w:r>
        <w:rPr>
          <w:rFonts w:ascii="Times New Roman" w:hAnsi="Times New Roman" w:cs="Times New Roman"/>
          <w:sz w:val="24"/>
        </w:rPr>
        <w:t xml:space="preserve">HUD may consent to a </w:t>
      </w:r>
      <w:r>
        <w:rPr>
          <w:rFonts w:ascii="Times New Roman" w:hAnsi="Times New Roman" w:cs="Times New Roman"/>
          <w:b/>
          <w:bCs/>
          <w:sz w:val="24"/>
        </w:rPr>
        <w:t>withdraw of an application for insurance benefits</w:t>
      </w:r>
      <w:r>
        <w:rPr>
          <w:rFonts w:ascii="Times New Roman" w:hAnsi="Times New Roman" w:cs="Times New Roman"/>
          <w:sz w:val="24"/>
        </w:rPr>
        <w:t xml:space="preserve">, if the mortgagee accepts re-conveyance of the property, promptly files a re-conveyance for record, accepts the title evidence it furnished to HUD and reimburses HUD for any expenses (24 CFR § 203.362 and § 203.364).  The mortgagee will reimburse HUD for all expenses incurred in connection with the acquisition and </w:t>
      </w:r>
      <w:proofErr w:type="spellStart"/>
      <w:r>
        <w:rPr>
          <w:rFonts w:ascii="Times New Roman" w:hAnsi="Times New Roman" w:cs="Times New Roman"/>
          <w:sz w:val="24"/>
        </w:rPr>
        <w:t>reconveyance</w:t>
      </w:r>
      <w:proofErr w:type="spellEnd"/>
      <w:r>
        <w:rPr>
          <w:rFonts w:ascii="Times New Roman" w:hAnsi="Times New Roman" w:cs="Times New Roman"/>
          <w:sz w:val="24"/>
        </w:rPr>
        <w:t>.  The reimbursement will include interest on the amount of insurance benefits refunded by the mortgagee. The mortgagee will reimburse HUD for computed daily holding costs based on taxes maintenance operating expenses and administrative expenses.</w:t>
      </w:r>
    </w:p>
    <w:p w:rsidR="00672004" w:rsidRDefault="00672004">
      <w:pPr>
        <w:rPr>
          <w:b/>
          <w:bCs/>
          <w:sz w:val="24"/>
        </w:rPr>
      </w:pPr>
    </w:p>
    <w:p w:rsidR="00672004" w:rsidRDefault="00672004">
      <w:pPr>
        <w:rPr>
          <w:b/>
          <w:bCs/>
          <w:sz w:val="24"/>
        </w:rPr>
      </w:pPr>
      <w:r>
        <w:rPr>
          <w:b/>
          <w:bCs/>
          <w:sz w:val="24"/>
        </w:rPr>
        <w:t>Partial Claims</w:t>
      </w:r>
    </w:p>
    <w:p w:rsidR="00672004" w:rsidRDefault="00672004">
      <w:pPr>
        <w:rPr>
          <w:b/>
          <w:bCs/>
          <w:sz w:val="24"/>
        </w:rPr>
      </w:pPr>
    </w:p>
    <w:p w:rsidR="00672004" w:rsidRDefault="00672004" w:rsidP="00104F5F">
      <w:pPr>
        <w:pStyle w:val="BodyTextIndent3"/>
        <w:numPr>
          <w:ilvl w:val="0"/>
          <w:numId w:val="17"/>
        </w:numPr>
        <w:tabs>
          <w:tab w:val="clear" w:pos="648"/>
        </w:tabs>
        <w:overflowPunct/>
        <w:autoSpaceDE/>
        <w:autoSpaceDN/>
        <w:adjustRightInd/>
        <w:ind w:left="360" w:firstLine="0"/>
        <w:textAlignment w:val="auto"/>
        <w:rPr>
          <w:rFonts w:cs="Arial"/>
          <w:color w:val="000000"/>
          <w:sz w:val="24"/>
          <w:szCs w:val="18"/>
        </w:rPr>
      </w:pPr>
      <w:r>
        <w:rPr>
          <w:rFonts w:cs="Arial"/>
          <w:color w:val="000000"/>
          <w:sz w:val="24"/>
          <w:szCs w:val="18"/>
        </w:rPr>
        <w:t xml:space="preserve">HUD assists mortgagors affected by </w:t>
      </w:r>
      <w:r>
        <w:rPr>
          <w:sz w:val="24"/>
        </w:rPr>
        <w:t xml:space="preserve">destruction caused during natural disasters </w:t>
      </w:r>
      <w:r>
        <w:rPr>
          <w:rFonts w:cs="Arial"/>
          <w:color w:val="000000"/>
          <w:sz w:val="24"/>
          <w:szCs w:val="18"/>
        </w:rPr>
        <w:t xml:space="preserve">in </w:t>
      </w:r>
      <w:r w:rsidR="004116B1">
        <w:rPr>
          <w:rFonts w:cs="Arial"/>
          <w:color w:val="000000"/>
          <w:sz w:val="24"/>
          <w:szCs w:val="18"/>
        </w:rPr>
        <w:t>presidentially</w:t>
      </w:r>
      <w:r>
        <w:rPr>
          <w:rFonts w:cs="Arial"/>
          <w:color w:val="000000"/>
          <w:sz w:val="24"/>
          <w:szCs w:val="18"/>
        </w:rPr>
        <w:t xml:space="preserve"> declared disaster areas.  HUD working with mortgagees, states and other agencies or departments </w:t>
      </w:r>
      <w:r w:rsidR="004116B1">
        <w:rPr>
          <w:rFonts w:cs="Arial"/>
          <w:color w:val="000000"/>
          <w:sz w:val="24"/>
          <w:szCs w:val="18"/>
        </w:rPr>
        <w:t>provides</w:t>
      </w:r>
      <w:r>
        <w:rPr>
          <w:rFonts w:cs="Arial"/>
          <w:color w:val="000000"/>
          <w:sz w:val="24"/>
          <w:szCs w:val="18"/>
        </w:rPr>
        <w:t xml:space="preserve"> guidance and direction.  For example in 2006, HUD working with the state of </w:t>
      </w:r>
      <w:smartTag w:uri="urn:schemas-microsoft-com:office:smarttags" w:element="place">
        <w:smartTag w:uri="urn:schemas-microsoft-com:office:smarttags" w:element="State">
          <w:r>
            <w:rPr>
              <w:rFonts w:cs="Arial"/>
              <w:color w:val="000000"/>
              <w:sz w:val="24"/>
              <w:szCs w:val="18"/>
            </w:rPr>
            <w:t>Mississippi</w:t>
          </w:r>
        </w:smartTag>
      </w:smartTag>
      <w:r>
        <w:rPr>
          <w:rFonts w:cs="Arial"/>
          <w:color w:val="000000"/>
          <w:sz w:val="24"/>
          <w:szCs w:val="18"/>
        </w:rPr>
        <w:t xml:space="preserve"> established an action plan for use of Federal Community Development Block Grant (CDBG) funds.  In connection with its CDBG Homeowner Grant Assistance program mortgagors who suffered flood damage from Hurricane Katrina to a primary residence that was not located in a FEMA designated special flood hazard area as of August 29, 2005 may receive a one-time grant payment.  In exchange for the grant payment, a qualifying mortgagor must agree to have certain covenants placed on the property and all existing </w:t>
      </w:r>
      <w:r w:rsidR="00A91DCA">
        <w:rPr>
          <w:rFonts w:cs="Arial"/>
          <w:color w:val="000000"/>
          <w:sz w:val="24"/>
          <w:szCs w:val="18"/>
        </w:rPr>
        <w:t>lien holders</w:t>
      </w:r>
      <w:r>
        <w:rPr>
          <w:rFonts w:cs="Arial"/>
          <w:color w:val="000000"/>
          <w:sz w:val="24"/>
          <w:szCs w:val="18"/>
        </w:rPr>
        <w:t xml:space="preserve"> must subordinate their liens to those covenants.  HUD may hold a junior lien on an eligible property as security for a partial claim payment or Section 235 subsidy mortgage and have to subordinate the lien to the state </w:t>
      </w:r>
      <w:r>
        <w:rPr>
          <w:rFonts w:cs="Arial"/>
          <w:color w:val="000000"/>
          <w:sz w:val="24"/>
          <w:szCs w:val="18"/>
        </w:rPr>
        <w:lastRenderedPageBreak/>
        <w:t>required covenants in order for the mortgagor to receive state CDBG funds. The estimated partial claims for the CDBG grants were 25 properties that may have a HUD-held junior lien on them requiring subordination to the state required covenants.</w:t>
      </w:r>
    </w:p>
    <w:p w:rsidR="0090589C" w:rsidRDefault="0090589C">
      <w:pPr>
        <w:rPr>
          <w:b/>
          <w:bCs/>
          <w:sz w:val="24"/>
        </w:rPr>
      </w:pPr>
    </w:p>
    <w:p w:rsidR="00672004" w:rsidRDefault="00672004">
      <w:pPr>
        <w:rPr>
          <w:b/>
          <w:bCs/>
          <w:sz w:val="24"/>
        </w:rPr>
      </w:pPr>
      <w:r>
        <w:rPr>
          <w:b/>
          <w:bCs/>
          <w:sz w:val="24"/>
        </w:rPr>
        <w:t>Accelerated Claims (601)</w:t>
      </w:r>
    </w:p>
    <w:p w:rsidR="00672004" w:rsidRDefault="00672004">
      <w:pPr>
        <w:rPr>
          <w:b/>
          <w:bCs/>
          <w:sz w:val="24"/>
        </w:rPr>
      </w:pPr>
    </w:p>
    <w:p w:rsidR="00672004" w:rsidRDefault="00672004" w:rsidP="00104F5F">
      <w:pPr>
        <w:pStyle w:val="BodyText2"/>
        <w:numPr>
          <w:ilvl w:val="0"/>
          <w:numId w:val="17"/>
        </w:numPr>
        <w:tabs>
          <w:tab w:val="clear" w:pos="648"/>
        </w:tabs>
        <w:ind w:left="360" w:firstLine="0"/>
      </w:pPr>
      <w:r>
        <w:t>Title VI, Section 601 of the VA, HUD, and Independent Agencies Appropriations Act 1999 (the “Act”), passed in October 1998, reformed the single-family claims and property disposition process.  The legislation enables HUD/FHA to: (i) pay claims upon assignment of mortgages rather than only upon conveyance of the properties; (ii) take assignment of notes and transfer them to private parties for servicing, foreclosure avoidance, foreclosure, property management and asset disposition; and (iii) participate as an equity partner with private entities in asset disposition.  The Accelerated Claims Disposition (ACD), program enables mortgagees to sell defaulted loans to HUD avoiding the costly foreclosure process, thereby adding to the overall servicing value of FHA-insured loans.</w:t>
      </w:r>
    </w:p>
    <w:p w:rsidR="00672004" w:rsidRDefault="00672004">
      <w:pPr>
        <w:pStyle w:val="BodyTextIndent2"/>
        <w:ind w:left="0"/>
      </w:pPr>
    </w:p>
    <w:p w:rsidR="00672004" w:rsidRDefault="00672004" w:rsidP="00104F5F">
      <w:pPr>
        <w:pStyle w:val="BodyText2"/>
        <w:ind w:left="360"/>
      </w:pPr>
      <w:r>
        <w:t>The Act provides HUD/FHA with additional flexibility to choose the most cost-effective methods of paying insurance claims and disposing of acquired notes or properties under the FHA single-family programs.  The ACD program allows for the sale to FHA of defaulted mortgage notes, with a high potential for foreclosure, resulting in payment of the full legal debt.  The act authorizes FHA to take assignment of notes and transfer them to private parties for servicing, foreclosure avoidance, property management, and asset disposition.  Section 601(d) amends Section 204(g) of the National Housing Act to allow a structured financing for asset disposition in which FHA retains an equity interest.  This authority for FHA to be an equity participant in private entities, similar to the FHA multifamily disposition program, has the potential to increase the value of the assets and therefore the return to FHA.  FHA has adopted a program that will take advantage of the authority granted in this legislation.  The objective of the program is to maximize the sales proceed to FHA and ensure the FHA’s public policy issues are addressed while disposing of the assets in the most efficient manner.</w:t>
      </w:r>
    </w:p>
    <w:p w:rsidR="00672004" w:rsidRDefault="00672004">
      <w:pPr>
        <w:rPr>
          <w:sz w:val="24"/>
        </w:rPr>
      </w:pPr>
    </w:p>
    <w:p w:rsidR="00672004" w:rsidRDefault="00672004" w:rsidP="00104F5F">
      <w:pPr>
        <w:ind w:left="360"/>
        <w:rPr>
          <w:sz w:val="24"/>
        </w:rPr>
      </w:pPr>
      <w:r>
        <w:rPr>
          <w:sz w:val="24"/>
        </w:rPr>
        <w:t xml:space="preserve">The ACD program was established as a pilot program with five original </w:t>
      </w:r>
      <w:r w:rsidR="004116B1">
        <w:rPr>
          <w:sz w:val="24"/>
        </w:rPr>
        <w:t>mortgagees;</w:t>
      </w:r>
      <w:r>
        <w:rPr>
          <w:sz w:val="24"/>
        </w:rPr>
        <w:t xml:space="preserve"> currently the program does not have any defaulted FHA mortgage loans in the pipeline.</w:t>
      </w:r>
    </w:p>
    <w:p w:rsidR="001351C6" w:rsidRDefault="001351C6">
      <w:pPr>
        <w:ind w:left="630"/>
        <w:rPr>
          <w:sz w:val="24"/>
        </w:rPr>
      </w:pPr>
    </w:p>
    <w:p w:rsidR="001351C6" w:rsidRDefault="001351C6" w:rsidP="001351C6">
      <w:pPr>
        <w:rPr>
          <w:b/>
          <w:sz w:val="24"/>
        </w:rPr>
      </w:pPr>
      <w:r w:rsidRPr="001351C6">
        <w:rPr>
          <w:b/>
          <w:sz w:val="24"/>
        </w:rPr>
        <w:t>Home Equity Conversion Mortgage (HECM) Claims</w:t>
      </w:r>
    </w:p>
    <w:p w:rsidR="00CC3E8B" w:rsidRDefault="00CC3E8B" w:rsidP="00CC3E8B">
      <w:pPr>
        <w:ind w:left="360"/>
        <w:rPr>
          <w:sz w:val="24"/>
        </w:rPr>
      </w:pPr>
      <w:r w:rsidRPr="00CC3E8B">
        <w:rPr>
          <w:sz w:val="24"/>
        </w:rPr>
        <w:t xml:space="preserve">(Please Note:  A new </w:t>
      </w:r>
      <w:r>
        <w:rPr>
          <w:sz w:val="24"/>
        </w:rPr>
        <w:t>HECM PRA for Servicing is being drafted to</w:t>
      </w:r>
      <w:r w:rsidRPr="00CC3E8B">
        <w:rPr>
          <w:sz w:val="24"/>
        </w:rPr>
        <w:t xml:space="preserve"> include the above referenced HECM Claims and the associated requirements.  This new Information Collection will be reviewed by OMB for clearance.</w:t>
      </w:r>
    </w:p>
    <w:p w:rsidR="001B370B" w:rsidRDefault="001B370B" w:rsidP="001351C6">
      <w:pPr>
        <w:rPr>
          <w:b/>
          <w:sz w:val="24"/>
        </w:rPr>
      </w:pPr>
    </w:p>
    <w:p w:rsidR="0071115C" w:rsidRPr="00104F5F" w:rsidRDefault="001B370B" w:rsidP="00104F5F">
      <w:pPr>
        <w:pStyle w:val="ListParagraph"/>
        <w:numPr>
          <w:ilvl w:val="0"/>
          <w:numId w:val="29"/>
        </w:numPr>
        <w:ind w:left="360" w:firstLine="0"/>
        <w:rPr>
          <w:sz w:val="24"/>
        </w:rPr>
      </w:pPr>
      <w:r w:rsidRPr="005E5155">
        <w:rPr>
          <w:b/>
          <w:sz w:val="24"/>
        </w:rPr>
        <w:t xml:space="preserve">Home Equity Conversion Mortgages </w:t>
      </w:r>
      <w:r w:rsidRPr="00104F5F">
        <w:rPr>
          <w:sz w:val="24"/>
        </w:rPr>
        <w:t xml:space="preserve">(HECM) allow for senior citizens, ages 62 and older, to utilize the equity in their homes to augment their income without having to sell </w:t>
      </w:r>
      <w:r w:rsidR="0071115C" w:rsidRPr="00104F5F">
        <w:rPr>
          <w:sz w:val="24"/>
        </w:rPr>
        <w:t xml:space="preserve">or leave </w:t>
      </w:r>
      <w:r w:rsidRPr="00104F5F">
        <w:rPr>
          <w:sz w:val="24"/>
        </w:rPr>
        <w:t xml:space="preserve">their homes.  </w:t>
      </w:r>
      <w:r w:rsidR="002E2E1A" w:rsidRPr="00104F5F">
        <w:rPr>
          <w:sz w:val="24"/>
        </w:rPr>
        <w:t>This loan program is</w:t>
      </w:r>
      <w:r w:rsidR="00602088" w:rsidRPr="00104F5F">
        <w:rPr>
          <w:sz w:val="24"/>
        </w:rPr>
        <w:t xml:space="preserve"> included in Title II of the National Housing Act</w:t>
      </w:r>
      <w:r w:rsidR="002E2E1A" w:rsidRPr="00104F5F">
        <w:rPr>
          <w:sz w:val="24"/>
        </w:rPr>
        <w:t xml:space="preserve">, Part 255.  The regulatory authority is </w:t>
      </w:r>
      <w:r w:rsidR="00604CF1" w:rsidRPr="00104F5F">
        <w:rPr>
          <w:sz w:val="24"/>
        </w:rPr>
        <w:t xml:space="preserve">24 CFR, </w:t>
      </w:r>
      <w:r w:rsidR="002E2E1A" w:rsidRPr="00104F5F">
        <w:rPr>
          <w:sz w:val="24"/>
        </w:rPr>
        <w:t>Section 206</w:t>
      </w:r>
      <w:r w:rsidR="0071115C" w:rsidRPr="00104F5F">
        <w:rPr>
          <w:sz w:val="24"/>
        </w:rPr>
        <w:t xml:space="preserve">.  </w:t>
      </w:r>
    </w:p>
    <w:p w:rsidR="00287CCF" w:rsidRDefault="00287CCF" w:rsidP="00287CCF">
      <w:pPr>
        <w:ind w:left="720"/>
        <w:rPr>
          <w:sz w:val="24"/>
        </w:rPr>
      </w:pPr>
    </w:p>
    <w:p w:rsidR="00415D89" w:rsidRDefault="001B370B" w:rsidP="00104F5F">
      <w:pPr>
        <w:ind w:left="360"/>
        <w:rPr>
          <w:sz w:val="24"/>
        </w:rPr>
      </w:pPr>
      <w:r>
        <w:rPr>
          <w:sz w:val="24"/>
        </w:rPr>
        <w:t>The mortgages are non-recourse and the senior citizen will owe no more than the appraised value of their home should they sell the property in the future.  HUD insures these loans to assure mortgagees that they will be able to recover their investment in the loan upon termination.  As with forward mortgage loans, HECM loans also become due and payable</w:t>
      </w:r>
      <w:r w:rsidR="0071115C">
        <w:rPr>
          <w:sz w:val="24"/>
        </w:rPr>
        <w:t xml:space="preserve"> upon certain events</w:t>
      </w:r>
      <w:r>
        <w:rPr>
          <w:sz w:val="24"/>
        </w:rPr>
        <w:t xml:space="preserve">.  </w:t>
      </w:r>
      <w:r w:rsidR="00415D89">
        <w:rPr>
          <w:sz w:val="24"/>
        </w:rPr>
        <w:t>Under certain circumstances the mortgagee may assign the mortgage to HUD and file an assignment claim.  Additionally, t</w:t>
      </w:r>
      <w:r>
        <w:rPr>
          <w:sz w:val="24"/>
        </w:rPr>
        <w:t xml:space="preserve">he mortgagee may file a claim for </w:t>
      </w:r>
      <w:r w:rsidR="00415D89">
        <w:rPr>
          <w:sz w:val="24"/>
        </w:rPr>
        <w:t>a shortfall when; the mortgagor sells the property for the current market value which may be less than the mortgage balance, or the mortgagee takes title and there is a shortfall between either the sales proceeds or the appraised value, (where the mortgagee is unable to sell the property).</w:t>
      </w:r>
    </w:p>
    <w:p w:rsidR="0016332D" w:rsidRDefault="0016332D" w:rsidP="00104F5F">
      <w:pPr>
        <w:ind w:left="360"/>
        <w:rPr>
          <w:sz w:val="24"/>
        </w:rPr>
      </w:pPr>
    </w:p>
    <w:p w:rsidR="000611A6" w:rsidRPr="001351C6" w:rsidRDefault="000611A6" w:rsidP="001351C6">
      <w:pPr>
        <w:rPr>
          <w:b/>
          <w:sz w:val="24"/>
        </w:rPr>
      </w:pPr>
    </w:p>
    <w:p w:rsidR="00AA4FEA" w:rsidRDefault="00672004">
      <w:pPr>
        <w:keepLines/>
        <w:tabs>
          <w:tab w:val="left" w:pos="360"/>
        </w:tabs>
        <w:ind w:left="360" w:hanging="360"/>
        <w:rPr>
          <w:sz w:val="24"/>
        </w:rPr>
      </w:pPr>
      <w:r>
        <w:rPr>
          <w:color w:val="000000"/>
          <w:sz w:val="24"/>
        </w:rPr>
        <w:lastRenderedPageBreak/>
        <w:t>3.</w:t>
      </w:r>
      <w:r>
        <w:rPr>
          <w:color w:val="000000"/>
          <w:sz w:val="24"/>
        </w:rPr>
        <w:tab/>
        <w:t>Mortgagees, consist of major industry mortgage loan lenders and servicers in addition to medium and smaller size mortgagees.  However, the one thing they have in common is an automated mortgage loan servicing that has the capability of servicing various types of loans and investors.  HUD information is routinely gathered and reported to HUD, generally on a monthly basis through HUD’s electronic systems.  HUD has not mandated any hardcopy or electronic format for collecting and maintaining the records.  The information is to be kept with similar mortgagee documentation and submitted to HUD only if requested as a part of a review.  Mortgagees have the option to maintain mortgage loan documents in electronic or imaged format as long as hard copies can be printed and provided to HUD within 24 hours of the request, depending upon the documentation requested.</w:t>
      </w:r>
    </w:p>
    <w:p w:rsidR="00AA4FEA" w:rsidRDefault="00AA4FEA">
      <w:pPr>
        <w:keepLines/>
        <w:tabs>
          <w:tab w:val="left" w:pos="360"/>
        </w:tabs>
        <w:ind w:left="360" w:hanging="360"/>
        <w:rPr>
          <w:sz w:val="24"/>
        </w:rPr>
      </w:pPr>
    </w:p>
    <w:p w:rsidR="00672004" w:rsidRDefault="00AA4FEA">
      <w:pPr>
        <w:keepLines/>
        <w:tabs>
          <w:tab w:val="left" w:pos="360"/>
        </w:tabs>
        <w:ind w:left="360" w:hanging="360"/>
        <w:rPr>
          <w:sz w:val="24"/>
        </w:rPr>
      </w:pPr>
      <w:r>
        <w:rPr>
          <w:sz w:val="24"/>
        </w:rPr>
        <w:tab/>
        <w:t xml:space="preserve">HUD employs contractors known as </w:t>
      </w:r>
      <w:r w:rsidR="00883713">
        <w:rPr>
          <w:sz w:val="24"/>
        </w:rPr>
        <w:t>Asset Managers</w:t>
      </w:r>
      <w:r>
        <w:rPr>
          <w:sz w:val="24"/>
        </w:rPr>
        <w:t xml:space="preserve"> to provid</w:t>
      </w:r>
      <w:r w:rsidR="00883713">
        <w:rPr>
          <w:sz w:val="24"/>
        </w:rPr>
        <w:t xml:space="preserve">e </w:t>
      </w:r>
      <w:proofErr w:type="gramStart"/>
      <w:r w:rsidR="00883713">
        <w:rPr>
          <w:sz w:val="24"/>
        </w:rPr>
        <w:t>services,</w:t>
      </w:r>
      <w:proofErr w:type="gramEnd"/>
      <w:r w:rsidR="00883713">
        <w:rPr>
          <w:sz w:val="24"/>
        </w:rPr>
        <w:t xml:space="preserve"> </w:t>
      </w:r>
      <w:r>
        <w:rPr>
          <w:sz w:val="24"/>
        </w:rPr>
        <w:t>to literally manage and market HUD REO’s to the private sector.</w:t>
      </w:r>
    </w:p>
    <w:p w:rsidR="00672004" w:rsidRDefault="00672004">
      <w:pPr>
        <w:tabs>
          <w:tab w:val="left" w:pos="360"/>
        </w:tabs>
        <w:ind w:left="360" w:hanging="360"/>
        <w:rPr>
          <w:color w:val="000000"/>
          <w:sz w:val="24"/>
        </w:rPr>
      </w:pPr>
    </w:p>
    <w:p w:rsidR="00672004" w:rsidRDefault="00672004">
      <w:pPr>
        <w:keepLines/>
        <w:tabs>
          <w:tab w:val="left" w:pos="360"/>
        </w:tabs>
        <w:ind w:left="360" w:hanging="360"/>
        <w:rPr>
          <w:color w:val="000000"/>
          <w:sz w:val="24"/>
        </w:rPr>
      </w:pPr>
      <w:r>
        <w:rPr>
          <w:color w:val="000000"/>
          <w:sz w:val="24"/>
        </w:rPr>
        <w:t>4.</w:t>
      </w:r>
      <w:r>
        <w:rPr>
          <w:color w:val="000000"/>
          <w:sz w:val="24"/>
        </w:rPr>
        <w:tab/>
        <w:t>There is no duplication of information.  Mortgagors routinely document mortgage loan servicing efforts as a part of their own loan servicing and internal quality control procedures.  HUD will accept the various formats already in use by mortgagees as long as the information is complete.</w:t>
      </w:r>
    </w:p>
    <w:p w:rsidR="00672004" w:rsidRDefault="00672004">
      <w:pPr>
        <w:tabs>
          <w:tab w:val="left" w:pos="360"/>
        </w:tabs>
        <w:ind w:left="360" w:hanging="360"/>
        <w:rPr>
          <w:color w:val="000000"/>
          <w:sz w:val="24"/>
        </w:rPr>
      </w:pPr>
    </w:p>
    <w:p w:rsidR="00672004" w:rsidRDefault="00672004">
      <w:pPr>
        <w:keepLines/>
        <w:numPr>
          <w:ilvl w:val="0"/>
          <w:numId w:val="22"/>
        </w:numPr>
        <w:tabs>
          <w:tab w:val="clear" w:pos="720"/>
        </w:tabs>
        <w:ind w:left="360"/>
        <w:rPr>
          <w:color w:val="000000"/>
          <w:sz w:val="24"/>
        </w:rPr>
      </w:pPr>
      <w:r>
        <w:rPr>
          <w:color w:val="000000"/>
          <w:sz w:val="24"/>
        </w:rPr>
        <w:t>The collection of this information will not have a significant impact on a substantial number of small businesses.</w:t>
      </w:r>
    </w:p>
    <w:p w:rsidR="00672004" w:rsidRDefault="00672004">
      <w:pPr>
        <w:keepLines/>
        <w:tabs>
          <w:tab w:val="left" w:pos="360"/>
        </w:tabs>
        <w:rPr>
          <w:color w:val="000000"/>
          <w:sz w:val="24"/>
        </w:rPr>
      </w:pPr>
    </w:p>
    <w:p w:rsidR="00672004" w:rsidRDefault="00672004">
      <w:pPr>
        <w:pStyle w:val="BodyTextIndent"/>
        <w:keepLines/>
        <w:tabs>
          <w:tab w:val="clear" w:pos="360"/>
        </w:tabs>
        <w:overflowPunct w:val="0"/>
        <w:spacing w:line="240" w:lineRule="auto"/>
        <w:textAlignment w:val="baseline"/>
      </w:pPr>
      <w:r>
        <w:t>6.   This PRA does not add to mortgagee reporting or record keeping burdens, as this information is already routinely maintained for internal and other purposes.  The mortgage servicing industry has standardized at least 95% of the functions involved with servicing FHA-insured mortgage loans.  The Department has worked in concert with the mortgage loan industry to establish regulations to benefit the mortgagor and our goals.</w:t>
      </w:r>
    </w:p>
    <w:p w:rsidR="00672004" w:rsidRDefault="00672004">
      <w:pPr>
        <w:pStyle w:val="BodyTextIndent"/>
        <w:keepLines/>
        <w:tabs>
          <w:tab w:val="clear" w:pos="360"/>
        </w:tabs>
        <w:overflowPunct w:val="0"/>
        <w:spacing w:line="240" w:lineRule="auto"/>
        <w:ind w:left="0" w:firstLine="0"/>
        <w:textAlignment w:val="baseline"/>
      </w:pPr>
    </w:p>
    <w:p w:rsidR="00672004" w:rsidRDefault="00672004">
      <w:pPr>
        <w:pStyle w:val="BodyTextIndent"/>
        <w:keepLines/>
        <w:tabs>
          <w:tab w:val="clear" w:pos="360"/>
        </w:tabs>
        <w:overflowPunct w:val="0"/>
        <w:spacing w:line="240" w:lineRule="auto"/>
        <w:ind w:firstLine="0"/>
        <w:textAlignment w:val="baseline"/>
      </w:pPr>
      <w:r>
        <w:t xml:space="preserve">Monthly reporting of delinquencies and claims by mortgagees is required to evaluate the health of the mortgage lending industry, and whether the mortgagee has performed adequate and prudent mortgage loan servicing as compared to other firms in their peer group.   </w:t>
      </w:r>
    </w:p>
    <w:p w:rsidR="00672004" w:rsidRDefault="00672004">
      <w:pPr>
        <w:pStyle w:val="BodyTextIndent"/>
        <w:keepLines/>
        <w:tabs>
          <w:tab w:val="clear" w:pos="360"/>
        </w:tabs>
        <w:overflowPunct w:val="0"/>
        <w:spacing w:line="240" w:lineRule="auto"/>
        <w:ind w:left="0" w:firstLine="0"/>
        <w:textAlignment w:val="baseline"/>
      </w:pPr>
    </w:p>
    <w:p w:rsidR="00672004" w:rsidRDefault="00672004">
      <w:pPr>
        <w:pStyle w:val="BodyTextIndent"/>
        <w:keepLines/>
        <w:tabs>
          <w:tab w:val="clear" w:pos="360"/>
        </w:tabs>
        <w:overflowPunct w:val="0"/>
        <w:spacing w:line="240" w:lineRule="auto"/>
        <w:ind w:firstLine="0"/>
        <w:textAlignment w:val="baseline"/>
      </w:pPr>
      <w:r>
        <w:t xml:space="preserve">FHA insurance is an important source of mortgage credit for low and moderate-income borrowers and neighborhoods.  Providing assistance, as needed, to enable families to cure their delinquencies and retain their homes stabilizes neighborhoods that might otherwise suffer from deterioration and problems associated with vacant and abandoned properties.  Avoidance of foreclosure and the resultant costs also serve to further stabilize the mortgage insurance premiums charged by FHA and the Federal budget receipts generated from those premiums.  </w:t>
      </w:r>
    </w:p>
    <w:p w:rsidR="00672004" w:rsidRDefault="00672004">
      <w:pPr>
        <w:tabs>
          <w:tab w:val="left" w:pos="360"/>
        </w:tabs>
        <w:ind w:left="360" w:hanging="360"/>
        <w:rPr>
          <w:color w:val="000000"/>
          <w:sz w:val="24"/>
        </w:rPr>
      </w:pPr>
    </w:p>
    <w:p w:rsidR="00672004" w:rsidRDefault="00672004">
      <w:pPr>
        <w:tabs>
          <w:tab w:val="left" w:pos="360"/>
        </w:tabs>
        <w:overflowPunct/>
        <w:ind w:left="360" w:hanging="360"/>
        <w:textAlignment w:val="auto"/>
        <w:rPr>
          <w:sz w:val="24"/>
        </w:rPr>
      </w:pPr>
      <w:r>
        <w:rPr>
          <w:sz w:val="24"/>
        </w:rPr>
        <w:t>7.</w:t>
      </w:r>
      <w:r>
        <w:rPr>
          <w:sz w:val="24"/>
        </w:rPr>
        <w:tab/>
        <w:t>The mortgage industry and the FHA loan program provides for a loss mitigation evaluation no later than 90 days from the date of the first unpaid installment.  The mortgage industry and HUD regulations define time periods for reporting to HUD delinquent FHA-insured mortgage loans and to perform an evaluation every 30 days, while the mortgage loans are delinquent and in default.  Mortgagees are required to maintain and store FHA-insured mortgage loan for a period of three years after maturity, termination or claim payment.</w:t>
      </w:r>
    </w:p>
    <w:p w:rsidR="00672004" w:rsidRDefault="00672004">
      <w:pPr>
        <w:tabs>
          <w:tab w:val="left" w:pos="360"/>
        </w:tabs>
        <w:rPr>
          <w:sz w:val="24"/>
        </w:rPr>
      </w:pPr>
    </w:p>
    <w:p w:rsidR="00036DD4" w:rsidRPr="00071390" w:rsidRDefault="008808E5" w:rsidP="00071390">
      <w:pPr>
        <w:numPr>
          <w:ilvl w:val="0"/>
          <w:numId w:val="26"/>
        </w:numPr>
        <w:rPr>
          <w:color w:val="000000"/>
          <w:sz w:val="24"/>
        </w:rPr>
      </w:pPr>
      <w:r w:rsidRPr="00071390">
        <w:rPr>
          <w:color w:val="000000"/>
          <w:sz w:val="24"/>
        </w:rPr>
        <w:t xml:space="preserve">In accordance with 5 CFR 1320.8(d), this information collection soliciting public comments was announced in the </w:t>
      </w:r>
      <w:r w:rsidRPr="00071390">
        <w:rPr>
          <w:i/>
          <w:iCs/>
          <w:color w:val="000000"/>
          <w:sz w:val="24"/>
        </w:rPr>
        <w:t>Federal Register</w:t>
      </w:r>
      <w:r w:rsidRPr="00071390">
        <w:rPr>
          <w:color w:val="000000"/>
          <w:sz w:val="24"/>
        </w:rPr>
        <w:t xml:space="preserve"> on</w:t>
      </w:r>
      <w:r w:rsidR="00326025" w:rsidRPr="00071390">
        <w:rPr>
          <w:rFonts w:ascii="Melior" w:hAnsi="Melior" w:cs="Melior"/>
        </w:rPr>
        <w:t xml:space="preserve"> </w:t>
      </w:r>
      <w:r w:rsidR="00071390" w:rsidRPr="00071390">
        <w:rPr>
          <w:rFonts w:ascii="Melior" w:hAnsi="Melior" w:cs="Melior"/>
        </w:rPr>
        <w:t>November 12, 2013</w:t>
      </w:r>
      <w:r w:rsidR="00071390" w:rsidRPr="00071390">
        <w:rPr>
          <w:rFonts w:ascii="Melior" w:hAnsi="Melior" w:cs="Melior"/>
        </w:rPr>
        <w:t xml:space="preserve"> </w:t>
      </w:r>
      <w:r w:rsidR="00071390" w:rsidRPr="00071390">
        <w:rPr>
          <w:sz w:val="24"/>
          <w:szCs w:val="24"/>
        </w:rPr>
        <w:t>Vol. 78, No. 218</w:t>
      </w:r>
      <w:r w:rsidR="004E2068" w:rsidRPr="00071390">
        <w:rPr>
          <w:sz w:val="24"/>
          <w:szCs w:val="24"/>
        </w:rPr>
        <w:t xml:space="preserve">  page </w:t>
      </w:r>
      <w:r w:rsidR="00071390" w:rsidRPr="00071390">
        <w:rPr>
          <w:bCs/>
          <w:sz w:val="24"/>
          <w:szCs w:val="24"/>
        </w:rPr>
        <w:t>67384</w:t>
      </w:r>
      <w:r w:rsidR="00833946" w:rsidRPr="00071390">
        <w:rPr>
          <w:sz w:val="24"/>
          <w:szCs w:val="24"/>
        </w:rPr>
        <w:t xml:space="preserve">.  </w:t>
      </w:r>
      <w:proofErr w:type="gramStart"/>
      <w:r w:rsidR="00071390" w:rsidRPr="00071390">
        <w:rPr>
          <w:sz w:val="24"/>
          <w:szCs w:val="24"/>
        </w:rPr>
        <w:t xml:space="preserve">No </w:t>
      </w:r>
      <w:r w:rsidR="00833946" w:rsidRPr="00071390">
        <w:rPr>
          <w:sz w:val="24"/>
          <w:szCs w:val="24"/>
        </w:rPr>
        <w:t xml:space="preserve"> comments</w:t>
      </w:r>
      <w:proofErr w:type="gramEnd"/>
      <w:r w:rsidR="00071390" w:rsidRPr="00071390">
        <w:rPr>
          <w:sz w:val="24"/>
          <w:szCs w:val="24"/>
        </w:rPr>
        <w:t xml:space="preserve"> were received. </w:t>
      </w:r>
    </w:p>
    <w:p w:rsidR="00071390" w:rsidRDefault="00071390">
      <w:pPr>
        <w:tabs>
          <w:tab w:val="left" w:pos="360"/>
        </w:tabs>
        <w:ind w:left="360" w:hanging="360"/>
        <w:rPr>
          <w:color w:val="000000"/>
          <w:sz w:val="24"/>
        </w:rPr>
      </w:pPr>
    </w:p>
    <w:p w:rsidR="00672004" w:rsidRPr="00CF1409" w:rsidRDefault="008808E5">
      <w:pPr>
        <w:tabs>
          <w:tab w:val="left" w:pos="360"/>
        </w:tabs>
        <w:ind w:left="360" w:hanging="360"/>
        <w:rPr>
          <w:sz w:val="24"/>
        </w:rPr>
      </w:pPr>
      <w:r>
        <w:rPr>
          <w:color w:val="000000"/>
          <w:sz w:val="24"/>
        </w:rPr>
        <w:tab/>
      </w:r>
      <w:r w:rsidR="00672004">
        <w:rPr>
          <w:color w:val="000000"/>
          <w:sz w:val="24"/>
        </w:rPr>
        <w:t xml:space="preserve">The ability to provide the information required by this process and the use of the information is discussed with the mortgage loan industry on a continuing basis at yearly functions, meetings and personal contact by various HUD staff and managers.  </w:t>
      </w:r>
      <w:r w:rsidR="00CF1409" w:rsidRPr="00CF1409">
        <w:rPr>
          <w:sz w:val="24"/>
        </w:rPr>
        <w:t>Additionally, HUD utilizes numerous electronic reporting systems to collect data from the mortgage loan industry</w:t>
      </w:r>
      <w:r w:rsidR="00CF1409">
        <w:rPr>
          <w:sz w:val="24"/>
        </w:rPr>
        <w:t xml:space="preserve"> </w:t>
      </w:r>
      <w:r w:rsidR="00BC6F5E">
        <w:rPr>
          <w:sz w:val="24"/>
        </w:rPr>
        <w:t xml:space="preserve">through existing OMB </w:t>
      </w:r>
      <w:r w:rsidR="00CF1409">
        <w:rPr>
          <w:sz w:val="24"/>
        </w:rPr>
        <w:t>approve</w:t>
      </w:r>
      <w:r w:rsidR="00BC6F5E">
        <w:rPr>
          <w:sz w:val="24"/>
        </w:rPr>
        <w:t>d</w:t>
      </w:r>
      <w:r w:rsidR="00CF1409">
        <w:rPr>
          <w:sz w:val="24"/>
        </w:rPr>
        <w:t xml:space="preserve"> data colle</w:t>
      </w:r>
      <w:r w:rsidR="00BC6F5E">
        <w:rPr>
          <w:sz w:val="24"/>
        </w:rPr>
        <w:t>ctions</w:t>
      </w:r>
      <w:r w:rsidR="00CF1409" w:rsidRPr="00CF1409">
        <w:rPr>
          <w:sz w:val="24"/>
        </w:rPr>
        <w:t xml:space="preserve">.  This data </w:t>
      </w:r>
      <w:r w:rsidR="00CF1409" w:rsidRPr="00CF1409">
        <w:rPr>
          <w:sz w:val="24"/>
        </w:rPr>
        <w:lastRenderedPageBreak/>
        <w:t>establishes numbers and volumes for the mortgage industry’s various activities.  Ad hoc reports may be created by compiling the data that is reported to HUD.</w:t>
      </w:r>
      <w:r w:rsidR="00CF1409">
        <w:rPr>
          <w:sz w:val="24"/>
        </w:rPr>
        <w:t xml:space="preserve">  </w:t>
      </w:r>
    </w:p>
    <w:p w:rsidR="00672004" w:rsidRDefault="00672004">
      <w:pPr>
        <w:tabs>
          <w:tab w:val="left" w:pos="360"/>
        </w:tabs>
        <w:ind w:left="360" w:hanging="360"/>
        <w:rPr>
          <w:color w:val="000000"/>
          <w:sz w:val="24"/>
        </w:rPr>
      </w:pPr>
    </w:p>
    <w:p w:rsidR="00672004" w:rsidRDefault="00672004">
      <w:pPr>
        <w:keepLines/>
        <w:tabs>
          <w:tab w:val="left" w:pos="360"/>
        </w:tabs>
        <w:ind w:left="360" w:hanging="360"/>
        <w:rPr>
          <w:color w:val="000000"/>
          <w:sz w:val="24"/>
        </w:rPr>
      </w:pPr>
      <w:r>
        <w:rPr>
          <w:color w:val="000000"/>
          <w:sz w:val="24"/>
        </w:rPr>
        <w:t>9.</w:t>
      </w:r>
      <w:r>
        <w:rPr>
          <w:color w:val="000000"/>
          <w:sz w:val="24"/>
        </w:rPr>
        <w:tab/>
        <w:t xml:space="preserve">This PRA and the collection of information does provide incentives to the mortgagee for various reinstatement options </w:t>
      </w:r>
      <w:r>
        <w:rPr>
          <w:sz w:val="24"/>
        </w:rPr>
        <w:t xml:space="preserve">which includes; special forbearance </w:t>
      </w:r>
      <w:r w:rsidR="00C57E8A">
        <w:rPr>
          <w:sz w:val="24"/>
        </w:rPr>
        <w:t>of $100, loan modification of $750 and partial claim of $</w:t>
      </w:r>
      <w:r>
        <w:rPr>
          <w:sz w:val="24"/>
        </w:rPr>
        <w:t>5</w:t>
      </w:r>
      <w:r w:rsidR="00C57E8A">
        <w:rPr>
          <w:sz w:val="24"/>
        </w:rPr>
        <w:t>0</w:t>
      </w:r>
      <w:r>
        <w:rPr>
          <w:sz w:val="24"/>
        </w:rPr>
        <w:t>0, pre-foreclosure sale of $1,000 and deed-in-lieu of foreclosure $250.</w:t>
      </w:r>
    </w:p>
    <w:p w:rsidR="00672004" w:rsidRDefault="00672004">
      <w:pPr>
        <w:tabs>
          <w:tab w:val="left" w:pos="360"/>
        </w:tabs>
        <w:ind w:left="360" w:hanging="360"/>
        <w:rPr>
          <w:color w:val="000000"/>
          <w:sz w:val="24"/>
        </w:rPr>
      </w:pPr>
    </w:p>
    <w:p w:rsidR="00672004" w:rsidRDefault="00672004">
      <w:pPr>
        <w:keepLines/>
        <w:tabs>
          <w:tab w:val="left" w:pos="360"/>
        </w:tabs>
        <w:ind w:left="360" w:hanging="360"/>
        <w:rPr>
          <w:color w:val="000000"/>
          <w:sz w:val="24"/>
        </w:rPr>
      </w:pPr>
      <w:r>
        <w:rPr>
          <w:color w:val="000000"/>
          <w:sz w:val="24"/>
        </w:rPr>
        <w:t>10.</w:t>
      </w:r>
      <w:r>
        <w:rPr>
          <w:color w:val="000000"/>
          <w:sz w:val="24"/>
        </w:rPr>
        <w:tab/>
        <w:t>The Privacy Act of 1974 protects respondents who meet the information reporting requirements.  There are not other pledges of confidentiality.</w:t>
      </w:r>
    </w:p>
    <w:p w:rsidR="00672004" w:rsidRDefault="00672004">
      <w:pPr>
        <w:tabs>
          <w:tab w:val="left" w:pos="360"/>
        </w:tabs>
        <w:ind w:left="360" w:hanging="360"/>
        <w:rPr>
          <w:color w:val="000000"/>
          <w:sz w:val="24"/>
        </w:rPr>
      </w:pPr>
    </w:p>
    <w:p w:rsidR="00672004" w:rsidRDefault="00672004">
      <w:pPr>
        <w:keepLines/>
        <w:tabs>
          <w:tab w:val="left" w:pos="360"/>
          <w:tab w:val="left" w:pos="720"/>
        </w:tabs>
        <w:ind w:left="360" w:hanging="360"/>
        <w:rPr>
          <w:color w:val="000000"/>
          <w:sz w:val="24"/>
        </w:rPr>
      </w:pPr>
      <w:r>
        <w:rPr>
          <w:color w:val="000000"/>
          <w:sz w:val="24"/>
        </w:rPr>
        <w:t>11.</w:t>
      </w:r>
      <w:r>
        <w:rPr>
          <w:color w:val="000000"/>
          <w:sz w:val="24"/>
        </w:rPr>
        <w:tab/>
        <w:t>The information collection does not contain any questions of a sensitive nature.</w:t>
      </w:r>
    </w:p>
    <w:p w:rsidR="00672004" w:rsidRDefault="00672004">
      <w:pPr>
        <w:pStyle w:val="BodyTextIndent"/>
        <w:keepLines/>
        <w:tabs>
          <w:tab w:val="left" w:pos="720"/>
        </w:tabs>
        <w:overflowPunct w:val="0"/>
        <w:spacing w:line="240" w:lineRule="auto"/>
        <w:textAlignment w:val="baseline"/>
        <w:rPr>
          <w:color w:val="auto"/>
        </w:rPr>
      </w:pPr>
    </w:p>
    <w:p w:rsidR="00672004" w:rsidRDefault="00672004">
      <w:pPr>
        <w:pStyle w:val="BodyTextIndent"/>
        <w:keepLines/>
        <w:tabs>
          <w:tab w:val="left" w:pos="720"/>
        </w:tabs>
        <w:overflowPunct w:val="0"/>
        <w:spacing w:line="240" w:lineRule="auto"/>
        <w:textAlignment w:val="baseline"/>
        <w:rPr>
          <w:color w:val="auto"/>
        </w:rPr>
      </w:pPr>
      <w:r>
        <w:rPr>
          <w:color w:val="auto"/>
        </w:rPr>
        <w:t>12.</w:t>
      </w:r>
      <w:r>
        <w:rPr>
          <w:color w:val="auto"/>
        </w:rPr>
        <w:tab/>
        <w:t>Estimated Burden and Cost to Respondents:</w:t>
      </w:r>
    </w:p>
    <w:p w:rsidR="00672004" w:rsidRDefault="00DE286C">
      <w:pPr>
        <w:pStyle w:val="OmniPage267"/>
        <w:ind w:left="0"/>
        <w:rPr>
          <w:color w:val="000000"/>
          <w:sz w:val="24"/>
        </w:rPr>
      </w:pPr>
      <w:r>
        <w:rPr>
          <w:color w:val="000000"/>
          <w:sz w:val="24"/>
        </w:rPr>
        <w:br w:type="page"/>
      </w:r>
    </w:p>
    <w:p w:rsidR="00672004" w:rsidRDefault="00672004">
      <w:pPr>
        <w:pStyle w:val="OmniPage267"/>
        <w:ind w:left="0"/>
        <w:rPr>
          <w:b/>
          <w:bCs/>
          <w:color w:val="000000"/>
          <w:sz w:val="24"/>
        </w:rPr>
      </w:pPr>
      <w:r>
        <w:rPr>
          <w:b/>
          <w:bCs/>
          <w:color w:val="000000"/>
          <w:sz w:val="24"/>
        </w:rPr>
        <w:lastRenderedPageBreak/>
        <w:t>CLAIMS AND CONVEYANCES</w:t>
      </w:r>
    </w:p>
    <w:p w:rsidR="00672004" w:rsidRDefault="00672004">
      <w:pPr>
        <w:pStyle w:val="OmniPage267"/>
        <w:ind w:left="0"/>
        <w:rPr>
          <w:color w:val="000000"/>
          <w:sz w:val="24"/>
        </w:rPr>
      </w:pPr>
    </w:p>
    <w:tbl>
      <w:tblPr>
        <w:tblW w:w="1086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1312"/>
        <w:gridCol w:w="1036"/>
        <w:gridCol w:w="1121"/>
        <w:gridCol w:w="1155"/>
        <w:gridCol w:w="1169"/>
        <w:gridCol w:w="1164"/>
        <w:gridCol w:w="1116"/>
      </w:tblGrid>
      <w:tr w:rsidR="00672004" w:rsidTr="00BB1090">
        <w:tc>
          <w:tcPr>
            <w:tcW w:w="2791" w:type="dxa"/>
            <w:tcBorders>
              <w:bottom w:val="single" w:sz="4" w:space="0" w:color="auto"/>
            </w:tcBorders>
            <w:vAlign w:val="center"/>
          </w:tcPr>
          <w:p w:rsidR="00672004" w:rsidRDefault="00672004">
            <w:pPr>
              <w:jc w:val="center"/>
              <w:rPr>
                <w:b/>
                <w:bCs/>
                <w:color w:val="000000"/>
                <w:sz w:val="18"/>
              </w:rPr>
            </w:pPr>
            <w:r>
              <w:rPr>
                <w:b/>
                <w:bCs/>
                <w:color w:val="000000"/>
                <w:sz w:val="18"/>
              </w:rPr>
              <w:t>Information Collection</w:t>
            </w:r>
          </w:p>
        </w:tc>
        <w:tc>
          <w:tcPr>
            <w:tcW w:w="1312" w:type="dxa"/>
            <w:tcBorders>
              <w:bottom w:val="single" w:sz="4" w:space="0" w:color="auto"/>
            </w:tcBorders>
            <w:vAlign w:val="center"/>
          </w:tcPr>
          <w:p w:rsidR="00672004" w:rsidRDefault="00672004">
            <w:pPr>
              <w:jc w:val="center"/>
              <w:rPr>
                <w:b/>
                <w:bCs/>
                <w:color w:val="000000"/>
                <w:sz w:val="18"/>
              </w:rPr>
            </w:pPr>
            <w:r>
              <w:rPr>
                <w:b/>
                <w:bCs/>
                <w:color w:val="000000"/>
                <w:sz w:val="18"/>
              </w:rPr>
              <w:t>Number of Respondents</w:t>
            </w:r>
          </w:p>
        </w:tc>
        <w:tc>
          <w:tcPr>
            <w:tcW w:w="1036" w:type="dxa"/>
            <w:tcBorders>
              <w:bottom w:val="single" w:sz="4" w:space="0" w:color="auto"/>
            </w:tcBorders>
            <w:vAlign w:val="center"/>
          </w:tcPr>
          <w:p w:rsidR="00672004" w:rsidRDefault="00672004">
            <w:pPr>
              <w:jc w:val="center"/>
              <w:rPr>
                <w:b/>
                <w:bCs/>
                <w:color w:val="000000"/>
                <w:sz w:val="18"/>
              </w:rPr>
            </w:pPr>
            <w:r>
              <w:rPr>
                <w:b/>
                <w:bCs/>
                <w:color w:val="000000"/>
                <w:sz w:val="18"/>
              </w:rPr>
              <w:t>Frequency of Response</w:t>
            </w:r>
          </w:p>
        </w:tc>
        <w:tc>
          <w:tcPr>
            <w:tcW w:w="1121" w:type="dxa"/>
            <w:tcBorders>
              <w:bottom w:val="single" w:sz="4" w:space="0" w:color="auto"/>
            </w:tcBorders>
            <w:vAlign w:val="center"/>
          </w:tcPr>
          <w:p w:rsidR="00672004" w:rsidRDefault="00672004">
            <w:pPr>
              <w:jc w:val="center"/>
              <w:rPr>
                <w:b/>
                <w:bCs/>
                <w:color w:val="000000"/>
                <w:sz w:val="18"/>
              </w:rPr>
            </w:pPr>
            <w:r>
              <w:rPr>
                <w:b/>
                <w:bCs/>
                <w:color w:val="000000"/>
                <w:sz w:val="18"/>
              </w:rPr>
              <w:t>Responses Per Annum</w:t>
            </w:r>
          </w:p>
        </w:tc>
        <w:tc>
          <w:tcPr>
            <w:tcW w:w="1155" w:type="dxa"/>
            <w:tcBorders>
              <w:bottom w:val="single" w:sz="4" w:space="0" w:color="auto"/>
            </w:tcBorders>
            <w:vAlign w:val="center"/>
          </w:tcPr>
          <w:p w:rsidR="00672004" w:rsidRDefault="00672004">
            <w:pPr>
              <w:jc w:val="center"/>
              <w:rPr>
                <w:b/>
                <w:bCs/>
                <w:color w:val="000000"/>
                <w:sz w:val="18"/>
              </w:rPr>
            </w:pPr>
            <w:r>
              <w:rPr>
                <w:b/>
                <w:bCs/>
                <w:color w:val="000000"/>
                <w:sz w:val="18"/>
              </w:rPr>
              <w:t>Burden Hour Per Response</w:t>
            </w:r>
          </w:p>
        </w:tc>
        <w:tc>
          <w:tcPr>
            <w:tcW w:w="1169" w:type="dxa"/>
            <w:tcBorders>
              <w:bottom w:val="single" w:sz="4" w:space="0" w:color="auto"/>
            </w:tcBorders>
            <w:vAlign w:val="center"/>
          </w:tcPr>
          <w:p w:rsidR="00672004" w:rsidRDefault="00672004">
            <w:pPr>
              <w:jc w:val="center"/>
              <w:rPr>
                <w:b/>
                <w:bCs/>
                <w:color w:val="000000"/>
                <w:sz w:val="18"/>
              </w:rPr>
            </w:pPr>
            <w:r>
              <w:rPr>
                <w:b/>
                <w:bCs/>
                <w:color w:val="000000"/>
                <w:sz w:val="18"/>
              </w:rPr>
              <w:t>Annual Burden Hours</w:t>
            </w:r>
          </w:p>
        </w:tc>
        <w:tc>
          <w:tcPr>
            <w:tcW w:w="1164" w:type="dxa"/>
            <w:tcBorders>
              <w:bottom w:val="single" w:sz="4" w:space="0" w:color="auto"/>
            </w:tcBorders>
            <w:vAlign w:val="center"/>
          </w:tcPr>
          <w:p w:rsidR="00672004" w:rsidRDefault="00672004">
            <w:pPr>
              <w:jc w:val="center"/>
              <w:rPr>
                <w:b/>
                <w:bCs/>
                <w:color w:val="000000"/>
                <w:sz w:val="18"/>
              </w:rPr>
            </w:pPr>
            <w:r>
              <w:rPr>
                <w:b/>
                <w:bCs/>
                <w:color w:val="000000"/>
                <w:sz w:val="18"/>
              </w:rPr>
              <w:t>Hourly Cost Per Response</w:t>
            </w:r>
          </w:p>
        </w:tc>
        <w:tc>
          <w:tcPr>
            <w:tcW w:w="1116" w:type="dxa"/>
            <w:tcBorders>
              <w:bottom w:val="single" w:sz="4" w:space="0" w:color="auto"/>
            </w:tcBorders>
            <w:vAlign w:val="center"/>
          </w:tcPr>
          <w:p w:rsidR="00672004" w:rsidRDefault="00672004">
            <w:pPr>
              <w:jc w:val="center"/>
              <w:rPr>
                <w:b/>
                <w:bCs/>
                <w:color w:val="000000"/>
                <w:sz w:val="18"/>
              </w:rPr>
            </w:pPr>
            <w:r>
              <w:rPr>
                <w:b/>
                <w:bCs/>
                <w:color w:val="000000"/>
                <w:sz w:val="18"/>
              </w:rPr>
              <w:t>Annual Cost</w:t>
            </w:r>
          </w:p>
        </w:tc>
      </w:tr>
      <w:tr w:rsidR="00672004" w:rsidTr="00BB1090">
        <w:trPr>
          <w:trHeight w:val="275"/>
        </w:trPr>
        <w:tc>
          <w:tcPr>
            <w:tcW w:w="2791" w:type="dxa"/>
            <w:tcBorders>
              <w:bottom w:val="single" w:sz="4" w:space="0" w:color="auto"/>
            </w:tcBorders>
            <w:shd w:val="clear" w:color="auto" w:fill="B3B3B3"/>
            <w:vAlign w:val="center"/>
          </w:tcPr>
          <w:p w:rsidR="00672004" w:rsidRDefault="00672004">
            <w:pPr>
              <w:pStyle w:val="Heading9"/>
              <w:rPr>
                <w:sz w:val="20"/>
              </w:rPr>
            </w:pPr>
            <w:r>
              <w:rPr>
                <w:sz w:val="20"/>
              </w:rPr>
              <w:t>Claims and Conveyances</w:t>
            </w:r>
          </w:p>
        </w:tc>
        <w:tc>
          <w:tcPr>
            <w:tcW w:w="1312" w:type="dxa"/>
            <w:tcBorders>
              <w:bottom w:val="single" w:sz="4" w:space="0" w:color="auto"/>
            </w:tcBorders>
            <w:shd w:val="clear" w:color="auto" w:fill="B3B3B3"/>
            <w:vAlign w:val="center"/>
          </w:tcPr>
          <w:p w:rsidR="00672004" w:rsidRDefault="00672004">
            <w:pPr>
              <w:rPr>
                <w:sz w:val="18"/>
              </w:rPr>
            </w:pPr>
          </w:p>
        </w:tc>
        <w:tc>
          <w:tcPr>
            <w:tcW w:w="1036" w:type="dxa"/>
            <w:tcBorders>
              <w:bottom w:val="single" w:sz="4" w:space="0" w:color="auto"/>
            </w:tcBorders>
            <w:shd w:val="clear" w:color="auto" w:fill="B3B3B3"/>
            <w:vAlign w:val="center"/>
          </w:tcPr>
          <w:p w:rsidR="00672004" w:rsidRDefault="00672004">
            <w:pPr>
              <w:rPr>
                <w:sz w:val="18"/>
              </w:rPr>
            </w:pPr>
          </w:p>
        </w:tc>
        <w:tc>
          <w:tcPr>
            <w:tcW w:w="1121" w:type="dxa"/>
            <w:tcBorders>
              <w:bottom w:val="single" w:sz="4" w:space="0" w:color="auto"/>
            </w:tcBorders>
            <w:shd w:val="clear" w:color="auto" w:fill="B3B3B3"/>
            <w:vAlign w:val="center"/>
          </w:tcPr>
          <w:p w:rsidR="00672004" w:rsidRDefault="00672004">
            <w:pPr>
              <w:rPr>
                <w:sz w:val="18"/>
              </w:rPr>
            </w:pPr>
          </w:p>
        </w:tc>
        <w:tc>
          <w:tcPr>
            <w:tcW w:w="1155" w:type="dxa"/>
            <w:tcBorders>
              <w:bottom w:val="single" w:sz="4" w:space="0" w:color="auto"/>
            </w:tcBorders>
            <w:shd w:val="clear" w:color="auto" w:fill="B3B3B3"/>
            <w:vAlign w:val="center"/>
          </w:tcPr>
          <w:p w:rsidR="00672004" w:rsidRDefault="00672004">
            <w:pPr>
              <w:rPr>
                <w:sz w:val="18"/>
              </w:rPr>
            </w:pPr>
          </w:p>
        </w:tc>
        <w:tc>
          <w:tcPr>
            <w:tcW w:w="1169" w:type="dxa"/>
            <w:tcBorders>
              <w:bottom w:val="single" w:sz="4" w:space="0" w:color="auto"/>
            </w:tcBorders>
            <w:shd w:val="clear" w:color="auto" w:fill="B3B3B3"/>
            <w:vAlign w:val="center"/>
          </w:tcPr>
          <w:p w:rsidR="00672004" w:rsidRDefault="00672004">
            <w:pPr>
              <w:rPr>
                <w:sz w:val="18"/>
              </w:rPr>
            </w:pPr>
          </w:p>
        </w:tc>
        <w:tc>
          <w:tcPr>
            <w:tcW w:w="1164" w:type="dxa"/>
            <w:tcBorders>
              <w:bottom w:val="single" w:sz="4" w:space="0" w:color="auto"/>
            </w:tcBorders>
            <w:shd w:val="clear" w:color="auto" w:fill="B3B3B3"/>
            <w:vAlign w:val="center"/>
          </w:tcPr>
          <w:p w:rsidR="00672004" w:rsidRDefault="00672004">
            <w:pPr>
              <w:rPr>
                <w:sz w:val="18"/>
              </w:rPr>
            </w:pPr>
          </w:p>
        </w:tc>
        <w:tc>
          <w:tcPr>
            <w:tcW w:w="1116" w:type="dxa"/>
            <w:tcBorders>
              <w:bottom w:val="single" w:sz="4" w:space="0" w:color="auto"/>
            </w:tcBorders>
            <w:shd w:val="clear" w:color="auto" w:fill="B3B3B3"/>
            <w:vAlign w:val="center"/>
          </w:tcPr>
          <w:p w:rsidR="00672004" w:rsidRDefault="00672004">
            <w:pPr>
              <w:rPr>
                <w:sz w:val="18"/>
              </w:rPr>
            </w:pPr>
          </w:p>
        </w:tc>
      </w:tr>
      <w:tr w:rsidR="00672004" w:rsidTr="00BB1090">
        <w:trPr>
          <w:trHeight w:val="257"/>
        </w:trPr>
        <w:tc>
          <w:tcPr>
            <w:tcW w:w="2791" w:type="dxa"/>
            <w:shd w:val="clear" w:color="auto" w:fill="E0E0E0"/>
            <w:vAlign w:val="center"/>
          </w:tcPr>
          <w:p w:rsidR="00672004" w:rsidRDefault="00672004">
            <w:pPr>
              <w:pStyle w:val="Heading9"/>
              <w:rPr>
                <w:sz w:val="20"/>
              </w:rPr>
            </w:pPr>
            <w:r>
              <w:rPr>
                <w:sz w:val="20"/>
              </w:rPr>
              <w:t>Unoccupied Conveyance</w:t>
            </w:r>
          </w:p>
        </w:tc>
        <w:tc>
          <w:tcPr>
            <w:tcW w:w="1312" w:type="dxa"/>
            <w:shd w:val="clear" w:color="auto" w:fill="E0E0E0"/>
            <w:vAlign w:val="center"/>
          </w:tcPr>
          <w:p w:rsidR="00672004" w:rsidRDefault="00672004">
            <w:pPr>
              <w:jc w:val="center"/>
              <w:rPr>
                <w:sz w:val="18"/>
              </w:rPr>
            </w:pPr>
          </w:p>
        </w:tc>
        <w:tc>
          <w:tcPr>
            <w:tcW w:w="1036" w:type="dxa"/>
            <w:shd w:val="clear" w:color="auto" w:fill="E0E0E0"/>
            <w:vAlign w:val="center"/>
          </w:tcPr>
          <w:p w:rsidR="00672004" w:rsidRDefault="00672004">
            <w:pPr>
              <w:rPr>
                <w:sz w:val="18"/>
              </w:rPr>
            </w:pPr>
          </w:p>
        </w:tc>
        <w:tc>
          <w:tcPr>
            <w:tcW w:w="1121" w:type="dxa"/>
            <w:shd w:val="clear" w:color="auto" w:fill="E0E0E0"/>
            <w:vAlign w:val="center"/>
          </w:tcPr>
          <w:p w:rsidR="00672004" w:rsidRDefault="00672004">
            <w:pPr>
              <w:rPr>
                <w:sz w:val="18"/>
              </w:rPr>
            </w:pPr>
          </w:p>
        </w:tc>
        <w:tc>
          <w:tcPr>
            <w:tcW w:w="1155" w:type="dxa"/>
            <w:shd w:val="clear" w:color="auto" w:fill="E0E0E0"/>
            <w:vAlign w:val="center"/>
          </w:tcPr>
          <w:p w:rsidR="00672004" w:rsidRDefault="00672004">
            <w:pPr>
              <w:rPr>
                <w:sz w:val="18"/>
              </w:rPr>
            </w:pPr>
          </w:p>
        </w:tc>
        <w:tc>
          <w:tcPr>
            <w:tcW w:w="1169" w:type="dxa"/>
            <w:shd w:val="clear" w:color="auto" w:fill="E0E0E0"/>
            <w:vAlign w:val="center"/>
          </w:tcPr>
          <w:p w:rsidR="00672004" w:rsidRDefault="00672004">
            <w:pPr>
              <w:rPr>
                <w:sz w:val="18"/>
              </w:rPr>
            </w:pPr>
          </w:p>
        </w:tc>
        <w:tc>
          <w:tcPr>
            <w:tcW w:w="1164" w:type="dxa"/>
            <w:shd w:val="clear" w:color="auto" w:fill="E0E0E0"/>
            <w:vAlign w:val="center"/>
          </w:tcPr>
          <w:p w:rsidR="00672004" w:rsidRDefault="00672004">
            <w:pPr>
              <w:rPr>
                <w:sz w:val="18"/>
              </w:rPr>
            </w:pPr>
          </w:p>
        </w:tc>
        <w:tc>
          <w:tcPr>
            <w:tcW w:w="1116" w:type="dxa"/>
            <w:shd w:val="clear" w:color="auto" w:fill="E0E0E0"/>
            <w:vAlign w:val="center"/>
          </w:tcPr>
          <w:p w:rsidR="00672004" w:rsidRDefault="00672004">
            <w:pPr>
              <w:jc w:val="right"/>
              <w:rPr>
                <w:sz w:val="18"/>
              </w:rPr>
            </w:pPr>
          </w:p>
        </w:tc>
      </w:tr>
      <w:tr w:rsidR="00672004" w:rsidTr="00BB1090">
        <w:trPr>
          <w:trHeight w:val="257"/>
        </w:trPr>
        <w:tc>
          <w:tcPr>
            <w:tcW w:w="2791" w:type="dxa"/>
            <w:vAlign w:val="center"/>
          </w:tcPr>
          <w:p w:rsidR="00672004" w:rsidRDefault="00672004">
            <w:pPr>
              <w:rPr>
                <w:sz w:val="18"/>
              </w:rPr>
            </w:pPr>
            <w:r>
              <w:rPr>
                <w:sz w:val="18"/>
              </w:rPr>
              <w:t>HUD-91022 “Mortgagee Notice of Foreclosure”</w:t>
            </w:r>
          </w:p>
        </w:tc>
        <w:tc>
          <w:tcPr>
            <w:tcW w:w="1312" w:type="dxa"/>
            <w:vAlign w:val="center"/>
          </w:tcPr>
          <w:p w:rsidR="00672004" w:rsidRDefault="00672004">
            <w:pPr>
              <w:jc w:val="center"/>
              <w:rPr>
                <w:sz w:val="18"/>
              </w:rPr>
            </w:pPr>
            <w:r>
              <w:rPr>
                <w:sz w:val="18"/>
              </w:rPr>
              <w:t>3</w:t>
            </w:r>
            <w:r w:rsidR="00A53E6C">
              <w:rPr>
                <w:sz w:val="18"/>
              </w:rPr>
              <w:t>24</w:t>
            </w:r>
          </w:p>
        </w:tc>
        <w:tc>
          <w:tcPr>
            <w:tcW w:w="1036" w:type="dxa"/>
            <w:vAlign w:val="center"/>
          </w:tcPr>
          <w:p w:rsidR="00672004" w:rsidRDefault="00A53E6C">
            <w:pPr>
              <w:jc w:val="center"/>
              <w:rPr>
                <w:sz w:val="18"/>
              </w:rPr>
            </w:pPr>
            <w:r>
              <w:rPr>
                <w:sz w:val="18"/>
              </w:rPr>
              <w:t>30</w:t>
            </w:r>
            <w:r w:rsidR="00672004">
              <w:rPr>
                <w:sz w:val="18"/>
              </w:rPr>
              <w:t>9</w:t>
            </w:r>
          </w:p>
        </w:tc>
        <w:tc>
          <w:tcPr>
            <w:tcW w:w="1121" w:type="dxa"/>
            <w:vAlign w:val="center"/>
          </w:tcPr>
          <w:p w:rsidR="00672004" w:rsidRDefault="00A53E6C">
            <w:pPr>
              <w:jc w:val="center"/>
              <w:rPr>
                <w:sz w:val="18"/>
              </w:rPr>
            </w:pPr>
            <w:r>
              <w:rPr>
                <w:sz w:val="18"/>
              </w:rPr>
              <w:t>10</w:t>
            </w:r>
            <w:r w:rsidR="00672004">
              <w:rPr>
                <w:sz w:val="18"/>
              </w:rPr>
              <w:t>0,000</w:t>
            </w:r>
          </w:p>
        </w:tc>
        <w:tc>
          <w:tcPr>
            <w:tcW w:w="1155" w:type="dxa"/>
            <w:vAlign w:val="center"/>
          </w:tcPr>
          <w:p w:rsidR="00672004" w:rsidRDefault="00A53E6C" w:rsidP="00A53E6C">
            <w:pPr>
              <w:jc w:val="center"/>
              <w:rPr>
                <w:sz w:val="18"/>
              </w:rPr>
            </w:pPr>
            <w:r>
              <w:rPr>
                <w:sz w:val="18"/>
              </w:rPr>
              <w:t>1</w:t>
            </w:r>
            <w:r w:rsidR="00672004">
              <w:rPr>
                <w:sz w:val="18"/>
              </w:rPr>
              <w:t>.</w:t>
            </w:r>
            <w:r>
              <w:rPr>
                <w:sz w:val="18"/>
              </w:rPr>
              <w:t>0</w:t>
            </w:r>
            <w:r w:rsidR="00672004">
              <w:rPr>
                <w:sz w:val="18"/>
              </w:rPr>
              <w:t>0</w:t>
            </w:r>
          </w:p>
        </w:tc>
        <w:tc>
          <w:tcPr>
            <w:tcW w:w="1169" w:type="dxa"/>
            <w:vAlign w:val="center"/>
          </w:tcPr>
          <w:p w:rsidR="00672004" w:rsidRDefault="00A53E6C">
            <w:pPr>
              <w:jc w:val="center"/>
              <w:rPr>
                <w:sz w:val="18"/>
              </w:rPr>
            </w:pPr>
            <w:r>
              <w:rPr>
                <w:sz w:val="18"/>
              </w:rPr>
              <w:t>10</w:t>
            </w:r>
            <w:r w:rsidR="00672004">
              <w:rPr>
                <w:sz w:val="18"/>
              </w:rPr>
              <w:t>0,000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A53E6C">
            <w:pPr>
              <w:jc w:val="right"/>
              <w:rPr>
                <w:sz w:val="18"/>
              </w:rPr>
            </w:pPr>
            <w:r>
              <w:rPr>
                <w:sz w:val="18"/>
              </w:rPr>
              <w:t>$</w:t>
            </w:r>
            <w:r w:rsidR="00A53E6C">
              <w:rPr>
                <w:sz w:val="18"/>
              </w:rPr>
              <w:t>1,</w:t>
            </w:r>
            <w:r>
              <w:rPr>
                <w:sz w:val="18"/>
              </w:rPr>
              <w:t>5</w:t>
            </w:r>
            <w:r w:rsidR="00A53E6C">
              <w:rPr>
                <w:sz w:val="18"/>
              </w:rPr>
              <w:t>0</w:t>
            </w:r>
            <w:r>
              <w:rPr>
                <w:sz w:val="18"/>
              </w:rPr>
              <w:t>0,000</w:t>
            </w:r>
          </w:p>
        </w:tc>
      </w:tr>
      <w:tr w:rsidR="00672004" w:rsidTr="00BB1090">
        <w:trPr>
          <w:trHeight w:val="257"/>
        </w:trPr>
        <w:tc>
          <w:tcPr>
            <w:tcW w:w="2791" w:type="dxa"/>
            <w:vAlign w:val="center"/>
          </w:tcPr>
          <w:p w:rsidR="00672004" w:rsidRDefault="00672004">
            <w:pPr>
              <w:rPr>
                <w:sz w:val="18"/>
              </w:rPr>
            </w:pPr>
            <w:r>
              <w:rPr>
                <w:sz w:val="18"/>
              </w:rPr>
              <w:t>HUD-50002  “Request to Exceed Cost Limits for Preservation and Protection”</w:t>
            </w:r>
          </w:p>
        </w:tc>
        <w:tc>
          <w:tcPr>
            <w:tcW w:w="1312" w:type="dxa"/>
            <w:vAlign w:val="center"/>
          </w:tcPr>
          <w:p w:rsidR="00672004" w:rsidRDefault="00672004">
            <w:pPr>
              <w:jc w:val="center"/>
              <w:rPr>
                <w:sz w:val="18"/>
              </w:rPr>
            </w:pPr>
            <w:r>
              <w:rPr>
                <w:sz w:val="18"/>
              </w:rPr>
              <w:t>3</w:t>
            </w:r>
            <w:r w:rsidR="00A53E6C">
              <w:rPr>
                <w:sz w:val="18"/>
              </w:rPr>
              <w:t>24</w:t>
            </w:r>
          </w:p>
        </w:tc>
        <w:tc>
          <w:tcPr>
            <w:tcW w:w="1036" w:type="dxa"/>
            <w:vAlign w:val="center"/>
          </w:tcPr>
          <w:p w:rsidR="00672004" w:rsidRDefault="00672004" w:rsidP="00A53E6C">
            <w:pPr>
              <w:jc w:val="center"/>
              <w:rPr>
                <w:sz w:val="18"/>
              </w:rPr>
            </w:pPr>
            <w:r>
              <w:rPr>
                <w:sz w:val="18"/>
              </w:rPr>
              <w:t>2</w:t>
            </w:r>
            <w:r w:rsidR="00A53E6C">
              <w:rPr>
                <w:sz w:val="18"/>
              </w:rPr>
              <w:t>8</w:t>
            </w:r>
          </w:p>
        </w:tc>
        <w:tc>
          <w:tcPr>
            <w:tcW w:w="1121" w:type="dxa"/>
            <w:vAlign w:val="center"/>
          </w:tcPr>
          <w:p w:rsidR="00672004" w:rsidRDefault="00A53E6C">
            <w:pPr>
              <w:jc w:val="center"/>
              <w:rPr>
                <w:sz w:val="18"/>
              </w:rPr>
            </w:pPr>
            <w:r>
              <w:rPr>
                <w:sz w:val="18"/>
              </w:rPr>
              <w:t>9</w:t>
            </w:r>
            <w:r w:rsidR="00672004">
              <w:rPr>
                <w:sz w:val="18"/>
              </w:rPr>
              <w:t>,200</w:t>
            </w:r>
          </w:p>
        </w:tc>
        <w:tc>
          <w:tcPr>
            <w:tcW w:w="1155" w:type="dxa"/>
            <w:vAlign w:val="center"/>
          </w:tcPr>
          <w:p w:rsidR="00672004" w:rsidRDefault="00672004">
            <w:pPr>
              <w:jc w:val="center"/>
              <w:rPr>
                <w:sz w:val="18"/>
              </w:rPr>
            </w:pPr>
            <w:r>
              <w:rPr>
                <w:sz w:val="18"/>
              </w:rPr>
              <w:t>.50</w:t>
            </w:r>
          </w:p>
        </w:tc>
        <w:tc>
          <w:tcPr>
            <w:tcW w:w="1169" w:type="dxa"/>
            <w:vAlign w:val="center"/>
          </w:tcPr>
          <w:p w:rsidR="00672004" w:rsidRDefault="00A53E6C">
            <w:pPr>
              <w:jc w:val="center"/>
              <w:rPr>
                <w:sz w:val="18"/>
              </w:rPr>
            </w:pPr>
            <w:r>
              <w:rPr>
                <w:sz w:val="18"/>
              </w:rPr>
              <w:t>4</w:t>
            </w:r>
            <w:r w:rsidR="00672004">
              <w:rPr>
                <w:sz w:val="18"/>
              </w:rPr>
              <w:t>,600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A53E6C">
            <w:pPr>
              <w:jc w:val="right"/>
              <w:rPr>
                <w:sz w:val="18"/>
              </w:rPr>
            </w:pPr>
            <w:r>
              <w:rPr>
                <w:sz w:val="18"/>
              </w:rPr>
              <w:t>$</w:t>
            </w:r>
            <w:r w:rsidR="00A53E6C">
              <w:rPr>
                <w:sz w:val="18"/>
              </w:rPr>
              <w:t>6</w:t>
            </w:r>
            <w:r>
              <w:rPr>
                <w:sz w:val="18"/>
              </w:rPr>
              <w:t>9,000</w:t>
            </w:r>
          </w:p>
        </w:tc>
      </w:tr>
      <w:tr w:rsidR="00672004" w:rsidTr="00BB1090">
        <w:trPr>
          <w:trHeight w:val="257"/>
        </w:trPr>
        <w:tc>
          <w:tcPr>
            <w:tcW w:w="2791" w:type="dxa"/>
            <w:vAlign w:val="center"/>
          </w:tcPr>
          <w:p w:rsidR="00672004" w:rsidRDefault="00672004">
            <w:pPr>
              <w:rPr>
                <w:sz w:val="18"/>
              </w:rPr>
            </w:pPr>
            <w:r>
              <w:rPr>
                <w:sz w:val="18"/>
              </w:rPr>
              <w:t>HUD-50012  “Mortgagee’s Request for Extension of Time Requirements”</w:t>
            </w:r>
          </w:p>
        </w:tc>
        <w:tc>
          <w:tcPr>
            <w:tcW w:w="1312" w:type="dxa"/>
            <w:vAlign w:val="center"/>
          </w:tcPr>
          <w:p w:rsidR="00672004" w:rsidRDefault="00672004">
            <w:pPr>
              <w:jc w:val="center"/>
              <w:rPr>
                <w:sz w:val="18"/>
              </w:rPr>
            </w:pPr>
            <w:r>
              <w:rPr>
                <w:sz w:val="18"/>
              </w:rPr>
              <w:t>3</w:t>
            </w:r>
            <w:r w:rsidR="00A53E6C">
              <w:rPr>
                <w:sz w:val="18"/>
              </w:rPr>
              <w:t>24</w:t>
            </w:r>
          </w:p>
        </w:tc>
        <w:tc>
          <w:tcPr>
            <w:tcW w:w="1036" w:type="dxa"/>
            <w:vAlign w:val="center"/>
          </w:tcPr>
          <w:p w:rsidR="00672004" w:rsidRDefault="00672004" w:rsidP="00A53E6C">
            <w:pPr>
              <w:jc w:val="center"/>
              <w:rPr>
                <w:sz w:val="18"/>
              </w:rPr>
            </w:pPr>
            <w:r>
              <w:rPr>
                <w:sz w:val="18"/>
              </w:rPr>
              <w:t>2</w:t>
            </w:r>
            <w:r w:rsidR="00A53E6C">
              <w:rPr>
                <w:sz w:val="18"/>
              </w:rPr>
              <w:t>8</w:t>
            </w:r>
          </w:p>
        </w:tc>
        <w:tc>
          <w:tcPr>
            <w:tcW w:w="1121" w:type="dxa"/>
            <w:vAlign w:val="center"/>
          </w:tcPr>
          <w:p w:rsidR="00672004" w:rsidRDefault="00A53E6C">
            <w:pPr>
              <w:jc w:val="center"/>
              <w:rPr>
                <w:sz w:val="18"/>
              </w:rPr>
            </w:pPr>
            <w:r>
              <w:rPr>
                <w:sz w:val="18"/>
              </w:rPr>
              <w:t>9</w:t>
            </w:r>
            <w:r w:rsidR="00672004">
              <w:rPr>
                <w:sz w:val="18"/>
              </w:rPr>
              <w:t>,200</w:t>
            </w:r>
          </w:p>
        </w:tc>
        <w:tc>
          <w:tcPr>
            <w:tcW w:w="1155" w:type="dxa"/>
            <w:vAlign w:val="center"/>
          </w:tcPr>
          <w:p w:rsidR="00672004" w:rsidRDefault="00672004" w:rsidP="00A53E6C">
            <w:pPr>
              <w:jc w:val="center"/>
              <w:rPr>
                <w:sz w:val="18"/>
              </w:rPr>
            </w:pPr>
            <w:r>
              <w:rPr>
                <w:sz w:val="18"/>
              </w:rPr>
              <w:t>.</w:t>
            </w:r>
            <w:r w:rsidR="00A53E6C">
              <w:rPr>
                <w:sz w:val="18"/>
              </w:rPr>
              <w:t>2</w:t>
            </w:r>
            <w:r>
              <w:rPr>
                <w:sz w:val="18"/>
              </w:rPr>
              <w:t>5</w:t>
            </w:r>
          </w:p>
        </w:tc>
        <w:tc>
          <w:tcPr>
            <w:tcW w:w="1169" w:type="dxa"/>
            <w:vAlign w:val="center"/>
          </w:tcPr>
          <w:p w:rsidR="00672004" w:rsidRDefault="00672004" w:rsidP="00A53E6C">
            <w:pPr>
              <w:jc w:val="center"/>
              <w:rPr>
                <w:sz w:val="18"/>
              </w:rPr>
            </w:pPr>
            <w:r>
              <w:rPr>
                <w:sz w:val="18"/>
              </w:rPr>
              <w:t>2</w:t>
            </w:r>
            <w:r w:rsidR="00A53E6C">
              <w:rPr>
                <w:sz w:val="18"/>
              </w:rPr>
              <w:t>,3</w:t>
            </w:r>
            <w:r>
              <w:rPr>
                <w:sz w:val="18"/>
              </w:rPr>
              <w:t>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A53E6C">
            <w:pPr>
              <w:jc w:val="right"/>
              <w:rPr>
                <w:sz w:val="18"/>
              </w:rPr>
            </w:pPr>
            <w:r>
              <w:rPr>
                <w:sz w:val="18"/>
              </w:rPr>
              <w:t>$3</w:t>
            </w:r>
            <w:r w:rsidR="00A53E6C">
              <w:rPr>
                <w:sz w:val="18"/>
              </w:rPr>
              <w:t>4</w:t>
            </w:r>
            <w:r>
              <w:rPr>
                <w:sz w:val="18"/>
              </w:rPr>
              <w:t>,</w:t>
            </w:r>
            <w:r w:rsidR="00A53E6C">
              <w:rPr>
                <w:sz w:val="18"/>
              </w:rPr>
              <w:t>5</w:t>
            </w:r>
            <w:r>
              <w:rPr>
                <w:sz w:val="18"/>
              </w:rPr>
              <w:t>00</w:t>
            </w:r>
          </w:p>
        </w:tc>
      </w:tr>
      <w:tr w:rsidR="00672004" w:rsidTr="00BB1090">
        <w:trPr>
          <w:trHeight w:val="257"/>
        </w:trPr>
        <w:tc>
          <w:tcPr>
            <w:tcW w:w="2791" w:type="dxa"/>
            <w:vAlign w:val="center"/>
          </w:tcPr>
          <w:p w:rsidR="00672004" w:rsidRDefault="00672004">
            <w:pPr>
              <w:rPr>
                <w:sz w:val="18"/>
              </w:rPr>
            </w:pPr>
            <w:r>
              <w:rPr>
                <w:sz w:val="18"/>
              </w:rPr>
              <w:t>HUD-27011 “Claim for Insurance Benefits”</w:t>
            </w:r>
          </w:p>
        </w:tc>
        <w:tc>
          <w:tcPr>
            <w:tcW w:w="1312" w:type="dxa"/>
            <w:vAlign w:val="center"/>
          </w:tcPr>
          <w:p w:rsidR="00672004" w:rsidRDefault="00672004">
            <w:pPr>
              <w:jc w:val="center"/>
              <w:rPr>
                <w:sz w:val="18"/>
              </w:rPr>
            </w:pPr>
            <w:r>
              <w:rPr>
                <w:sz w:val="18"/>
              </w:rPr>
              <w:t>3</w:t>
            </w:r>
            <w:r w:rsidR="00A53E6C">
              <w:rPr>
                <w:sz w:val="18"/>
              </w:rPr>
              <w:t>24</w:t>
            </w:r>
          </w:p>
        </w:tc>
        <w:tc>
          <w:tcPr>
            <w:tcW w:w="1036" w:type="dxa"/>
            <w:vAlign w:val="center"/>
          </w:tcPr>
          <w:p w:rsidR="00672004" w:rsidRDefault="00672004" w:rsidP="00866DDD">
            <w:pPr>
              <w:jc w:val="center"/>
              <w:rPr>
                <w:sz w:val="18"/>
              </w:rPr>
            </w:pPr>
            <w:r>
              <w:rPr>
                <w:sz w:val="18"/>
              </w:rPr>
              <w:t>2</w:t>
            </w:r>
            <w:r w:rsidR="00866DDD">
              <w:rPr>
                <w:sz w:val="18"/>
              </w:rPr>
              <w:t>84</w:t>
            </w:r>
          </w:p>
        </w:tc>
        <w:tc>
          <w:tcPr>
            <w:tcW w:w="1121" w:type="dxa"/>
            <w:vAlign w:val="center"/>
          </w:tcPr>
          <w:p w:rsidR="00672004" w:rsidRDefault="00866DDD">
            <w:pPr>
              <w:jc w:val="center"/>
              <w:rPr>
                <w:sz w:val="18"/>
              </w:rPr>
            </w:pPr>
            <w:r>
              <w:rPr>
                <w:sz w:val="18"/>
              </w:rPr>
              <w:t>9</w:t>
            </w:r>
            <w:r w:rsidR="00672004">
              <w:rPr>
                <w:sz w:val="18"/>
              </w:rPr>
              <w:t>2,000</w:t>
            </w:r>
          </w:p>
        </w:tc>
        <w:tc>
          <w:tcPr>
            <w:tcW w:w="1155" w:type="dxa"/>
            <w:vAlign w:val="center"/>
          </w:tcPr>
          <w:p w:rsidR="00672004" w:rsidRDefault="00866DDD" w:rsidP="00866DDD">
            <w:pPr>
              <w:jc w:val="center"/>
              <w:rPr>
                <w:sz w:val="18"/>
              </w:rPr>
            </w:pPr>
            <w:r>
              <w:rPr>
                <w:sz w:val="18"/>
              </w:rPr>
              <w:t>1</w:t>
            </w:r>
            <w:r w:rsidR="00672004">
              <w:rPr>
                <w:sz w:val="18"/>
              </w:rPr>
              <w:t>.</w:t>
            </w:r>
            <w:r>
              <w:rPr>
                <w:sz w:val="18"/>
              </w:rPr>
              <w:t>33</w:t>
            </w:r>
          </w:p>
        </w:tc>
        <w:tc>
          <w:tcPr>
            <w:tcW w:w="1169" w:type="dxa"/>
            <w:vAlign w:val="center"/>
          </w:tcPr>
          <w:p w:rsidR="00672004" w:rsidRDefault="00866DDD" w:rsidP="00866DDD">
            <w:pPr>
              <w:jc w:val="center"/>
              <w:rPr>
                <w:sz w:val="18"/>
              </w:rPr>
            </w:pPr>
            <w:r>
              <w:rPr>
                <w:sz w:val="18"/>
              </w:rPr>
              <w:t>1</w:t>
            </w:r>
            <w:r w:rsidR="00672004">
              <w:rPr>
                <w:sz w:val="18"/>
              </w:rPr>
              <w:t>2</w:t>
            </w:r>
            <w:r>
              <w:rPr>
                <w:sz w:val="18"/>
              </w:rPr>
              <w:t>2</w:t>
            </w:r>
            <w:r w:rsidR="00672004">
              <w:rPr>
                <w:sz w:val="18"/>
              </w:rPr>
              <w:t>,</w:t>
            </w:r>
            <w:r>
              <w:rPr>
                <w:sz w:val="18"/>
              </w:rPr>
              <w:t>360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rPr>
                <w:sz w:val="18"/>
              </w:rPr>
            </w:pPr>
            <w:r>
              <w:rPr>
                <w:sz w:val="18"/>
              </w:rPr>
              <w:t>$</w:t>
            </w:r>
            <w:r w:rsidR="00866DDD">
              <w:rPr>
                <w:sz w:val="18"/>
              </w:rPr>
              <w:t>1,835</w:t>
            </w:r>
            <w:r>
              <w:rPr>
                <w:sz w:val="18"/>
              </w:rPr>
              <w:t>,</w:t>
            </w:r>
            <w:r w:rsidR="00866DDD">
              <w:rPr>
                <w:sz w:val="18"/>
              </w:rPr>
              <w:t>4</w:t>
            </w:r>
            <w:r>
              <w:rPr>
                <w:sz w:val="18"/>
              </w:rPr>
              <w:t>00</w:t>
            </w:r>
          </w:p>
        </w:tc>
      </w:tr>
      <w:tr w:rsidR="00672004" w:rsidTr="00BB1090">
        <w:trPr>
          <w:trHeight w:val="275"/>
        </w:trPr>
        <w:tc>
          <w:tcPr>
            <w:tcW w:w="2791" w:type="dxa"/>
            <w:vAlign w:val="center"/>
          </w:tcPr>
          <w:p w:rsidR="00672004" w:rsidRDefault="00672004">
            <w:pPr>
              <w:rPr>
                <w:sz w:val="18"/>
              </w:rPr>
            </w:pPr>
            <w:r>
              <w:rPr>
                <w:sz w:val="18"/>
              </w:rPr>
              <w:t>Transfer of Property and Conveyance of Title</w:t>
            </w:r>
          </w:p>
        </w:tc>
        <w:tc>
          <w:tcPr>
            <w:tcW w:w="1312" w:type="dxa"/>
            <w:vAlign w:val="center"/>
          </w:tcPr>
          <w:p w:rsidR="00672004" w:rsidRDefault="00672004">
            <w:pPr>
              <w:jc w:val="center"/>
            </w:pPr>
            <w:r>
              <w:rPr>
                <w:sz w:val="18"/>
              </w:rPr>
              <w:t>3</w:t>
            </w:r>
            <w:r w:rsidR="00A53E6C">
              <w:rPr>
                <w:sz w:val="18"/>
              </w:rPr>
              <w:t>24</w:t>
            </w:r>
          </w:p>
        </w:tc>
        <w:tc>
          <w:tcPr>
            <w:tcW w:w="1036" w:type="dxa"/>
            <w:vAlign w:val="center"/>
          </w:tcPr>
          <w:p w:rsidR="00672004" w:rsidRDefault="00672004" w:rsidP="00866DDD">
            <w:pPr>
              <w:jc w:val="center"/>
              <w:rPr>
                <w:sz w:val="18"/>
              </w:rPr>
            </w:pPr>
            <w:r>
              <w:rPr>
                <w:sz w:val="18"/>
              </w:rPr>
              <w:t>2</w:t>
            </w:r>
            <w:r w:rsidR="00866DDD">
              <w:rPr>
                <w:sz w:val="18"/>
              </w:rPr>
              <w:t>84</w:t>
            </w:r>
          </w:p>
        </w:tc>
        <w:tc>
          <w:tcPr>
            <w:tcW w:w="1121" w:type="dxa"/>
            <w:vAlign w:val="center"/>
          </w:tcPr>
          <w:p w:rsidR="00672004" w:rsidRDefault="00866DDD">
            <w:pPr>
              <w:jc w:val="center"/>
              <w:rPr>
                <w:sz w:val="18"/>
              </w:rPr>
            </w:pPr>
            <w:r>
              <w:rPr>
                <w:sz w:val="18"/>
              </w:rPr>
              <w:t>9</w:t>
            </w:r>
            <w:r w:rsidR="00672004">
              <w:rPr>
                <w:sz w:val="18"/>
              </w:rPr>
              <w:t>2,000</w:t>
            </w:r>
          </w:p>
        </w:tc>
        <w:tc>
          <w:tcPr>
            <w:tcW w:w="1155" w:type="dxa"/>
            <w:vAlign w:val="center"/>
          </w:tcPr>
          <w:p w:rsidR="00672004" w:rsidRDefault="00672004">
            <w:pPr>
              <w:jc w:val="center"/>
              <w:rPr>
                <w:sz w:val="18"/>
              </w:rPr>
            </w:pPr>
            <w:r>
              <w:rPr>
                <w:sz w:val="18"/>
              </w:rPr>
              <w:t>2.00</w:t>
            </w:r>
          </w:p>
        </w:tc>
        <w:tc>
          <w:tcPr>
            <w:tcW w:w="1169" w:type="dxa"/>
            <w:vAlign w:val="center"/>
          </w:tcPr>
          <w:p w:rsidR="00672004" w:rsidRDefault="00672004" w:rsidP="00866DDD">
            <w:pPr>
              <w:jc w:val="center"/>
              <w:rPr>
                <w:sz w:val="18"/>
              </w:rPr>
            </w:pPr>
            <w:r>
              <w:rPr>
                <w:sz w:val="18"/>
              </w:rPr>
              <w:t>1</w:t>
            </w:r>
            <w:r w:rsidR="00866DDD">
              <w:rPr>
                <w:sz w:val="18"/>
              </w:rPr>
              <w:t>8</w:t>
            </w:r>
            <w:r>
              <w:rPr>
                <w:sz w:val="18"/>
              </w:rPr>
              <w:t>4,000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rPr>
                <w:sz w:val="18"/>
              </w:rPr>
            </w:pPr>
            <w:r>
              <w:rPr>
                <w:sz w:val="18"/>
              </w:rPr>
              <w:t>$</w:t>
            </w:r>
            <w:r w:rsidR="00866DDD">
              <w:rPr>
                <w:sz w:val="18"/>
              </w:rPr>
              <w:t>2</w:t>
            </w:r>
            <w:r>
              <w:rPr>
                <w:sz w:val="18"/>
              </w:rPr>
              <w:t>,</w:t>
            </w:r>
            <w:r w:rsidR="00866DDD">
              <w:rPr>
                <w:sz w:val="18"/>
              </w:rPr>
              <w:t>7</w:t>
            </w:r>
            <w:r>
              <w:rPr>
                <w:sz w:val="18"/>
              </w:rPr>
              <w:t>60,000</w:t>
            </w:r>
          </w:p>
        </w:tc>
      </w:tr>
      <w:tr w:rsidR="00672004" w:rsidTr="00BB1090">
        <w:trPr>
          <w:trHeight w:val="257"/>
        </w:trPr>
        <w:tc>
          <w:tcPr>
            <w:tcW w:w="2791" w:type="dxa"/>
            <w:vAlign w:val="center"/>
          </w:tcPr>
          <w:p w:rsidR="00672004" w:rsidRDefault="00672004">
            <w:pPr>
              <w:rPr>
                <w:sz w:val="18"/>
              </w:rPr>
            </w:pPr>
            <w:r>
              <w:rPr>
                <w:sz w:val="18"/>
              </w:rPr>
              <w:t>Conveyance of Damaged Property</w:t>
            </w:r>
          </w:p>
        </w:tc>
        <w:tc>
          <w:tcPr>
            <w:tcW w:w="1312" w:type="dxa"/>
            <w:vAlign w:val="center"/>
          </w:tcPr>
          <w:p w:rsidR="00672004" w:rsidRDefault="00672004">
            <w:pPr>
              <w:jc w:val="center"/>
            </w:pPr>
            <w:r>
              <w:rPr>
                <w:sz w:val="18"/>
              </w:rPr>
              <w:t>3</w:t>
            </w:r>
            <w:r w:rsidR="00A53E6C">
              <w:rPr>
                <w:sz w:val="18"/>
              </w:rPr>
              <w:t>24</w:t>
            </w:r>
          </w:p>
        </w:tc>
        <w:tc>
          <w:tcPr>
            <w:tcW w:w="1036" w:type="dxa"/>
            <w:vAlign w:val="center"/>
          </w:tcPr>
          <w:p w:rsidR="00672004" w:rsidRDefault="00672004" w:rsidP="00866DDD">
            <w:pPr>
              <w:jc w:val="center"/>
              <w:rPr>
                <w:sz w:val="18"/>
              </w:rPr>
            </w:pPr>
            <w:r>
              <w:rPr>
                <w:sz w:val="18"/>
              </w:rPr>
              <w:t>2</w:t>
            </w:r>
            <w:r w:rsidR="00866DDD">
              <w:rPr>
                <w:sz w:val="18"/>
              </w:rPr>
              <w:t>8</w:t>
            </w:r>
          </w:p>
        </w:tc>
        <w:tc>
          <w:tcPr>
            <w:tcW w:w="1121" w:type="dxa"/>
            <w:vAlign w:val="center"/>
          </w:tcPr>
          <w:p w:rsidR="00672004" w:rsidRDefault="00866DDD">
            <w:pPr>
              <w:jc w:val="center"/>
              <w:rPr>
                <w:sz w:val="18"/>
              </w:rPr>
            </w:pPr>
            <w:r>
              <w:rPr>
                <w:sz w:val="18"/>
              </w:rPr>
              <w:t>9</w:t>
            </w:r>
            <w:r w:rsidR="00672004">
              <w:rPr>
                <w:sz w:val="18"/>
              </w:rPr>
              <w:t>,200</w:t>
            </w:r>
          </w:p>
        </w:tc>
        <w:tc>
          <w:tcPr>
            <w:tcW w:w="1155" w:type="dxa"/>
            <w:vAlign w:val="center"/>
          </w:tcPr>
          <w:p w:rsidR="00672004" w:rsidRDefault="00672004">
            <w:pPr>
              <w:jc w:val="center"/>
              <w:rPr>
                <w:sz w:val="18"/>
              </w:rPr>
            </w:pPr>
            <w:r>
              <w:rPr>
                <w:sz w:val="18"/>
              </w:rPr>
              <w:t>2.00</w:t>
            </w:r>
          </w:p>
        </w:tc>
        <w:tc>
          <w:tcPr>
            <w:tcW w:w="1169" w:type="dxa"/>
            <w:vAlign w:val="center"/>
          </w:tcPr>
          <w:p w:rsidR="00672004" w:rsidRDefault="00672004" w:rsidP="00866DDD">
            <w:pPr>
              <w:jc w:val="center"/>
              <w:rPr>
                <w:sz w:val="18"/>
              </w:rPr>
            </w:pPr>
            <w:r>
              <w:rPr>
                <w:sz w:val="18"/>
              </w:rPr>
              <w:t>1</w:t>
            </w:r>
            <w:r w:rsidR="00866DDD">
              <w:rPr>
                <w:sz w:val="18"/>
              </w:rPr>
              <w:t>8</w:t>
            </w:r>
            <w:r>
              <w:rPr>
                <w:sz w:val="18"/>
              </w:rPr>
              <w:t>,400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27</w:t>
            </w:r>
            <w:r>
              <w:rPr>
                <w:sz w:val="18"/>
              </w:rPr>
              <w:t>6,000</w:t>
            </w:r>
          </w:p>
        </w:tc>
      </w:tr>
      <w:tr w:rsidR="00672004" w:rsidTr="00BB1090">
        <w:trPr>
          <w:trHeight w:val="257"/>
        </w:trPr>
        <w:tc>
          <w:tcPr>
            <w:tcW w:w="2791" w:type="dxa"/>
            <w:vAlign w:val="center"/>
          </w:tcPr>
          <w:p w:rsidR="00672004" w:rsidRDefault="00672004">
            <w:pPr>
              <w:rPr>
                <w:sz w:val="18"/>
              </w:rPr>
            </w:pPr>
            <w:proofErr w:type="spellStart"/>
            <w:r>
              <w:rPr>
                <w:sz w:val="18"/>
              </w:rPr>
              <w:t>Reconveyance</w:t>
            </w:r>
            <w:proofErr w:type="spellEnd"/>
            <w:r>
              <w:rPr>
                <w:sz w:val="18"/>
              </w:rPr>
              <w:t xml:space="preserve"> of Title</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1</w:t>
            </w:r>
            <w:r w:rsidR="00866DDD">
              <w:rPr>
                <w:sz w:val="18"/>
              </w:rPr>
              <w:t>4</w:t>
            </w:r>
          </w:p>
        </w:tc>
        <w:tc>
          <w:tcPr>
            <w:tcW w:w="1121" w:type="dxa"/>
            <w:vAlign w:val="center"/>
          </w:tcPr>
          <w:p w:rsidR="00672004" w:rsidRDefault="00866DDD">
            <w:pPr>
              <w:jc w:val="center"/>
              <w:rPr>
                <w:sz w:val="18"/>
              </w:rPr>
            </w:pPr>
            <w:r>
              <w:rPr>
                <w:sz w:val="18"/>
              </w:rPr>
              <w:t>4</w:t>
            </w:r>
            <w:r w:rsidR="00672004">
              <w:rPr>
                <w:sz w:val="18"/>
              </w:rPr>
              <w:t>,600</w:t>
            </w:r>
          </w:p>
        </w:tc>
        <w:tc>
          <w:tcPr>
            <w:tcW w:w="1155" w:type="dxa"/>
            <w:vAlign w:val="center"/>
          </w:tcPr>
          <w:p w:rsidR="00672004" w:rsidRDefault="00672004">
            <w:pPr>
              <w:jc w:val="center"/>
              <w:rPr>
                <w:sz w:val="18"/>
              </w:rPr>
            </w:pPr>
            <w:r>
              <w:rPr>
                <w:sz w:val="18"/>
              </w:rPr>
              <w:t>2.00</w:t>
            </w:r>
          </w:p>
        </w:tc>
        <w:tc>
          <w:tcPr>
            <w:tcW w:w="1169" w:type="dxa"/>
            <w:vAlign w:val="center"/>
          </w:tcPr>
          <w:p w:rsidR="00672004" w:rsidRDefault="00866DDD">
            <w:pPr>
              <w:jc w:val="center"/>
              <w:rPr>
                <w:sz w:val="18"/>
              </w:rPr>
            </w:pPr>
            <w:r>
              <w:rPr>
                <w:sz w:val="18"/>
              </w:rPr>
              <w:t>9</w:t>
            </w:r>
            <w:r w:rsidR="00672004">
              <w:rPr>
                <w:sz w:val="18"/>
              </w:rPr>
              <w:t>,200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13</w:t>
            </w:r>
            <w:r>
              <w:rPr>
                <w:sz w:val="18"/>
              </w:rPr>
              <w:t>8,000</w:t>
            </w:r>
          </w:p>
        </w:tc>
      </w:tr>
      <w:tr w:rsidR="00672004" w:rsidTr="00BB1090">
        <w:trPr>
          <w:trHeight w:val="275"/>
        </w:trPr>
        <w:tc>
          <w:tcPr>
            <w:tcW w:w="2791" w:type="dxa"/>
            <w:vAlign w:val="center"/>
          </w:tcPr>
          <w:p w:rsidR="00672004" w:rsidRDefault="00672004">
            <w:pPr>
              <w:rPr>
                <w:sz w:val="18"/>
              </w:rPr>
            </w:pPr>
            <w:r>
              <w:rPr>
                <w:sz w:val="18"/>
              </w:rPr>
              <w:t>Occupancy Status Certification</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2</w:t>
            </w:r>
            <w:r w:rsidR="00866DDD">
              <w:rPr>
                <w:sz w:val="18"/>
              </w:rPr>
              <w:t>84</w:t>
            </w:r>
          </w:p>
        </w:tc>
        <w:tc>
          <w:tcPr>
            <w:tcW w:w="1121" w:type="dxa"/>
            <w:vAlign w:val="center"/>
          </w:tcPr>
          <w:p w:rsidR="00672004" w:rsidRDefault="00866DDD">
            <w:pPr>
              <w:jc w:val="center"/>
              <w:rPr>
                <w:sz w:val="18"/>
              </w:rPr>
            </w:pPr>
            <w:r>
              <w:rPr>
                <w:sz w:val="18"/>
              </w:rPr>
              <w:t>9</w:t>
            </w:r>
            <w:r w:rsidR="00672004">
              <w:rPr>
                <w:sz w:val="18"/>
              </w:rPr>
              <w:t>2,000</w:t>
            </w:r>
          </w:p>
        </w:tc>
        <w:tc>
          <w:tcPr>
            <w:tcW w:w="1155" w:type="dxa"/>
            <w:vAlign w:val="center"/>
          </w:tcPr>
          <w:p w:rsidR="00672004" w:rsidRDefault="00672004">
            <w:pPr>
              <w:jc w:val="center"/>
              <w:rPr>
                <w:sz w:val="18"/>
              </w:rPr>
            </w:pPr>
            <w:r>
              <w:rPr>
                <w:sz w:val="18"/>
              </w:rPr>
              <w:t>.50</w:t>
            </w:r>
          </w:p>
        </w:tc>
        <w:tc>
          <w:tcPr>
            <w:tcW w:w="1169" w:type="dxa"/>
            <w:vAlign w:val="center"/>
          </w:tcPr>
          <w:p w:rsidR="00672004" w:rsidRDefault="00866DDD">
            <w:pPr>
              <w:jc w:val="center"/>
              <w:rPr>
                <w:sz w:val="18"/>
              </w:rPr>
            </w:pPr>
            <w:r>
              <w:rPr>
                <w:sz w:val="18"/>
              </w:rPr>
              <w:t>4</w:t>
            </w:r>
            <w:r w:rsidR="00672004">
              <w:rPr>
                <w:sz w:val="18"/>
              </w:rPr>
              <w:t>6,000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6</w:t>
            </w:r>
            <w:r>
              <w:rPr>
                <w:sz w:val="18"/>
              </w:rPr>
              <w:t>90,000</w:t>
            </w:r>
          </w:p>
        </w:tc>
      </w:tr>
      <w:tr w:rsidR="00672004" w:rsidTr="00BB1090">
        <w:trPr>
          <w:trHeight w:val="257"/>
        </w:trPr>
        <w:tc>
          <w:tcPr>
            <w:tcW w:w="2791" w:type="dxa"/>
            <w:vAlign w:val="center"/>
          </w:tcPr>
          <w:p w:rsidR="00672004" w:rsidRDefault="00672004">
            <w:pPr>
              <w:pStyle w:val="Heading9"/>
              <w:rPr>
                <w:b w:val="0"/>
                <w:bCs w:val="0"/>
              </w:rPr>
            </w:pPr>
            <w:r>
              <w:rPr>
                <w:b w:val="0"/>
                <w:bCs w:val="0"/>
              </w:rPr>
              <w:t>Hazard Insurance Cancellation</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2</w:t>
            </w:r>
            <w:r w:rsidR="00866DDD">
              <w:rPr>
                <w:sz w:val="18"/>
              </w:rPr>
              <w:t>84</w:t>
            </w:r>
          </w:p>
        </w:tc>
        <w:tc>
          <w:tcPr>
            <w:tcW w:w="1121" w:type="dxa"/>
            <w:vAlign w:val="center"/>
          </w:tcPr>
          <w:p w:rsidR="00672004" w:rsidRDefault="00866DDD">
            <w:pPr>
              <w:jc w:val="center"/>
              <w:rPr>
                <w:sz w:val="18"/>
              </w:rPr>
            </w:pPr>
            <w:r>
              <w:rPr>
                <w:sz w:val="18"/>
              </w:rPr>
              <w:t>9</w:t>
            </w:r>
            <w:r w:rsidR="00672004">
              <w:rPr>
                <w:sz w:val="18"/>
              </w:rPr>
              <w:t>2,000</w:t>
            </w:r>
          </w:p>
        </w:tc>
        <w:tc>
          <w:tcPr>
            <w:tcW w:w="1155" w:type="dxa"/>
            <w:vAlign w:val="center"/>
          </w:tcPr>
          <w:p w:rsidR="00672004" w:rsidRDefault="00672004">
            <w:pPr>
              <w:jc w:val="center"/>
              <w:rPr>
                <w:sz w:val="18"/>
              </w:rPr>
            </w:pPr>
            <w:r>
              <w:rPr>
                <w:sz w:val="18"/>
              </w:rPr>
              <w:t>.50</w:t>
            </w:r>
          </w:p>
        </w:tc>
        <w:tc>
          <w:tcPr>
            <w:tcW w:w="1169" w:type="dxa"/>
            <w:vAlign w:val="center"/>
          </w:tcPr>
          <w:p w:rsidR="00672004" w:rsidRDefault="00866DDD">
            <w:pPr>
              <w:jc w:val="center"/>
              <w:rPr>
                <w:sz w:val="18"/>
              </w:rPr>
            </w:pPr>
            <w:r>
              <w:rPr>
                <w:sz w:val="18"/>
              </w:rPr>
              <w:t>4</w:t>
            </w:r>
            <w:r w:rsidR="00672004">
              <w:rPr>
                <w:sz w:val="18"/>
              </w:rPr>
              <w:t>6,000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6</w:t>
            </w:r>
            <w:r>
              <w:rPr>
                <w:sz w:val="18"/>
              </w:rPr>
              <w:t>90,000</w:t>
            </w:r>
          </w:p>
        </w:tc>
      </w:tr>
      <w:tr w:rsidR="00672004" w:rsidTr="00BB1090">
        <w:trPr>
          <w:trHeight w:val="257"/>
        </w:trPr>
        <w:tc>
          <w:tcPr>
            <w:tcW w:w="2791" w:type="dxa"/>
            <w:vAlign w:val="center"/>
          </w:tcPr>
          <w:p w:rsidR="00672004" w:rsidRDefault="00672004">
            <w:pPr>
              <w:pStyle w:val="Heading9"/>
              <w:rPr>
                <w:b w:val="0"/>
                <w:bCs w:val="0"/>
              </w:rPr>
            </w:pPr>
            <w:r>
              <w:rPr>
                <w:b w:val="0"/>
                <w:bCs w:val="0"/>
              </w:rPr>
              <w:t>HUD Claims Review</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2</w:t>
            </w:r>
            <w:r w:rsidR="00866DDD">
              <w:rPr>
                <w:sz w:val="18"/>
              </w:rPr>
              <w:t>8</w:t>
            </w:r>
          </w:p>
        </w:tc>
        <w:tc>
          <w:tcPr>
            <w:tcW w:w="1121" w:type="dxa"/>
            <w:vAlign w:val="center"/>
          </w:tcPr>
          <w:p w:rsidR="00672004" w:rsidRDefault="00866DDD">
            <w:pPr>
              <w:jc w:val="center"/>
              <w:rPr>
                <w:sz w:val="18"/>
              </w:rPr>
            </w:pPr>
            <w:r>
              <w:rPr>
                <w:sz w:val="18"/>
              </w:rPr>
              <w:t>9</w:t>
            </w:r>
            <w:r w:rsidR="00672004">
              <w:rPr>
                <w:sz w:val="18"/>
              </w:rPr>
              <w:t>,200</w:t>
            </w:r>
          </w:p>
        </w:tc>
        <w:tc>
          <w:tcPr>
            <w:tcW w:w="1155" w:type="dxa"/>
            <w:vAlign w:val="center"/>
          </w:tcPr>
          <w:p w:rsidR="00672004" w:rsidRDefault="00672004">
            <w:pPr>
              <w:jc w:val="center"/>
              <w:rPr>
                <w:sz w:val="18"/>
              </w:rPr>
            </w:pPr>
            <w:r>
              <w:rPr>
                <w:sz w:val="18"/>
              </w:rPr>
              <w:t>1.00</w:t>
            </w:r>
          </w:p>
        </w:tc>
        <w:tc>
          <w:tcPr>
            <w:tcW w:w="1169" w:type="dxa"/>
            <w:vAlign w:val="center"/>
          </w:tcPr>
          <w:p w:rsidR="00672004" w:rsidRDefault="00866DDD">
            <w:pPr>
              <w:jc w:val="center"/>
              <w:rPr>
                <w:sz w:val="18"/>
              </w:rPr>
            </w:pPr>
            <w:r>
              <w:rPr>
                <w:sz w:val="18"/>
              </w:rPr>
              <w:t>9</w:t>
            </w:r>
            <w:r w:rsidR="00672004">
              <w:rPr>
                <w:sz w:val="18"/>
              </w:rPr>
              <w:t>,200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pPr>
            <w:r>
              <w:rPr>
                <w:sz w:val="18"/>
              </w:rPr>
              <w:t>$</w:t>
            </w:r>
            <w:r w:rsidR="00866DDD">
              <w:rPr>
                <w:sz w:val="18"/>
              </w:rPr>
              <w:t>13</w:t>
            </w:r>
            <w:r>
              <w:rPr>
                <w:sz w:val="18"/>
              </w:rPr>
              <w:t>8,000</w:t>
            </w:r>
          </w:p>
        </w:tc>
      </w:tr>
      <w:tr w:rsidR="00672004" w:rsidTr="00BB1090">
        <w:trPr>
          <w:trHeight w:val="257"/>
        </w:trPr>
        <w:tc>
          <w:tcPr>
            <w:tcW w:w="2791" w:type="dxa"/>
            <w:tcBorders>
              <w:bottom w:val="single" w:sz="4" w:space="0" w:color="auto"/>
            </w:tcBorders>
            <w:vAlign w:val="center"/>
          </w:tcPr>
          <w:p w:rsidR="00672004" w:rsidRDefault="00672004">
            <w:pPr>
              <w:pStyle w:val="Heading9"/>
              <w:rPr>
                <w:b w:val="0"/>
                <w:bCs w:val="0"/>
              </w:rPr>
            </w:pPr>
            <w:r>
              <w:rPr>
                <w:b w:val="0"/>
                <w:bCs w:val="0"/>
              </w:rPr>
              <w:t xml:space="preserve">Optional Deficiency Judgment </w:t>
            </w:r>
          </w:p>
        </w:tc>
        <w:tc>
          <w:tcPr>
            <w:tcW w:w="1312" w:type="dxa"/>
            <w:tcBorders>
              <w:bottom w:val="single" w:sz="4" w:space="0" w:color="auto"/>
            </w:tcBorders>
            <w:vAlign w:val="center"/>
          </w:tcPr>
          <w:p w:rsidR="00672004" w:rsidRDefault="00A53E6C">
            <w:pPr>
              <w:jc w:val="center"/>
              <w:rPr>
                <w:sz w:val="18"/>
              </w:rPr>
            </w:pPr>
            <w:r>
              <w:rPr>
                <w:sz w:val="18"/>
              </w:rPr>
              <w:t>324</w:t>
            </w:r>
          </w:p>
        </w:tc>
        <w:tc>
          <w:tcPr>
            <w:tcW w:w="1036" w:type="dxa"/>
            <w:tcBorders>
              <w:bottom w:val="single" w:sz="4" w:space="0" w:color="auto"/>
            </w:tcBorders>
            <w:vAlign w:val="center"/>
          </w:tcPr>
          <w:p w:rsidR="00672004" w:rsidRDefault="00866DDD">
            <w:pPr>
              <w:jc w:val="center"/>
              <w:rPr>
                <w:sz w:val="18"/>
              </w:rPr>
            </w:pPr>
            <w:r>
              <w:rPr>
                <w:sz w:val="18"/>
              </w:rPr>
              <w:t>3</w:t>
            </w:r>
          </w:p>
        </w:tc>
        <w:tc>
          <w:tcPr>
            <w:tcW w:w="1121" w:type="dxa"/>
            <w:tcBorders>
              <w:bottom w:val="single" w:sz="4" w:space="0" w:color="auto"/>
            </w:tcBorders>
            <w:vAlign w:val="center"/>
          </w:tcPr>
          <w:p w:rsidR="00672004" w:rsidRDefault="00866DDD">
            <w:pPr>
              <w:jc w:val="center"/>
              <w:rPr>
                <w:sz w:val="18"/>
              </w:rPr>
            </w:pPr>
            <w:r>
              <w:rPr>
                <w:sz w:val="18"/>
              </w:rPr>
              <w:t>9</w:t>
            </w:r>
            <w:r w:rsidR="00672004">
              <w:rPr>
                <w:sz w:val="18"/>
              </w:rPr>
              <w:t>20</w:t>
            </w:r>
          </w:p>
        </w:tc>
        <w:tc>
          <w:tcPr>
            <w:tcW w:w="1155" w:type="dxa"/>
            <w:tcBorders>
              <w:bottom w:val="single" w:sz="4" w:space="0" w:color="auto"/>
            </w:tcBorders>
            <w:vAlign w:val="center"/>
          </w:tcPr>
          <w:p w:rsidR="00672004" w:rsidRDefault="00672004">
            <w:pPr>
              <w:jc w:val="center"/>
              <w:rPr>
                <w:sz w:val="18"/>
              </w:rPr>
            </w:pPr>
            <w:r>
              <w:rPr>
                <w:sz w:val="18"/>
              </w:rPr>
              <w:t>2.00</w:t>
            </w:r>
          </w:p>
        </w:tc>
        <w:tc>
          <w:tcPr>
            <w:tcW w:w="1169" w:type="dxa"/>
            <w:tcBorders>
              <w:bottom w:val="single" w:sz="4" w:space="0" w:color="auto"/>
            </w:tcBorders>
            <w:vAlign w:val="center"/>
          </w:tcPr>
          <w:p w:rsidR="00672004" w:rsidRDefault="00672004" w:rsidP="00866DDD">
            <w:pPr>
              <w:jc w:val="center"/>
              <w:rPr>
                <w:sz w:val="18"/>
              </w:rPr>
            </w:pPr>
            <w:r>
              <w:rPr>
                <w:sz w:val="18"/>
              </w:rPr>
              <w:t>1,</w:t>
            </w:r>
            <w:r w:rsidR="00866DDD">
              <w:rPr>
                <w:sz w:val="18"/>
              </w:rPr>
              <w:t>8</w:t>
            </w:r>
            <w:r>
              <w:rPr>
                <w:sz w:val="18"/>
              </w:rPr>
              <w:t>40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866DDD">
            <w:pPr>
              <w:jc w:val="right"/>
            </w:pPr>
            <w:r>
              <w:rPr>
                <w:sz w:val="18"/>
              </w:rPr>
              <w:t>$</w:t>
            </w:r>
            <w:r w:rsidR="00866DDD">
              <w:rPr>
                <w:sz w:val="18"/>
              </w:rPr>
              <w:t>27</w:t>
            </w:r>
            <w:r>
              <w:rPr>
                <w:sz w:val="18"/>
              </w:rPr>
              <w:t>,600</w:t>
            </w:r>
          </w:p>
        </w:tc>
      </w:tr>
      <w:tr w:rsidR="00672004" w:rsidTr="00BB1090">
        <w:trPr>
          <w:trHeight w:val="257"/>
        </w:trPr>
        <w:tc>
          <w:tcPr>
            <w:tcW w:w="2791" w:type="dxa"/>
            <w:shd w:val="clear" w:color="auto" w:fill="E0E0E0"/>
            <w:vAlign w:val="center"/>
          </w:tcPr>
          <w:p w:rsidR="00672004" w:rsidRDefault="00672004">
            <w:pPr>
              <w:pStyle w:val="Heading9"/>
              <w:rPr>
                <w:sz w:val="20"/>
              </w:rPr>
            </w:pPr>
            <w:r>
              <w:rPr>
                <w:sz w:val="20"/>
              </w:rPr>
              <w:t xml:space="preserve">Occupied Conveyance </w:t>
            </w:r>
          </w:p>
        </w:tc>
        <w:tc>
          <w:tcPr>
            <w:tcW w:w="1312" w:type="dxa"/>
            <w:shd w:val="clear" w:color="auto" w:fill="E0E0E0"/>
            <w:vAlign w:val="center"/>
          </w:tcPr>
          <w:p w:rsidR="00672004" w:rsidRDefault="00672004">
            <w:pPr>
              <w:jc w:val="center"/>
              <w:rPr>
                <w:sz w:val="18"/>
              </w:rPr>
            </w:pPr>
          </w:p>
        </w:tc>
        <w:tc>
          <w:tcPr>
            <w:tcW w:w="1036" w:type="dxa"/>
            <w:shd w:val="clear" w:color="auto" w:fill="E0E0E0"/>
            <w:vAlign w:val="center"/>
          </w:tcPr>
          <w:p w:rsidR="00672004" w:rsidRDefault="00672004">
            <w:pPr>
              <w:rPr>
                <w:sz w:val="18"/>
              </w:rPr>
            </w:pPr>
          </w:p>
        </w:tc>
        <w:tc>
          <w:tcPr>
            <w:tcW w:w="1121" w:type="dxa"/>
            <w:shd w:val="clear" w:color="auto" w:fill="E0E0E0"/>
            <w:vAlign w:val="center"/>
          </w:tcPr>
          <w:p w:rsidR="00672004" w:rsidRDefault="00672004">
            <w:pPr>
              <w:rPr>
                <w:sz w:val="18"/>
              </w:rPr>
            </w:pPr>
          </w:p>
        </w:tc>
        <w:tc>
          <w:tcPr>
            <w:tcW w:w="1155" w:type="dxa"/>
            <w:shd w:val="clear" w:color="auto" w:fill="E0E0E0"/>
            <w:vAlign w:val="center"/>
          </w:tcPr>
          <w:p w:rsidR="00672004" w:rsidRDefault="00672004">
            <w:pPr>
              <w:rPr>
                <w:sz w:val="18"/>
              </w:rPr>
            </w:pPr>
          </w:p>
        </w:tc>
        <w:tc>
          <w:tcPr>
            <w:tcW w:w="1169" w:type="dxa"/>
            <w:shd w:val="clear" w:color="auto" w:fill="E0E0E0"/>
            <w:vAlign w:val="center"/>
          </w:tcPr>
          <w:p w:rsidR="00672004" w:rsidRDefault="00672004">
            <w:pPr>
              <w:rPr>
                <w:sz w:val="18"/>
              </w:rPr>
            </w:pPr>
          </w:p>
        </w:tc>
        <w:tc>
          <w:tcPr>
            <w:tcW w:w="1164" w:type="dxa"/>
            <w:shd w:val="clear" w:color="auto" w:fill="E0E0E0"/>
            <w:vAlign w:val="center"/>
          </w:tcPr>
          <w:p w:rsidR="00672004" w:rsidRDefault="00672004">
            <w:pPr>
              <w:rPr>
                <w:sz w:val="18"/>
              </w:rPr>
            </w:pPr>
          </w:p>
        </w:tc>
        <w:tc>
          <w:tcPr>
            <w:tcW w:w="1116" w:type="dxa"/>
            <w:shd w:val="clear" w:color="auto" w:fill="E0E0E0"/>
            <w:vAlign w:val="center"/>
          </w:tcPr>
          <w:p w:rsidR="00672004" w:rsidRDefault="00672004">
            <w:pPr>
              <w:jc w:val="right"/>
              <w:rPr>
                <w:sz w:val="18"/>
              </w:rPr>
            </w:pPr>
          </w:p>
        </w:tc>
      </w:tr>
      <w:tr w:rsidR="00672004" w:rsidTr="00BB1090">
        <w:trPr>
          <w:trHeight w:val="275"/>
        </w:trPr>
        <w:tc>
          <w:tcPr>
            <w:tcW w:w="2791" w:type="dxa"/>
            <w:vAlign w:val="center"/>
          </w:tcPr>
          <w:p w:rsidR="00672004" w:rsidRDefault="00672004" w:rsidP="003E3ACB">
            <w:pPr>
              <w:rPr>
                <w:sz w:val="18"/>
              </w:rPr>
            </w:pPr>
            <w:r>
              <w:rPr>
                <w:sz w:val="18"/>
              </w:rPr>
              <w:t>HUD-9539 “Request for Occupied Conveyance”</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rsidP="00866DDD">
            <w:pPr>
              <w:jc w:val="center"/>
              <w:rPr>
                <w:sz w:val="18"/>
              </w:rPr>
            </w:pPr>
            <w:r>
              <w:rPr>
                <w:sz w:val="18"/>
              </w:rPr>
              <w:t>2</w:t>
            </w:r>
            <w:r w:rsidR="00866DDD">
              <w:rPr>
                <w:sz w:val="18"/>
              </w:rPr>
              <w:t>8</w:t>
            </w:r>
          </w:p>
        </w:tc>
        <w:tc>
          <w:tcPr>
            <w:tcW w:w="1121" w:type="dxa"/>
            <w:vAlign w:val="center"/>
          </w:tcPr>
          <w:p w:rsidR="00672004" w:rsidRDefault="00866DDD">
            <w:pPr>
              <w:jc w:val="center"/>
              <w:rPr>
                <w:sz w:val="18"/>
              </w:rPr>
            </w:pPr>
            <w:r>
              <w:rPr>
                <w:sz w:val="18"/>
              </w:rPr>
              <w:t>9</w:t>
            </w:r>
            <w:r w:rsidR="00672004">
              <w:rPr>
                <w:sz w:val="18"/>
              </w:rPr>
              <w:t>,200</w:t>
            </w:r>
          </w:p>
        </w:tc>
        <w:tc>
          <w:tcPr>
            <w:tcW w:w="1155" w:type="dxa"/>
            <w:vAlign w:val="center"/>
          </w:tcPr>
          <w:p w:rsidR="00672004" w:rsidRDefault="00672004" w:rsidP="00866DDD">
            <w:pPr>
              <w:jc w:val="center"/>
              <w:rPr>
                <w:sz w:val="18"/>
              </w:rPr>
            </w:pPr>
            <w:r>
              <w:rPr>
                <w:sz w:val="18"/>
              </w:rPr>
              <w:t>.</w:t>
            </w:r>
            <w:r w:rsidR="00866DDD">
              <w:rPr>
                <w:sz w:val="18"/>
              </w:rPr>
              <w:t>2</w:t>
            </w:r>
            <w:r>
              <w:rPr>
                <w:sz w:val="18"/>
              </w:rPr>
              <w:t>5</w:t>
            </w:r>
          </w:p>
        </w:tc>
        <w:tc>
          <w:tcPr>
            <w:tcW w:w="1169" w:type="dxa"/>
            <w:vAlign w:val="center"/>
          </w:tcPr>
          <w:p w:rsidR="00672004" w:rsidRDefault="00672004" w:rsidP="00866DDD">
            <w:pPr>
              <w:jc w:val="center"/>
              <w:rPr>
                <w:sz w:val="18"/>
              </w:rPr>
            </w:pPr>
            <w:r>
              <w:rPr>
                <w:sz w:val="18"/>
              </w:rPr>
              <w:t>2,</w:t>
            </w:r>
            <w:r w:rsidR="00866DDD">
              <w:rPr>
                <w:sz w:val="18"/>
              </w:rPr>
              <w:t>3</w:t>
            </w:r>
            <w:r>
              <w:rPr>
                <w:sz w:val="18"/>
              </w:rPr>
              <w:t>00</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rPr>
                <w:sz w:val="18"/>
              </w:rPr>
            </w:pPr>
            <w:r>
              <w:rPr>
                <w:sz w:val="18"/>
              </w:rPr>
              <w:t>$3</w:t>
            </w:r>
            <w:r w:rsidR="00866DDD">
              <w:rPr>
                <w:sz w:val="18"/>
              </w:rPr>
              <w:t>4</w:t>
            </w:r>
            <w:r>
              <w:rPr>
                <w:sz w:val="18"/>
              </w:rPr>
              <w:t>,</w:t>
            </w:r>
            <w:r w:rsidR="00866DDD">
              <w:rPr>
                <w:sz w:val="18"/>
              </w:rPr>
              <w:t>5</w:t>
            </w:r>
            <w:r>
              <w:rPr>
                <w:sz w:val="18"/>
              </w:rPr>
              <w:t>00</w:t>
            </w:r>
          </w:p>
        </w:tc>
      </w:tr>
      <w:tr w:rsidR="00672004" w:rsidTr="00BB1090">
        <w:trPr>
          <w:trHeight w:val="455"/>
        </w:trPr>
        <w:tc>
          <w:tcPr>
            <w:tcW w:w="2791" w:type="dxa"/>
            <w:shd w:val="clear" w:color="auto" w:fill="E0E0E0"/>
            <w:vAlign w:val="center"/>
          </w:tcPr>
          <w:p w:rsidR="00672004" w:rsidRDefault="00672004">
            <w:pPr>
              <w:rPr>
                <w:b/>
                <w:bCs/>
              </w:rPr>
            </w:pPr>
            <w:r>
              <w:rPr>
                <w:b/>
                <w:bCs/>
              </w:rPr>
              <w:t>Claims Without Conveyance of Title</w:t>
            </w:r>
          </w:p>
        </w:tc>
        <w:tc>
          <w:tcPr>
            <w:tcW w:w="1312" w:type="dxa"/>
            <w:shd w:val="clear" w:color="auto" w:fill="E0E0E0"/>
            <w:vAlign w:val="center"/>
          </w:tcPr>
          <w:p w:rsidR="00672004" w:rsidRDefault="00672004">
            <w:pPr>
              <w:jc w:val="center"/>
              <w:rPr>
                <w:sz w:val="18"/>
              </w:rPr>
            </w:pPr>
          </w:p>
        </w:tc>
        <w:tc>
          <w:tcPr>
            <w:tcW w:w="1036" w:type="dxa"/>
            <w:shd w:val="clear" w:color="auto" w:fill="E0E0E0"/>
            <w:vAlign w:val="center"/>
          </w:tcPr>
          <w:p w:rsidR="00672004" w:rsidRDefault="00672004">
            <w:pPr>
              <w:rPr>
                <w:sz w:val="18"/>
              </w:rPr>
            </w:pPr>
          </w:p>
        </w:tc>
        <w:tc>
          <w:tcPr>
            <w:tcW w:w="1121" w:type="dxa"/>
            <w:shd w:val="clear" w:color="auto" w:fill="E0E0E0"/>
            <w:vAlign w:val="center"/>
          </w:tcPr>
          <w:p w:rsidR="00672004" w:rsidRDefault="00672004">
            <w:pPr>
              <w:rPr>
                <w:sz w:val="18"/>
              </w:rPr>
            </w:pPr>
          </w:p>
        </w:tc>
        <w:tc>
          <w:tcPr>
            <w:tcW w:w="1155" w:type="dxa"/>
            <w:shd w:val="clear" w:color="auto" w:fill="E0E0E0"/>
            <w:vAlign w:val="center"/>
          </w:tcPr>
          <w:p w:rsidR="00672004" w:rsidRDefault="00672004">
            <w:pPr>
              <w:rPr>
                <w:sz w:val="18"/>
              </w:rPr>
            </w:pPr>
          </w:p>
        </w:tc>
        <w:tc>
          <w:tcPr>
            <w:tcW w:w="1169" w:type="dxa"/>
            <w:shd w:val="clear" w:color="auto" w:fill="E0E0E0"/>
            <w:vAlign w:val="center"/>
          </w:tcPr>
          <w:p w:rsidR="00672004" w:rsidRDefault="00672004">
            <w:pPr>
              <w:rPr>
                <w:sz w:val="18"/>
              </w:rPr>
            </w:pPr>
          </w:p>
        </w:tc>
        <w:tc>
          <w:tcPr>
            <w:tcW w:w="1164" w:type="dxa"/>
            <w:shd w:val="clear" w:color="auto" w:fill="E0E0E0"/>
            <w:vAlign w:val="center"/>
          </w:tcPr>
          <w:p w:rsidR="00672004" w:rsidRDefault="00672004">
            <w:pPr>
              <w:rPr>
                <w:sz w:val="18"/>
              </w:rPr>
            </w:pPr>
          </w:p>
        </w:tc>
        <w:tc>
          <w:tcPr>
            <w:tcW w:w="1116" w:type="dxa"/>
            <w:shd w:val="clear" w:color="auto" w:fill="E0E0E0"/>
            <w:vAlign w:val="center"/>
          </w:tcPr>
          <w:p w:rsidR="00672004" w:rsidRDefault="00672004">
            <w:pPr>
              <w:jc w:val="right"/>
              <w:rPr>
                <w:sz w:val="18"/>
              </w:rPr>
            </w:pPr>
          </w:p>
        </w:tc>
      </w:tr>
      <w:tr w:rsidR="00672004" w:rsidTr="00BB1090">
        <w:trPr>
          <w:trHeight w:val="257"/>
        </w:trPr>
        <w:tc>
          <w:tcPr>
            <w:tcW w:w="2791" w:type="dxa"/>
            <w:vAlign w:val="center"/>
          </w:tcPr>
          <w:p w:rsidR="00672004" w:rsidRDefault="00672004">
            <w:pPr>
              <w:rPr>
                <w:sz w:val="18"/>
              </w:rPr>
            </w:pPr>
            <w:r>
              <w:rPr>
                <w:sz w:val="18"/>
              </w:rPr>
              <w:t xml:space="preserve">CWOT Evaluation </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pPr>
              <w:jc w:val="center"/>
              <w:rPr>
                <w:sz w:val="18"/>
              </w:rPr>
            </w:pPr>
            <w:r>
              <w:rPr>
                <w:sz w:val="18"/>
              </w:rPr>
              <w:t>&lt;1</w:t>
            </w:r>
          </w:p>
        </w:tc>
        <w:tc>
          <w:tcPr>
            <w:tcW w:w="1121" w:type="dxa"/>
            <w:vAlign w:val="center"/>
          </w:tcPr>
          <w:p w:rsidR="00672004" w:rsidRDefault="00866DDD">
            <w:pPr>
              <w:jc w:val="center"/>
              <w:rPr>
                <w:sz w:val="18"/>
              </w:rPr>
            </w:pPr>
            <w:r>
              <w:rPr>
                <w:sz w:val="18"/>
              </w:rPr>
              <w:t>9</w:t>
            </w:r>
            <w:r w:rsidR="00672004">
              <w:rPr>
                <w:sz w:val="18"/>
              </w:rPr>
              <w:t>2</w:t>
            </w:r>
          </w:p>
        </w:tc>
        <w:tc>
          <w:tcPr>
            <w:tcW w:w="1155" w:type="dxa"/>
            <w:vAlign w:val="center"/>
          </w:tcPr>
          <w:p w:rsidR="00672004" w:rsidRDefault="00672004">
            <w:pPr>
              <w:jc w:val="center"/>
              <w:rPr>
                <w:sz w:val="18"/>
              </w:rPr>
            </w:pPr>
            <w:r>
              <w:rPr>
                <w:sz w:val="18"/>
              </w:rPr>
              <w:t>4.00</w:t>
            </w:r>
          </w:p>
        </w:tc>
        <w:tc>
          <w:tcPr>
            <w:tcW w:w="1169" w:type="dxa"/>
            <w:vAlign w:val="center"/>
          </w:tcPr>
          <w:p w:rsidR="00672004" w:rsidRDefault="00866DDD">
            <w:pPr>
              <w:jc w:val="center"/>
              <w:rPr>
                <w:sz w:val="18"/>
              </w:rPr>
            </w:pPr>
            <w:r>
              <w:rPr>
                <w:sz w:val="18"/>
              </w:rPr>
              <w:t>36</w:t>
            </w:r>
            <w:r w:rsidR="00672004">
              <w:rPr>
                <w:sz w:val="18"/>
              </w:rPr>
              <w:t>8</w:t>
            </w:r>
          </w:p>
        </w:tc>
        <w:tc>
          <w:tcPr>
            <w:tcW w:w="1164" w:type="dxa"/>
            <w:vAlign w:val="center"/>
          </w:tcPr>
          <w:p w:rsidR="00672004" w:rsidRDefault="00672004">
            <w:pPr>
              <w:jc w:val="center"/>
              <w:rPr>
                <w:sz w:val="18"/>
              </w:rPr>
            </w:pPr>
            <w:r>
              <w:rPr>
                <w:sz w:val="18"/>
              </w:rPr>
              <w:t>$15.00</w:t>
            </w:r>
          </w:p>
        </w:tc>
        <w:tc>
          <w:tcPr>
            <w:tcW w:w="1116" w:type="dxa"/>
            <w:vAlign w:val="center"/>
          </w:tcPr>
          <w:p w:rsidR="00672004" w:rsidRDefault="00672004" w:rsidP="00866DDD">
            <w:pPr>
              <w:jc w:val="right"/>
              <w:rPr>
                <w:sz w:val="18"/>
              </w:rPr>
            </w:pPr>
            <w:r>
              <w:rPr>
                <w:sz w:val="18"/>
              </w:rPr>
              <w:t>$</w:t>
            </w:r>
            <w:r w:rsidR="00866DDD">
              <w:rPr>
                <w:sz w:val="18"/>
              </w:rPr>
              <w:t>5</w:t>
            </w:r>
            <w:r>
              <w:rPr>
                <w:sz w:val="18"/>
              </w:rPr>
              <w:t>,</w:t>
            </w:r>
            <w:r w:rsidR="00866DDD">
              <w:rPr>
                <w:sz w:val="18"/>
              </w:rPr>
              <w:t>5</w:t>
            </w:r>
            <w:r>
              <w:rPr>
                <w:sz w:val="18"/>
              </w:rPr>
              <w:t>20</w:t>
            </w:r>
          </w:p>
        </w:tc>
      </w:tr>
      <w:tr w:rsidR="00672004" w:rsidTr="00BB1090">
        <w:trPr>
          <w:trHeight w:val="257"/>
        </w:trPr>
        <w:tc>
          <w:tcPr>
            <w:tcW w:w="2791" w:type="dxa"/>
            <w:vAlign w:val="center"/>
          </w:tcPr>
          <w:p w:rsidR="00672004" w:rsidRDefault="00672004">
            <w:pPr>
              <w:rPr>
                <w:sz w:val="18"/>
              </w:rPr>
            </w:pPr>
            <w:r>
              <w:rPr>
                <w:sz w:val="18"/>
              </w:rPr>
              <w:t>HUD-91022 “Mortgagee Notice of Foreclosure”</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pPr>
              <w:jc w:val="center"/>
              <w:rPr>
                <w:sz w:val="18"/>
              </w:rPr>
            </w:pPr>
            <w:r>
              <w:rPr>
                <w:sz w:val="18"/>
              </w:rPr>
              <w:t>&lt;1</w:t>
            </w:r>
          </w:p>
        </w:tc>
        <w:tc>
          <w:tcPr>
            <w:tcW w:w="1121" w:type="dxa"/>
            <w:vAlign w:val="center"/>
          </w:tcPr>
          <w:p w:rsidR="00672004" w:rsidRDefault="00866DDD">
            <w:pPr>
              <w:jc w:val="center"/>
              <w:rPr>
                <w:sz w:val="18"/>
              </w:rPr>
            </w:pPr>
            <w:r>
              <w:rPr>
                <w:sz w:val="18"/>
              </w:rPr>
              <w:t>9</w:t>
            </w:r>
            <w:r w:rsidR="00672004">
              <w:rPr>
                <w:sz w:val="18"/>
              </w:rPr>
              <w:t>2</w:t>
            </w:r>
          </w:p>
        </w:tc>
        <w:tc>
          <w:tcPr>
            <w:tcW w:w="1155" w:type="dxa"/>
            <w:vAlign w:val="center"/>
          </w:tcPr>
          <w:p w:rsidR="00672004" w:rsidRDefault="00866DDD" w:rsidP="00866DDD">
            <w:pPr>
              <w:jc w:val="center"/>
              <w:rPr>
                <w:sz w:val="18"/>
              </w:rPr>
            </w:pPr>
            <w:r>
              <w:rPr>
                <w:sz w:val="18"/>
              </w:rPr>
              <w:t>1</w:t>
            </w:r>
            <w:r w:rsidR="00672004">
              <w:rPr>
                <w:sz w:val="18"/>
              </w:rPr>
              <w:t>.</w:t>
            </w:r>
            <w:r>
              <w:rPr>
                <w:sz w:val="18"/>
              </w:rPr>
              <w:t>0</w:t>
            </w:r>
            <w:r w:rsidR="00672004">
              <w:rPr>
                <w:sz w:val="18"/>
              </w:rPr>
              <w:t>0</w:t>
            </w:r>
          </w:p>
        </w:tc>
        <w:tc>
          <w:tcPr>
            <w:tcW w:w="1169" w:type="dxa"/>
            <w:vAlign w:val="center"/>
          </w:tcPr>
          <w:p w:rsidR="00672004" w:rsidRDefault="00866DDD" w:rsidP="00866DDD">
            <w:pPr>
              <w:jc w:val="center"/>
              <w:rPr>
                <w:sz w:val="18"/>
              </w:rPr>
            </w:pPr>
            <w:r>
              <w:rPr>
                <w:sz w:val="18"/>
              </w:rPr>
              <w:t>9</w:t>
            </w:r>
            <w:r w:rsidR="00672004">
              <w:rPr>
                <w:sz w:val="18"/>
              </w:rPr>
              <w:t>2</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866DDD">
            <w:pPr>
              <w:jc w:val="right"/>
              <w:rPr>
                <w:sz w:val="18"/>
              </w:rPr>
            </w:pPr>
            <w:r>
              <w:rPr>
                <w:sz w:val="18"/>
              </w:rPr>
              <w:t>$</w:t>
            </w:r>
            <w:r w:rsidR="00866DDD">
              <w:rPr>
                <w:sz w:val="18"/>
              </w:rPr>
              <w:t>1,</w:t>
            </w:r>
            <w:r>
              <w:rPr>
                <w:sz w:val="18"/>
              </w:rPr>
              <w:t>3</w:t>
            </w:r>
            <w:r w:rsidR="00866DDD">
              <w:rPr>
                <w:sz w:val="18"/>
              </w:rPr>
              <w:t>8</w:t>
            </w:r>
            <w:r>
              <w:rPr>
                <w:sz w:val="18"/>
              </w:rPr>
              <w:t>0</w:t>
            </w:r>
          </w:p>
        </w:tc>
      </w:tr>
      <w:tr w:rsidR="00672004" w:rsidTr="00BB1090">
        <w:trPr>
          <w:trHeight w:val="257"/>
        </w:trPr>
        <w:tc>
          <w:tcPr>
            <w:tcW w:w="2791" w:type="dxa"/>
            <w:vAlign w:val="center"/>
          </w:tcPr>
          <w:p w:rsidR="00672004" w:rsidRDefault="00672004">
            <w:pPr>
              <w:rPr>
                <w:sz w:val="18"/>
              </w:rPr>
            </w:pPr>
            <w:r>
              <w:rPr>
                <w:sz w:val="18"/>
              </w:rPr>
              <w:t>Appraisal for HUD Approval</w:t>
            </w:r>
          </w:p>
        </w:tc>
        <w:tc>
          <w:tcPr>
            <w:tcW w:w="1312" w:type="dxa"/>
            <w:vAlign w:val="center"/>
          </w:tcPr>
          <w:p w:rsidR="00672004" w:rsidRDefault="00A53E6C">
            <w:pPr>
              <w:jc w:val="center"/>
              <w:rPr>
                <w:sz w:val="18"/>
              </w:rPr>
            </w:pPr>
            <w:r>
              <w:rPr>
                <w:sz w:val="18"/>
              </w:rPr>
              <w:t>324</w:t>
            </w:r>
          </w:p>
        </w:tc>
        <w:tc>
          <w:tcPr>
            <w:tcW w:w="1036" w:type="dxa"/>
            <w:vAlign w:val="center"/>
          </w:tcPr>
          <w:p w:rsidR="00672004" w:rsidRDefault="00672004">
            <w:pPr>
              <w:jc w:val="center"/>
              <w:rPr>
                <w:sz w:val="18"/>
              </w:rPr>
            </w:pPr>
            <w:r>
              <w:rPr>
                <w:sz w:val="18"/>
              </w:rPr>
              <w:t>&lt;1</w:t>
            </w:r>
          </w:p>
        </w:tc>
        <w:tc>
          <w:tcPr>
            <w:tcW w:w="1121" w:type="dxa"/>
            <w:vAlign w:val="center"/>
          </w:tcPr>
          <w:p w:rsidR="00672004" w:rsidRDefault="00866DDD">
            <w:pPr>
              <w:jc w:val="center"/>
              <w:rPr>
                <w:sz w:val="18"/>
              </w:rPr>
            </w:pPr>
            <w:r>
              <w:rPr>
                <w:sz w:val="18"/>
              </w:rPr>
              <w:t>9</w:t>
            </w:r>
            <w:r w:rsidR="00672004">
              <w:rPr>
                <w:sz w:val="18"/>
              </w:rPr>
              <w:t>2</w:t>
            </w:r>
          </w:p>
        </w:tc>
        <w:tc>
          <w:tcPr>
            <w:tcW w:w="1155" w:type="dxa"/>
            <w:vAlign w:val="center"/>
          </w:tcPr>
          <w:p w:rsidR="00672004" w:rsidRDefault="00672004">
            <w:pPr>
              <w:jc w:val="center"/>
              <w:rPr>
                <w:sz w:val="18"/>
              </w:rPr>
            </w:pPr>
            <w:r>
              <w:rPr>
                <w:sz w:val="18"/>
              </w:rPr>
              <w:t>2.00</w:t>
            </w:r>
          </w:p>
        </w:tc>
        <w:tc>
          <w:tcPr>
            <w:tcW w:w="1169" w:type="dxa"/>
            <w:vAlign w:val="center"/>
          </w:tcPr>
          <w:p w:rsidR="00672004" w:rsidRDefault="00672004" w:rsidP="00F07E5C">
            <w:pPr>
              <w:jc w:val="center"/>
              <w:rPr>
                <w:sz w:val="18"/>
              </w:rPr>
            </w:pPr>
            <w:r>
              <w:rPr>
                <w:sz w:val="18"/>
              </w:rPr>
              <w:t>1</w:t>
            </w:r>
            <w:r w:rsidR="00F07E5C">
              <w:rPr>
                <w:sz w:val="18"/>
              </w:rPr>
              <w:t>8</w:t>
            </w:r>
            <w:r>
              <w:rPr>
                <w:sz w:val="18"/>
              </w:rPr>
              <w:t>4</w:t>
            </w:r>
          </w:p>
        </w:tc>
        <w:tc>
          <w:tcPr>
            <w:tcW w:w="1164" w:type="dxa"/>
            <w:vAlign w:val="center"/>
          </w:tcPr>
          <w:p w:rsidR="00672004" w:rsidRDefault="00672004">
            <w:pPr>
              <w:jc w:val="center"/>
            </w:pPr>
            <w:r>
              <w:rPr>
                <w:sz w:val="18"/>
              </w:rPr>
              <w:t>$15.00</w:t>
            </w:r>
          </w:p>
        </w:tc>
        <w:tc>
          <w:tcPr>
            <w:tcW w:w="1116" w:type="dxa"/>
            <w:vAlign w:val="center"/>
          </w:tcPr>
          <w:p w:rsidR="00672004" w:rsidRDefault="00672004" w:rsidP="00F07E5C">
            <w:pPr>
              <w:jc w:val="right"/>
              <w:rPr>
                <w:sz w:val="18"/>
              </w:rPr>
            </w:pPr>
            <w:r>
              <w:rPr>
                <w:sz w:val="18"/>
              </w:rPr>
              <w:t>$</w:t>
            </w:r>
            <w:r w:rsidR="00F07E5C">
              <w:rPr>
                <w:sz w:val="18"/>
              </w:rPr>
              <w:t>2</w:t>
            </w:r>
            <w:r>
              <w:rPr>
                <w:sz w:val="18"/>
              </w:rPr>
              <w:t>,</w:t>
            </w:r>
            <w:r w:rsidR="00F07E5C">
              <w:rPr>
                <w:sz w:val="18"/>
              </w:rPr>
              <w:t>7</w:t>
            </w:r>
            <w:r>
              <w:rPr>
                <w:sz w:val="18"/>
              </w:rPr>
              <w:t>60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HUD-27011 “Claim for Insurance Benefits”</w:t>
            </w:r>
          </w:p>
        </w:tc>
        <w:tc>
          <w:tcPr>
            <w:tcW w:w="1312" w:type="dxa"/>
            <w:tcBorders>
              <w:bottom w:val="single" w:sz="4" w:space="0" w:color="auto"/>
            </w:tcBorders>
            <w:vAlign w:val="center"/>
          </w:tcPr>
          <w:p w:rsidR="00672004" w:rsidRDefault="00A53E6C">
            <w:pPr>
              <w:jc w:val="center"/>
              <w:rPr>
                <w:sz w:val="18"/>
              </w:rPr>
            </w:pPr>
            <w:r>
              <w:rPr>
                <w:sz w:val="18"/>
              </w:rPr>
              <w:t>324</w:t>
            </w:r>
          </w:p>
        </w:tc>
        <w:tc>
          <w:tcPr>
            <w:tcW w:w="1036" w:type="dxa"/>
            <w:tcBorders>
              <w:bottom w:val="single" w:sz="4" w:space="0" w:color="auto"/>
            </w:tcBorders>
            <w:vAlign w:val="center"/>
          </w:tcPr>
          <w:p w:rsidR="00672004" w:rsidRDefault="00672004">
            <w:pPr>
              <w:jc w:val="center"/>
              <w:rPr>
                <w:sz w:val="18"/>
              </w:rPr>
            </w:pPr>
            <w:r>
              <w:rPr>
                <w:sz w:val="18"/>
              </w:rPr>
              <w:t>&lt;1</w:t>
            </w:r>
          </w:p>
        </w:tc>
        <w:tc>
          <w:tcPr>
            <w:tcW w:w="1121" w:type="dxa"/>
            <w:tcBorders>
              <w:bottom w:val="single" w:sz="4" w:space="0" w:color="auto"/>
            </w:tcBorders>
            <w:vAlign w:val="center"/>
          </w:tcPr>
          <w:p w:rsidR="00672004" w:rsidRDefault="00866DDD">
            <w:pPr>
              <w:jc w:val="center"/>
              <w:rPr>
                <w:sz w:val="18"/>
              </w:rPr>
            </w:pPr>
            <w:r>
              <w:rPr>
                <w:sz w:val="18"/>
              </w:rPr>
              <w:t>9</w:t>
            </w:r>
            <w:r w:rsidR="00672004">
              <w:rPr>
                <w:sz w:val="18"/>
              </w:rPr>
              <w:t>2</w:t>
            </w:r>
          </w:p>
        </w:tc>
        <w:tc>
          <w:tcPr>
            <w:tcW w:w="1155" w:type="dxa"/>
            <w:tcBorders>
              <w:bottom w:val="single" w:sz="4" w:space="0" w:color="auto"/>
            </w:tcBorders>
            <w:vAlign w:val="center"/>
          </w:tcPr>
          <w:p w:rsidR="00672004" w:rsidRDefault="00866DDD">
            <w:pPr>
              <w:jc w:val="center"/>
              <w:rPr>
                <w:sz w:val="18"/>
              </w:rPr>
            </w:pPr>
            <w:r>
              <w:rPr>
                <w:sz w:val="18"/>
              </w:rPr>
              <w:t>1.33</w:t>
            </w:r>
          </w:p>
        </w:tc>
        <w:tc>
          <w:tcPr>
            <w:tcW w:w="1169" w:type="dxa"/>
            <w:tcBorders>
              <w:bottom w:val="single" w:sz="4" w:space="0" w:color="auto"/>
            </w:tcBorders>
            <w:vAlign w:val="center"/>
          </w:tcPr>
          <w:p w:rsidR="00672004" w:rsidRDefault="00F07E5C" w:rsidP="00F07E5C">
            <w:pPr>
              <w:jc w:val="center"/>
              <w:rPr>
                <w:sz w:val="18"/>
              </w:rPr>
            </w:pPr>
            <w:r>
              <w:rPr>
                <w:sz w:val="18"/>
              </w:rPr>
              <w:t>12</w:t>
            </w:r>
            <w:r w:rsidR="00672004">
              <w:rPr>
                <w:sz w:val="18"/>
              </w:rPr>
              <w:t>2</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F07E5C">
            <w:pPr>
              <w:jc w:val="right"/>
              <w:rPr>
                <w:sz w:val="18"/>
              </w:rPr>
            </w:pPr>
            <w:r>
              <w:rPr>
                <w:sz w:val="18"/>
              </w:rPr>
              <w:t>$</w:t>
            </w:r>
            <w:r w:rsidR="00F07E5C">
              <w:rPr>
                <w:sz w:val="18"/>
              </w:rPr>
              <w:t>1,835</w:t>
            </w:r>
          </w:p>
        </w:tc>
      </w:tr>
      <w:tr w:rsidR="00672004" w:rsidTr="00BB1090">
        <w:trPr>
          <w:trHeight w:val="257"/>
        </w:trPr>
        <w:tc>
          <w:tcPr>
            <w:tcW w:w="2791" w:type="dxa"/>
            <w:tcBorders>
              <w:bottom w:val="single" w:sz="4" w:space="0" w:color="auto"/>
            </w:tcBorders>
            <w:shd w:val="clear" w:color="auto" w:fill="E0E0E0"/>
            <w:vAlign w:val="center"/>
          </w:tcPr>
          <w:p w:rsidR="00672004" w:rsidRPr="00414D33" w:rsidRDefault="00672004">
            <w:pPr>
              <w:rPr>
                <w:b/>
                <w:bCs/>
              </w:rPr>
            </w:pPr>
            <w:r w:rsidRPr="00414D33">
              <w:rPr>
                <w:b/>
                <w:bCs/>
              </w:rPr>
              <w:t>Property Inspection and Preservation</w:t>
            </w:r>
          </w:p>
        </w:tc>
        <w:tc>
          <w:tcPr>
            <w:tcW w:w="1312" w:type="dxa"/>
            <w:tcBorders>
              <w:bottom w:val="single" w:sz="4" w:space="0" w:color="auto"/>
            </w:tcBorders>
            <w:shd w:val="clear" w:color="auto" w:fill="E0E0E0"/>
            <w:vAlign w:val="center"/>
          </w:tcPr>
          <w:p w:rsidR="00672004" w:rsidRDefault="00672004">
            <w:pPr>
              <w:jc w:val="center"/>
              <w:rPr>
                <w:sz w:val="18"/>
              </w:rPr>
            </w:pPr>
          </w:p>
        </w:tc>
        <w:tc>
          <w:tcPr>
            <w:tcW w:w="1036" w:type="dxa"/>
            <w:tcBorders>
              <w:bottom w:val="single" w:sz="4" w:space="0" w:color="auto"/>
            </w:tcBorders>
            <w:shd w:val="clear" w:color="auto" w:fill="E0E0E0"/>
            <w:vAlign w:val="center"/>
          </w:tcPr>
          <w:p w:rsidR="00672004" w:rsidRDefault="00672004">
            <w:pPr>
              <w:rPr>
                <w:sz w:val="18"/>
              </w:rPr>
            </w:pPr>
          </w:p>
        </w:tc>
        <w:tc>
          <w:tcPr>
            <w:tcW w:w="1121" w:type="dxa"/>
            <w:tcBorders>
              <w:bottom w:val="single" w:sz="4" w:space="0" w:color="auto"/>
            </w:tcBorders>
            <w:shd w:val="clear" w:color="auto" w:fill="E0E0E0"/>
            <w:vAlign w:val="center"/>
          </w:tcPr>
          <w:p w:rsidR="00672004" w:rsidRDefault="00672004">
            <w:pPr>
              <w:rPr>
                <w:sz w:val="18"/>
              </w:rPr>
            </w:pPr>
          </w:p>
        </w:tc>
        <w:tc>
          <w:tcPr>
            <w:tcW w:w="1155" w:type="dxa"/>
            <w:tcBorders>
              <w:bottom w:val="single" w:sz="4" w:space="0" w:color="auto"/>
            </w:tcBorders>
            <w:shd w:val="clear" w:color="auto" w:fill="E0E0E0"/>
            <w:vAlign w:val="center"/>
          </w:tcPr>
          <w:p w:rsidR="00672004" w:rsidRDefault="00672004">
            <w:pPr>
              <w:rPr>
                <w:sz w:val="18"/>
              </w:rPr>
            </w:pPr>
          </w:p>
        </w:tc>
        <w:tc>
          <w:tcPr>
            <w:tcW w:w="1169" w:type="dxa"/>
            <w:tcBorders>
              <w:bottom w:val="single" w:sz="4" w:space="0" w:color="auto"/>
            </w:tcBorders>
            <w:shd w:val="clear" w:color="auto" w:fill="E0E0E0"/>
            <w:vAlign w:val="center"/>
          </w:tcPr>
          <w:p w:rsidR="00672004" w:rsidRDefault="00672004">
            <w:pPr>
              <w:rPr>
                <w:sz w:val="18"/>
              </w:rPr>
            </w:pPr>
          </w:p>
        </w:tc>
        <w:tc>
          <w:tcPr>
            <w:tcW w:w="1164" w:type="dxa"/>
            <w:tcBorders>
              <w:bottom w:val="single" w:sz="4" w:space="0" w:color="auto"/>
            </w:tcBorders>
            <w:shd w:val="clear" w:color="auto" w:fill="E0E0E0"/>
            <w:vAlign w:val="center"/>
          </w:tcPr>
          <w:p w:rsidR="00672004" w:rsidRDefault="00672004">
            <w:pPr>
              <w:rPr>
                <w:sz w:val="18"/>
              </w:rPr>
            </w:pPr>
          </w:p>
        </w:tc>
        <w:tc>
          <w:tcPr>
            <w:tcW w:w="1116" w:type="dxa"/>
            <w:tcBorders>
              <w:bottom w:val="single" w:sz="4" w:space="0" w:color="auto"/>
            </w:tcBorders>
            <w:shd w:val="clear" w:color="auto" w:fill="E0E0E0"/>
            <w:vAlign w:val="center"/>
          </w:tcPr>
          <w:p w:rsidR="00672004" w:rsidRDefault="00672004">
            <w:pPr>
              <w:jc w:val="right"/>
              <w:rPr>
                <w:sz w:val="18"/>
              </w:rPr>
            </w:pP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HUD-9519-A “Property Inspection Report”</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F07E5C">
            <w:pPr>
              <w:jc w:val="center"/>
              <w:rPr>
                <w:sz w:val="18"/>
              </w:rPr>
            </w:pPr>
            <w:r>
              <w:rPr>
                <w:sz w:val="18"/>
              </w:rPr>
              <w:t>284</w:t>
            </w:r>
          </w:p>
        </w:tc>
        <w:tc>
          <w:tcPr>
            <w:tcW w:w="1121"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55" w:type="dxa"/>
            <w:tcBorders>
              <w:bottom w:val="single" w:sz="4" w:space="0" w:color="auto"/>
            </w:tcBorders>
            <w:vAlign w:val="center"/>
          </w:tcPr>
          <w:p w:rsidR="00672004" w:rsidRDefault="00672004">
            <w:pPr>
              <w:jc w:val="center"/>
              <w:rPr>
                <w:sz w:val="18"/>
              </w:rPr>
            </w:pPr>
            <w:r>
              <w:rPr>
                <w:sz w:val="18"/>
              </w:rPr>
              <w:t>.50</w:t>
            </w:r>
          </w:p>
        </w:tc>
        <w:tc>
          <w:tcPr>
            <w:tcW w:w="1169" w:type="dxa"/>
            <w:tcBorders>
              <w:bottom w:val="single" w:sz="4" w:space="0" w:color="auto"/>
            </w:tcBorders>
            <w:vAlign w:val="center"/>
          </w:tcPr>
          <w:p w:rsidR="00672004" w:rsidRDefault="00F07E5C">
            <w:pPr>
              <w:jc w:val="center"/>
              <w:rPr>
                <w:sz w:val="18"/>
              </w:rPr>
            </w:pPr>
            <w:r>
              <w:rPr>
                <w:sz w:val="18"/>
              </w:rPr>
              <w:t>4</w:t>
            </w:r>
            <w:r w:rsidR="00672004">
              <w:rPr>
                <w:sz w:val="18"/>
              </w:rPr>
              <w:t>6,000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F07E5C">
            <w:pPr>
              <w:jc w:val="right"/>
            </w:pPr>
            <w:r>
              <w:rPr>
                <w:sz w:val="18"/>
              </w:rPr>
              <w:t>$</w:t>
            </w:r>
            <w:r w:rsidR="00F07E5C">
              <w:rPr>
                <w:sz w:val="18"/>
              </w:rPr>
              <w:t>6</w:t>
            </w:r>
            <w:r>
              <w:rPr>
                <w:sz w:val="18"/>
              </w:rPr>
              <w:t>90,000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Occupancy Inspections</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F07E5C">
            <w:pPr>
              <w:jc w:val="center"/>
              <w:rPr>
                <w:sz w:val="18"/>
              </w:rPr>
            </w:pPr>
            <w:r>
              <w:rPr>
                <w:sz w:val="18"/>
              </w:rPr>
              <w:t>284</w:t>
            </w:r>
          </w:p>
        </w:tc>
        <w:tc>
          <w:tcPr>
            <w:tcW w:w="1121"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55" w:type="dxa"/>
            <w:tcBorders>
              <w:bottom w:val="single" w:sz="4" w:space="0" w:color="auto"/>
            </w:tcBorders>
            <w:vAlign w:val="center"/>
          </w:tcPr>
          <w:p w:rsidR="00672004" w:rsidRDefault="00672004">
            <w:pPr>
              <w:jc w:val="center"/>
              <w:rPr>
                <w:sz w:val="18"/>
              </w:rPr>
            </w:pPr>
            <w:r>
              <w:rPr>
                <w:sz w:val="18"/>
              </w:rPr>
              <w:t>1.00</w:t>
            </w:r>
          </w:p>
        </w:tc>
        <w:tc>
          <w:tcPr>
            <w:tcW w:w="1169"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F07E5C">
            <w:pPr>
              <w:jc w:val="right"/>
            </w:pPr>
            <w:r>
              <w:rPr>
                <w:sz w:val="18"/>
              </w:rPr>
              <w:t>$</w:t>
            </w:r>
            <w:r w:rsidR="00F07E5C">
              <w:rPr>
                <w:sz w:val="18"/>
              </w:rPr>
              <w:t>1,3</w:t>
            </w:r>
            <w:r>
              <w:rPr>
                <w:sz w:val="18"/>
              </w:rPr>
              <w:t>80,000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Initial Vacant Property Inspections</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672004" w:rsidP="00F07E5C">
            <w:pPr>
              <w:jc w:val="center"/>
              <w:rPr>
                <w:sz w:val="18"/>
              </w:rPr>
            </w:pPr>
            <w:r>
              <w:rPr>
                <w:sz w:val="18"/>
              </w:rPr>
              <w:t>2</w:t>
            </w:r>
            <w:r w:rsidR="00F07E5C">
              <w:rPr>
                <w:sz w:val="18"/>
              </w:rPr>
              <w:t>84</w:t>
            </w:r>
          </w:p>
        </w:tc>
        <w:tc>
          <w:tcPr>
            <w:tcW w:w="1121"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55" w:type="dxa"/>
            <w:tcBorders>
              <w:bottom w:val="single" w:sz="4" w:space="0" w:color="auto"/>
            </w:tcBorders>
            <w:vAlign w:val="center"/>
          </w:tcPr>
          <w:p w:rsidR="00672004" w:rsidRDefault="00672004">
            <w:pPr>
              <w:jc w:val="center"/>
              <w:rPr>
                <w:sz w:val="18"/>
              </w:rPr>
            </w:pPr>
            <w:r>
              <w:rPr>
                <w:sz w:val="18"/>
              </w:rPr>
              <w:t>1.00</w:t>
            </w:r>
          </w:p>
        </w:tc>
        <w:tc>
          <w:tcPr>
            <w:tcW w:w="1169"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rsidP="00F07E5C">
            <w:pPr>
              <w:jc w:val="right"/>
            </w:pPr>
            <w:r>
              <w:rPr>
                <w:sz w:val="18"/>
              </w:rPr>
              <w:t>$</w:t>
            </w:r>
            <w:r w:rsidR="00F07E5C">
              <w:rPr>
                <w:sz w:val="18"/>
              </w:rPr>
              <w:t>1,3</w:t>
            </w:r>
            <w:r>
              <w:rPr>
                <w:sz w:val="18"/>
              </w:rPr>
              <w:t>80,000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Vacant Property Inspections</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672004" w:rsidP="00F07E5C">
            <w:pPr>
              <w:jc w:val="center"/>
              <w:rPr>
                <w:sz w:val="18"/>
              </w:rPr>
            </w:pPr>
            <w:r>
              <w:rPr>
                <w:sz w:val="18"/>
              </w:rPr>
              <w:t>1</w:t>
            </w:r>
            <w:r w:rsidR="00F07E5C">
              <w:rPr>
                <w:sz w:val="18"/>
              </w:rPr>
              <w:t>42</w:t>
            </w:r>
          </w:p>
        </w:tc>
        <w:tc>
          <w:tcPr>
            <w:tcW w:w="1121" w:type="dxa"/>
            <w:tcBorders>
              <w:bottom w:val="single" w:sz="4" w:space="0" w:color="auto"/>
            </w:tcBorders>
            <w:vAlign w:val="center"/>
          </w:tcPr>
          <w:p w:rsidR="00672004" w:rsidRDefault="00F07E5C">
            <w:pPr>
              <w:jc w:val="center"/>
              <w:rPr>
                <w:sz w:val="18"/>
              </w:rPr>
            </w:pPr>
            <w:r>
              <w:rPr>
                <w:sz w:val="18"/>
              </w:rPr>
              <w:t>4</w:t>
            </w:r>
            <w:r w:rsidR="00672004">
              <w:rPr>
                <w:sz w:val="18"/>
              </w:rPr>
              <w:t>6,000</w:t>
            </w:r>
          </w:p>
        </w:tc>
        <w:tc>
          <w:tcPr>
            <w:tcW w:w="1155" w:type="dxa"/>
            <w:tcBorders>
              <w:bottom w:val="single" w:sz="4" w:space="0" w:color="auto"/>
            </w:tcBorders>
            <w:vAlign w:val="center"/>
          </w:tcPr>
          <w:p w:rsidR="00672004" w:rsidRDefault="00672004">
            <w:pPr>
              <w:jc w:val="center"/>
              <w:rPr>
                <w:sz w:val="18"/>
              </w:rPr>
            </w:pPr>
            <w:r>
              <w:rPr>
                <w:sz w:val="18"/>
              </w:rPr>
              <w:t>1.00</w:t>
            </w:r>
          </w:p>
        </w:tc>
        <w:tc>
          <w:tcPr>
            <w:tcW w:w="1169" w:type="dxa"/>
            <w:tcBorders>
              <w:bottom w:val="single" w:sz="4" w:space="0" w:color="auto"/>
            </w:tcBorders>
            <w:vAlign w:val="center"/>
          </w:tcPr>
          <w:p w:rsidR="00672004" w:rsidRDefault="00F07E5C">
            <w:pPr>
              <w:jc w:val="center"/>
              <w:rPr>
                <w:sz w:val="18"/>
              </w:rPr>
            </w:pPr>
            <w:r>
              <w:rPr>
                <w:sz w:val="18"/>
              </w:rPr>
              <w:t>4</w:t>
            </w:r>
            <w:r w:rsidR="00672004">
              <w:rPr>
                <w:sz w:val="18"/>
              </w:rPr>
              <w:t>6,000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F07E5C">
            <w:pPr>
              <w:jc w:val="right"/>
            </w:pPr>
            <w:r>
              <w:rPr>
                <w:sz w:val="18"/>
              </w:rPr>
              <w:t>$6</w:t>
            </w:r>
            <w:r w:rsidR="00672004">
              <w:rPr>
                <w:sz w:val="18"/>
              </w:rPr>
              <w:t>90,000</w:t>
            </w:r>
          </w:p>
        </w:tc>
      </w:tr>
      <w:tr w:rsidR="00672004" w:rsidTr="00BB1090">
        <w:trPr>
          <w:trHeight w:val="257"/>
        </w:trPr>
        <w:tc>
          <w:tcPr>
            <w:tcW w:w="2791" w:type="dxa"/>
            <w:tcBorders>
              <w:bottom w:val="single" w:sz="4" w:space="0" w:color="auto"/>
            </w:tcBorders>
            <w:vAlign w:val="center"/>
          </w:tcPr>
          <w:p w:rsidR="00672004" w:rsidRDefault="00672004">
            <w:pPr>
              <w:rPr>
                <w:sz w:val="18"/>
              </w:rPr>
            </w:pPr>
            <w:r>
              <w:rPr>
                <w:sz w:val="18"/>
              </w:rPr>
              <w:t>Voluntary Pre-Conveyance Inspections</w:t>
            </w:r>
          </w:p>
        </w:tc>
        <w:tc>
          <w:tcPr>
            <w:tcW w:w="1312" w:type="dxa"/>
            <w:tcBorders>
              <w:bottom w:val="single" w:sz="4" w:space="0" w:color="auto"/>
            </w:tcBorders>
            <w:vAlign w:val="center"/>
          </w:tcPr>
          <w:p w:rsidR="00672004" w:rsidRDefault="00A53E6C">
            <w:pPr>
              <w:jc w:val="center"/>
            </w:pPr>
            <w:r>
              <w:rPr>
                <w:sz w:val="18"/>
              </w:rPr>
              <w:t>324</w:t>
            </w:r>
          </w:p>
        </w:tc>
        <w:tc>
          <w:tcPr>
            <w:tcW w:w="1036" w:type="dxa"/>
            <w:tcBorders>
              <w:bottom w:val="single" w:sz="4" w:space="0" w:color="auto"/>
            </w:tcBorders>
            <w:vAlign w:val="center"/>
          </w:tcPr>
          <w:p w:rsidR="00672004" w:rsidRDefault="00672004" w:rsidP="00F07E5C">
            <w:pPr>
              <w:jc w:val="center"/>
              <w:rPr>
                <w:sz w:val="18"/>
              </w:rPr>
            </w:pPr>
            <w:r>
              <w:rPr>
                <w:sz w:val="18"/>
              </w:rPr>
              <w:t>2</w:t>
            </w:r>
            <w:r w:rsidR="00F07E5C">
              <w:rPr>
                <w:sz w:val="18"/>
              </w:rPr>
              <w:t>84</w:t>
            </w:r>
          </w:p>
        </w:tc>
        <w:tc>
          <w:tcPr>
            <w:tcW w:w="1121"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55" w:type="dxa"/>
            <w:tcBorders>
              <w:bottom w:val="single" w:sz="4" w:space="0" w:color="auto"/>
            </w:tcBorders>
            <w:vAlign w:val="center"/>
          </w:tcPr>
          <w:p w:rsidR="00672004" w:rsidRDefault="00672004">
            <w:pPr>
              <w:jc w:val="center"/>
              <w:rPr>
                <w:sz w:val="18"/>
              </w:rPr>
            </w:pPr>
            <w:r>
              <w:rPr>
                <w:sz w:val="18"/>
              </w:rPr>
              <w:t>1.00</w:t>
            </w:r>
          </w:p>
        </w:tc>
        <w:tc>
          <w:tcPr>
            <w:tcW w:w="1169" w:type="dxa"/>
            <w:tcBorders>
              <w:bottom w:val="single" w:sz="4" w:space="0" w:color="auto"/>
            </w:tcBorders>
            <w:vAlign w:val="center"/>
          </w:tcPr>
          <w:p w:rsidR="00672004" w:rsidRDefault="00F07E5C">
            <w:pPr>
              <w:jc w:val="center"/>
              <w:rPr>
                <w:sz w:val="18"/>
              </w:rPr>
            </w:pPr>
            <w:r>
              <w:rPr>
                <w:sz w:val="18"/>
              </w:rPr>
              <w:t>9</w:t>
            </w:r>
            <w:r w:rsidR="00672004">
              <w:rPr>
                <w:sz w:val="18"/>
              </w:rPr>
              <w:t>2,000</w:t>
            </w:r>
          </w:p>
        </w:tc>
        <w:tc>
          <w:tcPr>
            <w:tcW w:w="1164" w:type="dxa"/>
            <w:tcBorders>
              <w:bottom w:val="single" w:sz="4" w:space="0" w:color="auto"/>
            </w:tcBorders>
            <w:vAlign w:val="center"/>
          </w:tcPr>
          <w:p w:rsidR="00672004" w:rsidRDefault="00672004">
            <w:pPr>
              <w:jc w:val="center"/>
            </w:pPr>
            <w:r>
              <w:rPr>
                <w:sz w:val="18"/>
              </w:rPr>
              <w:t>$15.00</w:t>
            </w:r>
          </w:p>
        </w:tc>
        <w:tc>
          <w:tcPr>
            <w:tcW w:w="1116" w:type="dxa"/>
            <w:tcBorders>
              <w:bottom w:val="single" w:sz="4" w:space="0" w:color="auto"/>
            </w:tcBorders>
            <w:vAlign w:val="center"/>
          </w:tcPr>
          <w:p w:rsidR="00672004" w:rsidRDefault="00672004">
            <w:pPr>
              <w:jc w:val="right"/>
            </w:pPr>
            <w:r>
              <w:rPr>
                <w:sz w:val="18"/>
              </w:rPr>
              <w:t>$</w:t>
            </w:r>
            <w:r w:rsidR="00F07E5C">
              <w:rPr>
                <w:sz w:val="18"/>
              </w:rPr>
              <w:t>1,3</w:t>
            </w:r>
            <w:r>
              <w:rPr>
                <w:sz w:val="18"/>
              </w:rPr>
              <w:t>80,000</w:t>
            </w:r>
          </w:p>
        </w:tc>
      </w:tr>
      <w:tr w:rsidR="00BC6F5E" w:rsidTr="00BB1090">
        <w:trPr>
          <w:trHeight w:val="257"/>
        </w:trPr>
        <w:tc>
          <w:tcPr>
            <w:tcW w:w="2791" w:type="dxa"/>
            <w:tcBorders>
              <w:bottom w:val="single" w:sz="4" w:space="0" w:color="auto"/>
            </w:tcBorders>
            <w:vAlign w:val="center"/>
          </w:tcPr>
          <w:p w:rsidR="00BC6F5E" w:rsidRDefault="00BC6F5E">
            <w:pPr>
              <w:rPr>
                <w:sz w:val="18"/>
              </w:rPr>
            </w:pPr>
            <w:r>
              <w:rPr>
                <w:sz w:val="18"/>
              </w:rPr>
              <w:t xml:space="preserve">   Pre-Conveyance Inspections</w:t>
            </w:r>
          </w:p>
          <w:p w:rsidR="00BC6F5E" w:rsidRDefault="00BC6F5E">
            <w:pPr>
              <w:rPr>
                <w:sz w:val="18"/>
              </w:rPr>
            </w:pPr>
            <w:r>
              <w:rPr>
                <w:sz w:val="18"/>
              </w:rPr>
              <w:t xml:space="preserve">   With M&amp;M Involvement</w:t>
            </w:r>
          </w:p>
        </w:tc>
        <w:tc>
          <w:tcPr>
            <w:tcW w:w="1312" w:type="dxa"/>
            <w:tcBorders>
              <w:bottom w:val="single" w:sz="4" w:space="0" w:color="auto"/>
            </w:tcBorders>
            <w:vAlign w:val="center"/>
          </w:tcPr>
          <w:p w:rsidR="00BC6F5E" w:rsidRDefault="00BC6F5E">
            <w:pPr>
              <w:jc w:val="center"/>
              <w:rPr>
                <w:sz w:val="18"/>
              </w:rPr>
            </w:pPr>
            <w:r>
              <w:rPr>
                <w:sz w:val="18"/>
              </w:rPr>
              <w:t>11</w:t>
            </w:r>
          </w:p>
        </w:tc>
        <w:tc>
          <w:tcPr>
            <w:tcW w:w="1036" w:type="dxa"/>
            <w:tcBorders>
              <w:bottom w:val="single" w:sz="4" w:space="0" w:color="auto"/>
            </w:tcBorders>
            <w:vAlign w:val="center"/>
          </w:tcPr>
          <w:p w:rsidR="00BC6F5E" w:rsidRDefault="00BC6F5E" w:rsidP="00F07E5C">
            <w:pPr>
              <w:jc w:val="center"/>
              <w:rPr>
                <w:sz w:val="18"/>
              </w:rPr>
            </w:pPr>
            <w:r>
              <w:rPr>
                <w:sz w:val="18"/>
              </w:rPr>
              <w:t>1</w:t>
            </w:r>
            <w:r w:rsidR="00F07E5C">
              <w:rPr>
                <w:sz w:val="18"/>
              </w:rPr>
              <w:t>4</w:t>
            </w:r>
          </w:p>
        </w:tc>
        <w:tc>
          <w:tcPr>
            <w:tcW w:w="1121" w:type="dxa"/>
            <w:tcBorders>
              <w:bottom w:val="single" w:sz="4" w:space="0" w:color="auto"/>
            </w:tcBorders>
            <w:vAlign w:val="center"/>
          </w:tcPr>
          <w:p w:rsidR="00BC6F5E" w:rsidRDefault="00BC6F5E" w:rsidP="00F07E5C">
            <w:pPr>
              <w:jc w:val="center"/>
              <w:rPr>
                <w:sz w:val="18"/>
              </w:rPr>
            </w:pPr>
            <w:r>
              <w:rPr>
                <w:sz w:val="18"/>
              </w:rPr>
              <w:t>1</w:t>
            </w:r>
            <w:r w:rsidR="00F07E5C">
              <w:rPr>
                <w:sz w:val="18"/>
              </w:rPr>
              <w:t>5</w:t>
            </w:r>
            <w:r>
              <w:rPr>
                <w:sz w:val="18"/>
              </w:rPr>
              <w:t>0</w:t>
            </w:r>
          </w:p>
        </w:tc>
        <w:tc>
          <w:tcPr>
            <w:tcW w:w="1155" w:type="dxa"/>
            <w:tcBorders>
              <w:bottom w:val="single" w:sz="4" w:space="0" w:color="auto"/>
            </w:tcBorders>
            <w:vAlign w:val="center"/>
          </w:tcPr>
          <w:p w:rsidR="00BC6F5E" w:rsidRDefault="00BC6F5E">
            <w:pPr>
              <w:jc w:val="center"/>
              <w:rPr>
                <w:sz w:val="18"/>
              </w:rPr>
            </w:pPr>
            <w:r>
              <w:rPr>
                <w:sz w:val="18"/>
              </w:rPr>
              <w:t>.50</w:t>
            </w:r>
          </w:p>
        </w:tc>
        <w:tc>
          <w:tcPr>
            <w:tcW w:w="1169" w:type="dxa"/>
            <w:tcBorders>
              <w:bottom w:val="single" w:sz="4" w:space="0" w:color="auto"/>
            </w:tcBorders>
            <w:vAlign w:val="center"/>
          </w:tcPr>
          <w:p w:rsidR="00BC6F5E" w:rsidRDefault="00F07E5C">
            <w:pPr>
              <w:jc w:val="center"/>
              <w:rPr>
                <w:sz w:val="18"/>
              </w:rPr>
            </w:pPr>
            <w:r>
              <w:rPr>
                <w:sz w:val="18"/>
              </w:rPr>
              <w:t>7</w:t>
            </w:r>
            <w:r w:rsidR="00BC6F5E">
              <w:rPr>
                <w:sz w:val="18"/>
              </w:rPr>
              <w:t>5</w:t>
            </w:r>
          </w:p>
        </w:tc>
        <w:tc>
          <w:tcPr>
            <w:tcW w:w="1164" w:type="dxa"/>
            <w:tcBorders>
              <w:bottom w:val="single" w:sz="4" w:space="0" w:color="auto"/>
            </w:tcBorders>
            <w:vAlign w:val="center"/>
          </w:tcPr>
          <w:p w:rsidR="00BC6F5E" w:rsidRDefault="00BC6F5E">
            <w:pPr>
              <w:jc w:val="center"/>
              <w:rPr>
                <w:sz w:val="18"/>
              </w:rPr>
            </w:pPr>
            <w:r>
              <w:rPr>
                <w:sz w:val="18"/>
              </w:rPr>
              <w:t>$15.00</w:t>
            </w:r>
          </w:p>
        </w:tc>
        <w:tc>
          <w:tcPr>
            <w:tcW w:w="1116" w:type="dxa"/>
            <w:tcBorders>
              <w:bottom w:val="single" w:sz="4" w:space="0" w:color="auto"/>
            </w:tcBorders>
            <w:vAlign w:val="center"/>
          </w:tcPr>
          <w:p w:rsidR="00BC6F5E" w:rsidRDefault="00BC6F5E" w:rsidP="00F07E5C">
            <w:pPr>
              <w:jc w:val="right"/>
              <w:rPr>
                <w:sz w:val="18"/>
              </w:rPr>
            </w:pPr>
            <w:r>
              <w:rPr>
                <w:sz w:val="18"/>
              </w:rPr>
              <w:t>$</w:t>
            </w:r>
            <w:r w:rsidR="00F07E5C">
              <w:rPr>
                <w:sz w:val="18"/>
              </w:rPr>
              <w:t>1,1</w:t>
            </w:r>
            <w:r>
              <w:rPr>
                <w:sz w:val="18"/>
              </w:rPr>
              <w:t>25</w:t>
            </w:r>
          </w:p>
        </w:tc>
      </w:tr>
      <w:tr w:rsidR="00BC6F5E" w:rsidTr="00BB1090">
        <w:trPr>
          <w:trHeight w:val="257"/>
        </w:trPr>
        <w:tc>
          <w:tcPr>
            <w:tcW w:w="2791" w:type="dxa"/>
            <w:tcBorders>
              <w:bottom w:val="single" w:sz="4" w:space="0" w:color="auto"/>
            </w:tcBorders>
            <w:vAlign w:val="center"/>
          </w:tcPr>
          <w:p w:rsidR="00BC6F5E" w:rsidRDefault="00BC6F5E">
            <w:pPr>
              <w:rPr>
                <w:sz w:val="18"/>
              </w:rPr>
            </w:pPr>
            <w:r>
              <w:rPr>
                <w:sz w:val="18"/>
              </w:rPr>
              <w:t>Pre-Eviction Inspections</w:t>
            </w:r>
          </w:p>
        </w:tc>
        <w:tc>
          <w:tcPr>
            <w:tcW w:w="1312" w:type="dxa"/>
            <w:tcBorders>
              <w:bottom w:val="single" w:sz="4" w:space="0" w:color="auto"/>
            </w:tcBorders>
            <w:vAlign w:val="center"/>
          </w:tcPr>
          <w:p w:rsidR="00BC6F5E" w:rsidRDefault="00A53E6C">
            <w:pPr>
              <w:jc w:val="center"/>
            </w:pPr>
            <w:r>
              <w:rPr>
                <w:sz w:val="18"/>
              </w:rPr>
              <w:t>324</w:t>
            </w:r>
          </w:p>
        </w:tc>
        <w:tc>
          <w:tcPr>
            <w:tcW w:w="1036" w:type="dxa"/>
            <w:tcBorders>
              <w:bottom w:val="single" w:sz="4" w:space="0" w:color="auto"/>
            </w:tcBorders>
            <w:vAlign w:val="center"/>
          </w:tcPr>
          <w:p w:rsidR="00BC6F5E" w:rsidRDefault="00BC6F5E" w:rsidP="00F07E5C">
            <w:pPr>
              <w:jc w:val="center"/>
              <w:rPr>
                <w:sz w:val="18"/>
              </w:rPr>
            </w:pPr>
            <w:r>
              <w:rPr>
                <w:sz w:val="18"/>
              </w:rPr>
              <w:t>1</w:t>
            </w:r>
            <w:r w:rsidR="00F07E5C">
              <w:rPr>
                <w:sz w:val="18"/>
              </w:rPr>
              <w:t>42</w:t>
            </w:r>
          </w:p>
        </w:tc>
        <w:tc>
          <w:tcPr>
            <w:tcW w:w="1121" w:type="dxa"/>
            <w:tcBorders>
              <w:bottom w:val="single" w:sz="4" w:space="0" w:color="auto"/>
            </w:tcBorders>
            <w:vAlign w:val="center"/>
          </w:tcPr>
          <w:p w:rsidR="00BC6F5E" w:rsidRDefault="00F07E5C">
            <w:pPr>
              <w:jc w:val="center"/>
              <w:rPr>
                <w:sz w:val="18"/>
              </w:rPr>
            </w:pPr>
            <w:r>
              <w:rPr>
                <w:sz w:val="18"/>
              </w:rPr>
              <w:t>4</w:t>
            </w:r>
            <w:r w:rsidR="00BC6F5E">
              <w:rPr>
                <w:sz w:val="18"/>
              </w:rPr>
              <w:t>6,000</w:t>
            </w:r>
          </w:p>
        </w:tc>
        <w:tc>
          <w:tcPr>
            <w:tcW w:w="1155" w:type="dxa"/>
            <w:tcBorders>
              <w:bottom w:val="single" w:sz="4" w:space="0" w:color="auto"/>
            </w:tcBorders>
            <w:vAlign w:val="center"/>
          </w:tcPr>
          <w:p w:rsidR="00BC6F5E" w:rsidRDefault="00BC6F5E">
            <w:pPr>
              <w:jc w:val="center"/>
              <w:rPr>
                <w:sz w:val="18"/>
              </w:rPr>
            </w:pPr>
            <w:r>
              <w:rPr>
                <w:sz w:val="18"/>
              </w:rPr>
              <w:t>1.00</w:t>
            </w:r>
          </w:p>
        </w:tc>
        <w:tc>
          <w:tcPr>
            <w:tcW w:w="1169" w:type="dxa"/>
            <w:tcBorders>
              <w:bottom w:val="single" w:sz="4" w:space="0" w:color="auto"/>
            </w:tcBorders>
            <w:vAlign w:val="center"/>
          </w:tcPr>
          <w:p w:rsidR="00BC6F5E" w:rsidRDefault="00F07E5C">
            <w:pPr>
              <w:jc w:val="center"/>
              <w:rPr>
                <w:sz w:val="18"/>
              </w:rPr>
            </w:pPr>
            <w:r>
              <w:rPr>
                <w:sz w:val="18"/>
              </w:rPr>
              <w:t>4</w:t>
            </w:r>
            <w:r w:rsidR="00BC6F5E">
              <w:rPr>
                <w:sz w:val="18"/>
              </w:rPr>
              <w:t>6,000</w:t>
            </w:r>
          </w:p>
        </w:tc>
        <w:tc>
          <w:tcPr>
            <w:tcW w:w="1164" w:type="dxa"/>
            <w:tcBorders>
              <w:bottom w:val="single" w:sz="4" w:space="0" w:color="auto"/>
            </w:tcBorders>
            <w:vAlign w:val="center"/>
          </w:tcPr>
          <w:p w:rsidR="00BC6F5E" w:rsidRDefault="00BC6F5E">
            <w:pPr>
              <w:jc w:val="center"/>
            </w:pPr>
            <w:r>
              <w:rPr>
                <w:sz w:val="18"/>
              </w:rPr>
              <w:t>$15.00</w:t>
            </w:r>
          </w:p>
        </w:tc>
        <w:tc>
          <w:tcPr>
            <w:tcW w:w="1116" w:type="dxa"/>
            <w:tcBorders>
              <w:bottom w:val="single" w:sz="4" w:space="0" w:color="auto"/>
            </w:tcBorders>
            <w:vAlign w:val="center"/>
          </w:tcPr>
          <w:p w:rsidR="00BC6F5E" w:rsidRDefault="00BC6F5E" w:rsidP="00F07E5C">
            <w:pPr>
              <w:jc w:val="right"/>
            </w:pPr>
            <w:r>
              <w:rPr>
                <w:sz w:val="18"/>
              </w:rPr>
              <w:t>$</w:t>
            </w:r>
            <w:r w:rsidR="00F07E5C">
              <w:rPr>
                <w:sz w:val="18"/>
              </w:rPr>
              <w:t>6</w:t>
            </w:r>
            <w:r>
              <w:rPr>
                <w:sz w:val="18"/>
              </w:rPr>
              <w:t>90,000</w:t>
            </w:r>
          </w:p>
        </w:tc>
      </w:tr>
      <w:tr w:rsidR="00BC6F5E" w:rsidTr="00BB1090">
        <w:trPr>
          <w:trHeight w:val="257"/>
        </w:trPr>
        <w:tc>
          <w:tcPr>
            <w:tcW w:w="2791" w:type="dxa"/>
            <w:tcBorders>
              <w:bottom w:val="single" w:sz="4" w:space="0" w:color="auto"/>
            </w:tcBorders>
            <w:vAlign w:val="center"/>
          </w:tcPr>
          <w:p w:rsidR="00BC6F5E" w:rsidRDefault="00BC6F5E">
            <w:pPr>
              <w:rPr>
                <w:sz w:val="18"/>
              </w:rPr>
            </w:pPr>
            <w:r>
              <w:rPr>
                <w:sz w:val="18"/>
              </w:rPr>
              <w:t>Preservation and Protection</w:t>
            </w:r>
          </w:p>
        </w:tc>
        <w:tc>
          <w:tcPr>
            <w:tcW w:w="1312" w:type="dxa"/>
            <w:tcBorders>
              <w:bottom w:val="single" w:sz="4" w:space="0" w:color="auto"/>
            </w:tcBorders>
            <w:vAlign w:val="center"/>
          </w:tcPr>
          <w:p w:rsidR="00BC6F5E" w:rsidRDefault="00A53E6C">
            <w:pPr>
              <w:jc w:val="center"/>
            </w:pPr>
            <w:r>
              <w:rPr>
                <w:sz w:val="18"/>
              </w:rPr>
              <w:t>324</w:t>
            </w:r>
          </w:p>
        </w:tc>
        <w:tc>
          <w:tcPr>
            <w:tcW w:w="1036" w:type="dxa"/>
            <w:tcBorders>
              <w:bottom w:val="single" w:sz="4" w:space="0" w:color="auto"/>
            </w:tcBorders>
            <w:vAlign w:val="center"/>
          </w:tcPr>
          <w:p w:rsidR="00BC6F5E" w:rsidRDefault="00BC6F5E" w:rsidP="00F07E5C">
            <w:pPr>
              <w:jc w:val="center"/>
              <w:rPr>
                <w:sz w:val="18"/>
              </w:rPr>
            </w:pPr>
            <w:r>
              <w:rPr>
                <w:sz w:val="18"/>
              </w:rPr>
              <w:t>2</w:t>
            </w:r>
            <w:r w:rsidR="00F07E5C">
              <w:rPr>
                <w:sz w:val="18"/>
              </w:rPr>
              <w:t>84</w:t>
            </w:r>
          </w:p>
        </w:tc>
        <w:tc>
          <w:tcPr>
            <w:tcW w:w="1121" w:type="dxa"/>
            <w:tcBorders>
              <w:bottom w:val="single" w:sz="4" w:space="0" w:color="auto"/>
            </w:tcBorders>
            <w:vAlign w:val="center"/>
          </w:tcPr>
          <w:p w:rsidR="00BC6F5E" w:rsidRDefault="00F07E5C">
            <w:pPr>
              <w:jc w:val="center"/>
              <w:rPr>
                <w:sz w:val="18"/>
              </w:rPr>
            </w:pPr>
            <w:r>
              <w:rPr>
                <w:sz w:val="18"/>
              </w:rPr>
              <w:t>9</w:t>
            </w:r>
            <w:r w:rsidR="00BC6F5E">
              <w:rPr>
                <w:sz w:val="18"/>
              </w:rPr>
              <w:t>2,000</w:t>
            </w:r>
          </w:p>
        </w:tc>
        <w:tc>
          <w:tcPr>
            <w:tcW w:w="1155" w:type="dxa"/>
            <w:tcBorders>
              <w:bottom w:val="single" w:sz="4" w:space="0" w:color="auto"/>
            </w:tcBorders>
            <w:vAlign w:val="center"/>
          </w:tcPr>
          <w:p w:rsidR="00BC6F5E" w:rsidRDefault="00BC6F5E">
            <w:pPr>
              <w:jc w:val="center"/>
              <w:rPr>
                <w:sz w:val="18"/>
              </w:rPr>
            </w:pPr>
            <w:r>
              <w:rPr>
                <w:sz w:val="18"/>
              </w:rPr>
              <w:t>4.00</w:t>
            </w:r>
          </w:p>
        </w:tc>
        <w:tc>
          <w:tcPr>
            <w:tcW w:w="1169" w:type="dxa"/>
            <w:tcBorders>
              <w:bottom w:val="single" w:sz="4" w:space="0" w:color="auto"/>
            </w:tcBorders>
            <w:vAlign w:val="center"/>
          </w:tcPr>
          <w:p w:rsidR="00BC6F5E" w:rsidRDefault="00F07E5C">
            <w:pPr>
              <w:jc w:val="center"/>
              <w:rPr>
                <w:sz w:val="18"/>
              </w:rPr>
            </w:pPr>
            <w:r>
              <w:rPr>
                <w:sz w:val="18"/>
              </w:rPr>
              <w:t>36</w:t>
            </w:r>
            <w:r w:rsidR="00BC6F5E">
              <w:rPr>
                <w:sz w:val="18"/>
              </w:rPr>
              <w:t>8,000</w:t>
            </w:r>
          </w:p>
        </w:tc>
        <w:tc>
          <w:tcPr>
            <w:tcW w:w="1164" w:type="dxa"/>
            <w:tcBorders>
              <w:bottom w:val="single" w:sz="4" w:space="0" w:color="auto"/>
            </w:tcBorders>
            <w:vAlign w:val="center"/>
          </w:tcPr>
          <w:p w:rsidR="00BC6F5E" w:rsidRDefault="00BC6F5E">
            <w:pPr>
              <w:jc w:val="center"/>
            </w:pPr>
            <w:r>
              <w:rPr>
                <w:sz w:val="18"/>
              </w:rPr>
              <w:t>$15.00</w:t>
            </w:r>
          </w:p>
        </w:tc>
        <w:tc>
          <w:tcPr>
            <w:tcW w:w="1116" w:type="dxa"/>
            <w:tcBorders>
              <w:bottom w:val="single" w:sz="4" w:space="0" w:color="auto"/>
            </w:tcBorders>
            <w:vAlign w:val="center"/>
          </w:tcPr>
          <w:p w:rsidR="00BC6F5E" w:rsidRDefault="00BC6F5E" w:rsidP="00F07E5C">
            <w:pPr>
              <w:jc w:val="right"/>
            </w:pPr>
            <w:r>
              <w:rPr>
                <w:sz w:val="18"/>
              </w:rPr>
              <w:t>$</w:t>
            </w:r>
            <w:r w:rsidR="00F07E5C">
              <w:rPr>
                <w:sz w:val="18"/>
              </w:rPr>
              <w:t>5</w:t>
            </w:r>
            <w:r>
              <w:rPr>
                <w:sz w:val="18"/>
              </w:rPr>
              <w:t>,</w:t>
            </w:r>
            <w:r w:rsidR="00F07E5C">
              <w:rPr>
                <w:sz w:val="18"/>
              </w:rPr>
              <w:t>5</w:t>
            </w:r>
            <w:r>
              <w:rPr>
                <w:sz w:val="18"/>
              </w:rPr>
              <w:t>20,000</w:t>
            </w:r>
          </w:p>
        </w:tc>
      </w:tr>
      <w:tr w:rsidR="00BC6F5E" w:rsidTr="00BB1090">
        <w:trPr>
          <w:trHeight w:val="257"/>
        </w:trPr>
        <w:tc>
          <w:tcPr>
            <w:tcW w:w="2791" w:type="dxa"/>
            <w:shd w:val="clear" w:color="auto" w:fill="E0E0E0"/>
            <w:vAlign w:val="center"/>
          </w:tcPr>
          <w:p w:rsidR="00BC6F5E" w:rsidRDefault="00BC6F5E">
            <w:pPr>
              <w:pStyle w:val="Heading9"/>
              <w:rPr>
                <w:sz w:val="20"/>
              </w:rPr>
            </w:pPr>
            <w:r>
              <w:rPr>
                <w:sz w:val="20"/>
              </w:rPr>
              <w:t>Presidentially Declared Disaster Partial Claims (PDPC)</w:t>
            </w:r>
          </w:p>
        </w:tc>
        <w:tc>
          <w:tcPr>
            <w:tcW w:w="1312" w:type="dxa"/>
            <w:shd w:val="clear" w:color="auto" w:fill="E0E0E0"/>
            <w:vAlign w:val="center"/>
          </w:tcPr>
          <w:p w:rsidR="00BC6F5E" w:rsidRDefault="00BC6F5E">
            <w:pPr>
              <w:jc w:val="center"/>
              <w:rPr>
                <w:sz w:val="18"/>
              </w:rPr>
            </w:pPr>
          </w:p>
        </w:tc>
        <w:tc>
          <w:tcPr>
            <w:tcW w:w="1036" w:type="dxa"/>
            <w:shd w:val="clear" w:color="auto" w:fill="E0E0E0"/>
            <w:vAlign w:val="center"/>
          </w:tcPr>
          <w:p w:rsidR="00BC6F5E" w:rsidRDefault="00BC6F5E">
            <w:pPr>
              <w:rPr>
                <w:sz w:val="18"/>
              </w:rPr>
            </w:pPr>
          </w:p>
        </w:tc>
        <w:tc>
          <w:tcPr>
            <w:tcW w:w="1121" w:type="dxa"/>
            <w:shd w:val="clear" w:color="auto" w:fill="E0E0E0"/>
            <w:vAlign w:val="center"/>
          </w:tcPr>
          <w:p w:rsidR="00BC6F5E" w:rsidRDefault="00BC6F5E">
            <w:pPr>
              <w:rPr>
                <w:sz w:val="18"/>
              </w:rPr>
            </w:pPr>
          </w:p>
        </w:tc>
        <w:tc>
          <w:tcPr>
            <w:tcW w:w="1155" w:type="dxa"/>
            <w:shd w:val="clear" w:color="auto" w:fill="E0E0E0"/>
            <w:vAlign w:val="center"/>
          </w:tcPr>
          <w:p w:rsidR="00BC6F5E" w:rsidRDefault="00BC6F5E">
            <w:pPr>
              <w:rPr>
                <w:sz w:val="18"/>
              </w:rPr>
            </w:pPr>
          </w:p>
        </w:tc>
        <w:tc>
          <w:tcPr>
            <w:tcW w:w="1169" w:type="dxa"/>
            <w:shd w:val="clear" w:color="auto" w:fill="E0E0E0"/>
            <w:vAlign w:val="center"/>
          </w:tcPr>
          <w:p w:rsidR="00BC6F5E" w:rsidRDefault="00BC6F5E">
            <w:pPr>
              <w:rPr>
                <w:sz w:val="18"/>
              </w:rPr>
            </w:pPr>
          </w:p>
        </w:tc>
        <w:tc>
          <w:tcPr>
            <w:tcW w:w="1164" w:type="dxa"/>
            <w:shd w:val="clear" w:color="auto" w:fill="E0E0E0"/>
            <w:vAlign w:val="center"/>
          </w:tcPr>
          <w:p w:rsidR="00BC6F5E" w:rsidRDefault="00BC6F5E">
            <w:pPr>
              <w:rPr>
                <w:sz w:val="18"/>
              </w:rPr>
            </w:pPr>
          </w:p>
        </w:tc>
        <w:tc>
          <w:tcPr>
            <w:tcW w:w="1116" w:type="dxa"/>
            <w:shd w:val="clear" w:color="auto" w:fill="E0E0E0"/>
            <w:vAlign w:val="center"/>
          </w:tcPr>
          <w:p w:rsidR="00BC6F5E" w:rsidRDefault="00BC6F5E">
            <w:pPr>
              <w:jc w:val="right"/>
              <w:rPr>
                <w:sz w:val="18"/>
              </w:rPr>
            </w:pPr>
          </w:p>
        </w:tc>
      </w:tr>
      <w:tr w:rsidR="00BC6F5E" w:rsidTr="00BB1090">
        <w:trPr>
          <w:trHeight w:val="257"/>
        </w:trPr>
        <w:tc>
          <w:tcPr>
            <w:tcW w:w="2791" w:type="dxa"/>
            <w:vAlign w:val="center"/>
          </w:tcPr>
          <w:p w:rsidR="00BC6F5E" w:rsidRDefault="00BC6F5E">
            <w:pPr>
              <w:rPr>
                <w:sz w:val="18"/>
              </w:rPr>
            </w:pPr>
            <w:r>
              <w:rPr>
                <w:sz w:val="18"/>
              </w:rPr>
              <w:t>PDPC Evaluation</w:t>
            </w:r>
          </w:p>
        </w:tc>
        <w:tc>
          <w:tcPr>
            <w:tcW w:w="1312" w:type="dxa"/>
            <w:vAlign w:val="center"/>
          </w:tcPr>
          <w:p w:rsidR="00BC6F5E" w:rsidRDefault="00A53E6C">
            <w:pPr>
              <w:jc w:val="center"/>
            </w:pPr>
            <w:r>
              <w:rPr>
                <w:sz w:val="18"/>
              </w:rPr>
              <w:t>324</w:t>
            </w:r>
          </w:p>
        </w:tc>
        <w:tc>
          <w:tcPr>
            <w:tcW w:w="1036" w:type="dxa"/>
            <w:vAlign w:val="center"/>
          </w:tcPr>
          <w:p w:rsidR="00BC6F5E" w:rsidRDefault="00BC6F5E">
            <w:pPr>
              <w:jc w:val="center"/>
            </w:pPr>
            <w:r>
              <w:rPr>
                <w:sz w:val="18"/>
              </w:rPr>
              <w:t>&lt;1</w:t>
            </w:r>
          </w:p>
        </w:tc>
        <w:tc>
          <w:tcPr>
            <w:tcW w:w="1121" w:type="dxa"/>
            <w:vAlign w:val="center"/>
          </w:tcPr>
          <w:p w:rsidR="00BC6F5E" w:rsidRDefault="00BC6F5E">
            <w:pPr>
              <w:jc w:val="center"/>
              <w:rPr>
                <w:sz w:val="18"/>
              </w:rPr>
            </w:pPr>
            <w:r>
              <w:rPr>
                <w:sz w:val="18"/>
              </w:rPr>
              <w:t>100</w:t>
            </w:r>
          </w:p>
        </w:tc>
        <w:tc>
          <w:tcPr>
            <w:tcW w:w="1155" w:type="dxa"/>
            <w:vAlign w:val="center"/>
          </w:tcPr>
          <w:p w:rsidR="00BC6F5E" w:rsidRDefault="00BC6F5E">
            <w:pPr>
              <w:jc w:val="center"/>
              <w:rPr>
                <w:sz w:val="18"/>
              </w:rPr>
            </w:pPr>
            <w:r>
              <w:rPr>
                <w:sz w:val="18"/>
              </w:rPr>
              <w:t>4.00</w:t>
            </w:r>
          </w:p>
        </w:tc>
        <w:tc>
          <w:tcPr>
            <w:tcW w:w="1169" w:type="dxa"/>
            <w:vAlign w:val="center"/>
          </w:tcPr>
          <w:p w:rsidR="00BC6F5E" w:rsidRDefault="00BC6F5E">
            <w:pPr>
              <w:jc w:val="center"/>
              <w:rPr>
                <w:sz w:val="18"/>
              </w:rPr>
            </w:pPr>
            <w:r>
              <w:rPr>
                <w:sz w:val="18"/>
              </w:rPr>
              <w:t>400</w:t>
            </w:r>
          </w:p>
        </w:tc>
        <w:tc>
          <w:tcPr>
            <w:tcW w:w="1164" w:type="dxa"/>
            <w:vAlign w:val="center"/>
          </w:tcPr>
          <w:p w:rsidR="00BC6F5E" w:rsidRDefault="00BC6F5E">
            <w:pPr>
              <w:jc w:val="center"/>
            </w:pPr>
            <w:r>
              <w:rPr>
                <w:sz w:val="18"/>
              </w:rPr>
              <w:t>$15.00</w:t>
            </w:r>
          </w:p>
        </w:tc>
        <w:tc>
          <w:tcPr>
            <w:tcW w:w="1116" w:type="dxa"/>
            <w:vAlign w:val="center"/>
          </w:tcPr>
          <w:p w:rsidR="00BC6F5E" w:rsidRDefault="00BC6F5E">
            <w:pPr>
              <w:jc w:val="right"/>
              <w:rPr>
                <w:sz w:val="18"/>
              </w:rPr>
            </w:pPr>
            <w:r>
              <w:rPr>
                <w:sz w:val="18"/>
              </w:rPr>
              <w:t>$6,000</w:t>
            </w:r>
          </w:p>
        </w:tc>
      </w:tr>
      <w:tr w:rsidR="00BC6F5E" w:rsidTr="00BB1090">
        <w:trPr>
          <w:trHeight w:val="257"/>
        </w:trPr>
        <w:tc>
          <w:tcPr>
            <w:tcW w:w="2791" w:type="dxa"/>
            <w:vAlign w:val="center"/>
          </w:tcPr>
          <w:p w:rsidR="00BC6F5E" w:rsidRDefault="00BC6F5E">
            <w:pPr>
              <w:rPr>
                <w:sz w:val="18"/>
              </w:rPr>
            </w:pPr>
            <w:r>
              <w:rPr>
                <w:sz w:val="18"/>
              </w:rPr>
              <w:t>PDPC Subordinate Lien</w:t>
            </w:r>
          </w:p>
        </w:tc>
        <w:tc>
          <w:tcPr>
            <w:tcW w:w="1312" w:type="dxa"/>
            <w:vAlign w:val="center"/>
          </w:tcPr>
          <w:p w:rsidR="00BC6F5E" w:rsidRDefault="00A53E6C">
            <w:pPr>
              <w:jc w:val="center"/>
            </w:pPr>
            <w:r>
              <w:rPr>
                <w:sz w:val="18"/>
              </w:rPr>
              <w:t>324</w:t>
            </w:r>
          </w:p>
        </w:tc>
        <w:tc>
          <w:tcPr>
            <w:tcW w:w="1036" w:type="dxa"/>
            <w:vAlign w:val="center"/>
          </w:tcPr>
          <w:p w:rsidR="00BC6F5E" w:rsidRDefault="00BC6F5E">
            <w:pPr>
              <w:jc w:val="center"/>
            </w:pPr>
            <w:r>
              <w:rPr>
                <w:sz w:val="18"/>
              </w:rPr>
              <w:t>&lt;1</w:t>
            </w:r>
          </w:p>
        </w:tc>
        <w:tc>
          <w:tcPr>
            <w:tcW w:w="1121" w:type="dxa"/>
            <w:vAlign w:val="center"/>
          </w:tcPr>
          <w:p w:rsidR="00BC6F5E" w:rsidRDefault="00BC6F5E">
            <w:pPr>
              <w:jc w:val="center"/>
              <w:rPr>
                <w:sz w:val="18"/>
              </w:rPr>
            </w:pPr>
            <w:r>
              <w:rPr>
                <w:sz w:val="18"/>
              </w:rPr>
              <w:t>100</w:t>
            </w:r>
          </w:p>
        </w:tc>
        <w:tc>
          <w:tcPr>
            <w:tcW w:w="1155" w:type="dxa"/>
            <w:vAlign w:val="center"/>
          </w:tcPr>
          <w:p w:rsidR="00BC6F5E" w:rsidRDefault="00BC6F5E">
            <w:pPr>
              <w:jc w:val="center"/>
              <w:rPr>
                <w:sz w:val="18"/>
              </w:rPr>
            </w:pPr>
            <w:r>
              <w:rPr>
                <w:sz w:val="18"/>
              </w:rPr>
              <w:t>2.00</w:t>
            </w:r>
          </w:p>
        </w:tc>
        <w:tc>
          <w:tcPr>
            <w:tcW w:w="1169" w:type="dxa"/>
            <w:vAlign w:val="center"/>
          </w:tcPr>
          <w:p w:rsidR="00BC6F5E" w:rsidRDefault="00BC6F5E">
            <w:pPr>
              <w:jc w:val="center"/>
              <w:rPr>
                <w:sz w:val="18"/>
              </w:rPr>
            </w:pPr>
            <w:r>
              <w:rPr>
                <w:sz w:val="18"/>
              </w:rPr>
              <w:t>200</w:t>
            </w:r>
          </w:p>
        </w:tc>
        <w:tc>
          <w:tcPr>
            <w:tcW w:w="1164" w:type="dxa"/>
            <w:vAlign w:val="center"/>
          </w:tcPr>
          <w:p w:rsidR="00BC6F5E" w:rsidRDefault="00BC6F5E">
            <w:pPr>
              <w:jc w:val="center"/>
            </w:pPr>
            <w:r>
              <w:rPr>
                <w:sz w:val="18"/>
              </w:rPr>
              <w:t>$15.00</w:t>
            </w:r>
          </w:p>
        </w:tc>
        <w:tc>
          <w:tcPr>
            <w:tcW w:w="1116" w:type="dxa"/>
            <w:vAlign w:val="center"/>
          </w:tcPr>
          <w:p w:rsidR="00BC6F5E" w:rsidRDefault="00BC6F5E">
            <w:pPr>
              <w:jc w:val="right"/>
              <w:rPr>
                <w:sz w:val="18"/>
              </w:rPr>
            </w:pPr>
            <w:r>
              <w:rPr>
                <w:sz w:val="18"/>
              </w:rPr>
              <w:t>$3,000</w:t>
            </w:r>
          </w:p>
        </w:tc>
      </w:tr>
      <w:tr w:rsidR="00BC6F5E" w:rsidTr="00BB1090">
        <w:trPr>
          <w:trHeight w:val="257"/>
        </w:trPr>
        <w:tc>
          <w:tcPr>
            <w:tcW w:w="2791" w:type="dxa"/>
            <w:tcBorders>
              <w:bottom w:val="single" w:sz="4" w:space="0" w:color="auto"/>
            </w:tcBorders>
            <w:vAlign w:val="center"/>
          </w:tcPr>
          <w:p w:rsidR="00BC6F5E" w:rsidRDefault="00BC6F5E">
            <w:pPr>
              <w:rPr>
                <w:sz w:val="18"/>
              </w:rPr>
            </w:pPr>
            <w:r>
              <w:rPr>
                <w:sz w:val="18"/>
              </w:rPr>
              <w:t>HUD-27011 “Claim for Insurance Benefits”</w:t>
            </w:r>
          </w:p>
        </w:tc>
        <w:tc>
          <w:tcPr>
            <w:tcW w:w="1312" w:type="dxa"/>
            <w:tcBorders>
              <w:bottom w:val="single" w:sz="4" w:space="0" w:color="auto"/>
            </w:tcBorders>
            <w:vAlign w:val="center"/>
          </w:tcPr>
          <w:p w:rsidR="00BC6F5E" w:rsidRDefault="00A53E6C">
            <w:pPr>
              <w:jc w:val="center"/>
            </w:pPr>
            <w:r>
              <w:rPr>
                <w:sz w:val="18"/>
              </w:rPr>
              <w:t>324</w:t>
            </w:r>
          </w:p>
        </w:tc>
        <w:tc>
          <w:tcPr>
            <w:tcW w:w="1036" w:type="dxa"/>
            <w:tcBorders>
              <w:bottom w:val="single" w:sz="4" w:space="0" w:color="auto"/>
            </w:tcBorders>
            <w:vAlign w:val="center"/>
          </w:tcPr>
          <w:p w:rsidR="00BC6F5E" w:rsidRDefault="00BC6F5E">
            <w:pPr>
              <w:jc w:val="center"/>
            </w:pPr>
            <w:r>
              <w:rPr>
                <w:sz w:val="18"/>
              </w:rPr>
              <w:t>&lt;1</w:t>
            </w:r>
          </w:p>
        </w:tc>
        <w:tc>
          <w:tcPr>
            <w:tcW w:w="1121" w:type="dxa"/>
            <w:tcBorders>
              <w:bottom w:val="single" w:sz="4" w:space="0" w:color="auto"/>
            </w:tcBorders>
            <w:vAlign w:val="center"/>
          </w:tcPr>
          <w:p w:rsidR="00BC6F5E" w:rsidRDefault="00BC6F5E">
            <w:pPr>
              <w:jc w:val="center"/>
              <w:rPr>
                <w:sz w:val="18"/>
              </w:rPr>
            </w:pPr>
            <w:r>
              <w:rPr>
                <w:sz w:val="18"/>
              </w:rPr>
              <w:t>100</w:t>
            </w:r>
          </w:p>
        </w:tc>
        <w:tc>
          <w:tcPr>
            <w:tcW w:w="1155" w:type="dxa"/>
            <w:tcBorders>
              <w:bottom w:val="single" w:sz="4" w:space="0" w:color="auto"/>
            </w:tcBorders>
            <w:vAlign w:val="center"/>
          </w:tcPr>
          <w:p w:rsidR="00BC6F5E" w:rsidRDefault="00BC6F5E">
            <w:pPr>
              <w:jc w:val="center"/>
              <w:rPr>
                <w:sz w:val="18"/>
              </w:rPr>
            </w:pPr>
            <w:r>
              <w:rPr>
                <w:sz w:val="18"/>
              </w:rPr>
              <w:t>.50</w:t>
            </w:r>
          </w:p>
        </w:tc>
        <w:tc>
          <w:tcPr>
            <w:tcW w:w="1169" w:type="dxa"/>
            <w:tcBorders>
              <w:bottom w:val="single" w:sz="4" w:space="0" w:color="auto"/>
            </w:tcBorders>
            <w:vAlign w:val="center"/>
          </w:tcPr>
          <w:p w:rsidR="00BC6F5E" w:rsidRDefault="00BC6F5E">
            <w:pPr>
              <w:jc w:val="center"/>
              <w:rPr>
                <w:sz w:val="18"/>
              </w:rPr>
            </w:pPr>
            <w:r>
              <w:rPr>
                <w:sz w:val="18"/>
              </w:rPr>
              <w:t>50</w:t>
            </w:r>
          </w:p>
        </w:tc>
        <w:tc>
          <w:tcPr>
            <w:tcW w:w="1164" w:type="dxa"/>
            <w:tcBorders>
              <w:bottom w:val="single" w:sz="4" w:space="0" w:color="auto"/>
            </w:tcBorders>
            <w:vAlign w:val="center"/>
          </w:tcPr>
          <w:p w:rsidR="00BC6F5E" w:rsidRDefault="00BC6F5E">
            <w:pPr>
              <w:jc w:val="center"/>
            </w:pPr>
            <w:r>
              <w:rPr>
                <w:sz w:val="18"/>
              </w:rPr>
              <w:t>$15.00</w:t>
            </w:r>
          </w:p>
        </w:tc>
        <w:tc>
          <w:tcPr>
            <w:tcW w:w="1116" w:type="dxa"/>
            <w:tcBorders>
              <w:bottom w:val="single" w:sz="4" w:space="0" w:color="auto"/>
            </w:tcBorders>
            <w:vAlign w:val="center"/>
          </w:tcPr>
          <w:p w:rsidR="00BC6F5E" w:rsidRDefault="00BC6F5E">
            <w:pPr>
              <w:jc w:val="right"/>
              <w:rPr>
                <w:sz w:val="18"/>
              </w:rPr>
            </w:pPr>
            <w:r>
              <w:rPr>
                <w:sz w:val="18"/>
              </w:rPr>
              <w:t>$750</w:t>
            </w:r>
          </w:p>
        </w:tc>
      </w:tr>
      <w:tr w:rsidR="00957628" w:rsidRPr="00CC3E8B" w:rsidTr="00957628">
        <w:trPr>
          <w:trHeight w:val="257"/>
        </w:trPr>
        <w:tc>
          <w:tcPr>
            <w:tcW w:w="2791" w:type="dxa"/>
            <w:shd w:val="clear" w:color="auto" w:fill="E0E0E0"/>
            <w:vAlign w:val="center"/>
          </w:tcPr>
          <w:p w:rsidR="00957628" w:rsidRPr="00CC3E8B" w:rsidRDefault="00957628" w:rsidP="00957628">
            <w:pPr>
              <w:pStyle w:val="Heading9"/>
              <w:rPr>
                <w:sz w:val="20"/>
              </w:rPr>
            </w:pPr>
            <w:r w:rsidRPr="00CC3E8B">
              <w:rPr>
                <w:sz w:val="20"/>
              </w:rPr>
              <w:t>HECM Claims</w:t>
            </w:r>
          </w:p>
        </w:tc>
        <w:tc>
          <w:tcPr>
            <w:tcW w:w="1312" w:type="dxa"/>
            <w:shd w:val="clear" w:color="auto" w:fill="E0E0E0"/>
            <w:vAlign w:val="center"/>
          </w:tcPr>
          <w:p w:rsidR="00957628" w:rsidRPr="00CC3E8B" w:rsidRDefault="00957628" w:rsidP="00957628">
            <w:pPr>
              <w:jc w:val="center"/>
              <w:rPr>
                <w:sz w:val="18"/>
              </w:rPr>
            </w:pPr>
          </w:p>
        </w:tc>
        <w:tc>
          <w:tcPr>
            <w:tcW w:w="1036" w:type="dxa"/>
            <w:shd w:val="clear" w:color="auto" w:fill="E0E0E0"/>
            <w:vAlign w:val="center"/>
          </w:tcPr>
          <w:p w:rsidR="00957628" w:rsidRPr="00CC3E8B" w:rsidRDefault="00957628" w:rsidP="00957628">
            <w:pPr>
              <w:rPr>
                <w:sz w:val="18"/>
              </w:rPr>
            </w:pPr>
          </w:p>
        </w:tc>
        <w:tc>
          <w:tcPr>
            <w:tcW w:w="1121" w:type="dxa"/>
            <w:shd w:val="clear" w:color="auto" w:fill="E0E0E0"/>
            <w:vAlign w:val="center"/>
          </w:tcPr>
          <w:p w:rsidR="00957628" w:rsidRPr="00CC3E8B" w:rsidRDefault="00957628" w:rsidP="00957628">
            <w:pPr>
              <w:rPr>
                <w:sz w:val="18"/>
              </w:rPr>
            </w:pPr>
          </w:p>
        </w:tc>
        <w:tc>
          <w:tcPr>
            <w:tcW w:w="1155" w:type="dxa"/>
            <w:shd w:val="clear" w:color="auto" w:fill="E0E0E0"/>
            <w:vAlign w:val="center"/>
          </w:tcPr>
          <w:p w:rsidR="00957628" w:rsidRPr="00CC3E8B" w:rsidRDefault="00957628" w:rsidP="00957628">
            <w:pPr>
              <w:rPr>
                <w:sz w:val="18"/>
              </w:rPr>
            </w:pPr>
          </w:p>
        </w:tc>
        <w:tc>
          <w:tcPr>
            <w:tcW w:w="1169" w:type="dxa"/>
            <w:shd w:val="clear" w:color="auto" w:fill="E0E0E0"/>
            <w:vAlign w:val="center"/>
          </w:tcPr>
          <w:p w:rsidR="00957628" w:rsidRPr="00CC3E8B" w:rsidRDefault="00957628" w:rsidP="00957628">
            <w:pPr>
              <w:rPr>
                <w:sz w:val="18"/>
              </w:rPr>
            </w:pPr>
          </w:p>
        </w:tc>
        <w:tc>
          <w:tcPr>
            <w:tcW w:w="1164" w:type="dxa"/>
            <w:shd w:val="clear" w:color="auto" w:fill="E0E0E0"/>
            <w:vAlign w:val="center"/>
          </w:tcPr>
          <w:p w:rsidR="00957628" w:rsidRPr="00CC3E8B" w:rsidRDefault="00957628" w:rsidP="00957628">
            <w:pPr>
              <w:rPr>
                <w:sz w:val="18"/>
              </w:rPr>
            </w:pPr>
          </w:p>
        </w:tc>
        <w:tc>
          <w:tcPr>
            <w:tcW w:w="1116" w:type="dxa"/>
            <w:shd w:val="clear" w:color="auto" w:fill="E0E0E0"/>
            <w:vAlign w:val="center"/>
          </w:tcPr>
          <w:p w:rsidR="00957628" w:rsidRPr="00CC3E8B" w:rsidRDefault="00957628" w:rsidP="00957628">
            <w:pPr>
              <w:jc w:val="right"/>
              <w:rPr>
                <w:sz w:val="18"/>
              </w:rPr>
            </w:pPr>
          </w:p>
        </w:tc>
      </w:tr>
      <w:tr w:rsidR="002F06E4" w:rsidRPr="00CC3E8B" w:rsidTr="00957628">
        <w:trPr>
          <w:trHeight w:val="257"/>
        </w:trPr>
        <w:tc>
          <w:tcPr>
            <w:tcW w:w="2791" w:type="dxa"/>
            <w:vAlign w:val="center"/>
          </w:tcPr>
          <w:p w:rsidR="002F06E4" w:rsidRPr="00CC3E8B" w:rsidRDefault="002F06E4" w:rsidP="00957628">
            <w:pPr>
              <w:rPr>
                <w:sz w:val="18"/>
              </w:rPr>
            </w:pPr>
            <w:r w:rsidRPr="00CC3E8B">
              <w:rPr>
                <w:sz w:val="18"/>
              </w:rPr>
              <w:t>Foreclosure</w:t>
            </w:r>
          </w:p>
        </w:tc>
        <w:tc>
          <w:tcPr>
            <w:tcW w:w="1312" w:type="dxa"/>
            <w:vAlign w:val="center"/>
          </w:tcPr>
          <w:p w:rsidR="002F06E4" w:rsidRPr="00CC3E8B" w:rsidRDefault="002F06E4" w:rsidP="00957628">
            <w:pPr>
              <w:jc w:val="center"/>
              <w:rPr>
                <w:sz w:val="18"/>
              </w:rPr>
            </w:pPr>
            <w:r w:rsidRPr="00CC3E8B">
              <w:rPr>
                <w:sz w:val="18"/>
              </w:rPr>
              <w:t>324</w:t>
            </w:r>
          </w:p>
        </w:tc>
        <w:tc>
          <w:tcPr>
            <w:tcW w:w="1036" w:type="dxa"/>
            <w:vAlign w:val="center"/>
          </w:tcPr>
          <w:p w:rsidR="002F06E4" w:rsidRPr="00CC3E8B" w:rsidRDefault="002F06E4" w:rsidP="002F06E4">
            <w:pPr>
              <w:jc w:val="center"/>
              <w:rPr>
                <w:sz w:val="18"/>
              </w:rPr>
            </w:pPr>
            <w:r w:rsidRPr="00CC3E8B">
              <w:rPr>
                <w:sz w:val="18"/>
              </w:rPr>
              <w:t>25</w:t>
            </w:r>
          </w:p>
        </w:tc>
        <w:tc>
          <w:tcPr>
            <w:tcW w:w="1121" w:type="dxa"/>
            <w:vAlign w:val="center"/>
          </w:tcPr>
          <w:p w:rsidR="002F06E4" w:rsidRPr="00CC3E8B" w:rsidRDefault="002F06E4" w:rsidP="002F06E4">
            <w:pPr>
              <w:jc w:val="center"/>
              <w:rPr>
                <w:sz w:val="18"/>
              </w:rPr>
            </w:pPr>
            <w:r w:rsidRPr="00CC3E8B">
              <w:rPr>
                <w:sz w:val="18"/>
              </w:rPr>
              <w:t>8,000</w:t>
            </w:r>
          </w:p>
        </w:tc>
        <w:tc>
          <w:tcPr>
            <w:tcW w:w="1155" w:type="dxa"/>
            <w:vAlign w:val="center"/>
          </w:tcPr>
          <w:p w:rsidR="002F06E4" w:rsidRPr="00CC3E8B" w:rsidRDefault="002F06E4" w:rsidP="002F06E4">
            <w:pPr>
              <w:jc w:val="center"/>
              <w:rPr>
                <w:sz w:val="18"/>
              </w:rPr>
            </w:pPr>
            <w:r w:rsidRPr="00CC3E8B">
              <w:rPr>
                <w:sz w:val="18"/>
              </w:rPr>
              <w:t>1.00</w:t>
            </w:r>
          </w:p>
        </w:tc>
        <w:tc>
          <w:tcPr>
            <w:tcW w:w="1169" w:type="dxa"/>
            <w:vAlign w:val="center"/>
          </w:tcPr>
          <w:p w:rsidR="002F06E4" w:rsidRPr="00CC3E8B" w:rsidRDefault="002F06E4" w:rsidP="002F06E4">
            <w:pPr>
              <w:jc w:val="center"/>
              <w:rPr>
                <w:sz w:val="18"/>
              </w:rPr>
            </w:pPr>
            <w:r w:rsidRPr="00CC3E8B">
              <w:rPr>
                <w:sz w:val="18"/>
              </w:rPr>
              <w:t>8,000</w:t>
            </w:r>
          </w:p>
        </w:tc>
        <w:tc>
          <w:tcPr>
            <w:tcW w:w="1164" w:type="dxa"/>
            <w:vAlign w:val="center"/>
          </w:tcPr>
          <w:p w:rsidR="002F06E4" w:rsidRPr="00CC3E8B" w:rsidRDefault="002F06E4" w:rsidP="002F06E4">
            <w:pPr>
              <w:jc w:val="center"/>
              <w:rPr>
                <w:sz w:val="18"/>
              </w:rPr>
            </w:pPr>
            <w:r w:rsidRPr="00CC3E8B">
              <w:rPr>
                <w:sz w:val="18"/>
              </w:rPr>
              <w:t>$15.00</w:t>
            </w:r>
          </w:p>
        </w:tc>
        <w:tc>
          <w:tcPr>
            <w:tcW w:w="1116" w:type="dxa"/>
            <w:vAlign w:val="center"/>
          </w:tcPr>
          <w:p w:rsidR="002F06E4" w:rsidRPr="00CC3E8B" w:rsidRDefault="002F06E4" w:rsidP="002F06E4">
            <w:pPr>
              <w:jc w:val="right"/>
              <w:rPr>
                <w:sz w:val="18"/>
              </w:rPr>
            </w:pPr>
            <w:r w:rsidRPr="00CC3E8B">
              <w:rPr>
                <w:sz w:val="18"/>
              </w:rPr>
              <w:t>$120,000</w:t>
            </w:r>
          </w:p>
        </w:tc>
      </w:tr>
      <w:tr w:rsidR="002F06E4" w:rsidRPr="00CC3E8B" w:rsidTr="00957628">
        <w:trPr>
          <w:trHeight w:val="257"/>
        </w:trPr>
        <w:tc>
          <w:tcPr>
            <w:tcW w:w="2791" w:type="dxa"/>
            <w:vAlign w:val="center"/>
          </w:tcPr>
          <w:p w:rsidR="002F06E4" w:rsidRPr="00CC3E8B" w:rsidRDefault="002F06E4" w:rsidP="00A53E6C">
            <w:pPr>
              <w:rPr>
                <w:sz w:val="18"/>
              </w:rPr>
            </w:pPr>
            <w:r w:rsidRPr="00CC3E8B">
              <w:rPr>
                <w:sz w:val="18"/>
              </w:rPr>
              <w:t>Deed In Lieu (21)</w:t>
            </w:r>
          </w:p>
        </w:tc>
        <w:tc>
          <w:tcPr>
            <w:tcW w:w="1312" w:type="dxa"/>
            <w:vAlign w:val="center"/>
          </w:tcPr>
          <w:p w:rsidR="002F06E4" w:rsidRPr="00CC3E8B" w:rsidRDefault="002F06E4" w:rsidP="00957628">
            <w:pPr>
              <w:jc w:val="center"/>
              <w:rPr>
                <w:sz w:val="18"/>
              </w:rPr>
            </w:pPr>
            <w:r w:rsidRPr="00CC3E8B">
              <w:rPr>
                <w:sz w:val="18"/>
              </w:rPr>
              <w:t>324</w:t>
            </w:r>
          </w:p>
        </w:tc>
        <w:tc>
          <w:tcPr>
            <w:tcW w:w="1036" w:type="dxa"/>
            <w:vAlign w:val="center"/>
          </w:tcPr>
          <w:p w:rsidR="002F06E4" w:rsidRPr="00CC3E8B" w:rsidRDefault="002F06E4" w:rsidP="00957628">
            <w:pPr>
              <w:jc w:val="center"/>
              <w:rPr>
                <w:sz w:val="18"/>
              </w:rPr>
            </w:pPr>
            <w:r w:rsidRPr="00CC3E8B">
              <w:rPr>
                <w:sz w:val="18"/>
              </w:rPr>
              <w:t>4</w:t>
            </w:r>
          </w:p>
        </w:tc>
        <w:tc>
          <w:tcPr>
            <w:tcW w:w="1121" w:type="dxa"/>
            <w:vAlign w:val="center"/>
          </w:tcPr>
          <w:p w:rsidR="002F06E4" w:rsidRPr="00CC3E8B" w:rsidRDefault="002F06E4" w:rsidP="002F06E4">
            <w:pPr>
              <w:jc w:val="center"/>
              <w:rPr>
                <w:sz w:val="18"/>
              </w:rPr>
            </w:pPr>
            <w:r w:rsidRPr="00CC3E8B">
              <w:rPr>
                <w:sz w:val="18"/>
              </w:rPr>
              <w:t>1,300</w:t>
            </w:r>
          </w:p>
        </w:tc>
        <w:tc>
          <w:tcPr>
            <w:tcW w:w="1155" w:type="dxa"/>
            <w:vAlign w:val="center"/>
          </w:tcPr>
          <w:p w:rsidR="002F06E4" w:rsidRPr="00CC3E8B" w:rsidRDefault="002F06E4" w:rsidP="00957628">
            <w:pPr>
              <w:jc w:val="center"/>
              <w:rPr>
                <w:sz w:val="18"/>
              </w:rPr>
            </w:pPr>
            <w:r w:rsidRPr="00CC3E8B">
              <w:rPr>
                <w:sz w:val="18"/>
              </w:rPr>
              <w:t>1.00</w:t>
            </w:r>
          </w:p>
        </w:tc>
        <w:tc>
          <w:tcPr>
            <w:tcW w:w="1169" w:type="dxa"/>
            <w:vAlign w:val="center"/>
          </w:tcPr>
          <w:p w:rsidR="002F06E4" w:rsidRPr="00CC3E8B" w:rsidRDefault="002F06E4" w:rsidP="002F06E4">
            <w:pPr>
              <w:jc w:val="center"/>
              <w:rPr>
                <w:sz w:val="18"/>
              </w:rPr>
            </w:pPr>
            <w:r w:rsidRPr="00CC3E8B">
              <w:rPr>
                <w:sz w:val="18"/>
              </w:rPr>
              <w:t>1,300</w:t>
            </w:r>
          </w:p>
        </w:tc>
        <w:tc>
          <w:tcPr>
            <w:tcW w:w="1164" w:type="dxa"/>
            <w:vAlign w:val="center"/>
          </w:tcPr>
          <w:p w:rsidR="002F06E4" w:rsidRPr="00CC3E8B" w:rsidRDefault="002F06E4" w:rsidP="00957628">
            <w:pPr>
              <w:jc w:val="center"/>
              <w:rPr>
                <w:sz w:val="18"/>
              </w:rPr>
            </w:pPr>
            <w:r w:rsidRPr="00CC3E8B">
              <w:rPr>
                <w:sz w:val="18"/>
              </w:rPr>
              <w:t>$15.00</w:t>
            </w:r>
          </w:p>
        </w:tc>
        <w:tc>
          <w:tcPr>
            <w:tcW w:w="1116" w:type="dxa"/>
            <w:vAlign w:val="center"/>
          </w:tcPr>
          <w:p w:rsidR="002F06E4" w:rsidRPr="00CC3E8B" w:rsidRDefault="002F06E4" w:rsidP="002F06E4">
            <w:pPr>
              <w:jc w:val="right"/>
              <w:rPr>
                <w:sz w:val="18"/>
              </w:rPr>
            </w:pPr>
            <w:r w:rsidRPr="00CC3E8B">
              <w:rPr>
                <w:sz w:val="18"/>
              </w:rPr>
              <w:t>$19,500</w:t>
            </w:r>
          </w:p>
        </w:tc>
      </w:tr>
      <w:tr w:rsidR="002F06E4" w:rsidRPr="00CC3E8B" w:rsidTr="00BB1090">
        <w:trPr>
          <w:trHeight w:val="257"/>
        </w:trPr>
        <w:tc>
          <w:tcPr>
            <w:tcW w:w="2791" w:type="dxa"/>
            <w:tcBorders>
              <w:bottom w:val="single" w:sz="4" w:space="0" w:color="auto"/>
            </w:tcBorders>
            <w:vAlign w:val="center"/>
          </w:tcPr>
          <w:p w:rsidR="002F06E4" w:rsidRPr="00CC3E8B" w:rsidRDefault="002F06E4">
            <w:pPr>
              <w:rPr>
                <w:sz w:val="18"/>
              </w:rPr>
            </w:pPr>
            <w:r w:rsidRPr="00CC3E8B">
              <w:rPr>
                <w:sz w:val="18"/>
              </w:rPr>
              <w:lastRenderedPageBreak/>
              <w:t>Optional Assignment (22)</w:t>
            </w:r>
          </w:p>
        </w:tc>
        <w:tc>
          <w:tcPr>
            <w:tcW w:w="1312" w:type="dxa"/>
            <w:tcBorders>
              <w:bottom w:val="single" w:sz="4" w:space="0" w:color="auto"/>
            </w:tcBorders>
            <w:vAlign w:val="center"/>
          </w:tcPr>
          <w:p w:rsidR="002F06E4" w:rsidRPr="00CC3E8B" w:rsidRDefault="002F06E4">
            <w:pPr>
              <w:jc w:val="center"/>
              <w:rPr>
                <w:sz w:val="18"/>
              </w:rPr>
            </w:pPr>
            <w:r w:rsidRPr="00CC3E8B">
              <w:rPr>
                <w:sz w:val="18"/>
              </w:rPr>
              <w:t>324</w:t>
            </w:r>
          </w:p>
        </w:tc>
        <w:tc>
          <w:tcPr>
            <w:tcW w:w="1036" w:type="dxa"/>
            <w:tcBorders>
              <w:bottom w:val="single" w:sz="4" w:space="0" w:color="auto"/>
            </w:tcBorders>
            <w:vAlign w:val="center"/>
          </w:tcPr>
          <w:p w:rsidR="002F06E4" w:rsidRPr="00CC3E8B" w:rsidRDefault="002F06E4">
            <w:pPr>
              <w:jc w:val="center"/>
              <w:rPr>
                <w:sz w:val="18"/>
              </w:rPr>
            </w:pPr>
            <w:r w:rsidRPr="00CC3E8B">
              <w:rPr>
                <w:sz w:val="18"/>
              </w:rPr>
              <w:t>8</w:t>
            </w:r>
          </w:p>
        </w:tc>
        <w:tc>
          <w:tcPr>
            <w:tcW w:w="1121" w:type="dxa"/>
            <w:tcBorders>
              <w:bottom w:val="single" w:sz="4" w:space="0" w:color="auto"/>
            </w:tcBorders>
            <w:vAlign w:val="center"/>
          </w:tcPr>
          <w:p w:rsidR="002F06E4" w:rsidRPr="00CC3E8B" w:rsidRDefault="002F06E4" w:rsidP="002F06E4">
            <w:pPr>
              <w:jc w:val="center"/>
              <w:rPr>
                <w:sz w:val="18"/>
              </w:rPr>
            </w:pPr>
            <w:r w:rsidRPr="00CC3E8B">
              <w:rPr>
                <w:sz w:val="18"/>
              </w:rPr>
              <w:t>2,500</w:t>
            </w:r>
          </w:p>
        </w:tc>
        <w:tc>
          <w:tcPr>
            <w:tcW w:w="1155" w:type="dxa"/>
            <w:tcBorders>
              <w:bottom w:val="single" w:sz="4" w:space="0" w:color="auto"/>
            </w:tcBorders>
            <w:vAlign w:val="center"/>
          </w:tcPr>
          <w:p w:rsidR="002F06E4" w:rsidRPr="00CC3E8B" w:rsidRDefault="002F06E4">
            <w:pPr>
              <w:jc w:val="center"/>
              <w:rPr>
                <w:sz w:val="18"/>
              </w:rPr>
            </w:pPr>
            <w:r w:rsidRPr="00CC3E8B">
              <w:rPr>
                <w:sz w:val="18"/>
              </w:rPr>
              <w:t>1.00</w:t>
            </w:r>
          </w:p>
        </w:tc>
        <w:tc>
          <w:tcPr>
            <w:tcW w:w="1169" w:type="dxa"/>
            <w:tcBorders>
              <w:bottom w:val="single" w:sz="4" w:space="0" w:color="auto"/>
            </w:tcBorders>
            <w:vAlign w:val="center"/>
          </w:tcPr>
          <w:p w:rsidR="002F06E4" w:rsidRPr="00CC3E8B" w:rsidRDefault="002F06E4" w:rsidP="002F06E4">
            <w:pPr>
              <w:jc w:val="center"/>
              <w:rPr>
                <w:sz w:val="18"/>
              </w:rPr>
            </w:pPr>
            <w:r w:rsidRPr="00CC3E8B">
              <w:rPr>
                <w:sz w:val="18"/>
              </w:rPr>
              <w:t>2,500</w:t>
            </w:r>
          </w:p>
        </w:tc>
        <w:tc>
          <w:tcPr>
            <w:tcW w:w="1164" w:type="dxa"/>
            <w:tcBorders>
              <w:bottom w:val="single" w:sz="4" w:space="0" w:color="auto"/>
            </w:tcBorders>
            <w:vAlign w:val="center"/>
          </w:tcPr>
          <w:p w:rsidR="002F06E4" w:rsidRPr="00CC3E8B" w:rsidRDefault="002F06E4">
            <w:pPr>
              <w:jc w:val="center"/>
              <w:rPr>
                <w:sz w:val="18"/>
              </w:rPr>
            </w:pPr>
            <w:r w:rsidRPr="00CC3E8B">
              <w:rPr>
                <w:sz w:val="18"/>
              </w:rPr>
              <w:t>$15.00</w:t>
            </w:r>
          </w:p>
        </w:tc>
        <w:tc>
          <w:tcPr>
            <w:tcW w:w="1116" w:type="dxa"/>
            <w:tcBorders>
              <w:bottom w:val="single" w:sz="4" w:space="0" w:color="auto"/>
            </w:tcBorders>
            <w:vAlign w:val="center"/>
          </w:tcPr>
          <w:p w:rsidR="002F06E4" w:rsidRPr="00CC3E8B" w:rsidRDefault="002F06E4" w:rsidP="002F06E4">
            <w:pPr>
              <w:jc w:val="right"/>
              <w:rPr>
                <w:sz w:val="18"/>
              </w:rPr>
            </w:pPr>
            <w:r w:rsidRPr="00CC3E8B">
              <w:rPr>
                <w:sz w:val="18"/>
              </w:rPr>
              <w:t>$37,500</w:t>
            </w:r>
          </w:p>
        </w:tc>
      </w:tr>
      <w:tr w:rsidR="002F06E4" w:rsidRPr="00CC3E8B" w:rsidTr="00BB1090">
        <w:trPr>
          <w:trHeight w:val="257"/>
        </w:trPr>
        <w:tc>
          <w:tcPr>
            <w:tcW w:w="2791" w:type="dxa"/>
            <w:tcBorders>
              <w:bottom w:val="single" w:sz="4" w:space="0" w:color="auto"/>
            </w:tcBorders>
            <w:vAlign w:val="center"/>
          </w:tcPr>
          <w:p w:rsidR="002F06E4" w:rsidRPr="00CC3E8B" w:rsidRDefault="002F06E4">
            <w:pPr>
              <w:rPr>
                <w:sz w:val="18"/>
              </w:rPr>
            </w:pPr>
            <w:r w:rsidRPr="00CC3E8B">
              <w:rPr>
                <w:sz w:val="18"/>
              </w:rPr>
              <w:t>Mortgagor’s Sale (23)</w:t>
            </w:r>
          </w:p>
        </w:tc>
        <w:tc>
          <w:tcPr>
            <w:tcW w:w="1312" w:type="dxa"/>
            <w:tcBorders>
              <w:bottom w:val="single" w:sz="4" w:space="0" w:color="auto"/>
            </w:tcBorders>
            <w:vAlign w:val="center"/>
          </w:tcPr>
          <w:p w:rsidR="002F06E4" w:rsidRPr="00CC3E8B" w:rsidRDefault="002F06E4">
            <w:pPr>
              <w:jc w:val="center"/>
              <w:rPr>
                <w:sz w:val="18"/>
              </w:rPr>
            </w:pPr>
            <w:r w:rsidRPr="00CC3E8B">
              <w:rPr>
                <w:sz w:val="18"/>
              </w:rPr>
              <w:t>324</w:t>
            </w:r>
          </w:p>
        </w:tc>
        <w:tc>
          <w:tcPr>
            <w:tcW w:w="1036" w:type="dxa"/>
            <w:tcBorders>
              <w:bottom w:val="single" w:sz="4" w:space="0" w:color="auto"/>
            </w:tcBorders>
            <w:vAlign w:val="center"/>
          </w:tcPr>
          <w:p w:rsidR="002F06E4" w:rsidRPr="00CC3E8B" w:rsidRDefault="002F06E4">
            <w:pPr>
              <w:jc w:val="center"/>
              <w:rPr>
                <w:sz w:val="18"/>
              </w:rPr>
            </w:pPr>
            <w:r w:rsidRPr="00CC3E8B">
              <w:rPr>
                <w:sz w:val="18"/>
              </w:rPr>
              <w:t>2</w:t>
            </w:r>
          </w:p>
        </w:tc>
        <w:tc>
          <w:tcPr>
            <w:tcW w:w="1121" w:type="dxa"/>
            <w:tcBorders>
              <w:bottom w:val="single" w:sz="4" w:space="0" w:color="auto"/>
            </w:tcBorders>
            <w:vAlign w:val="center"/>
          </w:tcPr>
          <w:p w:rsidR="002F06E4" w:rsidRPr="00CC3E8B" w:rsidRDefault="002F06E4">
            <w:pPr>
              <w:jc w:val="center"/>
              <w:rPr>
                <w:sz w:val="18"/>
              </w:rPr>
            </w:pPr>
            <w:r w:rsidRPr="00CC3E8B">
              <w:rPr>
                <w:sz w:val="18"/>
              </w:rPr>
              <w:t>775</w:t>
            </w:r>
          </w:p>
        </w:tc>
        <w:tc>
          <w:tcPr>
            <w:tcW w:w="1155" w:type="dxa"/>
            <w:tcBorders>
              <w:bottom w:val="single" w:sz="4" w:space="0" w:color="auto"/>
            </w:tcBorders>
            <w:vAlign w:val="center"/>
          </w:tcPr>
          <w:p w:rsidR="002F06E4" w:rsidRPr="00CC3E8B" w:rsidRDefault="002F06E4">
            <w:pPr>
              <w:jc w:val="center"/>
              <w:rPr>
                <w:sz w:val="18"/>
              </w:rPr>
            </w:pPr>
            <w:r w:rsidRPr="00CC3E8B">
              <w:rPr>
                <w:sz w:val="18"/>
              </w:rPr>
              <w:t>1.00</w:t>
            </w:r>
          </w:p>
        </w:tc>
        <w:tc>
          <w:tcPr>
            <w:tcW w:w="1169" w:type="dxa"/>
            <w:tcBorders>
              <w:bottom w:val="single" w:sz="4" w:space="0" w:color="auto"/>
            </w:tcBorders>
            <w:vAlign w:val="center"/>
          </w:tcPr>
          <w:p w:rsidR="002F06E4" w:rsidRPr="00CC3E8B" w:rsidRDefault="002F06E4">
            <w:pPr>
              <w:jc w:val="center"/>
              <w:rPr>
                <w:sz w:val="18"/>
              </w:rPr>
            </w:pPr>
            <w:r w:rsidRPr="00CC3E8B">
              <w:rPr>
                <w:sz w:val="18"/>
              </w:rPr>
              <w:t>725</w:t>
            </w:r>
          </w:p>
        </w:tc>
        <w:tc>
          <w:tcPr>
            <w:tcW w:w="1164" w:type="dxa"/>
            <w:tcBorders>
              <w:bottom w:val="single" w:sz="4" w:space="0" w:color="auto"/>
            </w:tcBorders>
            <w:vAlign w:val="center"/>
          </w:tcPr>
          <w:p w:rsidR="002F06E4" w:rsidRPr="00CC3E8B" w:rsidRDefault="002F06E4">
            <w:pPr>
              <w:jc w:val="center"/>
              <w:rPr>
                <w:sz w:val="18"/>
              </w:rPr>
            </w:pPr>
            <w:r w:rsidRPr="00CC3E8B">
              <w:rPr>
                <w:sz w:val="18"/>
              </w:rPr>
              <w:t>$15.0</w:t>
            </w:r>
          </w:p>
        </w:tc>
        <w:tc>
          <w:tcPr>
            <w:tcW w:w="1116" w:type="dxa"/>
            <w:tcBorders>
              <w:bottom w:val="single" w:sz="4" w:space="0" w:color="auto"/>
            </w:tcBorders>
            <w:vAlign w:val="center"/>
          </w:tcPr>
          <w:p w:rsidR="002F06E4" w:rsidRPr="00CC3E8B" w:rsidRDefault="002F06E4" w:rsidP="002F06E4">
            <w:pPr>
              <w:jc w:val="right"/>
              <w:rPr>
                <w:sz w:val="18"/>
              </w:rPr>
            </w:pPr>
            <w:r w:rsidRPr="00CC3E8B">
              <w:rPr>
                <w:sz w:val="18"/>
              </w:rPr>
              <w:t>$10,875</w:t>
            </w:r>
          </w:p>
        </w:tc>
      </w:tr>
      <w:tr w:rsidR="002F06E4" w:rsidRPr="00CC3E8B" w:rsidTr="00BB1090">
        <w:trPr>
          <w:trHeight w:val="257"/>
        </w:trPr>
        <w:tc>
          <w:tcPr>
            <w:tcW w:w="2791" w:type="dxa"/>
            <w:shd w:val="clear" w:color="auto" w:fill="E0E0E0"/>
            <w:vAlign w:val="center"/>
          </w:tcPr>
          <w:p w:rsidR="002F06E4" w:rsidRPr="00CC3E8B" w:rsidRDefault="002F06E4">
            <w:pPr>
              <w:pStyle w:val="Heading9"/>
              <w:rPr>
                <w:sz w:val="20"/>
              </w:rPr>
            </w:pPr>
            <w:r w:rsidRPr="00CC3E8B">
              <w:rPr>
                <w:sz w:val="20"/>
              </w:rPr>
              <w:t>Accelerated Claims (AC)</w:t>
            </w:r>
          </w:p>
        </w:tc>
        <w:tc>
          <w:tcPr>
            <w:tcW w:w="1312" w:type="dxa"/>
            <w:shd w:val="clear" w:color="auto" w:fill="E0E0E0"/>
            <w:vAlign w:val="center"/>
          </w:tcPr>
          <w:p w:rsidR="002F06E4" w:rsidRPr="00CC3E8B" w:rsidRDefault="002F06E4">
            <w:pPr>
              <w:jc w:val="center"/>
              <w:rPr>
                <w:sz w:val="18"/>
              </w:rPr>
            </w:pPr>
          </w:p>
        </w:tc>
        <w:tc>
          <w:tcPr>
            <w:tcW w:w="1036" w:type="dxa"/>
            <w:shd w:val="clear" w:color="auto" w:fill="E0E0E0"/>
            <w:vAlign w:val="center"/>
          </w:tcPr>
          <w:p w:rsidR="002F06E4" w:rsidRPr="00CC3E8B" w:rsidRDefault="002F06E4">
            <w:pPr>
              <w:rPr>
                <w:sz w:val="18"/>
              </w:rPr>
            </w:pPr>
          </w:p>
        </w:tc>
        <w:tc>
          <w:tcPr>
            <w:tcW w:w="1121" w:type="dxa"/>
            <w:shd w:val="clear" w:color="auto" w:fill="E0E0E0"/>
            <w:vAlign w:val="center"/>
          </w:tcPr>
          <w:p w:rsidR="002F06E4" w:rsidRPr="00CC3E8B" w:rsidRDefault="002F06E4">
            <w:pPr>
              <w:rPr>
                <w:sz w:val="18"/>
              </w:rPr>
            </w:pPr>
          </w:p>
        </w:tc>
        <w:tc>
          <w:tcPr>
            <w:tcW w:w="1155" w:type="dxa"/>
            <w:shd w:val="clear" w:color="auto" w:fill="E0E0E0"/>
            <w:vAlign w:val="center"/>
          </w:tcPr>
          <w:p w:rsidR="002F06E4" w:rsidRPr="00CC3E8B" w:rsidRDefault="002F06E4">
            <w:pPr>
              <w:rPr>
                <w:sz w:val="18"/>
              </w:rPr>
            </w:pPr>
          </w:p>
        </w:tc>
        <w:tc>
          <w:tcPr>
            <w:tcW w:w="1169" w:type="dxa"/>
            <w:shd w:val="clear" w:color="auto" w:fill="E0E0E0"/>
            <w:vAlign w:val="center"/>
          </w:tcPr>
          <w:p w:rsidR="002F06E4" w:rsidRPr="00CC3E8B" w:rsidRDefault="002F06E4">
            <w:pPr>
              <w:rPr>
                <w:sz w:val="18"/>
              </w:rPr>
            </w:pPr>
          </w:p>
        </w:tc>
        <w:tc>
          <w:tcPr>
            <w:tcW w:w="1164" w:type="dxa"/>
            <w:shd w:val="clear" w:color="auto" w:fill="E0E0E0"/>
            <w:vAlign w:val="center"/>
          </w:tcPr>
          <w:p w:rsidR="002F06E4" w:rsidRPr="00CC3E8B" w:rsidRDefault="002F06E4">
            <w:pPr>
              <w:rPr>
                <w:sz w:val="18"/>
              </w:rPr>
            </w:pPr>
          </w:p>
        </w:tc>
        <w:tc>
          <w:tcPr>
            <w:tcW w:w="1116" w:type="dxa"/>
            <w:shd w:val="clear" w:color="auto" w:fill="E0E0E0"/>
            <w:vAlign w:val="center"/>
          </w:tcPr>
          <w:p w:rsidR="002F06E4" w:rsidRPr="00CC3E8B" w:rsidRDefault="002F06E4">
            <w:pPr>
              <w:jc w:val="right"/>
              <w:rPr>
                <w:sz w:val="18"/>
              </w:rPr>
            </w:pPr>
          </w:p>
        </w:tc>
      </w:tr>
      <w:tr w:rsidR="002F06E4" w:rsidRPr="00CC3E8B" w:rsidTr="00BB1090">
        <w:trPr>
          <w:trHeight w:val="257"/>
        </w:trPr>
        <w:tc>
          <w:tcPr>
            <w:tcW w:w="2791" w:type="dxa"/>
            <w:vAlign w:val="center"/>
          </w:tcPr>
          <w:p w:rsidR="002F06E4" w:rsidRPr="00CC3E8B" w:rsidRDefault="002F06E4">
            <w:pPr>
              <w:rPr>
                <w:sz w:val="18"/>
              </w:rPr>
            </w:pPr>
            <w:r w:rsidRPr="00CC3E8B">
              <w:rPr>
                <w:sz w:val="18"/>
              </w:rPr>
              <w:t>AC Evaluation</w:t>
            </w:r>
          </w:p>
        </w:tc>
        <w:tc>
          <w:tcPr>
            <w:tcW w:w="1312" w:type="dxa"/>
            <w:vAlign w:val="center"/>
          </w:tcPr>
          <w:p w:rsidR="002F06E4" w:rsidRPr="00CC3E8B" w:rsidRDefault="002F06E4">
            <w:pPr>
              <w:jc w:val="center"/>
              <w:rPr>
                <w:sz w:val="18"/>
              </w:rPr>
            </w:pPr>
            <w:r w:rsidRPr="00CC3E8B">
              <w:rPr>
                <w:sz w:val="18"/>
              </w:rPr>
              <w:t>324</w:t>
            </w:r>
          </w:p>
        </w:tc>
        <w:tc>
          <w:tcPr>
            <w:tcW w:w="1036" w:type="dxa"/>
            <w:vAlign w:val="center"/>
          </w:tcPr>
          <w:p w:rsidR="002F06E4" w:rsidRPr="00CC3E8B" w:rsidRDefault="002F06E4">
            <w:pPr>
              <w:jc w:val="center"/>
              <w:rPr>
                <w:sz w:val="18"/>
              </w:rPr>
            </w:pPr>
            <w:r w:rsidRPr="00CC3E8B">
              <w:rPr>
                <w:sz w:val="18"/>
              </w:rPr>
              <w:t>3</w:t>
            </w:r>
          </w:p>
        </w:tc>
        <w:tc>
          <w:tcPr>
            <w:tcW w:w="1121" w:type="dxa"/>
            <w:vAlign w:val="center"/>
          </w:tcPr>
          <w:p w:rsidR="002F06E4" w:rsidRPr="00CC3E8B" w:rsidRDefault="002F06E4" w:rsidP="002F06E4">
            <w:pPr>
              <w:jc w:val="center"/>
              <w:rPr>
                <w:sz w:val="18"/>
              </w:rPr>
            </w:pPr>
            <w:r w:rsidRPr="00CC3E8B">
              <w:rPr>
                <w:sz w:val="18"/>
              </w:rPr>
              <w:t>1,000</w:t>
            </w:r>
          </w:p>
        </w:tc>
        <w:tc>
          <w:tcPr>
            <w:tcW w:w="1155" w:type="dxa"/>
            <w:vAlign w:val="center"/>
          </w:tcPr>
          <w:p w:rsidR="002F06E4" w:rsidRPr="00CC3E8B" w:rsidRDefault="002F06E4">
            <w:pPr>
              <w:jc w:val="center"/>
              <w:rPr>
                <w:sz w:val="18"/>
              </w:rPr>
            </w:pPr>
            <w:r w:rsidRPr="00CC3E8B">
              <w:rPr>
                <w:sz w:val="18"/>
              </w:rPr>
              <w:t>2.00</w:t>
            </w:r>
          </w:p>
        </w:tc>
        <w:tc>
          <w:tcPr>
            <w:tcW w:w="1169" w:type="dxa"/>
            <w:vAlign w:val="center"/>
          </w:tcPr>
          <w:p w:rsidR="002F06E4" w:rsidRPr="00CC3E8B" w:rsidRDefault="002F06E4" w:rsidP="002F06E4">
            <w:pPr>
              <w:jc w:val="center"/>
              <w:rPr>
                <w:sz w:val="18"/>
              </w:rPr>
            </w:pPr>
            <w:r w:rsidRPr="00CC3E8B">
              <w:rPr>
                <w:sz w:val="18"/>
              </w:rPr>
              <w:t>2,000</w:t>
            </w:r>
          </w:p>
        </w:tc>
        <w:tc>
          <w:tcPr>
            <w:tcW w:w="1164" w:type="dxa"/>
            <w:vAlign w:val="center"/>
          </w:tcPr>
          <w:p w:rsidR="002F06E4" w:rsidRPr="00CC3E8B" w:rsidRDefault="002F06E4">
            <w:pPr>
              <w:jc w:val="center"/>
              <w:rPr>
                <w:sz w:val="18"/>
              </w:rPr>
            </w:pPr>
            <w:r w:rsidRPr="00CC3E8B">
              <w:rPr>
                <w:sz w:val="18"/>
              </w:rPr>
              <w:t>$15.00</w:t>
            </w:r>
          </w:p>
        </w:tc>
        <w:tc>
          <w:tcPr>
            <w:tcW w:w="1116" w:type="dxa"/>
            <w:vAlign w:val="center"/>
          </w:tcPr>
          <w:p w:rsidR="002F06E4" w:rsidRPr="00CC3E8B" w:rsidRDefault="002D3028" w:rsidP="002D3028">
            <w:pPr>
              <w:jc w:val="right"/>
              <w:rPr>
                <w:sz w:val="18"/>
              </w:rPr>
            </w:pPr>
            <w:r w:rsidRPr="00CC3E8B">
              <w:rPr>
                <w:sz w:val="18"/>
              </w:rPr>
              <w:t>$30</w:t>
            </w:r>
            <w:r w:rsidR="002F06E4" w:rsidRPr="00CC3E8B">
              <w:rPr>
                <w:sz w:val="18"/>
              </w:rPr>
              <w:t>,000</w:t>
            </w:r>
          </w:p>
        </w:tc>
      </w:tr>
      <w:tr w:rsidR="002F06E4" w:rsidRPr="00CC3E8B" w:rsidTr="00BB1090">
        <w:trPr>
          <w:trHeight w:val="257"/>
        </w:trPr>
        <w:tc>
          <w:tcPr>
            <w:tcW w:w="2791" w:type="dxa"/>
            <w:vAlign w:val="center"/>
          </w:tcPr>
          <w:p w:rsidR="002F06E4" w:rsidRPr="00CC3E8B" w:rsidRDefault="002F06E4">
            <w:pPr>
              <w:rPr>
                <w:sz w:val="18"/>
              </w:rPr>
            </w:pPr>
            <w:r w:rsidRPr="00CC3E8B">
              <w:rPr>
                <w:sz w:val="18"/>
              </w:rPr>
              <w:t>Note Assignment and Transfer</w:t>
            </w:r>
          </w:p>
        </w:tc>
        <w:tc>
          <w:tcPr>
            <w:tcW w:w="1312" w:type="dxa"/>
            <w:vAlign w:val="center"/>
          </w:tcPr>
          <w:p w:rsidR="002F06E4" w:rsidRPr="00CC3E8B" w:rsidRDefault="002F06E4">
            <w:pPr>
              <w:jc w:val="center"/>
            </w:pPr>
            <w:r w:rsidRPr="00CC3E8B">
              <w:rPr>
                <w:sz w:val="18"/>
              </w:rPr>
              <w:t>324</w:t>
            </w:r>
          </w:p>
        </w:tc>
        <w:tc>
          <w:tcPr>
            <w:tcW w:w="1036" w:type="dxa"/>
            <w:vAlign w:val="center"/>
          </w:tcPr>
          <w:p w:rsidR="002F06E4" w:rsidRPr="00CC3E8B" w:rsidRDefault="002F06E4">
            <w:pPr>
              <w:jc w:val="center"/>
              <w:rPr>
                <w:sz w:val="18"/>
              </w:rPr>
            </w:pPr>
            <w:r w:rsidRPr="00CC3E8B">
              <w:rPr>
                <w:sz w:val="18"/>
              </w:rPr>
              <w:t>3</w:t>
            </w:r>
          </w:p>
        </w:tc>
        <w:tc>
          <w:tcPr>
            <w:tcW w:w="1121" w:type="dxa"/>
            <w:vAlign w:val="center"/>
          </w:tcPr>
          <w:p w:rsidR="002F06E4" w:rsidRPr="00CC3E8B" w:rsidRDefault="002F06E4">
            <w:pPr>
              <w:jc w:val="center"/>
              <w:rPr>
                <w:sz w:val="18"/>
              </w:rPr>
            </w:pPr>
            <w:r w:rsidRPr="00CC3E8B">
              <w:rPr>
                <w:sz w:val="18"/>
              </w:rPr>
              <w:t>1,000</w:t>
            </w:r>
          </w:p>
        </w:tc>
        <w:tc>
          <w:tcPr>
            <w:tcW w:w="1155" w:type="dxa"/>
            <w:vAlign w:val="center"/>
          </w:tcPr>
          <w:p w:rsidR="002F06E4" w:rsidRPr="00CC3E8B" w:rsidRDefault="002F06E4">
            <w:pPr>
              <w:jc w:val="center"/>
              <w:rPr>
                <w:sz w:val="18"/>
              </w:rPr>
            </w:pPr>
            <w:r w:rsidRPr="00CC3E8B">
              <w:rPr>
                <w:sz w:val="18"/>
              </w:rPr>
              <w:t>2.00</w:t>
            </w:r>
          </w:p>
        </w:tc>
        <w:tc>
          <w:tcPr>
            <w:tcW w:w="1169" w:type="dxa"/>
            <w:vAlign w:val="center"/>
          </w:tcPr>
          <w:p w:rsidR="002F06E4" w:rsidRPr="00CC3E8B" w:rsidRDefault="002F06E4">
            <w:pPr>
              <w:jc w:val="center"/>
              <w:rPr>
                <w:sz w:val="18"/>
              </w:rPr>
            </w:pPr>
            <w:r w:rsidRPr="00CC3E8B">
              <w:rPr>
                <w:sz w:val="18"/>
              </w:rPr>
              <w:t>2,000</w:t>
            </w:r>
          </w:p>
        </w:tc>
        <w:tc>
          <w:tcPr>
            <w:tcW w:w="1164" w:type="dxa"/>
          </w:tcPr>
          <w:p w:rsidR="002F06E4" w:rsidRPr="00CC3E8B" w:rsidRDefault="002F06E4">
            <w:pPr>
              <w:jc w:val="center"/>
            </w:pPr>
            <w:r w:rsidRPr="00CC3E8B">
              <w:rPr>
                <w:sz w:val="18"/>
              </w:rPr>
              <w:t>$15.00</w:t>
            </w:r>
          </w:p>
        </w:tc>
        <w:tc>
          <w:tcPr>
            <w:tcW w:w="1116" w:type="dxa"/>
            <w:vAlign w:val="center"/>
          </w:tcPr>
          <w:p w:rsidR="002F06E4" w:rsidRPr="00CC3E8B" w:rsidRDefault="002D3028">
            <w:pPr>
              <w:jc w:val="right"/>
              <w:rPr>
                <w:sz w:val="18"/>
              </w:rPr>
            </w:pPr>
            <w:r w:rsidRPr="00CC3E8B">
              <w:rPr>
                <w:sz w:val="18"/>
              </w:rPr>
              <w:t>$30</w:t>
            </w:r>
            <w:r w:rsidR="002F06E4" w:rsidRPr="00CC3E8B">
              <w:rPr>
                <w:sz w:val="18"/>
              </w:rPr>
              <w:t>,000</w:t>
            </w:r>
          </w:p>
        </w:tc>
      </w:tr>
      <w:tr w:rsidR="002F06E4" w:rsidRPr="00CC3E8B" w:rsidTr="00BB1090">
        <w:trPr>
          <w:trHeight w:val="257"/>
        </w:trPr>
        <w:tc>
          <w:tcPr>
            <w:tcW w:w="2791" w:type="dxa"/>
            <w:vAlign w:val="center"/>
          </w:tcPr>
          <w:p w:rsidR="002F06E4" w:rsidRPr="00CC3E8B" w:rsidRDefault="002F06E4">
            <w:pPr>
              <w:rPr>
                <w:sz w:val="18"/>
              </w:rPr>
            </w:pPr>
            <w:r w:rsidRPr="00CC3E8B">
              <w:rPr>
                <w:sz w:val="18"/>
              </w:rPr>
              <w:t>HUD-27011 “Claim for Insurance Benefits”</w:t>
            </w:r>
          </w:p>
        </w:tc>
        <w:tc>
          <w:tcPr>
            <w:tcW w:w="1312" w:type="dxa"/>
            <w:vAlign w:val="center"/>
          </w:tcPr>
          <w:p w:rsidR="002F06E4" w:rsidRPr="00CC3E8B" w:rsidRDefault="002F06E4">
            <w:pPr>
              <w:jc w:val="center"/>
            </w:pPr>
            <w:r w:rsidRPr="00CC3E8B">
              <w:rPr>
                <w:sz w:val="18"/>
              </w:rPr>
              <w:t>324</w:t>
            </w:r>
          </w:p>
        </w:tc>
        <w:tc>
          <w:tcPr>
            <w:tcW w:w="1036" w:type="dxa"/>
            <w:vAlign w:val="center"/>
          </w:tcPr>
          <w:p w:rsidR="002F06E4" w:rsidRPr="00CC3E8B" w:rsidRDefault="002F06E4">
            <w:pPr>
              <w:jc w:val="center"/>
              <w:rPr>
                <w:sz w:val="18"/>
              </w:rPr>
            </w:pPr>
            <w:r w:rsidRPr="00CC3E8B">
              <w:rPr>
                <w:sz w:val="18"/>
              </w:rPr>
              <w:t>3</w:t>
            </w:r>
          </w:p>
        </w:tc>
        <w:tc>
          <w:tcPr>
            <w:tcW w:w="1121" w:type="dxa"/>
            <w:vAlign w:val="center"/>
          </w:tcPr>
          <w:p w:rsidR="002F06E4" w:rsidRPr="00CC3E8B" w:rsidRDefault="002F06E4">
            <w:pPr>
              <w:jc w:val="center"/>
              <w:rPr>
                <w:sz w:val="18"/>
              </w:rPr>
            </w:pPr>
            <w:r w:rsidRPr="00CC3E8B">
              <w:rPr>
                <w:sz w:val="18"/>
              </w:rPr>
              <w:t>1,000</w:t>
            </w:r>
          </w:p>
        </w:tc>
        <w:tc>
          <w:tcPr>
            <w:tcW w:w="1155" w:type="dxa"/>
            <w:vAlign w:val="center"/>
          </w:tcPr>
          <w:p w:rsidR="002F06E4" w:rsidRPr="00CC3E8B" w:rsidRDefault="002F06E4" w:rsidP="002F06E4">
            <w:pPr>
              <w:jc w:val="center"/>
              <w:rPr>
                <w:sz w:val="18"/>
              </w:rPr>
            </w:pPr>
            <w:r w:rsidRPr="00CC3E8B">
              <w:rPr>
                <w:sz w:val="18"/>
              </w:rPr>
              <w:t>1.33</w:t>
            </w:r>
          </w:p>
        </w:tc>
        <w:tc>
          <w:tcPr>
            <w:tcW w:w="1169" w:type="dxa"/>
            <w:vAlign w:val="center"/>
          </w:tcPr>
          <w:p w:rsidR="002F06E4" w:rsidRPr="00CC3E8B" w:rsidRDefault="002F06E4" w:rsidP="002F06E4">
            <w:pPr>
              <w:jc w:val="center"/>
              <w:rPr>
                <w:sz w:val="18"/>
              </w:rPr>
            </w:pPr>
            <w:r w:rsidRPr="00CC3E8B">
              <w:rPr>
                <w:sz w:val="18"/>
              </w:rPr>
              <w:t>1,333</w:t>
            </w:r>
          </w:p>
        </w:tc>
        <w:tc>
          <w:tcPr>
            <w:tcW w:w="1164" w:type="dxa"/>
            <w:vAlign w:val="center"/>
          </w:tcPr>
          <w:p w:rsidR="002F06E4" w:rsidRPr="00CC3E8B" w:rsidRDefault="002F06E4">
            <w:pPr>
              <w:jc w:val="center"/>
            </w:pPr>
            <w:r w:rsidRPr="00CC3E8B">
              <w:rPr>
                <w:sz w:val="18"/>
              </w:rPr>
              <w:t>$15.00</w:t>
            </w:r>
          </w:p>
        </w:tc>
        <w:tc>
          <w:tcPr>
            <w:tcW w:w="1116" w:type="dxa"/>
            <w:vAlign w:val="center"/>
          </w:tcPr>
          <w:p w:rsidR="002F06E4" w:rsidRPr="00CC3E8B" w:rsidRDefault="002D3028" w:rsidP="002D3028">
            <w:pPr>
              <w:jc w:val="right"/>
              <w:rPr>
                <w:sz w:val="18"/>
              </w:rPr>
            </w:pPr>
            <w:r w:rsidRPr="00CC3E8B">
              <w:rPr>
                <w:sz w:val="18"/>
              </w:rPr>
              <w:t>$19</w:t>
            </w:r>
            <w:r w:rsidR="002F06E4" w:rsidRPr="00CC3E8B">
              <w:rPr>
                <w:sz w:val="18"/>
              </w:rPr>
              <w:t>,</w:t>
            </w:r>
            <w:r w:rsidRPr="00CC3E8B">
              <w:rPr>
                <w:sz w:val="18"/>
              </w:rPr>
              <w:t>99</w:t>
            </w:r>
            <w:r w:rsidR="002F06E4" w:rsidRPr="00CC3E8B">
              <w:rPr>
                <w:sz w:val="18"/>
              </w:rPr>
              <w:t>5</w:t>
            </w:r>
          </w:p>
        </w:tc>
      </w:tr>
      <w:tr w:rsidR="002F06E4" w:rsidRPr="00CC3E8B" w:rsidTr="00BB1090">
        <w:trPr>
          <w:trHeight w:val="257"/>
        </w:trPr>
        <w:tc>
          <w:tcPr>
            <w:tcW w:w="2791" w:type="dxa"/>
            <w:vAlign w:val="center"/>
          </w:tcPr>
          <w:p w:rsidR="002F06E4" w:rsidRPr="00CC3E8B" w:rsidRDefault="002F06E4">
            <w:pPr>
              <w:rPr>
                <w:b/>
                <w:sz w:val="18"/>
              </w:rPr>
            </w:pPr>
            <w:r w:rsidRPr="00CC3E8B">
              <w:rPr>
                <w:b/>
                <w:sz w:val="18"/>
              </w:rPr>
              <w:t>Totals</w:t>
            </w:r>
          </w:p>
        </w:tc>
        <w:tc>
          <w:tcPr>
            <w:tcW w:w="1312" w:type="dxa"/>
            <w:vAlign w:val="center"/>
          </w:tcPr>
          <w:p w:rsidR="002F06E4" w:rsidRPr="00CC3E8B" w:rsidRDefault="00B775BE">
            <w:pPr>
              <w:jc w:val="center"/>
              <w:rPr>
                <w:sz w:val="18"/>
              </w:rPr>
            </w:pPr>
            <w:r w:rsidRPr="00CC3E8B">
              <w:rPr>
                <w:sz w:val="18"/>
              </w:rPr>
              <w:t>324</w:t>
            </w:r>
          </w:p>
        </w:tc>
        <w:tc>
          <w:tcPr>
            <w:tcW w:w="1036" w:type="dxa"/>
            <w:vAlign w:val="center"/>
          </w:tcPr>
          <w:p w:rsidR="002F06E4" w:rsidRPr="00CC3E8B" w:rsidRDefault="002F06E4">
            <w:pPr>
              <w:jc w:val="center"/>
              <w:rPr>
                <w:sz w:val="18"/>
              </w:rPr>
            </w:pPr>
          </w:p>
        </w:tc>
        <w:tc>
          <w:tcPr>
            <w:tcW w:w="1121" w:type="dxa"/>
            <w:vAlign w:val="center"/>
          </w:tcPr>
          <w:p w:rsidR="002F06E4" w:rsidRPr="00CC3E8B" w:rsidRDefault="0064553B" w:rsidP="0064553B">
            <w:pPr>
              <w:jc w:val="center"/>
              <w:rPr>
                <w:sz w:val="18"/>
              </w:rPr>
            </w:pPr>
            <w:r w:rsidRPr="00CC3E8B">
              <w:rPr>
                <w:sz w:val="18"/>
              </w:rPr>
              <w:t>1,087</w:t>
            </w:r>
            <w:r w:rsidR="002F06E4" w:rsidRPr="00CC3E8B">
              <w:rPr>
                <w:sz w:val="18"/>
              </w:rPr>
              <w:t>,</w:t>
            </w:r>
            <w:r w:rsidRPr="00CC3E8B">
              <w:rPr>
                <w:sz w:val="18"/>
              </w:rPr>
              <w:t>913</w:t>
            </w:r>
          </w:p>
        </w:tc>
        <w:tc>
          <w:tcPr>
            <w:tcW w:w="1155" w:type="dxa"/>
            <w:vAlign w:val="center"/>
          </w:tcPr>
          <w:p w:rsidR="002F06E4" w:rsidRPr="00CC3E8B" w:rsidRDefault="002F06E4">
            <w:pPr>
              <w:jc w:val="center"/>
              <w:rPr>
                <w:sz w:val="18"/>
              </w:rPr>
            </w:pPr>
          </w:p>
        </w:tc>
        <w:tc>
          <w:tcPr>
            <w:tcW w:w="1169" w:type="dxa"/>
            <w:vAlign w:val="center"/>
          </w:tcPr>
          <w:p w:rsidR="002F06E4" w:rsidRPr="00CC3E8B" w:rsidRDefault="0064553B" w:rsidP="0064553B">
            <w:pPr>
              <w:jc w:val="center"/>
              <w:rPr>
                <w:sz w:val="18"/>
              </w:rPr>
            </w:pPr>
            <w:r w:rsidRPr="00CC3E8B">
              <w:rPr>
                <w:sz w:val="18"/>
              </w:rPr>
              <w:t>1,347</w:t>
            </w:r>
            <w:r w:rsidR="002F06E4" w:rsidRPr="00CC3E8B">
              <w:rPr>
                <w:sz w:val="18"/>
              </w:rPr>
              <w:t>,</w:t>
            </w:r>
            <w:r w:rsidRPr="00CC3E8B">
              <w:rPr>
                <w:sz w:val="18"/>
              </w:rPr>
              <w:t>549</w:t>
            </w:r>
          </w:p>
        </w:tc>
        <w:tc>
          <w:tcPr>
            <w:tcW w:w="1164" w:type="dxa"/>
            <w:vAlign w:val="center"/>
          </w:tcPr>
          <w:p w:rsidR="002F06E4" w:rsidRPr="00CC3E8B" w:rsidRDefault="002F06E4">
            <w:pPr>
              <w:jc w:val="center"/>
              <w:rPr>
                <w:sz w:val="18"/>
              </w:rPr>
            </w:pPr>
          </w:p>
        </w:tc>
        <w:tc>
          <w:tcPr>
            <w:tcW w:w="1116" w:type="dxa"/>
            <w:vAlign w:val="center"/>
          </w:tcPr>
          <w:p w:rsidR="002F06E4" w:rsidRPr="00CC3E8B" w:rsidRDefault="002F06E4" w:rsidP="0064553B">
            <w:pPr>
              <w:jc w:val="right"/>
              <w:rPr>
                <w:sz w:val="18"/>
              </w:rPr>
            </w:pPr>
            <w:r w:rsidRPr="00CC3E8B">
              <w:rPr>
                <w:sz w:val="18"/>
              </w:rPr>
              <w:t>$</w:t>
            </w:r>
            <w:r w:rsidR="0064553B" w:rsidRPr="00CC3E8B">
              <w:rPr>
                <w:sz w:val="18"/>
              </w:rPr>
              <w:t>2</w:t>
            </w:r>
            <w:r w:rsidRPr="00CC3E8B">
              <w:rPr>
                <w:sz w:val="18"/>
              </w:rPr>
              <w:t>0,</w:t>
            </w:r>
            <w:r w:rsidR="0064553B" w:rsidRPr="00CC3E8B">
              <w:rPr>
                <w:sz w:val="18"/>
              </w:rPr>
              <w:t>21</w:t>
            </w:r>
            <w:r w:rsidRPr="00CC3E8B">
              <w:rPr>
                <w:sz w:val="18"/>
              </w:rPr>
              <w:t>3,</w:t>
            </w:r>
            <w:r w:rsidR="0064553B" w:rsidRPr="00CC3E8B">
              <w:rPr>
                <w:sz w:val="18"/>
              </w:rPr>
              <w:t>240</w:t>
            </w:r>
          </w:p>
        </w:tc>
      </w:tr>
    </w:tbl>
    <w:p w:rsidR="00672004" w:rsidRPr="00CC3E8B" w:rsidRDefault="00672004">
      <w:pPr>
        <w:pStyle w:val="OmniPage269"/>
        <w:ind w:left="360"/>
        <w:rPr>
          <w:color w:val="000000"/>
        </w:rPr>
      </w:pPr>
      <w:r w:rsidRPr="00CC3E8B">
        <w:rPr>
          <w:color w:val="000000"/>
        </w:rPr>
        <w:t>The hourly cost is based on estimated mortgagee staff salary of $31,200 annually.</w:t>
      </w:r>
    </w:p>
    <w:p w:rsidR="00672004" w:rsidRPr="00CC3E8B" w:rsidRDefault="00672004">
      <w:pPr>
        <w:pStyle w:val="OmniPage269"/>
        <w:ind w:left="0"/>
        <w:rPr>
          <w:color w:val="000000"/>
          <w:sz w:val="24"/>
        </w:rPr>
      </w:pPr>
    </w:p>
    <w:p w:rsidR="008C5ACC" w:rsidRDefault="008C5ACC">
      <w:pPr>
        <w:pStyle w:val="OmniPage269"/>
        <w:ind w:left="0"/>
        <w:rPr>
          <w:color w:val="000000"/>
          <w:sz w:val="24"/>
        </w:rPr>
      </w:pPr>
      <w:r w:rsidRPr="00CC3E8B">
        <w:rPr>
          <w:color w:val="000000"/>
          <w:sz w:val="24"/>
        </w:rPr>
        <w:t>Please Note: Th</w:t>
      </w:r>
      <w:r w:rsidR="00CC3E8B" w:rsidRPr="00CC3E8B">
        <w:rPr>
          <w:color w:val="000000"/>
          <w:sz w:val="24"/>
        </w:rPr>
        <w:t xml:space="preserve">e HECM </w:t>
      </w:r>
      <w:r w:rsidRPr="00CC3E8B">
        <w:rPr>
          <w:color w:val="000000"/>
          <w:sz w:val="24"/>
        </w:rPr>
        <w:t>section will be deleted from ICR 2502-0429 once the new HECM PRA is approved for publishing.  The burden hours for 2502-0429 will not be affected.</w:t>
      </w:r>
    </w:p>
    <w:p w:rsidR="008C5ACC" w:rsidRDefault="008C5ACC">
      <w:pPr>
        <w:pStyle w:val="OmniPage269"/>
        <w:ind w:left="0"/>
        <w:rPr>
          <w:color w:val="000000"/>
          <w:sz w:val="24"/>
        </w:rPr>
      </w:pPr>
    </w:p>
    <w:p w:rsidR="00672004" w:rsidRDefault="00672004">
      <w:pPr>
        <w:tabs>
          <w:tab w:val="left" w:pos="360"/>
        </w:tabs>
        <w:ind w:left="360" w:hanging="360"/>
        <w:rPr>
          <w:color w:val="000000"/>
          <w:sz w:val="24"/>
        </w:rPr>
      </w:pPr>
      <w:r>
        <w:rPr>
          <w:color w:val="000000"/>
          <w:sz w:val="24"/>
        </w:rPr>
        <w:t>13.</w:t>
      </w:r>
      <w:r>
        <w:rPr>
          <w:color w:val="000000"/>
          <w:sz w:val="24"/>
        </w:rPr>
        <w:tab/>
        <w:t>There are no additional costs to the respondents.</w:t>
      </w:r>
    </w:p>
    <w:p w:rsidR="00672004" w:rsidRDefault="00672004">
      <w:pPr>
        <w:tabs>
          <w:tab w:val="right" w:pos="8349"/>
        </w:tabs>
        <w:rPr>
          <w:color w:val="000000"/>
          <w:sz w:val="24"/>
        </w:rPr>
      </w:pPr>
    </w:p>
    <w:p w:rsidR="00672004" w:rsidRDefault="00672004">
      <w:pPr>
        <w:tabs>
          <w:tab w:val="right" w:pos="8349"/>
        </w:tabs>
        <w:ind w:left="360" w:hanging="360"/>
        <w:rPr>
          <w:color w:val="000000"/>
          <w:sz w:val="24"/>
        </w:rPr>
      </w:pPr>
      <w:r>
        <w:rPr>
          <w:color w:val="000000"/>
          <w:sz w:val="24"/>
        </w:rPr>
        <w:t>14.</w:t>
      </w:r>
      <w:r>
        <w:rPr>
          <w:color w:val="000000"/>
          <w:sz w:val="24"/>
        </w:rPr>
        <w:tab/>
        <w:t>Estimated Burden and Annual Cost to the Federal Government:</w:t>
      </w:r>
    </w:p>
    <w:p w:rsidR="00672004" w:rsidRDefault="00672004">
      <w:pPr>
        <w:rPr>
          <w:color w:val="000000"/>
          <w:sz w:val="24"/>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2"/>
        <w:gridCol w:w="1528"/>
        <w:gridCol w:w="1710"/>
        <w:gridCol w:w="1429"/>
        <w:gridCol w:w="986"/>
        <w:gridCol w:w="1215"/>
      </w:tblGrid>
      <w:tr w:rsidR="00672004">
        <w:tc>
          <w:tcPr>
            <w:tcW w:w="0" w:type="auto"/>
            <w:vAlign w:val="center"/>
          </w:tcPr>
          <w:p w:rsidR="00672004" w:rsidRDefault="00672004">
            <w:pPr>
              <w:jc w:val="center"/>
              <w:rPr>
                <w:b/>
                <w:bCs/>
                <w:color w:val="000000"/>
                <w:sz w:val="18"/>
              </w:rPr>
            </w:pPr>
            <w:r>
              <w:rPr>
                <w:b/>
                <w:bCs/>
                <w:color w:val="000000"/>
                <w:sz w:val="18"/>
              </w:rPr>
              <w:t>Information Collection</w:t>
            </w:r>
          </w:p>
        </w:tc>
        <w:tc>
          <w:tcPr>
            <w:tcW w:w="0" w:type="auto"/>
            <w:vAlign w:val="center"/>
          </w:tcPr>
          <w:p w:rsidR="00672004" w:rsidRDefault="00672004">
            <w:pPr>
              <w:jc w:val="center"/>
              <w:rPr>
                <w:b/>
                <w:bCs/>
                <w:color w:val="000000"/>
                <w:sz w:val="18"/>
              </w:rPr>
            </w:pPr>
            <w:r>
              <w:rPr>
                <w:b/>
                <w:bCs/>
                <w:color w:val="000000"/>
                <w:sz w:val="18"/>
              </w:rPr>
              <w:t>Responses Per Annum</w:t>
            </w:r>
          </w:p>
        </w:tc>
        <w:tc>
          <w:tcPr>
            <w:tcW w:w="0" w:type="auto"/>
            <w:vAlign w:val="center"/>
          </w:tcPr>
          <w:p w:rsidR="00672004" w:rsidRDefault="00672004">
            <w:pPr>
              <w:jc w:val="center"/>
              <w:rPr>
                <w:b/>
                <w:bCs/>
                <w:color w:val="000000"/>
                <w:sz w:val="18"/>
              </w:rPr>
            </w:pPr>
            <w:r>
              <w:rPr>
                <w:b/>
                <w:bCs/>
                <w:color w:val="000000"/>
                <w:sz w:val="18"/>
              </w:rPr>
              <w:t>Burden Hour Per Response</w:t>
            </w:r>
          </w:p>
        </w:tc>
        <w:tc>
          <w:tcPr>
            <w:tcW w:w="0" w:type="auto"/>
            <w:vAlign w:val="center"/>
          </w:tcPr>
          <w:p w:rsidR="00672004" w:rsidRDefault="00672004">
            <w:pPr>
              <w:jc w:val="center"/>
              <w:rPr>
                <w:b/>
                <w:bCs/>
                <w:color w:val="000000"/>
                <w:sz w:val="18"/>
              </w:rPr>
            </w:pPr>
            <w:r>
              <w:rPr>
                <w:b/>
                <w:bCs/>
                <w:color w:val="000000"/>
                <w:sz w:val="18"/>
              </w:rPr>
              <w:t>Annual Burden Hours</w:t>
            </w:r>
          </w:p>
        </w:tc>
        <w:tc>
          <w:tcPr>
            <w:tcW w:w="0" w:type="auto"/>
            <w:vAlign w:val="center"/>
          </w:tcPr>
          <w:p w:rsidR="00672004" w:rsidRDefault="00672004">
            <w:pPr>
              <w:jc w:val="center"/>
              <w:rPr>
                <w:b/>
                <w:bCs/>
                <w:color w:val="000000"/>
                <w:sz w:val="18"/>
              </w:rPr>
            </w:pPr>
            <w:r>
              <w:rPr>
                <w:b/>
                <w:bCs/>
                <w:color w:val="000000"/>
                <w:sz w:val="18"/>
              </w:rPr>
              <w:t>Hourly Cost</w:t>
            </w:r>
          </w:p>
        </w:tc>
        <w:tc>
          <w:tcPr>
            <w:tcW w:w="1215" w:type="dxa"/>
            <w:vAlign w:val="center"/>
          </w:tcPr>
          <w:p w:rsidR="00672004" w:rsidRDefault="00672004">
            <w:pPr>
              <w:jc w:val="center"/>
              <w:rPr>
                <w:b/>
                <w:bCs/>
                <w:color w:val="000000"/>
                <w:sz w:val="18"/>
              </w:rPr>
            </w:pPr>
            <w:r>
              <w:rPr>
                <w:b/>
                <w:bCs/>
                <w:color w:val="000000"/>
                <w:sz w:val="18"/>
              </w:rPr>
              <w:t>Annual Cost</w:t>
            </w:r>
          </w:p>
        </w:tc>
      </w:tr>
      <w:tr w:rsidR="00672004">
        <w:trPr>
          <w:trHeight w:val="167"/>
        </w:trPr>
        <w:tc>
          <w:tcPr>
            <w:tcW w:w="0" w:type="auto"/>
            <w:shd w:val="clear" w:color="auto" w:fill="E0E0E0"/>
          </w:tcPr>
          <w:p w:rsidR="00672004" w:rsidRDefault="00672004">
            <w:pPr>
              <w:rPr>
                <w:rFonts w:ascii="Arial" w:hAnsi="Arial" w:cs="Arial"/>
                <w:b/>
                <w:bCs/>
                <w:color w:val="000000"/>
                <w:sz w:val="18"/>
              </w:rPr>
            </w:pPr>
            <w:r>
              <w:rPr>
                <w:b/>
                <w:bCs/>
              </w:rPr>
              <w:t>Unoccupied Conveyance</w:t>
            </w:r>
          </w:p>
        </w:tc>
        <w:tc>
          <w:tcPr>
            <w:tcW w:w="0" w:type="auto"/>
            <w:shd w:val="clear" w:color="auto" w:fill="E0E0E0"/>
          </w:tcPr>
          <w:p w:rsidR="00672004" w:rsidRDefault="00672004">
            <w:pPr>
              <w:jc w:val="center"/>
              <w:rPr>
                <w:color w:val="000000"/>
                <w:sz w:val="18"/>
              </w:rPr>
            </w:pPr>
          </w:p>
        </w:tc>
        <w:tc>
          <w:tcPr>
            <w:tcW w:w="0" w:type="auto"/>
            <w:shd w:val="clear" w:color="auto" w:fill="E0E0E0"/>
          </w:tcPr>
          <w:p w:rsidR="00672004" w:rsidRDefault="00672004">
            <w:pPr>
              <w:rPr>
                <w:color w:val="000000"/>
                <w:sz w:val="18"/>
              </w:rPr>
            </w:pPr>
          </w:p>
        </w:tc>
        <w:tc>
          <w:tcPr>
            <w:tcW w:w="0" w:type="auto"/>
            <w:shd w:val="clear" w:color="auto" w:fill="E0E0E0"/>
          </w:tcPr>
          <w:p w:rsidR="00672004" w:rsidRDefault="00672004">
            <w:pPr>
              <w:rPr>
                <w:color w:val="000000"/>
                <w:sz w:val="18"/>
              </w:rPr>
            </w:pPr>
          </w:p>
        </w:tc>
        <w:tc>
          <w:tcPr>
            <w:tcW w:w="0" w:type="auto"/>
            <w:shd w:val="clear" w:color="auto" w:fill="E0E0E0"/>
          </w:tcPr>
          <w:p w:rsidR="00672004" w:rsidRDefault="00672004">
            <w:pPr>
              <w:rPr>
                <w:color w:val="000000"/>
                <w:sz w:val="18"/>
              </w:rPr>
            </w:pPr>
          </w:p>
        </w:tc>
        <w:tc>
          <w:tcPr>
            <w:tcW w:w="1215" w:type="dxa"/>
            <w:shd w:val="clear" w:color="auto" w:fill="E0E0E0"/>
          </w:tcPr>
          <w:p w:rsidR="00672004" w:rsidRDefault="00672004">
            <w:pPr>
              <w:rPr>
                <w:color w:val="000000"/>
                <w:sz w:val="18"/>
              </w:rPr>
            </w:pPr>
          </w:p>
        </w:tc>
      </w:tr>
      <w:tr w:rsidR="00672004">
        <w:trPr>
          <w:trHeight w:val="167"/>
        </w:trPr>
        <w:tc>
          <w:tcPr>
            <w:tcW w:w="0" w:type="auto"/>
            <w:vAlign w:val="center"/>
          </w:tcPr>
          <w:p w:rsidR="00672004" w:rsidRDefault="00672004">
            <w:pPr>
              <w:rPr>
                <w:sz w:val="18"/>
              </w:rPr>
            </w:pPr>
            <w:r>
              <w:rPr>
                <w:sz w:val="18"/>
              </w:rPr>
              <w:t>Conveyance of Damaged Property</w:t>
            </w:r>
          </w:p>
        </w:tc>
        <w:tc>
          <w:tcPr>
            <w:tcW w:w="0" w:type="auto"/>
            <w:vAlign w:val="center"/>
          </w:tcPr>
          <w:p w:rsidR="00672004" w:rsidRDefault="002D3028">
            <w:pPr>
              <w:jc w:val="center"/>
              <w:rPr>
                <w:sz w:val="18"/>
              </w:rPr>
            </w:pPr>
            <w:r>
              <w:rPr>
                <w:sz w:val="18"/>
              </w:rPr>
              <w:t>9</w:t>
            </w:r>
            <w:r w:rsidR="00672004">
              <w:rPr>
                <w:sz w:val="18"/>
              </w:rPr>
              <w:t>,200</w:t>
            </w:r>
          </w:p>
        </w:tc>
        <w:tc>
          <w:tcPr>
            <w:tcW w:w="0" w:type="auto"/>
            <w:vAlign w:val="center"/>
          </w:tcPr>
          <w:p w:rsidR="00672004" w:rsidRDefault="00672004">
            <w:pPr>
              <w:jc w:val="center"/>
              <w:rPr>
                <w:color w:val="000000"/>
                <w:sz w:val="18"/>
              </w:rPr>
            </w:pPr>
            <w:r>
              <w:rPr>
                <w:color w:val="000000"/>
                <w:sz w:val="18"/>
              </w:rPr>
              <w:t>1.00</w:t>
            </w:r>
          </w:p>
        </w:tc>
        <w:tc>
          <w:tcPr>
            <w:tcW w:w="0" w:type="auto"/>
            <w:vAlign w:val="center"/>
          </w:tcPr>
          <w:p w:rsidR="00672004" w:rsidRDefault="002D3028">
            <w:pPr>
              <w:jc w:val="center"/>
              <w:rPr>
                <w:color w:val="000000"/>
                <w:sz w:val="18"/>
              </w:rPr>
            </w:pPr>
            <w:r>
              <w:rPr>
                <w:color w:val="000000"/>
                <w:sz w:val="18"/>
              </w:rPr>
              <w:t>9</w:t>
            </w:r>
            <w:r w:rsidR="00672004">
              <w:rPr>
                <w:color w:val="000000"/>
                <w:sz w:val="18"/>
              </w:rPr>
              <w:t>,200</w:t>
            </w:r>
          </w:p>
        </w:tc>
        <w:tc>
          <w:tcPr>
            <w:tcW w:w="0" w:type="auto"/>
            <w:vAlign w:val="center"/>
          </w:tcPr>
          <w:p w:rsidR="00672004" w:rsidRDefault="00672004">
            <w:pPr>
              <w:jc w:val="center"/>
              <w:rPr>
                <w:color w:val="000000"/>
                <w:sz w:val="18"/>
              </w:rPr>
            </w:pPr>
            <w:r>
              <w:rPr>
                <w:color w:val="000000"/>
                <w:sz w:val="18"/>
              </w:rPr>
              <w:t>$25.00</w:t>
            </w:r>
          </w:p>
        </w:tc>
        <w:tc>
          <w:tcPr>
            <w:tcW w:w="1215" w:type="dxa"/>
            <w:vAlign w:val="center"/>
          </w:tcPr>
          <w:p w:rsidR="00672004" w:rsidRDefault="00672004" w:rsidP="002D3028">
            <w:pPr>
              <w:jc w:val="right"/>
              <w:rPr>
                <w:color w:val="000000"/>
                <w:sz w:val="18"/>
              </w:rPr>
            </w:pPr>
            <w:r>
              <w:rPr>
                <w:color w:val="000000"/>
                <w:sz w:val="18"/>
              </w:rPr>
              <w:t>$</w:t>
            </w:r>
            <w:r w:rsidR="002D3028">
              <w:rPr>
                <w:color w:val="000000"/>
                <w:sz w:val="18"/>
              </w:rPr>
              <w:t>2</w:t>
            </w:r>
            <w:r>
              <w:rPr>
                <w:color w:val="000000"/>
                <w:sz w:val="18"/>
              </w:rPr>
              <w:t>30,000</w:t>
            </w:r>
          </w:p>
        </w:tc>
      </w:tr>
      <w:tr w:rsidR="00672004">
        <w:trPr>
          <w:trHeight w:val="428"/>
        </w:trPr>
        <w:tc>
          <w:tcPr>
            <w:tcW w:w="0" w:type="auto"/>
            <w:vAlign w:val="center"/>
          </w:tcPr>
          <w:p w:rsidR="00672004" w:rsidRDefault="00672004">
            <w:pPr>
              <w:rPr>
                <w:sz w:val="18"/>
              </w:rPr>
            </w:pPr>
            <w:r>
              <w:rPr>
                <w:sz w:val="18"/>
              </w:rPr>
              <w:t>HUD-50002  “Request to Exceed Cost Limits for Preservation and Protection”</w:t>
            </w:r>
          </w:p>
        </w:tc>
        <w:tc>
          <w:tcPr>
            <w:tcW w:w="0" w:type="auto"/>
            <w:vAlign w:val="center"/>
          </w:tcPr>
          <w:p w:rsidR="00672004" w:rsidRDefault="00672004">
            <w:pPr>
              <w:jc w:val="center"/>
              <w:rPr>
                <w:sz w:val="18"/>
              </w:rPr>
            </w:pPr>
            <w:r>
              <w:rPr>
                <w:sz w:val="18"/>
              </w:rPr>
              <w:t>3</w:t>
            </w:r>
            <w:r w:rsidR="002D3028">
              <w:rPr>
                <w:sz w:val="18"/>
              </w:rPr>
              <w:t>50</w:t>
            </w:r>
          </w:p>
        </w:tc>
        <w:tc>
          <w:tcPr>
            <w:tcW w:w="0" w:type="auto"/>
            <w:vAlign w:val="center"/>
          </w:tcPr>
          <w:p w:rsidR="00672004" w:rsidRDefault="00672004">
            <w:pPr>
              <w:jc w:val="center"/>
              <w:rPr>
                <w:color w:val="000000"/>
                <w:sz w:val="18"/>
              </w:rPr>
            </w:pPr>
            <w:r>
              <w:rPr>
                <w:color w:val="000000"/>
                <w:sz w:val="18"/>
              </w:rPr>
              <w:t>.50</w:t>
            </w:r>
          </w:p>
        </w:tc>
        <w:tc>
          <w:tcPr>
            <w:tcW w:w="0" w:type="auto"/>
            <w:vAlign w:val="center"/>
          </w:tcPr>
          <w:p w:rsidR="00672004" w:rsidRDefault="002D3028">
            <w:pPr>
              <w:jc w:val="center"/>
              <w:rPr>
                <w:color w:val="000000"/>
                <w:sz w:val="18"/>
              </w:rPr>
            </w:pPr>
            <w:r>
              <w:rPr>
                <w:color w:val="000000"/>
                <w:sz w:val="18"/>
              </w:rPr>
              <w:t>175</w:t>
            </w:r>
          </w:p>
        </w:tc>
        <w:tc>
          <w:tcPr>
            <w:tcW w:w="0" w:type="auto"/>
            <w:vAlign w:val="center"/>
          </w:tcPr>
          <w:p w:rsidR="00672004" w:rsidRDefault="00672004">
            <w:pPr>
              <w:jc w:val="center"/>
              <w:rPr>
                <w:color w:val="000000"/>
                <w:sz w:val="18"/>
              </w:rPr>
            </w:pPr>
            <w:r>
              <w:rPr>
                <w:color w:val="000000"/>
                <w:sz w:val="18"/>
              </w:rPr>
              <w:t>$25.00</w:t>
            </w:r>
          </w:p>
        </w:tc>
        <w:tc>
          <w:tcPr>
            <w:tcW w:w="1215" w:type="dxa"/>
            <w:vAlign w:val="center"/>
          </w:tcPr>
          <w:p w:rsidR="00672004" w:rsidRDefault="00672004" w:rsidP="002D3028">
            <w:pPr>
              <w:jc w:val="right"/>
              <w:rPr>
                <w:color w:val="000000"/>
                <w:sz w:val="18"/>
              </w:rPr>
            </w:pPr>
            <w:r>
              <w:rPr>
                <w:color w:val="000000"/>
                <w:sz w:val="18"/>
              </w:rPr>
              <w:t>$</w:t>
            </w:r>
            <w:r w:rsidR="002D3028">
              <w:rPr>
                <w:color w:val="000000"/>
                <w:sz w:val="18"/>
              </w:rPr>
              <w:t>4</w:t>
            </w:r>
            <w:r>
              <w:rPr>
                <w:color w:val="000000"/>
                <w:sz w:val="18"/>
              </w:rPr>
              <w:t>,</w:t>
            </w:r>
            <w:r w:rsidR="002D3028">
              <w:rPr>
                <w:color w:val="000000"/>
                <w:sz w:val="18"/>
              </w:rPr>
              <w:t>375</w:t>
            </w:r>
          </w:p>
        </w:tc>
      </w:tr>
      <w:tr w:rsidR="00672004">
        <w:trPr>
          <w:trHeight w:val="257"/>
        </w:trPr>
        <w:tc>
          <w:tcPr>
            <w:tcW w:w="0" w:type="auto"/>
            <w:tcBorders>
              <w:bottom w:val="single" w:sz="4" w:space="0" w:color="auto"/>
            </w:tcBorders>
            <w:vAlign w:val="center"/>
          </w:tcPr>
          <w:p w:rsidR="00672004" w:rsidRDefault="00672004">
            <w:pPr>
              <w:rPr>
                <w:b/>
                <w:bCs/>
              </w:rPr>
            </w:pPr>
            <w:r>
              <w:rPr>
                <w:sz w:val="18"/>
              </w:rPr>
              <w:t>HUD-50012  “Mortgagee’s Request for Extension of Time Requirements”</w:t>
            </w:r>
          </w:p>
        </w:tc>
        <w:tc>
          <w:tcPr>
            <w:tcW w:w="0" w:type="auto"/>
            <w:tcBorders>
              <w:bottom w:val="single" w:sz="4" w:space="0" w:color="auto"/>
            </w:tcBorders>
            <w:vAlign w:val="center"/>
          </w:tcPr>
          <w:p w:rsidR="00672004" w:rsidRDefault="002D3028">
            <w:pPr>
              <w:jc w:val="center"/>
              <w:rPr>
                <w:sz w:val="18"/>
              </w:rPr>
            </w:pPr>
            <w:r>
              <w:rPr>
                <w:sz w:val="18"/>
              </w:rPr>
              <w:t>9</w:t>
            </w:r>
            <w:r w:rsidR="00672004">
              <w:rPr>
                <w:sz w:val="18"/>
              </w:rPr>
              <w:t>,200</w:t>
            </w:r>
          </w:p>
        </w:tc>
        <w:tc>
          <w:tcPr>
            <w:tcW w:w="0" w:type="auto"/>
            <w:tcBorders>
              <w:bottom w:val="single" w:sz="4" w:space="0" w:color="auto"/>
            </w:tcBorders>
            <w:vAlign w:val="center"/>
          </w:tcPr>
          <w:p w:rsidR="00672004" w:rsidRDefault="00672004">
            <w:pPr>
              <w:jc w:val="center"/>
              <w:rPr>
                <w:color w:val="000000"/>
                <w:sz w:val="18"/>
              </w:rPr>
            </w:pPr>
            <w:r>
              <w:rPr>
                <w:color w:val="000000"/>
                <w:sz w:val="18"/>
              </w:rPr>
              <w:t>.50</w:t>
            </w:r>
          </w:p>
        </w:tc>
        <w:tc>
          <w:tcPr>
            <w:tcW w:w="0" w:type="auto"/>
            <w:tcBorders>
              <w:bottom w:val="single" w:sz="4" w:space="0" w:color="auto"/>
            </w:tcBorders>
            <w:vAlign w:val="center"/>
          </w:tcPr>
          <w:p w:rsidR="00672004" w:rsidRDefault="002D3028">
            <w:pPr>
              <w:jc w:val="center"/>
              <w:rPr>
                <w:color w:val="000000"/>
                <w:sz w:val="18"/>
              </w:rPr>
            </w:pPr>
            <w:r>
              <w:rPr>
                <w:color w:val="000000"/>
                <w:sz w:val="18"/>
              </w:rPr>
              <w:t>4</w:t>
            </w:r>
            <w:r w:rsidR="00672004">
              <w:rPr>
                <w:color w:val="000000"/>
                <w:sz w:val="18"/>
              </w:rPr>
              <w:t>,600</w:t>
            </w:r>
          </w:p>
        </w:tc>
        <w:tc>
          <w:tcPr>
            <w:tcW w:w="0" w:type="auto"/>
            <w:tcBorders>
              <w:bottom w:val="single" w:sz="4" w:space="0" w:color="auto"/>
            </w:tcBorders>
            <w:vAlign w:val="center"/>
          </w:tcPr>
          <w:p w:rsidR="00672004" w:rsidRDefault="00672004">
            <w:pPr>
              <w:jc w:val="center"/>
              <w:rPr>
                <w:color w:val="000000"/>
                <w:sz w:val="18"/>
              </w:rPr>
            </w:pPr>
            <w:r>
              <w:rPr>
                <w:color w:val="000000"/>
                <w:sz w:val="18"/>
              </w:rPr>
              <w:t>$25.00</w:t>
            </w:r>
          </w:p>
        </w:tc>
        <w:tc>
          <w:tcPr>
            <w:tcW w:w="1215" w:type="dxa"/>
            <w:tcBorders>
              <w:bottom w:val="single" w:sz="4" w:space="0" w:color="auto"/>
            </w:tcBorders>
            <w:vAlign w:val="center"/>
          </w:tcPr>
          <w:p w:rsidR="00672004" w:rsidRDefault="00672004" w:rsidP="002D3028">
            <w:pPr>
              <w:jc w:val="right"/>
              <w:rPr>
                <w:color w:val="000000"/>
                <w:sz w:val="18"/>
              </w:rPr>
            </w:pPr>
            <w:r>
              <w:rPr>
                <w:sz w:val="18"/>
              </w:rPr>
              <w:t>$</w:t>
            </w:r>
            <w:r w:rsidR="002D3028">
              <w:rPr>
                <w:sz w:val="18"/>
              </w:rPr>
              <w:t>11</w:t>
            </w:r>
            <w:r>
              <w:rPr>
                <w:sz w:val="18"/>
              </w:rPr>
              <w:t>5,000</w:t>
            </w:r>
          </w:p>
        </w:tc>
      </w:tr>
      <w:tr w:rsidR="00672004">
        <w:trPr>
          <w:trHeight w:val="257"/>
        </w:trPr>
        <w:tc>
          <w:tcPr>
            <w:tcW w:w="0" w:type="auto"/>
            <w:shd w:val="clear" w:color="auto" w:fill="E0E0E0"/>
            <w:vAlign w:val="center"/>
          </w:tcPr>
          <w:p w:rsidR="00672004" w:rsidRDefault="00672004">
            <w:pPr>
              <w:rPr>
                <w:b/>
                <w:bCs/>
              </w:rPr>
            </w:pPr>
            <w:r>
              <w:rPr>
                <w:b/>
                <w:bCs/>
              </w:rPr>
              <w:t>Claims Without Conveyance of Title</w:t>
            </w:r>
          </w:p>
        </w:tc>
        <w:tc>
          <w:tcPr>
            <w:tcW w:w="0" w:type="auto"/>
            <w:shd w:val="clear" w:color="auto" w:fill="E0E0E0"/>
            <w:vAlign w:val="center"/>
          </w:tcPr>
          <w:p w:rsidR="00672004" w:rsidRDefault="00672004">
            <w:pPr>
              <w:jc w:val="center"/>
              <w:rPr>
                <w:sz w:val="18"/>
              </w:rPr>
            </w:pPr>
          </w:p>
        </w:tc>
        <w:tc>
          <w:tcPr>
            <w:tcW w:w="0" w:type="auto"/>
            <w:shd w:val="clear" w:color="auto" w:fill="E0E0E0"/>
          </w:tcPr>
          <w:p w:rsidR="00672004" w:rsidRDefault="00672004">
            <w:pPr>
              <w:rPr>
                <w:color w:val="000000"/>
                <w:sz w:val="18"/>
              </w:rPr>
            </w:pPr>
          </w:p>
        </w:tc>
        <w:tc>
          <w:tcPr>
            <w:tcW w:w="0" w:type="auto"/>
            <w:shd w:val="clear" w:color="auto" w:fill="E0E0E0"/>
          </w:tcPr>
          <w:p w:rsidR="00672004" w:rsidRDefault="00672004">
            <w:pPr>
              <w:rPr>
                <w:color w:val="000000"/>
                <w:sz w:val="18"/>
              </w:rPr>
            </w:pPr>
          </w:p>
        </w:tc>
        <w:tc>
          <w:tcPr>
            <w:tcW w:w="0" w:type="auto"/>
            <w:shd w:val="clear" w:color="auto" w:fill="E0E0E0"/>
          </w:tcPr>
          <w:p w:rsidR="00672004" w:rsidRDefault="00672004">
            <w:pPr>
              <w:rPr>
                <w:color w:val="000000"/>
                <w:sz w:val="18"/>
              </w:rPr>
            </w:pPr>
          </w:p>
        </w:tc>
        <w:tc>
          <w:tcPr>
            <w:tcW w:w="1215" w:type="dxa"/>
            <w:shd w:val="clear" w:color="auto" w:fill="E0E0E0"/>
          </w:tcPr>
          <w:p w:rsidR="00672004" w:rsidRDefault="00672004">
            <w:pPr>
              <w:rPr>
                <w:color w:val="000000"/>
                <w:sz w:val="18"/>
              </w:rPr>
            </w:pPr>
          </w:p>
        </w:tc>
      </w:tr>
      <w:tr w:rsidR="00672004">
        <w:trPr>
          <w:trHeight w:val="248"/>
        </w:trPr>
        <w:tc>
          <w:tcPr>
            <w:tcW w:w="0" w:type="auto"/>
            <w:tcBorders>
              <w:bottom w:val="single" w:sz="4" w:space="0" w:color="auto"/>
            </w:tcBorders>
            <w:vAlign w:val="center"/>
          </w:tcPr>
          <w:p w:rsidR="00672004" w:rsidRDefault="00672004">
            <w:pPr>
              <w:rPr>
                <w:sz w:val="18"/>
              </w:rPr>
            </w:pPr>
            <w:r>
              <w:rPr>
                <w:sz w:val="18"/>
              </w:rPr>
              <w:t>Appraisal for HUD Approval</w:t>
            </w:r>
          </w:p>
        </w:tc>
        <w:tc>
          <w:tcPr>
            <w:tcW w:w="0" w:type="auto"/>
            <w:tcBorders>
              <w:bottom w:val="single" w:sz="4" w:space="0" w:color="auto"/>
            </w:tcBorders>
            <w:vAlign w:val="center"/>
          </w:tcPr>
          <w:p w:rsidR="00672004" w:rsidRDefault="002D3028">
            <w:pPr>
              <w:jc w:val="center"/>
              <w:rPr>
                <w:sz w:val="18"/>
              </w:rPr>
            </w:pPr>
            <w:r>
              <w:rPr>
                <w:sz w:val="18"/>
              </w:rPr>
              <w:t>75</w:t>
            </w:r>
          </w:p>
        </w:tc>
        <w:tc>
          <w:tcPr>
            <w:tcW w:w="0" w:type="auto"/>
            <w:tcBorders>
              <w:bottom w:val="single" w:sz="4" w:space="0" w:color="auto"/>
            </w:tcBorders>
            <w:vAlign w:val="center"/>
          </w:tcPr>
          <w:p w:rsidR="00672004" w:rsidRDefault="00672004">
            <w:pPr>
              <w:jc w:val="center"/>
              <w:rPr>
                <w:color w:val="000000"/>
                <w:sz w:val="18"/>
              </w:rPr>
            </w:pPr>
            <w:r>
              <w:rPr>
                <w:color w:val="000000"/>
                <w:sz w:val="18"/>
              </w:rPr>
              <w:t>1.00</w:t>
            </w:r>
          </w:p>
        </w:tc>
        <w:tc>
          <w:tcPr>
            <w:tcW w:w="0" w:type="auto"/>
            <w:tcBorders>
              <w:bottom w:val="single" w:sz="4" w:space="0" w:color="auto"/>
            </w:tcBorders>
            <w:vAlign w:val="center"/>
          </w:tcPr>
          <w:p w:rsidR="00672004" w:rsidRDefault="002D3028" w:rsidP="002D3028">
            <w:pPr>
              <w:jc w:val="center"/>
              <w:rPr>
                <w:color w:val="000000"/>
                <w:sz w:val="18"/>
              </w:rPr>
            </w:pPr>
            <w:r>
              <w:rPr>
                <w:color w:val="000000"/>
                <w:sz w:val="18"/>
              </w:rPr>
              <w:t>7</w:t>
            </w:r>
            <w:r w:rsidR="00672004">
              <w:rPr>
                <w:color w:val="000000"/>
                <w:sz w:val="18"/>
              </w:rPr>
              <w:t>5</w:t>
            </w:r>
          </w:p>
        </w:tc>
        <w:tc>
          <w:tcPr>
            <w:tcW w:w="0" w:type="auto"/>
            <w:tcBorders>
              <w:bottom w:val="single" w:sz="4" w:space="0" w:color="auto"/>
            </w:tcBorders>
            <w:vAlign w:val="center"/>
          </w:tcPr>
          <w:p w:rsidR="00672004" w:rsidRDefault="00672004">
            <w:pPr>
              <w:jc w:val="center"/>
              <w:rPr>
                <w:color w:val="000000"/>
                <w:sz w:val="18"/>
              </w:rPr>
            </w:pPr>
            <w:r>
              <w:rPr>
                <w:color w:val="000000"/>
                <w:sz w:val="18"/>
              </w:rPr>
              <w:t>$25.00</w:t>
            </w:r>
          </w:p>
        </w:tc>
        <w:tc>
          <w:tcPr>
            <w:tcW w:w="1215" w:type="dxa"/>
            <w:tcBorders>
              <w:bottom w:val="single" w:sz="4" w:space="0" w:color="auto"/>
            </w:tcBorders>
            <w:vAlign w:val="center"/>
          </w:tcPr>
          <w:p w:rsidR="00672004" w:rsidRDefault="00672004" w:rsidP="002D3028">
            <w:pPr>
              <w:jc w:val="right"/>
              <w:rPr>
                <w:color w:val="000000"/>
                <w:sz w:val="18"/>
              </w:rPr>
            </w:pPr>
            <w:r>
              <w:rPr>
                <w:color w:val="000000"/>
                <w:sz w:val="18"/>
              </w:rPr>
              <w:t>$1,</w:t>
            </w:r>
            <w:r w:rsidR="002D3028">
              <w:rPr>
                <w:color w:val="000000"/>
                <w:sz w:val="18"/>
              </w:rPr>
              <w:t>875</w:t>
            </w:r>
          </w:p>
        </w:tc>
      </w:tr>
      <w:tr w:rsidR="00672004">
        <w:trPr>
          <w:trHeight w:val="248"/>
        </w:trPr>
        <w:tc>
          <w:tcPr>
            <w:tcW w:w="0" w:type="auto"/>
            <w:shd w:val="clear" w:color="auto" w:fill="E0E0E0"/>
            <w:vAlign w:val="center"/>
          </w:tcPr>
          <w:p w:rsidR="00672004" w:rsidRDefault="00672004">
            <w:pPr>
              <w:rPr>
                <w:b/>
                <w:bCs/>
              </w:rPr>
            </w:pPr>
            <w:r>
              <w:rPr>
                <w:b/>
                <w:bCs/>
              </w:rPr>
              <w:t>Deed-in-Lieu of Foreclosure</w:t>
            </w:r>
          </w:p>
        </w:tc>
        <w:tc>
          <w:tcPr>
            <w:tcW w:w="0" w:type="auto"/>
            <w:shd w:val="clear" w:color="auto" w:fill="E0E0E0"/>
            <w:vAlign w:val="center"/>
          </w:tcPr>
          <w:p w:rsidR="00672004" w:rsidRDefault="00672004">
            <w:pPr>
              <w:jc w:val="center"/>
              <w:rPr>
                <w:sz w:val="18"/>
              </w:rPr>
            </w:pPr>
          </w:p>
        </w:tc>
        <w:tc>
          <w:tcPr>
            <w:tcW w:w="0" w:type="auto"/>
            <w:shd w:val="clear" w:color="auto" w:fill="E0E0E0"/>
            <w:vAlign w:val="center"/>
          </w:tcPr>
          <w:p w:rsidR="00672004" w:rsidRDefault="00672004">
            <w:pPr>
              <w:rPr>
                <w:sz w:val="18"/>
              </w:rPr>
            </w:pPr>
          </w:p>
        </w:tc>
        <w:tc>
          <w:tcPr>
            <w:tcW w:w="0" w:type="auto"/>
            <w:shd w:val="clear" w:color="auto" w:fill="E0E0E0"/>
            <w:vAlign w:val="center"/>
          </w:tcPr>
          <w:p w:rsidR="00672004" w:rsidRDefault="00672004">
            <w:pPr>
              <w:rPr>
                <w:sz w:val="18"/>
              </w:rPr>
            </w:pPr>
          </w:p>
        </w:tc>
        <w:tc>
          <w:tcPr>
            <w:tcW w:w="0" w:type="auto"/>
            <w:shd w:val="clear" w:color="auto" w:fill="E0E0E0"/>
            <w:vAlign w:val="center"/>
          </w:tcPr>
          <w:p w:rsidR="00672004" w:rsidRDefault="00672004">
            <w:pPr>
              <w:rPr>
                <w:sz w:val="18"/>
              </w:rPr>
            </w:pPr>
          </w:p>
        </w:tc>
        <w:tc>
          <w:tcPr>
            <w:tcW w:w="1215" w:type="dxa"/>
            <w:shd w:val="clear" w:color="auto" w:fill="E0E0E0"/>
            <w:vAlign w:val="center"/>
          </w:tcPr>
          <w:p w:rsidR="00672004" w:rsidRDefault="00672004">
            <w:pPr>
              <w:rPr>
                <w:sz w:val="18"/>
              </w:rPr>
            </w:pPr>
          </w:p>
        </w:tc>
      </w:tr>
      <w:tr w:rsidR="00672004">
        <w:trPr>
          <w:trHeight w:val="257"/>
        </w:trPr>
        <w:tc>
          <w:tcPr>
            <w:tcW w:w="0" w:type="auto"/>
            <w:vAlign w:val="center"/>
          </w:tcPr>
          <w:p w:rsidR="00672004" w:rsidRDefault="00672004">
            <w:pPr>
              <w:rPr>
                <w:sz w:val="18"/>
              </w:rPr>
            </w:pPr>
            <w:r>
              <w:rPr>
                <w:sz w:val="18"/>
              </w:rPr>
              <w:t>Non-Corporate Request for DIL</w:t>
            </w:r>
          </w:p>
        </w:tc>
        <w:tc>
          <w:tcPr>
            <w:tcW w:w="0" w:type="auto"/>
            <w:vAlign w:val="center"/>
          </w:tcPr>
          <w:p w:rsidR="00672004" w:rsidRDefault="002D3028">
            <w:pPr>
              <w:jc w:val="center"/>
              <w:rPr>
                <w:sz w:val="18"/>
              </w:rPr>
            </w:pPr>
            <w:r>
              <w:rPr>
                <w:sz w:val="18"/>
              </w:rPr>
              <w:t>450</w:t>
            </w:r>
          </w:p>
        </w:tc>
        <w:tc>
          <w:tcPr>
            <w:tcW w:w="0" w:type="auto"/>
            <w:vAlign w:val="center"/>
          </w:tcPr>
          <w:p w:rsidR="00672004" w:rsidRDefault="00672004">
            <w:pPr>
              <w:jc w:val="center"/>
              <w:rPr>
                <w:sz w:val="18"/>
              </w:rPr>
            </w:pPr>
            <w:r>
              <w:rPr>
                <w:sz w:val="18"/>
              </w:rPr>
              <w:t>1.00</w:t>
            </w:r>
          </w:p>
        </w:tc>
        <w:tc>
          <w:tcPr>
            <w:tcW w:w="0" w:type="auto"/>
            <w:vAlign w:val="center"/>
          </w:tcPr>
          <w:p w:rsidR="00672004" w:rsidRDefault="002D3028">
            <w:pPr>
              <w:jc w:val="center"/>
              <w:rPr>
                <w:sz w:val="18"/>
              </w:rPr>
            </w:pPr>
            <w:r>
              <w:rPr>
                <w:sz w:val="18"/>
              </w:rPr>
              <w:t>450</w:t>
            </w:r>
          </w:p>
        </w:tc>
        <w:tc>
          <w:tcPr>
            <w:tcW w:w="0" w:type="auto"/>
            <w:vAlign w:val="center"/>
          </w:tcPr>
          <w:p w:rsidR="00672004" w:rsidRDefault="00672004">
            <w:pPr>
              <w:jc w:val="center"/>
              <w:rPr>
                <w:sz w:val="18"/>
              </w:rPr>
            </w:pPr>
            <w:r>
              <w:rPr>
                <w:color w:val="000000"/>
                <w:sz w:val="18"/>
              </w:rPr>
              <w:t>$25.00</w:t>
            </w:r>
          </w:p>
        </w:tc>
        <w:tc>
          <w:tcPr>
            <w:tcW w:w="1215" w:type="dxa"/>
            <w:vAlign w:val="center"/>
          </w:tcPr>
          <w:p w:rsidR="00672004" w:rsidRDefault="00672004" w:rsidP="002D3028">
            <w:pPr>
              <w:jc w:val="right"/>
              <w:rPr>
                <w:sz w:val="18"/>
              </w:rPr>
            </w:pPr>
            <w:r>
              <w:rPr>
                <w:sz w:val="18"/>
              </w:rPr>
              <w:t>$</w:t>
            </w:r>
            <w:r w:rsidR="002D3028">
              <w:rPr>
                <w:sz w:val="18"/>
              </w:rPr>
              <w:t>11</w:t>
            </w:r>
            <w:r>
              <w:rPr>
                <w:sz w:val="18"/>
              </w:rPr>
              <w:t>,</w:t>
            </w:r>
            <w:r w:rsidR="002D3028">
              <w:rPr>
                <w:sz w:val="18"/>
              </w:rPr>
              <w:t>2</w:t>
            </w:r>
            <w:r>
              <w:rPr>
                <w:sz w:val="18"/>
              </w:rPr>
              <w:t>5</w:t>
            </w:r>
            <w:r w:rsidR="002D3028">
              <w:rPr>
                <w:sz w:val="18"/>
              </w:rPr>
              <w:t>0</w:t>
            </w:r>
          </w:p>
        </w:tc>
      </w:tr>
      <w:tr w:rsidR="00672004">
        <w:trPr>
          <w:trHeight w:val="257"/>
        </w:trPr>
        <w:tc>
          <w:tcPr>
            <w:tcW w:w="0" w:type="auto"/>
            <w:vAlign w:val="center"/>
          </w:tcPr>
          <w:p w:rsidR="00672004" w:rsidRDefault="00672004">
            <w:pPr>
              <w:rPr>
                <w:sz w:val="18"/>
              </w:rPr>
            </w:pPr>
            <w:r>
              <w:rPr>
                <w:sz w:val="18"/>
              </w:rPr>
              <w:t>Corporate Request for DIL</w:t>
            </w:r>
          </w:p>
        </w:tc>
        <w:tc>
          <w:tcPr>
            <w:tcW w:w="0" w:type="auto"/>
            <w:vAlign w:val="center"/>
          </w:tcPr>
          <w:p w:rsidR="00672004" w:rsidRDefault="002D3028">
            <w:pPr>
              <w:jc w:val="center"/>
              <w:rPr>
                <w:sz w:val="18"/>
              </w:rPr>
            </w:pPr>
            <w:r>
              <w:rPr>
                <w:sz w:val="18"/>
              </w:rPr>
              <w:t>50</w:t>
            </w:r>
          </w:p>
        </w:tc>
        <w:tc>
          <w:tcPr>
            <w:tcW w:w="0" w:type="auto"/>
            <w:vAlign w:val="center"/>
          </w:tcPr>
          <w:p w:rsidR="00672004" w:rsidRDefault="00672004">
            <w:pPr>
              <w:jc w:val="center"/>
              <w:rPr>
                <w:sz w:val="18"/>
              </w:rPr>
            </w:pPr>
            <w:r>
              <w:rPr>
                <w:sz w:val="18"/>
              </w:rPr>
              <w:t>1.00</w:t>
            </w:r>
          </w:p>
        </w:tc>
        <w:tc>
          <w:tcPr>
            <w:tcW w:w="0" w:type="auto"/>
            <w:vAlign w:val="center"/>
          </w:tcPr>
          <w:p w:rsidR="00672004" w:rsidRDefault="002D3028">
            <w:pPr>
              <w:jc w:val="center"/>
              <w:rPr>
                <w:sz w:val="18"/>
              </w:rPr>
            </w:pPr>
            <w:r>
              <w:rPr>
                <w:sz w:val="18"/>
              </w:rPr>
              <w:t>50</w:t>
            </w:r>
          </w:p>
        </w:tc>
        <w:tc>
          <w:tcPr>
            <w:tcW w:w="0" w:type="auto"/>
            <w:vAlign w:val="center"/>
          </w:tcPr>
          <w:p w:rsidR="00672004" w:rsidRDefault="00672004">
            <w:pPr>
              <w:jc w:val="center"/>
              <w:rPr>
                <w:sz w:val="18"/>
              </w:rPr>
            </w:pPr>
            <w:r>
              <w:rPr>
                <w:sz w:val="18"/>
              </w:rPr>
              <w:t>$25.00</w:t>
            </w:r>
          </w:p>
        </w:tc>
        <w:tc>
          <w:tcPr>
            <w:tcW w:w="1215" w:type="dxa"/>
            <w:vAlign w:val="center"/>
          </w:tcPr>
          <w:p w:rsidR="00672004" w:rsidRDefault="00672004">
            <w:pPr>
              <w:jc w:val="right"/>
              <w:rPr>
                <w:sz w:val="18"/>
              </w:rPr>
            </w:pPr>
            <w:r>
              <w:rPr>
                <w:sz w:val="18"/>
              </w:rPr>
              <w:t>$</w:t>
            </w:r>
            <w:r w:rsidR="002D3028">
              <w:rPr>
                <w:sz w:val="18"/>
              </w:rPr>
              <w:t>1,</w:t>
            </w:r>
            <w:r>
              <w:rPr>
                <w:sz w:val="18"/>
              </w:rPr>
              <w:t>25</w:t>
            </w:r>
            <w:r w:rsidR="002D3028">
              <w:rPr>
                <w:sz w:val="18"/>
              </w:rPr>
              <w:t>0</w:t>
            </w:r>
          </w:p>
        </w:tc>
      </w:tr>
      <w:tr w:rsidR="00393D9A">
        <w:trPr>
          <w:trHeight w:val="257"/>
        </w:trPr>
        <w:tc>
          <w:tcPr>
            <w:tcW w:w="0" w:type="auto"/>
            <w:vAlign w:val="center"/>
          </w:tcPr>
          <w:p w:rsidR="00393D9A" w:rsidRPr="0064553B" w:rsidRDefault="00393D9A">
            <w:pPr>
              <w:rPr>
                <w:b/>
                <w:sz w:val="18"/>
              </w:rPr>
            </w:pPr>
            <w:r w:rsidRPr="0064553B">
              <w:rPr>
                <w:b/>
                <w:sz w:val="18"/>
              </w:rPr>
              <w:t>Totals</w:t>
            </w:r>
          </w:p>
        </w:tc>
        <w:tc>
          <w:tcPr>
            <w:tcW w:w="0" w:type="auto"/>
            <w:vAlign w:val="center"/>
          </w:tcPr>
          <w:p w:rsidR="00393D9A" w:rsidRDefault="0064553B">
            <w:pPr>
              <w:jc w:val="center"/>
              <w:rPr>
                <w:sz w:val="18"/>
              </w:rPr>
            </w:pPr>
            <w:r>
              <w:rPr>
                <w:sz w:val="18"/>
              </w:rPr>
              <w:t>19,325</w:t>
            </w:r>
          </w:p>
        </w:tc>
        <w:tc>
          <w:tcPr>
            <w:tcW w:w="0" w:type="auto"/>
            <w:vAlign w:val="center"/>
          </w:tcPr>
          <w:p w:rsidR="00393D9A" w:rsidRDefault="00393D9A">
            <w:pPr>
              <w:jc w:val="center"/>
              <w:rPr>
                <w:sz w:val="18"/>
              </w:rPr>
            </w:pPr>
          </w:p>
        </w:tc>
        <w:tc>
          <w:tcPr>
            <w:tcW w:w="0" w:type="auto"/>
            <w:vAlign w:val="center"/>
          </w:tcPr>
          <w:p w:rsidR="00393D9A" w:rsidRDefault="0064553B">
            <w:pPr>
              <w:jc w:val="center"/>
              <w:rPr>
                <w:sz w:val="18"/>
              </w:rPr>
            </w:pPr>
            <w:r>
              <w:rPr>
                <w:sz w:val="18"/>
              </w:rPr>
              <w:t>14,550</w:t>
            </w:r>
          </w:p>
        </w:tc>
        <w:tc>
          <w:tcPr>
            <w:tcW w:w="0" w:type="auto"/>
            <w:vAlign w:val="center"/>
          </w:tcPr>
          <w:p w:rsidR="00393D9A" w:rsidRDefault="00393D9A">
            <w:pPr>
              <w:jc w:val="center"/>
              <w:rPr>
                <w:sz w:val="18"/>
              </w:rPr>
            </w:pPr>
          </w:p>
        </w:tc>
        <w:tc>
          <w:tcPr>
            <w:tcW w:w="1215" w:type="dxa"/>
            <w:vAlign w:val="center"/>
          </w:tcPr>
          <w:p w:rsidR="00393D9A" w:rsidRDefault="0064553B">
            <w:pPr>
              <w:jc w:val="right"/>
              <w:rPr>
                <w:sz w:val="18"/>
              </w:rPr>
            </w:pPr>
            <w:r>
              <w:rPr>
                <w:sz w:val="18"/>
              </w:rPr>
              <w:t>$363,750</w:t>
            </w:r>
          </w:p>
        </w:tc>
      </w:tr>
    </w:tbl>
    <w:p w:rsidR="00672004" w:rsidRDefault="00672004">
      <w:pPr>
        <w:pStyle w:val="OmniPage517"/>
        <w:ind w:left="360" w:right="30"/>
        <w:rPr>
          <w:color w:val="000000"/>
        </w:rPr>
      </w:pPr>
      <w:r>
        <w:rPr>
          <w:color w:val="000000"/>
        </w:rPr>
        <w:t>The hourly cost per response reflect the the average hourly wage paid for a federal employee who is typically a GS12.</w:t>
      </w:r>
    </w:p>
    <w:p w:rsidR="00672004" w:rsidRDefault="00672004">
      <w:pPr>
        <w:pStyle w:val="BodyTextIndent"/>
        <w:spacing w:line="240" w:lineRule="auto"/>
        <w:rPr>
          <w:sz w:val="20"/>
        </w:rPr>
      </w:pPr>
    </w:p>
    <w:p w:rsidR="00672004" w:rsidRDefault="00767C3B">
      <w:pPr>
        <w:pStyle w:val="BodyTextIndent"/>
        <w:spacing w:line="240" w:lineRule="auto"/>
      </w:pPr>
      <w:r>
        <w:t>15.</w:t>
      </w:r>
      <w:r>
        <w:tab/>
      </w:r>
      <w:r w:rsidR="00362100">
        <w:t xml:space="preserve">This is an extension of a currently approved collection.  </w:t>
      </w:r>
      <w:bookmarkStart w:id="0" w:name="_GoBack"/>
      <w:bookmarkEnd w:id="0"/>
      <w:r w:rsidR="001C647F">
        <w:t>There are no revisions to this information collection.</w:t>
      </w:r>
    </w:p>
    <w:p w:rsidR="000A1074" w:rsidRDefault="000A1074">
      <w:pPr>
        <w:pStyle w:val="BodyTextIndent"/>
        <w:spacing w:line="240" w:lineRule="auto"/>
      </w:pPr>
    </w:p>
    <w:p w:rsidR="00672004" w:rsidRDefault="00672004">
      <w:pPr>
        <w:keepLines/>
        <w:tabs>
          <w:tab w:val="left" w:pos="360"/>
          <w:tab w:val="left" w:pos="720"/>
        </w:tabs>
        <w:ind w:left="360" w:hanging="360"/>
        <w:rPr>
          <w:color w:val="000000"/>
          <w:sz w:val="24"/>
        </w:rPr>
      </w:pPr>
      <w:r>
        <w:rPr>
          <w:color w:val="000000"/>
          <w:sz w:val="24"/>
        </w:rPr>
        <w:t>16.</w:t>
      </w:r>
      <w:r>
        <w:rPr>
          <w:color w:val="000000"/>
          <w:sz w:val="24"/>
        </w:rPr>
        <w:tab/>
        <w:t xml:space="preserve">There are no plans to publish this information collection for statistical use.  </w:t>
      </w:r>
    </w:p>
    <w:p w:rsidR="00672004" w:rsidRDefault="00672004">
      <w:pPr>
        <w:tabs>
          <w:tab w:val="left" w:pos="360"/>
        </w:tabs>
        <w:ind w:left="360" w:hanging="360"/>
        <w:rPr>
          <w:color w:val="000000"/>
          <w:sz w:val="24"/>
        </w:rPr>
      </w:pPr>
    </w:p>
    <w:p w:rsidR="00672004" w:rsidRDefault="00672004">
      <w:pPr>
        <w:keepLines/>
        <w:tabs>
          <w:tab w:val="left" w:pos="360"/>
          <w:tab w:val="left" w:pos="720"/>
        </w:tabs>
        <w:ind w:left="360" w:hanging="360"/>
        <w:rPr>
          <w:color w:val="000000"/>
          <w:sz w:val="24"/>
        </w:rPr>
      </w:pPr>
      <w:r>
        <w:rPr>
          <w:color w:val="000000"/>
          <w:sz w:val="24"/>
        </w:rPr>
        <w:t>17.</w:t>
      </w:r>
      <w:r>
        <w:rPr>
          <w:color w:val="000000"/>
          <w:sz w:val="24"/>
        </w:rPr>
        <w:tab/>
        <w:t xml:space="preserve">HUD is not seeking approval to avoid displaying the expiration date. </w:t>
      </w:r>
    </w:p>
    <w:p w:rsidR="00672004" w:rsidRDefault="00672004">
      <w:pPr>
        <w:tabs>
          <w:tab w:val="left" w:pos="360"/>
        </w:tabs>
        <w:ind w:left="360" w:hanging="360"/>
        <w:rPr>
          <w:color w:val="000000"/>
          <w:sz w:val="24"/>
        </w:rPr>
      </w:pPr>
    </w:p>
    <w:p w:rsidR="00672004" w:rsidRDefault="00672004">
      <w:pPr>
        <w:keepLines/>
        <w:tabs>
          <w:tab w:val="left" w:pos="360"/>
        </w:tabs>
        <w:ind w:left="360" w:hanging="360"/>
        <w:rPr>
          <w:color w:val="000000"/>
          <w:sz w:val="24"/>
        </w:rPr>
      </w:pPr>
      <w:r>
        <w:rPr>
          <w:color w:val="000000"/>
          <w:sz w:val="24"/>
        </w:rPr>
        <w:t>18.</w:t>
      </w:r>
      <w:r>
        <w:rPr>
          <w:color w:val="000000"/>
          <w:sz w:val="24"/>
        </w:rPr>
        <w:tab/>
        <w:t>There are no exceptions to the certification statement identified in Item 19 of the OMB 83-I.</w:t>
      </w:r>
    </w:p>
    <w:p w:rsidR="00672004" w:rsidRDefault="00672004">
      <w:pPr>
        <w:tabs>
          <w:tab w:val="left" w:pos="360"/>
          <w:tab w:val="left" w:pos="720"/>
        </w:tabs>
        <w:rPr>
          <w:color w:val="000000"/>
          <w:sz w:val="24"/>
        </w:rPr>
      </w:pPr>
    </w:p>
    <w:p w:rsidR="00672004" w:rsidRDefault="0067200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672004" w:rsidRDefault="0067200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672004" w:rsidRDefault="00672004">
      <w:pPr>
        <w:keepLines/>
        <w:tabs>
          <w:tab w:val="left" w:pos="360"/>
          <w:tab w:val="left" w:pos="720"/>
        </w:tabs>
        <w:ind w:left="360"/>
        <w:rPr>
          <w:color w:val="000000"/>
          <w:sz w:val="24"/>
        </w:rPr>
      </w:pPr>
      <w:r>
        <w:rPr>
          <w:color w:val="000000"/>
          <w:sz w:val="24"/>
        </w:rPr>
        <w:t>This collection of information does not employ statistical methods.</w:t>
      </w:r>
    </w:p>
    <w:sectPr w:rsidR="00672004" w:rsidSect="005D6DC6">
      <w:headerReference w:type="even" r:id="rId9"/>
      <w:headerReference w:type="default" r:id="rId10"/>
      <w:footerReference w:type="even" r:id="rId11"/>
      <w:footerReference w:type="default" r:id="rId12"/>
      <w:headerReference w:type="first" r:id="rId13"/>
      <w:footerReference w:type="first" r:id="rId14"/>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4A" w:rsidRDefault="000A754A">
      <w:r>
        <w:separator/>
      </w:r>
    </w:p>
  </w:endnote>
  <w:endnote w:type="continuationSeparator" w:id="0">
    <w:p w:rsidR="000A754A" w:rsidRDefault="000A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6C" w:rsidRDefault="00421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77330"/>
      <w:docPartObj>
        <w:docPartGallery w:val="Page Numbers (Bottom of Page)"/>
        <w:docPartUnique/>
      </w:docPartObj>
    </w:sdtPr>
    <w:sdtEndPr/>
    <w:sdtContent>
      <w:p w:rsidR="00421F6C" w:rsidRDefault="00421F6C">
        <w:pPr>
          <w:pStyle w:val="Footer"/>
          <w:jc w:val="center"/>
        </w:pPr>
        <w:r>
          <w:fldChar w:fldCharType="begin"/>
        </w:r>
        <w:r>
          <w:instrText xml:space="preserve"> PAGE   \* MERGEFORMAT </w:instrText>
        </w:r>
        <w:r>
          <w:fldChar w:fldCharType="separate"/>
        </w:r>
        <w:r w:rsidR="00362100">
          <w:rPr>
            <w:noProof/>
          </w:rPr>
          <w:t>12</w:t>
        </w:r>
        <w:r>
          <w:rPr>
            <w:noProof/>
          </w:rPr>
          <w:fldChar w:fldCharType="end"/>
        </w:r>
      </w:p>
    </w:sdtContent>
  </w:sdt>
  <w:p w:rsidR="00421F6C" w:rsidRDefault="00421F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77329"/>
      <w:docPartObj>
        <w:docPartGallery w:val="Page Numbers (Bottom of Page)"/>
        <w:docPartUnique/>
      </w:docPartObj>
    </w:sdtPr>
    <w:sdtEndPr/>
    <w:sdtContent>
      <w:p w:rsidR="00421F6C" w:rsidRDefault="00421F6C">
        <w:pPr>
          <w:pStyle w:val="Footer"/>
          <w:jc w:val="center"/>
        </w:pPr>
        <w:r>
          <w:fldChar w:fldCharType="begin"/>
        </w:r>
        <w:r>
          <w:instrText xml:space="preserve"> PAGE   \* MERGEFORMAT </w:instrText>
        </w:r>
        <w:r>
          <w:fldChar w:fldCharType="separate"/>
        </w:r>
        <w:r w:rsidR="00C9010A">
          <w:rPr>
            <w:noProof/>
          </w:rPr>
          <w:t>1</w:t>
        </w:r>
        <w:r>
          <w:rPr>
            <w:noProof/>
          </w:rPr>
          <w:fldChar w:fldCharType="end"/>
        </w:r>
      </w:p>
    </w:sdtContent>
  </w:sdt>
  <w:p w:rsidR="00421F6C" w:rsidRPr="00911C44" w:rsidRDefault="00421F6C" w:rsidP="00911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4A" w:rsidRDefault="000A754A">
      <w:r>
        <w:separator/>
      </w:r>
    </w:p>
  </w:footnote>
  <w:footnote w:type="continuationSeparator" w:id="0">
    <w:p w:rsidR="000A754A" w:rsidRDefault="000A7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6C" w:rsidRDefault="00421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6C" w:rsidRDefault="00421F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6C" w:rsidRDefault="00421F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10217F"/>
    <w:multiLevelType w:val="hybridMultilevel"/>
    <w:tmpl w:val="9DF41FBE"/>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30245BD0">
      <w:start w:val="1"/>
      <w:numFmt w:val="bullet"/>
      <w:lvlText w:val=""/>
      <w:lvlJc w:val="left"/>
      <w:pPr>
        <w:tabs>
          <w:tab w:val="num" w:pos="2160"/>
        </w:tabs>
        <w:ind w:left="2160" w:hanging="360"/>
      </w:pPr>
      <w:rPr>
        <w:rFonts w:ascii="Symbol" w:hAnsi="Symbol" w:hint="default"/>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866020"/>
    <w:multiLevelType w:val="hybridMultilevel"/>
    <w:tmpl w:val="E050D99E"/>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401139D"/>
    <w:multiLevelType w:val="hybridMultilevel"/>
    <w:tmpl w:val="37CABB6A"/>
    <w:lvl w:ilvl="0" w:tplc="30245BD0">
      <w:start w:val="1"/>
      <w:numFmt w:val="bullet"/>
      <w:lvlText w:val=""/>
      <w:lvlJc w:val="left"/>
      <w:pPr>
        <w:tabs>
          <w:tab w:val="num" w:pos="648"/>
        </w:tabs>
        <w:ind w:left="648"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BC2624"/>
    <w:multiLevelType w:val="hybridMultilevel"/>
    <w:tmpl w:val="F2F68DD0"/>
    <w:lvl w:ilvl="0" w:tplc="E670E5A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0B0EA8"/>
    <w:multiLevelType w:val="hybridMultilevel"/>
    <w:tmpl w:val="D696E894"/>
    <w:lvl w:ilvl="0" w:tplc="30245BD0">
      <w:start w:val="1"/>
      <w:numFmt w:val="bullet"/>
      <w:lvlText w:val=""/>
      <w:lvlJc w:val="left"/>
      <w:pPr>
        <w:tabs>
          <w:tab w:val="num" w:pos="648"/>
        </w:tabs>
        <w:ind w:left="648"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2B5938"/>
    <w:multiLevelType w:val="hybridMultilevel"/>
    <w:tmpl w:val="E5BCF29C"/>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194683"/>
    <w:multiLevelType w:val="hybridMultilevel"/>
    <w:tmpl w:val="9B3A8B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68611FD"/>
    <w:multiLevelType w:val="hybridMultilevel"/>
    <w:tmpl w:val="A72E061C"/>
    <w:lvl w:ilvl="0" w:tplc="ADEA8C2E">
      <w:start w:val="1"/>
      <w:numFmt w:val="none"/>
      <w:lvlText w:val="6."/>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A036C8"/>
    <w:multiLevelType w:val="hybridMultilevel"/>
    <w:tmpl w:val="7E76FDC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3">
    <w:nsid w:val="3BE57736"/>
    <w:multiLevelType w:val="hybridMultilevel"/>
    <w:tmpl w:val="1902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D227A"/>
    <w:multiLevelType w:val="hybridMultilevel"/>
    <w:tmpl w:val="BF3AB6F0"/>
    <w:lvl w:ilvl="0" w:tplc="C602D6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92382F"/>
    <w:multiLevelType w:val="hybridMultilevel"/>
    <w:tmpl w:val="BE0EB97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4DC53395"/>
    <w:multiLevelType w:val="hybridMultilevel"/>
    <w:tmpl w:val="84F8B9C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17745E"/>
    <w:multiLevelType w:val="hybridMultilevel"/>
    <w:tmpl w:val="07CC770E"/>
    <w:lvl w:ilvl="0" w:tplc="30245BD0">
      <w:start w:val="1"/>
      <w:numFmt w:val="bullet"/>
      <w:lvlText w:val=""/>
      <w:lvlJc w:val="left"/>
      <w:pPr>
        <w:tabs>
          <w:tab w:val="num" w:pos="648"/>
        </w:tabs>
        <w:ind w:left="648"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6F2BA6"/>
    <w:multiLevelType w:val="hybridMultilevel"/>
    <w:tmpl w:val="9272A3E0"/>
    <w:lvl w:ilvl="0" w:tplc="30245BD0">
      <w:start w:val="1"/>
      <w:numFmt w:val="bullet"/>
      <w:lvlText w:val=""/>
      <w:lvlJc w:val="left"/>
      <w:pPr>
        <w:tabs>
          <w:tab w:val="num" w:pos="1278"/>
        </w:tabs>
        <w:ind w:left="1278" w:hanging="360"/>
      </w:pPr>
      <w:rPr>
        <w:rFonts w:ascii="Symbol" w:hAnsi="Symbol" w:hint="default"/>
        <w:color w:val="auto"/>
        <w:sz w:val="24"/>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nsid w:val="5C4F1367"/>
    <w:multiLevelType w:val="hybridMultilevel"/>
    <w:tmpl w:val="2528D510"/>
    <w:lvl w:ilvl="0" w:tplc="836EB08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2F648C"/>
    <w:multiLevelType w:val="hybridMultilevel"/>
    <w:tmpl w:val="F6387A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A16789"/>
    <w:multiLevelType w:val="hybridMultilevel"/>
    <w:tmpl w:val="9C749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2E0551"/>
    <w:multiLevelType w:val="hybridMultilevel"/>
    <w:tmpl w:val="5F86299A"/>
    <w:lvl w:ilvl="0" w:tplc="30245BD0">
      <w:start w:val="1"/>
      <w:numFmt w:val="bullet"/>
      <w:lvlText w:val=""/>
      <w:lvlJc w:val="left"/>
      <w:pPr>
        <w:tabs>
          <w:tab w:val="num" w:pos="648"/>
        </w:tabs>
        <w:ind w:left="648"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7"/>
  </w:num>
  <w:num w:numId="3">
    <w:abstractNumId w:val="3"/>
  </w:num>
  <w:num w:numId="4">
    <w:abstractNumId w:val="26"/>
  </w:num>
  <w:num w:numId="5">
    <w:abstractNumId w:val="25"/>
  </w:num>
  <w:num w:numId="6">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8"/>
  </w:num>
  <w:num w:numId="10">
    <w:abstractNumId w:val="15"/>
  </w:num>
  <w:num w:numId="11">
    <w:abstractNumId w:val="22"/>
  </w:num>
  <w:num w:numId="12">
    <w:abstractNumId w:val="17"/>
  </w:num>
  <w:num w:numId="13">
    <w:abstractNumId w:val="11"/>
  </w:num>
  <w:num w:numId="14">
    <w:abstractNumId w:val="2"/>
  </w:num>
  <w:num w:numId="15">
    <w:abstractNumId w:val="1"/>
  </w:num>
  <w:num w:numId="16">
    <w:abstractNumId w:val="8"/>
  </w:num>
  <w:num w:numId="17">
    <w:abstractNumId w:val="19"/>
  </w:num>
  <w:num w:numId="18">
    <w:abstractNumId w:val="20"/>
  </w:num>
  <w:num w:numId="19">
    <w:abstractNumId w:val="24"/>
  </w:num>
  <w:num w:numId="20">
    <w:abstractNumId w:val="7"/>
  </w:num>
  <w:num w:numId="21">
    <w:abstractNumId w:val="10"/>
  </w:num>
  <w:num w:numId="22">
    <w:abstractNumId w:val="6"/>
  </w:num>
  <w:num w:numId="23">
    <w:abstractNumId w:val="21"/>
  </w:num>
  <w:num w:numId="24">
    <w:abstractNumId w:val="9"/>
  </w:num>
  <w:num w:numId="25">
    <w:abstractNumId w:val="5"/>
  </w:num>
  <w:num w:numId="26">
    <w:abstractNumId w:val="12"/>
  </w:num>
  <w:num w:numId="27">
    <w:abstractNumId w:val="23"/>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6D"/>
    <w:rsid w:val="00003DF6"/>
    <w:rsid w:val="00036DD4"/>
    <w:rsid w:val="000611A6"/>
    <w:rsid w:val="00071390"/>
    <w:rsid w:val="00074183"/>
    <w:rsid w:val="00092179"/>
    <w:rsid w:val="000A1074"/>
    <w:rsid w:val="000A1456"/>
    <w:rsid w:val="000A53E8"/>
    <w:rsid w:val="000A754A"/>
    <w:rsid w:val="000C6F4C"/>
    <w:rsid w:val="001006A6"/>
    <w:rsid w:val="00101B23"/>
    <w:rsid w:val="00104F5F"/>
    <w:rsid w:val="00132EC7"/>
    <w:rsid w:val="001351C6"/>
    <w:rsid w:val="00142809"/>
    <w:rsid w:val="00145899"/>
    <w:rsid w:val="001604A0"/>
    <w:rsid w:val="00160881"/>
    <w:rsid w:val="0016332D"/>
    <w:rsid w:val="00166D27"/>
    <w:rsid w:val="00177451"/>
    <w:rsid w:val="001A1FDF"/>
    <w:rsid w:val="001B370B"/>
    <w:rsid w:val="001B3A18"/>
    <w:rsid w:val="001C647F"/>
    <w:rsid w:val="001F276D"/>
    <w:rsid w:val="001F4251"/>
    <w:rsid w:val="002007FC"/>
    <w:rsid w:val="00203F83"/>
    <w:rsid w:val="00214622"/>
    <w:rsid w:val="002232E7"/>
    <w:rsid w:val="00237BBF"/>
    <w:rsid w:val="00251A7E"/>
    <w:rsid w:val="00287CCF"/>
    <w:rsid w:val="002B3F8B"/>
    <w:rsid w:val="002D0DD8"/>
    <w:rsid w:val="002D3028"/>
    <w:rsid w:val="002E2E1A"/>
    <w:rsid w:val="002F06E0"/>
    <w:rsid w:val="002F06E4"/>
    <w:rsid w:val="002F3739"/>
    <w:rsid w:val="00313082"/>
    <w:rsid w:val="00326025"/>
    <w:rsid w:val="00332D30"/>
    <w:rsid w:val="00343650"/>
    <w:rsid w:val="00354693"/>
    <w:rsid w:val="00362100"/>
    <w:rsid w:val="003646C3"/>
    <w:rsid w:val="003753D6"/>
    <w:rsid w:val="00393D9A"/>
    <w:rsid w:val="003A26AD"/>
    <w:rsid w:val="003B06B9"/>
    <w:rsid w:val="003E273A"/>
    <w:rsid w:val="003E3ACB"/>
    <w:rsid w:val="004116B1"/>
    <w:rsid w:val="00414D33"/>
    <w:rsid w:val="00415262"/>
    <w:rsid w:val="00415D89"/>
    <w:rsid w:val="00421F6C"/>
    <w:rsid w:val="004364B1"/>
    <w:rsid w:val="0047471F"/>
    <w:rsid w:val="0047510A"/>
    <w:rsid w:val="00485157"/>
    <w:rsid w:val="004869F0"/>
    <w:rsid w:val="0049242A"/>
    <w:rsid w:val="004C2FA2"/>
    <w:rsid w:val="004E14AD"/>
    <w:rsid w:val="004E2068"/>
    <w:rsid w:val="00511AB0"/>
    <w:rsid w:val="00532119"/>
    <w:rsid w:val="0053506B"/>
    <w:rsid w:val="00537CFC"/>
    <w:rsid w:val="00592475"/>
    <w:rsid w:val="005C5A89"/>
    <w:rsid w:val="005D6DC6"/>
    <w:rsid w:val="005E5155"/>
    <w:rsid w:val="005F769E"/>
    <w:rsid w:val="00602088"/>
    <w:rsid w:val="00604CF1"/>
    <w:rsid w:val="00630EDA"/>
    <w:rsid w:val="006408A7"/>
    <w:rsid w:val="00642422"/>
    <w:rsid w:val="0064553B"/>
    <w:rsid w:val="00667637"/>
    <w:rsid w:val="00670BAC"/>
    <w:rsid w:val="00672004"/>
    <w:rsid w:val="006726F7"/>
    <w:rsid w:val="00681C99"/>
    <w:rsid w:val="006A3267"/>
    <w:rsid w:val="006E4D96"/>
    <w:rsid w:val="006F026E"/>
    <w:rsid w:val="006F1396"/>
    <w:rsid w:val="006F3E01"/>
    <w:rsid w:val="0071115C"/>
    <w:rsid w:val="007200C3"/>
    <w:rsid w:val="00733F51"/>
    <w:rsid w:val="00744480"/>
    <w:rsid w:val="007525C6"/>
    <w:rsid w:val="00757C83"/>
    <w:rsid w:val="00764B10"/>
    <w:rsid w:val="00766011"/>
    <w:rsid w:val="00767C3B"/>
    <w:rsid w:val="0078310E"/>
    <w:rsid w:val="00791791"/>
    <w:rsid w:val="007A50B0"/>
    <w:rsid w:val="007B6F8B"/>
    <w:rsid w:val="007C0E05"/>
    <w:rsid w:val="007C69E9"/>
    <w:rsid w:val="007C6CD5"/>
    <w:rsid w:val="007D614D"/>
    <w:rsid w:val="00804998"/>
    <w:rsid w:val="0083332E"/>
    <w:rsid w:val="00833946"/>
    <w:rsid w:val="00856BCC"/>
    <w:rsid w:val="00863A30"/>
    <w:rsid w:val="00866DDD"/>
    <w:rsid w:val="008808E5"/>
    <w:rsid w:val="00881C35"/>
    <w:rsid w:val="00883713"/>
    <w:rsid w:val="008A7498"/>
    <w:rsid w:val="008C5ACC"/>
    <w:rsid w:val="008E5243"/>
    <w:rsid w:val="008E666B"/>
    <w:rsid w:val="008F2535"/>
    <w:rsid w:val="008F311A"/>
    <w:rsid w:val="008F57A3"/>
    <w:rsid w:val="00903397"/>
    <w:rsid w:val="0090589C"/>
    <w:rsid w:val="00911C44"/>
    <w:rsid w:val="00921B50"/>
    <w:rsid w:val="0092301B"/>
    <w:rsid w:val="00925D04"/>
    <w:rsid w:val="00930DAC"/>
    <w:rsid w:val="00957457"/>
    <w:rsid w:val="00957628"/>
    <w:rsid w:val="009632DE"/>
    <w:rsid w:val="00967010"/>
    <w:rsid w:val="009803BA"/>
    <w:rsid w:val="00982D61"/>
    <w:rsid w:val="009C6A68"/>
    <w:rsid w:val="00A41FA0"/>
    <w:rsid w:val="00A53E6C"/>
    <w:rsid w:val="00A55A23"/>
    <w:rsid w:val="00A82209"/>
    <w:rsid w:val="00A91DCA"/>
    <w:rsid w:val="00A92905"/>
    <w:rsid w:val="00AA4FEA"/>
    <w:rsid w:val="00AE4437"/>
    <w:rsid w:val="00B076C4"/>
    <w:rsid w:val="00B111CB"/>
    <w:rsid w:val="00B23AF2"/>
    <w:rsid w:val="00B268BF"/>
    <w:rsid w:val="00B34CC7"/>
    <w:rsid w:val="00B551D1"/>
    <w:rsid w:val="00B74859"/>
    <w:rsid w:val="00B775BE"/>
    <w:rsid w:val="00BA053C"/>
    <w:rsid w:val="00BA0ACF"/>
    <w:rsid w:val="00BB1090"/>
    <w:rsid w:val="00BC6F5E"/>
    <w:rsid w:val="00BD0979"/>
    <w:rsid w:val="00BD1E69"/>
    <w:rsid w:val="00BE17DE"/>
    <w:rsid w:val="00C047FB"/>
    <w:rsid w:val="00C45C2D"/>
    <w:rsid w:val="00C50E31"/>
    <w:rsid w:val="00C57E8A"/>
    <w:rsid w:val="00C716D5"/>
    <w:rsid w:val="00C75A44"/>
    <w:rsid w:val="00C83A6B"/>
    <w:rsid w:val="00C9010A"/>
    <w:rsid w:val="00CC3E8B"/>
    <w:rsid w:val="00CE69BF"/>
    <w:rsid w:val="00CF1409"/>
    <w:rsid w:val="00CF6441"/>
    <w:rsid w:val="00D0171C"/>
    <w:rsid w:val="00D13DDC"/>
    <w:rsid w:val="00D3422B"/>
    <w:rsid w:val="00D70BEE"/>
    <w:rsid w:val="00DA6D97"/>
    <w:rsid w:val="00DE286C"/>
    <w:rsid w:val="00DE3111"/>
    <w:rsid w:val="00DF2B34"/>
    <w:rsid w:val="00E06F6B"/>
    <w:rsid w:val="00E13FAA"/>
    <w:rsid w:val="00E23343"/>
    <w:rsid w:val="00E32623"/>
    <w:rsid w:val="00E64A3D"/>
    <w:rsid w:val="00E973D1"/>
    <w:rsid w:val="00EB4B8B"/>
    <w:rsid w:val="00EE2720"/>
    <w:rsid w:val="00F0506A"/>
    <w:rsid w:val="00F07E5C"/>
    <w:rsid w:val="00F53786"/>
    <w:rsid w:val="00F552DB"/>
    <w:rsid w:val="00F75845"/>
    <w:rsid w:val="00F902B2"/>
    <w:rsid w:val="00FA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DC6"/>
    <w:pPr>
      <w:overflowPunct w:val="0"/>
      <w:autoSpaceDE w:val="0"/>
      <w:autoSpaceDN w:val="0"/>
      <w:adjustRightInd w:val="0"/>
      <w:textAlignment w:val="baseline"/>
    </w:pPr>
  </w:style>
  <w:style w:type="paragraph" w:styleId="Heading1">
    <w:name w:val="heading 1"/>
    <w:basedOn w:val="Normal"/>
    <w:next w:val="Normal"/>
    <w:qFormat/>
    <w:rsid w:val="005D6DC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5D6DC6"/>
    <w:pPr>
      <w:keepNext/>
      <w:outlineLvl w:val="1"/>
    </w:pPr>
    <w:rPr>
      <w:rFonts w:ascii="Arial" w:hAnsi="Arial" w:cs="Arial"/>
      <w:b/>
      <w:bCs/>
      <w:color w:val="000000"/>
      <w:sz w:val="18"/>
    </w:rPr>
  </w:style>
  <w:style w:type="paragraph" w:styleId="Heading3">
    <w:name w:val="heading 3"/>
    <w:basedOn w:val="Normal"/>
    <w:next w:val="Normal"/>
    <w:qFormat/>
    <w:rsid w:val="005D6DC6"/>
    <w:pPr>
      <w:keepNext/>
      <w:jc w:val="center"/>
      <w:outlineLvl w:val="2"/>
    </w:pPr>
    <w:rPr>
      <w:b/>
      <w:sz w:val="28"/>
    </w:rPr>
  </w:style>
  <w:style w:type="paragraph" w:styleId="Heading4">
    <w:name w:val="heading 4"/>
    <w:basedOn w:val="Normal"/>
    <w:next w:val="Normal"/>
    <w:qFormat/>
    <w:rsid w:val="005D6DC6"/>
    <w:pPr>
      <w:keepNext/>
      <w:tabs>
        <w:tab w:val="left" w:pos="240"/>
      </w:tabs>
      <w:spacing w:after="40"/>
      <w:ind w:left="120" w:right="-120"/>
      <w:outlineLvl w:val="3"/>
    </w:pPr>
    <w:rPr>
      <w:rFonts w:ascii="Helvetica" w:hAnsi="Helvetica"/>
      <w:b/>
      <w:bCs/>
      <w:color w:val="000000"/>
    </w:rPr>
  </w:style>
  <w:style w:type="paragraph" w:styleId="Heading5">
    <w:name w:val="heading 5"/>
    <w:basedOn w:val="Normal"/>
    <w:next w:val="Normal"/>
    <w:qFormat/>
    <w:rsid w:val="005D6DC6"/>
    <w:pPr>
      <w:keepNext/>
      <w:outlineLvl w:val="4"/>
    </w:pPr>
    <w:rPr>
      <w:b/>
      <w:bCs/>
      <w:color w:val="0000FF"/>
      <w:sz w:val="24"/>
    </w:rPr>
  </w:style>
  <w:style w:type="paragraph" w:styleId="Heading6">
    <w:name w:val="heading 6"/>
    <w:basedOn w:val="Normal"/>
    <w:next w:val="Normal"/>
    <w:qFormat/>
    <w:rsid w:val="005D6DC6"/>
    <w:pPr>
      <w:keepNext/>
      <w:ind w:left="1080"/>
      <w:outlineLvl w:val="5"/>
    </w:pPr>
    <w:rPr>
      <w:sz w:val="24"/>
    </w:rPr>
  </w:style>
  <w:style w:type="paragraph" w:styleId="Heading7">
    <w:name w:val="heading 7"/>
    <w:basedOn w:val="Normal"/>
    <w:next w:val="Normal"/>
    <w:qFormat/>
    <w:rsid w:val="005D6DC6"/>
    <w:pPr>
      <w:keepNext/>
      <w:overflowPunct/>
      <w:ind w:left="630"/>
      <w:textAlignment w:val="auto"/>
      <w:outlineLvl w:val="6"/>
    </w:pPr>
    <w:rPr>
      <w:sz w:val="24"/>
      <w:szCs w:val="24"/>
    </w:rPr>
  </w:style>
  <w:style w:type="paragraph" w:styleId="Heading8">
    <w:name w:val="heading 8"/>
    <w:basedOn w:val="Normal"/>
    <w:next w:val="Normal"/>
    <w:qFormat/>
    <w:rsid w:val="005D6DC6"/>
    <w:pPr>
      <w:keepNext/>
      <w:outlineLvl w:val="7"/>
    </w:pPr>
    <w:rPr>
      <w:sz w:val="24"/>
    </w:rPr>
  </w:style>
  <w:style w:type="paragraph" w:styleId="Heading9">
    <w:name w:val="heading 9"/>
    <w:basedOn w:val="Normal"/>
    <w:next w:val="Normal"/>
    <w:qFormat/>
    <w:rsid w:val="005D6DC6"/>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6DC6"/>
    <w:pPr>
      <w:tabs>
        <w:tab w:val="center" w:pos="4320"/>
        <w:tab w:val="right" w:pos="8640"/>
      </w:tabs>
    </w:pPr>
  </w:style>
  <w:style w:type="paragraph" w:styleId="Footer">
    <w:name w:val="footer"/>
    <w:basedOn w:val="Normal"/>
    <w:link w:val="FooterChar"/>
    <w:uiPriority w:val="99"/>
    <w:rsid w:val="005D6DC6"/>
    <w:pPr>
      <w:tabs>
        <w:tab w:val="center" w:pos="4320"/>
        <w:tab w:val="right" w:pos="8640"/>
      </w:tabs>
    </w:pPr>
  </w:style>
  <w:style w:type="paragraph" w:styleId="Title">
    <w:name w:val="Title"/>
    <w:basedOn w:val="Normal"/>
    <w:qFormat/>
    <w:rsid w:val="005D6DC6"/>
    <w:pPr>
      <w:jc w:val="center"/>
    </w:pPr>
    <w:rPr>
      <w:rFonts w:ascii="Helvetica" w:hAnsi="Helvetica"/>
      <w:b/>
      <w:sz w:val="28"/>
    </w:rPr>
  </w:style>
  <w:style w:type="character" w:styleId="PageNumber">
    <w:name w:val="page number"/>
    <w:basedOn w:val="DefaultParagraphFont"/>
    <w:rsid w:val="005D6DC6"/>
  </w:style>
  <w:style w:type="paragraph" w:customStyle="1" w:styleId="OmniPage267">
    <w:name w:val="OmniPage #267"/>
    <w:basedOn w:val="Normal"/>
    <w:rsid w:val="005D6DC6"/>
    <w:pPr>
      <w:tabs>
        <w:tab w:val="left" w:pos="1420"/>
        <w:tab w:val="right" w:pos="2840"/>
      </w:tabs>
      <w:ind w:left="2411" w:right="6180"/>
    </w:pPr>
    <w:rPr>
      <w:noProof/>
    </w:rPr>
  </w:style>
  <w:style w:type="paragraph" w:customStyle="1" w:styleId="OmniPage269">
    <w:name w:val="OmniPage #269"/>
    <w:basedOn w:val="Normal"/>
    <w:rsid w:val="005D6DC6"/>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rsid w:val="005D6DC6"/>
    <w:pPr>
      <w:tabs>
        <w:tab w:val="left" w:pos="1972"/>
        <w:tab w:val="right" w:pos="4256"/>
      </w:tabs>
      <w:ind w:left="2628" w:right="4728"/>
    </w:pPr>
    <w:rPr>
      <w:noProof/>
    </w:rPr>
  </w:style>
  <w:style w:type="paragraph" w:styleId="BlockText">
    <w:name w:val="Block Text"/>
    <w:basedOn w:val="Normal"/>
    <w:rsid w:val="005D6DC6"/>
    <w:pPr>
      <w:tabs>
        <w:tab w:val="left" w:pos="240"/>
      </w:tabs>
      <w:spacing w:after="60"/>
      <w:ind w:left="120" w:right="-120"/>
    </w:pPr>
    <w:rPr>
      <w:color w:val="000000"/>
      <w:sz w:val="22"/>
    </w:rPr>
  </w:style>
  <w:style w:type="paragraph" w:styleId="BodyTextIndent">
    <w:name w:val="Body Text Indent"/>
    <w:basedOn w:val="Normal"/>
    <w:rsid w:val="005D6DC6"/>
    <w:pPr>
      <w:tabs>
        <w:tab w:val="left" w:pos="360"/>
      </w:tabs>
      <w:overflowPunct/>
      <w:spacing w:line="240" w:lineRule="atLeast"/>
      <w:ind w:left="360" w:hanging="360"/>
      <w:textAlignment w:val="auto"/>
    </w:pPr>
    <w:rPr>
      <w:color w:val="000000"/>
      <w:sz w:val="24"/>
    </w:rPr>
  </w:style>
  <w:style w:type="paragraph" w:styleId="NormalWeb">
    <w:name w:val="Normal (Web)"/>
    <w:basedOn w:val="Normal"/>
    <w:rsid w:val="005D6DC6"/>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rsid w:val="005D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
    <w:name w:val="Body Text"/>
    <w:basedOn w:val="Normal"/>
    <w:rsid w:val="005D6DC6"/>
    <w:rPr>
      <w:color w:val="0000FF"/>
      <w:sz w:val="24"/>
    </w:rPr>
  </w:style>
  <w:style w:type="paragraph" w:styleId="BodyTextIndent2">
    <w:name w:val="Body Text Indent 2"/>
    <w:basedOn w:val="Normal"/>
    <w:rsid w:val="005D6DC6"/>
    <w:pPr>
      <w:ind w:left="630"/>
    </w:pPr>
    <w:rPr>
      <w:sz w:val="24"/>
    </w:rPr>
  </w:style>
  <w:style w:type="paragraph" w:styleId="BodyTextIndent3">
    <w:name w:val="Body Text Indent 3"/>
    <w:basedOn w:val="Normal"/>
    <w:rsid w:val="005D6DC6"/>
    <w:pPr>
      <w:ind w:left="630"/>
    </w:pPr>
    <w:rPr>
      <w:sz w:val="22"/>
    </w:rPr>
  </w:style>
  <w:style w:type="paragraph" w:styleId="BodyText2">
    <w:name w:val="Body Text 2"/>
    <w:basedOn w:val="Normal"/>
    <w:rsid w:val="005D6DC6"/>
    <w:rPr>
      <w:sz w:val="24"/>
    </w:rPr>
  </w:style>
  <w:style w:type="paragraph" w:styleId="BalloonText">
    <w:name w:val="Balloon Text"/>
    <w:basedOn w:val="Normal"/>
    <w:semiHidden/>
    <w:rsid w:val="00982D61"/>
    <w:rPr>
      <w:rFonts w:ascii="Tahoma" w:hAnsi="Tahoma" w:cs="Tahoma"/>
      <w:sz w:val="16"/>
      <w:szCs w:val="16"/>
    </w:rPr>
  </w:style>
  <w:style w:type="paragraph" w:styleId="ListParagraph">
    <w:name w:val="List Paragraph"/>
    <w:basedOn w:val="Normal"/>
    <w:uiPriority w:val="34"/>
    <w:qFormat/>
    <w:rsid w:val="00A92905"/>
    <w:pPr>
      <w:ind w:left="720"/>
      <w:contextualSpacing/>
    </w:pPr>
  </w:style>
  <w:style w:type="character" w:customStyle="1" w:styleId="FooterChar">
    <w:name w:val="Footer Char"/>
    <w:basedOn w:val="DefaultParagraphFont"/>
    <w:link w:val="Footer"/>
    <w:uiPriority w:val="99"/>
    <w:rsid w:val="00911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DC6"/>
    <w:pPr>
      <w:overflowPunct w:val="0"/>
      <w:autoSpaceDE w:val="0"/>
      <w:autoSpaceDN w:val="0"/>
      <w:adjustRightInd w:val="0"/>
      <w:textAlignment w:val="baseline"/>
    </w:pPr>
  </w:style>
  <w:style w:type="paragraph" w:styleId="Heading1">
    <w:name w:val="heading 1"/>
    <w:basedOn w:val="Normal"/>
    <w:next w:val="Normal"/>
    <w:qFormat/>
    <w:rsid w:val="005D6DC6"/>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5D6DC6"/>
    <w:pPr>
      <w:keepNext/>
      <w:outlineLvl w:val="1"/>
    </w:pPr>
    <w:rPr>
      <w:rFonts w:ascii="Arial" w:hAnsi="Arial" w:cs="Arial"/>
      <w:b/>
      <w:bCs/>
      <w:color w:val="000000"/>
      <w:sz w:val="18"/>
    </w:rPr>
  </w:style>
  <w:style w:type="paragraph" w:styleId="Heading3">
    <w:name w:val="heading 3"/>
    <w:basedOn w:val="Normal"/>
    <w:next w:val="Normal"/>
    <w:qFormat/>
    <w:rsid w:val="005D6DC6"/>
    <w:pPr>
      <w:keepNext/>
      <w:jc w:val="center"/>
      <w:outlineLvl w:val="2"/>
    </w:pPr>
    <w:rPr>
      <w:b/>
      <w:sz w:val="28"/>
    </w:rPr>
  </w:style>
  <w:style w:type="paragraph" w:styleId="Heading4">
    <w:name w:val="heading 4"/>
    <w:basedOn w:val="Normal"/>
    <w:next w:val="Normal"/>
    <w:qFormat/>
    <w:rsid w:val="005D6DC6"/>
    <w:pPr>
      <w:keepNext/>
      <w:tabs>
        <w:tab w:val="left" w:pos="240"/>
      </w:tabs>
      <w:spacing w:after="40"/>
      <w:ind w:left="120" w:right="-120"/>
      <w:outlineLvl w:val="3"/>
    </w:pPr>
    <w:rPr>
      <w:rFonts w:ascii="Helvetica" w:hAnsi="Helvetica"/>
      <w:b/>
      <w:bCs/>
      <w:color w:val="000000"/>
    </w:rPr>
  </w:style>
  <w:style w:type="paragraph" w:styleId="Heading5">
    <w:name w:val="heading 5"/>
    <w:basedOn w:val="Normal"/>
    <w:next w:val="Normal"/>
    <w:qFormat/>
    <w:rsid w:val="005D6DC6"/>
    <w:pPr>
      <w:keepNext/>
      <w:outlineLvl w:val="4"/>
    </w:pPr>
    <w:rPr>
      <w:b/>
      <w:bCs/>
      <w:color w:val="0000FF"/>
      <w:sz w:val="24"/>
    </w:rPr>
  </w:style>
  <w:style w:type="paragraph" w:styleId="Heading6">
    <w:name w:val="heading 6"/>
    <w:basedOn w:val="Normal"/>
    <w:next w:val="Normal"/>
    <w:qFormat/>
    <w:rsid w:val="005D6DC6"/>
    <w:pPr>
      <w:keepNext/>
      <w:ind w:left="1080"/>
      <w:outlineLvl w:val="5"/>
    </w:pPr>
    <w:rPr>
      <w:sz w:val="24"/>
    </w:rPr>
  </w:style>
  <w:style w:type="paragraph" w:styleId="Heading7">
    <w:name w:val="heading 7"/>
    <w:basedOn w:val="Normal"/>
    <w:next w:val="Normal"/>
    <w:qFormat/>
    <w:rsid w:val="005D6DC6"/>
    <w:pPr>
      <w:keepNext/>
      <w:overflowPunct/>
      <w:ind w:left="630"/>
      <w:textAlignment w:val="auto"/>
      <w:outlineLvl w:val="6"/>
    </w:pPr>
    <w:rPr>
      <w:sz w:val="24"/>
      <w:szCs w:val="24"/>
    </w:rPr>
  </w:style>
  <w:style w:type="paragraph" w:styleId="Heading8">
    <w:name w:val="heading 8"/>
    <w:basedOn w:val="Normal"/>
    <w:next w:val="Normal"/>
    <w:qFormat/>
    <w:rsid w:val="005D6DC6"/>
    <w:pPr>
      <w:keepNext/>
      <w:outlineLvl w:val="7"/>
    </w:pPr>
    <w:rPr>
      <w:sz w:val="24"/>
    </w:rPr>
  </w:style>
  <w:style w:type="paragraph" w:styleId="Heading9">
    <w:name w:val="heading 9"/>
    <w:basedOn w:val="Normal"/>
    <w:next w:val="Normal"/>
    <w:qFormat/>
    <w:rsid w:val="005D6DC6"/>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6DC6"/>
    <w:pPr>
      <w:tabs>
        <w:tab w:val="center" w:pos="4320"/>
        <w:tab w:val="right" w:pos="8640"/>
      </w:tabs>
    </w:pPr>
  </w:style>
  <w:style w:type="paragraph" w:styleId="Footer">
    <w:name w:val="footer"/>
    <w:basedOn w:val="Normal"/>
    <w:link w:val="FooterChar"/>
    <w:uiPriority w:val="99"/>
    <w:rsid w:val="005D6DC6"/>
    <w:pPr>
      <w:tabs>
        <w:tab w:val="center" w:pos="4320"/>
        <w:tab w:val="right" w:pos="8640"/>
      </w:tabs>
    </w:pPr>
  </w:style>
  <w:style w:type="paragraph" w:styleId="Title">
    <w:name w:val="Title"/>
    <w:basedOn w:val="Normal"/>
    <w:qFormat/>
    <w:rsid w:val="005D6DC6"/>
    <w:pPr>
      <w:jc w:val="center"/>
    </w:pPr>
    <w:rPr>
      <w:rFonts w:ascii="Helvetica" w:hAnsi="Helvetica"/>
      <w:b/>
      <w:sz w:val="28"/>
    </w:rPr>
  </w:style>
  <w:style w:type="character" w:styleId="PageNumber">
    <w:name w:val="page number"/>
    <w:basedOn w:val="DefaultParagraphFont"/>
    <w:rsid w:val="005D6DC6"/>
  </w:style>
  <w:style w:type="paragraph" w:customStyle="1" w:styleId="OmniPage267">
    <w:name w:val="OmniPage #267"/>
    <w:basedOn w:val="Normal"/>
    <w:rsid w:val="005D6DC6"/>
    <w:pPr>
      <w:tabs>
        <w:tab w:val="left" w:pos="1420"/>
        <w:tab w:val="right" w:pos="2840"/>
      </w:tabs>
      <w:ind w:left="2411" w:right="6180"/>
    </w:pPr>
    <w:rPr>
      <w:noProof/>
    </w:rPr>
  </w:style>
  <w:style w:type="paragraph" w:customStyle="1" w:styleId="OmniPage269">
    <w:name w:val="OmniPage #269"/>
    <w:basedOn w:val="Normal"/>
    <w:rsid w:val="005D6DC6"/>
    <w:pPr>
      <w:tabs>
        <w:tab w:val="left" w:pos="1880"/>
        <w:tab w:val="left" w:pos="3905"/>
        <w:tab w:val="left" w:pos="5206"/>
        <w:tab w:val="left" w:pos="6515"/>
        <w:tab w:val="right" w:pos="8746"/>
      </w:tabs>
      <w:ind w:left="1843" w:right="274"/>
    </w:pPr>
    <w:rPr>
      <w:noProof/>
    </w:rPr>
  </w:style>
  <w:style w:type="paragraph" w:customStyle="1" w:styleId="OmniPage517">
    <w:name w:val="OmniPage #517"/>
    <w:basedOn w:val="Normal"/>
    <w:rsid w:val="005D6DC6"/>
    <w:pPr>
      <w:tabs>
        <w:tab w:val="left" w:pos="1972"/>
        <w:tab w:val="right" w:pos="4256"/>
      </w:tabs>
      <w:ind w:left="2628" w:right="4728"/>
    </w:pPr>
    <w:rPr>
      <w:noProof/>
    </w:rPr>
  </w:style>
  <w:style w:type="paragraph" w:styleId="BlockText">
    <w:name w:val="Block Text"/>
    <w:basedOn w:val="Normal"/>
    <w:rsid w:val="005D6DC6"/>
    <w:pPr>
      <w:tabs>
        <w:tab w:val="left" w:pos="240"/>
      </w:tabs>
      <w:spacing w:after="60"/>
      <w:ind w:left="120" w:right="-120"/>
    </w:pPr>
    <w:rPr>
      <w:color w:val="000000"/>
      <w:sz w:val="22"/>
    </w:rPr>
  </w:style>
  <w:style w:type="paragraph" w:styleId="BodyTextIndent">
    <w:name w:val="Body Text Indent"/>
    <w:basedOn w:val="Normal"/>
    <w:rsid w:val="005D6DC6"/>
    <w:pPr>
      <w:tabs>
        <w:tab w:val="left" w:pos="360"/>
      </w:tabs>
      <w:overflowPunct/>
      <w:spacing w:line="240" w:lineRule="atLeast"/>
      <w:ind w:left="360" w:hanging="360"/>
      <w:textAlignment w:val="auto"/>
    </w:pPr>
    <w:rPr>
      <w:color w:val="000000"/>
      <w:sz w:val="24"/>
    </w:rPr>
  </w:style>
  <w:style w:type="paragraph" w:styleId="NormalWeb">
    <w:name w:val="Normal (Web)"/>
    <w:basedOn w:val="Normal"/>
    <w:rsid w:val="005D6DC6"/>
    <w:pPr>
      <w:overflowPunct/>
      <w:autoSpaceDE/>
      <w:autoSpaceDN/>
      <w:adjustRightInd/>
      <w:spacing w:before="100" w:beforeAutospacing="1" w:after="100" w:afterAutospacing="1"/>
      <w:textAlignment w:val="auto"/>
    </w:pPr>
    <w:rPr>
      <w:sz w:val="24"/>
      <w:szCs w:val="24"/>
    </w:rPr>
  </w:style>
  <w:style w:type="paragraph" w:styleId="HTMLPreformatted">
    <w:name w:val="HTML Preformatted"/>
    <w:basedOn w:val="Normal"/>
    <w:rsid w:val="005D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
    <w:name w:val="Body Text"/>
    <w:basedOn w:val="Normal"/>
    <w:rsid w:val="005D6DC6"/>
    <w:rPr>
      <w:color w:val="0000FF"/>
      <w:sz w:val="24"/>
    </w:rPr>
  </w:style>
  <w:style w:type="paragraph" w:styleId="BodyTextIndent2">
    <w:name w:val="Body Text Indent 2"/>
    <w:basedOn w:val="Normal"/>
    <w:rsid w:val="005D6DC6"/>
    <w:pPr>
      <w:ind w:left="630"/>
    </w:pPr>
    <w:rPr>
      <w:sz w:val="24"/>
    </w:rPr>
  </w:style>
  <w:style w:type="paragraph" w:styleId="BodyTextIndent3">
    <w:name w:val="Body Text Indent 3"/>
    <w:basedOn w:val="Normal"/>
    <w:rsid w:val="005D6DC6"/>
    <w:pPr>
      <w:ind w:left="630"/>
    </w:pPr>
    <w:rPr>
      <w:sz w:val="22"/>
    </w:rPr>
  </w:style>
  <w:style w:type="paragraph" w:styleId="BodyText2">
    <w:name w:val="Body Text 2"/>
    <w:basedOn w:val="Normal"/>
    <w:rsid w:val="005D6DC6"/>
    <w:rPr>
      <w:sz w:val="24"/>
    </w:rPr>
  </w:style>
  <w:style w:type="paragraph" w:styleId="BalloonText">
    <w:name w:val="Balloon Text"/>
    <w:basedOn w:val="Normal"/>
    <w:semiHidden/>
    <w:rsid w:val="00982D61"/>
    <w:rPr>
      <w:rFonts w:ascii="Tahoma" w:hAnsi="Tahoma" w:cs="Tahoma"/>
      <w:sz w:val="16"/>
      <w:szCs w:val="16"/>
    </w:rPr>
  </w:style>
  <w:style w:type="paragraph" w:styleId="ListParagraph">
    <w:name w:val="List Paragraph"/>
    <w:basedOn w:val="Normal"/>
    <w:uiPriority w:val="34"/>
    <w:qFormat/>
    <w:rsid w:val="00A92905"/>
    <w:pPr>
      <w:ind w:left="720"/>
      <w:contextualSpacing/>
    </w:pPr>
  </w:style>
  <w:style w:type="character" w:customStyle="1" w:styleId="FooterChar">
    <w:name w:val="Footer Char"/>
    <w:basedOn w:val="DefaultParagraphFont"/>
    <w:link w:val="Footer"/>
    <w:uiPriority w:val="99"/>
    <w:rsid w:val="0091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DA52-6A56-472C-918F-C1E0F640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6268</Words>
  <Characters>34654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4</cp:revision>
  <cp:lastPrinted>2012-06-04T21:56:00Z</cp:lastPrinted>
  <dcterms:created xsi:type="dcterms:W3CDTF">2014-02-21T18:55:00Z</dcterms:created>
  <dcterms:modified xsi:type="dcterms:W3CDTF">2014-02-21T18:59:00Z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1845230569</vt:i4>
  </property>
  <property fmtid="{D5CDD505-2E9C-101B-9397-08002B2CF9AE}" pid="3" name="_NewReviewCycle">
    <vt:lpwstr/>
  </property>
  <property fmtid="{D5CDD505-2E9C-101B-9397-08002B2CF9AE}" pid="4" name="_EmailSubject">
    <vt:lpwstr>Renewal of 2502-0429</vt:lpwstr>
  </property>
  <property fmtid="{D5CDD505-2E9C-101B-9397-08002B2CF9AE}" pid="5" name="_AuthorEmail">
    <vt:lpwstr>Angela.C.Graham@hud.gov</vt:lpwstr>
  </property>
  <property fmtid="{D5CDD505-2E9C-101B-9397-08002B2CF9AE}" pid="6" name="_AuthorEmailDisplayName">
    <vt:lpwstr>Graham, Angela C</vt:lpwstr>
  </property>
  <property fmtid="{D5CDD505-2E9C-101B-9397-08002B2CF9AE}" pid="7" name="_PreviousAdHocReviewCycleID">
    <vt:i4>-883716312</vt:i4>
  </property>
  <property fmtid="{D5CDD505-2E9C-101B-9397-08002B2CF9AE}" pid="8" name="_ReviewingToolsShownOnce">
    <vt:lpwstr/>
  </property>
</Properties>
</file>