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A289" w14:textId="77777777" w:rsidR="00ED6128" w:rsidRDefault="00ED6128" w:rsidP="008F4F57">
      <w:pPr>
        <w:spacing w:after="0" w:line="240" w:lineRule="auto"/>
        <w:jc w:val="center"/>
        <w:rPr>
          <w:rFonts w:ascii="Times New Roman" w:hAnsi="Times New Roman"/>
          <w:sz w:val="24"/>
          <w:szCs w:val="24"/>
        </w:rPr>
      </w:pPr>
      <w:r>
        <w:rPr>
          <w:rFonts w:ascii="Times New Roman" w:hAnsi="Times New Roman"/>
          <w:sz w:val="24"/>
          <w:szCs w:val="24"/>
        </w:rPr>
        <w:t>Supporting Statement</w:t>
      </w:r>
    </w:p>
    <w:p w14:paraId="178EA28A" w14:textId="77777777" w:rsidR="00ED6128" w:rsidRDefault="00ED6128" w:rsidP="008F4F57">
      <w:pPr>
        <w:spacing w:after="0" w:line="240" w:lineRule="auto"/>
        <w:jc w:val="center"/>
        <w:rPr>
          <w:rFonts w:ascii="Times New Roman" w:hAnsi="Times New Roman"/>
          <w:b/>
          <w:sz w:val="24"/>
          <w:szCs w:val="24"/>
        </w:rPr>
      </w:pPr>
      <w:r w:rsidRPr="00035845">
        <w:rPr>
          <w:rFonts w:ascii="Times New Roman" w:hAnsi="Times New Roman"/>
          <w:b/>
          <w:sz w:val="24"/>
          <w:szCs w:val="24"/>
        </w:rPr>
        <w:t>FERC-</w:t>
      </w:r>
      <w:r>
        <w:rPr>
          <w:rFonts w:ascii="Times New Roman" w:hAnsi="Times New Roman"/>
          <w:b/>
          <w:sz w:val="24"/>
          <w:szCs w:val="24"/>
        </w:rPr>
        <w:t>577</w:t>
      </w:r>
      <w:r w:rsidRPr="00035845">
        <w:rPr>
          <w:rFonts w:ascii="Times New Roman" w:hAnsi="Times New Roman"/>
          <w:b/>
          <w:sz w:val="24"/>
          <w:szCs w:val="24"/>
        </w:rPr>
        <w:t xml:space="preserve"> </w:t>
      </w:r>
      <w:r>
        <w:rPr>
          <w:rFonts w:ascii="Times New Roman" w:hAnsi="Times New Roman"/>
          <w:b/>
          <w:sz w:val="24"/>
          <w:szCs w:val="24"/>
        </w:rPr>
        <w:t>Gas Pipeline Certificates: Environmental Impact Statement</w:t>
      </w:r>
    </w:p>
    <w:p w14:paraId="178EA28B" w14:textId="49F005DC" w:rsidR="00ED6128" w:rsidRPr="006716F9" w:rsidRDefault="005F4FDF" w:rsidP="008F4F57">
      <w:pPr>
        <w:spacing w:after="0" w:line="240" w:lineRule="auto"/>
        <w:jc w:val="center"/>
        <w:rPr>
          <w:rFonts w:ascii="Times New Roman" w:hAnsi="Times New Roman"/>
          <w:sz w:val="24"/>
          <w:szCs w:val="24"/>
        </w:rPr>
      </w:pPr>
      <w:r>
        <w:rPr>
          <w:rFonts w:ascii="Times New Roman" w:hAnsi="Times New Roman"/>
          <w:sz w:val="24"/>
          <w:szCs w:val="24"/>
        </w:rPr>
        <w:t>Final rule in Docket Number</w:t>
      </w:r>
      <w:r w:rsidR="00ED6128">
        <w:rPr>
          <w:rFonts w:ascii="Times New Roman" w:hAnsi="Times New Roman"/>
          <w:sz w:val="24"/>
          <w:szCs w:val="24"/>
        </w:rPr>
        <w:t xml:space="preserve"> RM12-11-000</w:t>
      </w:r>
    </w:p>
    <w:p w14:paraId="178EA28C" w14:textId="77777777" w:rsidR="00ED6128" w:rsidRDefault="00ED6128" w:rsidP="008F4F57">
      <w:pPr>
        <w:spacing w:after="0" w:line="240" w:lineRule="auto"/>
        <w:jc w:val="center"/>
        <w:rPr>
          <w:rFonts w:ascii="Times New Roman" w:hAnsi="Times New Roman"/>
          <w:sz w:val="24"/>
          <w:szCs w:val="24"/>
        </w:rPr>
      </w:pPr>
    </w:p>
    <w:p w14:paraId="178EA28D" w14:textId="668AD31F"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 Federal Energy Regulatory Commission (Commission or FERC</w:t>
      </w:r>
      <w:r w:rsidR="009A6C2C">
        <w:rPr>
          <w:rFonts w:ascii="Times New Roman" w:hAnsi="Times New Roman"/>
          <w:sz w:val="24"/>
          <w:szCs w:val="24"/>
        </w:rPr>
        <w:t>)</w:t>
      </w:r>
      <w:r>
        <w:rPr>
          <w:rFonts w:ascii="Times New Roman" w:hAnsi="Times New Roman"/>
          <w:sz w:val="24"/>
          <w:szCs w:val="24"/>
        </w:rPr>
        <w:t xml:space="preserve"> requests that the Office of Management and Budget (OMB) review </w:t>
      </w:r>
      <w:r w:rsidR="009A6C2C">
        <w:rPr>
          <w:rFonts w:ascii="Times New Roman" w:hAnsi="Times New Roman"/>
          <w:sz w:val="24"/>
          <w:szCs w:val="24"/>
        </w:rPr>
        <w:t xml:space="preserve">and approve </w:t>
      </w:r>
      <w:r>
        <w:rPr>
          <w:rFonts w:ascii="Times New Roman" w:hAnsi="Times New Roman"/>
          <w:sz w:val="24"/>
          <w:szCs w:val="24"/>
        </w:rPr>
        <w:t xml:space="preserve">the changes to the FERC-577 contained in the </w:t>
      </w:r>
      <w:r w:rsidR="005F4FDF">
        <w:rPr>
          <w:rFonts w:ascii="Times New Roman" w:hAnsi="Times New Roman"/>
          <w:sz w:val="24"/>
          <w:szCs w:val="24"/>
        </w:rPr>
        <w:t>final rule</w:t>
      </w:r>
      <w:r>
        <w:rPr>
          <w:rFonts w:ascii="Times New Roman" w:hAnsi="Times New Roman"/>
          <w:sz w:val="24"/>
          <w:szCs w:val="24"/>
        </w:rPr>
        <w:t xml:space="preserve"> in Docket N</w:t>
      </w:r>
      <w:r w:rsidR="005F4FDF">
        <w:rPr>
          <w:rFonts w:ascii="Times New Roman" w:hAnsi="Times New Roman"/>
          <w:sz w:val="24"/>
          <w:szCs w:val="24"/>
        </w:rPr>
        <w:t>umber</w:t>
      </w:r>
      <w:r>
        <w:rPr>
          <w:rFonts w:ascii="Times New Roman" w:hAnsi="Times New Roman"/>
          <w:sz w:val="24"/>
          <w:szCs w:val="24"/>
        </w:rPr>
        <w:t xml:space="preserve"> RM12-11.</w:t>
      </w:r>
    </w:p>
    <w:p w14:paraId="178EA28E" w14:textId="77777777" w:rsidR="00ED6128" w:rsidRDefault="00ED6128" w:rsidP="008F4F57">
      <w:pPr>
        <w:spacing w:after="0" w:line="240" w:lineRule="auto"/>
        <w:rPr>
          <w:rFonts w:ascii="Times New Roman" w:hAnsi="Times New Roman"/>
          <w:sz w:val="24"/>
          <w:szCs w:val="24"/>
        </w:rPr>
      </w:pPr>
    </w:p>
    <w:p w14:paraId="178EA28F"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CIRCUMSTANCES THAT MAKE THE COLLECTION OF INFORMATION NECESSARY</w:t>
      </w:r>
    </w:p>
    <w:p w14:paraId="178EA290" w14:textId="77777777" w:rsidR="00ED6128" w:rsidRDefault="00ED6128" w:rsidP="008F4F57">
      <w:pPr>
        <w:spacing w:after="0" w:line="240" w:lineRule="auto"/>
        <w:rPr>
          <w:rFonts w:ascii="Times New Roman" w:hAnsi="Times New Roman"/>
          <w:sz w:val="24"/>
          <w:szCs w:val="24"/>
        </w:rPr>
      </w:pPr>
    </w:p>
    <w:p w14:paraId="178EA291" w14:textId="77777777" w:rsidR="00ED6128" w:rsidRPr="00992C1B" w:rsidRDefault="00ED6128" w:rsidP="008F4F57">
      <w:pPr>
        <w:spacing w:after="0" w:line="240" w:lineRule="auto"/>
        <w:rPr>
          <w:rFonts w:ascii="Times New Roman" w:hAnsi="Times New Roman"/>
          <w:sz w:val="24"/>
          <w:szCs w:val="24"/>
        </w:rPr>
      </w:pPr>
      <w:r w:rsidRPr="00992C1B">
        <w:rPr>
          <w:rFonts w:ascii="Times New Roman" w:hAnsi="Times New Roman"/>
          <w:sz w:val="24"/>
          <w:szCs w:val="24"/>
        </w:rPr>
        <w:t>Section 102(2) (c) of the National Environmental Policy Act of 1969 (NEPA) (</w:t>
      </w:r>
      <w:proofErr w:type="spellStart"/>
      <w:r w:rsidRPr="00992C1B">
        <w:rPr>
          <w:rFonts w:ascii="Times New Roman" w:hAnsi="Times New Roman"/>
          <w:sz w:val="24"/>
          <w:szCs w:val="24"/>
        </w:rPr>
        <w:t>Pub.L</w:t>
      </w:r>
      <w:proofErr w:type="spellEnd"/>
      <w:r w:rsidRPr="00992C1B">
        <w:rPr>
          <w:rFonts w:ascii="Times New Roman" w:hAnsi="Times New Roman"/>
          <w:sz w:val="24"/>
          <w:szCs w:val="24"/>
        </w:rPr>
        <w:t xml:space="preserve"> 91-190) (42 U.S.C. 4321) requires that all Federal agencies must include in every recommendation or report on proposals for legislation and other major federal actions significantly affecting the quality of human environment, a detailed statement on: the environmental impact on the proposed actions; any adverse environmental effects which cannot be avoided should the proposal be implemented; alternatives to the proposed action; the relationship between local short-term uses of man’s environment, and the maintenance and enhancement of resources which would be involved in the proposed action should it be implemented.  </w:t>
      </w:r>
    </w:p>
    <w:p w14:paraId="178EA292" w14:textId="77777777" w:rsidR="00ED6128" w:rsidRPr="00992C1B" w:rsidRDefault="00ED6128" w:rsidP="008F4F57">
      <w:pPr>
        <w:spacing w:after="0" w:line="240" w:lineRule="auto"/>
        <w:rPr>
          <w:rFonts w:ascii="Times New Roman" w:hAnsi="Times New Roman"/>
          <w:sz w:val="24"/>
          <w:szCs w:val="24"/>
        </w:rPr>
      </w:pPr>
    </w:p>
    <w:p w14:paraId="178EA293" w14:textId="77777777" w:rsidR="00ED6128" w:rsidRDefault="00ED6128" w:rsidP="008F4F57">
      <w:pPr>
        <w:spacing w:after="0" w:line="240" w:lineRule="auto"/>
        <w:rPr>
          <w:rFonts w:ascii="Times New Roman" w:hAnsi="Times New Roman"/>
          <w:sz w:val="24"/>
          <w:szCs w:val="24"/>
        </w:rPr>
      </w:pPr>
      <w:r w:rsidRPr="00992C1B">
        <w:rPr>
          <w:rFonts w:ascii="Times New Roman" w:hAnsi="Times New Roman"/>
          <w:sz w:val="24"/>
          <w:szCs w:val="24"/>
        </w:rPr>
        <w:t xml:space="preserve">FERC-577 identifies the Commission’s information collections relating to Parts 2, 157, 284, and 380 of its regulations implementing NEPA and includes the environmental compliance conditions of Parts 2, 157, 284, and 380.  </w:t>
      </w:r>
    </w:p>
    <w:p w14:paraId="178EA294" w14:textId="77777777" w:rsidR="00ED6128" w:rsidRDefault="00ED6128" w:rsidP="008F4F57">
      <w:pPr>
        <w:spacing w:after="0" w:line="240" w:lineRule="auto"/>
        <w:rPr>
          <w:rFonts w:ascii="Times New Roman" w:hAnsi="Times New Roman"/>
          <w:sz w:val="24"/>
          <w:szCs w:val="24"/>
        </w:rPr>
      </w:pPr>
    </w:p>
    <w:p w14:paraId="178EA295" w14:textId="680DA97F"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One part of the FERC-577 pertains to land owner notification.  </w:t>
      </w:r>
      <w:r w:rsidRPr="003E6043">
        <w:rPr>
          <w:rFonts w:ascii="Times New Roman" w:hAnsi="Times New Roman"/>
          <w:sz w:val="24"/>
          <w:szCs w:val="24"/>
        </w:rPr>
        <w:t xml:space="preserve">Commission staff has received numerous requests from landowners </w:t>
      </w:r>
      <w:r>
        <w:rPr>
          <w:rFonts w:ascii="Times New Roman" w:hAnsi="Times New Roman"/>
          <w:sz w:val="24"/>
          <w:szCs w:val="24"/>
        </w:rPr>
        <w:t xml:space="preserve">asking </w:t>
      </w:r>
      <w:r w:rsidRPr="003E6043">
        <w:rPr>
          <w:rFonts w:ascii="Times New Roman" w:hAnsi="Times New Roman"/>
          <w:sz w:val="24"/>
          <w:szCs w:val="24"/>
        </w:rPr>
        <w:t xml:space="preserve">that </w:t>
      </w:r>
      <w:r w:rsidR="009A6C2C">
        <w:rPr>
          <w:rFonts w:ascii="Times New Roman" w:hAnsi="Times New Roman"/>
          <w:sz w:val="24"/>
          <w:szCs w:val="24"/>
        </w:rPr>
        <w:t>FERC</w:t>
      </w:r>
      <w:r w:rsidR="009A6C2C" w:rsidRPr="003E6043">
        <w:rPr>
          <w:rFonts w:ascii="Times New Roman" w:hAnsi="Times New Roman"/>
          <w:sz w:val="24"/>
          <w:szCs w:val="24"/>
        </w:rPr>
        <w:t xml:space="preserve"> </w:t>
      </w:r>
      <w:r w:rsidRPr="003E6043">
        <w:rPr>
          <w:rFonts w:ascii="Times New Roman" w:hAnsi="Times New Roman"/>
          <w:sz w:val="24"/>
          <w:szCs w:val="24"/>
        </w:rPr>
        <w:t>require companies to notify landowners in advance of any activity that will take place on their land.</w:t>
      </w:r>
      <w:r>
        <w:rPr>
          <w:rFonts w:ascii="Times New Roman" w:hAnsi="Times New Roman"/>
          <w:sz w:val="24"/>
          <w:szCs w:val="24"/>
        </w:rPr>
        <w:t xml:space="preserve">  In response to these requests, the Commission </w:t>
      </w:r>
      <w:r w:rsidR="005F4FDF">
        <w:rPr>
          <w:rFonts w:ascii="Times New Roman" w:hAnsi="Times New Roman"/>
          <w:sz w:val="24"/>
          <w:szCs w:val="24"/>
        </w:rPr>
        <w:t xml:space="preserve">is </w:t>
      </w:r>
      <w:r w:rsidRPr="005A2AE4">
        <w:rPr>
          <w:rFonts w:ascii="Times New Roman" w:hAnsi="Times New Roman"/>
          <w:sz w:val="24"/>
          <w:szCs w:val="24"/>
        </w:rPr>
        <w:t>add</w:t>
      </w:r>
      <w:r w:rsidR="005F4FDF">
        <w:rPr>
          <w:rFonts w:ascii="Times New Roman" w:hAnsi="Times New Roman"/>
          <w:sz w:val="24"/>
          <w:szCs w:val="24"/>
        </w:rPr>
        <w:t>ing</w:t>
      </w:r>
      <w:r w:rsidRPr="005A2AE4">
        <w:rPr>
          <w:rFonts w:ascii="Times New Roman" w:hAnsi="Times New Roman"/>
          <w:sz w:val="24"/>
          <w:szCs w:val="24"/>
        </w:rPr>
        <w:t xml:space="preserve"> landowner notification requirements for both auxiliary installations and replacement facilities under </w:t>
      </w:r>
      <w:r w:rsidR="009A6C2C">
        <w:rPr>
          <w:rFonts w:ascii="Times New Roman" w:hAnsi="Times New Roman"/>
          <w:sz w:val="24"/>
          <w:szCs w:val="24"/>
        </w:rPr>
        <w:t xml:space="preserve">18 CFR </w:t>
      </w:r>
      <w:proofErr w:type="gramStart"/>
      <w:r w:rsidRPr="005A2AE4">
        <w:rPr>
          <w:rFonts w:ascii="Times New Roman" w:hAnsi="Times New Roman"/>
          <w:sz w:val="24"/>
          <w:szCs w:val="24"/>
        </w:rPr>
        <w:t>section</w:t>
      </w:r>
      <w:proofErr w:type="gramEnd"/>
      <w:r w:rsidRPr="005A2AE4">
        <w:rPr>
          <w:rFonts w:ascii="Times New Roman" w:hAnsi="Times New Roman"/>
          <w:sz w:val="24"/>
          <w:szCs w:val="24"/>
        </w:rPr>
        <w:t xml:space="preserve"> 2.55 and for siting and maintenance activities under section 380.15.</w:t>
      </w:r>
      <w:r w:rsidR="00D141FC">
        <w:rPr>
          <w:rFonts w:ascii="Times New Roman" w:hAnsi="Times New Roman"/>
          <w:sz w:val="24"/>
          <w:szCs w:val="24"/>
        </w:rPr>
        <w:t xml:space="preserve">  The Commission also modifying its regulations under 18 CFR section 157.203, to conform with the landowner notification changes to section 2.55.</w:t>
      </w:r>
    </w:p>
    <w:p w14:paraId="178EA296" w14:textId="77777777" w:rsidR="00ED6128" w:rsidRPr="00EB3E6F" w:rsidRDefault="00ED6128" w:rsidP="008F4F57">
      <w:pPr>
        <w:spacing w:after="0" w:line="240" w:lineRule="auto"/>
        <w:rPr>
          <w:rFonts w:ascii="Times New Roman" w:hAnsi="Times New Roman"/>
          <w:sz w:val="24"/>
          <w:szCs w:val="24"/>
        </w:rPr>
      </w:pPr>
    </w:p>
    <w:p w14:paraId="178EA297"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HOW, BY WHOM, AND FOR WHAT PURPOSE THE INFORMATION IS TO BE USED AND THE CONSEQUENCES OF NOT COLLECTING THE INFORMATION</w:t>
      </w:r>
    </w:p>
    <w:p w14:paraId="178EA298" w14:textId="77777777" w:rsidR="00ED6128" w:rsidRDefault="00ED6128" w:rsidP="008F4F57">
      <w:pPr>
        <w:spacing w:after="0" w:line="240" w:lineRule="auto"/>
        <w:rPr>
          <w:rFonts w:ascii="Times New Roman" w:hAnsi="Times New Roman"/>
          <w:sz w:val="24"/>
          <w:szCs w:val="24"/>
        </w:rPr>
      </w:pPr>
    </w:p>
    <w:p w14:paraId="178EA299" w14:textId="2BA46473" w:rsidR="00ED6128" w:rsidRPr="005A2AE4" w:rsidRDefault="00ED6128" w:rsidP="008F4F57">
      <w:pPr>
        <w:spacing w:after="0" w:line="240" w:lineRule="auto"/>
        <w:rPr>
          <w:rFonts w:ascii="Times New Roman" w:hAnsi="Times New Roman"/>
          <w:sz w:val="24"/>
          <w:szCs w:val="24"/>
        </w:rPr>
      </w:pPr>
      <w:r w:rsidRPr="005A2AE4">
        <w:rPr>
          <w:rFonts w:ascii="Times New Roman" w:hAnsi="Times New Roman"/>
          <w:sz w:val="24"/>
          <w:szCs w:val="24"/>
        </w:rPr>
        <w:t>Environmental concerns play a significant role in the review of certificate construction applications.</w:t>
      </w:r>
      <w:r w:rsidR="00FB3D23" w:rsidRPr="008D075F">
        <w:rPr>
          <w:rStyle w:val="FootnoteReference"/>
          <w:rFonts w:ascii="Times New Roman" w:hAnsi="Times New Roman"/>
          <w:sz w:val="24"/>
          <w:vertAlign w:val="superscript"/>
        </w:rPr>
        <w:footnoteReference w:id="2"/>
      </w:r>
      <w:r w:rsidRPr="005A2AE4">
        <w:rPr>
          <w:rFonts w:ascii="Times New Roman" w:hAnsi="Times New Roman"/>
          <w:sz w:val="24"/>
          <w:szCs w:val="24"/>
        </w:rPr>
        <w:t xml:space="preserve">  Pipelines are facing increased opposition from landowners as new projects are proposed, especially in more heavily populated areas.  FERC has to balance the benefits of alternative supplies of natural gas with the environmental impact of a project.  Critical to the Commission’s efforts to balance benefits and environmental impacts are the </w:t>
      </w:r>
      <w:r>
        <w:rPr>
          <w:rFonts w:ascii="Times New Roman" w:hAnsi="Times New Roman"/>
          <w:sz w:val="24"/>
          <w:szCs w:val="24"/>
        </w:rPr>
        <w:t xml:space="preserve">general and project-specific </w:t>
      </w:r>
      <w:r w:rsidRPr="005A2AE4">
        <w:rPr>
          <w:rFonts w:ascii="Times New Roman" w:hAnsi="Times New Roman"/>
          <w:sz w:val="24"/>
          <w:szCs w:val="24"/>
        </w:rPr>
        <w:t>environmental</w:t>
      </w:r>
      <w:r>
        <w:rPr>
          <w:rFonts w:ascii="Times New Roman" w:hAnsi="Times New Roman"/>
          <w:sz w:val="24"/>
          <w:szCs w:val="24"/>
        </w:rPr>
        <w:t xml:space="preserve"> </w:t>
      </w:r>
      <w:r w:rsidRPr="005A2AE4">
        <w:rPr>
          <w:rFonts w:ascii="Times New Roman" w:hAnsi="Times New Roman"/>
          <w:sz w:val="24"/>
          <w:szCs w:val="24"/>
        </w:rPr>
        <w:t xml:space="preserve">conditions the Commission </w:t>
      </w:r>
      <w:r>
        <w:rPr>
          <w:rFonts w:ascii="Times New Roman" w:hAnsi="Times New Roman"/>
          <w:sz w:val="24"/>
          <w:szCs w:val="24"/>
        </w:rPr>
        <w:t xml:space="preserve">applies to jurisdictional </w:t>
      </w:r>
      <w:r w:rsidR="00A07CC1">
        <w:rPr>
          <w:rFonts w:ascii="Times New Roman" w:hAnsi="Times New Roman"/>
          <w:sz w:val="24"/>
          <w:szCs w:val="24"/>
        </w:rPr>
        <w:t>facilities.</w:t>
      </w:r>
      <w:r w:rsidR="00A07CC1" w:rsidRPr="005F4FDF">
        <w:rPr>
          <w:rStyle w:val="FootnoteReference"/>
          <w:rFonts w:ascii="Times New Roman" w:hAnsi="Times New Roman"/>
          <w:sz w:val="24"/>
          <w:szCs w:val="24"/>
          <w:vertAlign w:val="superscript"/>
        </w:rPr>
        <w:footnoteReference w:id="3"/>
      </w:r>
      <w:r w:rsidR="00A07CC1">
        <w:rPr>
          <w:rFonts w:ascii="Times New Roman" w:hAnsi="Times New Roman"/>
          <w:sz w:val="24"/>
          <w:szCs w:val="24"/>
        </w:rPr>
        <w:t xml:space="preserve"> </w:t>
      </w:r>
    </w:p>
    <w:p w14:paraId="178EA29A" w14:textId="77777777" w:rsidR="00ED6128" w:rsidRPr="005A2AE4" w:rsidRDefault="00ED6128" w:rsidP="008F4F57">
      <w:pPr>
        <w:spacing w:after="0" w:line="240" w:lineRule="auto"/>
        <w:rPr>
          <w:rFonts w:ascii="Times New Roman" w:hAnsi="Times New Roman"/>
          <w:sz w:val="24"/>
          <w:szCs w:val="24"/>
        </w:rPr>
      </w:pPr>
    </w:p>
    <w:p w14:paraId="178EA29B" w14:textId="28701715" w:rsidR="00ED6128" w:rsidRPr="005A2AE4" w:rsidRDefault="00ED6128" w:rsidP="008F4F57">
      <w:pPr>
        <w:spacing w:after="0" w:line="240" w:lineRule="auto"/>
        <w:rPr>
          <w:rFonts w:ascii="Times New Roman" w:hAnsi="Times New Roman"/>
          <w:sz w:val="24"/>
          <w:szCs w:val="24"/>
        </w:rPr>
      </w:pPr>
      <w:r w:rsidRPr="005A2AE4">
        <w:rPr>
          <w:rFonts w:ascii="Times New Roman" w:hAnsi="Times New Roman"/>
          <w:sz w:val="24"/>
          <w:szCs w:val="24"/>
        </w:rPr>
        <w:t xml:space="preserve">Applicants have to conduct appropriate studies which are necessary to </w:t>
      </w:r>
      <w:r>
        <w:rPr>
          <w:rFonts w:ascii="Times New Roman" w:hAnsi="Times New Roman"/>
          <w:sz w:val="24"/>
          <w:szCs w:val="24"/>
        </w:rPr>
        <w:t>evaluate</w:t>
      </w:r>
      <w:r w:rsidRPr="005A2AE4">
        <w:rPr>
          <w:rFonts w:ascii="Times New Roman" w:hAnsi="Times New Roman"/>
          <w:sz w:val="24"/>
          <w:szCs w:val="24"/>
        </w:rPr>
        <w:t xml:space="preserve"> the impact of the construction and/or operation of the proposed jurisdictional facilities on human and natural resources and the measures which may be necessary to protect the values of the affected area.  </w:t>
      </w:r>
    </w:p>
    <w:p w14:paraId="178EA29C" w14:textId="77777777" w:rsidR="00ED6128" w:rsidRPr="005A2AE4" w:rsidRDefault="00ED6128" w:rsidP="008F4F57">
      <w:pPr>
        <w:spacing w:after="0" w:line="240" w:lineRule="auto"/>
        <w:rPr>
          <w:rFonts w:ascii="Times New Roman" w:hAnsi="Times New Roman"/>
          <w:sz w:val="24"/>
          <w:szCs w:val="24"/>
        </w:rPr>
      </w:pPr>
    </w:p>
    <w:p w14:paraId="178EA29D" w14:textId="0B533115" w:rsidR="00ED6128" w:rsidRPr="005A2AE4"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In the </w:t>
      </w:r>
      <w:r w:rsidR="005F4FDF">
        <w:rPr>
          <w:rFonts w:ascii="Times New Roman" w:hAnsi="Times New Roman"/>
          <w:sz w:val="24"/>
          <w:szCs w:val="24"/>
        </w:rPr>
        <w:t>rulemaking</w:t>
      </w:r>
      <w:r>
        <w:rPr>
          <w:rFonts w:ascii="Times New Roman" w:hAnsi="Times New Roman"/>
          <w:sz w:val="24"/>
          <w:szCs w:val="24"/>
        </w:rPr>
        <w:t xml:space="preserve">, FERC </w:t>
      </w:r>
      <w:r w:rsidR="005F4FDF">
        <w:rPr>
          <w:rFonts w:ascii="Times New Roman" w:hAnsi="Times New Roman"/>
          <w:sz w:val="24"/>
          <w:szCs w:val="24"/>
        </w:rPr>
        <w:t>adds</w:t>
      </w:r>
      <w:r>
        <w:rPr>
          <w:rFonts w:ascii="Times New Roman" w:hAnsi="Times New Roman"/>
          <w:sz w:val="24"/>
          <w:szCs w:val="24"/>
        </w:rPr>
        <w:t xml:space="preserve"> new sections in its regulations (18 CFR) u</w:t>
      </w:r>
      <w:r w:rsidRPr="005A2AE4">
        <w:rPr>
          <w:rFonts w:ascii="Times New Roman" w:hAnsi="Times New Roman"/>
          <w:sz w:val="24"/>
          <w:szCs w:val="24"/>
        </w:rPr>
        <w:t xml:space="preserve">nder </w:t>
      </w:r>
      <w:r>
        <w:rPr>
          <w:rFonts w:ascii="Times New Roman" w:hAnsi="Times New Roman"/>
          <w:sz w:val="24"/>
          <w:szCs w:val="24"/>
        </w:rPr>
        <w:t>S</w:t>
      </w:r>
      <w:r w:rsidRPr="005A2AE4">
        <w:rPr>
          <w:rFonts w:ascii="Times New Roman" w:hAnsi="Times New Roman"/>
          <w:sz w:val="24"/>
          <w:szCs w:val="24"/>
        </w:rPr>
        <w:t>ections 2.55(c) and 380.15(b</w:t>
      </w:r>
      <w:proofErr w:type="gramStart"/>
      <w:r w:rsidRPr="005A2AE4">
        <w:rPr>
          <w:rFonts w:ascii="Times New Roman" w:hAnsi="Times New Roman"/>
          <w:sz w:val="24"/>
          <w:szCs w:val="24"/>
        </w:rPr>
        <w:t>)(</w:t>
      </w:r>
      <w:proofErr w:type="gramEnd"/>
      <w:r w:rsidRPr="005A2AE4">
        <w:rPr>
          <w:rFonts w:ascii="Times New Roman" w:hAnsi="Times New Roman"/>
          <w:sz w:val="24"/>
          <w:szCs w:val="24"/>
        </w:rPr>
        <w:t>1)</w:t>
      </w:r>
      <w:r>
        <w:rPr>
          <w:rFonts w:ascii="Times New Roman" w:hAnsi="Times New Roman"/>
          <w:sz w:val="24"/>
          <w:szCs w:val="24"/>
        </w:rPr>
        <w:t xml:space="preserve"> whereby</w:t>
      </w:r>
      <w:r w:rsidRPr="005A2AE4">
        <w:rPr>
          <w:rFonts w:ascii="Times New Roman" w:hAnsi="Times New Roman"/>
          <w:sz w:val="24"/>
          <w:szCs w:val="24"/>
        </w:rPr>
        <w:t xml:space="preserve"> a natural gas company must notify affected landowners at least </w:t>
      </w:r>
      <w:r w:rsidR="00734BAC">
        <w:rPr>
          <w:rFonts w:ascii="Times New Roman" w:hAnsi="Times New Roman"/>
          <w:sz w:val="24"/>
          <w:szCs w:val="24"/>
        </w:rPr>
        <w:t>five</w:t>
      </w:r>
      <w:r w:rsidRPr="005A2AE4">
        <w:rPr>
          <w:rFonts w:ascii="Times New Roman" w:hAnsi="Times New Roman"/>
          <w:sz w:val="24"/>
          <w:szCs w:val="24"/>
        </w:rPr>
        <w:t xml:space="preserve"> days prior to </w:t>
      </w:r>
      <w:r>
        <w:rPr>
          <w:rFonts w:ascii="Times New Roman" w:hAnsi="Times New Roman"/>
          <w:sz w:val="24"/>
          <w:szCs w:val="24"/>
        </w:rPr>
        <w:t>coming onto their property</w:t>
      </w:r>
      <w:r w:rsidRPr="005A2AE4">
        <w:rPr>
          <w:rFonts w:ascii="Times New Roman" w:hAnsi="Times New Roman"/>
          <w:sz w:val="24"/>
          <w:szCs w:val="24"/>
        </w:rPr>
        <w:t xml:space="preserve">.  The notification should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w:t>
      </w:r>
      <w:r>
        <w:rPr>
          <w:rFonts w:ascii="Times New Roman" w:hAnsi="Times New Roman"/>
          <w:sz w:val="24"/>
          <w:szCs w:val="24"/>
        </w:rPr>
        <w:t>S</w:t>
      </w:r>
      <w:r w:rsidRPr="005A2AE4">
        <w:rPr>
          <w:rFonts w:ascii="Times New Roman" w:hAnsi="Times New Roman"/>
          <w:sz w:val="24"/>
          <w:szCs w:val="24"/>
        </w:rPr>
        <w:t>ection 1b.21(g) of the Commission’s regulations, and the Dispute Resolution Service Helpline number.</w:t>
      </w:r>
      <w:r w:rsidR="00A07CC1" w:rsidRPr="008D075F">
        <w:rPr>
          <w:rStyle w:val="FootnoteReference"/>
          <w:rFonts w:ascii="Times New Roman" w:hAnsi="Times New Roman"/>
          <w:sz w:val="24"/>
          <w:vertAlign w:val="superscript"/>
        </w:rPr>
        <w:footnoteReference w:id="4"/>
      </w:r>
      <w:r w:rsidRPr="008D075F">
        <w:rPr>
          <w:rFonts w:ascii="Times New Roman" w:hAnsi="Times New Roman"/>
          <w:sz w:val="24"/>
          <w:vertAlign w:val="superscript"/>
        </w:rPr>
        <w:t xml:space="preserve"> </w:t>
      </w:r>
    </w:p>
    <w:p w14:paraId="178EA2A0" w14:textId="77777777" w:rsidR="00ED6128" w:rsidRDefault="00ED6128" w:rsidP="008F4F57">
      <w:pPr>
        <w:spacing w:after="0" w:line="240" w:lineRule="auto"/>
        <w:rPr>
          <w:rFonts w:ascii="Times New Roman" w:hAnsi="Times New Roman"/>
          <w:sz w:val="24"/>
          <w:szCs w:val="24"/>
        </w:rPr>
      </w:pPr>
    </w:p>
    <w:p w14:paraId="178EA2A1" w14:textId="421E6A71"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FERC</w:t>
      </w:r>
      <w:r w:rsidRPr="005A2AE4">
        <w:rPr>
          <w:rFonts w:ascii="Times New Roman" w:hAnsi="Times New Roman"/>
          <w:sz w:val="24"/>
          <w:szCs w:val="24"/>
        </w:rPr>
        <w:t xml:space="preserve"> define</w:t>
      </w:r>
      <w:r w:rsidR="00A03AF2">
        <w:rPr>
          <w:rFonts w:ascii="Times New Roman" w:hAnsi="Times New Roman"/>
          <w:sz w:val="24"/>
          <w:szCs w:val="24"/>
        </w:rPr>
        <w:t>s</w:t>
      </w:r>
      <w:r w:rsidRPr="005A2AE4">
        <w:rPr>
          <w:rFonts w:ascii="Times New Roman" w:hAnsi="Times New Roman"/>
          <w:sz w:val="24"/>
          <w:szCs w:val="24"/>
        </w:rPr>
        <w:t xml:space="preserve"> “affected landowners” as owners of property interests, as noted in the most recent tax notice, whose property is directly affected (i.e. crossed or used) by the proposed activity, including all rights-of-way, facility sites, access roads, pipe and contractor yards, and temporary workspace</w:t>
      </w:r>
      <w:r w:rsidR="00A03AF2">
        <w:rPr>
          <w:rFonts w:ascii="Times New Roman" w:hAnsi="Times New Roman"/>
          <w:sz w:val="24"/>
          <w:szCs w:val="24"/>
        </w:rPr>
        <w:t>.</w:t>
      </w:r>
      <w:r>
        <w:rPr>
          <w:rFonts w:ascii="Times New Roman" w:hAnsi="Times New Roman"/>
          <w:sz w:val="24"/>
          <w:szCs w:val="24"/>
        </w:rPr>
        <w:t xml:space="preserve"> </w:t>
      </w:r>
    </w:p>
    <w:p w14:paraId="178EA2A2" w14:textId="77777777" w:rsidR="00ED6128" w:rsidRDefault="00ED6128" w:rsidP="008F4F57">
      <w:pPr>
        <w:spacing w:after="0" w:line="240" w:lineRule="auto"/>
        <w:rPr>
          <w:rFonts w:ascii="Times New Roman" w:hAnsi="Times New Roman"/>
          <w:sz w:val="24"/>
          <w:szCs w:val="24"/>
        </w:rPr>
      </w:pPr>
    </w:p>
    <w:p w14:paraId="178EA2A3" w14:textId="229837D0"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Commission collects the bulk of the information under the FERC-577 in order to comply with applicable environmental statutes. </w:t>
      </w:r>
      <w:r w:rsidR="00172D8F">
        <w:rPr>
          <w:rFonts w:ascii="Times New Roman" w:hAnsi="Times New Roman"/>
          <w:sz w:val="24"/>
          <w:szCs w:val="24"/>
        </w:rPr>
        <w:t xml:space="preserve"> The Commission needs to know about the consequences of companies’ activ</w:t>
      </w:r>
      <w:r w:rsidR="001316CD">
        <w:rPr>
          <w:rFonts w:ascii="Times New Roman" w:hAnsi="Times New Roman"/>
          <w:sz w:val="24"/>
          <w:szCs w:val="24"/>
        </w:rPr>
        <w:t xml:space="preserve">ities to be able to </w:t>
      </w:r>
      <w:r w:rsidR="00400F07">
        <w:rPr>
          <w:rFonts w:ascii="Times New Roman" w:hAnsi="Times New Roman"/>
          <w:sz w:val="24"/>
          <w:szCs w:val="24"/>
        </w:rPr>
        <w:t xml:space="preserve">ensure </w:t>
      </w:r>
      <w:r w:rsidR="001316CD">
        <w:rPr>
          <w:rFonts w:ascii="Times New Roman" w:hAnsi="Times New Roman"/>
          <w:sz w:val="24"/>
          <w:szCs w:val="24"/>
        </w:rPr>
        <w:t xml:space="preserve">that </w:t>
      </w:r>
      <w:r w:rsidR="003E5E95">
        <w:rPr>
          <w:rFonts w:ascii="Times New Roman" w:hAnsi="Times New Roman"/>
          <w:sz w:val="24"/>
          <w:szCs w:val="24"/>
        </w:rPr>
        <w:t>FERC is</w:t>
      </w:r>
      <w:r w:rsidR="001316CD">
        <w:rPr>
          <w:rFonts w:ascii="Times New Roman" w:hAnsi="Times New Roman"/>
          <w:sz w:val="24"/>
          <w:szCs w:val="24"/>
        </w:rPr>
        <w:t xml:space="preserve"> complying with NEPA requirements.  In particular, FERC wants to ensure that construction and operation activities are done in a manner that </w:t>
      </w:r>
      <w:r w:rsidR="00251F59">
        <w:rPr>
          <w:rFonts w:ascii="Times New Roman" w:hAnsi="Times New Roman"/>
          <w:sz w:val="24"/>
          <w:szCs w:val="24"/>
        </w:rPr>
        <w:t xml:space="preserve">does not </w:t>
      </w:r>
      <w:r w:rsidR="001316CD">
        <w:rPr>
          <w:rFonts w:ascii="Times New Roman" w:hAnsi="Times New Roman"/>
          <w:sz w:val="24"/>
          <w:szCs w:val="24"/>
        </w:rPr>
        <w:t>violate FERC’s findings that there are no significant adverse impacts.</w:t>
      </w:r>
      <w:r>
        <w:rPr>
          <w:rFonts w:ascii="Times New Roman" w:hAnsi="Times New Roman"/>
          <w:sz w:val="24"/>
          <w:szCs w:val="24"/>
        </w:rPr>
        <w:t xml:space="preserve"> The FERC-577 cannot be discontinued or conducted less frequently.  The Commission </w:t>
      </w:r>
      <w:r w:rsidR="00650206">
        <w:rPr>
          <w:rFonts w:ascii="Times New Roman" w:hAnsi="Times New Roman"/>
          <w:sz w:val="24"/>
          <w:szCs w:val="24"/>
        </w:rPr>
        <w:t>adopts</w:t>
      </w:r>
      <w:r>
        <w:rPr>
          <w:rFonts w:ascii="Times New Roman" w:hAnsi="Times New Roman"/>
          <w:sz w:val="24"/>
          <w:szCs w:val="24"/>
        </w:rPr>
        <w:t xml:space="preserve"> a new landowner notification requirement in response to requests from landowners.</w:t>
      </w:r>
    </w:p>
    <w:p w14:paraId="178EA2A4" w14:textId="77777777" w:rsidR="00ED6128" w:rsidRPr="00EB3E6F" w:rsidRDefault="00ED6128" w:rsidP="008F4F57">
      <w:pPr>
        <w:spacing w:after="0" w:line="240" w:lineRule="auto"/>
        <w:rPr>
          <w:rFonts w:ascii="Times New Roman" w:hAnsi="Times New Roman"/>
          <w:sz w:val="24"/>
          <w:szCs w:val="24"/>
        </w:rPr>
      </w:pPr>
    </w:p>
    <w:p w14:paraId="178EA2A5"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DESCRIBE ANY CONSIDERATION OF THE USE OF IMPROVED INFORMATION TECHNOLOGY TO REDUCE THE BURDEN AND TECHNICAL OR LEGAL OBSTACLES TO REDUCING BURDEN</w:t>
      </w:r>
    </w:p>
    <w:p w14:paraId="178EA2A6" w14:textId="77777777" w:rsidR="00ED6128" w:rsidRDefault="00ED6128" w:rsidP="008F4F57">
      <w:pPr>
        <w:spacing w:after="0" w:line="240" w:lineRule="auto"/>
        <w:rPr>
          <w:rFonts w:ascii="Times New Roman" w:hAnsi="Times New Roman"/>
          <w:sz w:val="24"/>
          <w:szCs w:val="24"/>
        </w:rPr>
      </w:pPr>
    </w:p>
    <w:p w14:paraId="178EA2A7" w14:textId="69BC890A" w:rsidR="00ED6128" w:rsidRPr="00E838DA" w:rsidRDefault="00ED6128" w:rsidP="008F4F57">
      <w:pPr>
        <w:spacing w:after="0" w:line="240" w:lineRule="auto"/>
        <w:rPr>
          <w:rFonts w:ascii="Times New Roman" w:hAnsi="Times New Roman"/>
          <w:sz w:val="24"/>
          <w:szCs w:val="24"/>
        </w:rPr>
      </w:pPr>
      <w:r w:rsidRPr="00E838DA">
        <w:rPr>
          <w:rFonts w:ascii="Times New Roman" w:hAnsi="Times New Roman"/>
          <w:sz w:val="24"/>
          <w:szCs w:val="24"/>
        </w:rPr>
        <w:t>There is an ongoing effort to increase the use of improved informat</w:t>
      </w:r>
      <w:r>
        <w:rPr>
          <w:rFonts w:ascii="Times New Roman" w:hAnsi="Times New Roman"/>
          <w:sz w:val="24"/>
          <w:szCs w:val="24"/>
        </w:rPr>
        <w:t xml:space="preserve">ion technology </w:t>
      </w:r>
      <w:r w:rsidR="00251F59">
        <w:rPr>
          <w:rFonts w:ascii="Times New Roman" w:hAnsi="Times New Roman"/>
          <w:sz w:val="24"/>
          <w:szCs w:val="24"/>
        </w:rPr>
        <w:t xml:space="preserve">in order </w:t>
      </w:r>
      <w:r>
        <w:rPr>
          <w:rFonts w:ascii="Times New Roman" w:hAnsi="Times New Roman"/>
          <w:sz w:val="24"/>
          <w:szCs w:val="24"/>
        </w:rPr>
        <w:t>to reduce</w:t>
      </w:r>
      <w:r w:rsidRPr="00E838DA">
        <w:rPr>
          <w:rFonts w:ascii="Times New Roman" w:hAnsi="Times New Roman"/>
          <w:sz w:val="24"/>
          <w:szCs w:val="24"/>
        </w:rPr>
        <w:t xml:space="preserve"> </w:t>
      </w:r>
      <w:r>
        <w:rPr>
          <w:rFonts w:ascii="Times New Roman" w:hAnsi="Times New Roman"/>
          <w:sz w:val="24"/>
          <w:szCs w:val="24"/>
        </w:rPr>
        <w:t xml:space="preserve">the compliance </w:t>
      </w:r>
      <w:r w:rsidRPr="00E838DA">
        <w:rPr>
          <w:rFonts w:ascii="Times New Roman" w:hAnsi="Times New Roman"/>
          <w:sz w:val="24"/>
          <w:szCs w:val="24"/>
        </w:rPr>
        <w:t xml:space="preserve">burden.  The FERC-577 materials may be eFiled through FERC’s eFiling system.  [See </w:t>
      </w:r>
      <w:hyperlink r:id="rId13" w:history="1">
        <w:r w:rsidRPr="00E838DA">
          <w:rPr>
            <w:rStyle w:val="Hyperlink"/>
            <w:rFonts w:ascii="Times New Roman" w:hAnsi="Times New Roman"/>
            <w:sz w:val="24"/>
            <w:szCs w:val="24"/>
          </w:rPr>
          <w:t>http://www.ferc.gov/docs-filing/efiling/filing.pdf</w:t>
        </w:r>
      </w:hyperlink>
      <w:r w:rsidRPr="00E838DA">
        <w:rPr>
          <w:rFonts w:ascii="Times New Roman" w:hAnsi="Times New Roman"/>
          <w:sz w:val="24"/>
          <w:szCs w:val="24"/>
        </w:rPr>
        <w:t xml:space="preserve"> for more information.]</w:t>
      </w:r>
    </w:p>
    <w:p w14:paraId="178EA2A8" w14:textId="77777777" w:rsidR="00ED6128" w:rsidRPr="00E838DA" w:rsidRDefault="00ED6128" w:rsidP="008F4F57">
      <w:pPr>
        <w:spacing w:after="0" w:line="240" w:lineRule="auto"/>
        <w:rPr>
          <w:rFonts w:ascii="Times New Roman" w:hAnsi="Times New Roman"/>
          <w:sz w:val="24"/>
          <w:szCs w:val="24"/>
        </w:rPr>
      </w:pPr>
    </w:p>
    <w:p w14:paraId="178EA2A9"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For the existing FERC-577 requirements, </w:t>
      </w:r>
      <w:r w:rsidRPr="00E838DA">
        <w:rPr>
          <w:rFonts w:ascii="Times New Roman" w:hAnsi="Times New Roman"/>
          <w:sz w:val="24"/>
          <w:szCs w:val="24"/>
        </w:rPr>
        <w:t xml:space="preserve">the majority of the application filings made in accordance with sections 7(a) and 7(c) are filed electronically.  </w:t>
      </w:r>
      <w:r w:rsidRPr="00400F07">
        <w:rPr>
          <w:rFonts w:ascii="Times New Roman" w:hAnsi="Times New Roman"/>
          <w:sz w:val="24"/>
          <w:szCs w:val="24"/>
        </w:rPr>
        <w:t xml:space="preserve">However, due to the complexity of the exhibits, maps, and projects, for some of the filings, up to three additional paper copies may be required for staff review, processing, and collaboration.  As additional uses of </w:t>
      </w:r>
      <w:r w:rsidRPr="00400F07">
        <w:rPr>
          <w:rFonts w:ascii="Times New Roman" w:hAnsi="Times New Roman"/>
          <w:sz w:val="24"/>
          <w:szCs w:val="24"/>
        </w:rPr>
        <w:lastRenderedPageBreak/>
        <w:t>information technology (including geospatial information systems) are implemented, FERC may be able to reduce or eliminate the need for the additional paper copies.</w:t>
      </w:r>
    </w:p>
    <w:p w14:paraId="178EA2AA" w14:textId="77777777" w:rsidR="00ED6128" w:rsidRDefault="00ED6128" w:rsidP="008F4F57">
      <w:pPr>
        <w:spacing w:after="0" w:line="240" w:lineRule="auto"/>
        <w:rPr>
          <w:rFonts w:ascii="Times New Roman" w:hAnsi="Times New Roman"/>
          <w:sz w:val="24"/>
          <w:szCs w:val="24"/>
        </w:rPr>
      </w:pPr>
    </w:p>
    <w:p w14:paraId="178EA2AB" w14:textId="1DA7455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For the new requirements in the </w:t>
      </w:r>
      <w:r w:rsidR="00650206">
        <w:rPr>
          <w:rFonts w:ascii="Times New Roman" w:hAnsi="Times New Roman"/>
          <w:sz w:val="24"/>
          <w:szCs w:val="24"/>
        </w:rPr>
        <w:t>final</w:t>
      </w:r>
      <w:r>
        <w:rPr>
          <w:rFonts w:ascii="Times New Roman" w:hAnsi="Times New Roman"/>
          <w:sz w:val="24"/>
          <w:szCs w:val="24"/>
        </w:rPr>
        <w:t xml:space="preserve"> rule, FERC </w:t>
      </w:r>
      <w:r w:rsidR="00734BAC">
        <w:rPr>
          <w:rFonts w:ascii="Times New Roman" w:hAnsi="Times New Roman"/>
          <w:sz w:val="24"/>
          <w:szCs w:val="24"/>
        </w:rPr>
        <w:t>only prescribes written notification</w:t>
      </w:r>
      <w:r w:rsidR="00F03B88" w:rsidRPr="00F03B88">
        <w:t xml:space="preserve"> </w:t>
      </w:r>
      <w:r w:rsidR="00F03B88" w:rsidRPr="00F03B88">
        <w:rPr>
          <w:rFonts w:ascii="Times New Roman" w:hAnsi="Times New Roman"/>
          <w:sz w:val="24"/>
          <w:szCs w:val="24"/>
        </w:rPr>
        <w:t>to the landowners</w:t>
      </w:r>
      <w:r w:rsidR="00734BAC">
        <w:rPr>
          <w:rFonts w:ascii="Times New Roman" w:hAnsi="Times New Roman"/>
          <w:sz w:val="24"/>
          <w:szCs w:val="24"/>
        </w:rPr>
        <w:t xml:space="preserve">, and not any particular medium. </w:t>
      </w:r>
    </w:p>
    <w:p w14:paraId="178EA2AC" w14:textId="77777777" w:rsidR="00ED6128" w:rsidRPr="00EB3E6F" w:rsidRDefault="00ED6128" w:rsidP="008F4F57">
      <w:pPr>
        <w:spacing w:after="0" w:line="240" w:lineRule="auto"/>
        <w:rPr>
          <w:rFonts w:ascii="Times New Roman" w:hAnsi="Times New Roman"/>
          <w:sz w:val="24"/>
          <w:szCs w:val="24"/>
        </w:rPr>
      </w:pPr>
    </w:p>
    <w:p w14:paraId="178EA2AD" w14:textId="7A35861A"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DESCRIBE EFFORTS TO IDENTIF</w:t>
      </w:r>
      <w:r w:rsidR="000D780E">
        <w:rPr>
          <w:rFonts w:ascii="Times New Roman" w:hAnsi="Times New Roman"/>
          <w:b/>
          <w:sz w:val="24"/>
          <w:szCs w:val="24"/>
        </w:rPr>
        <w:t>Y</w:t>
      </w:r>
      <w:r w:rsidRPr="00EB3E6F">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14:paraId="178EA2AE" w14:textId="77777777" w:rsidR="00ED6128" w:rsidRDefault="00ED6128" w:rsidP="008F4F57">
      <w:pPr>
        <w:spacing w:after="0" w:line="240" w:lineRule="auto"/>
        <w:rPr>
          <w:rFonts w:ascii="Times New Roman" w:hAnsi="Times New Roman"/>
          <w:sz w:val="24"/>
          <w:szCs w:val="24"/>
        </w:rPr>
      </w:pPr>
    </w:p>
    <w:p w14:paraId="178EA2AF" w14:textId="709481F1"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Filing requirements a</w:t>
      </w:r>
      <w:r>
        <w:rPr>
          <w:rFonts w:ascii="Times New Roman" w:hAnsi="Times New Roman"/>
          <w:sz w:val="24"/>
          <w:szCs w:val="24"/>
        </w:rPr>
        <w:t xml:space="preserve">re periodically reviewed as information collection expiration </w:t>
      </w:r>
      <w:r w:rsidRPr="00E77B24">
        <w:rPr>
          <w:rFonts w:ascii="Times New Roman" w:hAnsi="Times New Roman"/>
          <w:sz w:val="24"/>
          <w:szCs w:val="24"/>
        </w:rPr>
        <w:t>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Pr>
          <w:rFonts w:ascii="Times New Roman" w:hAnsi="Times New Roman"/>
          <w:sz w:val="24"/>
          <w:szCs w:val="24"/>
        </w:rPr>
        <w:t xml:space="preserve">  </w:t>
      </w:r>
    </w:p>
    <w:p w14:paraId="178EA2B0" w14:textId="77777777" w:rsidR="00ED6128" w:rsidRPr="00EB3E6F" w:rsidRDefault="00ED6128" w:rsidP="008F4F57">
      <w:pPr>
        <w:spacing w:after="0" w:line="240" w:lineRule="auto"/>
        <w:rPr>
          <w:rFonts w:ascii="Times New Roman" w:hAnsi="Times New Roman"/>
          <w:sz w:val="24"/>
          <w:szCs w:val="24"/>
        </w:rPr>
      </w:pPr>
    </w:p>
    <w:p w14:paraId="178EA2B1"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METHODS USED TO MINIMIZE THE BURDEN IN COLLECTION OF INFORMATION INVOLVING SMALL ENTITIES</w:t>
      </w:r>
    </w:p>
    <w:p w14:paraId="178EA2B2" w14:textId="77777777" w:rsidR="00ED6128" w:rsidRDefault="00ED6128" w:rsidP="008F4F57">
      <w:pPr>
        <w:spacing w:after="0" w:line="240" w:lineRule="auto"/>
        <w:rPr>
          <w:rFonts w:ascii="Times New Roman" w:hAnsi="Times New Roman"/>
          <w:sz w:val="24"/>
          <w:szCs w:val="24"/>
        </w:rPr>
      </w:pPr>
    </w:p>
    <w:p w14:paraId="178EA2B3" w14:textId="0850F288" w:rsidR="00ED6128" w:rsidRDefault="00ED6128" w:rsidP="008F4F57">
      <w:pPr>
        <w:spacing w:after="0" w:line="240" w:lineRule="auto"/>
        <w:rPr>
          <w:rFonts w:ascii="Times New Roman" w:hAnsi="Times New Roman"/>
          <w:sz w:val="24"/>
          <w:szCs w:val="24"/>
        </w:rPr>
      </w:pPr>
      <w:r w:rsidRPr="006467A5">
        <w:rPr>
          <w:rFonts w:ascii="Times New Roman" w:hAnsi="Times New Roman"/>
          <w:sz w:val="24"/>
          <w:szCs w:val="24"/>
        </w:rPr>
        <w:t xml:space="preserve">There are no special provisions or methods for reducing burden on any small entities.  FERC proposes that all applicable entities be required to notify landowners as described in the proposed rule. </w:t>
      </w:r>
      <w:r w:rsidR="00251F59" w:rsidRPr="006467A5">
        <w:rPr>
          <w:rFonts w:ascii="Times New Roman" w:hAnsi="Times New Roman"/>
          <w:sz w:val="24"/>
          <w:szCs w:val="24"/>
        </w:rPr>
        <w:t xml:space="preserve"> </w:t>
      </w:r>
      <w:r w:rsidR="00650206">
        <w:rPr>
          <w:rFonts w:ascii="Times New Roman" w:hAnsi="Times New Roman"/>
          <w:sz w:val="24"/>
          <w:szCs w:val="24"/>
        </w:rPr>
        <w:t>Less than 10% of the</w:t>
      </w:r>
      <w:r w:rsidR="00251F59" w:rsidRPr="006467A5">
        <w:rPr>
          <w:rFonts w:ascii="Times New Roman" w:hAnsi="Times New Roman"/>
          <w:sz w:val="24"/>
          <w:szCs w:val="24"/>
        </w:rPr>
        <w:t xml:space="preserve"> gas pipelines subject to this final rule are small according to the SBA definition.</w:t>
      </w:r>
    </w:p>
    <w:p w14:paraId="178EA2B4" w14:textId="77777777" w:rsidR="00ED6128" w:rsidRPr="00EB3E6F" w:rsidRDefault="00ED6128" w:rsidP="008F4F57">
      <w:pPr>
        <w:spacing w:after="0" w:line="240" w:lineRule="auto"/>
        <w:rPr>
          <w:rFonts w:ascii="Times New Roman" w:hAnsi="Times New Roman"/>
          <w:sz w:val="24"/>
          <w:szCs w:val="24"/>
        </w:rPr>
      </w:pPr>
    </w:p>
    <w:p w14:paraId="178EA2B5"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CONSEQUENCE TO FEDERAL PROGRAM IF COLLECTION WERE CONDUCTED LESS FREQUENTLY</w:t>
      </w:r>
    </w:p>
    <w:p w14:paraId="178EA2B6" w14:textId="77777777" w:rsidR="00ED6128" w:rsidRDefault="00ED6128" w:rsidP="008F4F57">
      <w:pPr>
        <w:spacing w:after="0" w:line="240" w:lineRule="auto"/>
        <w:rPr>
          <w:rFonts w:ascii="Times New Roman" w:hAnsi="Times New Roman"/>
          <w:sz w:val="24"/>
          <w:szCs w:val="24"/>
        </w:rPr>
      </w:pPr>
    </w:p>
    <w:p w14:paraId="178EA2B7" w14:textId="263CF4D9"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 xml:space="preserve">FERC-577 data collections are required for statutory purposes and cannot be discontinued or collected less frequently.  </w:t>
      </w:r>
      <w:r w:rsidR="00734BAC">
        <w:rPr>
          <w:rFonts w:ascii="Times New Roman" w:hAnsi="Times New Roman"/>
          <w:sz w:val="24"/>
          <w:szCs w:val="24"/>
        </w:rPr>
        <w:t xml:space="preserve">Generally, the information </w:t>
      </w:r>
      <w:r w:rsidRPr="00E77B24">
        <w:rPr>
          <w:rFonts w:ascii="Times New Roman" w:hAnsi="Times New Roman"/>
          <w:sz w:val="24"/>
          <w:szCs w:val="24"/>
        </w:rPr>
        <w:t xml:space="preserve">submitted to the Commission </w:t>
      </w:r>
      <w:r w:rsidR="00734BAC">
        <w:rPr>
          <w:rFonts w:ascii="Times New Roman" w:hAnsi="Times New Roman"/>
          <w:sz w:val="24"/>
          <w:szCs w:val="24"/>
        </w:rPr>
        <w:t xml:space="preserve">for FERC-577 </w:t>
      </w:r>
      <w:r w:rsidRPr="00E77B24">
        <w:rPr>
          <w:rFonts w:ascii="Times New Roman" w:hAnsi="Times New Roman"/>
          <w:sz w:val="24"/>
          <w:szCs w:val="24"/>
        </w:rPr>
        <w:t xml:space="preserve">is event driven.  The information to be submitted in accordance with </w:t>
      </w:r>
      <w:r w:rsidR="00734BAC">
        <w:rPr>
          <w:rFonts w:ascii="Times New Roman" w:hAnsi="Times New Roman"/>
          <w:sz w:val="24"/>
          <w:szCs w:val="24"/>
        </w:rPr>
        <w:t>Commission regulations</w:t>
      </w:r>
      <w:r w:rsidRPr="00E77B24">
        <w:rPr>
          <w:rFonts w:ascii="Times New Roman" w:hAnsi="Times New Roman"/>
          <w:sz w:val="24"/>
          <w:szCs w:val="24"/>
        </w:rPr>
        <w:t xml:space="preserve"> includes draft environmental material in accordance with the provisions of Part 380 of FERC’s regulations in order to implement the Commission’s procedures under NEPA.</w:t>
      </w:r>
    </w:p>
    <w:p w14:paraId="178EA2B8" w14:textId="77777777" w:rsidR="00ED6128" w:rsidRPr="00E77B24" w:rsidRDefault="00ED6128" w:rsidP="008F4F57">
      <w:pPr>
        <w:spacing w:after="0" w:line="240" w:lineRule="auto"/>
        <w:rPr>
          <w:rFonts w:ascii="Times New Roman" w:hAnsi="Times New Roman"/>
          <w:sz w:val="24"/>
          <w:szCs w:val="24"/>
        </w:rPr>
      </w:pPr>
    </w:p>
    <w:p w14:paraId="178EA2B9" w14:textId="386FCA6D"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Without such information, the Commission would be unable to fulfill its statutory responsibilities under the NGA, NGPA, NEPA, and the Energy Policy Act of 2005.</w:t>
      </w:r>
      <w:r w:rsidR="00B1029D">
        <w:rPr>
          <w:rFonts w:ascii="Times New Roman" w:hAnsi="Times New Roman"/>
          <w:sz w:val="24"/>
          <w:szCs w:val="24"/>
        </w:rPr>
        <w:t xml:space="preserve">  Specifically, the rule is to ensure company activities remain consistent with the public interest, which is specified in the NGA and inherent in the other statutes.</w:t>
      </w:r>
      <w:r w:rsidRPr="00E77B24">
        <w:rPr>
          <w:rFonts w:ascii="Times New Roman" w:hAnsi="Times New Roman"/>
          <w:sz w:val="24"/>
          <w:szCs w:val="24"/>
        </w:rPr>
        <w:t xml:space="preserve">  </w:t>
      </w:r>
    </w:p>
    <w:p w14:paraId="178EA2BA" w14:textId="77777777" w:rsidR="00ED6128" w:rsidRDefault="00ED6128" w:rsidP="008F4F57">
      <w:pPr>
        <w:spacing w:after="0" w:line="240" w:lineRule="auto"/>
        <w:rPr>
          <w:rFonts w:ascii="Times New Roman" w:hAnsi="Times New Roman"/>
          <w:sz w:val="24"/>
          <w:szCs w:val="24"/>
        </w:rPr>
      </w:pPr>
    </w:p>
    <w:p w14:paraId="178EA2BB" w14:textId="11DB97C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w:t>
      </w:r>
      <w:r w:rsidR="00650206">
        <w:rPr>
          <w:rFonts w:ascii="Times New Roman" w:hAnsi="Times New Roman"/>
          <w:sz w:val="24"/>
          <w:szCs w:val="24"/>
        </w:rPr>
        <w:t>new</w:t>
      </w:r>
      <w:r>
        <w:rPr>
          <w:rFonts w:ascii="Times New Roman" w:hAnsi="Times New Roman"/>
          <w:sz w:val="24"/>
          <w:szCs w:val="24"/>
        </w:rPr>
        <w:t xml:space="preserve"> landowner notification requirement is event driven and cannot be done less frequently. </w:t>
      </w:r>
    </w:p>
    <w:p w14:paraId="178EA2BC" w14:textId="77777777" w:rsidR="00ED6128" w:rsidRPr="00EB3E6F" w:rsidRDefault="00ED6128" w:rsidP="008F4F57">
      <w:pPr>
        <w:spacing w:after="0" w:line="240" w:lineRule="auto"/>
        <w:rPr>
          <w:rFonts w:ascii="Times New Roman" w:hAnsi="Times New Roman"/>
          <w:sz w:val="24"/>
          <w:szCs w:val="24"/>
        </w:rPr>
      </w:pPr>
    </w:p>
    <w:p w14:paraId="178EA2BD"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EXPLAIN ANY SPECIAL CIRCUMSTANCES RELATING TO THE INFORMATION COLLECTION</w:t>
      </w:r>
    </w:p>
    <w:p w14:paraId="178EA2BE" w14:textId="77777777" w:rsidR="00ED6128" w:rsidRDefault="00ED6128" w:rsidP="008F4F57">
      <w:pPr>
        <w:spacing w:after="0" w:line="240" w:lineRule="auto"/>
        <w:rPr>
          <w:rFonts w:ascii="Times New Roman" w:hAnsi="Times New Roman"/>
          <w:sz w:val="24"/>
          <w:szCs w:val="24"/>
        </w:rPr>
      </w:pPr>
    </w:p>
    <w:p w14:paraId="178EA2BF" w14:textId="1515F768" w:rsidR="00ED6128" w:rsidRDefault="00ED6128" w:rsidP="008F4F57">
      <w:pPr>
        <w:spacing w:after="0" w:line="240" w:lineRule="auto"/>
        <w:rPr>
          <w:rFonts w:ascii="Times New Roman" w:hAnsi="Times New Roman"/>
          <w:sz w:val="24"/>
          <w:szCs w:val="24"/>
        </w:rPr>
      </w:pPr>
      <w:r>
        <w:rPr>
          <w:rFonts w:ascii="Times New Roman" w:hAnsi="Times New Roman"/>
          <w:sz w:val="24"/>
          <w:szCs w:val="24"/>
        </w:rPr>
        <w:lastRenderedPageBreak/>
        <w:t xml:space="preserve">In general, FERC-577 meets all of the requirements in OMB’s regulations.  Because the proposed landowner notification requirement is event driven, some respondents may have to notify landowners more often than quarterly.  The Commission considers this necessary in order to provide landowners with notification when work is being </w:t>
      </w:r>
      <w:r w:rsidR="000949E2">
        <w:rPr>
          <w:rFonts w:ascii="Times New Roman" w:hAnsi="Times New Roman"/>
          <w:sz w:val="24"/>
          <w:szCs w:val="24"/>
        </w:rPr>
        <w:t xml:space="preserve">done </w:t>
      </w:r>
      <w:r>
        <w:rPr>
          <w:rFonts w:ascii="Times New Roman" w:hAnsi="Times New Roman"/>
          <w:sz w:val="24"/>
          <w:szCs w:val="24"/>
        </w:rPr>
        <w:t xml:space="preserve">on their </w:t>
      </w:r>
      <w:r w:rsidRPr="006467A5">
        <w:rPr>
          <w:rFonts w:ascii="Times New Roman" w:hAnsi="Times New Roman"/>
          <w:sz w:val="24"/>
          <w:szCs w:val="24"/>
        </w:rPr>
        <w:t>property.</w:t>
      </w:r>
      <w:r w:rsidR="00650206" w:rsidRPr="00650206">
        <w:rPr>
          <w:rStyle w:val="FootnoteReference"/>
          <w:rFonts w:ascii="Times New Roman" w:hAnsi="Times New Roman"/>
          <w:sz w:val="24"/>
          <w:szCs w:val="24"/>
          <w:vertAlign w:val="superscript"/>
        </w:rPr>
        <w:footnoteReference w:id="5"/>
      </w:r>
      <w:r>
        <w:rPr>
          <w:rFonts w:ascii="Times New Roman" w:hAnsi="Times New Roman"/>
          <w:sz w:val="24"/>
          <w:szCs w:val="24"/>
        </w:rPr>
        <w:t xml:space="preserve">  </w:t>
      </w:r>
    </w:p>
    <w:p w14:paraId="178EA2C0" w14:textId="77777777" w:rsidR="00ED6128" w:rsidRDefault="00ED6128" w:rsidP="008F4F57">
      <w:pPr>
        <w:spacing w:after="0" w:line="240" w:lineRule="auto"/>
        <w:rPr>
          <w:rFonts w:ascii="Times New Roman" w:hAnsi="Times New Roman"/>
          <w:sz w:val="24"/>
          <w:szCs w:val="24"/>
        </w:rPr>
      </w:pPr>
    </w:p>
    <w:p w14:paraId="178EA2C1" w14:textId="26216D93"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For the </w:t>
      </w:r>
      <w:r w:rsidRPr="00400F07">
        <w:rPr>
          <w:rFonts w:ascii="Times New Roman" w:hAnsi="Times New Roman"/>
          <w:sz w:val="24"/>
          <w:szCs w:val="24"/>
        </w:rPr>
        <w:t xml:space="preserve">existing requirements related to this collection (requirements </w:t>
      </w:r>
      <w:r w:rsidRPr="00400F07">
        <w:rPr>
          <w:rFonts w:ascii="Times New Roman" w:hAnsi="Times New Roman"/>
          <w:b/>
          <w:sz w:val="24"/>
          <w:szCs w:val="24"/>
        </w:rPr>
        <w:t>not</w:t>
      </w:r>
      <w:r w:rsidRPr="00400F07">
        <w:rPr>
          <w:rFonts w:ascii="Times New Roman" w:hAnsi="Times New Roman"/>
          <w:sz w:val="24"/>
          <w:szCs w:val="24"/>
        </w:rPr>
        <w:t xml:space="preserve"> changed by th</w:t>
      </w:r>
      <w:r w:rsidR="00650206" w:rsidRPr="00400F07">
        <w:rPr>
          <w:rFonts w:ascii="Times New Roman" w:hAnsi="Times New Roman"/>
          <w:sz w:val="24"/>
          <w:szCs w:val="24"/>
        </w:rPr>
        <w:t>e final</w:t>
      </w:r>
      <w:r w:rsidRPr="00400F07">
        <w:rPr>
          <w:rFonts w:ascii="Times New Roman" w:hAnsi="Times New Roman"/>
          <w:sz w:val="24"/>
          <w:szCs w:val="24"/>
        </w:rPr>
        <w:t xml:space="preserve"> rule) up to three paper copies may be required</w:t>
      </w:r>
      <w:r w:rsidR="00400F07" w:rsidRPr="00400F07">
        <w:rPr>
          <w:rFonts w:ascii="Times New Roman" w:hAnsi="Times New Roman"/>
          <w:sz w:val="24"/>
          <w:szCs w:val="24"/>
        </w:rPr>
        <w:t>, depending on the item filed,</w:t>
      </w:r>
      <w:r w:rsidRPr="00400F07">
        <w:rPr>
          <w:rFonts w:ascii="Times New Roman" w:hAnsi="Times New Roman"/>
          <w:sz w:val="24"/>
          <w:szCs w:val="24"/>
        </w:rPr>
        <w:t xml:space="preserve"> for staff review, processing, and collaboration.</w:t>
      </w:r>
    </w:p>
    <w:p w14:paraId="178EA2C2" w14:textId="77777777" w:rsidR="00ED6128" w:rsidRPr="00EB3E6F" w:rsidRDefault="00ED6128" w:rsidP="008F4F57">
      <w:pPr>
        <w:spacing w:after="0" w:line="240" w:lineRule="auto"/>
        <w:rPr>
          <w:rFonts w:ascii="Times New Roman" w:hAnsi="Times New Roman"/>
          <w:sz w:val="24"/>
          <w:szCs w:val="24"/>
        </w:rPr>
      </w:pPr>
    </w:p>
    <w:p w14:paraId="178EA2C3"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DESCRIBE EFFORTS TO CONSULT OUTSIDE THE AGENCY: SUMMARIZE PUBLIC COMMENTS AND THE AGENCY’S RESPONSE</w:t>
      </w:r>
    </w:p>
    <w:p w14:paraId="178EA2C4" w14:textId="77777777" w:rsidR="00ED6128" w:rsidRDefault="00ED6128" w:rsidP="008F4F57">
      <w:pPr>
        <w:spacing w:after="0" w:line="240" w:lineRule="auto"/>
        <w:rPr>
          <w:rFonts w:ascii="Times New Roman" w:hAnsi="Times New Roman"/>
          <w:sz w:val="24"/>
          <w:szCs w:val="24"/>
        </w:rPr>
      </w:pPr>
    </w:p>
    <w:p w14:paraId="178EA2C5" w14:textId="77777777" w:rsidR="00ED6128" w:rsidRDefault="00ED6128" w:rsidP="008F4F57">
      <w:pPr>
        <w:spacing w:after="0" w:line="240" w:lineRule="auto"/>
        <w:rPr>
          <w:rFonts w:ascii="Times New Roman" w:hAnsi="Times New Roman"/>
          <w:sz w:val="24"/>
          <w:szCs w:val="24"/>
        </w:rPr>
      </w:pPr>
      <w:r w:rsidRPr="00492B63">
        <w:rPr>
          <w:rFonts w:ascii="Times New Roman" w:hAnsi="Times New Roman"/>
          <w:sz w:val="24"/>
          <w:szCs w:val="24"/>
        </w:rPr>
        <w:t xml:space="preserve">Each FERC rulemaking (both proposed and final rules) is published in the </w:t>
      </w:r>
      <w:r w:rsidRPr="00492B63">
        <w:rPr>
          <w:rFonts w:ascii="Times New Roman" w:hAnsi="Times New Roman"/>
          <w:sz w:val="24"/>
          <w:szCs w:val="24"/>
          <w:u w:val="single"/>
        </w:rPr>
        <w:t>Federal Register,</w:t>
      </w:r>
      <w:r w:rsidRPr="00492B63">
        <w:rPr>
          <w:rFonts w:ascii="Times New Roman" w:hAnsi="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4"/>
          <w:szCs w:val="24"/>
        </w:rPr>
        <w:t>The NOPR in Docket RM12-11</w:t>
      </w:r>
      <w:r w:rsidRPr="00492B63">
        <w:rPr>
          <w:rFonts w:ascii="Times New Roman" w:hAnsi="Times New Roman"/>
          <w:sz w:val="24"/>
          <w:szCs w:val="24"/>
        </w:rPr>
        <w:t xml:space="preserve"> was published in the Federal </w:t>
      </w:r>
      <w:r w:rsidRPr="00CA17CF">
        <w:rPr>
          <w:rFonts w:ascii="Times New Roman" w:hAnsi="Times New Roman"/>
          <w:sz w:val="24"/>
          <w:szCs w:val="24"/>
        </w:rPr>
        <w:t>Register on January 4, 2013</w:t>
      </w:r>
      <w:r>
        <w:rPr>
          <w:rFonts w:ascii="Times New Roman" w:hAnsi="Times New Roman"/>
          <w:sz w:val="24"/>
          <w:szCs w:val="24"/>
        </w:rPr>
        <w:t xml:space="preserve"> (78</w:t>
      </w:r>
      <w:r w:rsidRPr="00CA17CF">
        <w:rPr>
          <w:rFonts w:ascii="Times New Roman" w:hAnsi="Times New Roman"/>
          <w:sz w:val="24"/>
          <w:szCs w:val="24"/>
        </w:rPr>
        <w:t xml:space="preserve"> FR 679), and</w:t>
      </w:r>
      <w:r w:rsidRPr="00492B63">
        <w:rPr>
          <w:rFonts w:ascii="Times New Roman" w:hAnsi="Times New Roman"/>
          <w:sz w:val="24"/>
          <w:szCs w:val="24"/>
        </w:rPr>
        <w:t xml:space="preserve"> requests public comments.</w:t>
      </w:r>
    </w:p>
    <w:p w14:paraId="178EA2C6" w14:textId="77777777" w:rsidR="00ED6128" w:rsidRDefault="00ED6128" w:rsidP="008F4F57">
      <w:pPr>
        <w:spacing w:after="0" w:line="240" w:lineRule="auto"/>
        <w:rPr>
          <w:rFonts w:ascii="Times New Roman" w:hAnsi="Times New Roman"/>
          <w:sz w:val="24"/>
          <w:szCs w:val="24"/>
        </w:rPr>
      </w:pPr>
    </w:p>
    <w:p w14:paraId="71EF14DD" w14:textId="77777777" w:rsidR="008A414D" w:rsidRDefault="00ED6128" w:rsidP="008F4F57">
      <w:pPr>
        <w:spacing w:after="0" w:line="240" w:lineRule="auto"/>
        <w:rPr>
          <w:rFonts w:ascii="Times New Roman" w:hAnsi="Times New Roman"/>
          <w:sz w:val="24"/>
          <w:szCs w:val="24"/>
        </w:rPr>
      </w:pPr>
      <w:r>
        <w:rPr>
          <w:rFonts w:ascii="Times New Roman" w:hAnsi="Times New Roman"/>
          <w:sz w:val="24"/>
          <w:szCs w:val="24"/>
        </w:rPr>
        <w:t>The principle reason for this submission is because many landowners requested that FERC require companies</w:t>
      </w:r>
      <w:r w:rsidRPr="00662AB3">
        <w:rPr>
          <w:rFonts w:ascii="Times New Roman" w:hAnsi="Times New Roman"/>
          <w:sz w:val="24"/>
          <w:szCs w:val="24"/>
        </w:rPr>
        <w:t xml:space="preserve"> to notify landowners in advance of any activity that will take place on their land.</w:t>
      </w:r>
    </w:p>
    <w:p w14:paraId="31349C2F" w14:textId="77777777" w:rsidR="008A414D" w:rsidRDefault="008A414D" w:rsidP="008F4F57">
      <w:pPr>
        <w:spacing w:after="0" w:line="240" w:lineRule="auto"/>
        <w:rPr>
          <w:rFonts w:ascii="Times New Roman" w:hAnsi="Times New Roman"/>
          <w:sz w:val="24"/>
          <w:szCs w:val="24"/>
        </w:rPr>
      </w:pPr>
    </w:p>
    <w:p w14:paraId="01BCB6FB" w14:textId="32D2C8F0" w:rsidR="004E4E65" w:rsidRDefault="008A414D" w:rsidP="008F4F57">
      <w:pPr>
        <w:spacing w:after="0" w:line="240" w:lineRule="auto"/>
        <w:rPr>
          <w:rFonts w:ascii="Times New Roman" w:hAnsi="Times New Roman"/>
          <w:sz w:val="24"/>
          <w:szCs w:val="24"/>
        </w:rPr>
      </w:pPr>
      <w:r>
        <w:rPr>
          <w:rFonts w:ascii="Times New Roman" w:hAnsi="Times New Roman"/>
          <w:sz w:val="24"/>
          <w:szCs w:val="24"/>
        </w:rPr>
        <w:t>In response to the NOPR the Commission received multiple comments regarding the new landowner</w:t>
      </w:r>
      <w:r w:rsidR="00355046">
        <w:rPr>
          <w:rFonts w:ascii="Times New Roman" w:hAnsi="Times New Roman"/>
          <w:sz w:val="24"/>
          <w:szCs w:val="24"/>
        </w:rPr>
        <w:t xml:space="preserve"> notification requirement.  In the final rule (paragraphs </w:t>
      </w:r>
      <w:r w:rsidR="00734BAC">
        <w:rPr>
          <w:rFonts w:ascii="Times New Roman" w:hAnsi="Times New Roman"/>
          <w:sz w:val="24"/>
          <w:szCs w:val="24"/>
        </w:rPr>
        <w:t>51 – 79</w:t>
      </w:r>
      <w:r w:rsidR="00355046">
        <w:rPr>
          <w:rFonts w:ascii="Times New Roman" w:hAnsi="Times New Roman"/>
          <w:sz w:val="24"/>
          <w:szCs w:val="24"/>
        </w:rPr>
        <w:t xml:space="preserve">) the Commission summarizes and responds to the comments.  </w:t>
      </w:r>
      <w:r w:rsidR="00355046" w:rsidRPr="00955A86">
        <w:rPr>
          <w:rFonts w:ascii="Times New Roman" w:hAnsi="Times New Roman"/>
          <w:sz w:val="24"/>
          <w:szCs w:val="24"/>
        </w:rPr>
        <w:t>A document including only these paragraphs is included as a supplementary document in this information collection request.</w:t>
      </w:r>
    </w:p>
    <w:p w14:paraId="6D466188" w14:textId="77777777" w:rsidR="004E4E65" w:rsidRDefault="004E4E65" w:rsidP="008F4F57">
      <w:pPr>
        <w:spacing w:after="0" w:line="240" w:lineRule="auto"/>
        <w:rPr>
          <w:rFonts w:ascii="Times New Roman" w:hAnsi="Times New Roman"/>
          <w:sz w:val="24"/>
          <w:szCs w:val="24"/>
        </w:rPr>
      </w:pPr>
    </w:p>
    <w:p w14:paraId="2AD8497E" w14:textId="0EB9ED4F" w:rsidR="003B326B" w:rsidRDefault="004E4E65" w:rsidP="008F4F57">
      <w:pPr>
        <w:spacing w:after="0" w:line="240" w:lineRule="auto"/>
        <w:rPr>
          <w:rFonts w:ascii="Times New Roman" w:hAnsi="Times New Roman"/>
          <w:sz w:val="24"/>
          <w:szCs w:val="24"/>
        </w:rPr>
      </w:pPr>
      <w:r>
        <w:rPr>
          <w:rFonts w:ascii="Times New Roman" w:hAnsi="Times New Roman"/>
          <w:sz w:val="24"/>
          <w:szCs w:val="24"/>
        </w:rPr>
        <w:t xml:space="preserve">In response to </w:t>
      </w:r>
      <w:r w:rsidR="0018077D">
        <w:rPr>
          <w:rFonts w:ascii="Times New Roman" w:hAnsi="Times New Roman"/>
          <w:sz w:val="24"/>
          <w:szCs w:val="24"/>
        </w:rPr>
        <w:t>commenters</w:t>
      </w:r>
      <w:r>
        <w:rPr>
          <w:rFonts w:ascii="Times New Roman" w:hAnsi="Times New Roman"/>
          <w:sz w:val="24"/>
          <w:szCs w:val="24"/>
        </w:rPr>
        <w:t xml:space="preserve">’ concerns, </w:t>
      </w:r>
      <w:r w:rsidR="003B326B">
        <w:rPr>
          <w:rFonts w:ascii="Times New Roman" w:hAnsi="Times New Roman"/>
          <w:sz w:val="24"/>
          <w:szCs w:val="24"/>
        </w:rPr>
        <w:t xml:space="preserve">we revised the proposed notification obligation to </w:t>
      </w:r>
      <w:r w:rsidR="003B326B" w:rsidRPr="003B326B">
        <w:rPr>
          <w:rFonts w:ascii="Times New Roman" w:hAnsi="Times New Roman"/>
          <w:sz w:val="24"/>
          <w:szCs w:val="24"/>
        </w:rPr>
        <w:t xml:space="preserve">(1) specify the types of maintenance activities that merit individual notice; (2) limit notice to landowners whose property is crossed or used for section 2.55 and section 380.15 activities; and (3) reduce the prior notice period from 10 days to </w:t>
      </w:r>
      <w:r w:rsidR="00955A86">
        <w:rPr>
          <w:rFonts w:ascii="Times New Roman" w:hAnsi="Times New Roman"/>
          <w:sz w:val="24"/>
          <w:szCs w:val="24"/>
        </w:rPr>
        <w:t>five</w:t>
      </w:r>
      <w:r w:rsidR="003B326B" w:rsidRPr="003B326B">
        <w:rPr>
          <w:rFonts w:ascii="Times New Roman" w:hAnsi="Times New Roman"/>
          <w:sz w:val="24"/>
          <w:szCs w:val="24"/>
        </w:rPr>
        <w:t xml:space="preserve"> days.  These modifications should significantly diminish the burden of complying with the new requirements for prior notice to landowners.</w:t>
      </w:r>
    </w:p>
    <w:p w14:paraId="73F59AC6" w14:textId="77777777" w:rsidR="003B326B" w:rsidRDefault="003B326B" w:rsidP="008F4F57">
      <w:pPr>
        <w:spacing w:after="0" w:line="240" w:lineRule="auto"/>
        <w:rPr>
          <w:rFonts w:ascii="Times New Roman" w:hAnsi="Times New Roman"/>
          <w:sz w:val="24"/>
          <w:szCs w:val="24"/>
        </w:rPr>
      </w:pPr>
    </w:p>
    <w:p w14:paraId="01B4B148" w14:textId="63BA7B9C" w:rsidR="003B326B" w:rsidRPr="003B326B" w:rsidRDefault="003B326B" w:rsidP="003B326B">
      <w:pPr>
        <w:spacing w:after="0" w:line="240" w:lineRule="auto"/>
        <w:rPr>
          <w:rFonts w:ascii="Times New Roman" w:hAnsi="Times New Roman"/>
          <w:sz w:val="24"/>
          <w:szCs w:val="24"/>
        </w:rPr>
      </w:pPr>
      <w:r w:rsidRPr="003B326B">
        <w:rPr>
          <w:rFonts w:ascii="Times New Roman" w:hAnsi="Times New Roman"/>
          <w:sz w:val="24"/>
          <w:szCs w:val="24"/>
        </w:rPr>
        <w:t xml:space="preserve">Instead of mandating notice to landowners for all </w:t>
      </w:r>
      <w:r w:rsidR="0018077D">
        <w:rPr>
          <w:rFonts w:ascii="Times New Roman" w:hAnsi="Times New Roman"/>
          <w:sz w:val="24"/>
          <w:szCs w:val="24"/>
        </w:rPr>
        <w:t xml:space="preserve">18 CFR </w:t>
      </w:r>
      <w:r w:rsidRPr="003B326B">
        <w:rPr>
          <w:rFonts w:ascii="Times New Roman" w:hAnsi="Times New Roman"/>
          <w:sz w:val="24"/>
          <w:szCs w:val="24"/>
        </w:rPr>
        <w:t>section 380.15 maintenance activities, as proposed in the NOPR, we will only require prior notice of those more substantial activities that will result in ground disturbance.  In addition, we are reducing the scope of notification proposed in the NOPR, which would have required that notice be provided not only to directly affected landowners, but also to adjacent landowners and to landowners with a residence within 50 feet of a proposed work area.</w:t>
      </w:r>
      <w:r w:rsidRPr="003B326B">
        <w:rPr>
          <w:rFonts w:ascii="Times New Roman" w:hAnsi="Times New Roman"/>
          <w:b/>
          <w:sz w:val="24"/>
          <w:szCs w:val="24"/>
          <w:vertAlign w:val="superscript"/>
        </w:rPr>
        <w:footnoteReference w:id="6"/>
      </w:r>
      <w:r w:rsidRPr="003B326B">
        <w:rPr>
          <w:rFonts w:ascii="Times New Roman" w:hAnsi="Times New Roman"/>
          <w:sz w:val="24"/>
          <w:szCs w:val="24"/>
        </w:rPr>
        <w:t xml:space="preserve">  </w:t>
      </w:r>
      <w:proofErr w:type="spellStart"/>
      <w:r w:rsidRPr="003B326B">
        <w:rPr>
          <w:rFonts w:ascii="Times New Roman" w:hAnsi="Times New Roman"/>
          <w:sz w:val="24"/>
          <w:szCs w:val="24"/>
        </w:rPr>
        <w:t>Commentors</w:t>
      </w:r>
      <w:proofErr w:type="spellEnd"/>
      <w:r w:rsidRPr="003B326B">
        <w:rPr>
          <w:rFonts w:ascii="Times New Roman" w:hAnsi="Times New Roman"/>
          <w:sz w:val="24"/>
          <w:szCs w:val="24"/>
        </w:rPr>
        <w:t xml:space="preserve"> assert this is overly broad and request that we </w:t>
      </w:r>
      <w:r w:rsidRPr="003B326B">
        <w:rPr>
          <w:rFonts w:ascii="Times New Roman" w:hAnsi="Times New Roman"/>
          <w:sz w:val="24"/>
          <w:szCs w:val="24"/>
        </w:rPr>
        <w:lastRenderedPageBreak/>
        <w:t xml:space="preserve">remove abutting landowners and landowners with a residence within 50 feet of the proposed work area from the definition of “affected landowners.”  Although the NOPR would have required the same scope of notice that companies are required to provide for projects under the Part 157 blanket certificate regulations, the </w:t>
      </w:r>
      <w:proofErr w:type="spellStart"/>
      <w:r w:rsidRPr="003B326B">
        <w:rPr>
          <w:rFonts w:ascii="Times New Roman" w:hAnsi="Times New Roman"/>
          <w:sz w:val="24"/>
          <w:szCs w:val="24"/>
        </w:rPr>
        <w:t>commentors</w:t>
      </w:r>
      <w:proofErr w:type="spellEnd"/>
      <w:r w:rsidRPr="003B326B">
        <w:rPr>
          <w:rFonts w:ascii="Times New Roman" w:hAnsi="Times New Roman"/>
          <w:sz w:val="24"/>
          <w:szCs w:val="24"/>
        </w:rPr>
        <w:t xml:space="preserve"> have convinced us that more limited landowner notification requirements are appropriate for companies’ activities under section 2.55 and 380.15, since such projects are likely to be smaller, take a shorter period of time to accomplish, and be less disruptive than blanket certificate projects.  </w:t>
      </w:r>
    </w:p>
    <w:p w14:paraId="0AC75FEC" w14:textId="77777777" w:rsidR="003B326B" w:rsidRDefault="003B326B" w:rsidP="003B326B">
      <w:pPr>
        <w:spacing w:after="0" w:line="240" w:lineRule="auto"/>
        <w:rPr>
          <w:rFonts w:ascii="Times New Roman" w:hAnsi="Times New Roman"/>
          <w:sz w:val="24"/>
          <w:szCs w:val="24"/>
        </w:rPr>
      </w:pPr>
    </w:p>
    <w:p w14:paraId="0C01C551" w14:textId="194F9F0C" w:rsidR="003B326B" w:rsidRPr="003B326B" w:rsidRDefault="003B326B" w:rsidP="003B326B">
      <w:pPr>
        <w:spacing w:after="0" w:line="240" w:lineRule="auto"/>
        <w:rPr>
          <w:rFonts w:ascii="Times New Roman" w:hAnsi="Times New Roman"/>
          <w:sz w:val="24"/>
          <w:szCs w:val="24"/>
        </w:rPr>
      </w:pPr>
      <w:r w:rsidRPr="003B326B">
        <w:rPr>
          <w:rFonts w:ascii="Times New Roman" w:hAnsi="Times New Roman"/>
          <w:sz w:val="24"/>
          <w:szCs w:val="24"/>
        </w:rPr>
        <w:t xml:space="preserve">Finally, while the NOPR stipulated a 10-day prior notice, we accept </w:t>
      </w:r>
      <w:proofErr w:type="spellStart"/>
      <w:r w:rsidRPr="003B326B">
        <w:rPr>
          <w:rFonts w:ascii="Times New Roman" w:hAnsi="Times New Roman"/>
          <w:sz w:val="24"/>
          <w:szCs w:val="24"/>
        </w:rPr>
        <w:t>commentors</w:t>
      </w:r>
      <w:proofErr w:type="spellEnd"/>
      <w:r w:rsidRPr="003B326B">
        <w:rPr>
          <w:rFonts w:ascii="Times New Roman" w:hAnsi="Times New Roman"/>
          <w:sz w:val="24"/>
          <w:szCs w:val="24"/>
        </w:rPr>
        <w:t>’ claim that some activities, particularly unanticipated maintenance, are not scheduled far enough in advance to allow for a 10-day prior notice.</w:t>
      </w:r>
      <w:r w:rsidRPr="003B326B">
        <w:rPr>
          <w:rFonts w:ascii="Times New Roman" w:hAnsi="Times New Roman"/>
          <w:b/>
          <w:sz w:val="24"/>
          <w:szCs w:val="24"/>
          <w:vertAlign w:val="superscript"/>
        </w:rPr>
        <w:footnoteReference w:id="7"/>
      </w:r>
      <w:r w:rsidRPr="003B326B">
        <w:rPr>
          <w:rFonts w:ascii="Times New Roman" w:hAnsi="Times New Roman"/>
          <w:sz w:val="24"/>
          <w:szCs w:val="24"/>
        </w:rPr>
        <w:t xml:space="preserve">  In view of this, we will only require that landowners receive notice </w:t>
      </w:r>
      <w:r w:rsidR="00955A86">
        <w:rPr>
          <w:rFonts w:ascii="Times New Roman" w:hAnsi="Times New Roman"/>
          <w:sz w:val="24"/>
          <w:szCs w:val="24"/>
        </w:rPr>
        <w:t>five</w:t>
      </w:r>
      <w:r w:rsidRPr="003B326B">
        <w:rPr>
          <w:rFonts w:ascii="Times New Roman" w:hAnsi="Times New Roman"/>
          <w:sz w:val="24"/>
          <w:szCs w:val="24"/>
        </w:rPr>
        <w:t xml:space="preserve"> days in advance of initiating certain activity under section 2.55 or 380.15, which we anticipate will still allow time for landowners and a company to discuss any concerns landowners may have regarding companies’ planned activities. </w:t>
      </w:r>
    </w:p>
    <w:p w14:paraId="178EA2C8" w14:textId="6186B445" w:rsidR="00ED6128" w:rsidRPr="00EB3E6F"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 xml:space="preserve">  </w:t>
      </w:r>
    </w:p>
    <w:p w14:paraId="178EA2C9"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EXPLAIN ANY PAYMENT OR GIFTS TO RESPONDENTS</w:t>
      </w:r>
    </w:p>
    <w:p w14:paraId="178EA2CA" w14:textId="77777777" w:rsidR="00ED6128" w:rsidRDefault="00ED6128" w:rsidP="008F4F57">
      <w:pPr>
        <w:spacing w:after="0" w:line="240" w:lineRule="auto"/>
        <w:rPr>
          <w:rFonts w:ascii="Times New Roman" w:hAnsi="Times New Roman"/>
          <w:sz w:val="24"/>
          <w:szCs w:val="24"/>
        </w:rPr>
      </w:pPr>
    </w:p>
    <w:p w14:paraId="178EA2CB" w14:textId="77777777" w:rsidR="00ED6128"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There are no payments or gifts to respondents.</w:t>
      </w:r>
    </w:p>
    <w:p w14:paraId="178EA2CC" w14:textId="77777777" w:rsidR="00ED6128" w:rsidRPr="00D80FBD" w:rsidRDefault="00ED6128" w:rsidP="008F4F57">
      <w:pPr>
        <w:spacing w:after="0" w:line="240" w:lineRule="auto"/>
        <w:rPr>
          <w:rFonts w:ascii="Times New Roman" w:hAnsi="Times New Roman"/>
          <w:sz w:val="24"/>
          <w:szCs w:val="24"/>
        </w:rPr>
      </w:pPr>
    </w:p>
    <w:p w14:paraId="178EA2CD"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DESCRIBE ANY ASSURANCE OF CONFIDENTIALITY PROVIDED TO RESPONDENTS</w:t>
      </w:r>
    </w:p>
    <w:p w14:paraId="178EA2CE" w14:textId="77777777" w:rsidR="00ED6128" w:rsidRDefault="00ED6128" w:rsidP="008F4F57">
      <w:pPr>
        <w:spacing w:after="0" w:line="240" w:lineRule="auto"/>
        <w:rPr>
          <w:rFonts w:ascii="Times New Roman" w:hAnsi="Times New Roman"/>
          <w:sz w:val="24"/>
          <w:szCs w:val="24"/>
        </w:rPr>
      </w:pPr>
    </w:p>
    <w:p w14:paraId="178EA2CF" w14:textId="028570CD" w:rsidR="00ED6128"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 xml:space="preserve">The Commission does not consider the information to be confidential.  However, the Commission has encouraged applicants to indicate information which may be Critical Energy Infrastructure Information (CEII), or privileged.  CEII as defined in </w:t>
      </w:r>
      <w:r>
        <w:rPr>
          <w:rFonts w:ascii="Times New Roman" w:hAnsi="Times New Roman"/>
          <w:sz w:val="24"/>
          <w:szCs w:val="24"/>
        </w:rPr>
        <w:t>S</w:t>
      </w:r>
      <w:r w:rsidRPr="00662AB3">
        <w:rPr>
          <w:rFonts w:ascii="Times New Roman" w:hAnsi="Times New Roman"/>
          <w:sz w:val="24"/>
          <w:szCs w:val="24"/>
        </w:rPr>
        <w:t>ection 388.113 of the Commission’s regulations includes information about proposed or existing natural gas facilities that could be used by a person planning an attack on cr</w:t>
      </w:r>
      <w:r w:rsidR="00355046">
        <w:rPr>
          <w:rFonts w:ascii="Times New Roman" w:hAnsi="Times New Roman"/>
          <w:sz w:val="24"/>
          <w:szCs w:val="24"/>
        </w:rPr>
        <w:t xml:space="preserve">itical energy infrastructure.  </w:t>
      </w:r>
      <w:r w:rsidRPr="00662AB3">
        <w:rPr>
          <w:rFonts w:ascii="Times New Roman" w:hAnsi="Times New Roman"/>
          <w:sz w:val="24"/>
          <w:szCs w:val="24"/>
        </w:rPr>
        <w:t xml:space="preserve">More information about CEII and privileged security levels of information are posted at </w:t>
      </w:r>
      <w:hyperlink r:id="rId14" w:history="1">
        <w:r w:rsidRPr="00662AB3">
          <w:rPr>
            <w:rStyle w:val="Hyperlink"/>
            <w:rFonts w:ascii="Times New Roman" w:hAnsi="Times New Roman"/>
            <w:sz w:val="24"/>
            <w:szCs w:val="24"/>
          </w:rPr>
          <w:t>http://www.ferc.gov/legal/ceii-foia/ceii.asp</w:t>
        </w:r>
      </w:hyperlink>
      <w:r w:rsidRPr="00662AB3">
        <w:rPr>
          <w:rFonts w:ascii="Times New Roman" w:hAnsi="Times New Roman"/>
          <w:sz w:val="24"/>
          <w:szCs w:val="24"/>
        </w:rPr>
        <w:t xml:space="preserve"> and </w:t>
      </w:r>
      <w:hyperlink r:id="rId15" w:history="1">
        <w:r w:rsidRPr="00662AB3">
          <w:rPr>
            <w:rStyle w:val="Hyperlink"/>
            <w:rFonts w:ascii="Times New Roman" w:hAnsi="Times New Roman"/>
            <w:sz w:val="24"/>
            <w:szCs w:val="24"/>
          </w:rPr>
          <w:t>http://www.ferc.gov/legal/ceii-foia/ceii/classes.asp</w:t>
        </w:r>
      </w:hyperlink>
      <w:r w:rsidRPr="00662AB3">
        <w:rPr>
          <w:rFonts w:ascii="Times New Roman" w:hAnsi="Times New Roman"/>
          <w:sz w:val="24"/>
          <w:szCs w:val="24"/>
        </w:rPr>
        <w:t>.  The Commission’s procedures in Part 388 are designed to ensure that CEII and privileged material is not placed in the Commission’s public records.</w:t>
      </w:r>
    </w:p>
    <w:p w14:paraId="178EA2D0" w14:textId="77777777" w:rsidR="00ED6128" w:rsidRPr="00D80FBD" w:rsidRDefault="00ED6128" w:rsidP="008F4F57">
      <w:pPr>
        <w:spacing w:after="0" w:line="240" w:lineRule="auto"/>
        <w:rPr>
          <w:rFonts w:ascii="Times New Roman" w:hAnsi="Times New Roman"/>
          <w:sz w:val="24"/>
          <w:szCs w:val="24"/>
        </w:rPr>
      </w:pPr>
    </w:p>
    <w:p w14:paraId="178EA2D1"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PROVIDE ADDITIONAL JUSTIFICATION FOR ANY QUESTIONS OF A SENSITIVE NATURE</w:t>
      </w:r>
    </w:p>
    <w:p w14:paraId="178EA2D2" w14:textId="77777777" w:rsidR="00ED6128" w:rsidRDefault="00ED6128" w:rsidP="008F4F57">
      <w:pPr>
        <w:spacing w:after="0" w:line="240" w:lineRule="auto"/>
        <w:rPr>
          <w:rFonts w:ascii="Times New Roman" w:hAnsi="Times New Roman"/>
          <w:sz w:val="24"/>
          <w:szCs w:val="24"/>
        </w:rPr>
      </w:pPr>
    </w:p>
    <w:p w14:paraId="178EA2D3"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There are no questions of sensitive nature that are considered private.</w:t>
      </w:r>
    </w:p>
    <w:p w14:paraId="178EA2D4" w14:textId="77777777" w:rsidR="00ED6128" w:rsidRPr="00D80FBD" w:rsidRDefault="00ED6128" w:rsidP="008F4F57">
      <w:pPr>
        <w:spacing w:after="0" w:line="240" w:lineRule="auto"/>
        <w:rPr>
          <w:rFonts w:ascii="Times New Roman" w:hAnsi="Times New Roman"/>
          <w:sz w:val="24"/>
          <w:szCs w:val="24"/>
        </w:rPr>
      </w:pPr>
    </w:p>
    <w:p w14:paraId="178EA2D5"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ESTIMATED BURDEN OF COLLECTION OF INFORMATION</w:t>
      </w:r>
    </w:p>
    <w:p w14:paraId="178EA2D6" w14:textId="77777777" w:rsidR="00ED6128" w:rsidRDefault="00ED6128" w:rsidP="008F4F57">
      <w:pPr>
        <w:spacing w:after="0" w:line="240" w:lineRule="auto"/>
        <w:rPr>
          <w:rFonts w:ascii="Times New Roman" w:hAnsi="Times New Roman"/>
          <w:sz w:val="24"/>
          <w:szCs w:val="24"/>
        </w:rPr>
      </w:pPr>
    </w:p>
    <w:p w14:paraId="6FDDF625" w14:textId="3839F290" w:rsidR="006D060A" w:rsidRDefault="006D060A" w:rsidP="008F4F57">
      <w:pPr>
        <w:spacing w:after="0" w:line="240" w:lineRule="auto"/>
        <w:rPr>
          <w:rFonts w:ascii="Times New Roman" w:hAnsi="Times New Roman"/>
          <w:sz w:val="24"/>
          <w:szCs w:val="24"/>
        </w:rPr>
      </w:pPr>
      <w:r>
        <w:rPr>
          <w:rFonts w:ascii="Times New Roman" w:hAnsi="Times New Roman"/>
          <w:sz w:val="24"/>
          <w:szCs w:val="24"/>
        </w:rPr>
        <w:t>The current burden for the FERC-577 is shown in the following table.</w:t>
      </w:r>
    </w:p>
    <w:p w14:paraId="79687ABF" w14:textId="77777777" w:rsidR="006D060A" w:rsidRDefault="006D060A" w:rsidP="008F4F57">
      <w:pPr>
        <w:spacing w:after="0" w:line="240" w:lineRule="auto"/>
        <w:rPr>
          <w:rFonts w:ascii="Times New Roman" w:hAnsi="Times New Roman"/>
          <w:sz w:val="24"/>
          <w:szCs w:val="24"/>
        </w:rPr>
      </w:pPr>
    </w:p>
    <w:tbl>
      <w:tblPr>
        <w:tblW w:w="36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525"/>
        <w:gridCol w:w="1351"/>
        <w:gridCol w:w="1258"/>
        <w:gridCol w:w="1445"/>
      </w:tblGrid>
      <w:tr w:rsidR="00BA799A" w:rsidRPr="006D060A" w14:paraId="0DDAE302" w14:textId="05681C65" w:rsidTr="00BA799A">
        <w:trPr>
          <w:cantSplit/>
        </w:trPr>
        <w:tc>
          <w:tcPr>
            <w:tcW w:w="973" w:type="pct"/>
            <w:shd w:val="clear" w:color="auto" w:fill="D9D9D9" w:themeFill="background1" w:themeFillShade="D9"/>
            <w:vAlign w:val="bottom"/>
          </w:tcPr>
          <w:p w14:paraId="33FC3A02"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Number of Respondents</w:t>
            </w:r>
            <w:r w:rsidRPr="006D060A">
              <w:rPr>
                <w:rFonts w:ascii="Times New Roman" w:hAnsi="Times New Roman"/>
                <w:b/>
                <w:sz w:val="20"/>
                <w:szCs w:val="20"/>
              </w:rPr>
              <w:br/>
              <w:t>(1)</w:t>
            </w:r>
          </w:p>
        </w:tc>
        <w:tc>
          <w:tcPr>
            <w:tcW w:w="1101" w:type="pct"/>
            <w:shd w:val="clear" w:color="auto" w:fill="D9D9D9" w:themeFill="background1" w:themeFillShade="D9"/>
            <w:vAlign w:val="bottom"/>
          </w:tcPr>
          <w:p w14:paraId="6E4A22E9"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Number of Responses per Respondent</w:t>
            </w:r>
          </w:p>
          <w:p w14:paraId="2D2A29B9"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(2)</w:t>
            </w:r>
          </w:p>
        </w:tc>
        <w:tc>
          <w:tcPr>
            <w:tcW w:w="975" w:type="pct"/>
            <w:shd w:val="clear" w:color="auto" w:fill="D9D9D9" w:themeFill="background1" w:themeFillShade="D9"/>
            <w:vAlign w:val="bottom"/>
          </w:tcPr>
          <w:p w14:paraId="458F7965"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Total Number of Responses (1)*(2)=(3)</w:t>
            </w:r>
          </w:p>
        </w:tc>
        <w:tc>
          <w:tcPr>
            <w:tcW w:w="908" w:type="pct"/>
            <w:shd w:val="clear" w:color="auto" w:fill="D9D9D9" w:themeFill="background1" w:themeFillShade="D9"/>
            <w:vAlign w:val="bottom"/>
          </w:tcPr>
          <w:p w14:paraId="2C30F3B4" w14:textId="17A63873" w:rsidR="00BA799A" w:rsidRPr="006D060A" w:rsidRDefault="00BA799A" w:rsidP="006D060A">
            <w:pPr>
              <w:spacing w:after="0" w:line="240" w:lineRule="auto"/>
              <w:jc w:val="center"/>
              <w:rPr>
                <w:rFonts w:ascii="Times New Roman" w:hAnsi="Times New Roman"/>
                <w:b/>
                <w:sz w:val="20"/>
                <w:szCs w:val="20"/>
              </w:rPr>
            </w:pPr>
            <w:r>
              <w:rPr>
                <w:rFonts w:ascii="Times New Roman" w:hAnsi="Times New Roman"/>
                <w:b/>
                <w:sz w:val="20"/>
                <w:szCs w:val="20"/>
              </w:rPr>
              <w:t>Average Burden</w:t>
            </w:r>
            <w:r w:rsidR="00BD65A9">
              <w:rPr>
                <w:rFonts w:ascii="Times New Roman" w:hAnsi="Times New Roman"/>
                <w:b/>
                <w:sz w:val="20"/>
                <w:szCs w:val="20"/>
              </w:rPr>
              <w:t xml:space="preserve"> Hours</w:t>
            </w:r>
            <w:r>
              <w:rPr>
                <w:rFonts w:ascii="Times New Roman" w:hAnsi="Times New Roman"/>
                <w:b/>
                <w:sz w:val="20"/>
                <w:szCs w:val="20"/>
              </w:rPr>
              <w:t xml:space="preserve"> and </w:t>
            </w:r>
            <w:r w:rsidR="00BD65A9">
              <w:rPr>
                <w:rFonts w:ascii="Times New Roman" w:hAnsi="Times New Roman"/>
                <w:b/>
                <w:sz w:val="20"/>
                <w:szCs w:val="20"/>
              </w:rPr>
              <w:t>Cost</w:t>
            </w:r>
            <w:r w:rsidRPr="006D060A">
              <w:rPr>
                <w:rFonts w:ascii="Times New Roman" w:hAnsi="Times New Roman"/>
                <w:b/>
                <w:sz w:val="20"/>
                <w:szCs w:val="20"/>
              </w:rPr>
              <w:t xml:space="preserve"> Per Respon</w:t>
            </w:r>
            <w:r>
              <w:rPr>
                <w:rFonts w:ascii="Times New Roman" w:hAnsi="Times New Roman"/>
                <w:b/>
                <w:sz w:val="20"/>
                <w:szCs w:val="20"/>
              </w:rPr>
              <w:t>se</w:t>
            </w:r>
          </w:p>
          <w:p w14:paraId="6D021C53"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(4)</w:t>
            </w:r>
          </w:p>
        </w:tc>
        <w:tc>
          <w:tcPr>
            <w:tcW w:w="1043" w:type="pct"/>
            <w:shd w:val="clear" w:color="auto" w:fill="D9D9D9" w:themeFill="background1" w:themeFillShade="D9"/>
            <w:vAlign w:val="bottom"/>
          </w:tcPr>
          <w:p w14:paraId="0505977D" w14:textId="6EAFCC34"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Total Annual Burden Hours</w:t>
            </w:r>
            <w:r w:rsidR="00BD65A9">
              <w:rPr>
                <w:rFonts w:ascii="Times New Roman" w:hAnsi="Times New Roman"/>
                <w:b/>
                <w:sz w:val="20"/>
                <w:szCs w:val="20"/>
              </w:rPr>
              <w:t xml:space="preserve"> and Cost</w:t>
            </w:r>
            <w:r>
              <w:rPr>
                <w:rFonts w:ascii="Times New Roman" w:hAnsi="Times New Roman"/>
                <w:b/>
                <w:sz w:val="20"/>
                <w:szCs w:val="20"/>
              </w:rPr>
              <w:t xml:space="preserve"> </w:t>
            </w:r>
          </w:p>
          <w:p w14:paraId="42914923" w14:textId="32ABF2BB"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(3)*(4)</w:t>
            </w:r>
          </w:p>
        </w:tc>
      </w:tr>
      <w:tr w:rsidR="00BA799A" w:rsidRPr="006D060A" w14:paraId="2CE596E6" w14:textId="1494C659" w:rsidTr="00757AF7">
        <w:trPr>
          <w:cantSplit/>
        </w:trPr>
        <w:tc>
          <w:tcPr>
            <w:tcW w:w="973" w:type="pct"/>
          </w:tcPr>
          <w:p w14:paraId="302B2DDF" w14:textId="06107CFA"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92</w:t>
            </w:r>
          </w:p>
        </w:tc>
        <w:tc>
          <w:tcPr>
            <w:tcW w:w="1101" w:type="pct"/>
          </w:tcPr>
          <w:p w14:paraId="038B88CD" w14:textId="262A6090"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16</w:t>
            </w:r>
          </w:p>
        </w:tc>
        <w:tc>
          <w:tcPr>
            <w:tcW w:w="975" w:type="pct"/>
          </w:tcPr>
          <w:p w14:paraId="1B0BCA36" w14:textId="45EFF22B"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1,472</w:t>
            </w:r>
          </w:p>
        </w:tc>
        <w:tc>
          <w:tcPr>
            <w:tcW w:w="908" w:type="pct"/>
          </w:tcPr>
          <w:p w14:paraId="2E5933C3" w14:textId="69BF53A4"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193.518</w:t>
            </w:r>
          </w:p>
          <w:p w14:paraId="2F2397E2" w14:textId="19826003" w:rsidR="00BA799A" w:rsidRPr="006D060A" w:rsidRDefault="00BA799A" w:rsidP="00757AF7">
            <w:pPr>
              <w:spacing w:after="0" w:line="240" w:lineRule="auto"/>
              <w:jc w:val="right"/>
              <w:rPr>
                <w:rFonts w:ascii="Times New Roman" w:hAnsi="Times New Roman"/>
                <w:sz w:val="20"/>
                <w:szCs w:val="20"/>
              </w:rPr>
            </w:pPr>
            <w:r w:rsidRPr="006D060A">
              <w:rPr>
                <w:rFonts w:ascii="Times New Roman" w:hAnsi="Times New Roman"/>
                <w:sz w:val="20"/>
                <w:szCs w:val="20"/>
              </w:rPr>
              <w:t>$</w:t>
            </w:r>
            <w:r>
              <w:rPr>
                <w:rFonts w:ascii="Times New Roman" w:hAnsi="Times New Roman"/>
                <w:sz w:val="20"/>
                <w:szCs w:val="20"/>
              </w:rPr>
              <w:t>13,546</w:t>
            </w:r>
            <w:r w:rsidRPr="006B2080">
              <w:rPr>
                <w:rStyle w:val="FootnoteReference"/>
                <w:rFonts w:ascii="Times New Roman" w:hAnsi="Times New Roman"/>
                <w:sz w:val="20"/>
                <w:szCs w:val="20"/>
                <w:vertAlign w:val="superscript"/>
              </w:rPr>
              <w:footnoteReference w:id="8"/>
            </w:r>
          </w:p>
        </w:tc>
        <w:tc>
          <w:tcPr>
            <w:tcW w:w="1043" w:type="pct"/>
          </w:tcPr>
          <w:p w14:paraId="64C4A923" w14:textId="77777777" w:rsidR="00BA799A" w:rsidRDefault="00BA799A" w:rsidP="00757AF7">
            <w:pPr>
              <w:spacing w:after="0" w:line="240" w:lineRule="auto"/>
              <w:jc w:val="right"/>
              <w:rPr>
                <w:rFonts w:ascii="Times New Roman" w:hAnsi="Times New Roman"/>
                <w:sz w:val="20"/>
                <w:szCs w:val="20"/>
              </w:rPr>
            </w:pPr>
            <w:r w:rsidRPr="006D060A">
              <w:rPr>
                <w:rFonts w:ascii="Times New Roman" w:hAnsi="Times New Roman"/>
                <w:sz w:val="20"/>
                <w:szCs w:val="20"/>
              </w:rPr>
              <w:t xml:space="preserve"> </w:t>
            </w:r>
            <w:r>
              <w:rPr>
                <w:rFonts w:ascii="Times New Roman" w:hAnsi="Times New Roman"/>
                <w:sz w:val="20"/>
                <w:szCs w:val="20"/>
              </w:rPr>
              <w:t xml:space="preserve">284,858 </w:t>
            </w:r>
          </w:p>
          <w:p w14:paraId="03867CFE" w14:textId="67999E85"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$19,940,060</w:t>
            </w:r>
          </w:p>
        </w:tc>
      </w:tr>
    </w:tbl>
    <w:p w14:paraId="3138ED8B" w14:textId="77777777" w:rsidR="006D060A" w:rsidRDefault="006D060A" w:rsidP="008F4F57">
      <w:pPr>
        <w:spacing w:after="0" w:line="240" w:lineRule="auto"/>
        <w:rPr>
          <w:rFonts w:ascii="Times New Roman" w:hAnsi="Times New Roman"/>
          <w:sz w:val="24"/>
          <w:szCs w:val="24"/>
        </w:rPr>
      </w:pPr>
    </w:p>
    <w:p w14:paraId="414C1801" w14:textId="317DC114"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 xml:space="preserve">Because this </w:t>
      </w:r>
      <w:r>
        <w:rPr>
          <w:rFonts w:ascii="Times New Roman" w:hAnsi="Times New Roman"/>
          <w:sz w:val="24"/>
          <w:szCs w:val="24"/>
        </w:rPr>
        <w:t>final</w:t>
      </w:r>
      <w:r w:rsidR="00703BA8">
        <w:rPr>
          <w:rFonts w:ascii="Times New Roman" w:hAnsi="Times New Roman"/>
          <w:sz w:val="24"/>
          <w:szCs w:val="24"/>
        </w:rPr>
        <w:t xml:space="preserve"> rule adds</w:t>
      </w:r>
      <w:r w:rsidRPr="00EF62A5">
        <w:rPr>
          <w:rFonts w:ascii="Times New Roman" w:hAnsi="Times New Roman"/>
          <w:sz w:val="24"/>
          <w:szCs w:val="24"/>
        </w:rPr>
        <w:t xml:space="preserve"> landowner notification requirement</w:t>
      </w:r>
      <w:r w:rsidR="00703BA8">
        <w:rPr>
          <w:rFonts w:ascii="Times New Roman" w:hAnsi="Times New Roman"/>
          <w:sz w:val="24"/>
          <w:szCs w:val="24"/>
        </w:rPr>
        <w:t>s</w:t>
      </w:r>
      <w:r w:rsidRPr="00EF62A5">
        <w:rPr>
          <w:rFonts w:ascii="Times New Roman" w:hAnsi="Times New Roman"/>
          <w:sz w:val="24"/>
          <w:szCs w:val="24"/>
        </w:rPr>
        <w:t xml:space="preserve"> in </w:t>
      </w:r>
      <w:r>
        <w:rPr>
          <w:rFonts w:ascii="Times New Roman" w:hAnsi="Times New Roman"/>
          <w:sz w:val="24"/>
          <w:szCs w:val="24"/>
        </w:rPr>
        <w:t>S</w:t>
      </w:r>
      <w:r w:rsidR="00703BA8">
        <w:rPr>
          <w:rFonts w:ascii="Times New Roman" w:hAnsi="Times New Roman"/>
          <w:sz w:val="24"/>
          <w:szCs w:val="24"/>
        </w:rPr>
        <w:t>ection</w:t>
      </w:r>
      <w:r w:rsidR="00241CBF">
        <w:rPr>
          <w:rFonts w:ascii="Times New Roman" w:hAnsi="Times New Roman"/>
          <w:sz w:val="24"/>
          <w:szCs w:val="24"/>
        </w:rPr>
        <w:t>s</w:t>
      </w:r>
      <w:r w:rsidR="00703BA8">
        <w:rPr>
          <w:rFonts w:ascii="Times New Roman" w:hAnsi="Times New Roman"/>
          <w:sz w:val="24"/>
          <w:szCs w:val="24"/>
        </w:rPr>
        <w:t xml:space="preserve"> 2.55, 157 and 380</w:t>
      </w:r>
      <w:r w:rsidRPr="00EF62A5">
        <w:rPr>
          <w:rFonts w:ascii="Times New Roman" w:hAnsi="Times New Roman"/>
          <w:sz w:val="24"/>
          <w:szCs w:val="24"/>
        </w:rPr>
        <w:t xml:space="preserve"> for activi</w:t>
      </w:r>
      <w:r>
        <w:rPr>
          <w:rFonts w:ascii="Times New Roman" w:hAnsi="Times New Roman"/>
          <w:sz w:val="24"/>
          <w:szCs w:val="24"/>
        </w:rPr>
        <w:t xml:space="preserve">ties undertaken pursuant to </w:t>
      </w:r>
      <w:r w:rsidRPr="00EF62A5">
        <w:rPr>
          <w:rFonts w:ascii="Times New Roman" w:hAnsi="Times New Roman"/>
          <w:sz w:val="24"/>
          <w:szCs w:val="24"/>
        </w:rPr>
        <w:t>sections</w:t>
      </w:r>
      <w:r>
        <w:rPr>
          <w:rFonts w:ascii="Times New Roman" w:hAnsi="Times New Roman"/>
          <w:sz w:val="24"/>
          <w:szCs w:val="24"/>
        </w:rPr>
        <w:t xml:space="preserve"> contained under FERC-577</w:t>
      </w:r>
      <w:r w:rsidRPr="00EF62A5">
        <w:rPr>
          <w:rFonts w:ascii="Times New Roman" w:hAnsi="Times New Roman"/>
          <w:sz w:val="24"/>
          <w:szCs w:val="24"/>
        </w:rPr>
        <w:t>, the overall burden on the industry will increase.  However, because natural gas companies subject to our jurisdiction must already notify</w:t>
      </w:r>
      <w:r>
        <w:rPr>
          <w:rFonts w:ascii="Times New Roman" w:hAnsi="Times New Roman"/>
          <w:sz w:val="24"/>
          <w:szCs w:val="24"/>
        </w:rPr>
        <w:t xml:space="preserve"> (by mail and/or public notice)</w:t>
      </w:r>
      <w:r w:rsidRPr="00EF62A5">
        <w:rPr>
          <w:rFonts w:ascii="Times New Roman" w:hAnsi="Times New Roman"/>
          <w:sz w:val="24"/>
          <w:szCs w:val="24"/>
        </w:rPr>
        <w:t xml:space="preserve"> landowners in conjunction with </w:t>
      </w:r>
      <w:r>
        <w:rPr>
          <w:rFonts w:ascii="Times New Roman" w:hAnsi="Times New Roman"/>
          <w:sz w:val="24"/>
          <w:szCs w:val="24"/>
        </w:rPr>
        <w:t>S</w:t>
      </w:r>
      <w:r w:rsidRPr="00EF62A5">
        <w:rPr>
          <w:rFonts w:ascii="Times New Roman" w:hAnsi="Times New Roman"/>
          <w:sz w:val="24"/>
          <w:szCs w:val="24"/>
        </w:rPr>
        <w:t xml:space="preserve">ection 3 </w:t>
      </w:r>
      <w:r>
        <w:rPr>
          <w:rFonts w:ascii="Times New Roman" w:hAnsi="Times New Roman"/>
          <w:sz w:val="24"/>
          <w:szCs w:val="24"/>
        </w:rPr>
        <w:t>projects,</w:t>
      </w:r>
      <w:r w:rsidRPr="00EF62A5">
        <w:rPr>
          <w:rFonts w:ascii="Times New Roman" w:hAnsi="Times New Roman"/>
          <w:sz w:val="24"/>
          <w:szCs w:val="24"/>
        </w:rPr>
        <w:t xml:space="preserve"> </w:t>
      </w:r>
      <w:r>
        <w:rPr>
          <w:rFonts w:ascii="Times New Roman" w:hAnsi="Times New Roman"/>
          <w:sz w:val="24"/>
          <w:szCs w:val="24"/>
        </w:rPr>
        <w:t>S</w:t>
      </w:r>
      <w:r w:rsidRPr="00EF62A5">
        <w:rPr>
          <w:rFonts w:ascii="Times New Roman" w:hAnsi="Times New Roman"/>
          <w:sz w:val="24"/>
          <w:szCs w:val="24"/>
        </w:rPr>
        <w:t>ection 7 applications</w:t>
      </w:r>
      <w:r>
        <w:rPr>
          <w:rFonts w:ascii="Times New Roman" w:hAnsi="Times New Roman"/>
          <w:sz w:val="24"/>
          <w:szCs w:val="24"/>
        </w:rPr>
        <w:t>,</w:t>
      </w:r>
      <w:r w:rsidRPr="00EF62A5">
        <w:rPr>
          <w:rFonts w:ascii="Times New Roman" w:hAnsi="Times New Roman"/>
          <w:sz w:val="24"/>
          <w:szCs w:val="24"/>
        </w:rPr>
        <w:t xml:space="preserve"> and when</w:t>
      </w:r>
      <w:r>
        <w:rPr>
          <w:rFonts w:ascii="Times New Roman" w:hAnsi="Times New Roman"/>
          <w:sz w:val="24"/>
          <w:szCs w:val="24"/>
        </w:rPr>
        <w:t xml:space="preserve"> conducting </w:t>
      </w:r>
      <w:r w:rsidRPr="00EF62A5">
        <w:rPr>
          <w:rFonts w:ascii="Times New Roman" w:hAnsi="Times New Roman"/>
          <w:sz w:val="24"/>
          <w:szCs w:val="24"/>
        </w:rPr>
        <w:t xml:space="preserve">activities under </w:t>
      </w:r>
      <w:r>
        <w:rPr>
          <w:rFonts w:ascii="Times New Roman" w:hAnsi="Times New Roman"/>
          <w:sz w:val="24"/>
          <w:szCs w:val="24"/>
        </w:rPr>
        <w:t>P</w:t>
      </w:r>
      <w:r w:rsidRPr="00EF62A5">
        <w:rPr>
          <w:rFonts w:ascii="Times New Roman" w:hAnsi="Times New Roman"/>
          <w:sz w:val="24"/>
          <w:szCs w:val="24"/>
        </w:rPr>
        <w:t>art 157 of our regulations, no new technology would be needed and no start-up costs would be incurred.  Further, even without the</w:t>
      </w:r>
      <w:r w:rsidR="00703BA8">
        <w:rPr>
          <w:rFonts w:ascii="Times New Roman" w:hAnsi="Times New Roman"/>
          <w:sz w:val="24"/>
          <w:szCs w:val="24"/>
        </w:rPr>
        <w:t xml:space="preserve"> new</w:t>
      </w:r>
      <w:r w:rsidRPr="00EF62A5">
        <w:rPr>
          <w:rFonts w:ascii="Times New Roman" w:hAnsi="Times New Roman"/>
          <w:sz w:val="24"/>
          <w:szCs w:val="24"/>
        </w:rPr>
        <w:t xml:space="preserve"> notification requirement herein, </w:t>
      </w:r>
      <w:r>
        <w:rPr>
          <w:rFonts w:ascii="Times New Roman" w:hAnsi="Times New Roman"/>
          <w:sz w:val="24"/>
          <w:szCs w:val="24"/>
        </w:rPr>
        <w:t xml:space="preserve">many </w:t>
      </w:r>
      <w:r w:rsidRPr="00EF62A5">
        <w:rPr>
          <w:rFonts w:ascii="Times New Roman" w:hAnsi="Times New Roman"/>
          <w:sz w:val="24"/>
          <w:szCs w:val="24"/>
        </w:rPr>
        <w:t xml:space="preserve">companies </w:t>
      </w:r>
      <w:r>
        <w:rPr>
          <w:rFonts w:ascii="Times New Roman" w:hAnsi="Times New Roman"/>
          <w:sz w:val="24"/>
          <w:szCs w:val="24"/>
        </w:rPr>
        <w:t xml:space="preserve">already </w:t>
      </w:r>
      <w:r w:rsidRPr="00EF62A5">
        <w:rPr>
          <w:rFonts w:ascii="Times New Roman" w:hAnsi="Times New Roman"/>
          <w:sz w:val="24"/>
          <w:szCs w:val="24"/>
        </w:rPr>
        <w:t xml:space="preserve">routinely inform landowners prior to coming onto their property, both as a courtesy and to avoid conflicts in landowner and company activities.  Thus, the notification </w:t>
      </w:r>
      <w:r>
        <w:rPr>
          <w:rFonts w:ascii="Times New Roman" w:hAnsi="Times New Roman"/>
          <w:sz w:val="24"/>
          <w:szCs w:val="24"/>
        </w:rPr>
        <w:t xml:space="preserve">requirement </w:t>
      </w:r>
      <w:r w:rsidRPr="00EF62A5">
        <w:rPr>
          <w:rFonts w:ascii="Times New Roman" w:hAnsi="Times New Roman"/>
          <w:sz w:val="24"/>
          <w:szCs w:val="24"/>
        </w:rPr>
        <w:t>is expected to be consistent with some companies’ current practices and</w:t>
      </w:r>
      <w:r>
        <w:rPr>
          <w:rFonts w:ascii="Times New Roman" w:hAnsi="Times New Roman"/>
          <w:sz w:val="24"/>
          <w:szCs w:val="24"/>
        </w:rPr>
        <w:t>,</w:t>
      </w:r>
      <w:r w:rsidRPr="00EF62A5">
        <w:rPr>
          <w:rFonts w:ascii="Times New Roman" w:hAnsi="Times New Roman"/>
          <w:sz w:val="24"/>
          <w:szCs w:val="24"/>
        </w:rPr>
        <w:t xml:space="preserve"> consequently</w:t>
      </w:r>
      <w:r>
        <w:rPr>
          <w:rFonts w:ascii="Times New Roman" w:hAnsi="Times New Roman"/>
          <w:sz w:val="24"/>
          <w:szCs w:val="24"/>
        </w:rPr>
        <w:t>,</w:t>
      </w:r>
      <w:r w:rsidRPr="00EF62A5">
        <w:rPr>
          <w:rFonts w:ascii="Times New Roman" w:hAnsi="Times New Roman"/>
          <w:sz w:val="24"/>
          <w:szCs w:val="24"/>
        </w:rPr>
        <w:t xml:space="preserve"> impose little additional obligation on such companies.</w:t>
      </w:r>
      <w:r>
        <w:rPr>
          <w:rFonts w:ascii="Times New Roman" w:hAnsi="Times New Roman"/>
          <w:sz w:val="24"/>
          <w:szCs w:val="24"/>
        </w:rPr>
        <w:t xml:space="preserve">  </w:t>
      </w:r>
    </w:p>
    <w:p w14:paraId="1F41A65F" w14:textId="77777777" w:rsidR="00757AF7" w:rsidRDefault="00757AF7" w:rsidP="00757AF7">
      <w:pPr>
        <w:spacing w:after="0" w:line="240" w:lineRule="auto"/>
        <w:rPr>
          <w:rFonts w:ascii="Times New Roman" w:hAnsi="Times New Roman"/>
          <w:sz w:val="24"/>
          <w:szCs w:val="24"/>
        </w:rPr>
      </w:pPr>
    </w:p>
    <w:p w14:paraId="34985358" w14:textId="77777777"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In 1999, in estimating the landowner notification b</w:t>
      </w:r>
      <w:r>
        <w:rPr>
          <w:rFonts w:ascii="Times New Roman" w:hAnsi="Times New Roman"/>
          <w:sz w:val="24"/>
          <w:szCs w:val="24"/>
        </w:rPr>
        <w:t>urden in Order No. 609</w:t>
      </w:r>
      <w:r w:rsidRPr="00EF62A5">
        <w:rPr>
          <w:rFonts w:ascii="Times New Roman" w:hAnsi="Times New Roman"/>
          <w:sz w:val="24"/>
          <w:szCs w:val="24"/>
        </w:rPr>
        <w:t xml:space="preserve">, </w:t>
      </w:r>
      <w:r>
        <w:rPr>
          <w:rFonts w:ascii="Times New Roman" w:hAnsi="Times New Roman"/>
          <w:sz w:val="24"/>
          <w:szCs w:val="24"/>
        </w:rPr>
        <w:t>the Commission</w:t>
      </w:r>
      <w:r w:rsidRPr="00EF62A5">
        <w:rPr>
          <w:rFonts w:ascii="Times New Roman" w:hAnsi="Times New Roman"/>
          <w:sz w:val="24"/>
          <w:szCs w:val="24"/>
        </w:rPr>
        <w:t xml:space="preserve"> found </w:t>
      </w:r>
      <w:r>
        <w:rPr>
          <w:rFonts w:ascii="Times New Roman" w:hAnsi="Times New Roman"/>
          <w:sz w:val="24"/>
          <w:szCs w:val="24"/>
        </w:rPr>
        <w:t xml:space="preserve">that </w:t>
      </w:r>
      <w:r w:rsidRPr="00EF62A5">
        <w:rPr>
          <w:rFonts w:ascii="Times New Roman" w:hAnsi="Times New Roman"/>
          <w:sz w:val="24"/>
          <w:szCs w:val="24"/>
        </w:rPr>
        <w:t xml:space="preserve">companies would need four hours to identify affected landowners and prepare and distribute information describing the proposed project.  Given advances in </w:t>
      </w:r>
      <w:r>
        <w:rPr>
          <w:rFonts w:ascii="Times New Roman" w:hAnsi="Times New Roman"/>
          <w:sz w:val="24"/>
          <w:szCs w:val="24"/>
        </w:rPr>
        <w:t xml:space="preserve">computer technology (processor speed, data available on the internet, and better programs and applications) </w:t>
      </w:r>
      <w:r w:rsidRPr="00EF62A5">
        <w:rPr>
          <w:rFonts w:ascii="Times New Roman" w:hAnsi="Times New Roman"/>
          <w:sz w:val="24"/>
          <w:szCs w:val="24"/>
        </w:rPr>
        <w:t xml:space="preserve">since then and </w:t>
      </w:r>
      <w:r>
        <w:rPr>
          <w:rFonts w:ascii="Times New Roman" w:hAnsi="Times New Roman"/>
          <w:sz w:val="24"/>
          <w:szCs w:val="24"/>
        </w:rPr>
        <w:t>the fact</w:t>
      </w:r>
      <w:r w:rsidRPr="00EF62A5">
        <w:rPr>
          <w:rFonts w:ascii="Times New Roman" w:hAnsi="Times New Roman"/>
          <w:sz w:val="24"/>
          <w:szCs w:val="24"/>
        </w:rPr>
        <w:t xml:space="preserve"> that </w:t>
      </w:r>
      <w:r>
        <w:rPr>
          <w:rFonts w:ascii="Times New Roman" w:hAnsi="Times New Roman"/>
          <w:sz w:val="24"/>
          <w:szCs w:val="24"/>
        </w:rPr>
        <w:t>S</w:t>
      </w:r>
      <w:r w:rsidRPr="00EF62A5">
        <w:rPr>
          <w:rFonts w:ascii="Times New Roman" w:hAnsi="Times New Roman"/>
          <w:sz w:val="24"/>
          <w:szCs w:val="24"/>
        </w:rPr>
        <w:t xml:space="preserve">ection 2.55 and </w:t>
      </w:r>
      <w:r>
        <w:rPr>
          <w:rFonts w:ascii="Times New Roman" w:hAnsi="Times New Roman"/>
          <w:sz w:val="24"/>
          <w:szCs w:val="24"/>
        </w:rPr>
        <w:t>S</w:t>
      </w:r>
      <w:r w:rsidRPr="00EF62A5">
        <w:rPr>
          <w:rFonts w:ascii="Times New Roman" w:hAnsi="Times New Roman"/>
          <w:sz w:val="24"/>
          <w:szCs w:val="24"/>
        </w:rPr>
        <w:t xml:space="preserve">ection 380.15 activities generally involve activities that are smaller than those </w:t>
      </w:r>
      <w:r>
        <w:rPr>
          <w:rFonts w:ascii="Times New Roman" w:hAnsi="Times New Roman"/>
          <w:sz w:val="24"/>
          <w:szCs w:val="24"/>
        </w:rPr>
        <w:t xml:space="preserve">that </w:t>
      </w:r>
      <w:r w:rsidRPr="00EF62A5">
        <w:rPr>
          <w:rFonts w:ascii="Times New Roman" w:hAnsi="Times New Roman"/>
          <w:sz w:val="24"/>
          <w:szCs w:val="24"/>
        </w:rPr>
        <w:t xml:space="preserve">go forward under blanket certificate authority, we anticipate companies will need two hours to meet the proposed landowner notification requirement.         </w:t>
      </w:r>
    </w:p>
    <w:p w14:paraId="52C21FB9" w14:textId="77777777" w:rsidR="00757AF7" w:rsidRDefault="00757AF7" w:rsidP="00757AF7">
      <w:pPr>
        <w:spacing w:after="0" w:line="240" w:lineRule="auto"/>
        <w:rPr>
          <w:rFonts w:ascii="Times New Roman" w:hAnsi="Times New Roman"/>
          <w:sz w:val="24"/>
          <w:szCs w:val="24"/>
        </w:rPr>
      </w:pPr>
    </w:p>
    <w:p w14:paraId="7C47E45B" w14:textId="5ACCF2AA"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 xml:space="preserve">While companies are required to file annual reports of replacement facilities under 2.55(b), no such reports are required for ancillary </w:t>
      </w:r>
      <w:r w:rsidRPr="00955A86">
        <w:rPr>
          <w:rFonts w:ascii="Times New Roman" w:hAnsi="Times New Roman"/>
          <w:sz w:val="24"/>
          <w:szCs w:val="24"/>
        </w:rPr>
        <w:t xml:space="preserve">installations under 2.55(a).  Thus, we have no data upon which to base an estimate of activities under 2.55(a).  In view of this, Commission staff asked for information on activities under 2.55(a) from a small representative sample (less than 10) of jurisdictional companies and we have extrapolated our estimate based on company responses.  We estimate that on average, approximately </w:t>
      </w:r>
      <w:r w:rsidR="00955A86" w:rsidRPr="00955A86">
        <w:rPr>
          <w:rFonts w:ascii="Times New Roman" w:hAnsi="Times New Roman"/>
          <w:sz w:val="24"/>
          <w:szCs w:val="24"/>
        </w:rPr>
        <w:t>7,600</w:t>
      </w:r>
      <w:r w:rsidRPr="00955A86">
        <w:rPr>
          <w:rFonts w:ascii="Times New Roman" w:hAnsi="Times New Roman"/>
          <w:sz w:val="24"/>
          <w:szCs w:val="24"/>
        </w:rPr>
        <w:t xml:space="preserve"> auxiliary installation projects are undertaken annually for the whole industry.  We estimate 165 regulated entities.  Therefore, </w:t>
      </w:r>
      <w:r w:rsidR="00955A86" w:rsidRPr="00955A86">
        <w:rPr>
          <w:rFonts w:ascii="Times New Roman" w:hAnsi="Times New Roman"/>
          <w:sz w:val="24"/>
          <w:szCs w:val="24"/>
        </w:rPr>
        <w:t>7,600</w:t>
      </w:r>
      <w:r w:rsidRPr="00955A86">
        <w:rPr>
          <w:rFonts w:ascii="Times New Roman" w:hAnsi="Times New Roman"/>
          <w:sz w:val="24"/>
          <w:szCs w:val="24"/>
        </w:rPr>
        <w:t xml:space="preserve"> projects divided by 165 entities is approximately </w:t>
      </w:r>
      <w:r w:rsidR="00955A86" w:rsidRPr="00955A86">
        <w:rPr>
          <w:rFonts w:ascii="Times New Roman" w:hAnsi="Times New Roman"/>
          <w:sz w:val="24"/>
          <w:szCs w:val="24"/>
        </w:rPr>
        <w:t>46</w:t>
      </w:r>
      <w:r w:rsidRPr="00955A86">
        <w:rPr>
          <w:rFonts w:ascii="Times New Roman" w:hAnsi="Times New Roman"/>
          <w:sz w:val="24"/>
          <w:szCs w:val="24"/>
        </w:rPr>
        <w:t xml:space="preserve"> projects per entity.</w:t>
      </w:r>
    </w:p>
    <w:p w14:paraId="6D106354" w14:textId="77777777" w:rsidR="00757AF7" w:rsidRDefault="00757AF7" w:rsidP="00757AF7">
      <w:pPr>
        <w:spacing w:after="0" w:line="240" w:lineRule="auto"/>
        <w:rPr>
          <w:rFonts w:ascii="Times New Roman" w:hAnsi="Times New Roman"/>
          <w:sz w:val="24"/>
          <w:szCs w:val="24"/>
        </w:rPr>
      </w:pPr>
    </w:p>
    <w:p w14:paraId="40C76CC4" w14:textId="77777777" w:rsidR="00F55B83"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lastRenderedPageBreak/>
        <w:t xml:space="preserve">Companies file an annual </w:t>
      </w:r>
      <w:r>
        <w:rPr>
          <w:rFonts w:ascii="Times New Roman" w:hAnsi="Times New Roman"/>
          <w:sz w:val="24"/>
          <w:szCs w:val="24"/>
        </w:rPr>
        <w:t xml:space="preserve">retrospective </w:t>
      </w:r>
      <w:r w:rsidRPr="00EF62A5">
        <w:rPr>
          <w:rFonts w:ascii="Times New Roman" w:hAnsi="Times New Roman"/>
          <w:sz w:val="24"/>
          <w:szCs w:val="24"/>
        </w:rPr>
        <w:t xml:space="preserve">report itemizing all </w:t>
      </w:r>
      <w:r>
        <w:rPr>
          <w:rFonts w:ascii="Times New Roman" w:hAnsi="Times New Roman"/>
          <w:sz w:val="24"/>
          <w:szCs w:val="24"/>
        </w:rPr>
        <w:t>S</w:t>
      </w:r>
      <w:r w:rsidRPr="00EF62A5">
        <w:rPr>
          <w:rFonts w:ascii="Times New Roman" w:hAnsi="Times New Roman"/>
          <w:sz w:val="24"/>
          <w:szCs w:val="24"/>
        </w:rPr>
        <w:t>ection 2.55(b) replacement activities.  Our review of the more recent annual reports indicate</w:t>
      </w:r>
      <w:r>
        <w:rPr>
          <w:rFonts w:ascii="Times New Roman" w:hAnsi="Times New Roman"/>
          <w:sz w:val="24"/>
          <w:szCs w:val="24"/>
        </w:rPr>
        <w:t>s</w:t>
      </w:r>
      <w:r w:rsidRPr="00EF62A5">
        <w:rPr>
          <w:rFonts w:ascii="Times New Roman" w:hAnsi="Times New Roman"/>
          <w:sz w:val="24"/>
          <w:szCs w:val="24"/>
        </w:rPr>
        <w:t xml:space="preserve"> that companies undertake</w:t>
      </w:r>
      <w:r>
        <w:rPr>
          <w:rFonts w:ascii="Times New Roman" w:hAnsi="Times New Roman"/>
          <w:sz w:val="24"/>
          <w:szCs w:val="24"/>
        </w:rPr>
        <w:t xml:space="preserve"> </w:t>
      </w:r>
      <w:r w:rsidRPr="00EF62A5">
        <w:rPr>
          <w:rFonts w:ascii="Times New Roman" w:hAnsi="Times New Roman"/>
          <w:sz w:val="24"/>
          <w:szCs w:val="24"/>
        </w:rPr>
        <w:t>approximately 500 section 2.55(b) projects per year</w:t>
      </w:r>
      <w:r>
        <w:rPr>
          <w:rFonts w:ascii="Times New Roman" w:hAnsi="Times New Roman"/>
          <w:sz w:val="24"/>
          <w:szCs w:val="24"/>
        </w:rPr>
        <w:t xml:space="preserve"> total</w:t>
      </w:r>
      <w:r w:rsidR="00F55B83">
        <w:rPr>
          <w:rFonts w:ascii="Times New Roman" w:hAnsi="Times New Roman"/>
          <w:sz w:val="24"/>
          <w:szCs w:val="24"/>
        </w:rPr>
        <w:t>.  Therefore, 500 projects divided by 165 is approximately three projects per entity</w:t>
      </w:r>
      <w:r w:rsidRPr="00EF62A5">
        <w:rPr>
          <w:rFonts w:ascii="Times New Roman" w:hAnsi="Times New Roman"/>
          <w:sz w:val="24"/>
          <w:szCs w:val="24"/>
        </w:rPr>
        <w:t>.</w:t>
      </w:r>
    </w:p>
    <w:p w14:paraId="6A89A8E3" w14:textId="77777777" w:rsidR="00F55B83" w:rsidRDefault="00F55B83" w:rsidP="00757AF7">
      <w:pPr>
        <w:spacing w:after="0" w:line="240" w:lineRule="auto"/>
        <w:rPr>
          <w:rFonts w:ascii="Times New Roman" w:hAnsi="Times New Roman"/>
          <w:sz w:val="24"/>
          <w:szCs w:val="24"/>
        </w:rPr>
      </w:pPr>
    </w:p>
    <w:p w14:paraId="28BF797D" w14:textId="2A6C5169" w:rsidR="00757AF7" w:rsidRPr="00EF62A5" w:rsidRDefault="00F55B83" w:rsidP="00757AF7">
      <w:pPr>
        <w:spacing w:after="0" w:line="240" w:lineRule="auto"/>
        <w:rPr>
          <w:rFonts w:ascii="Times New Roman" w:hAnsi="Times New Roman"/>
          <w:sz w:val="24"/>
          <w:szCs w:val="24"/>
        </w:rPr>
      </w:pPr>
      <w:r>
        <w:rPr>
          <w:rFonts w:ascii="Times New Roman" w:hAnsi="Times New Roman"/>
          <w:sz w:val="24"/>
          <w:szCs w:val="24"/>
        </w:rPr>
        <w:t>Since the issuance of the proposed rule, staff found that section 157.203(d)(3)(</w:t>
      </w:r>
      <w:proofErr w:type="spellStart"/>
      <w:r>
        <w:rPr>
          <w:rFonts w:ascii="Times New Roman" w:hAnsi="Times New Roman"/>
          <w:sz w:val="24"/>
          <w:szCs w:val="24"/>
        </w:rPr>
        <w:t>i</w:t>
      </w:r>
      <w:proofErr w:type="spellEnd"/>
      <w:r>
        <w:rPr>
          <w:rFonts w:ascii="Times New Roman" w:hAnsi="Times New Roman"/>
          <w:sz w:val="24"/>
          <w:szCs w:val="24"/>
        </w:rPr>
        <w:t>) of the regulations provided an exemption for projects that would have been done under section 2.55(b), but for the fact that the replacement projects are not of the same capacity.  To provide consistency with the section 2.55 landowner notification requirements the Commission is amending section 157.203 to require landowner notification when the project involves ground disturbance.  Similar to section 2.55(b), we estimate that companies undertake a</w:t>
      </w:r>
      <w:r w:rsidR="00D141FC">
        <w:rPr>
          <w:rFonts w:ascii="Times New Roman" w:hAnsi="Times New Roman"/>
          <w:sz w:val="24"/>
          <w:szCs w:val="24"/>
        </w:rPr>
        <w:t>pproximately 500 section 157.203</w:t>
      </w:r>
      <w:r>
        <w:rPr>
          <w:rFonts w:ascii="Times New Roman" w:hAnsi="Times New Roman"/>
          <w:sz w:val="24"/>
          <w:szCs w:val="24"/>
        </w:rPr>
        <w:t>(d</w:t>
      </w:r>
      <w:proofErr w:type="gramStart"/>
      <w:r>
        <w:rPr>
          <w:rFonts w:ascii="Times New Roman" w:hAnsi="Times New Roman"/>
          <w:sz w:val="24"/>
          <w:szCs w:val="24"/>
        </w:rPr>
        <w:t>)(</w:t>
      </w:r>
      <w:proofErr w:type="gramEnd"/>
      <w:r>
        <w:rPr>
          <w:rFonts w:ascii="Times New Roman" w:hAnsi="Times New Roman"/>
          <w:sz w:val="24"/>
          <w:szCs w:val="24"/>
        </w:rPr>
        <w:t>3)(</w:t>
      </w:r>
      <w:proofErr w:type="spellStart"/>
      <w:r>
        <w:rPr>
          <w:rFonts w:ascii="Times New Roman" w:hAnsi="Times New Roman"/>
          <w:sz w:val="24"/>
          <w:szCs w:val="24"/>
        </w:rPr>
        <w:t>i</w:t>
      </w:r>
      <w:proofErr w:type="spellEnd"/>
      <w:r>
        <w:rPr>
          <w:rFonts w:ascii="Times New Roman" w:hAnsi="Times New Roman"/>
          <w:sz w:val="24"/>
          <w:szCs w:val="24"/>
        </w:rPr>
        <w:t>) projects per year total.  Therefore, 500 projects divided by 165 is approximately three projects per entity</w:t>
      </w:r>
      <w:r w:rsidRPr="00EF62A5">
        <w:rPr>
          <w:rFonts w:ascii="Times New Roman" w:hAnsi="Times New Roman"/>
          <w:sz w:val="24"/>
          <w:szCs w:val="24"/>
        </w:rPr>
        <w:t>.</w:t>
      </w:r>
    </w:p>
    <w:p w14:paraId="54A48082" w14:textId="77777777" w:rsidR="00757AF7" w:rsidRDefault="00757AF7" w:rsidP="00757AF7">
      <w:pPr>
        <w:spacing w:after="0" w:line="240" w:lineRule="auto"/>
        <w:rPr>
          <w:rFonts w:ascii="Times New Roman" w:hAnsi="Times New Roman"/>
          <w:sz w:val="24"/>
          <w:szCs w:val="24"/>
        </w:rPr>
      </w:pPr>
    </w:p>
    <w:p w14:paraId="45E2DBBC" w14:textId="19646A08"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Section 380.15 siting and maintenance activities, like activities under 2.55(a), do not require companies to submit an annual report.  These activities are generally minor and planned for well in advance and cover a wide variety of efforts</w:t>
      </w:r>
      <w:r>
        <w:rPr>
          <w:rFonts w:ascii="Times New Roman" w:hAnsi="Times New Roman"/>
          <w:sz w:val="24"/>
          <w:szCs w:val="24"/>
        </w:rPr>
        <w:t xml:space="preserve"> (</w:t>
      </w:r>
      <w:r w:rsidRPr="00EF62A5">
        <w:rPr>
          <w:rFonts w:ascii="Times New Roman" w:hAnsi="Times New Roman"/>
          <w:sz w:val="24"/>
          <w:szCs w:val="24"/>
        </w:rPr>
        <w:t>e.g. physical up-keep of above-ground facilities and right-of-way vegetation maintenance</w:t>
      </w:r>
      <w:r>
        <w:rPr>
          <w:rFonts w:ascii="Times New Roman" w:hAnsi="Times New Roman"/>
          <w:sz w:val="24"/>
          <w:szCs w:val="24"/>
        </w:rPr>
        <w:t>)</w:t>
      </w:r>
      <w:r w:rsidRPr="00EF62A5">
        <w:rPr>
          <w:rFonts w:ascii="Times New Roman" w:hAnsi="Times New Roman"/>
          <w:sz w:val="24"/>
          <w:szCs w:val="24"/>
        </w:rPr>
        <w:t>.  </w:t>
      </w:r>
      <w:r>
        <w:rPr>
          <w:rFonts w:ascii="Times New Roman" w:hAnsi="Times New Roman"/>
          <w:sz w:val="24"/>
          <w:szCs w:val="24"/>
        </w:rPr>
        <w:t>[</w:t>
      </w:r>
      <w:r w:rsidRPr="00EF62A5">
        <w:rPr>
          <w:rFonts w:ascii="Times New Roman" w:hAnsi="Times New Roman"/>
          <w:sz w:val="24"/>
          <w:szCs w:val="24"/>
        </w:rPr>
        <w:t>Further, any particular company's activities on its right-of-way can depend upon changing conditions such as maintenance initiatives</w:t>
      </w:r>
      <w:r>
        <w:rPr>
          <w:rFonts w:ascii="Times New Roman" w:hAnsi="Times New Roman"/>
          <w:sz w:val="24"/>
          <w:szCs w:val="24"/>
        </w:rPr>
        <w:t>,</w:t>
      </w:r>
      <w:r w:rsidRPr="00EF62A5">
        <w:rPr>
          <w:rFonts w:ascii="Times New Roman" w:hAnsi="Times New Roman"/>
          <w:sz w:val="24"/>
          <w:szCs w:val="24"/>
        </w:rPr>
        <w:t xml:space="preserve"> population density</w:t>
      </w:r>
      <w:r>
        <w:rPr>
          <w:rFonts w:ascii="Times New Roman" w:hAnsi="Times New Roman"/>
          <w:sz w:val="24"/>
          <w:szCs w:val="24"/>
        </w:rPr>
        <w:t>,</w:t>
      </w:r>
      <w:r w:rsidRPr="00EF62A5">
        <w:rPr>
          <w:rFonts w:ascii="Times New Roman" w:hAnsi="Times New Roman"/>
          <w:sz w:val="24"/>
          <w:szCs w:val="24"/>
        </w:rPr>
        <w:t xml:space="preserve"> and even weather.  Because of this variety of possible activities and their minor nature we have estimated that, for all companies nationwide, there will be a total of approximately t</w:t>
      </w:r>
      <w:r w:rsidR="00955A86">
        <w:rPr>
          <w:rFonts w:ascii="Times New Roman" w:hAnsi="Times New Roman"/>
          <w:sz w:val="24"/>
          <w:szCs w:val="24"/>
        </w:rPr>
        <w:t>wo</w:t>
      </w:r>
      <w:r w:rsidRPr="00EF62A5">
        <w:rPr>
          <w:rFonts w:ascii="Times New Roman" w:hAnsi="Times New Roman"/>
          <w:sz w:val="24"/>
          <w:szCs w:val="24"/>
        </w:rPr>
        <w:t xml:space="preserve"> times as many activities as take place under </w:t>
      </w:r>
      <w:r>
        <w:rPr>
          <w:rFonts w:ascii="Times New Roman" w:hAnsi="Times New Roman"/>
          <w:sz w:val="24"/>
          <w:szCs w:val="24"/>
        </w:rPr>
        <w:t>S</w:t>
      </w:r>
      <w:r w:rsidRPr="00EF62A5">
        <w:rPr>
          <w:rFonts w:ascii="Times New Roman" w:hAnsi="Times New Roman"/>
          <w:sz w:val="24"/>
          <w:szCs w:val="24"/>
        </w:rPr>
        <w:t xml:space="preserve">ection 2.55(a) which would require a landowner </w:t>
      </w:r>
      <w:r w:rsidRPr="002A4695">
        <w:rPr>
          <w:rFonts w:ascii="Times New Roman" w:hAnsi="Times New Roman"/>
          <w:sz w:val="24"/>
          <w:szCs w:val="24"/>
        </w:rPr>
        <w:t xml:space="preserve">notification (i.e., in the aggregate, </w:t>
      </w:r>
      <w:r w:rsidR="002A4695" w:rsidRPr="002A4695">
        <w:rPr>
          <w:rFonts w:ascii="Times New Roman" w:hAnsi="Times New Roman"/>
          <w:sz w:val="24"/>
          <w:szCs w:val="24"/>
        </w:rPr>
        <w:t>15,</w:t>
      </w:r>
      <w:r w:rsidR="005B5F70">
        <w:rPr>
          <w:rFonts w:ascii="Times New Roman" w:hAnsi="Times New Roman"/>
          <w:sz w:val="24"/>
          <w:szCs w:val="24"/>
        </w:rPr>
        <w:t>180</w:t>
      </w:r>
      <w:r w:rsidRPr="002A4695">
        <w:rPr>
          <w:rFonts w:ascii="Times New Roman" w:hAnsi="Times New Roman"/>
          <w:sz w:val="24"/>
          <w:szCs w:val="24"/>
        </w:rPr>
        <w:t xml:space="preserve"> siting and maintenance activities that could require a landowner notification).</w:t>
      </w:r>
      <w:r w:rsidRPr="00EF62A5">
        <w:rPr>
          <w:rFonts w:ascii="Times New Roman" w:hAnsi="Times New Roman"/>
          <w:sz w:val="24"/>
          <w:szCs w:val="24"/>
        </w:rPr>
        <w:t xml:space="preserve">  </w:t>
      </w:r>
    </w:p>
    <w:p w14:paraId="2B149357" w14:textId="77777777" w:rsidR="00757AF7" w:rsidRDefault="00757AF7" w:rsidP="00757AF7">
      <w:pPr>
        <w:spacing w:after="0" w:line="240" w:lineRule="auto"/>
        <w:rPr>
          <w:rFonts w:ascii="Times New Roman" w:hAnsi="Times New Roman"/>
          <w:sz w:val="24"/>
          <w:szCs w:val="24"/>
        </w:rPr>
      </w:pPr>
    </w:p>
    <w:p w14:paraId="4F65347D" w14:textId="77777777" w:rsidR="00757AF7" w:rsidRPr="00EF62A5" w:rsidRDefault="00757AF7" w:rsidP="00757AF7">
      <w:pPr>
        <w:spacing w:after="0" w:line="240" w:lineRule="auto"/>
        <w:rPr>
          <w:rFonts w:ascii="Times New Roman" w:hAnsi="Times New Roman"/>
          <w:sz w:val="24"/>
          <w:szCs w:val="24"/>
        </w:rPr>
      </w:pPr>
      <w:r>
        <w:rPr>
          <w:rFonts w:ascii="Times New Roman" w:hAnsi="Times New Roman"/>
          <w:sz w:val="24"/>
          <w:szCs w:val="24"/>
        </w:rPr>
        <w:t>The Commission</w:t>
      </w:r>
      <w:r w:rsidRPr="00EF62A5">
        <w:rPr>
          <w:rFonts w:ascii="Times New Roman" w:hAnsi="Times New Roman"/>
          <w:sz w:val="24"/>
          <w:szCs w:val="24"/>
        </w:rPr>
        <w:t xml:space="preserve"> estimate</w:t>
      </w:r>
      <w:r>
        <w:rPr>
          <w:rFonts w:ascii="Times New Roman" w:hAnsi="Times New Roman"/>
          <w:sz w:val="24"/>
          <w:szCs w:val="24"/>
        </w:rPr>
        <w:t>s</w:t>
      </w:r>
      <w:r w:rsidRPr="00EF62A5">
        <w:rPr>
          <w:rFonts w:ascii="Times New Roman" w:hAnsi="Times New Roman"/>
          <w:sz w:val="24"/>
          <w:szCs w:val="24"/>
        </w:rPr>
        <w:t xml:space="preserve"> the proposed additional notification burden that the proposal would impose in the table below.</w:t>
      </w:r>
    </w:p>
    <w:tbl>
      <w:tblPr>
        <w:tblpPr w:leftFromText="180" w:rightFromText="180" w:vertAnchor="text" w:horzAnchor="margin" w:tblpX="108" w:tblpY="19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930"/>
        <w:gridCol w:w="2080"/>
        <w:gridCol w:w="2080"/>
        <w:gridCol w:w="1950"/>
      </w:tblGrid>
      <w:tr w:rsidR="00757AF7" w:rsidRPr="00412B66" w14:paraId="71002FAA" w14:textId="77777777" w:rsidTr="00400F07">
        <w:trPr>
          <w:trHeight w:val="1433"/>
        </w:trPr>
        <w:tc>
          <w:tcPr>
            <w:tcW w:w="1710" w:type="dxa"/>
            <w:shd w:val="clear" w:color="auto" w:fill="BFBFBF"/>
            <w:vAlign w:val="bottom"/>
          </w:tcPr>
          <w:p w14:paraId="789B8EFA" w14:textId="77777777" w:rsidR="00757AF7" w:rsidRPr="00412B66" w:rsidRDefault="00757AF7" w:rsidP="00400F07">
            <w:pPr>
              <w:spacing w:after="0" w:line="240" w:lineRule="auto"/>
              <w:jc w:val="center"/>
              <w:rPr>
                <w:rFonts w:ascii="Times New Roman" w:hAnsi="Times New Roman"/>
                <w:b/>
                <w:sz w:val="24"/>
                <w:szCs w:val="24"/>
              </w:rPr>
            </w:pPr>
            <w:r>
              <w:rPr>
                <w:rFonts w:ascii="Times New Roman" w:hAnsi="Times New Roman"/>
                <w:b/>
                <w:sz w:val="24"/>
                <w:szCs w:val="24"/>
              </w:rPr>
              <w:t>Regulation Section for New Landowner Notification Requirements</w:t>
            </w:r>
          </w:p>
        </w:tc>
        <w:tc>
          <w:tcPr>
            <w:tcW w:w="1930" w:type="dxa"/>
            <w:shd w:val="clear" w:color="auto" w:fill="BFBFBF"/>
            <w:vAlign w:val="bottom"/>
          </w:tcPr>
          <w:p w14:paraId="02C8F86C"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Annual Number of Respondents</w:t>
            </w:r>
          </w:p>
          <w:p w14:paraId="72EEF46A"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w:t>
            </w:r>
          </w:p>
        </w:tc>
        <w:tc>
          <w:tcPr>
            <w:tcW w:w="2080" w:type="dxa"/>
            <w:shd w:val="clear" w:color="auto" w:fill="BFBFBF"/>
            <w:vAlign w:val="bottom"/>
          </w:tcPr>
          <w:p w14:paraId="542374A7"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Annual Number of Filings Per Respondent</w:t>
            </w:r>
            <w:r w:rsidRPr="00412B66">
              <w:rPr>
                <w:rFonts w:ascii="Times New Roman" w:hAnsi="Times New Roman"/>
                <w:b/>
                <w:sz w:val="24"/>
                <w:szCs w:val="24"/>
                <w:vertAlign w:val="superscript"/>
              </w:rPr>
              <w:footnoteReference w:id="9"/>
            </w:r>
          </w:p>
          <w:p w14:paraId="6F3F1BE2"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(B)</w:t>
            </w:r>
          </w:p>
        </w:tc>
        <w:tc>
          <w:tcPr>
            <w:tcW w:w="2080" w:type="dxa"/>
            <w:shd w:val="clear" w:color="auto" w:fill="BFBFBF"/>
            <w:vAlign w:val="bottom"/>
          </w:tcPr>
          <w:p w14:paraId="631D988C"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Number of Hours per Filing</w:t>
            </w:r>
          </w:p>
          <w:p w14:paraId="01721ED6"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(C)</w:t>
            </w:r>
          </w:p>
        </w:tc>
        <w:tc>
          <w:tcPr>
            <w:tcW w:w="1950" w:type="dxa"/>
            <w:shd w:val="clear" w:color="auto" w:fill="BFBFBF"/>
            <w:vAlign w:val="bottom"/>
          </w:tcPr>
          <w:p w14:paraId="1215A168"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Total Annual Hours</w:t>
            </w:r>
          </w:p>
          <w:p w14:paraId="62DDC5F5"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w:t>
            </w:r>
            <w:r>
              <w:rPr>
                <w:rFonts w:ascii="Times New Roman" w:hAnsi="Times New Roman"/>
                <w:b/>
                <w:sz w:val="24"/>
                <w:szCs w:val="24"/>
              </w:rPr>
              <w:t>)</w:t>
            </w:r>
            <w:r w:rsidRPr="00412B66">
              <w:rPr>
                <w:rFonts w:ascii="Times New Roman" w:hAnsi="Times New Roman"/>
                <w:b/>
                <w:sz w:val="24"/>
                <w:szCs w:val="24"/>
              </w:rPr>
              <w:t>*</w:t>
            </w:r>
            <w:r>
              <w:rPr>
                <w:rFonts w:ascii="Times New Roman" w:hAnsi="Times New Roman"/>
                <w:b/>
                <w:sz w:val="24"/>
                <w:szCs w:val="24"/>
              </w:rPr>
              <w:t>(</w:t>
            </w:r>
            <w:r w:rsidRPr="00412B66">
              <w:rPr>
                <w:rFonts w:ascii="Times New Roman" w:hAnsi="Times New Roman"/>
                <w:b/>
                <w:sz w:val="24"/>
                <w:szCs w:val="24"/>
              </w:rPr>
              <w:t>B</w:t>
            </w:r>
            <w:r>
              <w:rPr>
                <w:rFonts w:ascii="Times New Roman" w:hAnsi="Times New Roman"/>
                <w:b/>
                <w:sz w:val="24"/>
                <w:szCs w:val="24"/>
              </w:rPr>
              <w:t>)</w:t>
            </w:r>
            <w:r w:rsidRPr="00412B66">
              <w:rPr>
                <w:rFonts w:ascii="Times New Roman" w:hAnsi="Times New Roman"/>
                <w:b/>
                <w:sz w:val="24"/>
                <w:szCs w:val="24"/>
              </w:rPr>
              <w:t>*</w:t>
            </w:r>
            <w:r>
              <w:rPr>
                <w:rFonts w:ascii="Times New Roman" w:hAnsi="Times New Roman"/>
                <w:b/>
                <w:sz w:val="24"/>
                <w:szCs w:val="24"/>
              </w:rPr>
              <w:t>(</w:t>
            </w:r>
            <w:r w:rsidRPr="00412B66">
              <w:rPr>
                <w:rFonts w:ascii="Times New Roman" w:hAnsi="Times New Roman"/>
                <w:b/>
                <w:sz w:val="24"/>
                <w:szCs w:val="24"/>
              </w:rPr>
              <w:t>C)</w:t>
            </w:r>
            <w:r w:rsidRPr="00412B66">
              <w:rPr>
                <w:rStyle w:val="FootnoteReference"/>
                <w:rFonts w:ascii="Times New Roman" w:hAnsi="Times New Roman"/>
                <w:b/>
                <w:sz w:val="24"/>
                <w:szCs w:val="24"/>
                <w:vertAlign w:val="superscript"/>
              </w:rPr>
              <w:footnoteReference w:id="10"/>
            </w:r>
          </w:p>
        </w:tc>
      </w:tr>
      <w:tr w:rsidR="00757AF7" w:rsidRPr="00412B66" w14:paraId="64D662A9" w14:textId="77777777" w:rsidTr="00400F07">
        <w:tc>
          <w:tcPr>
            <w:tcW w:w="1710" w:type="dxa"/>
          </w:tcPr>
          <w:p w14:paraId="2F318552"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2.55(a)</w:t>
            </w:r>
          </w:p>
        </w:tc>
        <w:tc>
          <w:tcPr>
            <w:tcW w:w="1930" w:type="dxa"/>
            <w:vAlign w:val="bottom"/>
          </w:tcPr>
          <w:p w14:paraId="19D4584F"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024C870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46</w:t>
            </w:r>
          </w:p>
        </w:tc>
        <w:tc>
          <w:tcPr>
            <w:tcW w:w="2080" w:type="dxa"/>
            <w:vAlign w:val="bottom"/>
          </w:tcPr>
          <w:p w14:paraId="4CE5A19D"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2075DE1B"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15,180</w:t>
            </w:r>
          </w:p>
        </w:tc>
      </w:tr>
      <w:tr w:rsidR="00757AF7" w:rsidRPr="00412B66" w14:paraId="2E24F70B" w14:textId="77777777" w:rsidTr="00400F07">
        <w:tc>
          <w:tcPr>
            <w:tcW w:w="1710" w:type="dxa"/>
          </w:tcPr>
          <w:p w14:paraId="0F93D7B9"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2.55(b)</w:t>
            </w:r>
          </w:p>
        </w:tc>
        <w:tc>
          <w:tcPr>
            <w:tcW w:w="1930" w:type="dxa"/>
            <w:vAlign w:val="bottom"/>
          </w:tcPr>
          <w:p w14:paraId="35C77E05"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413A46EE"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3</w:t>
            </w:r>
          </w:p>
        </w:tc>
        <w:tc>
          <w:tcPr>
            <w:tcW w:w="2080" w:type="dxa"/>
            <w:vAlign w:val="bottom"/>
          </w:tcPr>
          <w:p w14:paraId="73BFEC61"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24DC2FD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990</w:t>
            </w:r>
          </w:p>
        </w:tc>
      </w:tr>
      <w:tr w:rsidR="00757AF7" w:rsidRPr="00412B66" w14:paraId="3461F4FA" w14:textId="77777777" w:rsidTr="00400F07">
        <w:tc>
          <w:tcPr>
            <w:tcW w:w="1710" w:type="dxa"/>
          </w:tcPr>
          <w:p w14:paraId="5B263EF4" w14:textId="77777777" w:rsidR="00757AF7" w:rsidRPr="00412B66" w:rsidRDefault="00757AF7" w:rsidP="00400F07">
            <w:pPr>
              <w:spacing w:after="0" w:line="240" w:lineRule="auto"/>
              <w:rPr>
                <w:rFonts w:ascii="Times New Roman" w:hAnsi="Times New Roman"/>
                <w:sz w:val="24"/>
                <w:szCs w:val="24"/>
              </w:rPr>
            </w:pPr>
            <w:r>
              <w:rPr>
                <w:rFonts w:ascii="Times New Roman" w:hAnsi="Times New Roman"/>
                <w:sz w:val="24"/>
                <w:szCs w:val="24"/>
              </w:rPr>
              <w:t>18 CFR 157.203(d)(3)</w:t>
            </w:r>
          </w:p>
        </w:tc>
        <w:tc>
          <w:tcPr>
            <w:tcW w:w="1930" w:type="dxa"/>
            <w:vAlign w:val="bottom"/>
          </w:tcPr>
          <w:p w14:paraId="654A0E4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165</w:t>
            </w:r>
          </w:p>
        </w:tc>
        <w:tc>
          <w:tcPr>
            <w:tcW w:w="2080" w:type="dxa"/>
            <w:vAlign w:val="bottom"/>
          </w:tcPr>
          <w:p w14:paraId="65137CE2"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3</w:t>
            </w:r>
          </w:p>
        </w:tc>
        <w:tc>
          <w:tcPr>
            <w:tcW w:w="2080" w:type="dxa"/>
            <w:vAlign w:val="bottom"/>
          </w:tcPr>
          <w:p w14:paraId="37AACCEF"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2</w:t>
            </w:r>
          </w:p>
        </w:tc>
        <w:tc>
          <w:tcPr>
            <w:tcW w:w="1950" w:type="dxa"/>
            <w:vAlign w:val="bottom"/>
          </w:tcPr>
          <w:p w14:paraId="2E84B6B4"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990</w:t>
            </w:r>
          </w:p>
        </w:tc>
      </w:tr>
      <w:tr w:rsidR="00757AF7" w:rsidRPr="00412B66" w14:paraId="3F180EBB" w14:textId="77777777" w:rsidTr="00400F07">
        <w:tc>
          <w:tcPr>
            <w:tcW w:w="1710" w:type="dxa"/>
          </w:tcPr>
          <w:p w14:paraId="2CFFEFA4"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380.15</w:t>
            </w:r>
          </w:p>
        </w:tc>
        <w:tc>
          <w:tcPr>
            <w:tcW w:w="1930" w:type="dxa"/>
            <w:vAlign w:val="bottom"/>
          </w:tcPr>
          <w:p w14:paraId="719931BA"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1D15B3E5"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92</w:t>
            </w:r>
          </w:p>
        </w:tc>
        <w:tc>
          <w:tcPr>
            <w:tcW w:w="2080" w:type="dxa"/>
            <w:vAlign w:val="bottom"/>
          </w:tcPr>
          <w:p w14:paraId="64A30D50"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5E42ADF2"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30,360</w:t>
            </w:r>
          </w:p>
        </w:tc>
      </w:tr>
      <w:tr w:rsidR="00757AF7" w:rsidRPr="00412B66" w14:paraId="17C2C3BF" w14:textId="77777777" w:rsidTr="00400F07">
        <w:tc>
          <w:tcPr>
            <w:tcW w:w="1710" w:type="dxa"/>
          </w:tcPr>
          <w:p w14:paraId="18F9F267" w14:textId="77777777" w:rsidR="00757AF7" w:rsidRPr="00412B66" w:rsidRDefault="00757AF7" w:rsidP="00400F07">
            <w:pPr>
              <w:spacing w:after="0" w:line="240" w:lineRule="auto"/>
              <w:jc w:val="right"/>
              <w:rPr>
                <w:rFonts w:ascii="Times New Roman" w:hAnsi="Times New Roman"/>
                <w:b/>
                <w:sz w:val="24"/>
                <w:szCs w:val="24"/>
              </w:rPr>
            </w:pPr>
            <w:r w:rsidRPr="00412B66">
              <w:rPr>
                <w:rFonts w:ascii="Times New Roman" w:hAnsi="Times New Roman"/>
                <w:b/>
                <w:sz w:val="24"/>
                <w:szCs w:val="24"/>
              </w:rPr>
              <w:lastRenderedPageBreak/>
              <w:t>TOTAL</w:t>
            </w:r>
          </w:p>
        </w:tc>
        <w:tc>
          <w:tcPr>
            <w:tcW w:w="1930" w:type="dxa"/>
            <w:vAlign w:val="bottom"/>
          </w:tcPr>
          <w:p w14:paraId="47D5246C"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4160" w:type="dxa"/>
            <w:gridSpan w:val="2"/>
            <w:shd w:val="clear" w:color="auto" w:fill="A6A6A6"/>
            <w:vAlign w:val="bottom"/>
          </w:tcPr>
          <w:p w14:paraId="56E31641" w14:textId="77777777" w:rsidR="00757AF7" w:rsidRPr="00412B66" w:rsidRDefault="00757AF7" w:rsidP="00400F07">
            <w:pPr>
              <w:spacing w:after="0" w:line="240" w:lineRule="auto"/>
              <w:jc w:val="right"/>
              <w:rPr>
                <w:rFonts w:ascii="Times New Roman" w:hAnsi="Times New Roman"/>
                <w:sz w:val="24"/>
                <w:szCs w:val="24"/>
              </w:rPr>
            </w:pPr>
          </w:p>
        </w:tc>
        <w:tc>
          <w:tcPr>
            <w:tcW w:w="1950" w:type="dxa"/>
            <w:vAlign w:val="bottom"/>
          </w:tcPr>
          <w:p w14:paraId="60D99F57"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47,520</w:t>
            </w:r>
          </w:p>
        </w:tc>
      </w:tr>
    </w:tbl>
    <w:p w14:paraId="25DC2285" w14:textId="77777777"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p>
    <w:p w14:paraId="092521A2" w14:textId="77777777" w:rsidR="00757AF7"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As discussed above, natural gas companies already conduct landowner not</w:t>
      </w:r>
      <w:r>
        <w:rPr>
          <w:rFonts w:ascii="Times New Roman" w:hAnsi="Times New Roman"/>
          <w:sz w:val="24"/>
          <w:szCs w:val="24"/>
        </w:rPr>
        <w:t>ifications for larger projects</w:t>
      </w:r>
      <w:r w:rsidRPr="00EF62A5">
        <w:rPr>
          <w:rFonts w:ascii="Times New Roman" w:hAnsi="Times New Roman"/>
          <w:sz w:val="24"/>
          <w:szCs w:val="24"/>
        </w:rPr>
        <w:t>, and some companies also routinely inform affected landowners in advance of undertaking activities on their property as it is considered a “best practice” for facility and right-of-way management.  Given that some companies currently comply with the notification requirements proposed herein, we believe that the actual industry-wide increase in burden will be substantially less than what we have estimated here.</w:t>
      </w:r>
    </w:p>
    <w:p w14:paraId="70880B1B" w14:textId="77777777" w:rsidR="00757AF7" w:rsidRPr="00EF62A5" w:rsidRDefault="00757AF7" w:rsidP="00757AF7">
      <w:pPr>
        <w:spacing w:after="0" w:line="240" w:lineRule="auto"/>
        <w:rPr>
          <w:rFonts w:ascii="Times New Roman" w:hAnsi="Times New Roman"/>
          <w:sz w:val="24"/>
          <w:szCs w:val="24"/>
        </w:rPr>
      </w:pPr>
    </w:p>
    <w:p w14:paraId="24E45870" w14:textId="77777777" w:rsidR="00D141FC" w:rsidRDefault="00757AF7" w:rsidP="00D141FC">
      <w:pPr>
        <w:spacing w:after="0" w:line="240" w:lineRule="auto"/>
        <w:rPr>
          <w:rFonts w:ascii="Times New Roman" w:hAnsi="Times New Roman"/>
          <w:sz w:val="24"/>
          <w:szCs w:val="24"/>
        </w:rPr>
      </w:pPr>
      <w:r w:rsidRPr="00EF62A5">
        <w:rPr>
          <w:rFonts w:ascii="Times New Roman" w:hAnsi="Times New Roman"/>
          <w:b/>
          <w:sz w:val="24"/>
          <w:szCs w:val="24"/>
        </w:rPr>
        <w:t>Information Collection Costs</w:t>
      </w:r>
      <w:r>
        <w:rPr>
          <w:rFonts w:ascii="Times New Roman" w:hAnsi="Times New Roman"/>
          <w:b/>
          <w:sz w:val="24"/>
          <w:szCs w:val="24"/>
        </w:rPr>
        <w:t xml:space="preserve"> for the changes in the Final Rule</w:t>
      </w:r>
      <w:r w:rsidRPr="00EF62A5">
        <w:rPr>
          <w:rFonts w:ascii="Times New Roman" w:hAnsi="Times New Roman"/>
          <w:b/>
          <w:sz w:val="24"/>
          <w:szCs w:val="24"/>
        </w:rPr>
        <w:t>:</w:t>
      </w:r>
      <w:r w:rsidRPr="00EF62A5">
        <w:rPr>
          <w:rFonts w:ascii="Times New Roman" w:hAnsi="Times New Roman"/>
          <w:sz w:val="24"/>
          <w:szCs w:val="24"/>
        </w:rPr>
        <w:t xml:space="preserve">  </w:t>
      </w:r>
      <w:r w:rsidR="00D141FC" w:rsidRPr="00D141FC">
        <w:rPr>
          <w:rFonts w:ascii="Times New Roman" w:hAnsi="Times New Roman"/>
          <w:sz w:val="24"/>
          <w:szCs w:val="24"/>
        </w:rPr>
        <w:t>The Commission projects the average cost for all respondents to be as follows:</w:t>
      </w:r>
      <w:r w:rsidR="00D141FC" w:rsidRPr="00D141FC">
        <w:rPr>
          <w:rFonts w:ascii="Times New Roman" w:hAnsi="Times New Roman"/>
          <w:b/>
          <w:sz w:val="24"/>
          <w:szCs w:val="24"/>
          <w:vertAlign w:val="superscript"/>
        </w:rPr>
        <w:footnoteReference w:id="11"/>
      </w:r>
      <w:r w:rsidR="00D141FC" w:rsidRPr="00D141FC">
        <w:rPr>
          <w:rFonts w:ascii="Times New Roman" w:hAnsi="Times New Roman"/>
          <w:sz w:val="24"/>
          <w:szCs w:val="24"/>
        </w:rPr>
        <w:t xml:space="preserve"> </w:t>
      </w:r>
    </w:p>
    <w:p w14:paraId="5C089734" w14:textId="77777777" w:rsidR="00D141FC" w:rsidRPr="00D141FC" w:rsidRDefault="00D141FC" w:rsidP="00D141FC">
      <w:pPr>
        <w:spacing w:after="0" w:line="240" w:lineRule="auto"/>
        <w:rPr>
          <w:rFonts w:ascii="Times New Roman" w:hAnsi="Times New Roman"/>
          <w:sz w:val="24"/>
          <w:szCs w:val="24"/>
        </w:rPr>
      </w:pPr>
    </w:p>
    <w:p w14:paraId="67218206" w14:textId="77777777" w:rsidR="00D141FC" w:rsidRPr="00D141FC" w:rsidRDefault="00D141FC" w:rsidP="00D141FC">
      <w:pPr>
        <w:numPr>
          <w:ilvl w:val="0"/>
          <w:numId w:val="8"/>
        </w:numPr>
        <w:spacing w:after="0" w:line="240" w:lineRule="auto"/>
        <w:rPr>
          <w:rFonts w:ascii="Times New Roman" w:hAnsi="Times New Roman"/>
          <w:sz w:val="24"/>
          <w:szCs w:val="24"/>
        </w:rPr>
      </w:pPr>
      <w:r w:rsidRPr="00D141FC">
        <w:rPr>
          <w:rFonts w:ascii="Times New Roman" w:hAnsi="Times New Roman"/>
          <w:sz w:val="24"/>
          <w:szCs w:val="24"/>
        </w:rPr>
        <w:t>$2,898,720 per year for all regulated entities;</w:t>
      </w:r>
    </w:p>
    <w:p w14:paraId="0B860902" w14:textId="77777777" w:rsidR="00D141FC" w:rsidRPr="00D141FC" w:rsidRDefault="00D141FC" w:rsidP="00D141FC">
      <w:pPr>
        <w:numPr>
          <w:ilvl w:val="0"/>
          <w:numId w:val="8"/>
        </w:numPr>
        <w:spacing w:after="0" w:line="240" w:lineRule="auto"/>
        <w:rPr>
          <w:rFonts w:ascii="Times New Roman" w:hAnsi="Times New Roman"/>
          <w:sz w:val="24"/>
          <w:szCs w:val="24"/>
        </w:rPr>
      </w:pPr>
      <w:r w:rsidRPr="00D141FC">
        <w:rPr>
          <w:rFonts w:ascii="Times New Roman" w:hAnsi="Times New Roman"/>
          <w:sz w:val="24"/>
          <w:szCs w:val="24"/>
        </w:rPr>
        <w:t>$17,568 per year for each regulated entity.</w:t>
      </w:r>
    </w:p>
    <w:p w14:paraId="178EA329" w14:textId="614811EB" w:rsidR="00ED6128" w:rsidRPr="00D80FBD" w:rsidRDefault="00ED6128" w:rsidP="00D141FC">
      <w:pPr>
        <w:spacing w:after="0" w:line="240" w:lineRule="auto"/>
        <w:rPr>
          <w:rFonts w:ascii="Times New Roman" w:hAnsi="Times New Roman"/>
          <w:sz w:val="24"/>
          <w:szCs w:val="24"/>
        </w:rPr>
      </w:pPr>
    </w:p>
    <w:p w14:paraId="178EA32A"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ESTIMATE OF THE TOTAL ANNUAL COST BURDEN TO RESPONDENTS</w:t>
      </w:r>
    </w:p>
    <w:p w14:paraId="178EA32B" w14:textId="77777777" w:rsidR="00ED6128" w:rsidRDefault="00ED6128" w:rsidP="008F4F57">
      <w:pPr>
        <w:spacing w:after="0" w:line="240" w:lineRule="auto"/>
        <w:rPr>
          <w:rFonts w:ascii="Times New Roman" w:hAnsi="Times New Roman"/>
          <w:sz w:val="24"/>
          <w:szCs w:val="24"/>
        </w:rPr>
      </w:pPr>
    </w:p>
    <w:p w14:paraId="178EA32C"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There are no non-labor costs associated with the existing or landowner notification requirements.</w:t>
      </w:r>
    </w:p>
    <w:p w14:paraId="178EA32D" w14:textId="77777777" w:rsidR="00ED6128" w:rsidRPr="00E636D7" w:rsidRDefault="00ED6128" w:rsidP="008F4F57">
      <w:pPr>
        <w:spacing w:after="0" w:line="240" w:lineRule="auto"/>
        <w:rPr>
          <w:rFonts w:ascii="Times New Roman" w:hAnsi="Times New Roman"/>
          <w:sz w:val="24"/>
          <w:szCs w:val="24"/>
        </w:rPr>
      </w:pPr>
    </w:p>
    <w:p w14:paraId="178EA32E"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ESTIMATED ANNUALIZED COST TO FEDERAL GOVERNMENT</w:t>
      </w:r>
    </w:p>
    <w:p w14:paraId="178EA32F" w14:textId="77777777" w:rsidR="00ED6128" w:rsidRDefault="00ED6128" w:rsidP="008F4F57">
      <w:pPr>
        <w:spacing w:after="0" w:line="240" w:lineRule="auto"/>
        <w:rPr>
          <w:rFonts w:ascii="Times New Roman" w:hAnsi="Times New Roman"/>
          <w:sz w:val="24"/>
          <w:szCs w:val="24"/>
        </w:rPr>
      </w:pPr>
    </w:p>
    <w:p w14:paraId="178EA330" w14:textId="7AE8EE15" w:rsidR="00ED6128" w:rsidRDefault="00ED6128" w:rsidP="008F4F57">
      <w:pPr>
        <w:spacing w:after="0" w:line="240" w:lineRule="auto"/>
        <w:rPr>
          <w:rFonts w:ascii="Times New Roman" w:hAnsi="Times New Roman"/>
          <w:sz w:val="24"/>
          <w:szCs w:val="24"/>
        </w:rPr>
      </w:pPr>
      <w:r w:rsidRPr="0033690F">
        <w:rPr>
          <w:rFonts w:ascii="Times New Roman" w:hAnsi="Times New Roman"/>
          <w:sz w:val="24"/>
          <w:szCs w:val="24"/>
        </w:rPr>
        <w:t xml:space="preserve">Below is the Federal Cost estimate for the existing requirements under FERC-577.  The </w:t>
      </w:r>
      <w:r w:rsidR="00382D1F">
        <w:rPr>
          <w:rFonts w:ascii="Times New Roman" w:hAnsi="Times New Roman"/>
          <w:sz w:val="24"/>
          <w:szCs w:val="24"/>
        </w:rPr>
        <w:t xml:space="preserve">final </w:t>
      </w:r>
      <w:r w:rsidRPr="0033690F">
        <w:rPr>
          <w:rFonts w:ascii="Times New Roman" w:hAnsi="Times New Roman"/>
          <w:sz w:val="24"/>
          <w:szCs w:val="24"/>
        </w:rPr>
        <w:t xml:space="preserve">rule does not change the </w:t>
      </w:r>
      <w:r>
        <w:rPr>
          <w:rFonts w:ascii="Times New Roman" w:hAnsi="Times New Roman"/>
          <w:sz w:val="24"/>
          <w:szCs w:val="24"/>
        </w:rPr>
        <w:t xml:space="preserve">existing </w:t>
      </w:r>
      <w:r w:rsidRPr="0033690F">
        <w:rPr>
          <w:rFonts w:ascii="Times New Roman" w:hAnsi="Times New Roman"/>
          <w:sz w:val="24"/>
          <w:szCs w:val="24"/>
        </w:rPr>
        <w:t>Federal Cost estimate because the Commission will not be receiving or reviewing the landowner notifications.</w:t>
      </w:r>
    </w:p>
    <w:p w14:paraId="178EA331" w14:textId="77777777" w:rsidR="00ED6128" w:rsidRDefault="00ED6128" w:rsidP="008F4F5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3179"/>
        <w:gridCol w:w="3176"/>
      </w:tblGrid>
      <w:tr w:rsidR="00ED6128" w:rsidRPr="00412B66" w14:paraId="178EA335" w14:textId="77777777" w:rsidTr="00412B66">
        <w:tc>
          <w:tcPr>
            <w:tcW w:w="3432" w:type="dxa"/>
            <w:shd w:val="clear" w:color="auto" w:fill="CCCCCC"/>
            <w:vAlign w:val="bottom"/>
          </w:tcPr>
          <w:p w14:paraId="178EA332"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Type of Cost</w:t>
            </w:r>
          </w:p>
        </w:tc>
        <w:tc>
          <w:tcPr>
            <w:tcW w:w="3432" w:type="dxa"/>
            <w:shd w:val="clear" w:color="auto" w:fill="CCCCCC"/>
          </w:tcPr>
          <w:p w14:paraId="178EA333"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Number of Employees (FTEs)</w:t>
            </w:r>
          </w:p>
        </w:tc>
        <w:tc>
          <w:tcPr>
            <w:tcW w:w="3432" w:type="dxa"/>
            <w:shd w:val="clear" w:color="auto" w:fill="CCCCCC"/>
          </w:tcPr>
          <w:p w14:paraId="178EA334"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Estimated Annual Federal Cost</w:t>
            </w:r>
            <w:r w:rsidRPr="00412B66">
              <w:rPr>
                <w:rFonts w:ascii="Times New Roman" w:hAnsi="Times New Roman"/>
                <w:b/>
                <w:sz w:val="24"/>
                <w:szCs w:val="24"/>
                <w:vertAlign w:val="superscript"/>
              </w:rPr>
              <w:footnoteReference w:id="12"/>
            </w:r>
          </w:p>
        </w:tc>
      </w:tr>
      <w:tr w:rsidR="00ED6128" w:rsidRPr="00412B66" w14:paraId="178EA339" w14:textId="77777777" w:rsidTr="00412B66">
        <w:tc>
          <w:tcPr>
            <w:tcW w:w="3432" w:type="dxa"/>
          </w:tcPr>
          <w:p w14:paraId="178EA336" w14:textId="77777777" w:rsidR="00ED6128" w:rsidRPr="00412B66" w:rsidRDefault="00ED6128" w:rsidP="00412B66">
            <w:pPr>
              <w:spacing w:after="0" w:line="240" w:lineRule="auto"/>
              <w:rPr>
                <w:rFonts w:ascii="Times New Roman" w:hAnsi="Times New Roman"/>
                <w:sz w:val="24"/>
                <w:szCs w:val="24"/>
              </w:rPr>
            </w:pPr>
            <w:r w:rsidRPr="00412B66">
              <w:rPr>
                <w:rFonts w:ascii="Times New Roman" w:hAnsi="Times New Roman"/>
                <w:sz w:val="24"/>
                <w:szCs w:val="24"/>
              </w:rPr>
              <w:t>PRA Administration Cost</w:t>
            </w:r>
            <w:r w:rsidRPr="00412B66">
              <w:rPr>
                <w:rFonts w:ascii="Times New Roman" w:hAnsi="Times New Roman"/>
                <w:sz w:val="24"/>
                <w:szCs w:val="24"/>
                <w:vertAlign w:val="superscript"/>
              </w:rPr>
              <w:footnoteReference w:id="13"/>
            </w:r>
          </w:p>
        </w:tc>
        <w:tc>
          <w:tcPr>
            <w:tcW w:w="3432" w:type="dxa"/>
            <w:vAlign w:val="bottom"/>
          </w:tcPr>
          <w:p w14:paraId="178EA337" w14:textId="77777777" w:rsidR="00ED6128" w:rsidRPr="00412B66" w:rsidRDefault="00ED6128" w:rsidP="00412B66">
            <w:pPr>
              <w:spacing w:after="0" w:line="240" w:lineRule="auto"/>
              <w:jc w:val="right"/>
              <w:rPr>
                <w:rFonts w:ascii="Times New Roman" w:hAnsi="Times New Roman"/>
                <w:sz w:val="24"/>
                <w:szCs w:val="24"/>
              </w:rPr>
            </w:pPr>
          </w:p>
        </w:tc>
        <w:tc>
          <w:tcPr>
            <w:tcW w:w="3432" w:type="dxa"/>
            <w:vAlign w:val="bottom"/>
          </w:tcPr>
          <w:p w14:paraId="178EA338" w14:textId="5C28C1AC" w:rsidR="00ED6128" w:rsidRPr="00412B66" w:rsidRDefault="00ED6128" w:rsidP="005B7D4A">
            <w:pPr>
              <w:spacing w:after="0" w:line="240" w:lineRule="auto"/>
              <w:jc w:val="right"/>
              <w:rPr>
                <w:rFonts w:ascii="Times New Roman" w:hAnsi="Times New Roman"/>
                <w:sz w:val="24"/>
                <w:szCs w:val="24"/>
              </w:rPr>
            </w:pPr>
            <w:r w:rsidRPr="00412B66">
              <w:rPr>
                <w:rFonts w:ascii="Times New Roman" w:hAnsi="Times New Roman"/>
                <w:sz w:val="24"/>
                <w:szCs w:val="24"/>
              </w:rPr>
              <w:t>$</w:t>
            </w:r>
            <w:r w:rsidR="005B7D4A">
              <w:rPr>
                <w:rFonts w:ascii="Times New Roman" w:hAnsi="Times New Roman"/>
                <w:sz w:val="24"/>
                <w:szCs w:val="24"/>
              </w:rPr>
              <w:t>2,250</w:t>
            </w:r>
          </w:p>
        </w:tc>
      </w:tr>
      <w:tr w:rsidR="00ED6128" w:rsidRPr="00412B66" w14:paraId="178EA33D" w14:textId="77777777" w:rsidTr="00412B66">
        <w:tc>
          <w:tcPr>
            <w:tcW w:w="3432" w:type="dxa"/>
          </w:tcPr>
          <w:p w14:paraId="178EA33A" w14:textId="77777777" w:rsidR="00ED6128" w:rsidRPr="00412B66" w:rsidRDefault="00ED6128" w:rsidP="00412B66">
            <w:pPr>
              <w:spacing w:after="0" w:line="240" w:lineRule="auto"/>
              <w:rPr>
                <w:rFonts w:ascii="Times New Roman" w:hAnsi="Times New Roman"/>
                <w:sz w:val="24"/>
                <w:szCs w:val="24"/>
              </w:rPr>
            </w:pPr>
            <w:r w:rsidRPr="00412B66">
              <w:rPr>
                <w:rFonts w:ascii="Times New Roman" w:hAnsi="Times New Roman"/>
                <w:sz w:val="24"/>
                <w:szCs w:val="24"/>
              </w:rPr>
              <w:t>FTE</w:t>
            </w:r>
          </w:p>
        </w:tc>
        <w:tc>
          <w:tcPr>
            <w:tcW w:w="3432" w:type="dxa"/>
            <w:vAlign w:val="bottom"/>
          </w:tcPr>
          <w:p w14:paraId="178EA33B" w14:textId="77777777" w:rsidR="00ED6128" w:rsidRPr="00412B66" w:rsidRDefault="00ED6128" w:rsidP="00412B66">
            <w:pPr>
              <w:spacing w:after="0" w:line="240" w:lineRule="auto"/>
              <w:jc w:val="right"/>
              <w:rPr>
                <w:rFonts w:ascii="Times New Roman" w:hAnsi="Times New Roman"/>
                <w:sz w:val="24"/>
                <w:szCs w:val="24"/>
              </w:rPr>
            </w:pPr>
            <w:r w:rsidRPr="00412B66">
              <w:rPr>
                <w:rFonts w:ascii="Times New Roman" w:hAnsi="Times New Roman"/>
                <w:sz w:val="24"/>
                <w:szCs w:val="24"/>
              </w:rPr>
              <w:t>34</w:t>
            </w:r>
          </w:p>
        </w:tc>
        <w:tc>
          <w:tcPr>
            <w:tcW w:w="3432" w:type="dxa"/>
            <w:vAlign w:val="bottom"/>
          </w:tcPr>
          <w:p w14:paraId="178EA33C" w14:textId="7B1D49D8" w:rsidR="00ED6128" w:rsidRPr="00412B66" w:rsidRDefault="00ED6128" w:rsidP="00382D1F">
            <w:pPr>
              <w:spacing w:after="0" w:line="240" w:lineRule="auto"/>
              <w:jc w:val="right"/>
              <w:rPr>
                <w:rFonts w:ascii="Times New Roman" w:hAnsi="Times New Roman"/>
                <w:sz w:val="24"/>
                <w:szCs w:val="24"/>
              </w:rPr>
            </w:pPr>
            <w:r w:rsidRPr="00412B66">
              <w:rPr>
                <w:rFonts w:ascii="Times New Roman" w:hAnsi="Times New Roman"/>
                <w:sz w:val="24"/>
                <w:szCs w:val="24"/>
              </w:rPr>
              <w:t>$4,</w:t>
            </w:r>
            <w:r w:rsidR="00382D1F">
              <w:rPr>
                <w:rFonts w:ascii="Times New Roman" w:hAnsi="Times New Roman"/>
                <w:sz w:val="24"/>
                <w:szCs w:val="24"/>
              </w:rPr>
              <w:t>957,812</w:t>
            </w:r>
          </w:p>
        </w:tc>
      </w:tr>
      <w:tr w:rsidR="00ED6128" w:rsidRPr="00412B66" w14:paraId="178EA341" w14:textId="77777777" w:rsidTr="00412B66">
        <w:tc>
          <w:tcPr>
            <w:tcW w:w="3432" w:type="dxa"/>
          </w:tcPr>
          <w:p w14:paraId="178EA33E"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FERC Total</w:t>
            </w:r>
          </w:p>
        </w:tc>
        <w:tc>
          <w:tcPr>
            <w:tcW w:w="3432" w:type="dxa"/>
            <w:vAlign w:val="bottom"/>
          </w:tcPr>
          <w:p w14:paraId="178EA33F" w14:textId="77777777" w:rsidR="00ED6128" w:rsidRPr="00412B66" w:rsidRDefault="00ED6128" w:rsidP="00412B66">
            <w:pPr>
              <w:spacing w:after="0" w:line="240" w:lineRule="auto"/>
              <w:jc w:val="right"/>
              <w:rPr>
                <w:rFonts w:ascii="Times New Roman" w:hAnsi="Times New Roman"/>
                <w:sz w:val="24"/>
                <w:szCs w:val="24"/>
              </w:rPr>
            </w:pPr>
          </w:p>
        </w:tc>
        <w:tc>
          <w:tcPr>
            <w:tcW w:w="3432" w:type="dxa"/>
            <w:vAlign w:val="bottom"/>
          </w:tcPr>
          <w:p w14:paraId="178EA340" w14:textId="56A20C91" w:rsidR="00ED6128" w:rsidRPr="00412B66" w:rsidRDefault="00ED6128" w:rsidP="00382D1F">
            <w:pPr>
              <w:spacing w:after="0" w:line="240" w:lineRule="auto"/>
              <w:jc w:val="right"/>
              <w:rPr>
                <w:rFonts w:ascii="Times New Roman" w:hAnsi="Times New Roman"/>
                <w:sz w:val="24"/>
                <w:szCs w:val="24"/>
              </w:rPr>
            </w:pPr>
            <w:r w:rsidRPr="00412B66">
              <w:rPr>
                <w:rFonts w:ascii="Times New Roman" w:hAnsi="Times New Roman"/>
                <w:sz w:val="24"/>
                <w:szCs w:val="24"/>
              </w:rPr>
              <w:t>$4,</w:t>
            </w:r>
            <w:r w:rsidR="00382D1F">
              <w:rPr>
                <w:rFonts w:ascii="Times New Roman" w:hAnsi="Times New Roman"/>
                <w:sz w:val="24"/>
                <w:szCs w:val="24"/>
              </w:rPr>
              <w:t>960,062</w:t>
            </w:r>
          </w:p>
        </w:tc>
      </w:tr>
    </w:tbl>
    <w:p w14:paraId="178EA343" w14:textId="77777777" w:rsidR="00ED6128" w:rsidRPr="00A276F5" w:rsidRDefault="00ED6128" w:rsidP="008F4F57">
      <w:pPr>
        <w:spacing w:after="0" w:line="240" w:lineRule="auto"/>
        <w:rPr>
          <w:rFonts w:ascii="Times New Roman" w:hAnsi="Times New Roman"/>
          <w:sz w:val="24"/>
          <w:szCs w:val="24"/>
        </w:rPr>
      </w:pPr>
    </w:p>
    <w:p w14:paraId="178EA344"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REASONS FOR CHANGES IN BURDEN INCLUDING THE NEED FOR ANY INCREASE</w:t>
      </w:r>
    </w:p>
    <w:p w14:paraId="178EA345" w14:textId="77777777" w:rsidR="00ED6128" w:rsidRDefault="00ED6128" w:rsidP="008F4F57">
      <w:pPr>
        <w:spacing w:after="0" w:line="240" w:lineRule="auto"/>
        <w:rPr>
          <w:rFonts w:ascii="Times New Roman" w:hAnsi="Times New Roman"/>
          <w:sz w:val="24"/>
          <w:szCs w:val="24"/>
        </w:rPr>
      </w:pPr>
    </w:p>
    <w:p w14:paraId="42E79DED" w14:textId="20FC7A50" w:rsidR="007B751C" w:rsidRDefault="007B751C" w:rsidP="007B751C">
      <w:pPr>
        <w:spacing w:after="0" w:line="240" w:lineRule="auto"/>
        <w:rPr>
          <w:rFonts w:ascii="Times New Roman" w:hAnsi="Times New Roman"/>
          <w:sz w:val="24"/>
          <w:szCs w:val="24"/>
        </w:rPr>
      </w:pPr>
      <w:r>
        <w:rPr>
          <w:rFonts w:ascii="Times New Roman" w:hAnsi="Times New Roman"/>
          <w:sz w:val="24"/>
          <w:szCs w:val="24"/>
        </w:rPr>
        <w:t xml:space="preserve">The Commission does not make any modifications to any existing FERC-577 information collection requirements.  The following table summarizes the existing burden and how it will change based on the final rule.  </w:t>
      </w:r>
    </w:p>
    <w:p w14:paraId="4AA269EF" w14:textId="77777777" w:rsidR="007B751C" w:rsidRDefault="007B751C" w:rsidP="007B751C">
      <w:pPr>
        <w:spacing w:after="0" w:line="240" w:lineRule="auto"/>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7B751C" w:rsidRPr="00412B66" w14:paraId="5F401BDC" w14:textId="77777777" w:rsidTr="00400F07">
        <w:trPr>
          <w:trHeight w:val="870"/>
        </w:trPr>
        <w:tc>
          <w:tcPr>
            <w:tcW w:w="2589" w:type="dxa"/>
            <w:shd w:val="clear" w:color="auto" w:fill="D9D9D9"/>
            <w:vAlign w:val="bottom"/>
          </w:tcPr>
          <w:p w14:paraId="53C6D1AF"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lastRenderedPageBreak/>
              <w:t>FERC-577</w:t>
            </w:r>
          </w:p>
        </w:tc>
        <w:tc>
          <w:tcPr>
            <w:tcW w:w="1779" w:type="dxa"/>
            <w:shd w:val="clear" w:color="auto" w:fill="D9D9D9"/>
            <w:vAlign w:val="bottom"/>
          </w:tcPr>
          <w:p w14:paraId="0D671AF1"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Total Request</w:t>
            </w:r>
          </w:p>
        </w:tc>
        <w:tc>
          <w:tcPr>
            <w:tcW w:w="1959" w:type="dxa"/>
            <w:shd w:val="clear" w:color="auto" w:fill="D9D9D9"/>
            <w:vAlign w:val="bottom"/>
          </w:tcPr>
          <w:p w14:paraId="47814666"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Previously Approved</w:t>
            </w:r>
          </w:p>
        </w:tc>
        <w:tc>
          <w:tcPr>
            <w:tcW w:w="1958" w:type="dxa"/>
            <w:shd w:val="clear" w:color="auto" w:fill="D9D9D9"/>
            <w:vAlign w:val="bottom"/>
          </w:tcPr>
          <w:p w14:paraId="45768F65"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Change due to Adjustment in Estimate</w:t>
            </w:r>
          </w:p>
        </w:tc>
        <w:tc>
          <w:tcPr>
            <w:tcW w:w="1960" w:type="dxa"/>
            <w:shd w:val="clear" w:color="auto" w:fill="D9D9D9"/>
            <w:vAlign w:val="bottom"/>
          </w:tcPr>
          <w:p w14:paraId="7067F572"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Change Due to Agency Discretion</w:t>
            </w:r>
          </w:p>
        </w:tc>
      </w:tr>
      <w:tr w:rsidR="007B751C" w:rsidRPr="00412B66" w14:paraId="239E6B78" w14:textId="77777777" w:rsidTr="00400F07">
        <w:trPr>
          <w:trHeight w:val="591"/>
        </w:trPr>
        <w:tc>
          <w:tcPr>
            <w:tcW w:w="2589" w:type="dxa"/>
          </w:tcPr>
          <w:p w14:paraId="3979B418"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Number of Responses</w:t>
            </w:r>
          </w:p>
        </w:tc>
        <w:tc>
          <w:tcPr>
            <w:tcW w:w="1779" w:type="dxa"/>
            <w:vAlign w:val="bottom"/>
          </w:tcPr>
          <w:p w14:paraId="0CFEC926" w14:textId="58C474BA" w:rsidR="007B751C" w:rsidRPr="00412B66" w:rsidRDefault="005B7D4A" w:rsidP="00400F07">
            <w:pPr>
              <w:spacing w:after="0" w:line="240" w:lineRule="auto"/>
              <w:jc w:val="right"/>
              <w:rPr>
                <w:rFonts w:ascii="Times New Roman" w:hAnsi="Times New Roman"/>
                <w:sz w:val="24"/>
                <w:szCs w:val="24"/>
              </w:rPr>
            </w:pPr>
            <w:r>
              <w:rPr>
                <w:rFonts w:ascii="Times New Roman" w:hAnsi="Times New Roman"/>
                <w:sz w:val="24"/>
                <w:szCs w:val="24"/>
              </w:rPr>
              <w:t>25,532</w:t>
            </w:r>
          </w:p>
        </w:tc>
        <w:tc>
          <w:tcPr>
            <w:tcW w:w="1959" w:type="dxa"/>
            <w:vAlign w:val="bottom"/>
          </w:tcPr>
          <w:p w14:paraId="257774C6" w14:textId="3D0BA881"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1,472</w:t>
            </w:r>
          </w:p>
        </w:tc>
        <w:tc>
          <w:tcPr>
            <w:tcW w:w="1958" w:type="dxa"/>
            <w:vAlign w:val="bottom"/>
          </w:tcPr>
          <w:p w14:paraId="72C78BB8"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c>
          <w:tcPr>
            <w:tcW w:w="1960" w:type="dxa"/>
            <w:vAlign w:val="bottom"/>
          </w:tcPr>
          <w:p w14:paraId="6C481018" w14:textId="34134532" w:rsidR="007B751C" w:rsidRPr="00412B66" w:rsidRDefault="005B7D4A" w:rsidP="00400F07">
            <w:pPr>
              <w:spacing w:after="0" w:line="240" w:lineRule="auto"/>
              <w:jc w:val="right"/>
              <w:rPr>
                <w:rFonts w:ascii="Times New Roman" w:hAnsi="Times New Roman"/>
                <w:sz w:val="24"/>
                <w:szCs w:val="24"/>
              </w:rPr>
            </w:pPr>
            <w:r>
              <w:rPr>
                <w:rFonts w:ascii="Times New Roman" w:hAnsi="Times New Roman"/>
                <w:sz w:val="24"/>
                <w:szCs w:val="24"/>
              </w:rPr>
              <w:t>23,760</w:t>
            </w:r>
          </w:p>
        </w:tc>
      </w:tr>
      <w:tr w:rsidR="007B751C" w:rsidRPr="00412B66" w14:paraId="0F4ECF74" w14:textId="77777777" w:rsidTr="00400F07">
        <w:trPr>
          <w:trHeight w:val="575"/>
        </w:trPr>
        <w:tc>
          <w:tcPr>
            <w:tcW w:w="2589" w:type="dxa"/>
          </w:tcPr>
          <w:p w14:paraId="0F8DB316"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Time Burden (</w:t>
            </w:r>
            <w:proofErr w:type="spellStart"/>
            <w:r w:rsidRPr="00412B66">
              <w:rPr>
                <w:rFonts w:ascii="Times New Roman" w:hAnsi="Times New Roman"/>
                <w:sz w:val="24"/>
                <w:szCs w:val="24"/>
              </w:rPr>
              <w:t>Hr</w:t>
            </w:r>
            <w:proofErr w:type="spellEnd"/>
            <w:r w:rsidRPr="00412B66">
              <w:rPr>
                <w:rFonts w:ascii="Times New Roman" w:hAnsi="Times New Roman"/>
                <w:sz w:val="24"/>
                <w:szCs w:val="24"/>
              </w:rPr>
              <w:t>)</w:t>
            </w:r>
          </w:p>
        </w:tc>
        <w:tc>
          <w:tcPr>
            <w:tcW w:w="1779" w:type="dxa"/>
            <w:vAlign w:val="bottom"/>
          </w:tcPr>
          <w:p w14:paraId="4A1C1A53" w14:textId="16742878"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332,378</w:t>
            </w:r>
          </w:p>
        </w:tc>
        <w:tc>
          <w:tcPr>
            <w:tcW w:w="1959" w:type="dxa"/>
            <w:vAlign w:val="bottom"/>
          </w:tcPr>
          <w:p w14:paraId="332AB8FF" w14:textId="52B01779"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284,858</w:t>
            </w:r>
          </w:p>
        </w:tc>
        <w:tc>
          <w:tcPr>
            <w:tcW w:w="1958" w:type="dxa"/>
            <w:vAlign w:val="bottom"/>
          </w:tcPr>
          <w:p w14:paraId="0907D61F"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c>
          <w:tcPr>
            <w:tcW w:w="1960" w:type="dxa"/>
            <w:vAlign w:val="bottom"/>
          </w:tcPr>
          <w:p w14:paraId="0CAE21AE" w14:textId="5E792466"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47,520</w:t>
            </w:r>
          </w:p>
        </w:tc>
      </w:tr>
      <w:tr w:rsidR="007B751C" w:rsidRPr="00412B66" w14:paraId="0FACFCB0" w14:textId="77777777" w:rsidTr="00400F07">
        <w:trPr>
          <w:trHeight w:val="295"/>
        </w:trPr>
        <w:tc>
          <w:tcPr>
            <w:tcW w:w="2589" w:type="dxa"/>
          </w:tcPr>
          <w:p w14:paraId="5D79544E"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Cost Burden ($)</w:t>
            </w:r>
          </w:p>
        </w:tc>
        <w:tc>
          <w:tcPr>
            <w:tcW w:w="1779" w:type="dxa"/>
            <w:vAlign w:val="bottom"/>
          </w:tcPr>
          <w:p w14:paraId="12A412E6" w14:textId="62E407BC"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59" w:type="dxa"/>
            <w:vAlign w:val="bottom"/>
          </w:tcPr>
          <w:p w14:paraId="3B75BDDF" w14:textId="613FDC97"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58" w:type="dxa"/>
            <w:vAlign w:val="bottom"/>
          </w:tcPr>
          <w:p w14:paraId="2F01F652" w14:textId="77D055CF"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60" w:type="dxa"/>
            <w:vAlign w:val="bottom"/>
          </w:tcPr>
          <w:p w14:paraId="79536740"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r>
    </w:tbl>
    <w:p w14:paraId="153E389E" w14:textId="77777777" w:rsidR="007B751C" w:rsidRDefault="007B751C" w:rsidP="008F4F57">
      <w:pPr>
        <w:spacing w:after="0" w:line="240" w:lineRule="auto"/>
        <w:rPr>
          <w:rFonts w:ascii="Times New Roman" w:hAnsi="Times New Roman"/>
          <w:sz w:val="24"/>
          <w:szCs w:val="24"/>
        </w:rPr>
      </w:pPr>
    </w:p>
    <w:p w14:paraId="178EA346" w14:textId="721905EA"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increase in burden is due to the </w:t>
      </w:r>
      <w:r w:rsidR="00757AF7">
        <w:rPr>
          <w:rFonts w:ascii="Times New Roman" w:hAnsi="Times New Roman"/>
          <w:sz w:val="24"/>
          <w:szCs w:val="24"/>
        </w:rPr>
        <w:t>new</w:t>
      </w:r>
      <w:r>
        <w:rPr>
          <w:rFonts w:ascii="Times New Roman" w:hAnsi="Times New Roman"/>
          <w:sz w:val="24"/>
          <w:szCs w:val="24"/>
        </w:rPr>
        <w:t xml:space="preserve"> landowner notification requirement.  As noted in item 12 above, the Commission estimates a total increase of </w:t>
      </w:r>
      <w:r w:rsidR="00757AF7">
        <w:rPr>
          <w:rFonts w:ascii="Times New Roman" w:hAnsi="Times New Roman"/>
          <w:sz w:val="24"/>
          <w:szCs w:val="24"/>
        </w:rPr>
        <w:t>47,520</w:t>
      </w:r>
      <w:r>
        <w:rPr>
          <w:rFonts w:ascii="Times New Roman" w:hAnsi="Times New Roman"/>
          <w:sz w:val="24"/>
          <w:szCs w:val="24"/>
        </w:rPr>
        <w:t xml:space="preserve"> hours (approximately </w:t>
      </w:r>
      <w:r w:rsidR="00757AF7">
        <w:rPr>
          <w:rFonts w:ascii="Times New Roman" w:hAnsi="Times New Roman"/>
          <w:sz w:val="24"/>
          <w:szCs w:val="24"/>
        </w:rPr>
        <w:t>288</w:t>
      </w:r>
      <w:r>
        <w:rPr>
          <w:rFonts w:ascii="Times New Roman" w:hAnsi="Times New Roman"/>
          <w:sz w:val="24"/>
          <w:szCs w:val="24"/>
        </w:rPr>
        <w:t xml:space="preserve"> hours per entity</w:t>
      </w:r>
      <w:r w:rsidR="004E4E65">
        <w:rPr>
          <w:rFonts w:ascii="Times New Roman" w:hAnsi="Times New Roman"/>
          <w:sz w:val="24"/>
          <w:szCs w:val="24"/>
        </w:rPr>
        <w:t xml:space="preserve"> per year</w:t>
      </w:r>
      <w:r>
        <w:rPr>
          <w:rFonts w:ascii="Times New Roman" w:hAnsi="Times New Roman"/>
          <w:sz w:val="24"/>
          <w:szCs w:val="24"/>
        </w:rPr>
        <w:t>).  As noted previously, this new information collection requirement comes out of requests from the landowners for better notification when work is being done on their land.</w:t>
      </w:r>
    </w:p>
    <w:p w14:paraId="178EA34A" w14:textId="77777777" w:rsidR="00ED6128" w:rsidRPr="00A276F5" w:rsidRDefault="00ED6128" w:rsidP="008F4F57">
      <w:pPr>
        <w:spacing w:after="0" w:line="240" w:lineRule="auto"/>
        <w:rPr>
          <w:rFonts w:ascii="Times New Roman" w:hAnsi="Times New Roman"/>
          <w:sz w:val="24"/>
          <w:szCs w:val="24"/>
        </w:rPr>
      </w:pPr>
    </w:p>
    <w:p w14:paraId="178EA34B"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TIME SCHEDULE FOR PUBLICATION OF DATA</w:t>
      </w:r>
    </w:p>
    <w:p w14:paraId="178EA34C" w14:textId="77777777" w:rsidR="00ED6128" w:rsidRDefault="00ED6128" w:rsidP="008F4F57">
      <w:pPr>
        <w:spacing w:after="0" w:line="240" w:lineRule="auto"/>
        <w:rPr>
          <w:rFonts w:ascii="Times New Roman" w:hAnsi="Times New Roman"/>
          <w:sz w:val="24"/>
          <w:szCs w:val="24"/>
        </w:rPr>
      </w:pPr>
    </w:p>
    <w:p w14:paraId="178EA34D"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FERC does not publish any data as part of this collection.</w:t>
      </w:r>
    </w:p>
    <w:p w14:paraId="178EA34E" w14:textId="77777777" w:rsidR="00ED6128" w:rsidRPr="00414F32" w:rsidRDefault="00ED6128" w:rsidP="008F4F57">
      <w:pPr>
        <w:spacing w:after="0" w:line="240" w:lineRule="auto"/>
        <w:rPr>
          <w:rFonts w:ascii="Times New Roman" w:hAnsi="Times New Roman"/>
          <w:sz w:val="24"/>
          <w:szCs w:val="24"/>
        </w:rPr>
      </w:pPr>
    </w:p>
    <w:p w14:paraId="178EA34F"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DISPLAY OF EXPIRATION DATE</w:t>
      </w:r>
    </w:p>
    <w:p w14:paraId="178EA350" w14:textId="77777777" w:rsidR="00ED6128" w:rsidRDefault="00ED6128" w:rsidP="008F4F57">
      <w:pPr>
        <w:spacing w:after="0" w:line="240" w:lineRule="auto"/>
        <w:rPr>
          <w:rFonts w:ascii="Times New Roman" w:hAnsi="Times New Roman"/>
          <w:sz w:val="24"/>
          <w:szCs w:val="24"/>
        </w:rPr>
      </w:pPr>
    </w:p>
    <w:p w14:paraId="178EA351"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information collected as part of the FERC-577 is not collected on </w:t>
      </w:r>
      <w:r w:rsidRPr="00D45F94">
        <w:rPr>
          <w:rFonts w:ascii="Times New Roman" w:hAnsi="Times New Roman"/>
          <w:sz w:val="24"/>
          <w:szCs w:val="24"/>
        </w:rPr>
        <w:t>formatted/printed forms.  Thus, the subject data requirements do not have an appropriate format to display an OMB expiration date.</w:t>
      </w:r>
      <w:r>
        <w:rPr>
          <w:rFonts w:ascii="Times New Roman" w:hAnsi="Times New Roman"/>
          <w:sz w:val="24"/>
          <w:szCs w:val="24"/>
        </w:rPr>
        <w:t xml:space="preserve"> </w:t>
      </w:r>
    </w:p>
    <w:p w14:paraId="178EA352" w14:textId="77777777" w:rsidR="00ED6128" w:rsidRPr="00414F32" w:rsidRDefault="00ED6128" w:rsidP="008F4F57">
      <w:pPr>
        <w:spacing w:after="0" w:line="240" w:lineRule="auto"/>
        <w:rPr>
          <w:rFonts w:ascii="Times New Roman" w:hAnsi="Times New Roman"/>
          <w:sz w:val="24"/>
          <w:szCs w:val="24"/>
        </w:rPr>
      </w:pPr>
    </w:p>
    <w:p w14:paraId="178EA353" w14:textId="77777777" w:rsidR="00ED6128"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EXCEPTIONS TO THE CERTIFICATION STATEMENT</w:t>
      </w:r>
    </w:p>
    <w:p w14:paraId="178EA354" w14:textId="77777777" w:rsidR="00ED6128" w:rsidRDefault="00ED6128" w:rsidP="008F4F57">
      <w:pPr>
        <w:spacing w:after="0" w:line="240" w:lineRule="auto"/>
        <w:rPr>
          <w:rFonts w:ascii="Times New Roman" w:hAnsi="Times New Roman"/>
          <w:b/>
          <w:sz w:val="24"/>
          <w:szCs w:val="24"/>
        </w:rPr>
      </w:pPr>
    </w:p>
    <w:p w14:paraId="178EA355" w14:textId="2410ED38"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This collection does not use statistical survey methodology as stated in the certification as part of this submission.  Further, as stated in item 17 above, the information collection requirements do not have an appropriate format to display the OMB expiration date.  </w:t>
      </w:r>
      <w:r w:rsidR="00B95CC6">
        <w:rPr>
          <w:rFonts w:ascii="Times New Roman" w:hAnsi="Times New Roman"/>
          <w:sz w:val="24"/>
          <w:szCs w:val="24"/>
        </w:rPr>
        <w:t xml:space="preserve">The collection does not reduce burden for small entities.  The small entities will be required to follow the landowner notification requirements as will others.  </w:t>
      </w:r>
      <w:bookmarkStart w:id="0" w:name="_GoBack"/>
      <w:bookmarkEnd w:id="0"/>
      <w:r>
        <w:rPr>
          <w:rFonts w:ascii="Times New Roman" w:hAnsi="Times New Roman"/>
          <w:sz w:val="24"/>
          <w:szCs w:val="24"/>
        </w:rPr>
        <w:t xml:space="preserve">   </w:t>
      </w:r>
    </w:p>
    <w:p w14:paraId="178EA356" w14:textId="77777777" w:rsidR="00ED6128" w:rsidRPr="007A2F92" w:rsidRDefault="00ED6128" w:rsidP="008F4F57">
      <w:pPr>
        <w:spacing w:after="0" w:line="240" w:lineRule="auto"/>
        <w:rPr>
          <w:rFonts w:ascii="Times New Roman" w:hAnsi="Times New Roman"/>
          <w:sz w:val="24"/>
          <w:szCs w:val="24"/>
        </w:rPr>
      </w:pPr>
    </w:p>
    <w:sectPr w:rsidR="00ED6128" w:rsidRPr="007A2F92" w:rsidSect="008F4F5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3A781" w14:textId="77777777" w:rsidR="00400F07" w:rsidRDefault="00400F07" w:rsidP="00FD66F1">
      <w:pPr>
        <w:spacing w:after="0" w:line="240" w:lineRule="auto"/>
      </w:pPr>
      <w:r>
        <w:separator/>
      </w:r>
    </w:p>
  </w:endnote>
  <w:endnote w:type="continuationSeparator" w:id="0">
    <w:p w14:paraId="3188DC31" w14:textId="77777777" w:rsidR="00400F07" w:rsidRDefault="00400F07" w:rsidP="00FD66F1">
      <w:pPr>
        <w:spacing w:after="0" w:line="240" w:lineRule="auto"/>
      </w:pPr>
      <w:r>
        <w:continuationSeparator/>
      </w:r>
    </w:p>
  </w:endnote>
  <w:endnote w:type="continuationNotice" w:id="1">
    <w:p w14:paraId="448772F0" w14:textId="77777777" w:rsidR="00400F07" w:rsidRDefault="00400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F" w14:textId="77777777" w:rsidR="00400F07" w:rsidRPr="00216C7E" w:rsidRDefault="00400F07">
    <w:pPr>
      <w:pStyle w:val="Footer"/>
      <w:jc w:val="right"/>
      <w:rPr>
        <w:rFonts w:ascii="Times New Roman" w:hAnsi="Times New Roman"/>
      </w:rPr>
    </w:pPr>
    <w:r w:rsidRPr="00216C7E">
      <w:rPr>
        <w:rFonts w:ascii="Times New Roman" w:hAnsi="Times New Roman"/>
      </w:rPr>
      <w:fldChar w:fldCharType="begin"/>
    </w:r>
    <w:r w:rsidRPr="00216C7E">
      <w:rPr>
        <w:rFonts w:ascii="Times New Roman" w:hAnsi="Times New Roman"/>
      </w:rPr>
      <w:instrText xml:space="preserve"> PAGE   \* MERGEFORMAT </w:instrText>
    </w:r>
    <w:r w:rsidRPr="00216C7E">
      <w:rPr>
        <w:rFonts w:ascii="Times New Roman" w:hAnsi="Times New Roman"/>
      </w:rPr>
      <w:fldChar w:fldCharType="separate"/>
    </w:r>
    <w:r w:rsidR="00B95CC6">
      <w:rPr>
        <w:rFonts w:ascii="Times New Roman" w:hAnsi="Times New Roman"/>
        <w:noProof/>
      </w:rPr>
      <w:t>9</w:t>
    </w:r>
    <w:r w:rsidRPr="00216C7E">
      <w:rPr>
        <w:rFonts w:ascii="Times New Roman" w:hAnsi="Times New Roman"/>
      </w:rPr>
      <w:fldChar w:fldCharType="end"/>
    </w:r>
  </w:p>
  <w:p w14:paraId="178EA3B0" w14:textId="77777777" w:rsidR="00400F07" w:rsidRDefault="0040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8CD70" w14:textId="77777777" w:rsidR="00400F07" w:rsidRDefault="00400F07" w:rsidP="00FD66F1">
      <w:pPr>
        <w:spacing w:after="0" w:line="240" w:lineRule="auto"/>
      </w:pPr>
      <w:r>
        <w:separator/>
      </w:r>
    </w:p>
  </w:footnote>
  <w:footnote w:type="continuationSeparator" w:id="0">
    <w:p w14:paraId="1A2E86B6" w14:textId="77777777" w:rsidR="00400F07" w:rsidRDefault="00400F07" w:rsidP="00FD66F1">
      <w:pPr>
        <w:spacing w:after="0" w:line="240" w:lineRule="auto"/>
      </w:pPr>
      <w:r>
        <w:continuationSeparator/>
      </w:r>
    </w:p>
  </w:footnote>
  <w:footnote w:type="continuationNotice" w:id="1">
    <w:p w14:paraId="12D9FCC9" w14:textId="77777777" w:rsidR="00400F07" w:rsidRDefault="00400F07">
      <w:pPr>
        <w:spacing w:after="0" w:line="240" w:lineRule="auto"/>
      </w:pPr>
    </w:p>
  </w:footnote>
  <w:footnote w:id="2">
    <w:p w14:paraId="178EA3B1" w14:textId="77777777" w:rsidR="00400F07" w:rsidRDefault="00400F07" w:rsidP="006B2080">
      <w:pPr>
        <w:pStyle w:val="FootnoteText"/>
        <w:ind w:firstLine="720"/>
      </w:pPr>
      <w:r>
        <w:rPr>
          <w:rStyle w:val="FootnoteReference"/>
        </w:rPr>
        <w:footnoteRef/>
      </w:r>
      <w:r>
        <w:t xml:space="preserve"> For certain pipeline projects/facilities, the pipeline company must obtain a certificate from the Commission in order to construct, operate or abandon pipeline facilities.</w:t>
      </w:r>
    </w:p>
  </w:footnote>
  <w:footnote w:id="3">
    <w:p w14:paraId="0DC65BE5" w14:textId="625FC8BD" w:rsidR="00400F07" w:rsidRDefault="00400F07" w:rsidP="006B2080">
      <w:pPr>
        <w:pStyle w:val="FootnoteText"/>
        <w:ind w:firstLine="720"/>
      </w:pPr>
      <w:r>
        <w:rPr>
          <w:rStyle w:val="FootnoteReference"/>
        </w:rPr>
        <w:footnoteRef/>
      </w:r>
      <w:r>
        <w:t xml:space="preserve"> The 18 CFR section 2.55(a) projects at issue in this proceeding are not certificated projects, but they do fall under the Commission’s jurisdiction.</w:t>
      </w:r>
    </w:p>
  </w:footnote>
  <w:footnote w:id="4">
    <w:p w14:paraId="178EA3B3" w14:textId="77777777" w:rsidR="00400F07" w:rsidRDefault="00400F07" w:rsidP="006B2080">
      <w:pPr>
        <w:pStyle w:val="FootnoteText"/>
        <w:ind w:firstLine="720"/>
      </w:pPr>
      <w:r>
        <w:rPr>
          <w:rStyle w:val="FootnoteReference"/>
        </w:rPr>
        <w:footnoteRef/>
      </w:r>
      <w:r>
        <w:t xml:space="preserve"> This provides landowners a phone number they can use if a problem arises related to the work the pipeline is doing.</w:t>
      </w:r>
    </w:p>
  </w:footnote>
  <w:footnote w:id="5">
    <w:p w14:paraId="14C9880E" w14:textId="1CE80DBE" w:rsidR="00400F07" w:rsidRDefault="00400F07" w:rsidP="006B2080">
      <w:pPr>
        <w:pStyle w:val="FootnoteText"/>
        <w:ind w:firstLine="720"/>
      </w:pPr>
      <w:r>
        <w:rPr>
          <w:rStyle w:val="FootnoteReference"/>
        </w:rPr>
        <w:footnoteRef/>
      </w:r>
      <w:r>
        <w:t xml:space="preserve"> </w:t>
      </w:r>
      <w:r w:rsidRPr="00650206">
        <w:t>We don’t want to shift the burden to landowners to keep up with company proceedings electronically.  Not all landowners are proactive, and they do not all have Internet access.  Emergency provisions permit a company to act immediately and inform landowners and</w:t>
      </w:r>
      <w:r>
        <w:t xml:space="preserve"> the Commission after the fact.</w:t>
      </w:r>
    </w:p>
  </w:footnote>
  <w:footnote w:id="6">
    <w:p w14:paraId="3AFB63B5" w14:textId="49B4B210" w:rsidR="00400F07" w:rsidRDefault="00400F07" w:rsidP="008066DD">
      <w:pPr>
        <w:pStyle w:val="FootnoteText"/>
        <w:ind w:firstLine="720"/>
        <w:rPr>
          <w:sz w:val="26"/>
        </w:rPr>
      </w:pPr>
      <w:r>
        <w:rPr>
          <w:rStyle w:val="FootnoteReference"/>
        </w:rPr>
        <w:footnoteRef/>
      </w:r>
      <w:r>
        <w:t xml:space="preserve"> The NOPR defined “affected landowners” for purposes of companies’ activities under sections 2.55 and 380.15 as “owners of property interests, as noted in the most recent tax notice, whose property (1) is directly affected (i.e., crossed or used) by the proposed activity, including all rights-of-way, facility sites, access roads, pipe and contractor yards, and temporary work space; or (2) abuts either side of an existing right-of-way or facility site, or abuts the edge or a proposed right-of-way or facility site which runs along a property line in the area in which the facilities would be constructed, or contains a residence within 50 feet of the proposed construction work area.”</w:t>
      </w:r>
      <w:r>
        <w:rPr>
          <w:i/>
        </w:rPr>
        <w:t xml:space="preserve">  </w:t>
      </w:r>
      <w:proofErr w:type="gramStart"/>
      <w:r>
        <w:t>78 FR at 683, 141 FERC ¶ 61,228 at P 30.</w:t>
      </w:r>
      <w:proofErr w:type="gramEnd"/>
    </w:p>
  </w:footnote>
  <w:footnote w:id="7">
    <w:p w14:paraId="592CF8D3" w14:textId="1E954469" w:rsidR="00400F07" w:rsidRDefault="00400F07" w:rsidP="008066DD">
      <w:pPr>
        <w:pStyle w:val="FootnoteText"/>
        <w:ind w:firstLine="720"/>
      </w:pPr>
      <w:r>
        <w:rPr>
          <w:rStyle w:val="FootnoteReference"/>
        </w:rPr>
        <w:footnoteRef/>
      </w:r>
      <w:r>
        <w:t xml:space="preserve"> Additionally, </w:t>
      </w:r>
      <w:proofErr w:type="spellStart"/>
      <w:r>
        <w:t>commentors</w:t>
      </w:r>
      <w:proofErr w:type="spellEnd"/>
      <w:r>
        <w:t xml:space="preserve"> state that the 10-day prior notice period prevents companies from adjusting maintenance schedules due to weather, equipment availability, permitting processes, etc.</w:t>
      </w:r>
    </w:p>
  </w:footnote>
  <w:footnote w:id="8">
    <w:p w14:paraId="44C4CD17" w14:textId="1F985190" w:rsidR="00400F07" w:rsidRDefault="00400F07" w:rsidP="006B2080">
      <w:pPr>
        <w:pStyle w:val="FootnoteText"/>
        <w:ind w:firstLine="720"/>
      </w:pPr>
      <w:r>
        <w:rPr>
          <w:rStyle w:val="FootnoteReference"/>
        </w:rPr>
        <w:footnoteRef/>
      </w:r>
      <w:r>
        <w:t xml:space="preserve"> Based on $70/hour average cost (salary + benefits) derived by assuming that the average worker completing the tasks associated with this collection earns a similar amount as the average FERC employee.</w:t>
      </w:r>
    </w:p>
  </w:footnote>
  <w:footnote w:id="9">
    <w:p w14:paraId="7D6A9D24" w14:textId="77777777" w:rsidR="00400F07" w:rsidRDefault="00400F07" w:rsidP="00757AF7">
      <w:pPr>
        <w:pStyle w:val="FootnoteText"/>
        <w:ind w:firstLine="720"/>
      </w:pPr>
      <w:r>
        <w:rPr>
          <w:rStyle w:val="FootnoteReference"/>
        </w:rPr>
        <w:footnoteRef/>
      </w:r>
      <w:r>
        <w:t xml:space="preserve"> This column reflects a rounded estimate for each jurisdictional natural gas company, averaged over all 165 such companies.   </w:t>
      </w:r>
    </w:p>
  </w:footnote>
  <w:footnote w:id="10">
    <w:p w14:paraId="7E1B782B" w14:textId="77777777" w:rsidR="00400F07" w:rsidRDefault="00400F07" w:rsidP="00757AF7">
      <w:pPr>
        <w:pStyle w:val="FootnoteText"/>
        <w:ind w:firstLine="720"/>
      </w:pPr>
      <w:r>
        <w:rPr>
          <w:rStyle w:val="FootnoteReference"/>
        </w:rPr>
        <w:footnoteRef/>
      </w:r>
      <w:r>
        <w:t xml:space="preserve"> The figures in this column are also rounded.  </w:t>
      </w:r>
    </w:p>
  </w:footnote>
  <w:footnote w:id="11">
    <w:p w14:paraId="301449A0" w14:textId="77777777" w:rsidR="00D141FC" w:rsidRDefault="00D141FC" w:rsidP="00D141FC">
      <w:pPr>
        <w:pStyle w:val="FootnoteText"/>
      </w:pPr>
      <w:r w:rsidRPr="009C4C56">
        <w:rPr>
          <w:rStyle w:val="FootnoteReference"/>
        </w:rPr>
        <w:footnoteRef/>
      </w:r>
      <w:r>
        <w:t xml:space="preserve"> The cost figures are </w:t>
      </w:r>
      <w:r w:rsidRPr="00DE71C8">
        <w:t>derived by multiplying the total hours to prepare a response by an hourly wage estimate of $61</w:t>
      </w:r>
      <w:r>
        <w:t xml:space="preserve"> (based on average civil engineer wages and benefit information obtained from the Bureau of Labor Statistics’ data at </w:t>
      </w:r>
      <w:hyperlink r:id="rId1" w:anchor="17-0000" w:history="1">
        <w:r w:rsidRPr="009A76B6">
          <w:rPr>
            <w:rStyle w:val="Hyperlink"/>
          </w:rPr>
          <w:t>http://bls.gov/oes/current/naics4_221200.htm#17-0000</w:t>
        </w:r>
      </w:hyperlink>
      <w:r>
        <w:t xml:space="preserve"> and </w:t>
      </w:r>
      <w:hyperlink r:id="rId2" w:history="1">
        <w:r>
          <w:rPr>
            <w:rStyle w:val="Hyperlink"/>
          </w:rPr>
          <w:t>http://www.bls.gov/news.release/ecec.nr0.htm</w:t>
        </w:r>
      </w:hyperlink>
      <w:r>
        <w:t xml:space="preserve">). </w:t>
      </w:r>
    </w:p>
  </w:footnote>
  <w:footnote w:id="12">
    <w:p w14:paraId="178EA3B8" w14:textId="20CE9B48" w:rsidR="00400F07" w:rsidRDefault="00400F07" w:rsidP="006B2080">
      <w:pPr>
        <w:pStyle w:val="FootnoteText"/>
        <w:ind w:firstLine="720"/>
      </w:pPr>
      <w:r>
        <w:rPr>
          <w:rStyle w:val="FootnoteReference"/>
        </w:rPr>
        <w:footnoteRef/>
      </w:r>
      <w:r>
        <w:t xml:space="preserve"> Based on 2013 cost per FTE of $145,818</w:t>
      </w:r>
    </w:p>
  </w:footnote>
  <w:footnote w:id="13">
    <w:p w14:paraId="178EA3B9" w14:textId="0440925D" w:rsidR="00400F07" w:rsidRDefault="00400F07" w:rsidP="006B2080">
      <w:pPr>
        <w:pStyle w:val="FootnoteText"/>
        <w:ind w:firstLine="720"/>
      </w:pPr>
      <w:r>
        <w:rPr>
          <w:rStyle w:val="FootnoteReference"/>
        </w:rPr>
        <w:footnoteRef/>
      </w:r>
      <w:r>
        <w:t xml:space="preserve"> The Commission bases</w:t>
      </w:r>
      <w:r w:rsidRPr="00FA119F">
        <w:t xml:space="preserve"> the </w:t>
      </w:r>
      <w:r>
        <w:t>PRA administration cost</w:t>
      </w:r>
      <w:r w:rsidRPr="00FA119F">
        <w:t xml:space="preserve"> </w:t>
      </w:r>
      <w:r>
        <w:t>on staff time and Federal Register publication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B" w14:textId="2DD81FB5" w:rsidR="00400F07" w:rsidRDefault="00400F07" w:rsidP="00AD3DE5">
    <w:pPr>
      <w:pStyle w:val="Header"/>
      <w:rPr>
        <w:rFonts w:ascii="Times New Roman" w:hAnsi="Times New Roman"/>
        <w:sz w:val="24"/>
        <w:szCs w:val="24"/>
      </w:rPr>
    </w:pPr>
    <w:r>
      <w:rPr>
        <w:rFonts w:ascii="Times New Roman" w:hAnsi="Times New Roman"/>
        <w:sz w:val="24"/>
        <w:szCs w:val="24"/>
      </w:rPr>
      <w:t xml:space="preserve">FERC-577 (OMB Control No. 1902-0128) </w:t>
    </w:r>
  </w:p>
  <w:p w14:paraId="178EA3AC" w14:textId="5745236A" w:rsidR="00400F07" w:rsidRDefault="00400F07" w:rsidP="00AD3DE5">
    <w:pPr>
      <w:pStyle w:val="Header"/>
      <w:rPr>
        <w:rFonts w:ascii="Times New Roman" w:hAnsi="Times New Roman"/>
        <w:sz w:val="24"/>
        <w:szCs w:val="24"/>
      </w:rPr>
    </w:pPr>
    <w:r>
      <w:rPr>
        <w:rFonts w:ascii="Times New Roman" w:hAnsi="Times New Roman"/>
        <w:sz w:val="24"/>
        <w:szCs w:val="24"/>
      </w:rPr>
      <w:t>Final Rule in Docket Number RM12-11</w:t>
    </w:r>
  </w:p>
  <w:p w14:paraId="178EA3AD" w14:textId="77777777" w:rsidR="00400F07" w:rsidRPr="00FD66F1" w:rsidRDefault="00400F07" w:rsidP="00AD3DE5">
    <w:pPr>
      <w:pStyle w:val="Header"/>
      <w:rPr>
        <w:rFonts w:ascii="Times New Roman" w:hAnsi="Times New Roman"/>
        <w:sz w:val="24"/>
        <w:szCs w:val="24"/>
      </w:rPr>
    </w:pPr>
    <w:r>
      <w:rPr>
        <w:rFonts w:ascii="Times New Roman" w:hAnsi="Times New Roman"/>
        <w:sz w:val="24"/>
        <w:szCs w:val="24"/>
      </w:rPr>
      <w:t>RIN: 1902-AE62</w:t>
    </w:r>
  </w:p>
  <w:p w14:paraId="178EA3AE" w14:textId="77777777" w:rsidR="00400F07" w:rsidRDefault="00400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0189C"/>
    <w:multiLevelType w:val="hybridMultilevel"/>
    <w:tmpl w:val="96D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473EE"/>
    <w:multiLevelType w:val="hybridMultilevel"/>
    <w:tmpl w:val="6590D3B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2A3AFD"/>
    <w:multiLevelType w:val="hybridMultilevel"/>
    <w:tmpl w:val="7062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D9A"/>
    <w:rsid w:val="0002242D"/>
    <w:rsid w:val="00035845"/>
    <w:rsid w:val="00064F29"/>
    <w:rsid w:val="00081EEB"/>
    <w:rsid w:val="00082A24"/>
    <w:rsid w:val="00087F33"/>
    <w:rsid w:val="000949E2"/>
    <w:rsid w:val="000B0C37"/>
    <w:rsid w:val="000D753B"/>
    <w:rsid w:val="000D780E"/>
    <w:rsid w:val="001034AC"/>
    <w:rsid w:val="0011211A"/>
    <w:rsid w:val="00120710"/>
    <w:rsid w:val="001316CD"/>
    <w:rsid w:val="0014282D"/>
    <w:rsid w:val="00143103"/>
    <w:rsid w:val="001541F8"/>
    <w:rsid w:val="0015716F"/>
    <w:rsid w:val="00172D8F"/>
    <w:rsid w:val="0018077D"/>
    <w:rsid w:val="00181727"/>
    <w:rsid w:val="00185730"/>
    <w:rsid w:val="00191C38"/>
    <w:rsid w:val="001A235C"/>
    <w:rsid w:val="001A4403"/>
    <w:rsid w:val="001A6F24"/>
    <w:rsid w:val="001B7DA4"/>
    <w:rsid w:val="001E1071"/>
    <w:rsid w:val="001E7E70"/>
    <w:rsid w:val="00207DEB"/>
    <w:rsid w:val="00215A2D"/>
    <w:rsid w:val="00216C7E"/>
    <w:rsid w:val="00237E2C"/>
    <w:rsid w:val="00241CBF"/>
    <w:rsid w:val="00251F59"/>
    <w:rsid w:val="0026349F"/>
    <w:rsid w:val="0026674D"/>
    <w:rsid w:val="002A0C16"/>
    <w:rsid w:val="002A3A6C"/>
    <w:rsid w:val="002A4695"/>
    <w:rsid w:val="002B13E2"/>
    <w:rsid w:val="002C10EE"/>
    <w:rsid w:val="002F068C"/>
    <w:rsid w:val="002F0AA5"/>
    <w:rsid w:val="00316DCB"/>
    <w:rsid w:val="00322E99"/>
    <w:rsid w:val="0033690F"/>
    <w:rsid w:val="0034336C"/>
    <w:rsid w:val="003453FF"/>
    <w:rsid w:val="00355046"/>
    <w:rsid w:val="00374920"/>
    <w:rsid w:val="003749F2"/>
    <w:rsid w:val="00382D1F"/>
    <w:rsid w:val="003A094D"/>
    <w:rsid w:val="003B2FBB"/>
    <w:rsid w:val="003B326B"/>
    <w:rsid w:val="003C0E15"/>
    <w:rsid w:val="003D45DC"/>
    <w:rsid w:val="003E5E95"/>
    <w:rsid w:val="003E6043"/>
    <w:rsid w:val="003E610A"/>
    <w:rsid w:val="003F5EE2"/>
    <w:rsid w:val="00400F07"/>
    <w:rsid w:val="0040225F"/>
    <w:rsid w:val="00412B66"/>
    <w:rsid w:val="00414F32"/>
    <w:rsid w:val="00425180"/>
    <w:rsid w:val="0044277E"/>
    <w:rsid w:val="0044756C"/>
    <w:rsid w:val="00492B63"/>
    <w:rsid w:val="00492CB4"/>
    <w:rsid w:val="00492FEF"/>
    <w:rsid w:val="004B23FA"/>
    <w:rsid w:val="004C207D"/>
    <w:rsid w:val="004C4C89"/>
    <w:rsid w:val="004E4E65"/>
    <w:rsid w:val="004F6977"/>
    <w:rsid w:val="00522F69"/>
    <w:rsid w:val="005247B1"/>
    <w:rsid w:val="00526944"/>
    <w:rsid w:val="0053287C"/>
    <w:rsid w:val="005422B3"/>
    <w:rsid w:val="005503AB"/>
    <w:rsid w:val="00552964"/>
    <w:rsid w:val="005711CC"/>
    <w:rsid w:val="00571C5E"/>
    <w:rsid w:val="00575B42"/>
    <w:rsid w:val="0057700F"/>
    <w:rsid w:val="00592C19"/>
    <w:rsid w:val="005A2792"/>
    <w:rsid w:val="005A2AE4"/>
    <w:rsid w:val="005B5F70"/>
    <w:rsid w:val="005B77CE"/>
    <w:rsid w:val="005B7D4A"/>
    <w:rsid w:val="005E4EB0"/>
    <w:rsid w:val="005F1C3C"/>
    <w:rsid w:val="005F4FDF"/>
    <w:rsid w:val="0060716F"/>
    <w:rsid w:val="0061037D"/>
    <w:rsid w:val="006166FA"/>
    <w:rsid w:val="00625799"/>
    <w:rsid w:val="006306A9"/>
    <w:rsid w:val="00642C47"/>
    <w:rsid w:val="006467A5"/>
    <w:rsid w:val="00647088"/>
    <w:rsid w:val="006501F5"/>
    <w:rsid w:val="00650206"/>
    <w:rsid w:val="00662AB3"/>
    <w:rsid w:val="00664BC0"/>
    <w:rsid w:val="006716F9"/>
    <w:rsid w:val="00675FBB"/>
    <w:rsid w:val="006859F5"/>
    <w:rsid w:val="00690136"/>
    <w:rsid w:val="006B2080"/>
    <w:rsid w:val="006C0AE5"/>
    <w:rsid w:val="006D060A"/>
    <w:rsid w:val="00703BA8"/>
    <w:rsid w:val="00717650"/>
    <w:rsid w:val="00724E42"/>
    <w:rsid w:val="0073132A"/>
    <w:rsid w:val="00734BAC"/>
    <w:rsid w:val="00746242"/>
    <w:rsid w:val="007533C5"/>
    <w:rsid w:val="00757AF7"/>
    <w:rsid w:val="00773AEB"/>
    <w:rsid w:val="00787670"/>
    <w:rsid w:val="007A2214"/>
    <w:rsid w:val="007A2F92"/>
    <w:rsid w:val="007B751C"/>
    <w:rsid w:val="007C0462"/>
    <w:rsid w:val="007C7BB3"/>
    <w:rsid w:val="007E7C0F"/>
    <w:rsid w:val="008066DD"/>
    <w:rsid w:val="00816BD9"/>
    <w:rsid w:val="0085262E"/>
    <w:rsid w:val="008619E1"/>
    <w:rsid w:val="0086540A"/>
    <w:rsid w:val="00876F75"/>
    <w:rsid w:val="0088364C"/>
    <w:rsid w:val="008A21A4"/>
    <w:rsid w:val="008A414D"/>
    <w:rsid w:val="008B58CE"/>
    <w:rsid w:val="008B703B"/>
    <w:rsid w:val="008B7AF2"/>
    <w:rsid w:val="008C288D"/>
    <w:rsid w:val="008D075F"/>
    <w:rsid w:val="008E70CD"/>
    <w:rsid w:val="008F1478"/>
    <w:rsid w:val="008F3AB5"/>
    <w:rsid w:val="008F4F57"/>
    <w:rsid w:val="00913A8B"/>
    <w:rsid w:val="009440C0"/>
    <w:rsid w:val="00952C0E"/>
    <w:rsid w:val="00955A86"/>
    <w:rsid w:val="00970B54"/>
    <w:rsid w:val="00970FE4"/>
    <w:rsid w:val="00992C1B"/>
    <w:rsid w:val="00994A78"/>
    <w:rsid w:val="009A6C2C"/>
    <w:rsid w:val="009A76B6"/>
    <w:rsid w:val="009B2D95"/>
    <w:rsid w:val="009E1190"/>
    <w:rsid w:val="009F3DC7"/>
    <w:rsid w:val="00A03450"/>
    <w:rsid w:val="00A034DC"/>
    <w:rsid w:val="00A03AF2"/>
    <w:rsid w:val="00A07CC1"/>
    <w:rsid w:val="00A276F5"/>
    <w:rsid w:val="00A445CB"/>
    <w:rsid w:val="00A72E7B"/>
    <w:rsid w:val="00A865FF"/>
    <w:rsid w:val="00A9349C"/>
    <w:rsid w:val="00A96B65"/>
    <w:rsid w:val="00A97B25"/>
    <w:rsid w:val="00AA5FE0"/>
    <w:rsid w:val="00AB4D35"/>
    <w:rsid w:val="00AC4600"/>
    <w:rsid w:val="00AD3DE5"/>
    <w:rsid w:val="00AE1417"/>
    <w:rsid w:val="00AF770C"/>
    <w:rsid w:val="00B1029D"/>
    <w:rsid w:val="00B11A50"/>
    <w:rsid w:val="00B21F91"/>
    <w:rsid w:val="00B23F03"/>
    <w:rsid w:val="00B74938"/>
    <w:rsid w:val="00B75BF8"/>
    <w:rsid w:val="00B867FF"/>
    <w:rsid w:val="00B95CC6"/>
    <w:rsid w:val="00BA1C7D"/>
    <w:rsid w:val="00BA5683"/>
    <w:rsid w:val="00BA799A"/>
    <w:rsid w:val="00BA7C56"/>
    <w:rsid w:val="00BB298B"/>
    <w:rsid w:val="00BC2250"/>
    <w:rsid w:val="00BC5BB6"/>
    <w:rsid w:val="00BD65A9"/>
    <w:rsid w:val="00BD78D8"/>
    <w:rsid w:val="00C00A83"/>
    <w:rsid w:val="00C01698"/>
    <w:rsid w:val="00C02C81"/>
    <w:rsid w:val="00C16169"/>
    <w:rsid w:val="00C2178B"/>
    <w:rsid w:val="00C510DD"/>
    <w:rsid w:val="00C53270"/>
    <w:rsid w:val="00CA17CF"/>
    <w:rsid w:val="00CA495F"/>
    <w:rsid w:val="00CA59C3"/>
    <w:rsid w:val="00CB69F0"/>
    <w:rsid w:val="00CC34AC"/>
    <w:rsid w:val="00CC7CEC"/>
    <w:rsid w:val="00D10250"/>
    <w:rsid w:val="00D141FC"/>
    <w:rsid w:val="00D14CEA"/>
    <w:rsid w:val="00D23690"/>
    <w:rsid w:val="00D37D64"/>
    <w:rsid w:val="00D45F94"/>
    <w:rsid w:val="00D47A10"/>
    <w:rsid w:val="00D80FBD"/>
    <w:rsid w:val="00D94152"/>
    <w:rsid w:val="00DB5899"/>
    <w:rsid w:val="00DC4E36"/>
    <w:rsid w:val="00E02E04"/>
    <w:rsid w:val="00E11CA6"/>
    <w:rsid w:val="00E14565"/>
    <w:rsid w:val="00E20612"/>
    <w:rsid w:val="00E27CBF"/>
    <w:rsid w:val="00E43274"/>
    <w:rsid w:val="00E47A2A"/>
    <w:rsid w:val="00E50CCB"/>
    <w:rsid w:val="00E636D7"/>
    <w:rsid w:val="00E751AE"/>
    <w:rsid w:val="00E77B24"/>
    <w:rsid w:val="00E800F4"/>
    <w:rsid w:val="00E838DA"/>
    <w:rsid w:val="00E87A4F"/>
    <w:rsid w:val="00E87B78"/>
    <w:rsid w:val="00EA28ED"/>
    <w:rsid w:val="00EB3E6F"/>
    <w:rsid w:val="00EC0514"/>
    <w:rsid w:val="00ED3E18"/>
    <w:rsid w:val="00ED5560"/>
    <w:rsid w:val="00ED6128"/>
    <w:rsid w:val="00EF62A5"/>
    <w:rsid w:val="00F03B88"/>
    <w:rsid w:val="00F04F37"/>
    <w:rsid w:val="00F06E24"/>
    <w:rsid w:val="00F12DC2"/>
    <w:rsid w:val="00F152DF"/>
    <w:rsid w:val="00F20705"/>
    <w:rsid w:val="00F3105D"/>
    <w:rsid w:val="00F55B83"/>
    <w:rsid w:val="00F80557"/>
    <w:rsid w:val="00F80574"/>
    <w:rsid w:val="00F9139E"/>
    <w:rsid w:val="00FA119F"/>
    <w:rsid w:val="00FA15FB"/>
    <w:rsid w:val="00FB3D23"/>
    <w:rsid w:val="00FD66F1"/>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E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407">
      <w:bodyDiv w:val="1"/>
      <w:marLeft w:val="0"/>
      <w:marRight w:val="0"/>
      <w:marTop w:val="0"/>
      <w:marBottom w:val="0"/>
      <w:divBdr>
        <w:top w:val="none" w:sz="0" w:space="0" w:color="auto"/>
        <w:left w:val="none" w:sz="0" w:space="0" w:color="auto"/>
        <w:bottom w:val="none" w:sz="0" w:space="0" w:color="auto"/>
        <w:right w:val="none" w:sz="0" w:space="0" w:color="auto"/>
      </w:divBdr>
    </w:div>
    <w:div w:id="1039209953">
      <w:marLeft w:val="0"/>
      <w:marRight w:val="0"/>
      <w:marTop w:val="0"/>
      <w:marBottom w:val="0"/>
      <w:divBdr>
        <w:top w:val="none" w:sz="0" w:space="0" w:color="auto"/>
        <w:left w:val="none" w:sz="0" w:space="0" w:color="auto"/>
        <w:bottom w:val="none" w:sz="0" w:space="0" w:color="auto"/>
        <w:right w:val="none" w:sz="0" w:space="0" w:color="auto"/>
      </w:divBdr>
    </w:div>
    <w:div w:id="16820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fil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legal/ceii-foia/ceii/classes.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legal/ceii-foia/ceii.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4_22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2013-12-04T00:00:00-05:00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RM12-11</_x0031__x002e__x0020_Docket_x0020_Number>
    <_x0033__x002e__x0020_Collection_x0020_Number xmlns="d6eefc7d-9817-4fa6-84d5-3bc009be21b8"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17" ma:contentTypeDescription="Create a new document." ma:contentTypeScope="" ma:versionID="3e01748a2d8b0fca8a68d5658130a62e">
  <xsd:schema xmlns:xsd="http://www.w3.org/2001/XMLSchema" xmlns:p="http://schemas.microsoft.com/office/2006/metadata/properties" xmlns:ns2="d6eefc7d-9817-4fa6-84d5-3bc009be21b8" targetNamespace="http://schemas.microsoft.com/office/2006/metadata/properties" ma:root="true" ma:fieldsID="eb9f0dec035541e61c5545f4119c673a"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ement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1163-7107-4BDE-8880-3BC384DB363A}">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d6eefc7d-9817-4fa6-84d5-3bc009be21b8"/>
    <ds:schemaRef ds:uri="http://schemas.microsoft.com/office/2006/metadata/properties"/>
  </ds:schemaRefs>
</ds:datastoreItem>
</file>

<file path=customXml/itemProps2.xml><?xml version="1.0" encoding="utf-8"?>
<ds:datastoreItem xmlns:ds="http://schemas.openxmlformats.org/officeDocument/2006/customXml" ds:itemID="{98FDC52C-59C5-4006-970F-BF4CF6D62C47}">
  <ds:schemaRefs>
    <ds:schemaRef ds:uri="http://schemas.microsoft.com/office/2006/metadata/customXsn"/>
  </ds:schemaRefs>
</ds:datastoreItem>
</file>

<file path=customXml/itemProps3.xml><?xml version="1.0" encoding="utf-8"?>
<ds:datastoreItem xmlns:ds="http://schemas.openxmlformats.org/officeDocument/2006/customXml" ds:itemID="{816576B3-7A2B-4D44-9D3D-7AA858E8591B}">
  <ds:schemaRefs>
    <ds:schemaRef ds:uri="http://schemas.microsoft.com/sharepoint/v3/contenttype/forms"/>
  </ds:schemaRefs>
</ds:datastoreItem>
</file>

<file path=customXml/itemProps4.xml><?xml version="1.0" encoding="utf-8"?>
<ds:datastoreItem xmlns:ds="http://schemas.openxmlformats.org/officeDocument/2006/customXml" ds:itemID="{46E5A72D-E9D7-42D8-A6E5-730E5B94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9FF5F18-6B7A-4BA8-A283-6671C09C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9</Pages>
  <Words>3060</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29</cp:revision>
  <cp:lastPrinted>2013-05-28T17:42:00Z</cp:lastPrinted>
  <dcterms:created xsi:type="dcterms:W3CDTF">2013-05-29T16:44:00Z</dcterms:created>
  <dcterms:modified xsi:type="dcterms:W3CDTF">2013-12-04T16:59:00Z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