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07F" w:rsidRPr="00B16372" w:rsidRDefault="00B3407F" w:rsidP="0092596C">
      <w:pPr>
        <w:spacing w:after="0" w:line="240" w:lineRule="auto"/>
        <w:jc w:val="center"/>
        <w:rPr>
          <w:rFonts w:ascii="Times New Roman" w:hAnsi="Times New Roman"/>
          <w:sz w:val="24"/>
          <w:szCs w:val="24"/>
        </w:rPr>
      </w:pPr>
      <w:r w:rsidRPr="00B16372">
        <w:rPr>
          <w:rFonts w:ascii="Times New Roman" w:hAnsi="Times New Roman"/>
          <w:sz w:val="24"/>
          <w:szCs w:val="24"/>
        </w:rPr>
        <w:t>Supporting Statement</w:t>
      </w:r>
    </w:p>
    <w:p w:rsidR="00B3407F" w:rsidRPr="00B16372" w:rsidRDefault="00B3407F" w:rsidP="0092596C">
      <w:pPr>
        <w:spacing w:after="0" w:line="240" w:lineRule="auto"/>
        <w:jc w:val="center"/>
        <w:rPr>
          <w:rFonts w:ascii="Times New Roman" w:hAnsi="Times New Roman"/>
          <w:b/>
          <w:sz w:val="24"/>
          <w:szCs w:val="24"/>
        </w:rPr>
      </w:pPr>
      <w:r w:rsidRPr="00B16372">
        <w:rPr>
          <w:rFonts w:ascii="Times New Roman" w:hAnsi="Times New Roman"/>
          <w:b/>
          <w:sz w:val="24"/>
          <w:szCs w:val="24"/>
        </w:rPr>
        <w:t>FERC-725</w:t>
      </w:r>
      <w:r w:rsidR="006E33D4">
        <w:rPr>
          <w:rFonts w:ascii="Times New Roman" w:hAnsi="Times New Roman"/>
          <w:b/>
          <w:sz w:val="24"/>
          <w:szCs w:val="24"/>
        </w:rPr>
        <w:t>N</w:t>
      </w:r>
      <w:r w:rsidRPr="00B16372">
        <w:rPr>
          <w:rFonts w:ascii="Times New Roman" w:hAnsi="Times New Roman"/>
          <w:b/>
          <w:sz w:val="24"/>
          <w:szCs w:val="24"/>
        </w:rPr>
        <w:t>, Mandatory Reliability Standards</w:t>
      </w:r>
      <w:r w:rsidR="006E33D4">
        <w:rPr>
          <w:rFonts w:ascii="Times New Roman" w:hAnsi="Times New Roman"/>
          <w:b/>
          <w:sz w:val="24"/>
          <w:szCs w:val="24"/>
        </w:rPr>
        <w:t>: Reliability Standard</w:t>
      </w:r>
      <w:r w:rsidR="00212FCA">
        <w:rPr>
          <w:rFonts w:ascii="Times New Roman" w:hAnsi="Times New Roman"/>
          <w:b/>
          <w:sz w:val="24"/>
          <w:szCs w:val="24"/>
        </w:rPr>
        <w:t xml:space="preserve"> TPL</w:t>
      </w:r>
      <w:r w:rsidR="006E33D4">
        <w:rPr>
          <w:rFonts w:ascii="Times New Roman" w:hAnsi="Times New Roman"/>
          <w:b/>
          <w:sz w:val="24"/>
          <w:szCs w:val="24"/>
        </w:rPr>
        <w:t>-001-4</w:t>
      </w:r>
    </w:p>
    <w:p w:rsidR="00B3407F" w:rsidRPr="00B16372" w:rsidRDefault="008844F3" w:rsidP="0092596C">
      <w:pPr>
        <w:spacing w:after="0" w:line="240" w:lineRule="auto"/>
        <w:jc w:val="center"/>
        <w:rPr>
          <w:rFonts w:ascii="Times New Roman" w:hAnsi="Times New Roman"/>
          <w:sz w:val="24"/>
          <w:szCs w:val="24"/>
        </w:rPr>
      </w:pPr>
      <w:r>
        <w:rPr>
          <w:rFonts w:ascii="Times New Roman" w:hAnsi="Times New Roman"/>
          <w:sz w:val="24"/>
          <w:szCs w:val="24"/>
        </w:rPr>
        <w:t>Final Rule</w:t>
      </w:r>
      <w:r w:rsidR="00AF32F2" w:rsidRPr="00B16372">
        <w:rPr>
          <w:rFonts w:ascii="Times New Roman" w:hAnsi="Times New Roman"/>
          <w:sz w:val="24"/>
          <w:szCs w:val="24"/>
        </w:rPr>
        <w:t xml:space="preserve"> in</w:t>
      </w:r>
      <w:r w:rsidR="00B3407F" w:rsidRPr="00B16372">
        <w:rPr>
          <w:rFonts w:ascii="Times New Roman" w:hAnsi="Times New Roman"/>
          <w:sz w:val="24"/>
          <w:szCs w:val="24"/>
        </w:rPr>
        <w:t xml:space="preserve"> RM12-1-000 &amp; RM13-9-000</w:t>
      </w:r>
    </w:p>
    <w:p w:rsidR="00B3407F" w:rsidRPr="00B16372" w:rsidRDefault="00B3407F" w:rsidP="0092596C">
      <w:pPr>
        <w:spacing w:after="0" w:line="240" w:lineRule="auto"/>
        <w:jc w:val="center"/>
        <w:rPr>
          <w:rFonts w:ascii="Times New Roman" w:hAnsi="Times New Roman"/>
          <w:sz w:val="24"/>
          <w:szCs w:val="24"/>
        </w:rPr>
      </w:pPr>
      <w:r w:rsidRPr="00B16372">
        <w:rPr>
          <w:rFonts w:ascii="Times New Roman" w:hAnsi="Times New Roman"/>
          <w:sz w:val="24"/>
          <w:szCs w:val="24"/>
        </w:rPr>
        <w:t>“Transmission Planning Reliability Standards”</w:t>
      </w:r>
    </w:p>
    <w:p w:rsidR="00B3407F" w:rsidRPr="00B16372" w:rsidRDefault="00B3407F" w:rsidP="0092596C">
      <w:pPr>
        <w:spacing w:after="0" w:line="240" w:lineRule="auto"/>
        <w:jc w:val="center"/>
        <w:rPr>
          <w:rFonts w:ascii="Times New Roman" w:hAnsi="Times New Roman"/>
          <w:sz w:val="24"/>
          <w:szCs w:val="24"/>
        </w:rPr>
      </w:pPr>
      <w:r w:rsidRPr="00B16372">
        <w:rPr>
          <w:rFonts w:ascii="Times New Roman" w:hAnsi="Times New Roman"/>
          <w:sz w:val="24"/>
          <w:szCs w:val="24"/>
        </w:rPr>
        <w:t>Reliability Standard TPL-001-4</w:t>
      </w:r>
    </w:p>
    <w:p w:rsidR="00FD66F1" w:rsidRPr="00B16372" w:rsidRDefault="00FD66F1" w:rsidP="0092596C">
      <w:pPr>
        <w:spacing w:after="0" w:line="240" w:lineRule="auto"/>
        <w:rPr>
          <w:rFonts w:ascii="Times New Roman" w:hAnsi="Times New Roman" w:cs="Times New Roman"/>
          <w:sz w:val="24"/>
          <w:szCs w:val="24"/>
        </w:rPr>
      </w:pPr>
    </w:p>
    <w:p w:rsidR="00333EE2" w:rsidRDefault="00333EE2" w:rsidP="00333EE2">
      <w:pPr>
        <w:spacing w:after="0" w:line="240" w:lineRule="auto"/>
        <w:rPr>
          <w:rFonts w:ascii="Times New Roman" w:hAnsi="Times New Roman"/>
          <w:sz w:val="24"/>
          <w:szCs w:val="24"/>
        </w:rPr>
      </w:pPr>
      <w:r>
        <w:rPr>
          <w:rFonts w:ascii="Times New Roman" w:hAnsi="Times New Roman" w:cs="Times New Roman"/>
          <w:sz w:val="24"/>
          <w:szCs w:val="24"/>
        </w:rPr>
        <w:t xml:space="preserve">In </w:t>
      </w:r>
      <w:r w:rsidR="001F1AD2">
        <w:rPr>
          <w:rFonts w:ascii="Times New Roman" w:hAnsi="Times New Roman" w:cs="Times New Roman"/>
          <w:sz w:val="24"/>
          <w:szCs w:val="24"/>
        </w:rPr>
        <w:t xml:space="preserve">Dockets </w:t>
      </w:r>
      <w:r>
        <w:rPr>
          <w:rFonts w:ascii="Times New Roman" w:hAnsi="Times New Roman" w:cs="Times New Roman"/>
          <w:sz w:val="24"/>
          <w:szCs w:val="24"/>
        </w:rPr>
        <w:t>RM12-1</w:t>
      </w:r>
      <w:r w:rsidR="001F1AD2">
        <w:rPr>
          <w:rFonts w:ascii="Times New Roman" w:hAnsi="Times New Roman" w:cs="Times New Roman"/>
          <w:sz w:val="24"/>
          <w:szCs w:val="24"/>
        </w:rPr>
        <w:t xml:space="preserve"> and </w:t>
      </w:r>
      <w:r>
        <w:rPr>
          <w:rFonts w:ascii="Times New Roman" w:hAnsi="Times New Roman" w:cs="Times New Roman"/>
          <w:sz w:val="24"/>
          <w:szCs w:val="24"/>
        </w:rPr>
        <w:t>RM13-9</w:t>
      </w:r>
      <w:r w:rsidR="005B4642">
        <w:rPr>
          <w:rFonts w:ascii="Times New Roman" w:hAnsi="Times New Roman" w:cs="Times New Roman"/>
          <w:sz w:val="24"/>
          <w:szCs w:val="24"/>
        </w:rPr>
        <w:t xml:space="preserve"> in the </w:t>
      </w:r>
      <w:r w:rsidR="008844F3">
        <w:rPr>
          <w:rFonts w:ascii="Times New Roman" w:hAnsi="Times New Roman" w:cs="Times New Roman"/>
          <w:sz w:val="24"/>
          <w:szCs w:val="24"/>
        </w:rPr>
        <w:t>final rule</w:t>
      </w:r>
      <w:r w:rsidR="001F1AD2">
        <w:rPr>
          <w:rFonts w:ascii="Times New Roman" w:hAnsi="Times New Roman" w:cs="Times New Roman"/>
          <w:sz w:val="24"/>
          <w:szCs w:val="24"/>
        </w:rPr>
        <w:t>,</w:t>
      </w:r>
      <w:r w:rsidRPr="00E16E70">
        <w:rPr>
          <w:rFonts w:ascii="Times New Roman" w:hAnsi="Times New Roman" w:cs="Times New Roman"/>
          <w:sz w:val="24"/>
          <w:szCs w:val="24"/>
        </w:rPr>
        <w:t xml:space="preserve"> the </w:t>
      </w:r>
      <w:r w:rsidR="005B4642">
        <w:rPr>
          <w:rFonts w:ascii="Times New Roman" w:hAnsi="Times New Roman" w:cs="Times New Roman"/>
          <w:sz w:val="24"/>
          <w:szCs w:val="24"/>
        </w:rPr>
        <w:t>Federal Energy Regulatory Commission (</w:t>
      </w:r>
      <w:r w:rsidRPr="00E16E70">
        <w:rPr>
          <w:rFonts w:ascii="Times New Roman" w:hAnsi="Times New Roman" w:cs="Times New Roman"/>
          <w:sz w:val="24"/>
          <w:szCs w:val="24"/>
        </w:rPr>
        <w:t>Commission</w:t>
      </w:r>
      <w:r w:rsidR="005B4642">
        <w:rPr>
          <w:rFonts w:ascii="Times New Roman" w:hAnsi="Times New Roman" w:cs="Times New Roman"/>
          <w:sz w:val="24"/>
          <w:szCs w:val="24"/>
        </w:rPr>
        <w:t xml:space="preserve"> or FERC) </w:t>
      </w:r>
      <w:r>
        <w:rPr>
          <w:rFonts w:ascii="Times New Roman" w:hAnsi="Times New Roman"/>
          <w:sz w:val="24"/>
          <w:szCs w:val="24"/>
        </w:rPr>
        <w:t>approve</w:t>
      </w:r>
      <w:r w:rsidR="008844F3">
        <w:rPr>
          <w:rFonts w:ascii="Times New Roman" w:hAnsi="Times New Roman"/>
          <w:sz w:val="24"/>
          <w:szCs w:val="24"/>
        </w:rPr>
        <w:t>s</w:t>
      </w:r>
      <w:r>
        <w:rPr>
          <w:rFonts w:ascii="Times New Roman" w:hAnsi="Times New Roman"/>
          <w:sz w:val="24"/>
          <w:szCs w:val="24"/>
        </w:rPr>
        <w:t xml:space="preserve"> Reliability Standard</w:t>
      </w:r>
      <w:r w:rsidRPr="00E16E70">
        <w:rPr>
          <w:rFonts w:ascii="Times New Roman" w:hAnsi="Times New Roman"/>
          <w:sz w:val="24"/>
          <w:szCs w:val="24"/>
        </w:rPr>
        <w:t xml:space="preserve"> </w:t>
      </w:r>
      <w:r>
        <w:rPr>
          <w:rFonts w:ascii="Times New Roman" w:hAnsi="Times New Roman"/>
          <w:sz w:val="24"/>
          <w:szCs w:val="24"/>
        </w:rPr>
        <w:t>TPL-001-4.</w:t>
      </w:r>
      <w:r w:rsidRPr="00333EE2">
        <w:rPr>
          <w:rFonts w:ascii="Times New Roman" w:hAnsi="Times New Roman" w:cs="Times New Roman"/>
          <w:sz w:val="24"/>
          <w:szCs w:val="24"/>
        </w:rPr>
        <w:t xml:space="preserve"> </w:t>
      </w:r>
      <w:r w:rsidR="008844F3">
        <w:rPr>
          <w:rFonts w:ascii="Times New Roman" w:hAnsi="Times New Roman" w:cs="Times New Roman"/>
          <w:sz w:val="24"/>
          <w:szCs w:val="24"/>
        </w:rPr>
        <w:t xml:space="preserve"> </w:t>
      </w:r>
      <w:r w:rsidRPr="00B16372">
        <w:rPr>
          <w:rFonts w:ascii="Times New Roman" w:hAnsi="Times New Roman" w:cs="Times New Roman"/>
          <w:sz w:val="24"/>
          <w:szCs w:val="24"/>
        </w:rPr>
        <w:t xml:space="preserve">The new </w:t>
      </w:r>
      <w:r>
        <w:rPr>
          <w:rFonts w:ascii="Times New Roman" w:hAnsi="Times New Roman" w:cs="Times New Roman"/>
          <w:sz w:val="24"/>
          <w:szCs w:val="24"/>
        </w:rPr>
        <w:t xml:space="preserve">consolidated </w:t>
      </w:r>
      <w:r w:rsidRPr="00B16372">
        <w:rPr>
          <w:rFonts w:ascii="Times New Roman" w:hAnsi="Times New Roman" w:cs="Times New Roman"/>
          <w:sz w:val="24"/>
          <w:szCs w:val="24"/>
        </w:rPr>
        <w:t>Reliability Standard TPL-001</w:t>
      </w:r>
      <w:r>
        <w:rPr>
          <w:rFonts w:ascii="Times New Roman" w:hAnsi="Times New Roman" w:cs="Times New Roman"/>
          <w:sz w:val="24"/>
          <w:szCs w:val="24"/>
        </w:rPr>
        <w:t>-4</w:t>
      </w:r>
      <w:r w:rsidRPr="00B16372">
        <w:rPr>
          <w:rFonts w:ascii="Times New Roman" w:hAnsi="Times New Roman" w:cs="Times New Roman"/>
          <w:sz w:val="24"/>
          <w:szCs w:val="24"/>
        </w:rPr>
        <w:t xml:space="preserve"> does not impose entirely new burden.  Much of the work had to </w:t>
      </w:r>
      <w:r>
        <w:rPr>
          <w:rFonts w:ascii="Times New Roman" w:hAnsi="Times New Roman" w:cs="Times New Roman"/>
          <w:sz w:val="24"/>
          <w:szCs w:val="24"/>
        </w:rPr>
        <w:t xml:space="preserve">be </w:t>
      </w:r>
      <w:r w:rsidRPr="00B16372">
        <w:rPr>
          <w:rFonts w:ascii="Times New Roman" w:hAnsi="Times New Roman" w:cs="Times New Roman"/>
          <w:sz w:val="24"/>
          <w:szCs w:val="24"/>
        </w:rPr>
        <w:t xml:space="preserve">done under prior </w:t>
      </w:r>
      <w:r>
        <w:rPr>
          <w:rFonts w:ascii="Times New Roman" w:hAnsi="Times New Roman" w:cs="Times New Roman"/>
          <w:sz w:val="24"/>
          <w:szCs w:val="24"/>
        </w:rPr>
        <w:t xml:space="preserve">Reliability Standards </w:t>
      </w:r>
      <w:r w:rsidRPr="00B16372">
        <w:rPr>
          <w:rFonts w:ascii="Times New Roman" w:hAnsi="Times New Roman" w:cs="Times New Roman"/>
          <w:sz w:val="24"/>
          <w:szCs w:val="24"/>
        </w:rPr>
        <w:t>TPL-001</w:t>
      </w:r>
      <w:r>
        <w:rPr>
          <w:rFonts w:ascii="Times New Roman" w:hAnsi="Times New Roman" w:cs="Times New Roman"/>
          <w:sz w:val="24"/>
          <w:szCs w:val="24"/>
        </w:rPr>
        <w:t>-0</w:t>
      </w:r>
      <w:r w:rsidRPr="00B16372">
        <w:rPr>
          <w:rFonts w:ascii="Times New Roman" w:hAnsi="Times New Roman" w:cs="Times New Roman"/>
          <w:sz w:val="24"/>
          <w:szCs w:val="24"/>
        </w:rPr>
        <w:t xml:space="preserve"> </w:t>
      </w:r>
      <w:r>
        <w:rPr>
          <w:rFonts w:ascii="Times New Roman" w:hAnsi="Times New Roman" w:cs="Times New Roman"/>
          <w:sz w:val="24"/>
          <w:szCs w:val="24"/>
        </w:rPr>
        <w:t>through TPL-004-0</w:t>
      </w:r>
      <w:r w:rsidRPr="00B16372">
        <w:rPr>
          <w:rFonts w:ascii="Times New Roman" w:hAnsi="Times New Roman" w:cs="Times New Roman"/>
          <w:sz w:val="24"/>
          <w:szCs w:val="24"/>
        </w:rPr>
        <w:t xml:space="preserve">.  The net average annual burden change </w:t>
      </w:r>
      <w:r w:rsidR="001F1AD2">
        <w:rPr>
          <w:rFonts w:ascii="Times New Roman" w:hAnsi="Times New Roman" w:cs="Times New Roman"/>
          <w:sz w:val="24"/>
          <w:szCs w:val="24"/>
        </w:rPr>
        <w:t xml:space="preserve">due to this </w:t>
      </w:r>
      <w:r w:rsidR="008844F3">
        <w:rPr>
          <w:rFonts w:ascii="Times New Roman" w:hAnsi="Times New Roman" w:cs="Times New Roman"/>
          <w:sz w:val="24"/>
          <w:szCs w:val="24"/>
        </w:rPr>
        <w:t>final rule</w:t>
      </w:r>
      <w:r w:rsidR="001F1AD2">
        <w:rPr>
          <w:rFonts w:ascii="Times New Roman" w:hAnsi="Times New Roman" w:cs="Times New Roman"/>
          <w:sz w:val="24"/>
          <w:szCs w:val="24"/>
        </w:rPr>
        <w:t xml:space="preserve"> </w:t>
      </w:r>
      <w:r w:rsidRPr="00B16372">
        <w:rPr>
          <w:rFonts w:ascii="Times New Roman" w:hAnsi="Times New Roman" w:cs="Times New Roman"/>
          <w:sz w:val="24"/>
          <w:szCs w:val="24"/>
        </w:rPr>
        <w:t xml:space="preserve">is </w:t>
      </w:r>
      <w:r w:rsidRPr="00C60EDC">
        <w:rPr>
          <w:rFonts w:ascii="Times New Roman" w:hAnsi="Times New Roman" w:cs="Times New Roman"/>
          <w:sz w:val="24"/>
          <w:szCs w:val="24"/>
        </w:rPr>
        <w:t xml:space="preserve">15,471 hours.  </w:t>
      </w:r>
    </w:p>
    <w:p w:rsidR="00333EE2" w:rsidRDefault="00333EE2" w:rsidP="00333EE2">
      <w:pPr>
        <w:spacing w:after="0" w:line="240" w:lineRule="auto"/>
        <w:rPr>
          <w:rFonts w:ascii="Times New Roman" w:hAnsi="Times New Roman"/>
          <w:sz w:val="24"/>
          <w:szCs w:val="24"/>
        </w:rPr>
      </w:pPr>
    </w:p>
    <w:p w:rsidR="0081469B" w:rsidRDefault="00333EE2" w:rsidP="0081469B">
      <w:pPr>
        <w:spacing w:after="0" w:line="240" w:lineRule="auto"/>
        <w:rPr>
          <w:rFonts w:ascii="Times New Roman" w:hAnsi="Times New Roman"/>
          <w:sz w:val="24"/>
          <w:szCs w:val="24"/>
        </w:rPr>
      </w:pPr>
      <w:r>
        <w:rPr>
          <w:rFonts w:ascii="Times New Roman" w:hAnsi="Times New Roman"/>
          <w:sz w:val="24"/>
          <w:szCs w:val="24"/>
        </w:rPr>
        <w:t>The underlying information collection requirements in the Reliability Standards (TPL-001-0 through TPL-004-0) are approved by OMB under FERC-725A (</w:t>
      </w:r>
      <w:r w:rsidR="001F1AD2">
        <w:rPr>
          <w:rFonts w:ascii="Times New Roman" w:hAnsi="Times New Roman"/>
          <w:sz w:val="24"/>
          <w:szCs w:val="24"/>
        </w:rPr>
        <w:t>OMB Control No.</w:t>
      </w:r>
      <w:r>
        <w:rPr>
          <w:rFonts w:ascii="Times New Roman" w:hAnsi="Times New Roman"/>
          <w:sz w:val="24"/>
          <w:szCs w:val="24"/>
        </w:rPr>
        <w:t xml:space="preserve">1902-0244).  </w:t>
      </w:r>
    </w:p>
    <w:p w:rsidR="0081469B" w:rsidRDefault="0081469B" w:rsidP="0081469B">
      <w:pPr>
        <w:spacing w:after="0" w:line="240" w:lineRule="auto"/>
        <w:rPr>
          <w:rFonts w:ascii="Times New Roman" w:hAnsi="Times New Roman"/>
          <w:sz w:val="24"/>
          <w:szCs w:val="24"/>
        </w:rPr>
      </w:pPr>
    </w:p>
    <w:p w:rsidR="00333EE2" w:rsidRPr="00E16E70" w:rsidRDefault="008844F3" w:rsidP="008844F3">
      <w:pPr>
        <w:spacing w:after="0" w:line="240" w:lineRule="auto"/>
        <w:rPr>
          <w:rFonts w:ascii="Times New Roman" w:hAnsi="Times New Roman" w:cs="Times New Roman"/>
          <w:sz w:val="24"/>
          <w:szCs w:val="24"/>
        </w:rPr>
      </w:pPr>
      <w:r>
        <w:rPr>
          <w:rFonts w:ascii="Times New Roman" w:hAnsi="Times New Roman"/>
          <w:sz w:val="24"/>
          <w:szCs w:val="24"/>
        </w:rPr>
        <w:t>As we did at the proposed rule stage, w</w:t>
      </w:r>
      <w:r w:rsidR="00333EE2">
        <w:rPr>
          <w:rFonts w:ascii="Times New Roman" w:hAnsi="Times New Roman"/>
          <w:sz w:val="24"/>
          <w:szCs w:val="24"/>
        </w:rPr>
        <w:t xml:space="preserve">e are submitting this </w:t>
      </w:r>
      <w:r>
        <w:rPr>
          <w:rFonts w:ascii="Times New Roman" w:hAnsi="Times New Roman"/>
          <w:sz w:val="24"/>
          <w:szCs w:val="24"/>
        </w:rPr>
        <w:t>final</w:t>
      </w:r>
      <w:r w:rsidR="00333EE2">
        <w:rPr>
          <w:rFonts w:ascii="Times New Roman" w:hAnsi="Times New Roman"/>
          <w:sz w:val="24"/>
          <w:szCs w:val="24"/>
        </w:rPr>
        <w:t xml:space="preserve"> rule under a new collection number and control number because of other rulemakings also affecting the FERC-725A collection.  This new collection (FERC-725N) will only contain the information collection requirements that are part of the </w:t>
      </w:r>
      <w:r w:rsidR="001D3121">
        <w:rPr>
          <w:rFonts w:ascii="Times New Roman" w:hAnsi="Times New Roman"/>
          <w:sz w:val="24"/>
          <w:szCs w:val="24"/>
        </w:rPr>
        <w:t xml:space="preserve">final </w:t>
      </w:r>
      <w:r w:rsidR="00333EE2">
        <w:rPr>
          <w:rFonts w:ascii="Times New Roman" w:hAnsi="Times New Roman"/>
          <w:sz w:val="24"/>
          <w:szCs w:val="24"/>
        </w:rPr>
        <w:t>rule in RM12-1</w:t>
      </w:r>
      <w:r w:rsidR="001D3121">
        <w:rPr>
          <w:rFonts w:ascii="Times New Roman" w:hAnsi="Times New Roman"/>
          <w:sz w:val="24"/>
          <w:szCs w:val="24"/>
        </w:rPr>
        <w:t xml:space="preserve"> </w:t>
      </w:r>
      <w:proofErr w:type="gramStart"/>
      <w:r w:rsidR="001D3121">
        <w:rPr>
          <w:rFonts w:ascii="Times New Roman" w:hAnsi="Times New Roman"/>
          <w:sz w:val="24"/>
          <w:szCs w:val="24"/>
        </w:rPr>
        <w:t>and</w:t>
      </w:r>
      <w:r w:rsidR="00301A61">
        <w:rPr>
          <w:rFonts w:ascii="Times New Roman" w:hAnsi="Times New Roman"/>
          <w:sz w:val="24"/>
          <w:szCs w:val="24"/>
        </w:rPr>
        <w:t xml:space="preserve"> </w:t>
      </w:r>
      <w:r w:rsidR="001D3121">
        <w:rPr>
          <w:rFonts w:ascii="Times New Roman" w:hAnsi="Times New Roman"/>
          <w:sz w:val="24"/>
          <w:szCs w:val="24"/>
        </w:rPr>
        <w:t xml:space="preserve"> </w:t>
      </w:r>
      <w:r w:rsidR="00333EE2">
        <w:rPr>
          <w:rFonts w:ascii="Times New Roman" w:hAnsi="Times New Roman"/>
          <w:sz w:val="24"/>
          <w:szCs w:val="24"/>
        </w:rPr>
        <w:t>RM13</w:t>
      </w:r>
      <w:proofErr w:type="gramEnd"/>
      <w:r w:rsidR="00333EE2">
        <w:rPr>
          <w:rFonts w:ascii="Times New Roman" w:hAnsi="Times New Roman"/>
          <w:sz w:val="24"/>
          <w:szCs w:val="24"/>
        </w:rPr>
        <w:t>-9.</w:t>
      </w:r>
      <w:r w:rsidRPr="00E16E70">
        <w:rPr>
          <w:rFonts w:ascii="Times New Roman" w:hAnsi="Times New Roman" w:cs="Times New Roman"/>
          <w:sz w:val="24"/>
          <w:szCs w:val="24"/>
        </w:rPr>
        <w:t xml:space="preserve"> </w:t>
      </w:r>
    </w:p>
    <w:p w:rsidR="00DF401D" w:rsidRPr="00B16372" w:rsidRDefault="00DF401D" w:rsidP="0092596C">
      <w:pPr>
        <w:spacing w:after="0" w:line="240" w:lineRule="auto"/>
        <w:rPr>
          <w:rFonts w:ascii="Times New Roman" w:hAnsi="Times New Roman" w:cs="Times New Roman"/>
          <w:sz w:val="24"/>
          <w:szCs w:val="24"/>
        </w:rPr>
      </w:pPr>
    </w:p>
    <w:p w:rsidR="00DF401D" w:rsidRPr="00B16372" w:rsidRDefault="00DF401D"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On February 28, 2013, NERC submitted proposed Reliability Standard TPL-001-4 (Version 4) in response to the Commission’s remand in Order No. 762</w:t>
      </w:r>
      <w:r w:rsidRPr="00B16372">
        <w:rPr>
          <w:rStyle w:val="FootnoteReference"/>
          <w:rFonts w:ascii="Times New Roman" w:hAnsi="Times New Roman" w:cs="Times New Roman"/>
          <w:sz w:val="24"/>
          <w:szCs w:val="24"/>
          <w:vertAlign w:val="superscript"/>
        </w:rPr>
        <w:footnoteReference w:id="1"/>
      </w:r>
      <w:r w:rsidRPr="00B16372">
        <w:rPr>
          <w:rFonts w:ascii="Times New Roman" w:hAnsi="Times New Roman" w:cs="Times New Roman"/>
          <w:sz w:val="24"/>
          <w:szCs w:val="24"/>
        </w:rPr>
        <w:t xml:space="preserve"> and concerns identified in the Commission’s NOPR issued in Docket No. </w:t>
      </w:r>
      <w:proofErr w:type="gramStart"/>
      <w:r w:rsidRPr="00B16372">
        <w:rPr>
          <w:rFonts w:ascii="Times New Roman" w:hAnsi="Times New Roman" w:cs="Times New Roman"/>
          <w:sz w:val="24"/>
          <w:szCs w:val="24"/>
        </w:rPr>
        <w:t>RM12-1-000.</w:t>
      </w:r>
      <w:proofErr w:type="gramEnd"/>
      <w:r w:rsidRPr="00B16372">
        <w:rPr>
          <w:rFonts w:ascii="Times New Roman" w:hAnsi="Times New Roman" w:cs="Times New Roman"/>
          <w:b/>
          <w:sz w:val="24"/>
          <w:szCs w:val="24"/>
          <w:vertAlign w:val="superscript"/>
        </w:rPr>
        <w:footnoteReference w:id="2"/>
      </w:r>
      <w:r w:rsidRPr="00B16372">
        <w:rPr>
          <w:rFonts w:ascii="Times New Roman" w:hAnsi="Times New Roman" w:cs="Times New Roman"/>
          <w:sz w:val="24"/>
          <w:szCs w:val="24"/>
        </w:rPr>
        <w:t xml:space="preserve">  NERC states that modified footnote 12 provides specific parameters for the permissible use of planned non-consequential load loss to address bulk electric system performance issues, including: (1) firm limitations on the maximum amount of load that an entity may plan to shed, (2) safeguards to ensure against inconsistent results and arbitrary determinations that allow for the planned non-consequential load loss, and (3) a more specifically defined, open and transparent, verifiable, and enforceable stakeholder process.</w:t>
      </w:r>
    </w:p>
    <w:p w:rsidR="0002242D" w:rsidRPr="00B16372" w:rsidRDefault="0002242D" w:rsidP="0092596C">
      <w:pPr>
        <w:spacing w:after="0" w:line="240" w:lineRule="auto"/>
        <w:rPr>
          <w:rFonts w:ascii="Times New Roman" w:hAnsi="Times New Roman" w:cs="Times New Roman"/>
          <w:sz w:val="24"/>
          <w:szCs w:val="24"/>
        </w:rPr>
      </w:pPr>
    </w:p>
    <w:p w:rsidR="00A72E7B" w:rsidRPr="00B16372" w:rsidRDefault="00A72E7B"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CIRCUMSTANCES THAT MAKE THE COLLECTION OF INFORMATION NECESSARY</w:t>
      </w:r>
    </w:p>
    <w:p w:rsidR="00A72E7B" w:rsidRPr="00B16372" w:rsidRDefault="00A72E7B" w:rsidP="0092596C">
      <w:pPr>
        <w:spacing w:after="0" w:line="240" w:lineRule="auto"/>
        <w:rPr>
          <w:rFonts w:ascii="Times New Roman" w:hAnsi="Times New Roman" w:cs="Times New Roman"/>
          <w:sz w:val="24"/>
          <w:szCs w:val="24"/>
        </w:rPr>
      </w:pPr>
    </w:p>
    <w:p w:rsidR="00DF401D" w:rsidRPr="00B16372" w:rsidRDefault="00DF401D" w:rsidP="0092596C">
      <w:pPr>
        <w:pStyle w:val="FERCparanumber"/>
        <w:widowControl/>
        <w:numPr>
          <w:ilvl w:val="0"/>
          <w:numId w:val="0"/>
        </w:numPr>
        <w:spacing w:line="240" w:lineRule="auto"/>
        <w:rPr>
          <w:sz w:val="24"/>
        </w:rPr>
      </w:pPr>
      <w:r w:rsidRPr="00B16372">
        <w:rPr>
          <w:sz w:val="24"/>
        </w:rPr>
        <w:t>On August 8, 2005, The Electricity Modernization Act of 2005, which is Title XII of the Energy Policy Act of 2005 (</w:t>
      </w:r>
      <w:proofErr w:type="spellStart"/>
      <w:r w:rsidRPr="00B16372">
        <w:rPr>
          <w:sz w:val="24"/>
        </w:rPr>
        <w:t>EPAct</w:t>
      </w:r>
      <w:proofErr w:type="spellEnd"/>
      <w:r w:rsidRPr="00B16372">
        <w:rPr>
          <w:sz w:val="24"/>
        </w:rPr>
        <w:t xml:space="preserve"> 2005), was enacted into law.</w:t>
      </w:r>
      <w:r w:rsidRPr="00B16372">
        <w:rPr>
          <w:rStyle w:val="FootnoteReference"/>
          <w:sz w:val="24"/>
          <w:vertAlign w:val="superscript"/>
        </w:rPr>
        <w:footnoteReference w:id="3"/>
      </w:r>
      <w:r w:rsidRPr="00B16372">
        <w:rPr>
          <w:sz w:val="24"/>
        </w:rPr>
        <w:t xml:space="preserve">  </w:t>
      </w:r>
      <w:proofErr w:type="spellStart"/>
      <w:r w:rsidRPr="00B16372">
        <w:rPr>
          <w:sz w:val="24"/>
        </w:rPr>
        <w:t>EPAct</w:t>
      </w:r>
      <w:proofErr w:type="spellEnd"/>
      <w:r w:rsidRPr="00B16372">
        <w:rPr>
          <w:sz w:val="24"/>
        </w:rPr>
        <w:t xml:space="preserve"> 2005 added a new section 215 </w:t>
      </w:r>
      <w:r w:rsidRPr="00B16372">
        <w:rPr>
          <w:sz w:val="24"/>
        </w:rPr>
        <w:lastRenderedPageBreak/>
        <w:t>to the Federal Power Act (FPA), which requires a Commission-certified Electric Reliability Organization (ERO) to develop mandatory and enforceable Reliability Standards, which are subject to Commission review and approval.  Once approved</w:t>
      </w:r>
      <w:r w:rsidR="0081469B">
        <w:rPr>
          <w:sz w:val="24"/>
        </w:rPr>
        <w:t>,</w:t>
      </w:r>
      <w:r w:rsidRPr="00B16372">
        <w:rPr>
          <w:sz w:val="24"/>
        </w:rPr>
        <w:t xml:space="preserve"> the Reliability Standards may be enforced by the ERO, subject to Commission oversight. </w:t>
      </w:r>
    </w:p>
    <w:p w:rsidR="00DF401D" w:rsidRPr="00B16372" w:rsidRDefault="00DF401D" w:rsidP="0092596C">
      <w:pPr>
        <w:spacing w:after="0" w:line="240" w:lineRule="auto"/>
        <w:rPr>
          <w:rFonts w:ascii="Times New Roman" w:hAnsi="Times New Roman" w:cs="Times New Roman"/>
          <w:sz w:val="24"/>
          <w:szCs w:val="24"/>
        </w:rPr>
      </w:pPr>
    </w:p>
    <w:p w:rsidR="00E05FA3" w:rsidRPr="00B16372" w:rsidRDefault="00E05FA3" w:rsidP="0092596C">
      <w:pPr>
        <w:spacing w:after="0" w:line="240" w:lineRule="auto"/>
        <w:rPr>
          <w:rFonts w:ascii="Times New Roman" w:eastAsia="Times New Roman" w:hAnsi="Times New Roman" w:cs="Times New Roman"/>
          <w:sz w:val="24"/>
          <w:szCs w:val="24"/>
        </w:rPr>
      </w:pPr>
      <w:r w:rsidRPr="00B16372">
        <w:rPr>
          <w:rFonts w:ascii="Times New Roman" w:hAnsi="Times New Roman" w:cs="Times New Roman"/>
          <w:sz w:val="24"/>
          <w:szCs w:val="24"/>
        </w:rPr>
        <w:t xml:space="preserve">On March 16, 2007, in Order No. 693, pursuant to section 215(d) of the FPA, the Commission approved 83 of 107 proposed Reliability Standards, six of the eight proposed regional differences, and the North American Electric Reliability Corporation (NERC) </w:t>
      </w:r>
      <w:r w:rsidRPr="00B16372">
        <w:rPr>
          <w:rFonts w:ascii="Times New Roman" w:hAnsi="Times New Roman" w:cs="Times New Roman"/>
          <w:i/>
          <w:sz w:val="24"/>
          <w:szCs w:val="24"/>
        </w:rPr>
        <w:t>Glossary of Terms Used in Reliability Standards</w:t>
      </w:r>
      <w:r w:rsidRPr="00B16372">
        <w:rPr>
          <w:rFonts w:ascii="Times New Roman" w:hAnsi="Times New Roman" w:cs="Times New Roman"/>
          <w:sz w:val="24"/>
          <w:szCs w:val="24"/>
        </w:rPr>
        <w:t xml:space="preserve"> (NERC Glossary), including </w:t>
      </w:r>
      <w:r w:rsidRPr="00B16372">
        <w:rPr>
          <w:rFonts w:ascii="Times New Roman" w:eastAsia="Times New Roman" w:hAnsi="Times New Roman" w:cs="Times New Roman"/>
          <w:sz w:val="24"/>
          <w:szCs w:val="24"/>
        </w:rPr>
        <w:t>Version 0 TPL Reliability Standards.</w:t>
      </w:r>
      <w:r w:rsidRPr="00B16372">
        <w:rPr>
          <w:rFonts w:ascii="Times New Roman" w:eastAsia="Times New Roman" w:hAnsi="Times New Roman" w:cs="Times New Roman"/>
          <w:b/>
          <w:sz w:val="24"/>
          <w:szCs w:val="24"/>
          <w:vertAlign w:val="superscript"/>
        </w:rPr>
        <w:footnoteReference w:id="4"/>
      </w:r>
      <w:r w:rsidRPr="00B16372">
        <w:rPr>
          <w:rFonts w:ascii="Times New Roman" w:eastAsia="Times New Roman" w:hAnsi="Times New Roman" w:cs="Times New Roman"/>
          <w:sz w:val="24"/>
          <w:szCs w:val="24"/>
        </w:rPr>
        <w:t xml:space="preserve">  Further, pursuant to FPA section 215(d</w:t>
      </w:r>
      <w:proofErr w:type="gramStart"/>
      <w:r w:rsidRPr="00B16372">
        <w:rPr>
          <w:rFonts w:ascii="Times New Roman" w:eastAsia="Times New Roman" w:hAnsi="Times New Roman" w:cs="Times New Roman"/>
          <w:sz w:val="24"/>
          <w:szCs w:val="24"/>
        </w:rPr>
        <w:t>)(</w:t>
      </w:r>
      <w:proofErr w:type="gramEnd"/>
      <w:r w:rsidRPr="00B16372">
        <w:rPr>
          <w:rFonts w:ascii="Times New Roman" w:eastAsia="Times New Roman" w:hAnsi="Times New Roman" w:cs="Times New Roman"/>
          <w:sz w:val="24"/>
          <w:szCs w:val="24"/>
        </w:rPr>
        <w:t>5), the Commission directed NERC to develop modifications to TPL-001-0 through TPL-004-0 through the Reliability Standards development process.</w:t>
      </w:r>
      <w:r w:rsidR="00D037AB">
        <w:rPr>
          <w:rFonts w:ascii="Times New Roman" w:eastAsia="Times New Roman" w:hAnsi="Times New Roman" w:cs="Times New Roman"/>
          <w:sz w:val="24"/>
          <w:szCs w:val="24"/>
        </w:rPr>
        <w:t xml:space="preserve">  In </w:t>
      </w:r>
      <w:r w:rsidR="00D037AB" w:rsidRPr="00D037AB">
        <w:rPr>
          <w:rFonts w:ascii="Times New Roman" w:eastAsia="Times New Roman" w:hAnsi="Times New Roman" w:cs="Times New Roman"/>
          <w:sz w:val="24"/>
          <w:szCs w:val="24"/>
        </w:rPr>
        <w:t>Order</w:t>
      </w:r>
      <w:r w:rsidR="00D037AB">
        <w:rPr>
          <w:rFonts w:ascii="Times New Roman" w:eastAsia="Times New Roman" w:hAnsi="Times New Roman" w:cs="Times New Roman"/>
          <w:sz w:val="24"/>
          <w:szCs w:val="24"/>
        </w:rPr>
        <w:t xml:space="preserve"> No.</w:t>
      </w:r>
      <w:r w:rsidR="00D037AB" w:rsidRPr="00D037AB">
        <w:rPr>
          <w:rFonts w:ascii="Times New Roman" w:eastAsia="Times New Roman" w:hAnsi="Times New Roman" w:cs="Times New Roman"/>
          <w:sz w:val="24"/>
          <w:szCs w:val="24"/>
        </w:rPr>
        <w:t xml:space="preserve"> 693 </w:t>
      </w:r>
      <w:r w:rsidR="00D037AB">
        <w:rPr>
          <w:rFonts w:ascii="Times New Roman" w:eastAsia="Times New Roman" w:hAnsi="Times New Roman" w:cs="Times New Roman"/>
          <w:sz w:val="24"/>
          <w:szCs w:val="24"/>
        </w:rPr>
        <w:t>the Commission indicated</w:t>
      </w:r>
      <w:r w:rsidR="00D037AB" w:rsidRPr="00D037AB">
        <w:rPr>
          <w:rFonts w:ascii="Times New Roman" w:eastAsia="Times New Roman" w:hAnsi="Times New Roman" w:cs="Times New Roman"/>
          <w:sz w:val="24"/>
          <w:szCs w:val="24"/>
        </w:rPr>
        <w:t xml:space="preserve"> that the planning-related Reliability Standard could be improved to better account for probable contingencies wh</w:t>
      </w:r>
      <w:r w:rsidR="00D037AB">
        <w:rPr>
          <w:rFonts w:ascii="Times New Roman" w:eastAsia="Times New Roman" w:hAnsi="Times New Roman" w:cs="Times New Roman"/>
          <w:sz w:val="24"/>
          <w:szCs w:val="24"/>
        </w:rPr>
        <w:t>en conducting planning studies.  Further in that Order, FERC said that much of its proposal</w:t>
      </w:r>
      <w:r w:rsidR="00D037AB" w:rsidRPr="00D037AB">
        <w:rPr>
          <w:rFonts w:ascii="Times New Roman" w:eastAsia="Times New Roman" w:hAnsi="Times New Roman" w:cs="Times New Roman"/>
          <w:sz w:val="24"/>
          <w:szCs w:val="24"/>
        </w:rPr>
        <w:t xml:space="preserve"> was consistent with the potential improvements NERC </w:t>
      </w:r>
      <w:r w:rsidR="00D037AB">
        <w:rPr>
          <w:rFonts w:ascii="Times New Roman" w:eastAsia="Times New Roman" w:hAnsi="Times New Roman" w:cs="Times New Roman"/>
          <w:sz w:val="24"/>
          <w:szCs w:val="24"/>
        </w:rPr>
        <w:t>had already recognized.</w:t>
      </w:r>
      <w:r w:rsidR="001C300E" w:rsidRPr="001B6724">
        <w:rPr>
          <w:rStyle w:val="FootnoteReference"/>
          <w:rFonts w:ascii="Times New Roman" w:eastAsia="Times New Roman" w:hAnsi="Times New Roman" w:cs="Times New Roman"/>
          <w:sz w:val="24"/>
          <w:szCs w:val="24"/>
          <w:vertAlign w:val="superscript"/>
        </w:rPr>
        <w:footnoteReference w:id="5"/>
      </w:r>
    </w:p>
    <w:p w:rsidR="00EB3E6F" w:rsidRPr="00B16372" w:rsidRDefault="00EB3E6F" w:rsidP="0092596C">
      <w:pPr>
        <w:spacing w:after="0" w:line="240" w:lineRule="auto"/>
        <w:rPr>
          <w:rFonts w:ascii="Times New Roman" w:hAnsi="Times New Roman" w:cs="Times New Roman"/>
          <w:sz w:val="24"/>
          <w:szCs w:val="24"/>
        </w:rPr>
      </w:pPr>
    </w:p>
    <w:p w:rsidR="00A72E7B"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HOW, BY WHOM, AND FOR WHAT PURPOSE THE INFORMATION IS TO BE USED AND THE CONSEQUENCES OF NOT COLLECTING THE INFORMATION</w:t>
      </w:r>
    </w:p>
    <w:p w:rsidR="003B25DD" w:rsidRPr="00B16372" w:rsidRDefault="003B25DD" w:rsidP="0092596C">
      <w:pPr>
        <w:spacing w:after="0" w:line="240" w:lineRule="auto"/>
        <w:rPr>
          <w:rFonts w:ascii="Times New Roman" w:hAnsi="Times New Roman" w:cs="Times New Roman"/>
          <w:sz w:val="24"/>
          <w:szCs w:val="24"/>
        </w:rPr>
      </w:pPr>
    </w:p>
    <w:p w:rsidR="00A968FB" w:rsidRPr="00B16372" w:rsidRDefault="00A968FB"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The </w:t>
      </w:r>
      <w:r w:rsidR="001B6724">
        <w:rPr>
          <w:rFonts w:ascii="Times New Roman" w:hAnsi="Times New Roman" w:cs="Times New Roman"/>
          <w:sz w:val="24"/>
          <w:szCs w:val="24"/>
        </w:rPr>
        <w:t>new</w:t>
      </w:r>
      <w:r w:rsidRPr="00B16372">
        <w:rPr>
          <w:rFonts w:ascii="Times New Roman" w:hAnsi="Times New Roman" w:cs="Times New Roman"/>
          <w:sz w:val="24"/>
          <w:szCs w:val="24"/>
        </w:rPr>
        <w:t xml:space="preserve"> Reliability Standard TPL-001-4 implement</w:t>
      </w:r>
      <w:r w:rsidR="001B6724">
        <w:rPr>
          <w:rFonts w:ascii="Times New Roman" w:hAnsi="Times New Roman" w:cs="Times New Roman"/>
          <w:sz w:val="24"/>
          <w:szCs w:val="24"/>
        </w:rPr>
        <w:t>s</w:t>
      </w:r>
      <w:r w:rsidRPr="00B16372">
        <w:rPr>
          <w:rFonts w:ascii="Times New Roman" w:hAnsi="Times New Roman" w:cs="Times New Roman"/>
          <w:sz w:val="24"/>
          <w:szCs w:val="24"/>
        </w:rPr>
        <w:t xml:space="preserve"> the Congressional mandate of the Energy Policy Act of 2005 to develop mandatory and enforceable Reliability Standards to better ensure the reliability of the nation’s Bulk-Power System.  Specifically, the </w:t>
      </w:r>
      <w:r w:rsidR="001B6724">
        <w:rPr>
          <w:rFonts w:ascii="Times New Roman" w:hAnsi="Times New Roman" w:cs="Times New Roman"/>
          <w:sz w:val="24"/>
          <w:szCs w:val="24"/>
        </w:rPr>
        <w:t>standard</w:t>
      </w:r>
      <w:r w:rsidRPr="00B16372">
        <w:rPr>
          <w:rFonts w:ascii="Times New Roman" w:hAnsi="Times New Roman" w:cs="Times New Roman"/>
          <w:sz w:val="24"/>
          <w:szCs w:val="24"/>
        </w:rPr>
        <w:t xml:space="preserve"> ensure</w:t>
      </w:r>
      <w:r w:rsidR="001B6724">
        <w:rPr>
          <w:rFonts w:ascii="Times New Roman" w:hAnsi="Times New Roman" w:cs="Times New Roman"/>
          <w:sz w:val="24"/>
          <w:szCs w:val="24"/>
        </w:rPr>
        <w:t>s</w:t>
      </w:r>
      <w:r w:rsidRPr="00B16372">
        <w:rPr>
          <w:rFonts w:ascii="Times New Roman" w:hAnsi="Times New Roman" w:cs="Times New Roman"/>
          <w:sz w:val="24"/>
          <w:szCs w:val="24"/>
        </w:rPr>
        <w:t xml:space="preserve"> that planning coordinators and transmission planners establish transmission system planning performance requirements within the planning horizon to develop</w:t>
      </w:r>
      <w:r w:rsidR="00C00D70" w:rsidRPr="00B16372">
        <w:rPr>
          <w:rFonts w:ascii="Times New Roman" w:hAnsi="Times New Roman" w:cs="Times New Roman"/>
          <w:sz w:val="24"/>
          <w:szCs w:val="24"/>
        </w:rPr>
        <w:t xml:space="preserve"> </w:t>
      </w:r>
      <w:r w:rsidRPr="00B16372">
        <w:rPr>
          <w:rFonts w:ascii="Times New Roman" w:hAnsi="Times New Roman" w:cs="Times New Roman"/>
          <w:sz w:val="24"/>
          <w:szCs w:val="24"/>
        </w:rPr>
        <w:t>a bulk electric system that will operate reliably and meet specified performance requirements over a broad spectrum of system conditions to meet present and future system needs.</w:t>
      </w:r>
    </w:p>
    <w:p w:rsidR="00FC1142" w:rsidRPr="00B16372" w:rsidRDefault="00FC1142" w:rsidP="0092596C">
      <w:pPr>
        <w:spacing w:after="0" w:line="240" w:lineRule="auto"/>
        <w:rPr>
          <w:rFonts w:ascii="Times New Roman" w:hAnsi="Times New Roman" w:cs="Times New Roman"/>
          <w:sz w:val="24"/>
          <w:szCs w:val="24"/>
        </w:rPr>
      </w:pPr>
    </w:p>
    <w:p w:rsidR="00BA5743" w:rsidRPr="00B16372" w:rsidRDefault="00BA5743"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The Commission estimates that the </w:t>
      </w:r>
      <w:r w:rsidR="001B6724">
        <w:rPr>
          <w:rFonts w:ascii="Times New Roman" w:hAnsi="Times New Roman" w:cs="Times New Roman"/>
          <w:sz w:val="24"/>
          <w:szCs w:val="24"/>
        </w:rPr>
        <w:t>new</w:t>
      </w:r>
      <w:r w:rsidRPr="00B16372">
        <w:rPr>
          <w:rFonts w:ascii="Times New Roman" w:hAnsi="Times New Roman" w:cs="Times New Roman"/>
          <w:sz w:val="24"/>
          <w:szCs w:val="24"/>
        </w:rPr>
        <w:t xml:space="preserve"> Reliability Standard</w:t>
      </w:r>
      <w:r w:rsidR="003B25DD" w:rsidRPr="00B16372">
        <w:rPr>
          <w:rFonts w:ascii="Times New Roman" w:hAnsi="Times New Roman" w:cs="Times New Roman"/>
          <w:sz w:val="24"/>
          <w:szCs w:val="24"/>
        </w:rPr>
        <w:t xml:space="preserve"> TPL-001</w:t>
      </w:r>
      <w:r w:rsidRPr="00B16372">
        <w:rPr>
          <w:rFonts w:ascii="Times New Roman" w:hAnsi="Times New Roman" w:cs="Times New Roman"/>
          <w:sz w:val="24"/>
          <w:szCs w:val="24"/>
        </w:rPr>
        <w:t>-4 affects 183 transmission planners and planning coordinators</w:t>
      </w:r>
      <w:r w:rsidR="003B25DD" w:rsidRPr="00B16372">
        <w:rPr>
          <w:rFonts w:ascii="Times New Roman" w:hAnsi="Times New Roman" w:cs="Times New Roman"/>
          <w:sz w:val="24"/>
          <w:szCs w:val="24"/>
        </w:rPr>
        <w:t>.</w:t>
      </w:r>
      <w:r w:rsidRPr="00B16372">
        <w:rPr>
          <w:rFonts w:ascii="Times New Roman" w:hAnsi="Times New Roman" w:cs="Times New Roman"/>
          <w:sz w:val="24"/>
          <w:szCs w:val="24"/>
        </w:rPr>
        <w:t xml:space="preserve">  </w:t>
      </w:r>
      <w:r w:rsidR="00530462" w:rsidRPr="00B16372">
        <w:rPr>
          <w:rFonts w:ascii="Times New Roman" w:hAnsi="Times New Roman" w:cs="Times New Roman"/>
          <w:sz w:val="24"/>
          <w:szCs w:val="24"/>
        </w:rPr>
        <w:t>Consistent with the standard’s purpose, t</w:t>
      </w:r>
      <w:r w:rsidRPr="00B16372">
        <w:rPr>
          <w:rFonts w:ascii="Times New Roman" w:hAnsi="Times New Roman" w:cs="Times New Roman"/>
          <w:sz w:val="24"/>
          <w:szCs w:val="24"/>
        </w:rPr>
        <w:t>he standard requires entities to:</w:t>
      </w:r>
    </w:p>
    <w:p w:rsidR="00BA5743" w:rsidRPr="00B16372" w:rsidRDefault="00BA5743" w:rsidP="0092596C">
      <w:pPr>
        <w:spacing w:after="0" w:line="240" w:lineRule="auto"/>
        <w:rPr>
          <w:rFonts w:ascii="Times New Roman" w:hAnsi="Times New Roman" w:cs="Times New Roman"/>
          <w:sz w:val="24"/>
          <w:szCs w:val="24"/>
        </w:rPr>
      </w:pPr>
    </w:p>
    <w:p w:rsidR="003B25DD" w:rsidRPr="00B16372" w:rsidRDefault="00BA5743" w:rsidP="0092596C">
      <w:pPr>
        <w:pStyle w:val="ListParagraph"/>
        <w:numPr>
          <w:ilvl w:val="0"/>
          <w:numId w:val="6"/>
        </w:num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Identify joint responsibilities and system modeling enhancements</w:t>
      </w:r>
    </w:p>
    <w:p w:rsidR="00BA5743" w:rsidRPr="00B16372" w:rsidRDefault="00BA5743" w:rsidP="0092596C">
      <w:pPr>
        <w:pStyle w:val="ListParagraph"/>
        <w:numPr>
          <w:ilvl w:val="0"/>
          <w:numId w:val="6"/>
        </w:num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Perform new assessments, simulations, studies, and modeling enhancements, along with the associated documentation</w:t>
      </w:r>
    </w:p>
    <w:p w:rsidR="00530462" w:rsidRPr="00B16372" w:rsidRDefault="00530462" w:rsidP="0092596C">
      <w:pPr>
        <w:pStyle w:val="ListParagraph"/>
        <w:numPr>
          <w:ilvl w:val="0"/>
          <w:numId w:val="6"/>
        </w:num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Follow a stakeholder process</w:t>
      </w:r>
    </w:p>
    <w:p w:rsidR="00A968FB" w:rsidRPr="00B16372" w:rsidRDefault="00A968FB" w:rsidP="0092596C">
      <w:pPr>
        <w:spacing w:after="0" w:line="240" w:lineRule="auto"/>
        <w:rPr>
          <w:rFonts w:ascii="Times New Roman" w:hAnsi="Times New Roman" w:cs="Times New Roman"/>
          <w:sz w:val="24"/>
          <w:szCs w:val="24"/>
        </w:rPr>
      </w:pPr>
    </w:p>
    <w:p w:rsidR="00763EAE" w:rsidRDefault="00763EAE"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information generated relates to assessments, simulations, studies, enhancements and working with stakeholders.  This information is an integral part of transmission planning.  The </w:t>
      </w:r>
      <w:r>
        <w:rPr>
          <w:rFonts w:ascii="Times New Roman" w:hAnsi="Times New Roman" w:cs="Times New Roman"/>
          <w:sz w:val="24"/>
          <w:szCs w:val="24"/>
        </w:rPr>
        <w:lastRenderedPageBreak/>
        <w:t xml:space="preserve">transmission planners and planning coordinators need the generated information in order to know if they will have enough transmission capacity to support load.  </w:t>
      </w:r>
    </w:p>
    <w:p w:rsidR="00763EAE" w:rsidRDefault="00763EAE" w:rsidP="0092596C">
      <w:pPr>
        <w:spacing w:after="0" w:line="240" w:lineRule="auto"/>
        <w:rPr>
          <w:rFonts w:ascii="Times New Roman" w:hAnsi="Times New Roman" w:cs="Times New Roman"/>
          <w:sz w:val="24"/>
          <w:szCs w:val="24"/>
        </w:rPr>
      </w:pPr>
    </w:p>
    <w:p w:rsidR="00763EAE" w:rsidRDefault="00763EAE"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transmission planners and planning coordinators also use the information to show auditors that they are complying with the Reliability Standard requirements.  Generally, entities are scheduled for compliance audits every three years.    </w:t>
      </w:r>
    </w:p>
    <w:p w:rsidR="00763EAE" w:rsidRDefault="00763EAE" w:rsidP="0092596C">
      <w:pPr>
        <w:spacing w:after="0" w:line="240" w:lineRule="auto"/>
        <w:rPr>
          <w:rFonts w:ascii="Times New Roman" w:hAnsi="Times New Roman" w:cs="Times New Roman"/>
          <w:sz w:val="24"/>
          <w:szCs w:val="24"/>
        </w:rPr>
      </w:pPr>
    </w:p>
    <w:p w:rsidR="00A968FB" w:rsidRPr="00B16372" w:rsidRDefault="00A968FB"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If this standard and the associated information collection requirements did not exist there would be a reliability gap i</w:t>
      </w:r>
      <w:r w:rsidR="00B86284" w:rsidRPr="00B16372">
        <w:rPr>
          <w:rFonts w:ascii="Times New Roman" w:hAnsi="Times New Roman" w:cs="Times New Roman"/>
          <w:sz w:val="24"/>
          <w:szCs w:val="24"/>
        </w:rPr>
        <w:t>n the transmission planning</w:t>
      </w:r>
      <w:r w:rsidRPr="00B16372">
        <w:rPr>
          <w:rFonts w:ascii="Times New Roman" w:hAnsi="Times New Roman" w:cs="Times New Roman"/>
          <w:sz w:val="24"/>
          <w:szCs w:val="24"/>
        </w:rPr>
        <w:t>, leading the system to potentially operate in a more unreliable condition</w:t>
      </w:r>
      <w:r w:rsidR="00763EAE">
        <w:rPr>
          <w:rFonts w:ascii="Times New Roman" w:hAnsi="Times New Roman" w:cs="Times New Roman"/>
          <w:sz w:val="24"/>
          <w:szCs w:val="24"/>
        </w:rPr>
        <w:t xml:space="preserve"> than otherwise</w:t>
      </w:r>
      <w:r w:rsidRPr="00B16372">
        <w:rPr>
          <w:rFonts w:ascii="Times New Roman" w:hAnsi="Times New Roman" w:cs="Times New Roman"/>
          <w:sz w:val="24"/>
          <w:szCs w:val="24"/>
        </w:rPr>
        <w:t>.</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RPr="00B16372" w:rsidRDefault="00EB3E6F" w:rsidP="0092596C">
      <w:pPr>
        <w:spacing w:after="0" w:line="240" w:lineRule="auto"/>
        <w:rPr>
          <w:rFonts w:ascii="Times New Roman" w:hAnsi="Times New Roman" w:cs="Times New Roman"/>
          <w:sz w:val="24"/>
          <w:szCs w:val="24"/>
        </w:rPr>
      </w:pPr>
    </w:p>
    <w:p w:rsidR="00C00D70" w:rsidRPr="00B16372" w:rsidRDefault="00C00D7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 use of current or improved technology is not covered in Reliability Standards, and is therefore left to the discretion of each reporting entity.</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EFFORTS TO IDENTIF</w:t>
      </w:r>
      <w:r w:rsidR="00E05FA3" w:rsidRPr="00B16372">
        <w:rPr>
          <w:rFonts w:ascii="Times New Roman" w:hAnsi="Times New Roman" w:cs="Times New Roman"/>
          <w:b/>
          <w:sz w:val="24"/>
          <w:szCs w:val="24"/>
        </w:rPr>
        <w:t>Y</w:t>
      </w:r>
      <w:r w:rsidRPr="00B16372">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C00D7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 information collection requirements are unique to this reliability standard and to this information collection.  The Commission does not know of any duplication in the requirements.</w:t>
      </w:r>
    </w:p>
    <w:p w:rsidR="00C00D70" w:rsidRPr="00B16372" w:rsidRDefault="00C00D70" w:rsidP="0092596C">
      <w:pPr>
        <w:spacing w:after="0" w:line="240" w:lineRule="auto"/>
        <w:rPr>
          <w:rFonts w:ascii="Times New Roman" w:hAnsi="Times New Roman" w:cs="Times New Roman"/>
          <w:sz w:val="24"/>
          <w:szCs w:val="24"/>
        </w:rPr>
      </w:pP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METHODS USED TO MINIMIZE THE BURDEN IN COLLECTION OF INFORMATION INVOLVING SMALL ENTITIES</w:t>
      </w:r>
    </w:p>
    <w:p w:rsidR="00EB3E6F" w:rsidRPr="00B16372" w:rsidRDefault="00EB3E6F" w:rsidP="0092596C">
      <w:pPr>
        <w:spacing w:after="0" w:line="240" w:lineRule="auto"/>
        <w:rPr>
          <w:rFonts w:ascii="Times New Roman" w:hAnsi="Times New Roman" w:cs="Times New Roman"/>
          <w:sz w:val="24"/>
          <w:szCs w:val="24"/>
        </w:rPr>
      </w:pPr>
    </w:p>
    <w:p w:rsidR="00C00D70" w:rsidRPr="00B16372" w:rsidRDefault="00C00D7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Small entities may see a small increase in burden due to the revised requirements in the proposed Reliability Standard.  </w:t>
      </w:r>
    </w:p>
    <w:p w:rsidR="00C00D70" w:rsidRPr="00B16372" w:rsidRDefault="00C00D70" w:rsidP="0092596C">
      <w:pPr>
        <w:spacing w:after="0" w:line="240" w:lineRule="auto"/>
        <w:rPr>
          <w:rFonts w:ascii="Times New Roman" w:hAnsi="Times New Roman" w:cs="Times New Roman"/>
          <w:sz w:val="24"/>
          <w:szCs w:val="24"/>
        </w:rPr>
      </w:pPr>
    </w:p>
    <w:p w:rsidR="00C00D70" w:rsidRPr="00B16372" w:rsidRDefault="00C00D7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In general, small entities may </w:t>
      </w:r>
      <w:r w:rsidR="00B86284" w:rsidRPr="00B16372">
        <w:rPr>
          <w:rFonts w:ascii="Times New Roman" w:hAnsi="Times New Roman" w:cs="Times New Roman"/>
          <w:sz w:val="24"/>
          <w:szCs w:val="24"/>
        </w:rPr>
        <w:t xml:space="preserve">reduce their burden by taking part in a joint registration organization or </w:t>
      </w:r>
      <w:r w:rsidRPr="00B16372">
        <w:rPr>
          <w:rFonts w:ascii="Times New Roman" w:hAnsi="Times New Roman" w:cs="Times New Roman"/>
          <w:sz w:val="24"/>
          <w:szCs w:val="24"/>
        </w:rPr>
        <w:t>a coordinated functional registration</w:t>
      </w:r>
      <w:r w:rsidR="00B86284" w:rsidRPr="00B16372">
        <w:rPr>
          <w:rFonts w:ascii="Times New Roman" w:hAnsi="Times New Roman" w:cs="Times New Roman"/>
          <w:sz w:val="24"/>
          <w:szCs w:val="24"/>
        </w:rPr>
        <w:t>.  These options allow an entity to share its compliance burden with other entities.</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CONSEQUENCE TO FEDERAL PROGRAM IF COLLECTION WERE CONDUCTED LESS FREQUENTLY</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B86284"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If this standard and the associated information collection requirements did not exist or were performed less frequently</w:t>
      </w:r>
      <w:r w:rsidR="004B01EE">
        <w:rPr>
          <w:rFonts w:ascii="Times New Roman" w:hAnsi="Times New Roman" w:cs="Times New Roman"/>
          <w:sz w:val="24"/>
          <w:szCs w:val="24"/>
        </w:rPr>
        <w:t>,</w:t>
      </w:r>
      <w:r w:rsidRPr="00B16372">
        <w:rPr>
          <w:rFonts w:ascii="Times New Roman" w:hAnsi="Times New Roman" w:cs="Times New Roman"/>
          <w:sz w:val="24"/>
          <w:szCs w:val="24"/>
        </w:rPr>
        <w:t xml:space="preserve"> the</w:t>
      </w:r>
      <w:r w:rsidR="004B01EE">
        <w:rPr>
          <w:rFonts w:ascii="Times New Roman" w:hAnsi="Times New Roman" w:cs="Times New Roman"/>
          <w:sz w:val="24"/>
          <w:szCs w:val="24"/>
        </w:rPr>
        <w:t xml:space="preserve"> reduction or elimination of </w:t>
      </w:r>
      <w:r w:rsidRPr="00B16372">
        <w:rPr>
          <w:rFonts w:ascii="Times New Roman" w:hAnsi="Times New Roman" w:cs="Times New Roman"/>
          <w:sz w:val="24"/>
          <w:szCs w:val="24"/>
        </w:rPr>
        <w:t xml:space="preserve">transmission </w:t>
      </w:r>
      <w:r w:rsidR="004B01EE">
        <w:rPr>
          <w:rFonts w:ascii="Times New Roman" w:hAnsi="Times New Roman" w:cs="Times New Roman"/>
          <w:sz w:val="24"/>
          <w:szCs w:val="24"/>
        </w:rPr>
        <w:t xml:space="preserve">system </w:t>
      </w:r>
      <w:r w:rsidRPr="00B16372">
        <w:rPr>
          <w:rFonts w:ascii="Times New Roman" w:hAnsi="Times New Roman" w:cs="Times New Roman"/>
          <w:sz w:val="24"/>
          <w:szCs w:val="24"/>
        </w:rPr>
        <w:t>planning</w:t>
      </w:r>
      <w:r w:rsidR="004B01EE">
        <w:rPr>
          <w:rFonts w:ascii="Times New Roman" w:hAnsi="Times New Roman" w:cs="Times New Roman"/>
          <w:sz w:val="24"/>
          <w:szCs w:val="24"/>
        </w:rPr>
        <w:t xml:space="preserve"> would likely</w:t>
      </w:r>
      <w:r w:rsidRPr="00B16372">
        <w:rPr>
          <w:rFonts w:ascii="Times New Roman" w:hAnsi="Times New Roman" w:cs="Times New Roman"/>
          <w:sz w:val="24"/>
          <w:szCs w:val="24"/>
        </w:rPr>
        <w:t xml:space="preserve"> lead to </w:t>
      </w:r>
      <w:r w:rsidR="004B01EE">
        <w:rPr>
          <w:rFonts w:ascii="Times New Roman" w:hAnsi="Times New Roman" w:cs="Times New Roman"/>
          <w:sz w:val="24"/>
          <w:szCs w:val="24"/>
        </w:rPr>
        <w:t>lower system reliability</w:t>
      </w:r>
      <w:r w:rsidR="00CA4F8C">
        <w:rPr>
          <w:rFonts w:ascii="Times New Roman" w:hAnsi="Times New Roman" w:cs="Times New Roman"/>
          <w:sz w:val="24"/>
          <w:szCs w:val="24"/>
        </w:rPr>
        <w:t>,</w:t>
      </w:r>
      <w:r w:rsidR="004B01EE">
        <w:rPr>
          <w:rFonts w:ascii="Times New Roman" w:hAnsi="Times New Roman" w:cs="Times New Roman"/>
          <w:sz w:val="24"/>
          <w:szCs w:val="24"/>
        </w:rPr>
        <w:t xml:space="preserve"> such as frequent transmission system outages and loss of load</w:t>
      </w:r>
      <w:r w:rsidRPr="00B16372">
        <w:rPr>
          <w:rFonts w:ascii="Times New Roman" w:hAnsi="Times New Roman" w:cs="Times New Roman"/>
          <w:sz w:val="24"/>
          <w:szCs w:val="24"/>
        </w:rPr>
        <w:t>.</w:t>
      </w:r>
    </w:p>
    <w:p w:rsidR="00B86284" w:rsidRPr="00B16372" w:rsidRDefault="00B86284" w:rsidP="0092596C">
      <w:pPr>
        <w:spacing w:after="0" w:line="240" w:lineRule="auto"/>
        <w:rPr>
          <w:rFonts w:ascii="Times New Roman" w:hAnsi="Times New Roman" w:cs="Times New Roman"/>
          <w:sz w:val="24"/>
          <w:szCs w:val="24"/>
        </w:rPr>
      </w:pP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lastRenderedPageBreak/>
        <w:t>EXPLAIN ANY SPECIAL CIRCUMSTANCES RELATING TO THE INFORMATION COLLECTION</w:t>
      </w:r>
    </w:p>
    <w:p w:rsidR="00EB3E6F" w:rsidRPr="00B16372" w:rsidRDefault="00EB3E6F" w:rsidP="0092596C">
      <w:pPr>
        <w:spacing w:after="0" w:line="240" w:lineRule="auto"/>
        <w:rPr>
          <w:rFonts w:ascii="Times New Roman" w:hAnsi="Times New Roman" w:cs="Times New Roman"/>
          <w:sz w:val="24"/>
          <w:szCs w:val="24"/>
        </w:rPr>
      </w:pPr>
    </w:p>
    <w:p w:rsidR="00C60EDC" w:rsidRPr="009468C0" w:rsidRDefault="00C60EDC" w:rsidP="00C60EDC">
      <w:pPr>
        <w:spacing w:after="0" w:line="240" w:lineRule="auto"/>
        <w:rPr>
          <w:rFonts w:ascii="Times New Roman" w:hAnsi="Times New Roman"/>
          <w:sz w:val="24"/>
          <w:szCs w:val="24"/>
        </w:rPr>
      </w:pPr>
      <w:r w:rsidRPr="009468C0">
        <w:rPr>
          <w:rFonts w:ascii="Times New Roman" w:hAnsi="Times New Roman"/>
          <w:sz w:val="24"/>
          <w:szCs w:val="24"/>
        </w:rPr>
        <w:t>There are some special circumstances as described in 5 CFR 1320.5(d</w:t>
      </w:r>
      <w:proofErr w:type="gramStart"/>
      <w:r w:rsidRPr="009468C0">
        <w:rPr>
          <w:rFonts w:ascii="Times New Roman" w:hAnsi="Times New Roman"/>
          <w:sz w:val="24"/>
          <w:szCs w:val="24"/>
        </w:rPr>
        <w:t>)(</w:t>
      </w:r>
      <w:proofErr w:type="gramEnd"/>
      <w:r w:rsidRPr="009468C0">
        <w:rPr>
          <w:rFonts w:ascii="Times New Roman" w:hAnsi="Times New Roman"/>
          <w:sz w:val="24"/>
          <w:szCs w:val="24"/>
        </w:rPr>
        <w:t>2) related to this information collection.</w:t>
      </w:r>
    </w:p>
    <w:p w:rsidR="00C60EDC" w:rsidRPr="009468C0" w:rsidRDefault="00C60EDC" w:rsidP="00C60EDC">
      <w:pPr>
        <w:spacing w:after="0" w:line="240" w:lineRule="auto"/>
        <w:rPr>
          <w:rFonts w:ascii="Times New Roman" w:hAnsi="Times New Roman"/>
          <w:sz w:val="24"/>
          <w:szCs w:val="24"/>
        </w:rPr>
      </w:pPr>
    </w:p>
    <w:p w:rsidR="00C60EDC" w:rsidRPr="009468C0" w:rsidRDefault="00C60EDC" w:rsidP="00C60EDC">
      <w:pPr>
        <w:spacing w:after="0" w:line="240" w:lineRule="auto"/>
        <w:rPr>
          <w:rFonts w:ascii="Times New Roman" w:hAnsi="Times New Roman"/>
          <w:sz w:val="24"/>
          <w:szCs w:val="24"/>
        </w:rPr>
      </w:pPr>
      <w:r w:rsidRPr="009468C0">
        <w:rPr>
          <w:rFonts w:ascii="Times New Roman" w:hAnsi="Times New Roman"/>
          <w:sz w:val="24"/>
          <w:szCs w:val="24"/>
        </w:rPr>
        <w:t xml:space="preserve">Depending on the timing and details of a particular audit or investigation, some entities may have to retain information for longer than three years.  </w:t>
      </w:r>
      <w:r w:rsidR="00CB5C60">
        <w:rPr>
          <w:rFonts w:ascii="Times New Roman" w:hAnsi="Times New Roman"/>
          <w:sz w:val="24"/>
          <w:szCs w:val="24"/>
        </w:rPr>
        <w:t xml:space="preserve">Generally, entities </w:t>
      </w:r>
      <w:r w:rsidR="00CB5C60" w:rsidRPr="00CB5C60">
        <w:rPr>
          <w:rFonts w:ascii="Times New Roman" w:hAnsi="Times New Roman"/>
          <w:sz w:val="24"/>
          <w:szCs w:val="24"/>
        </w:rPr>
        <w:t xml:space="preserve">are scheduled for compliance audits every three years, and therefore retain documentation for three years.  However, the time since the last audit may exceed three years, in which case the entity would retain the documentation necessary to show compliance with the </w:t>
      </w:r>
      <w:r w:rsidR="00CB5C60" w:rsidRPr="00764D4D">
        <w:rPr>
          <w:rFonts w:ascii="Times New Roman" w:hAnsi="Times New Roman"/>
          <w:sz w:val="24"/>
          <w:szCs w:val="24"/>
        </w:rPr>
        <w:t xml:space="preserve">standards </w:t>
      </w:r>
      <w:r w:rsidR="00CB5C60" w:rsidRPr="00CB5C60">
        <w:rPr>
          <w:rFonts w:ascii="Times New Roman" w:hAnsi="Times New Roman"/>
          <w:sz w:val="24"/>
          <w:szCs w:val="24"/>
        </w:rPr>
        <w:t xml:space="preserve">since the last audit.  </w:t>
      </w:r>
    </w:p>
    <w:p w:rsidR="00C60EDC" w:rsidRDefault="00C60EDC" w:rsidP="00C60EDC">
      <w:pPr>
        <w:spacing w:after="0" w:line="240" w:lineRule="auto"/>
        <w:rPr>
          <w:rFonts w:ascii="Times New Roman" w:hAnsi="Times New Roman"/>
          <w:sz w:val="24"/>
          <w:szCs w:val="24"/>
        </w:rPr>
      </w:pPr>
    </w:p>
    <w:p w:rsidR="00670E40" w:rsidRPr="001B6724" w:rsidRDefault="00670E40" w:rsidP="00670E40">
      <w:pPr>
        <w:autoSpaceDE w:val="0"/>
        <w:autoSpaceDN w:val="0"/>
        <w:adjustRightInd w:val="0"/>
        <w:spacing w:after="0" w:line="240" w:lineRule="auto"/>
        <w:rPr>
          <w:rFonts w:ascii="Times New Roman" w:hAnsi="Times New Roman" w:cs="Times New Roman"/>
          <w:sz w:val="24"/>
          <w:szCs w:val="24"/>
        </w:rPr>
      </w:pPr>
      <w:r w:rsidRPr="001B6724">
        <w:rPr>
          <w:rFonts w:ascii="Times New Roman" w:hAnsi="Times New Roman" w:cs="Times New Roman"/>
          <w:sz w:val="24"/>
          <w:szCs w:val="24"/>
        </w:rPr>
        <w:t>For example, in the revised Reliability Standard TPL-001-4, the Transmission Planner and Planning Coordinator shall each retain data or evidence to show compliance as identified unless directed by its Compliance Enforcement Authority to retain specific evidence for a longer period of time as part of an investigation</w:t>
      </w:r>
      <w:r w:rsidR="00AA7559">
        <w:rPr>
          <w:rFonts w:ascii="Times New Roman" w:hAnsi="Times New Roman" w:cs="Times New Roman"/>
          <w:sz w:val="24"/>
          <w:szCs w:val="24"/>
        </w:rPr>
        <w:t>.  The items may include</w:t>
      </w:r>
      <w:r w:rsidRPr="001B6724">
        <w:rPr>
          <w:rFonts w:ascii="Times New Roman" w:hAnsi="Times New Roman" w:cs="Times New Roman"/>
          <w:sz w:val="24"/>
          <w:szCs w:val="24"/>
        </w:rPr>
        <w:t>:</w:t>
      </w:r>
    </w:p>
    <w:p w:rsidR="00670E40" w:rsidRPr="002B2D91" w:rsidRDefault="00670E40" w:rsidP="00670E40">
      <w:pPr>
        <w:autoSpaceDE w:val="0"/>
        <w:autoSpaceDN w:val="0"/>
        <w:adjustRightInd w:val="0"/>
        <w:spacing w:after="0" w:line="240" w:lineRule="auto"/>
        <w:rPr>
          <w:rFonts w:ascii="Times New Roman" w:eastAsia="SymbolMT" w:hAnsi="Times New Roman" w:cs="Times New Roman"/>
          <w:sz w:val="24"/>
          <w:szCs w:val="24"/>
        </w:rPr>
      </w:pPr>
    </w:p>
    <w:p w:rsidR="00670E40" w:rsidRPr="001B6724" w:rsidRDefault="00670E40" w:rsidP="00FA4A60">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1B6724">
        <w:rPr>
          <w:rFonts w:ascii="Times New Roman" w:hAnsi="Times New Roman" w:cs="Times New Roman"/>
          <w:sz w:val="24"/>
          <w:szCs w:val="24"/>
        </w:rPr>
        <w:t>The Planning Assessments performed since the last compliance audit in accordance with Requirement R2 and Measure M2.  The studies performed in support of its Planning Assessments since the last compliance audit in accordance with Requirement R3 and Measure M3.</w:t>
      </w:r>
    </w:p>
    <w:p w:rsidR="00670E40" w:rsidRPr="001B6724" w:rsidRDefault="00670E40" w:rsidP="00FA4A60">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1B6724">
        <w:rPr>
          <w:rFonts w:ascii="Times New Roman" w:hAnsi="Times New Roman" w:cs="Times New Roman"/>
          <w:sz w:val="24"/>
          <w:szCs w:val="24"/>
        </w:rPr>
        <w:t>The studies performed in support of its Planning Assessments since the last compliance audit in accordance with Requirement R4 and Measure M4.</w:t>
      </w:r>
    </w:p>
    <w:p w:rsidR="00670E40" w:rsidRPr="002B2D91" w:rsidRDefault="00670E40" w:rsidP="00670E40">
      <w:pPr>
        <w:autoSpaceDE w:val="0"/>
        <w:autoSpaceDN w:val="0"/>
        <w:adjustRightInd w:val="0"/>
        <w:spacing w:after="0" w:line="240" w:lineRule="auto"/>
        <w:rPr>
          <w:rFonts w:ascii="Times New Roman" w:eastAsia="SymbolMT" w:hAnsi="Times New Roman" w:cs="Times New Roman"/>
          <w:sz w:val="24"/>
          <w:szCs w:val="24"/>
        </w:rPr>
      </w:pPr>
    </w:p>
    <w:p w:rsidR="00670E40" w:rsidRPr="002B2D91" w:rsidRDefault="00670E40" w:rsidP="00670E40">
      <w:pPr>
        <w:autoSpaceDE w:val="0"/>
        <w:autoSpaceDN w:val="0"/>
        <w:adjustRightInd w:val="0"/>
        <w:spacing w:after="0" w:line="240" w:lineRule="auto"/>
        <w:rPr>
          <w:rFonts w:ascii="Times New Roman" w:hAnsi="Times New Roman" w:cs="Times New Roman"/>
          <w:sz w:val="24"/>
          <w:szCs w:val="24"/>
        </w:rPr>
      </w:pPr>
      <w:r w:rsidRPr="002B2D91">
        <w:rPr>
          <w:rFonts w:ascii="Times New Roman" w:hAnsi="Times New Roman" w:cs="Times New Roman"/>
          <w:sz w:val="24"/>
          <w:szCs w:val="24"/>
        </w:rPr>
        <w:t>The Planning Coordinator shall retain data or evidence to show compliance as identified</w:t>
      </w:r>
      <w:r w:rsidR="00072C72">
        <w:rPr>
          <w:rFonts w:ascii="Times New Roman" w:hAnsi="Times New Roman" w:cs="Times New Roman"/>
          <w:sz w:val="24"/>
          <w:szCs w:val="24"/>
        </w:rPr>
        <w:t xml:space="preserve"> below</w:t>
      </w:r>
      <w:r w:rsidRPr="002B2D91">
        <w:rPr>
          <w:rFonts w:ascii="Times New Roman" w:hAnsi="Times New Roman" w:cs="Times New Roman"/>
          <w:sz w:val="24"/>
          <w:szCs w:val="24"/>
        </w:rPr>
        <w:t xml:space="preserve"> unless directed by its Compliance Enforcement Authority to retain specific evidence for a longer period of time as part of an investigation:</w:t>
      </w:r>
    </w:p>
    <w:p w:rsidR="0028412B" w:rsidRPr="002B2D91" w:rsidRDefault="0028412B" w:rsidP="00670E40">
      <w:pPr>
        <w:autoSpaceDE w:val="0"/>
        <w:autoSpaceDN w:val="0"/>
        <w:adjustRightInd w:val="0"/>
        <w:spacing w:after="0" w:line="240" w:lineRule="auto"/>
        <w:rPr>
          <w:rFonts w:ascii="Times New Roman" w:hAnsi="Times New Roman" w:cs="Times New Roman"/>
          <w:sz w:val="24"/>
          <w:szCs w:val="24"/>
        </w:rPr>
      </w:pPr>
    </w:p>
    <w:p w:rsidR="00670E40" w:rsidRDefault="00670E40" w:rsidP="00FA4A60">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2B2D91">
        <w:rPr>
          <w:rFonts w:ascii="Times New Roman" w:hAnsi="Times New Roman" w:cs="Times New Roman"/>
          <w:sz w:val="24"/>
          <w:szCs w:val="24"/>
        </w:rPr>
        <w:t>Three calendar years of the notifications employed in accordance with Requirement R8 and Measure M8.</w:t>
      </w:r>
    </w:p>
    <w:p w:rsidR="002B2D91" w:rsidRPr="002B2D91" w:rsidRDefault="002B2D91" w:rsidP="002B2D91">
      <w:pPr>
        <w:autoSpaceDE w:val="0"/>
        <w:autoSpaceDN w:val="0"/>
        <w:adjustRightInd w:val="0"/>
        <w:spacing w:after="0" w:line="240" w:lineRule="auto"/>
        <w:rPr>
          <w:rFonts w:ascii="Times New Roman" w:hAnsi="Times New Roman" w:cs="Times New Roman"/>
          <w:sz w:val="24"/>
          <w:szCs w:val="24"/>
        </w:rPr>
      </w:pPr>
    </w:p>
    <w:p w:rsidR="00670E40" w:rsidRPr="002B2D91" w:rsidRDefault="00670E40" w:rsidP="00FA4A60">
      <w:pPr>
        <w:autoSpaceDE w:val="0"/>
        <w:autoSpaceDN w:val="0"/>
        <w:adjustRightInd w:val="0"/>
        <w:spacing w:after="0" w:line="240" w:lineRule="auto"/>
        <w:rPr>
          <w:rFonts w:ascii="Times New Roman" w:hAnsi="Times New Roman"/>
          <w:sz w:val="24"/>
          <w:szCs w:val="24"/>
        </w:rPr>
      </w:pPr>
      <w:r w:rsidRPr="002B2D91">
        <w:rPr>
          <w:rFonts w:ascii="Times New Roman" w:hAnsi="Times New Roman" w:cs="Times New Roman"/>
          <w:sz w:val="24"/>
          <w:szCs w:val="24"/>
        </w:rPr>
        <w:t>If a Transmission Planner or Planning Coordinator is found non-compliant, it shall keep information related to the non-compliance until found compliant or the time periods specified above, whichever is longer.</w:t>
      </w:r>
      <w:r w:rsidRPr="002B2D91">
        <w:rPr>
          <w:rStyle w:val="FootnoteReference"/>
          <w:rFonts w:ascii="Times New Roman" w:hAnsi="Times New Roman" w:cs="Times New Roman"/>
          <w:sz w:val="24"/>
          <w:szCs w:val="24"/>
          <w:vertAlign w:val="superscript"/>
        </w:rPr>
        <w:footnoteReference w:id="6"/>
      </w:r>
    </w:p>
    <w:p w:rsidR="00670E40" w:rsidRPr="002B2D91" w:rsidRDefault="00670E40" w:rsidP="00C60EDC">
      <w:pPr>
        <w:spacing w:after="0" w:line="240" w:lineRule="auto"/>
        <w:rPr>
          <w:rFonts w:ascii="Times New Roman" w:hAnsi="Times New Roman"/>
          <w:sz w:val="24"/>
          <w:szCs w:val="24"/>
        </w:rPr>
      </w:pPr>
    </w:p>
    <w:p w:rsidR="00C60EDC" w:rsidRPr="002B2D91" w:rsidRDefault="00C60EDC" w:rsidP="00C60EDC">
      <w:pPr>
        <w:spacing w:after="0" w:line="240" w:lineRule="auto"/>
        <w:rPr>
          <w:rFonts w:ascii="Times New Roman" w:hAnsi="Times New Roman"/>
          <w:sz w:val="24"/>
          <w:szCs w:val="24"/>
          <w:highlight w:val="yellow"/>
        </w:rPr>
      </w:pPr>
      <w:r w:rsidRPr="002B2D91">
        <w:rPr>
          <w:rFonts w:ascii="Times New Roman" w:hAnsi="Times New Roman"/>
          <w:sz w:val="24"/>
          <w:szCs w:val="24"/>
        </w:rPr>
        <w:t>These special circumstances are necessary for reliability purposes.</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EFFORTS TO CONSULT OUTSIDE THE AGENCY: SUMMARIZE PUBLIC COMMENTS AND THE AGENCY’S RESPONSE</w:t>
      </w:r>
    </w:p>
    <w:p w:rsidR="00EB3E6F" w:rsidRPr="00B16372" w:rsidRDefault="00EB3E6F" w:rsidP="0092596C">
      <w:pPr>
        <w:spacing w:after="0" w:line="240" w:lineRule="auto"/>
        <w:rPr>
          <w:rFonts w:ascii="Times New Roman" w:hAnsi="Times New Roman" w:cs="Times New Roman"/>
          <w:sz w:val="24"/>
          <w:szCs w:val="24"/>
        </w:rPr>
      </w:pPr>
    </w:p>
    <w:p w:rsidR="0072126E" w:rsidRDefault="0072126E" w:rsidP="0092596C">
      <w:pPr>
        <w:spacing w:after="0" w:line="240" w:lineRule="auto"/>
        <w:rPr>
          <w:rFonts w:ascii="Times New Roman" w:hAnsi="Times New Roman"/>
          <w:sz w:val="24"/>
          <w:szCs w:val="24"/>
        </w:rPr>
      </w:pPr>
      <w:r w:rsidRPr="00B16372">
        <w:rPr>
          <w:rFonts w:ascii="Times New Roman" w:hAnsi="Times New Roman"/>
          <w:bCs/>
          <w:sz w:val="24"/>
          <w:szCs w:val="24"/>
        </w:rPr>
        <w:t xml:space="preserve">The ERO process to establish Reliability Standards is a collaborative process with the ERO, Regional Entities and other stakeholders developing and reviewing drafts, and providing </w:t>
      </w:r>
      <w:r w:rsidRPr="00B16372">
        <w:rPr>
          <w:rFonts w:ascii="Times New Roman" w:hAnsi="Times New Roman"/>
          <w:bCs/>
          <w:sz w:val="24"/>
          <w:szCs w:val="24"/>
        </w:rPr>
        <w:lastRenderedPageBreak/>
        <w:t>comments, with the final proposed standard submitted to the FERC for review and approval.</w:t>
      </w:r>
      <w:r w:rsidRPr="00B16372">
        <w:rPr>
          <w:rFonts w:ascii="Times New Roman" w:hAnsi="Times New Roman"/>
          <w:b/>
          <w:bCs/>
          <w:sz w:val="24"/>
          <w:szCs w:val="24"/>
          <w:vertAlign w:val="superscript"/>
        </w:rPr>
        <w:footnoteReference w:id="7"/>
      </w:r>
      <w:r w:rsidRPr="00B16372">
        <w:rPr>
          <w:rFonts w:ascii="Times New Roman" w:hAnsi="Times New Roman"/>
          <w:bCs/>
          <w:sz w:val="24"/>
          <w:szCs w:val="24"/>
        </w:rPr>
        <w:t xml:space="preserve">  In addition, each FERC rulemaking (both proposed and final rules) is published in the </w:t>
      </w:r>
      <w:r w:rsidRPr="00B16372">
        <w:rPr>
          <w:rFonts w:ascii="Times New Roman" w:hAnsi="Times New Roman"/>
          <w:bCs/>
          <w:sz w:val="24"/>
          <w:szCs w:val="24"/>
          <w:u w:val="single"/>
        </w:rPr>
        <w:t>Federal Register</w:t>
      </w:r>
      <w:r w:rsidRPr="00B16372">
        <w:rPr>
          <w:rFonts w:ascii="Times New Roman" w:hAnsi="Times New Roman"/>
          <w:bCs/>
          <w:sz w:val="24"/>
          <w:szCs w:val="24"/>
        </w:rPr>
        <w:t xml:space="preserve">, thereby providing public utilities and licensees, state commissions, Federal agencies, and other interested parties an opportunity to submit data, views, comments or suggestions concerning the proposed collection of data. </w:t>
      </w:r>
      <w:r w:rsidRPr="00B16372">
        <w:rPr>
          <w:rFonts w:ascii="Times New Roman" w:hAnsi="Times New Roman"/>
          <w:sz w:val="24"/>
          <w:szCs w:val="24"/>
        </w:rPr>
        <w:t xml:space="preserve"> The proposed rule was published in the Federal Register on </w:t>
      </w:r>
      <w:r w:rsidR="00DF56DA" w:rsidRPr="00DF56DA">
        <w:rPr>
          <w:rFonts w:ascii="Times New Roman" w:hAnsi="Times New Roman"/>
          <w:sz w:val="24"/>
          <w:szCs w:val="24"/>
        </w:rPr>
        <w:t>May 23</w:t>
      </w:r>
      <w:r w:rsidRPr="00DF56DA">
        <w:rPr>
          <w:rFonts w:ascii="Times New Roman" w:hAnsi="Times New Roman"/>
          <w:sz w:val="24"/>
          <w:szCs w:val="24"/>
        </w:rPr>
        <w:t xml:space="preserve">, 2013 (78 FR </w:t>
      </w:r>
      <w:r w:rsidR="00DF56DA" w:rsidRPr="00DF56DA">
        <w:rPr>
          <w:rFonts w:ascii="Times New Roman" w:hAnsi="Times New Roman"/>
          <w:sz w:val="24"/>
          <w:szCs w:val="24"/>
        </w:rPr>
        <w:t>30804</w:t>
      </w:r>
      <w:r w:rsidRPr="00DF56DA">
        <w:rPr>
          <w:rFonts w:ascii="Times New Roman" w:hAnsi="Times New Roman"/>
          <w:sz w:val="24"/>
          <w:szCs w:val="24"/>
        </w:rPr>
        <w:t>).</w:t>
      </w:r>
    </w:p>
    <w:p w:rsidR="00A800B2" w:rsidRDefault="00A800B2" w:rsidP="0092596C">
      <w:pPr>
        <w:spacing w:after="0" w:line="240" w:lineRule="auto"/>
        <w:rPr>
          <w:rFonts w:ascii="Times New Roman" w:hAnsi="Times New Roman"/>
          <w:sz w:val="24"/>
          <w:szCs w:val="24"/>
        </w:rPr>
      </w:pPr>
    </w:p>
    <w:p w:rsidR="00A800B2" w:rsidRPr="00B16372" w:rsidRDefault="005462C0" w:rsidP="0092596C">
      <w:pPr>
        <w:spacing w:after="0" w:line="240" w:lineRule="auto"/>
        <w:rPr>
          <w:rFonts w:ascii="Times New Roman" w:hAnsi="Times New Roman"/>
          <w:sz w:val="24"/>
          <w:szCs w:val="24"/>
        </w:rPr>
      </w:pPr>
      <w:r>
        <w:rPr>
          <w:rFonts w:ascii="Times New Roman" w:hAnsi="Times New Roman"/>
          <w:sz w:val="24"/>
          <w:szCs w:val="24"/>
        </w:rPr>
        <w:t xml:space="preserve">The Commission addresses all comments it received in response to the NOPR in the Final Rule (attached to this information collection request package).  No one commented specifically on the burden estimates.  One </w:t>
      </w:r>
      <w:r w:rsidR="00DF19E8">
        <w:rPr>
          <w:rFonts w:ascii="Times New Roman" w:hAnsi="Times New Roman"/>
          <w:sz w:val="24"/>
          <w:szCs w:val="24"/>
        </w:rPr>
        <w:t>commenter did raise a concern regarding administrative burden and we provide a discussion of that comment here.</w:t>
      </w:r>
    </w:p>
    <w:p w:rsidR="00EB3E6F" w:rsidRDefault="00EB3E6F" w:rsidP="0092596C">
      <w:pPr>
        <w:spacing w:after="0" w:line="240" w:lineRule="auto"/>
        <w:rPr>
          <w:rFonts w:ascii="Times New Roman" w:hAnsi="Times New Roman" w:cs="Times New Roman"/>
          <w:sz w:val="24"/>
          <w:szCs w:val="24"/>
        </w:rPr>
      </w:pPr>
    </w:p>
    <w:p w:rsidR="005462C0" w:rsidRPr="00DF19E8" w:rsidRDefault="005462C0" w:rsidP="0092596C">
      <w:pPr>
        <w:spacing w:after="0" w:line="240" w:lineRule="auto"/>
        <w:rPr>
          <w:rFonts w:ascii="Times New Roman" w:hAnsi="Times New Roman" w:cs="Times New Roman"/>
          <w:sz w:val="24"/>
          <w:szCs w:val="24"/>
          <w:u w:val="single"/>
        </w:rPr>
      </w:pPr>
      <w:r w:rsidRPr="00DF19E8">
        <w:rPr>
          <w:rFonts w:ascii="Times New Roman" w:hAnsi="Times New Roman" w:cs="Times New Roman"/>
          <w:sz w:val="24"/>
          <w:szCs w:val="24"/>
          <w:u w:val="single"/>
        </w:rPr>
        <w:t>Comment</w:t>
      </w:r>
    </w:p>
    <w:p w:rsidR="005462C0" w:rsidRDefault="005462C0" w:rsidP="005462C0">
      <w:pPr>
        <w:spacing w:after="0" w:line="240" w:lineRule="auto"/>
        <w:rPr>
          <w:rFonts w:ascii="Times New Roman" w:hAnsi="Times New Roman" w:cs="Times New Roman"/>
          <w:sz w:val="24"/>
          <w:szCs w:val="24"/>
        </w:rPr>
      </w:pPr>
      <w:r w:rsidRPr="005462C0">
        <w:rPr>
          <w:rFonts w:ascii="Times New Roman" w:hAnsi="Times New Roman" w:cs="Times New Roman"/>
          <w:sz w:val="24"/>
          <w:szCs w:val="24"/>
        </w:rPr>
        <w:t>Midcontinent Independent System Operator Inc. (MISO)</w:t>
      </w:r>
      <w:r>
        <w:rPr>
          <w:rFonts w:ascii="Times New Roman" w:hAnsi="Times New Roman" w:cs="Times New Roman"/>
          <w:sz w:val="24"/>
          <w:szCs w:val="24"/>
        </w:rPr>
        <w:t xml:space="preserve"> </w:t>
      </w:r>
      <w:r w:rsidRPr="005462C0">
        <w:rPr>
          <w:rFonts w:ascii="Times New Roman" w:hAnsi="Times New Roman" w:cs="Times New Roman"/>
          <w:sz w:val="24"/>
          <w:szCs w:val="24"/>
        </w:rPr>
        <w:t xml:space="preserve">supports Reliability Standard TPL-001-4 as an improvement over the current standard but has </w:t>
      </w:r>
      <w:r>
        <w:rPr>
          <w:rFonts w:ascii="Times New Roman" w:hAnsi="Times New Roman" w:cs="Times New Roman"/>
          <w:sz w:val="24"/>
          <w:szCs w:val="24"/>
        </w:rPr>
        <w:t>a</w:t>
      </w:r>
      <w:r w:rsidRPr="005462C0">
        <w:rPr>
          <w:rFonts w:ascii="Times New Roman" w:hAnsi="Times New Roman" w:cs="Times New Roman"/>
          <w:sz w:val="24"/>
          <w:szCs w:val="24"/>
        </w:rPr>
        <w:t xml:space="preserve"> </w:t>
      </w:r>
      <w:r>
        <w:rPr>
          <w:rFonts w:ascii="Times New Roman" w:hAnsi="Times New Roman" w:cs="Times New Roman"/>
          <w:sz w:val="24"/>
          <w:szCs w:val="24"/>
        </w:rPr>
        <w:t xml:space="preserve">paperwork burden type of </w:t>
      </w:r>
      <w:r w:rsidRPr="005462C0">
        <w:rPr>
          <w:rFonts w:ascii="Times New Roman" w:hAnsi="Times New Roman" w:cs="Times New Roman"/>
          <w:sz w:val="24"/>
          <w:szCs w:val="24"/>
        </w:rPr>
        <w:t>concern</w:t>
      </w:r>
      <w:r>
        <w:rPr>
          <w:rFonts w:ascii="Times New Roman" w:hAnsi="Times New Roman" w:cs="Times New Roman"/>
          <w:sz w:val="24"/>
          <w:szCs w:val="24"/>
        </w:rPr>
        <w:t xml:space="preserve"> </w:t>
      </w:r>
      <w:r w:rsidRPr="005462C0">
        <w:rPr>
          <w:rFonts w:ascii="Times New Roman" w:hAnsi="Times New Roman" w:cs="Times New Roman"/>
          <w:sz w:val="24"/>
          <w:szCs w:val="24"/>
        </w:rPr>
        <w:t>regarding Attachment 1, referenced in</w:t>
      </w:r>
      <w:r>
        <w:rPr>
          <w:rFonts w:ascii="Times New Roman" w:hAnsi="Times New Roman" w:cs="Times New Roman"/>
          <w:sz w:val="24"/>
          <w:szCs w:val="24"/>
        </w:rPr>
        <w:t xml:space="preserve"> footnote 12.  </w:t>
      </w:r>
      <w:r w:rsidRPr="005462C0">
        <w:rPr>
          <w:rFonts w:ascii="Times New Roman" w:hAnsi="Times New Roman" w:cs="Times New Roman"/>
          <w:sz w:val="24"/>
          <w:szCs w:val="24"/>
        </w:rPr>
        <w:t xml:space="preserve">MISO argues that the Commission should direct NERC to eliminate or clarify the requirement that requires interaction with and approval by applicable regulatory authorities or government bodies responsible for retail electric service.  </w:t>
      </w:r>
    </w:p>
    <w:p w:rsidR="005462C0" w:rsidRDefault="005462C0" w:rsidP="005462C0">
      <w:pPr>
        <w:spacing w:after="0" w:line="240" w:lineRule="auto"/>
        <w:rPr>
          <w:rFonts w:ascii="Times New Roman" w:hAnsi="Times New Roman" w:cs="Times New Roman"/>
          <w:sz w:val="24"/>
          <w:szCs w:val="24"/>
        </w:rPr>
      </w:pPr>
    </w:p>
    <w:p w:rsidR="005462C0" w:rsidRDefault="005462C0" w:rsidP="005462C0">
      <w:pPr>
        <w:spacing w:after="0" w:line="240" w:lineRule="auto"/>
        <w:rPr>
          <w:rFonts w:ascii="Times New Roman" w:hAnsi="Times New Roman" w:cs="Times New Roman"/>
          <w:sz w:val="24"/>
          <w:szCs w:val="24"/>
        </w:rPr>
      </w:pPr>
      <w:r w:rsidRPr="005462C0">
        <w:rPr>
          <w:rFonts w:ascii="Times New Roman" w:hAnsi="Times New Roman" w:cs="Times New Roman"/>
          <w:sz w:val="24"/>
          <w:szCs w:val="24"/>
        </w:rPr>
        <w:t xml:space="preserve">MISO claims that such a requirement adds an additional layer of complexity and administrative burden to compliance of proposed Reliability Standard TPL-001-4 without any attendant benefit.  According to MISO, the reference in Attachment 1 to “applicable regulatory authorities or governing bodies” is not clear.  MISO states that, while these terms could encompass a state’s public service commission or public utility commission, the terms could also potentially include other state bodies or agencies such as consumer advocacy and protection bodies, state legislatures, and city or municipal bodies.  According to MISO, if these other entities would be considered “governing bodies responsible for retail electric issues,” a transmission planner would need to seek and receive assurances from each of these bodies.  MISO also suggests that, prior to finalization of its transmission expansion plan each year, a planner could obtain the assent of the applicable public utility commission, and yet have its transmission plans subsequently upended because it did not obtain additional assent from a different state agency that has some involvement in retail electric matters. </w:t>
      </w:r>
    </w:p>
    <w:p w:rsidR="005462C0" w:rsidRDefault="005462C0" w:rsidP="005462C0">
      <w:pPr>
        <w:spacing w:after="0" w:line="240" w:lineRule="auto"/>
        <w:rPr>
          <w:rFonts w:ascii="Times New Roman" w:hAnsi="Times New Roman" w:cs="Times New Roman"/>
          <w:sz w:val="24"/>
          <w:szCs w:val="24"/>
        </w:rPr>
      </w:pPr>
    </w:p>
    <w:p w:rsidR="005462C0" w:rsidRPr="00DF19E8" w:rsidRDefault="005462C0" w:rsidP="005462C0">
      <w:pPr>
        <w:spacing w:after="0" w:line="240" w:lineRule="auto"/>
        <w:rPr>
          <w:rFonts w:ascii="Times New Roman" w:hAnsi="Times New Roman" w:cs="Times New Roman"/>
          <w:sz w:val="24"/>
          <w:szCs w:val="24"/>
          <w:u w:val="single"/>
        </w:rPr>
      </w:pPr>
      <w:r w:rsidRPr="00DF19E8">
        <w:rPr>
          <w:rFonts w:ascii="Times New Roman" w:hAnsi="Times New Roman" w:cs="Times New Roman"/>
          <w:sz w:val="24"/>
          <w:szCs w:val="24"/>
          <w:u w:val="single"/>
        </w:rPr>
        <w:t>Commission Response</w:t>
      </w:r>
    </w:p>
    <w:p w:rsidR="005462C0" w:rsidRDefault="005462C0" w:rsidP="005462C0">
      <w:pPr>
        <w:spacing w:after="0" w:line="240" w:lineRule="auto"/>
        <w:rPr>
          <w:rFonts w:ascii="Times New Roman" w:hAnsi="Times New Roman" w:cs="Times New Roman"/>
          <w:sz w:val="24"/>
          <w:szCs w:val="24"/>
        </w:rPr>
      </w:pPr>
      <w:r w:rsidRPr="005462C0">
        <w:rPr>
          <w:rFonts w:ascii="Times New Roman" w:hAnsi="Times New Roman" w:cs="Times New Roman"/>
          <w:sz w:val="24"/>
          <w:szCs w:val="24"/>
        </w:rPr>
        <w:t>We disagree with MISO that Attachment 1 to footnote 12 adds an additional layer of complexity and administrative burden to compliance without any attendant benefit.  Commenters have stated in prior proceedings that a blend of quantitative and qualitative parameters “should not overly burden NERC or Regional Entity resources as utilization of the planned load shed exception is – and would be – rarely utilized.”</w:t>
      </w:r>
      <w:r w:rsidRPr="005462C0">
        <w:rPr>
          <w:rFonts w:ascii="Times New Roman" w:hAnsi="Times New Roman" w:cs="Times New Roman"/>
          <w:b/>
          <w:sz w:val="24"/>
          <w:szCs w:val="24"/>
          <w:vertAlign w:val="superscript"/>
        </w:rPr>
        <w:footnoteReference w:id="8"/>
      </w:r>
      <w:r w:rsidRPr="005462C0">
        <w:rPr>
          <w:rFonts w:ascii="Times New Roman" w:hAnsi="Times New Roman" w:cs="Times New Roman"/>
          <w:sz w:val="24"/>
          <w:szCs w:val="24"/>
        </w:rPr>
        <w:t xml:space="preserve">  Further, the Commission directs NERC to report on the use of footnote 12 including the use and effectiveness of the local regulatory review and NERC review.  This report is important because it will provide an analysis of the use of footnote 12, including </w:t>
      </w:r>
      <w:r w:rsidRPr="005462C0">
        <w:rPr>
          <w:rFonts w:ascii="Times New Roman" w:hAnsi="Times New Roman" w:cs="Times New Roman"/>
          <w:sz w:val="24"/>
          <w:szCs w:val="24"/>
        </w:rPr>
        <w:lastRenderedPageBreak/>
        <w:t>but not limited to information on the duration, frequency and magnitude of planned non-consequential load loss, and typical (and if significant, atypical) scenarios where entities plan for non-consequential load loss.  Further, the report will serve as a tool to evaluate the usefulness and effectiveness of local regulatory and ERO review, and identify whether MISO’s concern or other issues arise that need to be addressed.</w:t>
      </w:r>
    </w:p>
    <w:p w:rsidR="00DF19E8" w:rsidRPr="005462C0" w:rsidRDefault="00DF19E8" w:rsidP="005462C0">
      <w:pPr>
        <w:spacing w:after="0" w:line="240" w:lineRule="auto"/>
        <w:rPr>
          <w:rFonts w:ascii="Times New Roman" w:hAnsi="Times New Roman" w:cs="Times New Roman"/>
          <w:b/>
          <w:sz w:val="24"/>
          <w:szCs w:val="24"/>
        </w:rPr>
      </w:pPr>
    </w:p>
    <w:p w:rsidR="005462C0" w:rsidRDefault="005462C0" w:rsidP="005462C0">
      <w:pPr>
        <w:spacing w:after="0" w:line="240" w:lineRule="auto"/>
        <w:rPr>
          <w:rFonts w:ascii="Times New Roman" w:hAnsi="Times New Roman" w:cs="Times New Roman"/>
          <w:sz w:val="24"/>
          <w:szCs w:val="24"/>
        </w:rPr>
      </w:pPr>
      <w:r w:rsidRPr="005462C0">
        <w:rPr>
          <w:rFonts w:ascii="Times New Roman" w:hAnsi="Times New Roman" w:cs="Times New Roman"/>
          <w:sz w:val="24"/>
          <w:szCs w:val="24"/>
        </w:rPr>
        <w:t>We decline to direct NERC to limit the meaning of the phrase “applicable regulatory authorities or governing bodies.”  Because each state and locality has different entities that are responsible for reliability of retail electric service, we are reluctant to further define who may participate.  NERC’s report should identify any issues with respect to how effective and efficient the review process is working.  With regard to MISO’s request that input by the affected regulatory body is sufficient to satisfy the language in the Attachment 1 stakeholder process indicating that the agency “does not object” to the inclusion of non-consequential load loss, we note that during the standard development process NERC “modified the footnote to require regulatory authority review rather than approval.”</w:t>
      </w:r>
      <w:r w:rsidRPr="005462C0">
        <w:rPr>
          <w:rFonts w:ascii="Times New Roman" w:hAnsi="Times New Roman" w:cs="Times New Roman"/>
          <w:b/>
          <w:sz w:val="24"/>
          <w:szCs w:val="24"/>
          <w:vertAlign w:val="superscript"/>
        </w:rPr>
        <w:footnoteReference w:id="9"/>
      </w:r>
      <w:r w:rsidRPr="005462C0">
        <w:rPr>
          <w:rFonts w:ascii="Times New Roman" w:hAnsi="Times New Roman" w:cs="Times New Roman"/>
          <w:sz w:val="24"/>
          <w:szCs w:val="24"/>
        </w:rPr>
        <w:t xml:space="preserve">  Use of an open stakeholder process that allows for robust input and review will ensure that all interested state agencies will have a say in the process, and that any objections of such agencies to the inclusion of non-consequential load loss will be considered in the relevant planning decisions.</w:t>
      </w:r>
    </w:p>
    <w:p w:rsidR="005462C0" w:rsidRPr="00B16372" w:rsidRDefault="005462C0" w:rsidP="0092596C">
      <w:pPr>
        <w:spacing w:after="0" w:line="240" w:lineRule="auto"/>
        <w:rPr>
          <w:rFonts w:ascii="Times New Roman" w:hAnsi="Times New Roman" w:cs="Times New Roman"/>
          <w:sz w:val="24"/>
          <w:szCs w:val="24"/>
        </w:rPr>
      </w:pPr>
    </w:p>
    <w:p w:rsidR="00EB3E6F"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EXPLAIN ANY PAYMENT OR GIFTS TO RESPONDENTS</w:t>
      </w:r>
    </w:p>
    <w:p w:rsidR="00D80FBD" w:rsidRPr="00B16372" w:rsidRDefault="00D80FBD" w:rsidP="0092596C">
      <w:pPr>
        <w:spacing w:after="0" w:line="240" w:lineRule="auto"/>
        <w:rPr>
          <w:rFonts w:ascii="Times New Roman" w:hAnsi="Times New Roman" w:cs="Times New Roman"/>
          <w:sz w:val="24"/>
          <w:szCs w:val="24"/>
        </w:rPr>
      </w:pPr>
    </w:p>
    <w:p w:rsidR="0072126E" w:rsidRPr="00B16372" w:rsidRDefault="0072126E" w:rsidP="0092596C">
      <w:pPr>
        <w:spacing w:after="0" w:line="240" w:lineRule="auto"/>
        <w:rPr>
          <w:rFonts w:ascii="Times New Roman" w:hAnsi="Times New Roman"/>
          <w:sz w:val="24"/>
          <w:szCs w:val="24"/>
        </w:rPr>
      </w:pPr>
      <w:r w:rsidRPr="00B16372">
        <w:rPr>
          <w:rFonts w:ascii="Times New Roman" w:hAnsi="Times New Roman"/>
          <w:sz w:val="24"/>
          <w:szCs w:val="24"/>
        </w:rPr>
        <w:t>The Commission does not make payments or provide gifts for respondents related to this collection.</w:t>
      </w:r>
    </w:p>
    <w:p w:rsidR="00D80FBD" w:rsidRPr="00B16372" w:rsidRDefault="00D80FBD" w:rsidP="0092596C">
      <w:pPr>
        <w:spacing w:after="0" w:line="240" w:lineRule="auto"/>
        <w:rPr>
          <w:rFonts w:ascii="Times New Roman" w:hAnsi="Times New Roman" w:cs="Times New Roman"/>
          <w:sz w:val="24"/>
          <w:szCs w:val="24"/>
        </w:rPr>
      </w:pPr>
    </w:p>
    <w:p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ANY ASSURANCE OF CONFIDENTIALITY PROVIDED TO RESPONDENTS</w:t>
      </w:r>
    </w:p>
    <w:p w:rsidR="00DF19E8" w:rsidRDefault="00DF19E8" w:rsidP="0092596C">
      <w:pPr>
        <w:spacing w:after="0" w:line="240" w:lineRule="auto"/>
        <w:rPr>
          <w:rFonts w:ascii="Times New Roman" w:hAnsi="Times New Roman" w:cs="Times New Roman"/>
          <w:sz w:val="24"/>
          <w:szCs w:val="24"/>
        </w:rPr>
      </w:pPr>
    </w:p>
    <w:p w:rsidR="00D80FBD" w:rsidRPr="00B16372" w:rsidRDefault="004552E9"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There are no specific assurances of confidentiality mentioned to respondents.</w:t>
      </w:r>
    </w:p>
    <w:p w:rsidR="00D80FBD" w:rsidRPr="00B16372" w:rsidRDefault="00D80FBD" w:rsidP="0092596C">
      <w:pPr>
        <w:spacing w:after="0" w:line="240" w:lineRule="auto"/>
        <w:rPr>
          <w:rFonts w:ascii="Times New Roman" w:hAnsi="Times New Roman" w:cs="Times New Roman"/>
          <w:sz w:val="24"/>
          <w:szCs w:val="24"/>
        </w:rPr>
      </w:pPr>
    </w:p>
    <w:p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PROVIDE ADDITIONAL JUSTIFICATION FOR ANY QUESTIONS OF A SENSITIVE NATURE</w:t>
      </w:r>
    </w:p>
    <w:p w:rsidR="00D80FBD" w:rsidRPr="00B16372" w:rsidRDefault="00D80FBD" w:rsidP="0092596C">
      <w:pPr>
        <w:spacing w:after="0" w:line="240" w:lineRule="auto"/>
        <w:rPr>
          <w:rFonts w:ascii="Times New Roman" w:hAnsi="Times New Roman" w:cs="Times New Roman"/>
          <w:sz w:val="24"/>
          <w:szCs w:val="24"/>
        </w:rPr>
      </w:pPr>
    </w:p>
    <w:p w:rsidR="00A4336A" w:rsidRPr="00B16372" w:rsidRDefault="00A4336A" w:rsidP="0092596C">
      <w:pPr>
        <w:spacing w:after="0" w:line="240" w:lineRule="auto"/>
        <w:rPr>
          <w:rFonts w:ascii="Times New Roman" w:hAnsi="Times New Roman"/>
          <w:sz w:val="24"/>
          <w:szCs w:val="24"/>
        </w:rPr>
      </w:pPr>
      <w:r w:rsidRPr="00B16372">
        <w:rPr>
          <w:rFonts w:ascii="Times New Roman" w:hAnsi="Times New Roman"/>
          <w:sz w:val="24"/>
          <w:szCs w:val="24"/>
        </w:rPr>
        <w:t>This collection does not include any questions of a sensitive nature.</w:t>
      </w:r>
    </w:p>
    <w:p w:rsidR="00D80FBD" w:rsidRPr="00B16372" w:rsidRDefault="00D80FBD" w:rsidP="0092596C">
      <w:pPr>
        <w:spacing w:after="0" w:line="240" w:lineRule="auto"/>
        <w:rPr>
          <w:rFonts w:ascii="Times New Roman" w:hAnsi="Times New Roman" w:cs="Times New Roman"/>
          <w:sz w:val="24"/>
          <w:szCs w:val="24"/>
        </w:rPr>
      </w:pPr>
    </w:p>
    <w:p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ESTIMATED BURDEN OF COLLECTION OF INFORMATION</w:t>
      </w:r>
    </w:p>
    <w:p w:rsidR="00A4336A" w:rsidRPr="00B16372" w:rsidRDefault="00A4336A" w:rsidP="0092596C">
      <w:pPr>
        <w:spacing w:after="0" w:line="240" w:lineRule="auto"/>
        <w:rPr>
          <w:rFonts w:ascii="Times New Roman" w:hAnsi="Times New Roman" w:cs="Times New Roman"/>
          <w:sz w:val="24"/>
          <w:szCs w:val="24"/>
        </w:rPr>
      </w:pPr>
    </w:p>
    <w:p w:rsidR="00DB14A2" w:rsidRPr="00B16372" w:rsidRDefault="00DB14A2" w:rsidP="00DB14A2">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 Commission approve</w:t>
      </w:r>
      <w:r w:rsidR="00C06913">
        <w:rPr>
          <w:rFonts w:ascii="Times New Roman" w:hAnsi="Times New Roman" w:cs="Times New Roman"/>
          <w:sz w:val="24"/>
          <w:szCs w:val="24"/>
        </w:rPr>
        <w:t>s</w:t>
      </w:r>
      <w:r w:rsidRPr="00B16372">
        <w:rPr>
          <w:rFonts w:ascii="Times New Roman" w:hAnsi="Times New Roman" w:cs="Times New Roman"/>
          <w:sz w:val="24"/>
          <w:szCs w:val="24"/>
        </w:rPr>
        <w:t xml:space="preserve"> Reliability Standard TPL-001-4 and </w:t>
      </w:r>
      <w:r w:rsidR="00C06913">
        <w:rPr>
          <w:rFonts w:ascii="Times New Roman" w:hAnsi="Times New Roman" w:cs="Times New Roman"/>
          <w:sz w:val="24"/>
          <w:szCs w:val="24"/>
        </w:rPr>
        <w:t xml:space="preserve">the </w:t>
      </w:r>
      <w:r w:rsidRPr="00B16372">
        <w:rPr>
          <w:rFonts w:ascii="Times New Roman" w:hAnsi="Times New Roman" w:cs="Times New Roman"/>
          <w:sz w:val="24"/>
          <w:szCs w:val="24"/>
        </w:rPr>
        <w:t>retire</w:t>
      </w:r>
      <w:r w:rsidR="00C06913">
        <w:rPr>
          <w:rFonts w:ascii="Times New Roman" w:hAnsi="Times New Roman" w:cs="Times New Roman"/>
          <w:sz w:val="24"/>
          <w:szCs w:val="24"/>
        </w:rPr>
        <w:t>ment of</w:t>
      </w:r>
      <w:r w:rsidRPr="00B16372">
        <w:rPr>
          <w:rFonts w:ascii="Times New Roman" w:hAnsi="Times New Roman" w:cs="Times New Roman"/>
          <w:sz w:val="24"/>
          <w:szCs w:val="24"/>
        </w:rPr>
        <w:t xml:space="preserve"> four currently-effective TPL Reliability Sta</w:t>
      </w:r>
      <w:r w:rsidR="00C06913">
        <w:rPr>
          <w:rFonts w:ascii="Times New Roman" w:hAnsi="Times New Roman" w:cs="Times New Roman"/>
          <w:sz w:val="24"/>
          <w:szCs w:val="24"/>
        </w:rPr>
        <w:t xml:space="preserve">ndards, TPL-001 through TPL-004.  </w:t>
      </w:r>
      <w:r w:rsidRPr="00B16372">
        <w:rPr>
          <w:rFonts w:ascii="Times New Roman" w:hAnsi="Times New Roman" w:cs="Times New Roman"/>
          <w:sz w:val="24"/>
          <w:szCs w:val="24"/>
        </w:rPr>
        <w:t xml:space="preserve">In Order No. 693, the Commission directed NERC to develop modifications to TPL-001-0 through TPL-004-0 through NERC’s Reliability Standards development process.  Rather than creating entirely new TPL requirements, the revised Reliability Standard TPL-001-4 consolidates and improves the overall quality of the currently-effective TPL Reliability Standards governing transmission system </w:t>
      </w:r>
      <w:r w:rsidRPr="00B16372">
        <w:rPr>
          <w:rFonts w:ascii="Times New Roman" w:hAnsi="Times New Roman" w:cs="Times New Roman"/>
          <w:sz w:val="24"/>
          <w:szCs w:val="24"/>
        </w:rPr>
        <w:lastRenderedPageBreak/>
        <w:t xml:space="preserve">planning of the bulk electric system.  Thus, this </w:t>
      </w:r>
      <w:r w:rsidR="00C06913">
        <w:rPr>
          <w:rFonts w:ascii="Times New Roman" w:hAnsi="Times New Roman" w:cs="Times New Roman"/>
          <w:sz w:val="24"/>
          <w:szCs w:val="24"/>
        </w:rPr>
        <w:t>final rule</w:t>
      </w:r>
      <w:r w:rsidRPr="00B16372">
        <w:rPr>
          <w:rFonts w:ascii="Times New Roman" w:hAnsi="Times New Roman" w:cs="Times New Roman"/>
          <w:sz w:val="24"/>
          <w:szCs w:val="24"/>
        </w:rPr>
        <w:t xml:space="preserve"> does not impose entirely new burdens on the effected entities.</w:t>
      </w:r>
      <w:r w:rsidRPr="00324D7D">
        <w:rPr>
          <w:rFonts w:ascii="Times New Roman" w:hAnsi="Times New Roman" w:cs="Times New Roman"/>
          <w:sz w:val="24"/>
          <w:szCs w:val="24"/>
        </w:rPr>
        <w:t xml:space="preserve"> </w:t>
      </w:r>
      <w:r w:rsidRPr="00B16372">
        <w:rPr>
          <w:rFonts w:ascii="Times New Roman" w:hAnsi="Times New Roman" w:cs="Times New Roman"/>
          <w:sz w:val="24"/>
          <w:szCs w:val="24"/>
        </w:rPr>
        <w:t xml:space="preserve"> For example, the currently-effective and revised TPL Reliability Standards both require that transmission planners and planning coordinators prepare annual planning assessments for near-term and long-term planning horizons and evaluate system performance for various categories of contingencies ranging from normal operations through extreme events.</w:t>
      </w:r>
    </w:p>
    <w:p w:rsidR="00DB14A2" w:rsidRPr="00B16372" w:rsidRDefault="00DB14A2" w:rsidP="00DB14A2">
      <w:pPr>
        <w:spacing w:after="0" w:line="240" w:lineRule="auto"/>
        <w:rPr>
          <w:rFonts w:ascii="Times New Roman" w:hAnsi="Times New Roman" w:cs="Times New Roman"/>
          <w:sz w:val="24"/>
          <w:szCs w:val="24"/>
        </w:rPr>
      </w:pPr>
    </w:p>
    <w:p w:rsidR="00DB14A2" w:rsidRPr="00B16372" w:rsidRDefault="00DB14A2" w:rsidP="00DB14A2">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The </w:t>
      </w:r>
      <w:r w:rsidR="008D1162">
        <w:rPr>
          <w:rFonts w:ascii="Times New Roman" w:hAnsi="Times New Roman" w:cs="Times New Roman"/>
          <w:sz w:val="24"/>
          <w:szCs w:val="24"/>
        </w:rPr>
        <w:t>revised</w:t>
      </w:r>
      <w:r w:rsidRPr="00B16372">
        <w:rPr>
          <w:rFonts w:ascii="Times New Roman" w:hAnsi="Times New Roman" w:cs="Times New Roman"/>
          <w:sz w:val="24"/>
          <w:szCs w:val="24"/>
        </w:rPr>
        <w:t xml:space="preserve"> Reliability Standard TPL-001-4 includes several new obligations for transmission planners and planning coordinators.  For example, they must identify joint responsibilities and conduct system modeling enhancements as required by Reliability Standard TPL-001-4, Requirements R1 and R7.  Reliability Standard TPL-001-4 also includes the footnote 12 stakeholder process.  Based on the results of NERC’s data request (NERC Petition, Exhibit F), there have been approximately 80 instances of planned non-consequential load loss under the currently-effective TPL Reliability Standards.  The vast majority of these indicate a plan to mitigate the planned </w:t>
      </w:r>
      <w:bookmarkStart w:id="1" w:name="OLE_LINK3"/>
      <w:bookmarkStart w:id="2" w:name="OLE_LINK4"/>
      <w:r w:rsidRPr="00B16372">
        <w:rPr>
          <w:rFonts w:ascii="Times New Roman" w:hAnsi="Times New Roman" w:cs="Times New Roman"/>
          <w:sz w:val="24"/>
          <w:szCs w:val="24"/>
        </w:rPr>
        <w:t xml:space="preserve">non-consequential </w:t>
      </w:r>
      <w:bookmarkEnd w:id="1"/>
      <w:bookmarkEnd w:id="2"/>
      <w:r w:rsidRPr="00B16372">
        <w:rPr>
          <w:rFonts w:ascii="Times New Roman" w:hAnsi="Times New Roman" w:cs="Times New Roman"/>
          <w:sz w:val="24"/>
          <w:szCs w:val="24"/>
        </w:rPr>
        <w:t>load loss within a 5 year period, and approximately 75 percent of the approximately 80 instances have planned non-consequential load loss less than 25 MW.  The Commission does not expect the instances of planned non-consequential load loss to materially change from the existing number.  Therefore, the Commission estimates 16 annual uses (80 instances divided by a 5 year period) of Attachment 1</w:t>
      </w:r>
      <w:r w:rsidR="00324D7D">
        <w:rPr>
          <w:rFonts w:ascii="Times New Roman" w:hAnsi="Times New Roman" w:cs="Times New Roman"/>
          <w:sz w:val="24"/>
          <w:szCs w:val="24"/>
        </w:rPr>
        <w:t>,</w:t>
      </w:r>
      <w:r w:rsidRPr="00B16372">
        <w:rPr>
          <w:rFonts w:ascii="Times New Roman" w:hAnsi="Times New Roman" w:cs="Times New Roman"/>
          <w:sz w:val="24"/>
          <w:szCs w:val="24"/>
        </w:rPr>
        <w:t xml:space="preserve"> with 12 of those instances (approximately 75 percent of the estimated annual total) using sections I and II of Attachment 1</w:t>
      </w:r>
      <w:r w:rsidR="00324D7D">
        <w:rPr>
          <w:rFonts w:ascii="Times New Roman" w:hAnsi="Times New Roman" w:cs="Times New Roman"/>
          <w:sz w:val="24"/>
          <w:szCs w:val="24"/>
        </w:rPr>
        <w:t>,</w:t>
      </w:r>
      <w:r w:rsidRPr="00B16372">
        <w:rPr>
          <w:rFonts w:ascii="Times New Roman" w:hAnsi="Times New Roman" w:cs="Times New Roman"/>
          <w:sz w:val="24"/>
          <w:szCs w:val="24"/>
        </w:rPr>
        <w:t xml:space="preserve"> and 4 instances using sections I, II and III of Attachment 1 of Reliability Standard TPL-001-4.</w:t>
      </w:r>
    </w:p>
    <w:p w:rsidR="00DB14A2" w:rsidRPr="00B16372" w:rsidRDefault="00DB14A2" w:rsidP="00DB14A2">
      <w:pPr>
        <w:spacing w:after="0" w:line="240" w:lineRule="auto"/>
        <w:rPr>
          <w:rFonts w:ascii="Times New Roman" w:hAnsi="Times New Roman" w:cs="Times New Roman"/>
          <w:sz w:val="24"/>
          <w:szCs w:val="24"/>
          <w:u w:val="single"/>
        </w:rPr>
      </w:pPr>
    </w:p>
    <w:p w:rsidR="00DB14A2" w:rsidRPr="00B16372" w:rsidRDefault="00DB14A2" w:rsidP="00DB14A2">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The burden and cost estimates below are based on </w:t>
      </w:r>
      <w:r w:rsidR="008D1162">
        <w:rPr>
          <w:rFonts w:ascii="Times New Roman" w:hAnsi="Times New Roman" w:cs="Times New Roman"/>
          <w:sz w:val="24"/>
          <w:szCs w:val="24"/>
        </w:rPr>
        <w:t xml:space="preserve">new </w:t>
      </w:r>
      <w:r w:rsidRPr="00B16372">
        <w:rPr>
          <w:rFonts w:ascii="Times New Roman" w:hAnsi="Times New Roman" w:cs="Times New Roman"/>
          <w:sz w:val="24"/>
          <w:szCs w:val="24"/>
        </w:rPr>
        <w:t>reporting and recordkeeping burden imposed by the Reliability Standard.  Our estimates are based on the NERC Compliance Registry as of February 28, 2013, which indicate</w:t>
      </w:r>
      <w:r w:rsidR="00324D7D">
        <w:rPr>
          <w:rFonts w:ascii="Times New Roman" w:hAnsi="Times New Roman" w:cs="Times New Roman"/>
          <w:sz w:val="24"/>
          <w:szCs w:val="24"/>
        </w:rPr>
        <w:t>s</w:t>
      </w:r>
      <w:r w:rsidRPr="00B16372">
        <w:rPr>
          <w:rFonts w:ascii="Times New Roman" w:hAnsi="Times New Roman" w:cs="Times New Roman"/>
          <w:sz w:val="24"/>
          <w:szCs w:val="24"/>
        </w:rPr>
        <w:t xml:space="preserve"> that NERC has registered 183 transmission planners and planning coordinators.</w:t>
      </w:r>
    </w:p>
    <w:p w:rsidR="00DB14A2" w:rsidRPr="00B16372" w:rsidRDefault="00DB14A2" w:rsidP="00DB14A2">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1143"/>
        <w:gridCol w:w="1874"/>
        <w:gridCol w:w="1429"/>
        <w:gridCol w:w="1535"/>
        <w:gridCol w:w="1497"/>
      </w:tblGrid>
      <w:tr w:rsidR="00DB14A2" w:rsidRPr="00B16372" w:rsidTr="00883F19">
        <w:tc>
          <w:tcPr>
            <w:tcW w:w="2098" w:type="dxa"/>
            <w:shd w:val="clear" w:color="auto" w:fill="D9D9D9"/>
            <w:vAlign w:val="bottom"/>
          </w:tcPr>
          <w:p w:rsidR="00DB14A2" w:rsidRPr="00B16372" w:rsidRDefault="00DB14A2" w:rsidP="00324D7D">
            <w:pPr>
              <w:spacing w:after="0" w:line="240" w:lineRule="auto"/>
              <w:jc w:val="center"/>
              <w:rPr>
                <w:rFonts w:ascii="Times New Roman" w:hAnsi="Times New Roman" w:cs="Times New Roman"/>
                <w:b/>
                <w:sz w:val="24"/>
                <w:szCs w:val="24"/>
              </w:rPr>
            </w:pPr>
            <w:r w:rsidRPr="00B16372">
              <w:rPr>
                <w:rFonts w:ascii="Times New Roman" w:hAnsi="Times New Roman" w:cs="Times New Roman"/>
                <w:b/>
                <w:sz w:val="24"/>
                <w:szCs w:val="24"/>
              </w:rPr>
              <w:t>Improved Requirement</w:t>
            </w:r>
            <w:r w:rsidRPr="00B16372">
              <w:rPr>
                <w:rFonts w:ascii="Times New Roman" w:hAnsi="Times New Roman" w:cs="Times New Roman"/>
                <w:sz w:val="24"/>
                <w:szCs w:val="24"/>
                <w:vertAlign w:val="superscript"/>
              </w:rPr>
              <w:footnoteReference w:id="10"/>
            </w:r>
          </w:p>
        </w:tc>
        <w:tc>
          <w:tcPr>
            <w:tcW w:w="1143" w:type="dxa"/>
            <w:shd w:val="clear" w:color="auto" w:fill="D9D9D9"/>
            <w:vAlign w:val="bottom"/>
          </w:tcPr>
          <w:p w:rsidR="00DB14A2" w:rsidRPr="00B16372" w:rsidRDefault="00DB14A2" w:rsidP="00324D7D">
            <w:pPr>
              <w:spacing w:after="0" w:line="240" w:lineRule="auto"/>
              <w:jc w:val="center"/>
              <w:rPr>
                <w:rFonts w:ascii="Times New Roman" w:hAnsi="Times New Roman" w:cs="Times New Roman"/>
                <w:b/>
                <w:sz w:val="24"/>
                <w:szCs w:val="24"/>
              </w:rPr>
            </w:pPr>
            <w:r w:rsidRPr="00B16372">
              <w:rPr>
                <w:rFonts w:ascii="Times New Roman" w:hAnsi="Times New Roman" w:cs="Times New Roman"/>
                <w:b/>
                <w:sz w:val="24"/>
                <w:szCs w:val="24"/>
              </w:rPr>
              <w:t>Year</w:t>
            </w:r>
          </w:p>
        </w:tc>
        <w:tc>
          <w:tcPr>
            <w:tcW w:w="1874" w:type="dxa"/>
            <w:shd w:val="clear" w:color="auto" w:fill="D9D9D9"/>
            <w:vAlign w:val="bottom"/>
          </w:tcPr>
          <w:p w:rsidR="00DB14A2" w:rsidRPr="00B16372" w:rsidRDefault="00DB14A2" w:rsidP="00883F19">
            <w:pPr>
              <w:spacing w:after="0" w:line="240" w:lineRule="auto"/>
              <w:jc w:val="center"/>
              <w:rPr>
                <w:rFonts w:ascii="Times New Roman" w:hAnsi="Times New Roman" w:cs="Times New Roman"/>
                <w:b/>
                <w:sz w:val="24"/>
                <w:szCs w:val="24"/>
              </w:rPr>
            </w:pPr>
            <w:r w:rsidRPr="00B16372">
              <w:rPr>
                <w:rFonts w:ascii="Times New Roman" w:hAnsi="Times New Roman" w:cs="Times New Roman"/>
                <w:b/>
                <w:sz w:val="24"/>
                <w:szCs w:val="24"/>
              </w:rPr>
              <w:t>Number and Type of Entity</w:t>
            </w:r>
            <w:r w:rsidRPr="00B16372">
              <w:rPr>
                <w:rFonts w:ascii="Times New Roman" w:hAnsi="Times New Roman" w:cs="Times New Roman"/>
                <w:sz w:val="24"/>
                <w:szCs w:val="24"/>
                <w:vertAlign w:val="superscript"/>
              </w:rPr>
              <w:footnoteReference w:id="11"/>
            </w:r>
          </w:p>
          <w:p w:rsidR="00DB14A2" w:rsidRPr="00B16372" w:rsidRDefault="00DB14A2" w:rsidP="00883F19">
            <w:pPr>
              <w:spacing w:after="0" w:line="240" w:lineRule="auto"/>
              <w:jc w:val="center"/>
              <w:rPr>
                <w:rFonts w:ascii="Times New Roman" w:hAnsi="Times New Roman" w:cs="Times New Roman"/>
                <w:b/>
                <w:sz w:val="24"/>
                <w:szCs w:val="24"/>
              </w:rPr>
            </w:pPr>
            <w:r w:rsidRPr="00B16372">
              <w:rPr>
                <w:rFonts w:ascii="Times New Roman" w:hAnsi="Times New Roman" w:cs="Times New Roman"/>
                <w:b/>
                <w:sz w:val="24"/>
                <w:szCs w:val="24"/>
              </w:rPr>
              <w:t>(1)</w:t>
            </w:r>
          </w:p>
        </w:tc>
        <w:tc>
          <w:tcPr>
            <w:tcW w:w="1429" w:type="dxa"/>
            <w:shd w:val="clear" w:color="auto" w:fill="D9D9D9"/>
            <w:vAlign w:val="bottom"/>
          </w:tcPr>
          <w:p w:rsidR="00DB14A2" w:rsidRPr="00B16372" w:rsidRDefault="00DB14A2" w:rsidP="00883F19">
            <w:pPr>
              <w:spacing w:after="0" w:line="240" w:lineRule="auto"/>
              <w:jc w:val="center"/>
              <w:rPr>
                <w:rFonts w:ascii="Times New Roman" w:hAnsi="Times New Roman" w:cs="Times New Roman"/>
                <w:b/>
                <w:sz w:val="24"/>
                <w:szCs w:val="24"/>
              </w:rPr>
            </w:pPr>
            <w:r w:rsidRPr="00B16372">
              <w:rPr>
                <w:rFonts w:ascii="Times New Roman" w:hAnsi="Times New Roman" w:cs="Times New Roman"/>
                <w:b/>
                <w:sz w:val="24"/>
                <w:szCs w:val="24"/>
              </w:rPr>
              <w:t>Number of Annual Responses  Per Entity</w:t>
            </w:r>
          </w:p>
          <w:p w:rsidR="00DB14A2" w:rsidRPr="00B16372" w:rsidRDefault="00DB14A2" w:rsidP="00D31FF3">
            <w:pPr>
              <w:spacing w:after="0" w:line="240" w:lineRule="auto"/>
              <w:jc w:val="center"/>
              <w:rPr>
                <w:rFonts w:ascii="Times New Roman" w:hAnsi="Times New Roman" w:cs="Times New Roman"/>
                <w:b/>
                <w:sz w:val="24"/>
                <w:szCs w:val="24"/>
              </w:rPr>
            </w:pPr>
            <w:r w:rsidRPr="00B16372">
              <w:rPr>
                <w:rFonts w:ascii="Times New Roman" w:hAnsi="Times New Roman" w:cs="Times New Roman"/>
                <w:b/>
                <w:sz w:val="24"/>
                <w:szCs w:val="24"/>
              </w:rPr>
              <w:t>(2)</w:t>
            </w:r>
          </w:p>
        </w:tc>
        <w:tc>
          <w:tcPr>
            <w:tcW w:w="1535" w:type="dxa"/>
            <w:shd w:val="clear" w:color="auto" w:fill="D9D9D9"/>
            <w:vAlign w:val="bottom"/>
          </w:tcPr>
          <w:p w:rsidR="00DB14A2" w:rsidRPr="00B16372" w:rsidRDefault="00DB14A2" w:rsidP="002249B4">
            <w:pPr>
              <w:spacing w:after="0" w:line="240" w:lineRule="auto"/>
              <w:jc w:val="center"/>
              <w:rPr>
                <w:rFonts w:ascii="Times New Roman" w:hAnsi="Times New Roman" w:cs="Times New Roman"/>
                <w:b/>
                <w:sz w:val="24"/>
                <w:szCs w:val="24"/>
              </w:rPr>
            </w:pPr>
            <w:r w:rsidRPr="00B16372">
              <w:rPr>
                <w:rFonts w:ascii="Times New Roman" w:hAnsi="Times New Roman" w:cs="Times New Roman"/>
                <w:b/>
                <w:sz w:val="24"/>
                <w:szCs w:val="24"/>
              </w:rPr>
              <w:t>Average</w:t>
            </w:r>
          </w:p>
          <w:p w:rsidR="00DB14A2" w:rsidRPr="00B16372" w:rsidRDefault="00DB14A2" w:rsidP="002249B4">
            <w:pPr>
              <w:spacing w:after="0" w:line="240" w:lineRule="auto"/>
              <w:jc w:val="center"/>
              <w:rPr>
                <w:rFonts w:ascii="Times New Roman" w:hAnsi="Times New Roman" w:cs="Times New Roman"/>
                <w:b/>
                <w:sz w:val="24"/>
                <w:szCs w:val="24"/>
              </w:rPr>
            </w:pPr>
            <w:r w:rsidRPr="00B16372">
              <w:rPr>
                <w:rFonts w:ascii="Times New Roman" w:hAnsi="Times New Roman" w:cs="Times New Roman"/>
                <w:b/>
                <w:sz w:val="24"/>
                <w:szCs w:val="24"/>
              </w:rPr>
              <w:t>Number of Paperwork Hours per Response</w:t>
            </w:r>
          </w:p>
          <w:p w:rsidR="00DB14A2" w:rsidRPr="00B16372" w:rsidRDefault="00DB14A2" w:rsidP="002249B4">
            <w:pPr>
              <w:spacing w:after="0" w:line="240" w:lineRule="auto"/>
              <w:jc w:val="center"/>
              <w:rPr>
                <w:rFonts w:ascii="Times New Roman" w:hAnsi="Times New Roman" w:cs="Times New Roman"/>
                <w:b/>
                <w:sz w:val="24"/>
                <w:szCs w:val="24"/>
              </w:rPr>
            </w:pPr>
            <w:r w:rsidRPr="00B16372">
              <w:rPr>
                <w:rFonts w:ascii="Times New Roman" w:hAnsi="Times New Roman" w:cs="Times New Roman"/>
                <w:b/>
                <w:sz w:val="24"/>
                <w:szCs w:val="24"/>
              </w:rPr>
              <w:t>(3)</w:t>
            </w:r>
          </w:p>
        </w:tc>
        <w:tc>
          <w:tcPr>
            <w:tcW w:w="1497" w:type="dxa"/>
            <w:shd w:val="clear" w:color="auto" w:fill="D9D9D9"/>
            <w:vAlign w:val="bottom"/>
          </w:tcPr>
          <w:p w:rsidR="00DB14A2" w:rsidRPr="00B16372" w:rsidRDefault="00DB14A2" w:rsidP="002249B4">
            <w:pPr>
              <w:spacing w:after="0" w:line="240" w:lineRule="auto"/>
              <w:jc w:val="center"/>
              <w:rPr>
                <w:rFonts w:ascii="Times New Roman" w:hAnsi="Times New Roman" w:cs="Times New Roman"/>
                <w:b/>
                <w:sz w:val="24"/>
                <w:szCs w:val="24"/>
              </w:rPr>
            </w:pPr>
            <w:r w:rsidRPr="00B16372">
              <w:rPr>
                <w:rFonts w:ascii="Times New Roman" w:hAnsi="Times New Roman" w:cs="Times New Roman"/>
                <w:b/>
                <w:sz w:val="24"/>
                <w:szCs w:val="24"/>
              </w:rPr>
              <w:t>Total Burden Hours</w:t>
            </w:r>
          </w:p>
          <w:p w:rsidR="00DB14A2" w:rsidRPr="00B16372" w:rsidRDefault="00DB14A2" w:rsidP="002249B4">
            <w:pPr>
              <w:spacing w:after="0" w:line="240" w:lineRule="auto"/>
              <w:jc w:val="center"/>
              <w:rPr>
                <w:rFonts w:ascii="Times New Roman" w:hAnsi="Times New Roman" w:cs="Times New Roman"/>
                <w:b/>
                <w:sz w:val="24"/>
                <w:szCs w:val="24"/>
              </w:rPr>
            </w:pPr>
            <w:r w:rsidRPr="00B16372">
              <w:rPr>
                <w:rFonts w:ascii="Times New Roman" w:hAnsi="Times New Roman" w:cs="Times New Roman"/>
                <w:b/>
                <w:sz w:val="24"/>
                <w:szCs w:val="24"/>
              </w:rPr>
              <w:t>(1)*(2)*(3)</w:t>
            </w:r>
          </w:p>
        </w:tc>
      </w:tr>
      <w:tr w:rsidR="00DB14A2" w:rsidRPr="00B16372" w:rsidTr="00883F19">
        <w:tc>
          <w:tcPr>
            <w:tcW w:w="2098" w:type="dxa"/>
            <w:vMerge w:val="restart"/>
            <w:vAlign w:val="center"/>
          </w:tcPr>
          <w:p w:rsidR="00DB14A2" w:rsidRPr="00B16372" w:rsidRDefault="00DB14A2" w:rsidP="00D037AB">
            <w:pPr>
              <w:spacing w:after="0" w:line="240" w:lineRule="auto"/>
              <w:rPr>
                <w:rFonts w:ascii="Times New Roman" w:hAnsi="Times New Roman" w:cs="Times New Roman"/>
                <w:b/>
                <w:sz w:val="24"/>
                <w:szCs w:val="24"/>
              </w:rPr>
            </w:pPr>
            <w:r w:rsidRPr="00B16372">
              <w:rPr>
                <w:rFonts w:ascii="Times New Roman" w:hAnsi="Times New Roman" w:cs="Times New Roman"/>
                <w:b/>
                <w:sz w:val="24"/>
                <w:szCs w:val="24"/>
              </w:rPr>
              <w:t xml:space="preserve">Identification of Joint Responsibilities and System Modeling </w:t>
            </w:r>
            <w:r w:rsidRPr="00B16372">
              <w:rPr>
                <w:rFonts w:ascii="Times New Roman" w:hAnsi="Times New Roman" w:cs="Times New Roman"/>
                <w:b/>
                <w:sz w:val="24"/>
                <w:szCs w:val="24"/>
              </w:rPr>
              <w:lastRenderedPageBreak/>
              <w:t>Enhancements</w:t>
            </w:r>
            <w:r w:rsidRPr="00B16372">
              <w:rPr>
                <w:rFonts w:ascii="Times New Roman" w:hAnsi="Times New Roman" w:cs="Times New Roman"/>
                <w:sz w:val="24"/>
                <w:szCs w:val="24"/>
                <w:vertAlign w:val="superscript"/>
              </w:rPr>
              <w:footnoteReference w:id="12"/>
            </w:r>
          </w:p>
        </w:tc>
        <w:tc>
          <w:tcPr>
            <w:tcW w:w="1143"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lastRenderedPageBreak/>
              <w:t>Year 1</w:t>
            </w:r>
          </w:p>
        </w:tc>
        <w:tc>
          <w:tcPr>
            <w:tcW w:w="1874"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183 Transmission Planners and Planning Coordinators</w:t>
            </w:r>
          </w:p>
        </w:tc>
        <w:tc>
          <w:tcPr>
            <w:tcW w:w="1429"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1 response </w:t>
            </w:r>
          </w:p>
        </w:tc>
        <w:tc>
          <w:tcPr>
            <w:tcW w:w="1535"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9 (5 engineer hours and 4 record keeping hours) </w:t>
            </w:r>
          </w:p>
        </w:tc>
        <w:tc>
          <w:tcPr>
            <w:tcW w:w="1497" w:type="dxa"/>
            <w:vAlign w:val="bottom"/>
          </w:tcPr>
          <w:p w:rsidR="00DB14A2" w:rsidRPr="00B16372" w:rsidRDefault="00DB14A2" w:rsidP="002249B4">
            <w:pPr>
              <w:spacing w:after="0" w:line="240" w:lineRule="auto"/>
              <w:jc w:val="right"/>
              <w:rPr>
                <w:rFonts w:ascii="Times New Roman" w:hAnsi="Times New Roman" w:cs="Times New Roman"/>
                <w:sz w:val="24"/>
                <w:szCs w:val="24"/>
              </w:rPr>
            </w:pPr>
            <w:r w:rsidRPr="00B16372">
              <w:rPr>
                <w:rFonts w:ascii="Times New Roman" w:hAnsi="Times New Roman" w:cs="Times New Roman"/>
                <w:sz w:val="24"/>
                <w:szCs w:val="24"/>
              </w:rPr>
              <w:t xml:space="preserve">1,647 </w:t>
            </w:r>
          </w:p>
        </w:tc>
      </w:tr>
      <w:tr w:rsidR="00DB14A2" w:rsidRPr="00B16372" w:rsidTr="00883F19">
        <w:trPr>
          <w:trHeight w:val="1400"/>
        </w:trPr>
        <w:tc>
          <w:tcPr>
            <w:tcW w:w="2098" w:type="dxa"/>
            <w:vMerge/>
            <w:vAlign w:val="center"/>
          </w:tcPr>
          <w:p w:rsidR="00DB14A2" w:rsidRPr="00B16372" w:rsidRDefault="00DB14A2" w:rsidP="00D037AB">
            <w:pPr>
              <w:spacing w:after="0" w:line="240" w:lineRule="auto"/>
              <w:rPr>
                <w:rFonts w:ascii="Times New Roman" w:hAnsi="Times New Roman" w:cs="Times New Roman"/>
                <w:b/>
                <w:sz w:val="24"/>
                <w:szCs w:val="24"/>
              </w:rPr>
            </w:pPr>
          </w:p>
        </w:tc>
        <w:tc>
          <w:tcPr>
            <w:tcW w:w="1143"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Year 2 and Year 3</w:t>
            </w:r>
          </w:p>
        </w:tc>
        <w:tc>
          <w:tcPr>
            <w:tcW w:w="1874"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183 Transmission Planners and Planning Coordinators</w:t>
            </w:r>
          </w:p>
        </w:tc>
        <w:tc>
          <w:tcPr>
            <w:tcW w:w="1429"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1 response </w:t>
            </w:r>
          </w:p>
        </w:tc>
        <w:tc>
          <w:tcPr>
            <w:tcW w:w="1535"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5 (3 engineer hours and 2 record keeping hours) </w:t>
            </w:r>
          </w:p>
        </w:tc>
        <w:tc>
          <w:tcPr>
            <w:tcW w:w="1497" w:type="dxa"/>
            <w:vAlign w:val="bottom"/>
          </w:tcPr>
          <w:p w:rsidR="00DB14A2" w:rsidRPr="00B16372" w:rsidRDefault="00DB14A2" w:rsidP="002249B4">
            <w:pPr>
              <w:spacing w:after="0" w:line="240" w:lineRule="auto"/>
              <w:jc w:val="right"/>
              <w:rPr>
                <w:rFonts w:ascii="Times New Roman" w:hAnsi="Times New Roman" w:cs="Times New Roman"/>
                <w:sz w:val="24"/>
                <w:szCs w:val="24"/>
              </w:rPr>
            </w:pPr>
            <w:r w:rsidRPr="00B16372">
              <w:rPr>
                <w:rFonts w:ascii="Times New Roman" w:hAnsi="Times New Roman" w:cs="Times New Roman"/>
                <w:sz w:val="24"/>
                <w:szCs w:val="24"/>
              </w:rPr>
              <w:t>915</w:t>
            </w:r>
          </w:p>
        </w:tc>
      </w:tr>
      <w:tr w:rsidR="00DB14A2" w:rsidRPr="00B16372" w:rsidTr="00883F19">
        <w:trPr>
          <w:trHeight w:val="918"/>
        </w:trPr>
        <w:tc>
          <w:tcPr>
            <w:tcW w:w="2098" w:type="dxa"/>
            <w:vMerge w:val="restart"/>
            <w:vAlign w:val="center"/>
          </w:tcPr>
          <w:p w:rsidR="00DB14A2" w:rsidRPr="00B16372" w:rsidRDefault="00DB14A2" w:rsidP="00D037AB">
            <w:pPr>
              <w:spacing w:after="0" w:line="240" w:lineRule="auto"/>
              <w:rPr>
                <w:rFonts w:ascii="Times New Roman" w:hAnsi="Times New Roman" w:cs="Times New Roman"/>
                <w:b/>
                <w:sz w:val="24"/>
                <w:szCs w:val="24"/>
              </w:rPr>
            </w:pPr>
            <w:r w:rsidRPr="00B16372">
              <w:rPr>
                <w:rFonts w:ascii="Times New Roman" w:hAnsi="Times New Roman" w:cs="Times New Roman"/>
                <w:b/>
                <w:sz w:val="24"/>
                <w:szCs w:val="24"/>
              </w:rPr>
              <w:lastRenderedPageBreak/>
              <w:t>New Assessments, Simulations, Studies, Modeling Enhancements and associate</w:t>
            </w:r>
            <w:r w:rsidR="00580974">
              <w:rPr>
                <w:rFonts w:ascii="Times New Roman" w:hAnsi="Times New Roman" w:cs="Times New Roman"/>
                <w:b/>
                <w:sz w:val="24"/>
                <w:szCs w:val="24"/>
              </w:rPr>
              <w:t>d</w:t>
            </w:r>
            <w:r w:rsidRPr="00B16372">
              <w:rPr>
                <w:rFonts w:ascii="Times New Roman" w:hAnsi="Times New Roman" w:cs="Times New Roman"/>
                <w:b/>
                <w:sz w:val="24"/>
                <w:szCs w:val="24"/>
              </w:rPr>
              <w:t xml:space="preserve"> Documentation</w:t>
            </w:r>
            <w:r w:rsidRPr="00B16372">
              <w:rPr>
                <w:rFonts w:ascii="Times New Roman" w:hAnsi="Times New Roman" w:cs="Times New Roman"/>
                <w:b/>
                <w:sz w:val="24"/>
                <w:szCs w:val="24"/>
                <w:vertAlign w:val="superscript"/>
              </w:rPr>
              <w:footnoteReference w:id="13"/>
            </w:r>
          </w:p>
        </w:tc>
        <w:tc>
          <w:tcPr>
            <w:tcW w:w="1143"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Year 2 </w:t>
            </w:r>
          </w:p>
        </w:tc>
        <w:tc>
          <w:tcPr>
            <w:tcW w:w="1874"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183 Transmission Planners and Planning Coordinators</w:t>
            </w:r>
          </w:p>
        </w:tc>
        <w:tc>
          <w:tcPr>
            <w:tcW w:w="1429"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1 response </w:t>
            </w:r>
          </w:p>
        </w:tc>
        <w:tc>
          <w:tcPr>
            <w:tcW w:w="1535"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145 (84 engineer hours, 61 record keeping hours) </w:t>
            </w:r>
          </w:p>
        </w:tc>
        <w:tc>
          <w:tcPr>
            <w:tcW w:w="1497" w:type="dxa"/>
            <w:vAlign w:val="bottom"/>
          </w:tcPr>
          <w:p w:rsidR="00DB14A2" w:rsidRPr="00B16372" w:rsidRDefault="00DB14A2" w:rsidP="002249B4">
            <w:pPr>
              <w:spacing w:after="0" w:line="240" w:lineRule="auto"/>
              <w:jc w:val="right"/>
              <w:rPr>
                <w:rFonts w:ascii="Times New Roman" w:hAnsi="Times New Roman" w:cs="Times New Roman"/>
                <w:sz w:val="24"/>
                <w:szCs w:val="24"/>
              </w:rPr>
            </w:pPr>
            <w:r w:rsidRPr="00B16372">
              <w:rPr>
                <w:rFonts w:ascii="Times New Roman" w:hAnsi="Times New Roman" w:cs="Times New Roman"/>
                <w:sz w:val="24"/>
                <w:szCs w:val="24"/>
              </w:rPr>
              <w:t>26,535</w:t>
            </w:r>
          </w:p>
        </w:tc>
      </w:tr>
      <w:tr w:rsidR="00DB14A2" w:rsidRPr="00B16372" w:rsidTr="00883F19">
        <w:trPr>
          <w:trHeight w:val="918"/>
        </w:trPr>
        <w:tc>
          <w:tcPr>
            <w:tcW w:w="2098" w:type="dxa"/>
            <w:vMerge/>
            <w:vAlign w:val="center"/>
          </w:tcPr>
          <w:p w:rsidR="00DB14A2" w:rsidRPr="00B16372" w:rsidRDefault="00DB14A2" w:rsidP="00D037AB">
            <w:pPr>
              <w:spacing w:after="0" w:line="240" w:lineRule="auto"/>
              <w:rPr>
                <w:rFonts w:ascii="Times New Roman" w:hAnsi="Times New Roman" w:cs="Times New Roman"/>
                <w:b/>
                <w:sz w:val="24"/>
                <w:szCs w:val="24"/>
              </w:rPr>
            </w:pPr>
          </w:p>
        </w:tc>
        <w:tc>
          <w:tcPr>
            <w:tcW w:w="1143"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Year 3</w:t>
            </w:r>
          </w:p>
        </w:tc>
        <w:tc>
          <w:tcPr>
            <w:tcW w:w="1874"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183 Transmission Planners and Planning Coordinators</w:t>
            </w:r>
          </w:p>
        </w:tc>
        <w:tc>
          <w:tcPr>
            <w:tcW w:w="1429"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1 response </w:t>
            </w:r>
          </w:p>
        </w:tc>
        <w:tc>
          <w:tcPr>
            <w:tcW w:w="1535"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84 (45 engineer hours, 39 record keeping hours) </w:t>
            </w:r>
          </w:p>
        </w:tc>
        <w:tc>
          <w:tcPr>
            <w:tcW w:w="1497" w:type="dxa"/>
            <w:vAlign w:val="bottom"/>
          </w:tcPr>
          <w:p w:rsidR="00DB14A2" w:rsidRPr="00B16372" w:rsidRDefault="00DB14A2" w:rsidP="002249B4">
            <w:pPr>
              <w:spacing w:after="0" w:line="240" w:lineRule="auto"/>
              <w:jc w:val="right"/>
              <w:rPr>
                <w:rFonts w:ascii="Times New Roman" w:hAnsi="Times New Roman" w:cs="Times New Roman"/>
                <w:sz w:val="24"/>
                <w:szCs w:val="24"/>
              </w:rPr>
            </w:pPr>
            <w:r w:rsidRPr="00B16372">
              <w:rPr>
                <w:rFonts w:ascii="Times New Roman" w:hAnsi="Times New Roman" w:cs="Times New Roman"/>
                <w:sz w:val="24"/>
                <w:szCs w:val="24"/>
              </w:rPr>
              <w:t xml:space="preserve">15,372 </w:t>
            </w:r>
          </w:p>
        </w:tc>
      </w:tr>
      <w:tr w:rsidR="00DB14A2" w:rsidRPr="00B16372" w:rsidTr="00883F19">
        <w:trPr>
          <w:trHeight w:val="750"/>
        </w:trPr>
        <w:tc>
          <w:tcPr>
            <w:tcW w:w="2098" w:type="dxa"/>
            <w:vMerge w:val="restart"/>
            <w:vAlign w:val="center"/>
          </w:tcPr>
          <w:p w:rsidR="00DB14A2" w:rsidRPr="00B16372" w:rsidRDefault="00DB14A2" w:rsidP="00D037AB">
            <w:pPr>
              <w:spacing w:after="0" w:line="240" w:lineRule="auto"/>
              <w:rPr>
                <w:rFonts w:ascii="Times New Roman" w:hAnsi="Times New Roman" w:cs="Times New Roman"/>
                <w:b/>
                <w:sz w:val="24"/>
                <w:szCs w:val="24"/>
              </w:rPr>
            </w:pPr>
            <w:r w:rsidRPr="00B16372">
              <w:rPr>
                <w:rFonts w:ascii="Times New Roman" w:hAnsi="Times New Roman" w:cs="Times New Roman"/>
                <w:b/>
                <w:sz w:val="24"/>
                <w:szCs w:val="24"/>
              </w:rPr>
              <w:t xml:space="preserve">Attachment 1 stakeholder process </w:t>
            </w:r>
          </w:p>
        </w:tc>
        <w:tc>
          <w:tcPr>
            <w:tcW w:w="1143"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Year 3</w:t>
            </w:r>
          </w:p>
        </w:tc>
        <w:tc>
          <w:tcPr>
            <w:tcW w:w="1874"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1 Transmission Planner and Planning Coordinator</w:t>
            </w:r>
            <w:r w:rsidR="0098144A" w:rsidRPr="00887E7E">
              <w:rPr>
                <w:rStyle w:val="FootnoteReference"/>
                <w:rFonts w:ascii="Times New Roman" w:hAnsi="Times New Roman" w:cs="Times New Roman"/>
                <w:sz w:val="24"/>
                <w:szCs w:val="24"/>
                <w:vertAlign w:val="superscript"/>
              </w:rPr>
              <w:footnoteReference w:id="14"/>
            </w:r>
          </w:p>
        </w:tc>
        <w:tc>
          <w:tcPr>
            <w:tcW w:w="1429"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12 responses to Attachment  1, sections I and II </w:t>
            </w:r>
          </w:p>
        </w:tc>
        <w:tc>
          <w:tcPr>
            <w:tcW w:w="1535"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63 (40 engineer hours, 17 record keeping hours, 6 legal hours)</w:t>
            </w:r>
          </w:p>
        </w:tc>
        <w:tc>
          <w:tcPr>
            <w:tcW w:w="1497" w:type="dxa"/>
            <w:vAlign w:val="bottom"/>
          </w:tcPr>
          <w:p w:rsidR="00DB14A2" w:rsidRPr="00B16372" w:rsidRDefault="00DB14A2" w:rsidP="002249B4">
            <w:pPr>
              <w:spacing w:after="0" w:line="240" w:lineRule="auto"/>
              <w:jc w:val="right"/>
              <w:rPr>
                <w:rFonts w:ascii="Times New Roman" w:hAnsi="Times New Roman" w:cs="Times New Roman"/>
                <w:sz w:val="24"/>
                <w:szCs w:val="24"/>
              </w:rPr>
            </w:pPr>
            <w:r w:rsidRPr="00B16372">
              <w:rPr>
                <w:rFonts w:ascii="Times New Roman" w:hAnsi="Times New Roman" w:cs="Times New Roman"/>
                <w:sz w:val="24"/>
                <w:szCs w:val="24"/>
              </w:rPr>
              <w:t xml:space="preserve">756 </w:t>
            </w:r>
          </w:p>
        </w:tc>
      </w:tr>
      <w:tr w:rsidR="00DB14A2" w:rsidRPr="00B16372" w:rsidTr="00883F19">
        <w:trPr>
          <w:trHeight w:val="350"/>
        </w:trPr>
        <w:tc>
          <w:tcPr>
            <w:tcW w:w="2098" w:type="dxa"/>
            <w:vMerge/>
            <w:vAlign w:val="center"/>
          </w:tcPr>
          <w:p w:rsidR="00DB14A2" w:rsidRPr="00B16372" w:rsidRDefault="00DB14A2" w:rsidP="00D037AB">
            <w:pPr>
              <w:spacing w:after="0" w:line="240" w:lineRule="auto"/>
              <w:rPr>
                <w:rFonts w:ascii="Times New Roman" w:hAnsi="Times New Roman" w:cs="Times New Roman"/>
                <w:b/>
                <w:sz w:val="24"/>
                <w:szCs w:val="24"/>
              </w:rPr>
            </w:pPr>
          </w:p>
        </w:tc>
        <w:tc>
          <w:tcPr>
            <w:tcW w:w="1143"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Year 3</w:t>
            </w:r>
          </w:p>
        </w:tc>
        <w:tc>
          <w:tcPr>
            <w:tcW w:w="1874"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1 Transmission Planner and Planning Coordinator</w:t>
            </w:r>
            <w:r w:rsidR="0098144A" w:rsidRPr="00C47083">
              <w:rPr>
                <w:rStyle w:val="FootnoteReference"/>
                <w:rFonts w:ascii="Times New Roman" w:hAnsi="Times New Roman" w:cs="Times New Roman"/>
                <w:sz w:val="24"/>
                <w:szCs w:val="24"/>
                <w:vertAlign w:val="superscript"/>
              </w:rPr>
              <w:footnoteReference w:id="15"/>
            </w:r>
          </w:p>
        </w:tc>
        <w:tc>
          <w:tcPr>
            <w:tcW w:w="1429"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4 responses to Attachment  1, Sections I, II, and III </w:t>
            </w:r>
          </w:p>
        </w:tc>
        <w:tc>
          <w:tcPr>
            <w:tcW w:w="1535" w:type="dxa"/>
          </w:tcPr>
          <w:p w:rsidR="00DB14A2" w:rsidRPr="00B16372" w:rsidRDefault="00DB14A2" w:rsidP="00D037AB">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68 (40 engineer hours, 20 record keeping hours, 8 legal hours)</w:t>
            </w:r>
          </w:p>
        </w:tc>
        <w:tc>
          <w:tcPr>
            <w:tcW w:w="1497" w:type="dxa"/>
            <w:vAlign w:val="bottom"/>
          </w:tcPr>
          <w:p w:rsidR="00DB14A2" w:rsidRPr="00B16372" w:rsidRDefault="00DB14A2" w:rsidP="002249B4">
            <w:pPr>
              <w:spacing w:after="0" w:line="240" w:lineRule="auto"/>
              <w:jc w:val="right"/>
              <w:rPr>
                <w:rFonts w:ascii="Times New Roman" w:hAnsi="Times New Roman" w:cs="Times New Roman"/>
                <w:sz w:val="24"/>
                <w:szCs w:val="24"/>
              </w:rPr>
            </w:pPr>
            <w:r w:rsidRPr="00B16372">
              <w:rPr>
                <w:rFonts w:ascii="Times New Roman" w:hAnsi="Times New Roman" w:cs="Times New Roman"/>
                <w:sz w:val="24"/>
                <w:szCs w:val="24"/>
              </w:rPr>
              <w:t xml:space="preserve">272 </w:t>
            </w:r>
          </w:p>
        </w:tc>
      </w:tr>
      <w:tr w:rsidR="00DB14A2" w:rsidRPr="00B16372" w:rsidTr="00883F19">
        <w:trPr>
          <w:trHeight w:val="350"/>
        </w:trPr>
        <w:tc>
          <w:tcPr>
            <w:tcW w:w="2098" w:type="dxa"/>
            <w:vAlign w:val="center"/>
          </w:tcPr>
          <w:p w:rsidR="00DB14A2" w:rsidRPr="00B16372" w:rsidRDefault="00DB14A2" w:rsidP="00D037AB">
            <w:pPr>
              <w:spacing w:after="0" w:line="240" w:lineRule="auto"/>
              <w:rPr>
                <w:rFonts w:ascii="Times New Roman" w:hAnsi="Times New Roman" w:cs="Times New Roman"/>
                <w:b/>
                <w:sz w:val="24"/>
                <w:szCs w:val="24"/>
              </w:rPr>
            </w:pPr>
            <w:r w:rsidRPr="00B16372">
              <w:rPr>
                <w:rFonts w:ascii="Times New Roman" w:hAnsi="Times New Roman" w:cs="Times New Roman"/>
                <w:b/>
                <w:sz w:val="24"/>
                <w:szCs w:val="24"/>
              </w:rPr>
              <w:t>Total Year 1</w:t>
            </w:r>
          </w:p>
        </w:tc>
        <w:tc>
          <w:tcPr>
            <w:tcW w:w="1143"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874"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429"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535"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497" w:type="dxa"/>
            <w:vAlign w:val="bottom"/>
          </w:tcPr>
          <w:p w:rsidR="00DB14A2" w:rsidRPr="00B16372" w:rsidRDefault="00DB14A2" w:rsidP="002249B4">
            <w:pPr>
              <w:spacing w:after="0" w:line="240" w:lineRule="auto"/>
              <w:jc w:val="right"/>
              <w:rPr>
                <w:rFonts w:ascii="Times New Roman" w:hAnsi="Times New Roman" w:cs="Times New Roman"/>
                <w:sz w:val="24"/>
                <w:szCs w:val="24"/>
              </w:rPr>
            </w:pPr>
            <w:r w:rsidRPr="00B16372">
              <w:rPr>
                <w:rFonts w:ascii="Times New Roman" w:hAnsi="Times New Roman" w:cs="Times New Roman"/>
                <w:sz w:val="24"/>
                <w:szCs w:val="24"/>
              </w:rPr>
              <w:t>1,647</w:t>
            </w:r>
          </w:p>
        </w:tc>
      </w:tr>
      <w:tr w:rsidR="00DB14A2" w:rsidRPr="00B16372" w:rsidTr="00883F19">
        <w:trPr>
          <w:trHeight w:val="350"/>
        </w:trPr>
        <w:tc>
          <w:tcPr>
            <w:tcW w:w="2098" w:type="dxa"/>
            <w:vAlign w:val="center"/>
          </w:tcPr>
          <w:p w:rsidR="00DB14A2" w:rsidRPr="00B16372" w:rsidRDefault="00DB14A2" w:rsidP="00D037AB">
            <w:pPr>
              <w:spacing w:after="0" w:line="240" w:lineRule="auto"/>
              <w:rPr>
                <w:rFonts w:ascii="Times New Roman" w:hAnsi="Times New Roman" w:cs="Times New Roman"/>
                <w:b/>
                <w:sz w:val="24"/>
                <w:szCs w:val="24"/>
              </w:rPr>
            </w:pPr>
            <w:r w:rsidRPr="00B16372">
              <w:rPr>
                <w:rFonts w:ascii="Times New Roman" w:hAnsi="Times New Roman" w:cs="Times New Roman"/>
                <w:b/>
                <w:sz w:val="24"/>
                <w:szCs w:val="24"/>
              </w:rPr>
              <w:t>Total Year 2</w:t>
            </w:r>
          </w:p>
        </w:tc>
        <w:tc>
          <w:tcPr>
            <w:tcW w:w="1143"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874"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429"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535"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497" w:type="dxa"/>
            <w:vAlign w:val="bottom"/>
          </w:tcPr>
          <w:p w:rsidR="00DB14A2" w:rsidRPr="00B16372" w:rsidRDefault="00DB14A2" w:rsidP="002249B4">
            <w:pPr>
              <w:spacing w:after="0" w:line="240" w:lineRule="auto"/>
              <w:jc w:val="right"/>
              <w:rPr>
                <w:rFonts w:ascii="Times New Roman" w:hAnsi="Times New Roman" w:cs="Times New Roman"/>
                <w:sz w:val="24"/>
                <w:szCs w:val="24"/>
              </w:rPr>
            </w:pPr>
            <w:r w:rsidRPr="00B16372">
              <w:rPr>
                <w:rFonts w:ascii="Times New Roman" w:hAnsi="Times New Roman" w:cs="Times New Roman"/>
                <w:sz w:val="24"/>
                <w:szCs w:val="24"/>
              </w:rPr>
              <w:t>27,450</w:t>
            </w:r>
          </w:p>
        </w:tc>
      </w:tr>
      <w:tr w:rsidR="00DB14A2" w:rsidRPr="00B16372" w:rsidTr="00883F19">
        <w:trPr>
          <w:trHeight w:val="350"/>
        </w:trPr>
        <w:tc>
          <w:tcPr>
            <w:tcW w:w="2098" w:type="dxa"/>
            <w:vAlign w:val="center"/>
          </w:tcPr>
          <w:p w:rsidR="00DB14A2" w:rsidRPr="00B16372" w:rsidRDefault="00DB14A2" w:rsidP="00D037AB">
            <w:pPr>
              <w:spacing w:after="0" w:line="240" w:lineRule="auto"/>
              <w:rPr>
                <w:rFonts w:ascii="Times New Roman" w:hAnsi="Times New Roman" w:cs="Times New Roman"/>
                <w:b/>
                <w:sz w:val="24"/>
                <w:szCs w:val="24"/>
              </w:rPr>
            </w:pPr>
            <w:r w:rsidRPr="00B16372">
              <w:rPr>
                <w:rFonts w:ascii="Times New Roman" w:hAnsi="Times New Roman" w:cs="Times New Roman"/>
                <w:b/>
                <w:sz w:val="24"/>
                <w:szCs w:val="24"/>
              </w:rPr>
              <w:t>Total Year 3</w:t>
            </w:r>
          </w:p>
        </w:tc>
        <w:tc>
          <w:tcPr>
            <w:tcW w:w="1143"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874"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429"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535"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497" w:type="dxa"/>
            <w:vAlign w:val="bottom"/>
          </w:tcPr>
          <w:p w:rsidR="00DB14A2" w:rsidRPr="00B16372" w:rsidRDefault="00DB14A2" w:rsidP="002249B4">
            <w:pPr>
              <w:spacing w:after="0" w:line="240" w:lineRule="auto"/>
              <w:jc w:val="right"/>
              <w:rPr>
                <w:rFonts w:ascii="Times New Roman" w:hAnsi="Times New Roman" w:cs="Times New Roman"/>
                <w:sz w:val="24"/>
                <w:szCs w:val="24"/>
              </w:rPr>
            </w:pPr>
            <w:r w:rsidRPr="00B16372">
              <w:rPr>
                <w:rFonts w:ascii="Times New Roman" w:hAnsi="Times New Roman" w:cs="Times New Roman"/>
                <w:sz w:val="24"/>
                <w:szCs w:val="24"/>
              </w:rPr>
              <w:t>17,315</w:t>
            </w:r>
          </w:p>
        </w:tc>
      </w:tr>
      <w:tr w:rsidR="00DB14A2" w:rsidRPr="00B16372" w:rsidTr="00883F19">
        <w:trPr>
          <w:trHeight w:val="350"/>
        </w:trPr>
        <w:tc>
          <w:tcPr>
            <w:tcW w:w="2098" w:type="dxa"/>
            <w:vAlign w:val="center"/>
          </w:tcPr>
          <w:p w:rsidR="00DB14A2" w:rsidRPr="00B16372" w:rsidRDefault="00DB14A2" w:rsidP="00D037AB">
            <w:pPr>
              <w:spacing w:after="0" w:line="240" w:lineRule="auto"/>
              <w:rPr>
                <w:rFonts w:ascii="Times New Roman" w:hAnsi="Times New Roman" w:cs="Times New Roman"/>
                <w:b/>
                <w:sz w:val="24"/>
                <w:szCs w:val="24"/>
              </w:rPr>
            </w:pPr>
            <w:r w:rsidRPr="00B16372">
              <w:rPr>
                <w:rFonts w:ascii="Times New Roman" w:hAnsi="Times New Roman" w:cs="Times New Roman"/>
                <w:b/>
                <w:sz w:val="24"/>
                <w:szCs w:val="24"/>
              </w:rPr>
              <w:lastRenderedPageBreak/>
              <w:t xml:space="preserve">Average </w:t>
            </w:r>
            <w:r w:rsidR="00883F19">
              <w:rPr>
                <w:rFonts w:ascii="Times New Roman" w:hAnsi="Times New Roman" w:cs="Times New Roman"/>
                <w:b/>
                <w:sz w:val="24"/>
                <w:szCs w:val="24"/>
              </w:rPr>
              <w:t xml:space="preserve">Annual </w:t>
            </w:r>
            <w:r w:rsidRPr="00B16372">
              <w:rPr>
                <w:rFonts w:ascii="Times New Roman" w:hAnsi="Times New Roman" w:cs="Times New Roman"/>
                <w:b/>
                <w:sz w:val="24"/>
                <w:szCs w:val="24"/>
              </w:rPr>
              <w:t>Total over Years 1-3</w:t>
            </w:r>
          </w:p>
        </w:tc>
        <w:tc>
          <w:tcPr>
            <w:tcW w:w="1143"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874"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429"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535" w:type="dxa"/>
            <w:shd w:val="clear" w:color="auto" w:fill="D9D9D9" w:themeFill="background1" w:themeFillShade="D9"/>
          </w:tcPr>
          <w:p w:rsidR="00DB14A2" w:rsidRPr="00B16372" w:rsidRDefault="00DB14A2" w:rsidP="00D037AB">
            <w:pPr>
              <w:spacing w:after="0" w:line="240" w:lineRule="auto"/>
              <w:rPr>
                <w:rFonts w:ascii="Times New Roman" w:hAnsi="Times New Roman" w:cs="Times New Roman"/>
                <w:sz w:val="24"/>
                <w:szCs w:val="24"/>
              </w:rPr>
            </w:pPr>
          </w:p>
        </w:tc>
        <w:tc>
          <w:tcPr>
            <w:tcW w:w="1497" w:type="dxa"/>
            <w:vAlign w:val="bottom"/>
          </w:tcPr>
          <w:p w:rsidR="00DB14A2" w:rsidRPr="00B16372" w:rsidRDefault="00DB14A2" w:rsidP="002249B4">
            <w:pPr>
              <w:spacing w:after="0" w:line="240" w:lineRule="auto"/>
              <w:jc w:val="right"/>
              <w:rPr>
                <w:rFonts w:ascii="Times New Roman" w:hAnsi="Times New Roman" w:cs="Times New Roman"/>
                <w:sz w:val="24"/>
                <w:szCs w:val="24"/>
              </w:rPr>
            </w:pPr>
            <w:r w:rsidRPr="00B16372">
              <w:rPr>
                <w:rFonts w:ascii="Times New Roman" w:hAnsi="Times New Roman" w:cs="Times New Roman"/>
                <w:sz w:val="24"/>
                <w:szCs w:val="24"/>
              </w:rPr>
              <w:t>15,471</w:t>
            </w:r>
          </w:p>
        </w:tc>
      </w:tr>
    </w:tbl>
    <w:p w:rsidR="00DB14A2" w:rsidRDefault="00DB14A2" w:rsidP="00DB14A2">
      <w:pPr>
        <w:spacing w:after="0" w:line="240" w:lineRule="auto"/>
        <w:rPr>
          <w:rFonts w:ascii="Times New Roman" w:hAnsi="Times New Roman" w:cs="Times New Roman"/>
          <w:sz w:val="24"/>
          <w:szCs w:val="24"/>
        </w:rPr>
      </w:pPr>
    </w:p>
    <w:p w:rsidR="00C47083" w:rsidRDefault="00C47083" w:rsidP="00DB14A2">
      <w:pPr>
        <w:spacing w:after="0" w:line="240" w:lineRule="auto"/>
        <w:rPr>
          <w:rFonts w:ascii="Times New Roman" w:hAnsi="Times New Roman" w:cs="Times New Roman"/>
          <w:sz w:val="24"/>
          <w:szCs w:val="24"/>
        </w:rPr>
      </w:pPr>
      <w:r>
        <w:rPr>
          <w:rFonts w:ascii="Times New Roman" w:hAnsi="Times New Roman" w:cs="Times New Roman"/>
          <w:sz w:val="24"/>
          <w:szCs w:val="24"/>
        </w:rPr>
        <w:t>FERC intends to remove the one-time burden hours after three years.</w:t>
      </w:r>
    </w:p>
    <w:p w:rsidR="00C47083" w:rsidRPr="00B16372" w:rsidRDefault="00C47083" w:rsidP="00DB14A2">
      <w:pPr>
        <w:spacing w:after="0" w:line="240" w:lineRule="auto"/>
        <w:rPr>
          <w:rFonts w:ascii="Times New Roman" w:hAnsi="Times New Roman" w:cs="Times New Roman"/>
          <w:sz w:val="24"/>
          <w:szCs w:val="24"/>
        </w:rPr>
      </w:pPr>
    </w:p>
    <w:p w:rsidR="00DB14A2" w:rsidRPr="00B16372" w:rsidRDefault="00DB14A2" w:rsidP="00DB14A2">
      <w:pPr>
        <w:spacing w:after="0" w:line="240" w:lineRule="auto"/>
        <w:rPr>
          <w:rFonts w:ascii="Times New Roman" w:hAnsi="Times New Roman" w:cs="Times New Roman"/>
          <w:sz w:val="24"/>
          <w:szCs w:val="24"/>
        </w:rPr>
      </w:pPr>
      <w:r w:rsidRPr="00B16372">
        <w:rPr>
          <w:rFonts w:ascii="Times New Roman" w:hAnsi="Times New Roman" w:cs="Times New Roman"/>
          <w:sz w:val="24"/>
          <w:szCs w:val="24"/>
          <w:u w:val="single"/>
        </w:rPr>
        <w:t>Costs to Comply with Paperwork Requirements</w:t>
      </w:r>
      <w:r w:rsidRPr="00B16372">
        <w:rPr>
          <w:rFonts w:ascii="Times New Roman" w:hAnsi="Times New Roman" w:cs="Times New Roman"/>
          <w:sz w:val="24"/>
          <w:szCs w:val="24"/>
        </w:rPr>
        <w:t>:</w:t>
      </w:r>
    </w:p>
    <w:p w:rsidR="00DB14A2" w:rsidRDefault="00DB14A2" w:rsidP="00DB14A2">
      <w:pPr>
        <w:spacing w:after="0" w:line="240" w:lineRule="auto"/>
        <w:rPr>
          <w:rFonts w:ascii="Times New Roman" w:hAnsi="Times New Roman" w:cs="Times New Roman"/>
          <w:sz w:val="24"/>
          <w:szCs w:val="24"/>
        </w:rPr>
      </w:pPr>
    </w:p>
    <w:p w:rsidR="00DB14A2" w:rsidRDefault="00DB14A2" w:rsidP="00DB14A2">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Year 1 costs include the implementation of those improved requirements that become effective on the first day of the first calendar quarter, 12 months after applicable regulatory approval, which include requirements such as coordination between entities and incremental system modeling enhancements.  Year 2 costs include a portion of year 1 reoccurring costs plus the implementation of the remaining improved requirements that become effective on the first day of the first calendar quarter, 24 months after applicable regulatory approval, which include requirements such as sensitivity studies for steady state and stability analysis, implementation of a spare equipment strategy, short circuit studies, an expansion of contingencies and extreme events, and all associated system modeling enhancements and documentation.  Year 3 costs include a portion of year 2 reoccurring costs plus an estimated cost for Attachment 1 stakeholder process, if needed.  </w:t>
      </w:r>
    </w:p>
    <w:p w:rsidR="00DB14A2" w:rsidRPr="00B16372" w:rsidRDefault="00DB14A2" w:rsidP="00DB14A2">
      <w:pPr>
        <w:spacing w:after="0" w:line="240" w:lineRule="auto"/>
        <w:rPr>
          <w:rFonts w:ascii="Times New Roman" w:hAnsi="Times New Roman" w:cs="Times New Roman"/>
          <w:sz w:val="24"/>
          <w:szCs w:val="24"/>
        </w:rPr>
      </w:pPr>
    </w:p>
    <w:p w:rsidR="00DB14A2" w:rsidRPr="00B16372" w:rsidRDefault="00DB14A2" w:rsidP="00DB14A2">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For the burden categories above, the loaded (salary plus benefits) costs are: $60/hour for an engineer; $31/hour for recordkeeping; and $128/hour for legal.</w:t>
      </w:r>
      <w:r w:rsidRPr="00B16372">
        <w:rPr>
          <w:rFonts w:ascii="Times New Roman" w:hAnsi="Times New Roman" w:cs="Times New Roman"/>
          <w:b/>
          <w:sz w:val="24"/>
          <w:szCs w:val="24"/>
          <w:vertAlign w:val="superscript"/>
        </w:rPr>
        <w:footnoteReference w:id="16"/>
      </w:r>
      <w:r w:rsidRPr="00B16372">
        <w:rPr>
          <w:rFonts w:ascii="Times New Roman" w:hAnsi="Times New Roman" w:cs="Times New Roman"/>
          <w:sz w:val="24"/>
          <w:szCs w:val="24"/>
        </w:rPr>
        <w:t xml:space="preserve">  The estimated breakdown of annual cost is as follows:</w:t>
      </w:r>
    </w:p>
    <w:p w:rsidR="00DB14A2" w:rsidRPr="00B16372" w:rsidRDefault="00DB14A2" w:rsidP="00DB14A2">
      <w:pPr>
        <w:spacing w:after="0" w:line="240" w:lineRule="auto"/>
        <w:rPr>
          <w:rFonts w:ascii="Times New Roman" w:hAnsi="Times New Roman" w:cs="Times New Roman"/>
          <w:sz w:val="24"/>
          <w:szCs w:val="24"/>
        </w:rPr>
      </w:pPr>
    </w:p>
    <w:p w:rsidR="00DB14A2" w:rsidRPr="00B16372" w:rsidRDefault="00DB14A2" w:rsidP="00DB14A2">
      <w:pPr>
        <w:numPr>
          <w:ilvl w:val="0"/>
          <w:numId w:val="8"/>
        </w:numPr>
        <w:spacing w:after="0" w:line="240" w:lineRule="auto"/>
        <w:rPr>
          <w:rFonts w:ascii="Times New Roman" w:hAnsi="Times New Roman" w:cs="Times New Roman"/>
          <w:b/>
          <w:sz w:val="24"/>
          <w:szCs w:val="24"/>
        </w:rPr>
      </w:pPr>
      <w:r w:rsidRPr="00B16372">
        <w:rPr>
          <w:rFonts w:ascii="Times New Roman" w:hAnsi="Times New Roman" w:cs="Times New Roman"/>
          <w:b/>
          <w:sz w:val="24"/>
          <w:szCs w:val="24"/>
        </w:rPr>
        <w:t>Year 1</w:t>
      </w:r>
      <w:r w:rsidR="00933B30">
        <w:rPr>
          <w:rFonts w:ascii="Times New Roman" w:hAnsi="Times New Roman" w:cs="Times New Roman"/>
          <w:b/>
          <w:sz w:val="24"/>
          <w:szCs w:val="24"/>
        </w:rPr>
        <w:t>: $77,592</w:t>
      </w:r>
    </w:p>
    <w:p w:rsidR="00DB14A2" w:rsidRPr="00DB14A2" w:rsidRDefault="00DB14A2" w:rsidP="00DB14A2">
      <w:pPr>
        <w:numPr>
          <w:ilvl w:val="1"/>
          <w:numId w:val="8"/>
        </w:numPr>
        <w:spacing w:after="0" w:line="240" w:lineRule="auto"/>
        <w:rPr>
          <w:rFonts w:ascii="Times New Roman" w:hAnsi="Times New Roman" w:cs="Times New Roman"/>
          <w:sz w:val="24"/>
          <w:szCs w:val="24"/>
        </w:rPr>
      </w:pPr>
      <w:r w:rsidRPr="00B16372">
        <w:rPr>
          <w:rFonts w:ascii="Times New Roman" w:hAnsi="Times New Roman" w:cs="Times New Roman"/>
          <w:b/>
          <w:sz w:val="24"/>
          <w:szCs w:val="24"/>
        </w:rPr>
        <w:t>Identification of Joint Responsibilities and System Modeling Enhancements</w:t>
      </w:r>
      <w:r w:rsidRPr="00B16372">
        <w:rPr>
          <w:rFonts w:ascii="Times New Roman" w:hAnsi="Times New Roman" w:cs="Times New Roman"/>
          <w:sz w:val="24"/>
          <w:szCs w:val="24"/>
        </w:rPr>
        <w:t>:  183 entities * [(5 hours/response * $60/hour) + (4 hours/response * $31/hour)]</w:t>
      </w:r>
      <w:bookmarkStart w:id="4" w:name="OLE_LINK1"/>
      <w:bookmarkStart w:id="5" w:name="OLE_LINK2"/>
      <w:r w:rsidRPr="00B16372">
        <w:rPr>
          <w:rFonts w:ascii="Times New Roman" w:hAnsi="Times New Roman" w:cs="Times New Roman"/>
          <w:sz w:val="24"/>
          <w:szCs w:val="24"/>
        </w:rPr>
        <w:t xml:space="preserve"> </w:t>
      </w:r>
      <w:bookmarkEnd w:id="4"/>
      <w:bookmarkEnd w:id="5"/>
      <w:r w:rsidRPr="00B16372">
        <w:rPr>
          <w:rFonts w:ascii="Times New Roman" w:hAnsi="Times New Roman" w:cs="Times New Roman"/>
          <w:sz w:val="24"/>
          <w:szCs w:val="24"/>
        </w:rPr>
        <w:t>= $77,592.</w:t>
      </w:r>
    </w:p>
    <w:p w:rsidR="00DB14A2" w:rsidRPr="00B16372" w:rsidRDefault="00DB14A2" w:rsidP="00DB14A2">
      <w:pPr>
        <w:numPr>
          <w:ilvl w:val="0"/>
          <w:numId w:val="8"/>
        </w:numPr>
        <w:spacing w:after="0" w:line="240" w:lineRule="auto"/>
        <w:rPr>
          <w:rFonts w:ascii="Times New Roman" w:hAnsi="Times New Roman" w:cs="Times New Roman"/>
          <w:b/>
          <w:sz w:val="24"/>
          <w:szCs w:val="24"/>
        </w:rPr>
      </w:pPr>
      <w:r w:rsidRPr="00B16372">
        <w:rPr>
          <w:rFonts w:ascii="Times New Roman" w:hAnsi="Times New Roman" w:cs="Times New Roman"/>
          <w:b/>
          <w:sz w:val="24"/>
          <w:szCs w:val="24"/>
        </w:rPr>
        <w:t>Year 2</w:t>
      </w:r>
      <w:r w:rsidR="00933B30">
        <w:rPr>
          <w:rFonts w:ascii="Times New Roman" w:hAnsi="Times New Roman" w:cs="Times New Roman"/>
          <w:b/>
          <w:sz w:val="24"/>
          <w:szCs w:val="24"/>
        </w:rPr>
        <w:t xml:space="preserve">: </w:t>
      </w:r>
      <w:r w:rsidR="00933B30" w:rsidRPr="00B16372">
        <w:rPr>
          <w:rFonts w:ascii="Times New Roman" w:hAnsi="Times New Roman" w:cs="Times New Roman"/>
          <w:b/>
          <w:sz w:val="24"/>
          <w:szCs w:val="24"/>
        </w:rPr>
        <w:t>$1,312,659</w:t>
      </w:r>
    </w:p>
    <w:p w:rsidR="00DB14A2" w:rsidRPr="00DB14A2" w:rsidRDefault="00DB14A2" w:rsidP="00DB14A2">
      <w:pPr>
        <w:numPr>
          <w:ilvl w:val="1"/>
          <w:numId w:val="8"/>
        </w:numPr>
        <w:spacing w:after="0" w:line="240" w:lineRule="auto"/>
        <w:rPr>
          <w:rFonts w:ascii="Times New Roman" w:hAnsi="Times New Roman" w:cs="Times New Roman"/>
          <w:sz w:val="24"/>
          <w:szCs w:val="24"/>
        </w:rPr>
      </w:pPr>
      <w:r w:rsidRPr="00B16372">
        <w:rPr>
          <w:rFonts w:ascii="Times New Roman" w:hAnsi="Times New Roman" w:cs="Times New Roman"/>
          <w:b/>
          <w:sz w:val="24"/>
          <w:szCs w:val="24"/>
        </w:rPr>
        <w:t>Identification of Joint Responsibilities and System Modeling Enhancements</w:t>
      </w:r>
      <w:r w:rsidRPr="00B16372">
        <w:rPr>
          <w:rFonts w:ascii="Times New Roman" w:hAnsi="Times New Roman" w:cs="Times New Roman"/>
          <w:sz w:val="24"/>
          <w:szCs w:val="24"/>
        </w:rPr>
        <w:t xml:space="preserve">:  183 entities * [(3 hours/response * $60/hour) + (2 hours/response * $31/hour)] = $44,286. </w:t>
      </w:r>
    </w:p>
    <w:p w:rsidR="00DB14A2" w:rsidRPr="00DB14A2" w:rsidRDefault="00DB14A2" w:rsidP="00DB14A2">
      <w:pPr>
        <w:numPr>
          <w:ilvl w:val="1"/>
          <w:numId w:val="8"/>
        </w:numPr>
        <w:spacing w:after="0" w:line="240" w:lineRule="auto"/>
        <w:rPr>
          <w:rFonts w:ascii="Times New Roman" w:hAnsi="Times New Roman" w:cs="Times New Roman"/>
          <w:sz w:val="24"/>
          <w:szCs w:val="24"/>
        </w:rPr>
      </w:pPr>
      <w:r w:rsidRPr="00B16372">
        <w:rPr>
          <w:rFonts w:ascii="Times New Roman" w:hAnsi="Times New Roman" w:cs="Times New Roman"/>
          <w:b/>
          <w:sz w:val="24"/>
          <w:szCs w:val="24"/>
        </w:rPr>
        <w:t>New Assessments, Simulations, Studies, Modeling Enhancements and associated Documentation</w:t>
      </w:r>
      <w:r w:rsidRPr="00B16372">
        <w:rPr>
          <w:rFonts w:ascii="Times New Roman" w:hAnsi="Times New Roman" w:cs="Times New Roman"/>
          <w:sz w:val="24"/>
          <w:szCs w:val="24"/>
        </w:rPr>
        <w:t>:  183 entities * [(84 hours/response * $60/hour) + (61 hours/response * $31/hour)] = $1,268,373.</w:t>
      </w:r>
    </w:p>
    <w:p w:rsidR="00DB14A2" w:rsidRPr="00B16372" w:rsidRDefault="00DB14A2" w:rsidP="00DB14A2">
      <w:pPr>
        <w:numPr>
          <w:ilvl w:val="0"/>
          <w:numId w:val="8"/>
        </w:numPr>
        <w:spacing w:after="0" w:line="240" w:lineRule="auto"/>
        <w:rPr>
          <w:rFonts w:ascii="Times New Roman" w:hAnsi="Times New Roman" w:cs="Times New Roman"/>
          <w:b/>
          <w:sz w:val="24"/>
          <w:szCs w:val="24"/>
        </w:rPr>
      </w:pPr>
      <w:r w:rsidRPr="00B16372">
        <w:rPr>
          <w:rFonts w:ascii="Times New Roman" w:hAnsi="Times New Roman" w:cs="Times New Roman"/>
          <w:b/>
          <w:sz w:val="24"/>
          <w:szCs w:val="24"/>
        </w:rPr>
        <w:t>Year 3</w:t>
      </w:r>
      <w:r w:rsidR="00933B30">
        <w:rPr>
          <w:rFonts w:ascii="Times New Roman" w:hAnsi="Times New Roman" w:cs="Times New Roman"/>
          <w:b/>
          <w:sz w:val="24"/>
          <w:szCs w:val="24"/>
        </w:rPr>
        <w:t xml:space="preserve">: </w:t>
      </w:r>
      <w:r w:rsidR="00933B30" w:rsidRPr="00B16372">
        <w:rPr>
          <w:rFonts w:ascii="Times New Roman" w:hAnsi="Times New Roman" w:cs="Times New Roman"/>
          <w:b/>
          <w:sz w:val="24"/>
          <w:szCs w:val="24"/>
        </w:rPr>
        <w:t>$820,149</w:t>
      </w:r>
    </w:p>
    <w:p w:rsidR="00DB14A2" w:rsidRPr="00DB14A2" w:rsidRDefault="00DB14A2" w:rsidP="00DB14A2">
      <w:pPr>
        <w:numPr>
          <w:ilvl w:val="1"/>
          <w:numId w:val="8"/>
        </w:numPr>
        <w:spacing w:after="0" w:line="240" w:lineRule="auto"/>
        <w:rPr>
          <w:rFonts w:ascii="Times New Roman" w:hAnsi="Times New Roman" w:cs="Times New Roman"/>
          <w:sz w:val="24"/>
          <w:szCs w:val="24"/>
        </w:rPr>
      </w:pPr>
      <w:r w:rsidRPr="00B16372">
        <w:rPr>
          <w:rFonts w:ascii="Times New Roman" w:hAnsi="Times New Roman" w:cs="Times New Roman"/>
          <w:b/>
          <w:sz w:val="24"/>
          <w:szCs w:val="24"/>
        </w:rPr>
        <w:t>Identification of Joint Responsibilities and System Modeling Enhancements</w:t>
      </w:r>
      <w:r w:rsidRPr="00B16372">
        <w:rPr>
          <w:rFonts w:ascii="Times New Roman" w:hAnsi="Times New Roman" w:cs="Times New Roman"/>
          <w:sz w:val="24"/>
          <w:szCs w:val="24"/>
        </w:rPr>
        <w:t>:  183 entities * [(3 hours/response * $60/hour) + (2 hours/response * $31/hour)] = $44,286.</w:t>
      </w:r>
    </w:p>
    <w:p w:rsidR="00DB14A2" w:rsidRPr="00DB14A2" w:rsidRDefault="00DB14A2" w:rsidP="00DB14A2">
      <w:pPr>
        <w:numPr>
          <w:ilvl w:val="1"/>
          <w:numId w:val="8"/>
        </w:numPr>
        <w:spacing w:after="0" w:line="240" w:lineRule="auto"/>
        <w:rPr>
          <w:rFonts w:ascii="Times New Roman" w:hAnsi="Times New Roman" w:cs="Times New Roman"/>
          <w:sz w:val="24"/>
          <w:szCs w:val="24"/>
          <w:u w:val="single"/>
        </w:rPr>
      </w:pPr>
      <w:r w:rsidRPr="00B16372">
        <w:rPr>
          <w:rFonts w:ascii="Times New Roman" w:hAnsi="Times New Roman" w:cs="Times New Roman"/>
          <w:b/>
          <w:sz w:val="24"/>
          <w:szCs w:val="24"/>
        </w:rPr>
        <w:lastRenderedPageBreak/>
        <w:t>New Assessments, Simulations, Studies, Modeling Enhancements and associated Documentation</w:t>
      </w:r>
      <w:r w:rsidRPr="00B16372">
        <w:rPr>
          <w:rFonts w:ascii="Times New Roman" w:hAnsi="Times New Roman" w:cs="Times New Roman"/>
          <w:sz w:val="24"/>
          <w:szCs w:val="24"/>
        </w:rPr>
        <w:t>:  183 entities * [(45 hours/response * $60/hour) + (39 hours/response * $31/hour)] = $715,347.</w:t>
      </w:r>
    </w:p>
    <w:p w:rsidR="00DB14A2" w:rsidRDefault="00DB14A2" w:rsidP="00DB14A2">
      <w:pPr>
        <w:numPr>
          <w:ilvl w:val="1"/>
          <w:numId w:val="8"/>
        </w:numPr>
        <w:spacing w:after="0" w:line="240" w:lineRule="auto"/>
        <w:rPr>
          <w:rFonts w:ascii="Times New Roman" w:hAnsi="Times New Roman" w:cs="Times New Roman"/>
          <w:sz w:val="24"/>
          <w:szCs w:val="24"/>
          <w:u w:val="single"/>
        </w:rPr>
      </w:pPr>
      <w:r w:rsidRPr="00B16372">
        <w:rPr>
          <w:rFonts w:ascii="Times New Roman" w:hAnsi="Times New Roman" w:cs="Times New Roman"/>
          <w:b/>
          <w:sz w:val="24"/>
          <w:szCs w:val="24"/>
        </w:rPr>
        <w:t>Implementation of footnote 12 and the stakeholder process</w:t>
      </w:r>
      <w:r w:rsidRPr="00B16372">
        <w:rPr>
          <w:rFonts w:ascii="Times New Roman" w:hAnsi="Times New Roman" w:cs="Times New Roman"/>
          <w:sz w:val="24"/>
          <w:szCs w:val="24"/>
        </w:rPr>
        <w:t>: {12 responses * [(40 hours/response * $60/hour) + (17 hours/response * $31/hour) + (6 hours/response * $128/hour)]} + {4 responses * [(40 hours/response * $60/</w:t>
      </w:r>
      <w:proofErr w:type="spellStart"/>
      <w:r w:rsidRPr="00B16372">
        <w:rPr>
          <w:rFonts w:ascii="Times New Roman" w:hAnsi="Times New Roman" w:cs="Times New Roman"/>
          <w:sz w:val="24"/>
          <w:szCs w:val="24"/>
        </w:rPr>
        <w:t>hr</w:t>
      </w:r>
      <w:proofErr w:type="spellEnd"/>
      <w:r w:rsidRPr="00B16372">
        <w:rPr>
          <w:rFonts w:ascii="Times New Roman" w:hAnsi="Times New Roman" w:cs="Times New Roman"/>
          <w:sz w:val="24"/>
          <w:szCs w:val="24"/>
        </w:rPr>
        <w:t>) + (20 hours/response * $31/hour) + (8 hours/response * $128/hour)]}</w:t>
      </w:r>
      <w:r w:rsidRPr="00B16372" w:rsidDel="00CA23ED">
        <w:rPr>
          <w:rFonts w:ascii="Times New Roman" w:hAnsi="Times New Roman" w:cs="Times New Roman"/>
          <w:sz w:val="24"/>
          <w:szCs w:val="24"/>
        </w:rPr>
        <w:t xml:space="preserve"> </w:t>
      </w:r>
      <w:r w:rsidRPr="00B16372">
        <w:rPr>
          <w:rFonts w:ascii="Times New Roman" w:hAnsi="Times New Roman" w:cs="Times New Roman"/>
          <w:sz w:val="24"/>
          <w:szCs w:val="24"/>
        </w:rPr>
        <w:t>= $60,516.</w:t>
      </w:r>
    </w:p>
    <w:p w:rsidR="00DB14A2" w:rsidRPr="00B16372" w:rsidRDefault="00DB14A2" w:rsidP="0092596C">
      <w:pPr>
        <w:spacing w:after="0" w:line="240" w:lineRule="auto"/>
        <w:rPr>
          <w:rFonts w:ascii="Times New Roman" w:hAnsi="Times New Roman" w:cs="Times New Roman"/>
          <w:sz w:val="24"/>
          <w:szCs w:val="24"/>
        </w:rPr>
      </w:pPr>
    </w:p>
    <w:p w:rsidR="00D80FBD" w:rsidRPr="00B16372" w:rsidRDefault="00D80FBD" w:rsidP="0092596C">
      <w:pPr>
        <w:spacing w:after="0" w:line="240" w:lineRule="auto"/>
        <w:rPr>
          <w:rFonts w:ascii="Times New Roman" w:hAnsi="Times New Roman" w:cs="Times New Roman"/>
          <w:sz w:val="24"/>
          <w:szCs w:val="24"/>
        </w:rPr>
      </w:pPr>
    </w:p>
    <w:p w:rsidR="00D80FBD" w:rsidRPr="00B16372" w:rsidRDefault="00E636D7"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 OF THE TOTAL ANNUAL COST BURDEN TO RESPONDENTS</w:t>
      </w:r>
    </w:p>
    <w:p w:rsidR="00E636D7" w:rsidRPr="00B16372" w:rsidRDefault="00E636D7" w:rsidP="0092596C">
      <w:pPr>
        <w:spacing w:after="0" w:line="240" w:lineRule="auto"/>
        <w:rPr>
          <w:rFonts w:ascii="Times New Roman" w:hAnsi="Times New Roman" w:cs="Times New Roman"/>
          <w:sz w:val="24"/>
          <w:szCs w:val="24"/>
        </w:rPr>
      </w:pPr>
    </w:p>
    <w:p w:rsidR="004552E9" w:rsidRPr="00B16372" w:rsidRDefault="004552E9" w:rsidP="0092596C">
      <w:pPr>
        <w:spacing w:after="0" w:line="240" w:lineRule="auto"/>
        <w:rPr>
          <w:rFonts w:ascii="Times New Roman" w:hAnsi="Times New Roman"/>
          <w:sz w:val="24"/>
          <w:szCs w:val="24"/>
        </w:rPr>
      </w:pPr>
      <w:r w:rsidRPr="00B16372">
        <w:rPr>
          <w:rFonts w:ascii="Times New Roman" w:hAnsi="Times New Roman"/>
          <w:sz w:val="24"/>
          <w:szCs w:val="24"/>
        </w:rPr>
        <w:t xml:space="preserve">There is no start-up or other non-labor hour cost associated with this final rule.  We assume that the information collection requirements associated with this final rule can be completed by entities using existing hardware and software.     </w:t>
      </w:r>
    </w:p>
    <w:p w:rsidR="00E636D7" w:rsidRPr="00B16372" w:rsidRDefault="00E636D7" w:rsidP="0092596C">
      <w:pPr>
        <w:spacing w:after="0" w:line="240" w:lineRule="auto"/>
        <w:rPr>
          <w:rFonts w:ascii="Times New Roman" w:hAnsi="Times New Roman" w:cs="Times New Roman"/>
          <w:sz w:val="24"/>
          <w:szCs w:val="24"/>
        </w:rPr>
      </w:pPr>
    </w:p>
    <w:p w:rsidR="00E636D7" w:rsidRPr="00B16372"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ESTIMATED ANNUALIZED COST TO FEDERAL GOVERNMENT</w:t>
      </w:r>
    </w:p>
    <w:p w:rsidR="00A276F5" w:rsidRPr="00B16372" w:rsidRDefault="00A276F5" w:rsidP="0092596C">
      <w:pPr>
        <w:spacing w:after="0" w:line="240" w:lineRule="auto"/>
        <w:rPr>
          <w:rFonts w:ascii="Times New Roman" w:hAnsi="Times New Roman" w:cs="Times New Roman"/>
          <w:sz w:val="24"/>
          <w:szCs w:val="24"/>
        </w:rPr>
      </w:pPr>
    </w:p>
    <w:p w:rsidR="004552E9" w:rsidRPr="00B16372" w:rsidRDefault="004552E9" w:rsidP="0092596C">
      <w:pPr>
        <w:spacing w:after="0" w:line="240" w:lineRule="auto"/>
        <w:rPr>
          <w:rFonts w:ascii="Times New Roman" w:hAnsi="Times New Roman"/>
          <w:sz w:val="24"/>
          <w:szCs w:val="24"/>
        </w:rPr>
      </w:pPr>
      <w:r w:rsidRPr="00B16372">
        <w:rPr>
          <w:rFonts w:ascii="Times New Roman" w:hAnsi="Times New Roman"/>
          <w:sz w:val="24"/>
          <w:szCs w:val="24"/>
        </w:rPr>
        <w:t xml:space="preserve">The Regional Entities and NERC do most of the data processing, monitoring and compliance work for Reliability Standards.  Any involvement by the Commission is covered under the FERC-725 collection (1902-0225) and is not part of this request or package.  </w:t>
      </w:r>
    </w:p>
    <w:p w:rsidR="004552E9" w:rsidRPr="00B16372" w:rsidRDefault="004552E9" w:rsidP="0092596C">
      <w:pPr>
        <w:spacing w:after="0" w:line="240" w:lineRule="auto"/>
        <w:rPr>
          <w:rFonts w:ascii="Times New Roman" w:hAnsi="Times New Roman"/>
          <w:sz w:val="24"/>
          <w:szCs w:val="24"/>
        </w:rPr>
      </w:pPr>
    </w:p>
    <w:p w:rsidR="00A276F5" w:rsidRPr="00B16372" w:rsidRDefault="004552E9" w:rsidP="0092596C">
      <w:pPr>
        <w:spacing w:after="0" w:line="240" w:lineRule="auto"/>
        <w:rPr>
          <w:rFonts w:ascii="Times New Roman" w:hAnsi="Times New Roman" w:cs="Times New Roman"/>
          <w:sz w:val="24"/>
          <w:szCs w:val="24"/>
        </w:rPr>
      </w:pPr>
      <w:r w:rsidRPr="00B16372">
        <w:rPr>
          <w:rFonts w:ascii="Times New Roman" w:hAnsi="Times New Roman"/>
          <w:sz w:val="24"/>
          <w:szCs w:val="24"/>
        </w:rPr>
        <w:t xml:space="preserve">The Commission does incur the costs associated with obtaining OMB clearance under the Paperwork Reduction Act for this </w:t>
      </w:r>
      <w:r w:rsidR="009C3453">
        <w:rPr>
          <w:rFonts w:ascii="Times New Roman" w:hAnsi="Times New Roman"/>
          <w:sz w:val="24"/>
          <w:szCs w:val="24"/>
        </w:rPr>
        <w:t>c</w:t>
      </w:r>
      <w:r w:rsidRPr="00B16372">
        <w:rPr>
          <w:rFonts w:ascii="Times New Roman" w:hAnsi="Times New Roman"/>
          <w:sz w:val="24"/>
          <w:szCs w:val="24"/>
        </w:rPr>
        <w:t>ollection.  FERC estimates</w:t>
      </w:r>
      <w:r w:rsidR="00DB14A2">
        <w:rPr>
          <w:rFonts w:ascii="Times New Roman" w:hAnsi="Times New Roman"/>
          <w:sz w:val="24"/>
          <w:szCs w:val="24"/>
        </w:rPr>
        <w:t xml:space="preserve"> $2,250 as</w:t>
      </w:r>
      <w:r w:rsidRPr="00B16372">
        <w:rPr>
          <w:rFonts w:ascii="Times New Roman" w:hAnsi="Times New Roman"/>
          <w:sz w:val="24"/>
          <w:szCs w:val="24"/>
        </w:rPr>
        <w:t xml:space="preserve"> the annual cost</w:t>
      </w:r>
      <w:r w:rsidR="00DB14A2">
        <w:rPr>
          <w:rFonts w:ascii="Times New Roman" w:hAnsi="Times New Roman"/>
          <w:sz w:val="24"/>
          <w:szCs w:val="24"/>
        </w:rPr>
        <w:t xml:space="preserve"> for this effort</w:t>
      </w:r>
      <w:r w:rsidRPr="00B16372">
        <w:rPr>
          <w:rFonts w:ascii="Times New Roman" w:hAnsi="Times New Roman"/>
          <w:sz w:val="24"/>
          <w:szCs w:val="24"/>
        </w:rPr>
        <w:t>.</w:t>
      </w:r>
      <w:r w:rsidRPr="00B16372">
        <w:rPr>
          <w:rStyle w:val="FootnoteReference"/>
          <w:rFonts w:ascii="Times New Roman" w:hAnsi="Times New Roman"/>
          <w:sz w:val="24"/>
          <w:szCs w:val="24"/>
          <w:vertAlign w:val="superscript"/>
        </w:rPr>
        <w:footnoteReference w:id="17"/>
      </w:r>
    </w:p>
    <w:p w:rsidR="00A276F5" w:rsidRPr="00B16372" w:rsidRDefault="00A276F5" w:rsidP="0092596C">
      <w:pPr>
        <w:spacing w:after="0" w:line="240" w:lineRule="auto"/>
        <w:rPr>
          <w:rFonts w:ascii="Times New Roman" w:hAnsi="Times New Roman" w:cs="Times New Roman"/>
          <w:sz w:val="24"/>
          <w:szCs w:val="24"/>
        </w:rPr>
      </w:pPr>
    </w:p>
    <w:p w:rsidR="00A276F5" w:rsidRPr="00DB14A2"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REASONS FOR CHANGES IN BURDEN INCLUDING THE NEED FOR ANY INCREASE</w:t>
      </w:r>
    </w:p>
    <w:p w:rsidR="00DB14A2" w:rsidRPr="00DB14A2" w:rsidRDefault="00DB14A2" w:rsidP="00DB14A2">
      <w:pPr>
        <w:spacing w:after="0" w:line="240" w:lineRule="auto"/>
        <w:rPr>
          <w:rFonts w:ascii="Times New Roman" w:hAnsi="Times New Roman" w:cs="Times New Roman"/>
          <w:sz w:val="24"/>
          <w:szCs w:val="24"/>
          <w:u w:val="single"/>
        </w:rPr>
      </w:pPr>
    </w:p>
    <w:p w:rsidR="00DF739D" w:rsidRDefault="00DF739D"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The change in burden is the re</w:t>
      </w:r>
      <w:r w:rsidR="006835EB">
        <w:rPr>
          <w:rFonts w:ascii="Times New Roman" w:hAnsi="Times New Roman" w:cs="Times New Roman"/>
          <w:sz w:val="24"/>
          <w:szCs w:val="24"/>
        </w:rPr>
        <w:t>sult of the consolidated TPL-001</w:t>
      </w:r>
      <w:r>
        <w:rPr>
          <w:rFonts w:ascii="Times New Roman" w:hAnsi="Times New Roman" w:cs="Times New Roman"/>
          <w:sz w:val="24"/>
          <w:szCs w:val="24"/>
        </w:rPr>
        <w:t xml:space="preserve"> Reliability Standard.  </w:t>
      </w:r>
      <w:r w:rsidRPr="00B16372">
        <w:rPr>
          <w:rFonts w:ascii="Times New Roman" w:hAnsi="Times New Roman" w:cs="Times New Roman"/>
          <w:sz w:val="24"/>
          <w:szCs w:val="24"/>
        </w:rPr>
        <w:t>If this standard and the associated information collection requirements did not exist</w:t>
      </w:r>
      <w:r w:rsidR="00CE34E4">
        <w:rPr>
          <w:rFonts w:ascii="Times New Roman" w:hAnsi="Times New Roman" w:cs="Times New Roman"/>
          <w:sz w:val="24"/>
          <w:szCs w:val="24"/>
        </w:rPr>
        <w:t>,</w:t>
      </w:r>
      <w:r w:rsidRPr="00B16372">
        <w:rPr>
          <w:rFonts w:ascii="Times New Roman" w:hAnsi="Times New Roman" w:cs="Times New Roman"/>
          <w:sz w:val="24"/>
          <w:szCs w:val="24"/>
        </w:rPr>
        <w:t xml:space="preserve"> there would be a reliability gap in the transmission planning, leading the system to potentially operate in a more unreliable condition.</w:t>
      </w:r>
    </w:p>
    <w:p w:rsidR="00DF739D" w:rsidRDefault="00DF739D" w:rsidP="0092596C">
      <w:pPr>
        <w:spacing w:after="0" w:line="240" w:lineRule="auto"/>
        <w:rPr>
          <w:rFonts w:ascii="Times New Roman" w:hAnsi="Times New Roman" w:cs="Times New Roman"/>
          <w:sz w:val="24"/>
          <w:szCs w:val="24"/>
        </w:rPr>
      </w:pPr>
    </w:p>
    <w:p w:rsidR="0092596C" w:rsidRDefault="0092596C"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table shows burden inventory</w:t>
      </w:r>
      <w:r w:rsidR="00DF56DA">
        <w:rPr>
          <w:rFonts w:ascii="Times New Roman" w:hAnsi="Times New Roman" w:cs="Times New Roman"/>
          <w:sz w:val="24"/>
          <w:szCs w:val="24"/>
        </w:rPr>
        <w:t xml:space="preserve"> for the new FERC-725N </w:t>
      </w:r>
      <w:r w:rsidR="00DF19E8">
        <w:rPr>
          <w:rFonts w:ascii="Times New Roman" w:hAnsi="Times New Roman" w:cs="Times New Roman"/>
          <w:sz w:val="24"/>
          <w:szCs w:val="24"/>
        </w:rPr>
        <w:t>because of the final</w:t>
      </w:r>
      <w:r>
        <w:rPr>
          <w:rFonts w:ascii="Times New Roman" w:hAnsi="Times New Roman" w:cs="Times New Roman"/>
          <w:sz w:val="24"/>
          <w:szCs w:val="24"/>
        </w:rPr>
        <w:t xml:space="preserve"> rule.</w:t>
      </w:r>
    </w:p>
    <w:p w:rsidR="0092596C" w:rsidRDefault="0092596C" w:rsidP="0092596C">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2596C" w:rsidTr="0092596C">
        <w:trPr>
          <w:trHeight w:val="870"/>
        </w:trPr>
        <w:tc>
          <w:tcPr>
            <w:tcW w:w="2679" w:type="dxa"/>
            <w:shd w:val="clear" w:color="auto" w:fill="D9D9D9"/>
            <w:vAlign w:val="bottom"/>
          </w:tcPr>
          <w:p w:rsidR="0092596C" w:rsidRDefault="0092596C" w:rsidP="0092596C">
            <w:pPr>
              <w:spacing w:after="0" w:line="240" w:lineRule="auto"/>
              <w:jc w:val="center"/>
              <w:rPr>
                <w:rFonts w:ascii="Times New Roman" w:hAnsi="Times New Roman"/>
                <w:b/>
                <w:sz w:val="26"/>
                <w:szCs w:val="26"/>
              </w:rPr>
            </w:pPr>
            <w:r>
              <w:rPr>
                <w:rFonts w:ascii="Times New Roman" w:hAnsi="Times New Roman"/>
                <w:b/>
                <w:sz w:val="26"/>
                <w:szCs w:val="26"/>
              </w:rPr>
              <w:t>FERC-725</w:t>
            </w:r>
            <w:r w:rsidR="00CE34E4">
              <w:rPr>
                <w:rFonts w:ascii="Times New Roman" w:hAnsi="Times New Roman"/>
                <w:b/>
                <w:sz w:val="26"/>
                <w:szCs w:val="26"/>
              </w:rPr>
              <w:t>N</w:t>
            </w:r>
          </w:p>
        </w:tc>
        <w:tc>
          <w:tcPr>
            <w:tcW w:w="1461" w:type="dxa"/>
            <w:shd w:val="clear" w:color="auto" w:fill="D9D9D9"/>
            <w:vAlign w:val="bottom"/>
          </w:tcPr>
          <w:p w:rsidR="0092596C" w:rsidRDefault="0092596C" w:rsidP="0092596C">
            <w:pPr>
              <w:spacing w:after="0" w:line="240" w:lineRule="auto"/>
              <w:jc w:val="center"/>
              <w:rPr>
                <w:rFonts w:ascii="Times New Roman" w:hAnsi="Times New Roman"/>
                <w:b/>
                <w:sz w:val="26"/>
                <w:szCs w:val="26"/>
              </w:rPr>
            </w:pPr>
            <w:r>
              <w:rPr>
                <w:rFonts w:ascii="Times New Roman" w:hAnsi="Times New Roman"/>
                <w:b/>
                <w:sz w:val="26"/>
                <w:szCs w:val="26"/>
              </w:rPr>
              <w:t>Total Request</w:t>
            </w:r>
          </w:p>
        </w:tc>
        <w:tc>
          <w:tcPr>
            <w:tcW w:w="1620" w:type="dxa"/>
            <w:shd w:val="clear" w:color="auto" w:fill="D9D9D9"/>
            <w:vAlign w:val="bottom"/>
          </w:tcPr>
          <w:p w:rsidR="0092596C" w:rsidRDefault="0092596C" w:rsidP="0092596C">
            <w:pPr>
              <w:spacing w:after="0" w:line="240" w:lineRule="auto"/>
              <w:jc w:val="center"/>
              <w:rPr>
                <w:rFonts w:ascii="Times New Roman" w:hAnsi="Times New Roman"/>
                <w:b/>
                <w:sz w:val="26"/>
                <w:szCs w:val="26"/>
              </w:rPr>
            </w:pPr>
            <w:r>
              <w:rPr>
                <w:rFonts w:ascii="Times New Roman" w:hAnsi="Times New Roman"/>
                <w:b/>
                <w:sz w:val="26"/>
                <w:szCs w:val="26"/>
              </w:rPr>
              <w:t>Previously Approved</w:t>
            </w:r>
          </w:p>
        </w:tc>
        <w:tc>
          <w:tcPr>
            <w:tcW w:w="1800" w:type="dxa"/>
            <w:shd w:val="clear" w:color="auto" w:fill="D9D9D9"/>
            <w:vAlign w:val="bottom"/>
          </w:tcPr>
          <w:p w:rsidR="0092596C" w:rsidRDefault="0092596C" w:rsidP="0092596C">
            <w:pPr>
              <w:spacing w:after="0" w:line="240" w:lineRule="auto"/>
              <w:jc w:val="center"/>
              <w:rPr>
                <w:rFonts w:ascii="Times New Roman" w:hAnsi="Times New Roman"/>
                <w:b/>
                <w:sz w:val="26"/>
                <w:szCs w:val="26"/>
              </w:rPr>
            </w:pPr>
            <w:r>
              <w:rPr>
                <w:rFonts w:ascii="Times New Roman" w:hAnsi="Times New Roman"/>
                <w:b/>
                <w:sz w:val="26"/>
                <w:szCs w:val="26"/>
              </w:rPr>
              <w:t>Change due to Adjustment in Estimate</w:t>
            </w:r>
          </w:p>
        </w:tc>
        <w:tc>
          <w:tcPr>
            <w:tcW w:w="1800" w:type="dxa"/>
            <w:shd w:val="clear" w:color="auto" w:fill="D9D9D9"/>
            <w:vAlign w:val="bottom"/>
          </w:tcPr>
          <w:p w:rsidR="0092596C" w:rsidRDefault="0092596C" w:rsidP="0092596C">
            <w:pPr>
              <w:spacing w:after="0" w:line="240" w:lineRule="auto"/>
              <w:jc w:val="center"/>
              <w:rPr>
                <w:rFonts w:ascii="Times New Roman" w:hAnsi="Times New Roman"/>
                <w:b/>
                <w:sz w:val="26"/>
                <w:szCs w:val="26"/>
              </w:rPr>
            </w:pPr>
            <w:r>
              <w:rPr>
                <w:rFonts w:ascii="Times New Roman" w:hAnsi="Times New Roman"/>
                <w:b/>
                <w:sz w:val="26"/>
                <w:szCs w:val="26"/>
              </w:rPr>
              <w:t>Change Due to Agency Discretion</w:t>
            </w:r>
          </w:p>
        </w:tc>
      </w:tr>
      <w:tr w:rsidR="0092596C" w:rsidTr="0092596C">
        <w:trPr>
          <w:trHeight w:val="591"/>
        </w:trPr>
        <w:tc>
          <w:tcPr>
            <w:tcW w:w="2679" w:type="dxa"/>
          </w:tcPr>
          <w:p w:rsidR="0092596C" w:rsidRDefault="0092596C" w:rsidP="0092596C">
            <w:pPr>
              <w:spacing w:after="0" w:line="240" w:lineRule="auto"/>
              <w:jc w:val="center"/>
              <w:rPr>
                <w:rFonts w:ascii="Times New Roman" w:hAnsi="Times New Roman"/>
                <w:sz w:val="26"/>
                <w:szCs w:val="26"/>
              </w:rPr>
            </w:pPr>
            <w:r>
              <w:rPr>
                <w:rFonts w:ascii="Times New Roman" w:hAnsi="Times New Roman"/>
                <w:sz w:val="26"/>
                <w:szCs w:val="26"/>
              </w:rPr>
              <w:t>Annual Number of Responses</w:t>
            </w:r>
          </w:p>
        </w:tc>
        <w:tc>
          <w:tcPr>
            <w:tcW w:w="1461" w:type="dxa"/>
            <w:vAlign w:val="center"/>
          </w:tcPr>
          <w:p w:rsidR="0092596C" w:rsidRDefault="00580974" w:rsidP="0092596C">
            <w:pPr>
              <w:spacing w:after="0" w:line="240" w:lineRule="auto"/>
              <w:jc w:val="right"/>
              <w:rPr>
                <w:rFonts w:ascii="Times New Roman" w:hAnsi="Times New Roman"/>
                <w:sz w:val="26"/>
                <w:szCs w:val="26"/>
              </w:rPr>
            </w:pPr>
            <w:r>
              <w:rPr>
                <w:rFonts w:ascii="Times New Roman" w:hAnsi="Times New Roman"/>
                <w:sz w:val="26"/>
                <w:szCs w:val="26"/>
              </w:rPr>
              <w:t>183</w:t>
            </w:r>
          </w:p>
        </w:tc>
        <w:tc>
          <w:tcPr>
            <w:tcW w:w="1620" w:type="dxa"/>
            <w:vAlign w:val="center"/>
          </w:tcPr>
          <w:p w:rsidR="0092596C" w:rsidRDefault="00580974" w:rsidP="0092596C">
            <w:pPr>
              <w:spacing w:after="0" w:line="240" w:lineRule="auto"/>
              <w:jc w:val="right"/>
              <w:rPr>
                <w:rFonts w:ascii="Times New Roman" w:hAnsi="Times New Roman"/>
                <w:sz w:val="26"/>
                <w:szCs w:val="26"/>
              </w:rPr>
            </w:pPr>
            <w:r>
              <w:rPr>
                <w:rFonts w:ascii="Times New Roman" w:hAnsi="Times New Roman"/>
                <w:sz w:val="26"/>
                <w:szCs w:val="26"/>
              </w:rPr>
              <w:t>-</w:t>
            </w:r>
          </w:p>
        </w:tc>
        <w:tc>
          <w:tcPr>
            <w:tcW w:w="1800" w:type="dxa"/>
            <w:vAlign w:val="center"/>
          </w:tcPr>
          <w:p w:rsidR="0092596C" w:rsidRDefault="0092596C" w:rsidP="0092596C">
            <w:pPr>
              <w:spacing w:after="0" w:line="240" w:lineRule="auto"/>
              <w:jc w:val="right"/>
              <w:rPr>
                <w:rFonts w:ascii="Times New Roman" w:hAnsi="Times New Roman"/>
                <w:sz w:val="26"/>
                <w:szCs w:val="26"/>
              </w:rPr>
            </w:pPr>
            <w:r>
              <w:rPr>
                <w:rFonts w:ascii="Times New Roman" w:hAnsi="Times New Roman"/>
                <w:sz w:val="26"/>
                <w:szCs w:val="26"/>
              </w:rPr>
              <w:t>-</w:t>
            </w:r>
          </w:p>
        </w:tc>
        <w:tc>
          <w:tcPr>
            <w:tcW w:w="1800" w:type="dxa"/>
            <w:vAlign w:val="center"/>
          </w:tcPr>
          <w:p w:rsidR="0092596C" w:rsidRDefault="00580974" w:rsidP="0092596C">
            <w:pPr>
              <w:spacing w:after="0" w:line="240" w:lineRule="auto"/>
              <w:jc w:val="right"/>
              <w:rPr>
                <w:rFonts w:ascii="Times New Roman" w:hAnsi="Times New Roman"/>
                <w:sz w:val="26"/>
                <w:szCs w:val="26"/>
              </w:rPr>
            </w:pPr>
            <w:r>
              <w:rPr>
                <w:rFonts w:ascii="Times New Roman" w:hAnsi="Times New Roman"/>
                <w:sz w:val="26"/>
                <w:szCs w:val="26"/>
              </w:rPr>
              <w:t>183</w:t>
            </w:r>
          </w:p>
        </w:tc>
      </w:tr>
      <w:tr w:rsidR="0092596C" w:rsidTr="0092596C">
        <w:trPr>
          <w:trHeight w:val="575"/>
        </w:trPr>
        <w:tc>
          <w:tcPr>
            <w:tcW w:w="2679" w:type="dxa"/>
          </w:tcPr>
          <w:p w:rsidR="0092596C" w:rsidRDefault="0092596C" w:rsidP="0092596C">
            <w:pPr>
              <w:spacing w:after="0" w:line="240" w:lineRule="auto"/>
              <w:jc w:val="center"/>
              <w:rPr>
                <w:rFonts w:ascii="Times New Roman" w:hAnsi="Times New Roman"/>
                <w:sz w:val="26"/>
                <w:szCs w:val="26"/>
              </w:rPr>
            </w:pPr>
            <w:r>
              <w:rPr>
                <w:rFonts w:ascii="Times New Roman" w:hAnsi="Times New Roman"/>
                <w:sz w:val="26"/>
                <w:szCs w:val="26"/>
              </w:rPr>
              <w:lastRenderedPageBreak/>
              <w:t>Annual Time Burden (</w:t>
            </w:r>
            <w:proofErr w:type="spellStart"/>
            <w:r>
              <w:rPr>
                <w:rFonts w:ascii="Times New Roman" w:hAnsi="Times New Roman"/>
                <w:sz w:val="26"/>
                <w:szCs w:val="26"/>
              </w:rPr>
              <w:t>Hr</w:t>
            </w:r>
            <w:proofErr w:type="spellEnd"/>
            <w:r>
              <w:rPr>
                <w:rFonts w:ascii="Times New Roman" w:hAnsi="Times New Roman"/>
                <w:sz w:val="26"/>
                <w:szCs w:val="26"/>
              </w:rPr>
              <w:t>)</w:t>
            </w:r>
          </w:p>
        </w:tc>
        <w:tc>
          <w:tcPr>
            <w:tcW w:w="1461" w:type="dxa"/>
            <w:vAlign w:val="center"/>
          </w:tcPr>
          <w:p w:rsidR="0092596C" w:rsidRDefault="00580974" w:rsidP="0092596C">
            <w:pPr>
              <w:spacing w:after="0" w:line="240" w:lineRule="auto"/>
              <w:jc w:val="right"/>
              <w:rPr>
                <w:rFonts w:ascii="Times New Roman" w:hAnsi="Times New Roman"/>
                <w:sz w:val="26"/>
                <w:szCs w:val="26"/>
              </w:rPr>
            </w:pPr>
            <w:r>
              <w:rPr>
                <w:rFonts w:ascii="Times New Roman" w:hAnsi="Times New Roman"/>
                <w:sz w:val="26"/>
                <w:szCs w:val="26"/>
              </w:rPr>
              <w:t>15,471</w:t>
            </w:r>
          </w:p>
        </w:tc>
        <w:tc>
          <w:tcPr>
            <w:tcW w:w="1620" w:type="dxa"/>
            <w:vAlign w:val="center"/>
          </w:tcPr>
          <w:p w:rsidR="0092596C" w:rsidRDefault="00580974" w:rsidP="0092596C">
            <w:pPr>
              <w:spacing w:after="0" w:line="240" w:lineRule="auto"/>
              <w:jc w:val="right"/>
              <w:rPr>
                <w:rFonts w:ascii="Times New Roman" w:hAnsi="Times New Roman"/>
                <w:sz w:val="26"/>
                <w:szCs w:val="26"/>
              </w:rPr>
            </w:pPr>
            <w:r>
              <w:rPr>
                <w:rFonts w:ascii="Times New Roman" w:hAnsi="Times New Roman"/>
                <w:sz w:val="26"/>
                <w:szCs w:val="26"/>
              </w:rPr>
              <w:t>-</w:t>
            </w:r>
          </w:p>
        </w:tc>
        <w:tc>
          <w:tcPr>
            <w:tcW w:w="1800" w:type="dxa"/>
            <w:vAlign w:val="center"/>
          </w:tcPr>
          <w:p w:rsidR="0092596C" w:rsidRDefault="0092596C" w:rsidP="0092596C">
            <w:pPr>
              <w:spacing w:after="0" w:line="240" w:lineRule="auto"/>
              <w:jc w:val="right"/>
              <w:rPr>
                <w:rFonts w:ascii="Times New Roman" w:hAnsi="Times New Roman"/>
                <w:sz w:val="26"/>
                <w:szCs w:val="26"/>
              </w:rPr>
            </w:pPr>
            <w:r>
              <w:rPr>
                <w:rFonts w:ascii="Times New Roman" w:hAnsi="Times New Roman"/>
                <w:sz w:val="26"/>
                <w:szCs w:val="26"/>
              </w:rPr>
              <w:t>-</w:t>
            </w:r>
          </w:p>
        </w:tc>
        <w:tc>
          <w:tcPr>
            <w:tcW w:w="1800" w:type="dxa"/>
            <w:vAlign w:val="center"/>
          </w:tcPr>
          <w:p w:rsidR="0092596C" w:rsidRDefault="00580974" w:rsidP="0092596C">
            <w:pPr>
              <w:spacing w:after="0" w:line="240" w:lineRule="auto"/>
              <w:jc w:val="right"/>
              <w:rPr>
                <w:rFonts w:ascii="Times New Roman" w:hAnsi="Times New Roman"/>
                <w:sz w:val="26"/>
                <w:szCs w:val="26"/>
              </w:rPr>
            </w:pPr>
            <w:r>
              <w:rPr>
                <w:rFonts w:ascii="Times New Roman" w:hAnsi="Times New Roman"/>
                <w:sz w:val="26"/>
                <w:szCs w:val="26"/>
              </w:rPr>
              <w:t>15,471</w:t>
            </w:r>
          </w:p>
        </w:tc>
      </w:tr>
      <w:tr w:rsidR="0092596C" w:rsidTr="0092596C">
        <w:trPr>
          <w:trHeight w:val="295"/>
        </w:trPr>
        <w:tc>
          <w:tcPr>
            <w:tcW w:w="2679" w:type="dxa"/>
          </w:tcPr>
          <w:p w:rsidR="0092596C" w:rsidRDefault="0092596C" w:rsidP="0092596C">
            <w:pPr>
              <w:spacing w:after="0" w:line="240" w:lineRule="auto"/>
              <w:jc w:val="center"/>
              <w:rPr>
                <w:rFonts w:ascii="Times New Roman" w:hAnsi="Times New Roman"/>
                <w:sz w:val="26"/>
                <w:szCs w:val="26"/>
              </w:rPr>
            </w:pPr>
            <w:r>
              <w:rPr>
                <w:rFonts w:ascii="Times New Roman" w:hAnsi="Times New Roman"/>
                <w:sz w:val="26"/>
                <w:szCs w:val="26"/>
              </w:rPr>
              <w:t>Annual Cost Burden ($)</w:t>
            </w:r>
          </w:p>
        </w:tc>
        <w:tc>
          <w:tcPr>
            <w:tcW w:w="1461" w:type="dxa"/>
            <w:vAlign w:val="center"/>
          </w:tcPr>
          <w:p w:rsidR="0092596C" w:rsidRDefault="00580974" w:rsidP="0092596C">
            <w:pPr>
              <w:spacing w:after="0" w:line="240" w:lineRule="auto"/>
              <w:jc w:val="right"/>
              <w:rPr>
                <w:rFonts w:ascii="Times New Roman" w:hAnsi="Times New Roman"/>
                <w:sz w:val="26"/>
                <w:szCs w:val="26"/>
              </w:rPr>
            </w:pPr>
            <w:r>
              <w:rPr>
                <w:rFonts w:ascii="Times New Roman" w:hAnsi="Times New Roman"/>
                <w:sz w:val="26"/>
                <w:szCs w:val="26"/>
              </w:rPr>
              <w:t>-</w:t>
            </w:r>
          </w:p>
        </w:tc>
        <w:tc>
          <w:tcPr>
            <w:tcW w:w="1620" w:type="dxa"/>
            <w:vAlign w:val="center"/>
          </w:tcPr>
          <w:p w:rsidR="0092596C" w:rsidRDefault="00580974" w:rsidP="0092596C">
            <w:pPr>
              <w:spacing w:after="0" w:line="240" w:lineRule="auto"/>
              <w:jc w:val="right"/>
              <w:rPr>
                <w:rFonts w:ascii="Times New Roman" w:hAnsi="Times New Roman"/>
                <w:sz w:val="26"/>
                <w:szCs w:val="26"/>
              </w:rPr>
            </w:pPr>
            <w:r>
              <w:rPr>
                <w:rFonts w:ascii="Times New Roman" w:hAnsi="Times New Roman"/>
                <w:sz w:val="26"/>
                <w:szCs w:val="26"/>
              </w:rPr>
              <w:t>-</w:t>
            </w:r>
          </w:p>
        </w:tc>
        <w:tc>
          <w:tcPr>
            <w:tcW w:w="1800" w:type="dxa"/>
            <w:vAlign w:val="center"/>
          </w:tcPr>
          <w:p w:rsidR="0092596C" w:rsidRDefault="0092596C" w:rsidP="0092596C">
            <w:pPr>
              <w:spacing w:after="0" w:line="240" w:lineRule="auto"/>
              <w:jc w:val="right"/>
              <w:rPr>
                <w:rFonts w:ascii="Times New Roman" w:hAnsi="Times New Roman"/>
                <w:sz w:val="26"/>
                <w:szCs w:val="26"/>
              </w:rPr>
            </w:pPr>
            <w:r>
              <w:rPr>
                <w:rFonts w:ascii="Times New Roman" w:hAnsi="Times New Roman"/>
                <w:sz w:val="26"/>
                <w:szCs w:val="26"/>
              </w:rPr>
              <w:t>-</w:t>
            </w:r>
          </w:p>
        </w:tc>
        <w:tc>
          <w:tcPr>
            <w:tcW w:w="1800" w:type="dxa"/>
            <w:vAlign w:val="center"/>
          </w:tcPr>
          <w:p w:rsidR="0092596C" w:rsidRDefault="00580974" w:rsidP="0092596C">
            <w:pPr>
              <w:spacing w:after="0" w:line="240" w:lineRule="auto"/>
              <w:jc w:val="right"/>
              <w:rPr>
                <w:rFonts w:ascii="Times New Roman" w:hAnsi="Times New Roman"/>
                <w:sz w:val="26"/>
                <w:szCs w:val="26"/>
              </w:rPr>
            </w:pPr>
            <w:r>
              <w:rPr>
                <w:rFonts w:ascii="Times New Roman" w:hAnsi="Times New Roman"/>
                <w:sz w:val="26"/>
                <w:szCs w:val="26"/>
              </w:rPr>
              <w:t>-</w:t>
            </w:r>
          </w:p>
        </w:tc>
      </w:tr>
    </w:tbl>
    <w:p w:rsidR="0092596C" w:rsidRPr="0092596C" w:rsidRDefault="0092596C" w:rsidP="0092596C">
      <w:pPr>
        <w:spacing w:after="0" w:line="240" w:lineRule="auto"/>
        <w:rPr>
          <w:rFonts w:ascii="Times New Roman" w:hAnsi="Times New Roman" w:cs="Times New Roman"/>
          <w:sz w:val="24"/>
          <w:szCs w:val="24"/>
        </w:rPr>
      </w:pPr>
    </w:p>
    <w:p w:rsidR="00970FE4" w:rsidRPr="00B16372" w:rsidRDefault="00970FE4" w:rsidP="0092596C">
      <w:pPr>
        <w:spacing w:after="0" w:line="240" w:lineRule="auto"/>
        <w:rPr>
          <w:rFonts w:ascii="Times New Roman" w:hAnsi="Times New Roman" w:cs="Times New Roman"/>
          <w:sz w:val="24"/>
          <w:szCs w:val="24"/>
        </w:rPr>
      </w:pPr>
    </w:p>
    <w:p w:rsidR="00A276F5"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TIME SCHEDULE FOR PUBLICATION OF DATA</w:t>
      </w:r>
    </w:p>
    <w:p w:rsidR="00826750" w:rsidRPr="00B16372" w:rsidRDefault="00826750" w:rsidP="0092596C">
      <w:pPr>
        <w:spacing w:after="0" w:line="240" w:lineRule="auto"/>
        <w:rPr>
          <w:rFonts w:ascii="Times New Roman" w:hAnsi="Times New Roman" w:cs="Times New Roman"/>
          <w:sz w:val="24"/>
          <w:szCs w:val="24"/>
        </w:rPr>
      </w:pPr>
    </w:p>
    <w:p w:rsidR="00414F32" w:rsidRPr="00B16372" w:rsidRDefault="0082675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There are no data publications as part of this collection</w:t>
      </w:r>
    </w:p>
    <w:p w:rsidR="00414F32" w:rsidRPr="00B16372" w:rsidRDefault="00414F32" w:rsidP="0092596C">
      <w:pPr>
        <w:spacing w:after="0" w:line="240" w:lineRule="auto"/>
        <w:rPr>
          <w:rFonts w:ascii="Times New Roman" w:hAnsi="Times New Roman" w:cs="Times New Roman"/>
          <w:sz w:val="24"/>
          <w:szCs w:val="24"/>
        </w:rPr>
      </w:pPr>
    </w:p>
    <w:p w:rsidR="00414F32"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DISPLAY OF EXPIRATION DATE</w:t>
      </w:r>
    </w:p>
    <w:p w:rsidR="00414F32" w:rsidRPr="00B16372" w:rsidRDefault="00414F32" w:rsidP="0092596C">
      <w:pPr>
        <w:spacing w:after="0" w:line="240" w:lineRule="auto"/>
        <w:rPr>
          <w:rFonts w:ascii="Times New Roman" w:hAnsi="Times New Roman" w:cs="Times New Roman"/>
          <w:sz w:val="24"/>
          <w:szCs w:val="24"/>
        </w:rPr>
      </w:pPr>
    </w:p>
    <w:p w:rsidR="00B16372" w:rsidRPr="00B16372" w:rsidRDefault="00B16372"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It is not appropriate to display the expiration date because the information is not collected on a preformatted form or in any format that would allow for such a display.</w:t>
      </w:r>
    </w:p>
    <w:p w:rsidR="00414F32" w:rsidRPr="00B16372" w:rsidRDefault="00414F32" w:rsidP="0092596C">
      <w:pPr>
        <w:spacing w:after="0" w:line="240" w:lineRule="auto"/>
        <w:rPr>
          <w:rFonts w:ascii="Times New Roman" w:hAnsi="Times New Roman" w:cs="Times New Roman"/>
          <w:sz w:val="24"/>
          <w:szCs w:val="24"/>
        </w:rPr>
      </w:pPr>
    </w:p>
    <w:p w:rsidR="00414F32"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EXCEPTIONS TO THE CERTIFICATION STATEMENT</w:t>
      </w:r>
    </w:p>
    <w:p w:rsidR="0057700F" w:rsidRPr="00B16372" w:rsidRDefault="0057700F" w:rsidP="0092596C">
      <w:pPr>
        <w:spacing w:after="0" w:line="240" w:lineRule="auto"/>
        <w:rPr>
          <w:rFonts w:ascii="Times New Roman" w:hAnsi="Times New Roman" w:cs="Times New Roman"/>
          <w:b/>
          <w:sz w:val="24"/>
          <w:szCs w:val="24"/>
        </w:rPr>
      </w:pPr>
    </w:p>
    <w:p w:rsidR="00B16372" w:rsidRPr="00B16372" w:rsidRDefault="00B16372" w:rsidP="0092596C">
      <w:pPr>
        <w:spacing w:after="0" w:line="240" w:lineRule="auto"/>
        <w:rPr>
          <w:rFonts w:ascii="Times New Roman" w:hAnsi="Times New Roman" w:cs="Times New Roman"/>
          <w:b/>
          <w:sz w:val="24"/>
          <w:szCs w:val="24"/>
        </w:rPr>
      </w:pPr>
      <w:r w:rsidRPr="00B16372">
        <w:rPr>
          <w:rFonts w:ascii="Times New Roman" w:eastAsia="Calibri" w:hAnsi="Times New Roman" w:cs="Times New Roman"/>
          <w:sz w:val="24"/>
          <w:szCs w:val="24"/>
        </w:rPr>
        <w:t>The Commission does not use statistical methods for this collection.  Therefore the Commission does not certify that the collection uses statistical methods.</w:t>
      </w:r>
    </w:p>
    <w:p w:rsidR="00970FE4" w:rsidRPr="00B16372" w:rsidRDefault="00970FE4" w:rsidP="0092596C">
      <w:pPr>
        <w:spacing w:after="0" w:line="240" w:lineRule="auto"/>
        <w:rPr>
          <w:rFonts w:ascii="Times New Roman" w:hAnsi="Times New Roman" w:cs="Times New Roman"/>
          <w:sz w:val="24"/>
          <w:szCs w:val="24"/>
        </w:rPr>
      </w:pPr>
    </w:p>
    <w:p w:rsidR="00414F32" w:rsidRPr="00B16372" w:rsidRDefault="00414F32" w:rsidP="0092596C">
      <w:pPr>
        <w:spacing w:after="0" w:line="240" w:lineRule="auto"/>
        <w:rPr>
          <w:rFonts w:ascii="Times New Roman" w:hAnsi="Times New Roman" w:cs="Times New Roman"/>
          <w:sz w:val="24"/>
          <w:szCs w:val="24"/>
        </w:rPr>
      </w:pPr>
    </w:p>
    <w:sectPr w:rsidR="00414F32" w:rsidRPr="00B1637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7AB" w:rsidRDefault="00D037AB" w:rsidP="00FD66F1">
      <w:pPr>
        <w:spacing w:after="0" w:line="240" w:lineRule="auto"/>
      </w:pPr>
      <w:r>
        <w:separator/>
      </w:r>
    </w:p>
  </w:endnote>
  <w:endnote w:type="continuationSeparator" w:id="0">
    <w:p w:rsidR="00D037AB" w:rsidRDefault="00D037AB"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rsidR="00D037AB" w:rsidRPr="009C3453" w:rsidRDefault="00D037AB">
        <w:pPr>
          <w:pStyle w:val="Footer"/>
          <w:jc w:val="right"/>
          <w:rPr>
            <w:rFonts w:ascii="Times New Roman" w:hAnsi="Times New Roman" w:cs="Times New Roman"/>
          </w:rPr>
        </w:pPr>
        <w:r w:rsidRPr="009C3453">
          <w:rPr>
            <w:rFonts w:ascii="Times New Roman" w:hAnsi="Times New Roman" w:cs="Times New Roman"/>
          </w:rPr>
          <w:fldChar w:fldCharType="begin"/>
        </w:r>
        <w:r w:rsidRPr="009C3453">
          <w:rPr>
            <w:rFonts w:ascii="Times New Roman" w:hAnsi="Times New Roman" w:cs="Times New Roman"/>
          </w:rPr>
          <w:instrText xml:space="preserve"> PAGE   \* MERGEFORMAT </w:instrText>
        </w:r>
        <w:r w:rsidRPr="009C3453">
          <w:rPr>
            <w:rFonts w:ascii="Times New Roman" w:hAnsi="Times New Roman" w:cs="Times New Roman"/>
          </w:rPr>
          <w:fldChar w:fldCharType="separate"/>
        </w:r>
        <w:r w:rsidR="00D3369F">
          <w:rPr>
            <w:rFonts w:ascii="Times New Roman" w:hAnsi="Times New Roman" w:cs="Times New Roman"/>
            <w:noProof/>
          </w:rPr>
          <w:t>1</w:t>
        </w:r>
        <w:r w:rsidRPr="009C3453">
          <w:rPr>
            <w:rFonts w:ascii="Times New Roman" w:hAnsi="Times New Roman" w:cs="Times New Roman"/>
            <w:noProof/>
          </w:rPr>
          <w:fldChar w:fldCharType="end"/>
        </w:r>
      </w:p>
    </w:sdtContent>
  </w:sdt>
  <w:p w:rsidR="00D037AB" w:rsidRDefault="00D03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7AB" w:rsidRDefault="00D037AB" w:rsidP="00FD66F1">
      <w:pPr>
        <w:spacing w:after="0" w:line="240" w:lineRule="auto"/>
      </w:pPr>
      <w:r>
        <w:separator/>
      </w:r>
    </w:p>
  </w:footnote>
  <w:footnote w:type="continuationSeparator" w:id="0">
    <w:p w:rsidR="00D037AB" w:rsidRDefault="00D037AB" w:rsidP="00FD66F1">
      <w:pPr>
        <w:spacing w:after="0" w:line="240" w:lineRule="auto"/>
      </w:pPr>
      <w:r>
        <w:continuationSeparator/>
      </w:r>
    </w:p>
  </w:footnote>
  <w:footnote w:id="1">
    <w:p w:rsidR="00D037AB" w:rsidRPr="00072C72" w:rsidRDefault="00D037AB" w:rsidP="00072C72">
      <w:pPr>
        <w:pStyle w:val="FootnoteText"/>
        <w:ind w:firstLine="720"/>
        <w:rPr>
          <w:sz w:val="22"/>
          <w:szCs w:val="22"/>
        </w:rPr>
      </w:pPr>
      <w:r w:rsidRPr="00072C72">
        <w:rPr>
          <w:rStyle w:val="FootnoteReference"/>
          <w:b/>
          <w:sz w:val="22"/>
          <w:szCs w:val="22"/>
          <w:vertAlign w:val="superscript"/>
        </w:rPr>
        <w:footnoteRef/>
      </w:r>
      <w:r w:rsidRPr="00072C72">
        <w:rPr>
          <w:b/>
          <w:sz w:val="22"/>
          <w:szCs w:val="22"/>
        </w:rPr>
        <w:t xml:space="preserve"> </w:t>
      </w:r>
      <w:r w:rsidRPr="00072C72">
        <w:rPr>
          <w:sz w:val="22"/>
          <w:szCs w:val="22"/>
        </w:rPr>
        <w:t>Order 762 was issued 4/19/2012 in Docket RM11-18 and is available at http://elibrary.ferc.gov/idmws/common/opennat.asp?fileID=12953208.</w:t>
      </w:r>
    </w:p>
  </w:footnote>
  <w:footnote w:id="2">
    <w:p w:rsidR="00D037AB" w:rsidRPr="00072C72" w:rsidRDefault="00D037AB" w:rsidP="00072C72">
      <w:pPr>
        <w:pStyle w:val="FootnoteText"/>
        <w:ind w:firstLine="720"/>
        <w:rPr>
          <w:sz w:val="22"/>
          <w:szCs w:val="22"/>
        </w:rPr>
      </w:pPr>
      <w:r w:rsidRPr="00072C72">
        <w:rPr>
          <w:rStyle w:val="FootnoteReference"/>
          <w:b/>
          <w:sz w:val="22"/>
          <w:szCs w:val="22"/>
          <w:vertAlign w:val="superscript"/>
        </w:rPr>
        <w:footnoteRef/>
      </w:r>
      <w:r w:rsidRPr="00072C72">
        <w:rPr>
          <w:b/>
          <w:sz w:val="22"/>
          <w:szCs w:val="22"/>
          <w:vertAlign w:val="superscript"/>
        </w:rPr>
        <w:t xml:space="preserve"> </w:t>
      </w:r>
      <w:bookmarkStart w:id="0" w:name="OLE_LINK7"/>
      <w:r w:rsidRPr="00072C72">
        <w:rPr>
          <w:sz w:val="22"/>
          <w:szCs w:val="22"/>
        </w:rPr>
        <w:t xml:space="preserve"> The original NOPR issued on 4/19/2012 in Docket RM12-1 is posted at </w:t>
      </w:r>
      <w:hyperlink r:id="rId1" w:history="1">
        <w:r w:rsidRPr="00072C72">
          <w:rPr>
            <w:rStyle w:val="Hyperlink"/>
            <w:sz w:val="22"/>
            <w:szCs w:val="22"/>
          </w:rPr>
          <w:t>http://elibrary.ferc.gov/idmws/common/opennat.asp?fileID=12953218</w:t>
        </w:r>
      </w:hyperlink>
      <w:r w:rsidRPr="00072C72">
        <w:rPr>
          <w:sz w:val="22"/>
          <w:szCs w:val="22"/>
        </w:rPr>
        <w:t xml:space="preserve"> .</w:t>
      </w:r>
    </w:p>
    <w:p w:rsidR="00D037AB" w:rsidRPr="00072C72" w:rsidRDefault="00D037AB" w:rsidP="00072C72">
      <w:pPr>
        <w:pStyle w:val="FootnoteText"/>
        <w:ind w:firstLine="720"/>
        <w:rPr>
          <w:sz w:val="22"/>
          <w:szCs w:val="22"/>
        </w:rPr>
      </w:pPr>
      <w:r w:rsidRPr="00072C72">
        <w:rPr>
          <w:sz w:val="22"/>
          <w:szCs w:val="22"/>
        </w:rPr>
        <w:t xml:space="preserve">Reliability Standard TPL-001-4 is not attached to the </w:t>
      </w:r>
      <w:r w:rsidR="008844F3" w:rsidRPr="00072C72">
        <w:rPr>
          <w:sz w:val="22"/>
          <w:szCs w:val="22"/>
        </w:rPr>
        <w:t>final rule</w:t>
      </w:r>
      <w:r w:rsidRPr="00072C72">
        <w:rPr>
          <w:sz w:val="22"/>
          <w:szCs w:val="22"/>
        </w:rPr>
        <w:t xml:space="preserve">, issued </w:t>
      </w:r>
      <w:r w:rsidR="008844F3" w:rsidRPr="00072C72">
        <w:rPr>
          <w:sz w:val="22"/>
          <w:szCs w:val="22"/>
        </w:rPr>
        <w:t>10</w:t>
      </w:r>
      <w:r w:rsidRPr="00072C72">
        <w:rPr>
          <w:sz w:val="22"/>
          <w:szCs w:val="22"/>
        </w:rPr>
        <w:t>/1</w:t>
      </w:r>
      <w:r w:rsidR="008844F3" w:rsidRPr="00072C72">
        <w:rPr>
          <w:sz w:val="22"/>
          <w:szCs w:val="22"/>
        </w:rPr>
        <w:t>7</w:t>
      </w:r>
      <w:r w:rsidRPr="00072C72">
        <w:rPr>
          <w:sz w:val="22"/>
          <w:szCs w:val="22"/>
        </w:rPr>
        <w:t xml:space="preserve">/2013, </w:t>
      </w:r>
      <w:r w:rsidR="008844F3" w:rsidRPr="00072C72">
        <w:rPr>
          <w:sz w:val="22"/>
          <w:szCs w:val="22"/>
        </w:rPr>
        <w:t>but is a</w:t>
      </w:r>
      <w:r w:rsidRPr="00072C72">
        <w:rPr>
          <w:sz w:val="22"/>
          <w:szCs w:val="22"/>
        </w:rPr>
        <w:t xml:space="preserve">vailable in Supplementary Documents in ROCIS and at http://elibrary.ferc.gov/idmws/common/opennat.asp?fileID=13260175.  The complete text of Reliability Standard TPL-001-4 is available on the Commission’s eLibrary document retrieval system in Docket No. RM13-9-000 and is posted on the ERO’s web site, </w:t>
      </w:r>
      <w:r w:rsidRPr="00072C72">
        <w:rPr>
          <w:i/>
          <w:iCs/>
          <w:sz w:val="22"/>
          <w:szCs w:val="22"/>
        </w:rPr>
        <w:t>available at</w:t>
      </w:r>
      <w:r w:rsidRPr="00072C72">
        <w:rPr>
          <w:sz w:val="22"/>
          <w:szCs w:val="22"/>
        </w:rPr>
        <w:t>: http://www.nerc.com.</w:t>
      </w:r>
      <w:bookmarkEnd w:id="0"/>
      <w:r w:rsidRPr="00072C72">
        <w:rPr>
          <w:sz w:val="22"/>
          <w:szCs w:val="22"/>
        </w:rPr>
        <w:t xml:space="preserve">  </w:t>
      </w:r>
    </w:p>
  </w:footnote>
  <w:footnote w:id="3">
    <w:p w:rsidR="00D037AB" w:rsidRPr="00072C72" w:rsidRDefault="00D037AB" w:rsidP="00072C72">
      <w:pPr>
        <w:pStyle w:val="FootnoteText"/>
        <w:ind w:firstLine="720"/>
        <w:rPr>
          <w:sz w:val="22"/>
          <w:szCs w:val="22"/>
        </w:rPr>
      </w:pPr>
      <w:r w:rsidRPr="00072C72">
        <w:rPr>
          <w:rStyle w:val="FootnoteReference"/>
          <w:b/>
          <w:sz w:val="22"/>
          <w:szCs w:val="22"/>
          <w:vertAlign w:val="superscript"/>
        </w:rPr>
        <w:footnoteRef/>
      </w:r>
      <w:r w:rsidRPr="00072C72">
        <w:rPr>
          <w:sz w:val="22"/>
          <w:szCs w:val="22"/>
        </w:rPr>
        <w:t xml:space="preserve"> The Energy Policy Act of 2005, Pub. L. No 109-58, Title XII, Subtitle A, 119 Stat. 594, 941 (2005), codified at 16 U.S.C. 824o (2000).</w:t>
      </w:r>
    </w:p>
  </w:footnote>
  <w:footnote w:id="4">
    <w:p w:rsidR="00D037AB" w:rsidRPr="00072C72" w:rsidRDefault="00D037AB" w:rsidP="00072C72">
      <w:pPr>
        <w:pStyle w:val="FootnoteText"/>
        <w:ind w:firstLine="720"/>
        <w:rPr>
          <w:sz w:val="22"/>
          <w:szCs w:val="22"/>
        </w:rPr>
      </w:pPr>
      <w:r w:rsidRPr="00072C72">
        <w:rPr>
          <w:rStyle w:val="FootnoteReference"/>
          <w:b/>
          <w:sz w:val="22"/>
          <w:szCs w:val="22"/>
          <w:vertAlign w:val="superscript"/>
        </w:rPr>
        <w:footnoteRef/>
      </w:r>
      <w:r w:rsidRPr="00072C72">
        <w:rPr>
          <w:b/>
          <w:sz w:val="22"/>
          <w:szCs w:val="22"/>
        </w:rPr>
        <w:t xml:space="preserve"> </w:t>
      </w:r>
      <w:r w:rsidRPr="00072C72">
        <w:rPr>
          <w:sz w:val="22"/>
          <w:szCs w:val="22"/>
        </w:rPr>
        <w:t xml:space="preserve"> </w:t>
      </w:r>
      <w:r w:rsidRPr="00072C72">
        <w:rPr>
          <w:i/>
          <w:sz w:val="22"/>
          <w:szCs w:val="22"/>
        </w:rPr>
        <w:t>Mandatory Reliability Standards for the Bulk-Power System</w:t>
      </w:r>
      <w:r w:rsidRPr="00072C72">
        <w:rPr>
          <w:sz w:val="22"/>
          <w:szCs w:val="22"/>
        </w:rPr>
        <w:t>,</w:t>
      </w:r>
      <w:r w:rsidRPr="00072C72">
        <w:rPr>
          <w:i/>
          <w:sz w:val="22"/>
          <w:szCs w:val="22"/>
        </w:rPr>
        <w:t xml:space="preserve"> </w:t>
      </w:r>
      <w:r w:rsidRPr="00072C72">
        <w:rPr>
          <w:sz w:val="22"/>
          <w:szCs w:val="22"/>
        </w:rPr>
        <w:t xml:space="preserve">Order No. 693, FERC Stats. </w:t>
      </w:r>
      <w:proofErr w:type="gramStart"/>
      <w:r w:rsidRPr="00072C72">
        <w:rPr>
          <w:sz w:val="22"/>
          <w:szCs w:val="22"/>
        </w:rPr>
        <w:t xml:space="preserve">&amp; </w:t>
      </w:r>
      <w:proofErr w:type="spellStart"/>
      <w:r w:rsidRPr="00072C72">
        <w:rPr>
          <w:sz w:val="22"/>
          <w:szCs w:val="22"/>
        </w:rPr>
        <w:t>Regs</w:t>
      </w:r>
      <w:proofErr w:type="spellEnd"/>
      <w:r w:rsidRPr="00072C72">
        <w:rPr>
          <w:sz w:val="22"/>
          <w:szCs w:val="22"/>
        </w:rPr>
        <w:t>.</w:t>
      </w:r>
      <w:proofErr w:type="gramEnd"/>
      <w:r w:rsidRPr="00072C72">
        <w:rPr>
          <w:sz w:val="22"/>
          <w:szCs w:val="22"/>
        </w:rPr>
        <w:t xml:space="preserve"> </w:t>
      </w:r>
      <w:proofErr w:type="gramStart"/>
      <w:r w:rsidRPr="00072C72">
        <w:rPr>
          <w:sz w:val="22"/>
          <w:szCs w:val="22"/>
        </w:rPr>
        <w:t xml:space="preserve">¶ 31,242 at PP 1840, 1845, </w:t>
      </w:r>
      <w:r w:rsidRPr="00072C72">
        <w:rPr>
          <w:i/>
          <w:sz w:val="22"/>
          <w:szCs w:val="22"/>
        </w:rPr>
        <w:t xml:space="preserve">order on </w:t>
      </w:r>
      <w:proofErr w:type="spellStart"/>
      <w:r w:rsidRPr="00072C72">
        <w:rPr>
          <w:i/>
          <w:sz w:val="22"/>
          <w:szCs w:val="22"/>
        </w:rPr>
        <w:t>reh’g</w:t>
      </w:r>
      <w:proofErr w:type="spellEnd"/>
      <w:r w:rsidRPr="00072C72">
        <w:rPr>
          <w:sz w:val="22"/>
          <w:szCs w:val="22"/>
        </w:rPr>
        <w:t>, Order No. 693-A, 120 FERC ¶ 61,053 (2007).</w:t>
      </w:r>
      <w:proofErr w:type="gramEnd"/>
      <w:r w:rsidRPr="00072C72">
        <w:rPr>
          <w:sz w:val="22"/>
          <w:szCs w:val="22"/>
        </w:rPr>
        <w:t xml:space="preserve">  The currently-effective versions of the TPL Reliability Standards are as follows:  TPL-001-0.1, TPL-002-0b, TPL-003-0a, and TPL-004-0.   </w:t>
      </w:r>
    </w:p>
  </w:footnote>
  <w:footnote w:id="5">
    <w:p w:rsidR="001C300E" w:rsidRPr="00072C72" w:rsidRDefault="001C300E" w:rsidP="00072C72">
      <w:pPr>
        <w:pStyle w:val="FootnoteText"/>
        <w:ind w:firstLine="720"/>
        <w:rPr>
          <w:sz w:val="22"/>
          <w:szCs w:val="22"/>
        </w:rPr>
      </w:pPr>
      <w:r w:rsidRPr="00072C72">
        <w:rPr>
          <w:rStyle w:val="FootnoteReference"/>
          <w:b/>
          <w:sz w:val="22"/>
          <w:szCs w:val="22"/>
          <w:vertAlign w:val="superscript"/>
        </w:rPr>
        <w:footnoteRef/>
      </w:r>
      <w:r w:rsidRPr="00072C72">
        <w:rPr>
          <w:b/>
          <w:sz w:val="22"/>
          <w:szCs w:val="22"/>
          <w:vertAlign w:val="superscript"/>
        </w:rPr>
        <w:t xml:space="preserve"> </w:t>
      </w:r>
      <w:r w:rsidRPr="00072C72">
        <w:rPr>
          <w:sz w:val="22"/>
          <w:szCs w:val="22"/>
        </w:rPr>
        <w:t xml:space="preserve"> </w:t>
      </w:r>
      <w:r w:rsidRPr="00072C72">
        <w:rPr>
          <w:sz w:val="22"/>
          <w:szCs w:val="22"/>
          <w:u w:val="single"/>
        </w:rPr>
        <w:t xml:space="preserve">Id. </w:t>
      </w:r>
      <w:r w:rsidRPr="00072C72">
        <w:rPr>
          <w:sz w:val="22"/>
          <w:szCs w:val="22"/>
        </w:rPr>
        <w:t>at P 431</w:t>
      </w:r>
    </w:p>
  </w:footnote>
  <w:footnote w:id="6">
    <w:p w:rsidR="00670E40" w:rsidRPr="00072C72" w:rsidRDefault="00670E40" w:rsidP="00072C72">
      <w:pPr>
        <w:pStyle w:val="FootnoteText"/>
        <w:ind w:firstLine="720"/>
        <w:rPr>
          <w:sz w:val="22"/>
          <w:szCs w:val="22"/>
        </w:rPr>
      </w:pPr>
      <w:r w:rsidRPr="00072C72">
        <w:rPr>
          <w:rStyle w:val="FootnoteReference"/>
          <w:b/>
          <w:sz w:val="22"/>
          <w:szCs w:val="22"/>
          <w:vertAlign w:val="superscript"/>
        </w:rPr>
        <w:footnoteRef/>
      </w:r>
      <w:r w:rsidRPr="00072C72">
        <w:rPr>
          <w:sz w:val="22"/>
          <w:szCs w:val="22"/>
        </w:rPr>
        <w:t xml:space="preserve"> For a full list of the data retention requirements see Page 17 of the TPL-001-4 Reliability Standard.</w:t>
      </w:r>
    </w:p>
  </w:footnote>
  <w:footnote w:id="7">
    <w:p w:rsidR="00D037AB" w:rsidRPr="00072C72" w:rsidRDefault="00D037AB" w:rsidP="00072C72">
      <w:pPr>
        <w:pStyle w:val="FootnoteText"/>
        <w:ind w:firstLine="720"/>
        <w:rPr>
          <w:sz w:val="22"/>
          <w:szCs w:val="22"/>
        </w:rPr>
      </w:pPr>
      <w:r w:rsidRPr="00072C72">
        <w:rPr>
          <w:rStyle w:val="FootnoteReference"/>
          <w:b/>
          <w:sz w:val="22"/>
          <w:szCs w:val="22"/>
          <w:vertAlign w:val="superscript"/>
        </w:rPr>
        <w:footnoteRef/>
      </w:r>
      <w:r w:rsidRPr="00072C72">
        <w:rPr>
          <w:sz w:val="22"/>
          <w:szCs w:val="22"/>
        </w:rPr>
        <w:t xml:space="preserve"> Details of the current ERO Reliability Standard processes are available on the NERC website at </w:t>
      </w:r>
      <w:hyperlink r:id="rId2" w:history="1">
        <w:r w:rsidR="00072C72" w:rsidRPr="00072C72">
          <w:rPr>
            <w:rStyle w:val="Hyperlink"/>
            <w:sz w:val="22"/>
            <w:szCs w:val="22"/>
          </w:rPr>
          <w:t>http://www.ne</w:t>
        </w:r>
        <w:r w:rsidR="00072C72" w:rsidRPr="00072C72">
          <w:rPr>
            <w:rStyle w:val="Hyperlink"/>
            <w:sz w:val="22"/>
            <w:szCs w:val="22"/>
          </w:rPr>
          <w:t>r</w:t>
        </w:r>
        <w:r w:rsidR="00072C72" w:rsidRPr="00072C72">
          <w:rPr>
            <w:rStyle w:val="Hyperlink"/>
            <w:sz w:val="22"/>
            <w:szCs w:val="22"/>
          </w:rPr>
          <w:t>c.com</w:t>
        </w:r>
      </w:hyperlink>
      <w:r w:rsidRPr="00072C72">
        <w:rPr>
          <w:sz w:val="22"/>
          <w:szCs w:val="22"/>
        </w:rPr>
        <w:t xml:space="preserve"> </w:t>
      </w:r>
    </w:p>
  </w:footnote>
  <w:footnote w:id="8">
    <w:p w:rsidR="005462C0" w:rsidRPr="00072C72" w:rsidRDefault="005462C0" w:rsidP="00072C72">
      <w:pPr>
        <w:pStyle w:val="FootnoteText"/>
        <w:ind w:firstLine="720"/>
        <w:rPr>
          <w:sz w:val="22"/>
          <w:szCs w:val="22"/>
        </w:rPr>
      </w:pPr>
      <w:r w:rsidRPr="00072C72">
        <w:rPr>
          <w:rStyle w:val="FootnoteReference"/>
          <w:sz w:val="22"/>
          <w:szCs w:val="22"/>
          <w:vertAlign w:val="superscript"/>
        </w:rPr>
        <w:footnoteRef/>
      </w:r>
      <w:r w:rsidRPr="00072C72">
        <w:rPr>
          <w:sz w:val="22"/>
          <w:szCs w:val="22"/>
        </w:rPr>
        <w:t xml:space="preserve"> Order No. 762, 139 FERC ¶ 61,060 at P 55.</w:t>
      </w:r>
    </w:p>
  </w:footnote>
  <w:footnote w:id="9">
    <w:p w:rsidR="005462C0" w:rsidRPr="00072C72" w:rsidRDefault="005462C0" w:rsidP="00072C72">
      <w:pPr>
        <w:pStyle w:val="FootnoteText"/>
        <w:ind w:firstLine="720"/>
        <w:rPr>
          <w:sz w:val="22"/>
          <w:szCs w:val="22"/>
        </w:rPr>
      </w:pPr>
      <w:r w:rsidRPr="00072C72">
        <w:rPr>
          <w:rStyle w:val="FootnoteReference"/>
          <w:b/>
          <w:sz w:val="22"/>
          <w:szCs w:val="22"/>
          <w:vertAlign w:val="superscript"/>
        </w:rPr>
        <w:footnoteRef/>
      </w:r>
      <w:r w:rsidRPr="00072C72">
        <w:rPr>
          <w:b/>
          <w:sz w:val="22"/>
          <w:szCs w:val="22"/>
          <w:vertAlign w:val="superscript"/>
        </w:rPr>
        <w:t xml:space="preserve"> </w:t>
      </w:r>
      <w:r w:rsidRPr="00072C72">
        <w:rPr>
          <w:sz w:val="22"/>
          <w:szCs w:val="22"/>
        </w:rPr>
        <w:t>NERC’s Petition, Exhibit H, Consideration of Comments, period from July 31, 2012 through August 29, 2012 at 73.</w:t>
      </w:r>
    </w:p>
  </w:footnote>
  <w:footnote w:id="10">
    <w:p w:rsidR="00D037AB" w:rsidRPr="00072C72" w:rsidRDefault="00D037AB" w:rsidP="00072C72">
      <w:pPr>
        <w:pStyle w:val="FootnoteText"/>
        <w:ind w:firstLine="720"/>
        <w:rPr>
          <w:sz w:val="22"/>
          <w:szCs w:val="22"/>
        </w:rPr>
      </w:pPr>
      <w:r w:rsidRPr="00072C72">
        <w:rPr>
          <w:rStyle w:val="FootnoteReference"/>
          <w:b/>
          <w:sz w:val="22"/>
          <w:szCs w:val="22"/>
          <w:vertAlign w:val="superscript"/>
        </w:rPr>
        <w:footnoteRef/>
      </w:r>
      <w:r w:rsidRPr="00072C72">
        <w:rPr>
          <w:sz w:val="22"/>
          <w:szCs w:val="22"/>
        </w:rPr>
        <w:t xml:space="preserve">  Each requirement identifies a reliability improvement by Reliability Standard TPL-001-4. </w:t>
      </w:r>
    </w:p>
  </w:footnote>
  <w:footnote w:id="11">
    <w:p w:rsidR="00D037AB" w:rsidRPr="00072C72" w:rsidRDefault="00D037AB" w:rsidP="00072C72">
      <w:pPr>
        <w:pStyle w:val="FootnoteText"/>
        <w:ind w:firstLine="720"/>
        <w:rPr>
          <w:sz w:val="22"/>
          <w:szCs w:val="22"/>
        </w:rPr>
      </w:pPr>
      <w:r w:rsidRPr="00072C72">
        <w:rPr>
          <w:rStyle w:val="FootnoteReference"/>
          <w:b/>
          <w:sz w:val="22"/>
          <w:szCs w:val="22"/>
          <w:vertAlign w:val="superscript"/>
        </w:rPr>
        <w:footnoteRef/>
      </w:r>
      <w:r w:rsidRPr="00072C72">
        <w:rPr>
          <w:sz w:val="22"/>
          <w:szCs w:val="22"/>
        </w:rPr>
        <w:t xml:space="preserve">  NERC registered transmission planners and planning coordinators responsible for the improved requirement.  Further, if a single entity is registered as both a transmission planner and planning coordinator, that entity is counted as one unique entity.</w:t>
      </w:r>
    </w:p>
  </w:footnote>
  <w:footnote w:id="12">
    <w:p w:rsidR="00D037AB" w:rsidRPr="00072C72" w:rsidRDefault="00D037AB" w:rsidP="00072C72">
      <w:pPr>
        <w:pStyle w:val="FootnoteText"/>
        <w:ind w:firstLine="720"/>
        <w:rPr>
          <w:sz w:val="22"/>
          <w:szCs w:val="22"/>
        </w:rPr>
      </w:pPr>
      <w:r w:rsidRPr="00072C72">
        <w:rPr>
          <w:rStyle w:val="FootnoteReference"/>
          <w:b/>
          <w:sz w:val="22"/>
          <w:szCs w:val="22"/>
          <w:vertAlign w:val="superscript"/>
        </w:rPr>
        <w:footnoteRef/>
      </w:r>
      <w:r w:rsidRPr="00072C72">
        <w:rPr>
          <w:sz w:val="22"/>
          <w:szCs w:val="22"/>
        </w:rPr>
        <w:t xml:space="preserve">  The Commission estimates a reduction in burden hours from year 1 to year 2 because year 1 represents a portion of one-time tasks not repeated in subsequent years.</w:t>
      </w:r>
    </w:p>
  </w:footnote>
  <w:footnote w:id="13">
    <w:p w:rsidR="00D037AB" w:rsidRPr="00072C72" w:rsidRDefault="00D037AB" w:rsidP="00072C72">
      <w:pPr>
        <w:pStyle w:val="FootnoteText"/>
        <w:ind w:firstLine="720"/>
        <w:rPr>
          <w:sz w:val="22"/>
          <w:szCs w:val="22"/>
        </w:rPr>
      </w:pPr>
      <w:r w:rsidRPr="00072C72">
        <w:rPr>
          <w:rStyle w:val="FootnoteReference"/>
          <w:b/>
          <w:sz w:val="22"/>
          <w:szCs w:val="22"/>
          <w:vertAlign w:val="superscript"/>
        </w:rPr>
        <w:footnoteRef/>
      </w:r>
      <w:r w:rsidRPr="00072C72">
        <w:rPr>
          <w:sz w:val="22"/>
          <w:szCs w:val="22"/>
        </w:rPr>
        <w:t xml:space="preserve">  The Commission estimates a reduction in burden hours from year 2 to year 3 because year 2 represents a portion of one-time tasks not repeated in subsequent years.</w:t>
      </w:r>
    </w:p>
  </w:footnote>
  <w:footnote w:id="14">
    <w:p w:rsidR="00D037AB" w:rsidRPr="00072C72" w:rsidRDefault="00D037AB" w:rsidP="00072C72">
      <w:pPr>
        <w:pStyle w:val="FootnoteText"/>
        <w:ind w:firstLine="720"/>
        <w:rPr>
          <w:sz w:val="22"/>
          <w:szCs w:val="22"/>
        </w:rPr>
      </w:pPr>
      <w:r w:rsidRPr="00072C72">
        <w:rPr>
          <w:rStyle w:val="FootnoteReference"/>
          <w:b/>
          <w:sz w:val="22"/>
          <w:szCs w:val="22"/>
          <w:vertAlign w:val="superscript"/>
        </w:rPr>
        <w:footnoteRef/>
      </w:r>
      <w:r w:rsidRPr="00072C72">
        <w:rPr>
          <w:sz w:val="22"/>
          <w:szCs w:val="22"/>
          <w:vertAlign w:val="superscript"/>
        </w:rPr>
        <w:t xml:space="preserve"> </w:t>
      </w:r>
      <w:r w:rsidRPr="00072C72">
        <w:rPr>
          <w:sz w:val="22"/>
          <w:szCs w:val="22"/>
        </w:rPr>
        <w:t xml:space="preserve"> The Commission does not know how many respondents will utilize this process.  We do estimate that the process will be used 12 times over the course of the year.  For this reason we left the number of respondents at “1”.  </w:t>
      </w:r>
    </w:p>
  </w:footnote>
  <w:footnote w:id="15">
    <w:p w:rsidR="00D037AB" w:rsidRPr="00072C72" w:rsidRDefault="00D037AB" w:rsidP="00072C72">
      <w:pPr>
        <w:pStyle w:val="FootnoteText"/>
        <w:ind w:firstLine="720"/>
        <w:rPr>
          <w:i/>
          <w:sz w:val="22"/>
          <w:szCs w:val="22"/>
        </w:rPr>
      </w:pPr>
      <w:r w:rsidRPr="00933B30">
        <w:rPr>
          <w:rStyle w:val="FootnoteReference"/>
          <w:b/>
          <w:sz w:val="22"/>
          <w:szCs w:val="22"/>
          <w:vertAlign w:val="superscript"/>
        </w:rPr>
        <w:footnoteRef/>
      </w:r>
      <w:r w:rsidRPr="00933B30">
        <w:rPr>
          <w:b/>
          <w:sz w:val="22"/>
          <w:szCs w:val="22"/>
          <w:vertAlign w:val="superscript"/>
        </w:rPr>
        <w:t xml:space="preserve"> </w:t>
      </w:r>
      <w:r w:rsidRPr="00933B30">
        <w:rPr>
          <w:sz w:val="22"/>
          <w:szCs w:val="22"/>
        </w:rPr>
        <w:t xml:space="preserve"> </w:t>
      </w:r>
      <w:r w:rsidR="00933B30" w:rsidRPr="00933B30">
        <w:rPr>
          <w:sz w:val="22"/>
          <w:szCs w:val="22"/>
        </w:rPr>
        <w:t>The Commission</w:t>
      </w:r>
      <w:r w:rsidR="00933B30" w:rsidRPr="00072C72">
        <w:rPr>
          <w:sz w:val="22"/>
          <w:szCs w:val="22"/>
        </w:rPr>
        <w:t xml:space="preserve"> does not know how many respondents will utilize this process.  We do estimate that the process will be used 12 times over the course of the year.  For this reason we left the number of respondents at “1”.  </w:t>
      </w:r>
    </w:p>
  </w:footnote>
  <w:footnote w:id="16">
    <w:p w:rsidR="00D037AB" w:rsidRPr="00072C72" w:rsidRDefault="00D037AB" w:rsidP="00072C72">
      <w:pPr>
        <w:spacing w:after="0" w:line="240" w:lineRule="auto"/>
        <w:ind w:firstLine="720"/>
        <w:rPr>
          <w:rFonts w:ascii="Times New Roman" w:hAnsi="Times New Roman" w:cs="Times New Roman"/>
        </w:rPr>
      </w:pPr>
      <w:r w:rsidRPr="00933B30">
        <w:rPr>
          <w:rStyle w:val="FootnoteReference"/>
          <w:rFonts w:ascii="Times New Roman" w:hAnsi="Times New Roman" w:cs="Times New Roman"/>
          <w:vertAlign w:val="superscript"/>
        </w:rPr>
        <w:footnoteRef/>
      </w:r>
      <w:r w:rsidRPr="00933B30">
        <w:rPr>
          <w:rFonts w:ascii="Times New Roman" w:hAnsi="Times New Roman" w:cs="Times New Roman"/>
        </w:rPr>
        <w:t xml:space="preserve"> Labor rates from Bureau of Labor Statistics (BLS) </w:t>
      </w:r>
      <w:r w:rsidRPr="00933B30">
        <w:rPr>
          <w:rFonts w:ascii="Times New Roman" w:hAnsi="Times New Roman" w:cs="Times New Roman"/>
        </w:rPr>
        <w:t>(</w:t>
      </w:r>
      <w:hyperlink r:id="rId3" w:history="1">
        <w:r w:rsidR="00933B30" w:rsidRPr="00B26F0B">
          <w:rPr>
            <w:rStyle w:val="Hyperlink"/>
            <w:rFonts w:ascii="Times New Roman" w:hAnsi="Times New Roman"/>
          </w:rPr>
          <w:t>http://bls.gov/oes/current/naics2_22.htm</w:t>
        </w:r>
      </w:hyperlink>
      <w:bookmarkStart w:id="3" w:name="_GoBack"/>
      <w:bookmarkEnd w:id="3"/>
      <w:r w:rsidRPr="00933B30">
        <w:rPr>
          <w:rFonts w:ascii="Times New Roman" w:hAnsi="Times New Roman" w:cs="Times New Roman"/>
        </w:rPr>
        <w:t>).  Loaded costs are BLS rates divided by 0.703 (in order to include benefits) and rounded to the nearest dollar (</w:t>
      </w:r>
      <w:hyperlink r:id="rId4" w:history="1">
        <w:r w:rsidR="00933B30" w:rsidRPr="00B26F0B">
          <w:rPr>
            <w:rStyle w:val="Hyperlink"/>
            <w:rFonts w:ascii="Times New Roman" w:hAnsi="Times New Roman"/>
          </w:rPr>
          <w:t>http://www.bls.gov/news.release/ecec.nr0.htm</w:t>
        </w:r>
      </w:hyperlink>
      <w:r w:rsidRPr="00933B30">
        <w:rPr>
          <w:rFonts w:ascii="Times New Roman" w:hAnsi="Times New Roman" w:cs="Times New Roman"/>
        </w:rPr>
        <w:t>).</w:t>
      </w:r>
    </w:p>
    <w:p w:rsidR="00D037AB" w:rsidRPr="00072C72" w:rsidRDefault="00D037AB" w:rsidP="00072C72">
      <w:pPr>
        <w:spacing w:after="0" w:line="240" w:lineRule="auto"/>
        <w:ind w:firstLine="720"/>
        <w:rPr>
          <w:rFonts w:ascii="Times New Roman" w:hAnsi="Times New Roman" w:cs="Times New Roman"/>
        </w:rPr>
      </w:pPr>
    </w:p>
  </w:footnote>
  <w:footnote w:id="17">
    <w:p w:rsidR="00D037AB" w:rsidRPr="00072C72" w:rsidRDefault="00D037AB" w:rsidP="00072C72">
      <w:pPr>
        <w:pStyle w:val="FootnoteText"/>
        <w:ind w:firstLine="720"/>
        <w:rPr>
          <w:sz w:val="22"/>
          <w:szCs w:val="22"/>
        </w:rPr>
      </w:pPr>
      <w:r w:rsidRPr="00072C72">
        <w:rPr>
          <w:rStyle w:val="FootnoteReference"/>
          <w:b/>
          <w:sz w:val="22"/>
          <w:szCs w:val="22"/>
          <w:vertAlign w:val="superscript"/>
        </w:rPr>
        <w:footnoteRef/>
      </w:r>
      <w:r w:rsidRPr="00072C72">
        <w:rPr>
          <w:sz w:val="22"/>
          <w:szCs w:val="22"/>
        </w:rPr>
        <w:t xml:space="preserve"> This is based on an estimate of work done by the Information Clearance team and</w:t>
      </w:r>
      <w:r w:rsidR="009C3453" w:rsidRPr="00072C72">
        <w:rPr>
          <w:sz w:val="22"/>
          <w:szCs w:val="22"/>
        </w:rPr>
        <w:t xml:space="preserve"> </w:t>
      </w:r>
      <w:r w:rsidRPr="00072C72">
        <w:rPr>
          <w:sz w:val="22"/>
          <w:szCs w:val="22"/>
        </w:rPr>
        <w:t xml:space="preserve">other FERC staff as well as a small non-labor cost related to publishing material in the Federal Register.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AB" w:rsidRDefault="00D037AB" w:rsidP="00B3407F">
    <w:pPr>
      <w:pStyle w:val="Header"/>
      <w:rPr>
        <w:rFonts w:ascii="Times New Roman" w:hAnsi="Times New Roman"/>
        <w:sz w:val="24"/>
        <w:szCs w:val="24"/>
      </w:rPr>
    </w:pPr>
    <w:r>
      <w:rPr>
        <w:rFonts w:ascii="Times New Roman" w:hAnsi="Times New Roman"/>
        <w:sz w:val="24"/>
        <w:szCs w:val="24"/>
      </w:rPr>
      <w:t xml:space="preserve">FERC-725N (OMB Control No.: </w:t>
    </w:r>
    <w:r w:rsidR="008844F3">
      <w:rPr>
        <w:rFonts w:ascii="Times New Roman" w:hAnsi="Times New Roman"/>
        <w:sz w:val="24"/>
        <w:szCs w:val="24"/>
      </w:rPr>
      <w:t>1902-0264</w:t>
    </w:r>
    <w:r w:rsidRPr="00FA4A60">
      <w:rPr>
        <w:rFonts w:ascii="Times New Roman" w:hAnsi="Times New Roman"/>
        <w:sz w:val="24"/>
        <w:szCs w:val="24"/>
      </w:rPr>
      <w:t>)</w:t>
    </w:r>
    <w:r w:rsidRPr="00FA4A60">
      <w:rPr>
        <w:rFonts w:ascii="Times New Roman" w:hAnsi="Times New Roman"/>
        <w:b/>
        <w:sz w:val="24"/>
        <w:szCs w:val="24"/>
      </w:rPr>
      <w:t xml:space="preserve"> </w:t>
    </w:r>
  </w:p>
  <w:p w:rsidR="00D037AB" w:rsidRDefault="00D037AB" w:rsidP="00B3407F">
    <w:pPr>
      <w:pStyle w:val="Header"/>
      <w:rPr>
        <w:rFonts w:ascii="Times New Roman" w:hAnsi="Times New Roman"/>
        <w:sz w:val="24"/>
        <w:szCs w:val="24"/>
      </w:rPr>
    </w:pPr>
    <w:r>
      <w:rPr>
        <w:rFonts w:ascii="Times New Roman" w:hAnsi="Times New Roman"/>
        <w:sz w:val="24"/>
        <w:szCs w:val="24"/>
      </w:rPr>
      <w:t xml:space="preserve">Docket Nos. RM12-1-000 &amp; RM13-9-000, </w:t>
    </w:r>
    <w:r w:rsidR="008844F3">
      <w:rPr>
        <w:rFonts w:ascii="Times New Roman" w:hAnsi="Times New Roman"/>
        <w:sz w:val="24"/>
        <w:szCs w:val="24"/>
      </w:rPr>
      <w:t>Final Rule</w:t>
    </w:r>
    <w:r>
      <w:rPr>
        <w:rFonts w:ascii="Times New Roman" w:hAnsi="Times New Roman"/>
        <w:sz w:val="24"/>
        <w:szCs w:val="24"/>
      </w:rPr>
      <w:t xml:space="preserve"> issued </w:t>
    </w:r>
    <w:r w:rsidR="008844F3">
      <w:rPr>
        <w:rFonts w:ascii="Times New Roman" w:hAnsi="Times New Roman"/>
        <w:sz w:val="24"/>
        <w:szCs w:val="24"/>
      </w:rPr>
      <w:t>Oct</w:t>
    </w:r>
    <w:r>
      <w:rPr>
        <w:rFonts w:ascii="Times New Roman" w:hAnsi="Times New Roman"/>
        <w:sz w:val="24"/>
        <w:szCs w:val="24"/>
      </w:rPr>
      <w:t xml:space="preserve"> 1</w:t>
    </w:r>
    <w:r w:rsidR="008844F3">
      <w:rPr>
        <w:rFonts w:ascii="Times New Roman" w:hAnsi="Times New Roman"/>
        <w:sz w:val="24"/>
        <w:szCs w:val="24"/>
      </w:rPr>
      <w:t>7</w:t>
    </w:r>
    <w:r>
      <w:rPr>
        <w:rFonts w:ascii="Times New Roman" w:hAnsi="Times New Roman"/>
        <w:sz w:val="24"/>
        <w:szCs w:val="24"/>
      </w:rPr>
      <w:t xml:space="preserve">, 2013 </w:t>
    </w:r>
  </w:p>
  <w:p w:rsidR="00D037AB" w:rsidRDefault="00D037AB" w:rsidP="00B3407F">
    <w:pPr>
      <w:pStyle w:val="Header"/>
      <w:rPr>
        <w:rFonts w:ascii="Times New Roman" w:hAnsi="Times New Roman"/>
        <w:sz w:val="24"/>
        <w:szCs w:val="24"/>
      </w:rPr>
    </w:pPr>
    <w:r w:rsidRPr="009A2394">
      <w:rPr>
        <w:rFonts w:ascii="Times New Roman" w:hAnsi="Times New Roman"/>
        <w:sz w:val="24"/>
        <w:szCs w:val="24"/>
      </w:rPr>
      <w:t>RIN: 1902-AE68</w:t>
    </w:r>
  </w:p>
  <w:p w:rsidR="00D037AB" w:rsidRDefault="00D037AB" w:rsidP="00B340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nsid w:val="481F1306"/>
    <w:multiLevelType w:val="hybridMultilevel"/>
    <w:tmpl w:val="64FE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8">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1"/>
  </w:num>
  <w:num w:numId="3">
    <w:abstractNumId w:val="14"/>
  </w:num>
  <w:num w:numId="4">
    <w:abstractNumId w:val="16"/>
  </w:num>
  <w:num w:numId="5">
    <w:abstractNumId w:val="18"/>
  </w:num>
  <w:num w:numId="6">
    <w:abstractNumId w:val="17"/>
  </w:num>
  <w:num w:numId="7">
    <w:abstractNumId w:val="10"/>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removePersonalInformation/>
  <w:removeDateAndTim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42C0"/>
    <w:rsid w:val="0002242D"/>
    <w:rsid w:val="00035845"/>
    <w:rsid w:val="00071E8E"/>
    <w:rsid w:val="00072C72"/>
    <w:rsid w:val="000B0C37"/>
    <w:rsid w:val="000E4604"/>
    <w:rsid w:val="00143103"/>
    <w:rsid w:val="0017787C"/>
    <w:rsid w:val="00181727"/>
    <w:rsid w:val="00185730"/>
    <w:rsid w:val="001B6724"/>
    <w:rsid w:val="001C300E"/>
    <w:rsid w:val="001D3121"/>
    <w:rsid w:val="001F1AD2"/>
    <w:rsid w:val="00212FCA"/>
    <w:rsid w:val="002249B4"/>
    <w:rsid w:val="00231EBD"/>
    <w:rsid w:val="002441B8"/>
    <w:rsid w:val="0026674D"/>
    <w:rsid w:val="002800F3"/>
    <w:rsid w:val="0028412B"/>
    <w:rsid w:val="002B13E2"/>
    <w:rsid w:val="002B2D91"/>
    <w:rsid w:val="00301A61"/>
    <w:rsid w:val="00324D7D"/>
    <w:rsid w:val="00333EE2"/>
    <w:rsid w:val="003972EB"/>
    <w:rsid w:val="003B25DD"/>
    <w:rsid w:val="003D1CAB"/>
    <w:rsid w:val="00414F32"/>
    <w:rsid w:val="00415C53"/>
    <w:rsid w:val="004552E9"/>
    <w:rsid w:val="004779B9"/>
    <w:rsid w:val="004B01EE"/>
    <w:rsid w:val="004C4C89"/>
    <w:rsid w:val="004F6977"/>
    <w:rsid w:val="005013F0"/>
    <w:rsid w:val="00504E92"/>
    <w:rsid w:val="00522F69"/>
    <w:rsid w:val="00530462"/>
    <w:rsid w:val="0053287C"/>
    <w:rsid w:val="005335A7"/>
    <w:rsid w:val="005462C0"/>
    <w:rsid w:val="00571C5E"/>
    <w:rsid w:val="0057700F"/>
    <w:rsid w:val="00580974"/>
    <w:rsid w:val="005A2792"/>
    <w:rsid w:val="005B4642"/>
    <w:rsid w:val="005B77CE"/>
    <w:rsid w:val="005E7290"/>
    <w:rsid w:val="005F1C3C"/>
    <w:rsid w:val="006166FA"/>
    <w:rsid w:val="00653BD5"/>
    <w:rsid w:val="00664BC0"/>
    <w:rsid w:val="00670E40"/>
    <w:rsid w:val="006835EB"/>
    <w:rsid w:val="0068765C"/>
    <w:rsid w:val="00690136"/>
    <w:rsid w:val="006E33D4"/>
    <w:rsid w:val="006E6BF1"/>
    <w:rsid w:val="006F5785"/>
    <w:rsid w:val="0071460E"/>
    <w:rsid w:val="0072126E"/>
    <w:rsid w:val="00730307"/>
    <w:rsid w:val="00734692"/>
    <w:rsid w:val="00763EAE"/>
    <w:rsid w:val="00764D4D"/>
    <w:rsid w:val="00773AEB"/>
    <w:rsid w:val="00787670"/>
    <w:rsid w:val="007A2F92"/>
    <w:rsid w:val="007E7C0F"/>
    <w:rsid w:val="007F2CD9"/>
    <w:rsid w:val="0081469B"/>
    <w:rsid w:val="00826750"/>
    <w:rsid w:val="00846003"/>
    <w:rsid w:val="008619E1"/>
    <w:rsid w:val="00876F75"/>
    <w:rsid w:val="00883F19"/>
    <w:rsid w:val="008844F3"/>
    <w:rsid w:val="00887E7E"/>
    <w:rsid w:val="008A21A4"/>
    <w:rsid w:val="008B703B"/>
    <w:rsid w:val="008C288D"/>
    <w:rsid w:val="008D1162"/>
    <w:rsid w:val="008E70CD"/>
    <w:rsid w:val="00913A8B"/>
    <w:rsid w:val="0092596C"/>
    <w:rsid w:val="00933B30"/>
    <w:rsid w:val="0093752E"/>
    <w:rsid w:val="00970FE4"/>
    <w:rsid w:val="0098144A"/>
    <w:rsid w:val="009A2394"/>
    <w:rsid w:val="009C3453"/>
    <w:rsid w:val="009E1190"/>
    <w:rsid w:val="009E68B7"/>
    <w:rsid w:val="009F358B"/>
    <w:rsid w:val="00A276F5"/>
    <w:rsid w:val="00A4336A"/>
    <w:rsid w:val="00A548BE"/>
    <w:rsid w:val="00A72E7B"/>
    <w:rsid w:val="00A800B2"/>
    <w:rsid w:val="00A968FB"/>
    <w:rsid w:val="00A96B65"/>
    <w:rsid w:val="00AA7559"/>
    <w:rsid w:val="00AD3DE5"/>
    <w:rsid w:val="00AF32F2"/>
    <w:rsid w:val="00B1381C"/>
    <w:rsid w:val="00B16372"/>
    <w:rsid w:val="00B3407F"/>
    <w:rsid w:val="00B41267"/>
    <w:rsid w:val="00B5301A"/>
    <w:rsid w:val="00B86284"/>
    <w:rsid w:val="00BA1C7D"/>
    <w:rsid w:val="00BA5743"/>
    <w:rsid w:val="00BA7C56"/>
    <w:rsid w:val="00BC302C"/>
    <w:rsid w:val="00C00D70"/>
    <w:rsid w:val="00C01698"/>
    <w:rsid w:val="00C06913"/>
    <w:rsid w:val="00C47083"/>
    <w:rsid w:val="00C510DD"/>
    <w:rsid w:val="00C57485"/>
    <w:rsid w:val="00C60EDC"/>
    <w:rsid w:val="00C867EB"/>
    <w:rsid w:val="00CA495F"/>
    <w:rsid w:val="00CA4F8C"/>
    <w:rsid w:val="00CA59C3"/>
    <w:rsid w:val="00CB5C60"/>
    <w:rsid w:val="00CD061C"/>
    <w:rsid w:val="00CD7DBB"/>
    <w:rsid w:val="00CE34E4"/>
    <w:rsid w:val="00CF734E"/>
    <w:rsid w:val="00D037AB"/>
    <w:rsid w:val="00D05A7F"/>
    <w:rsid w:val="00D20588"/>
    <w:rsid w:val="00D31FF3"/>
    <w:rsid w:val="00D3369F"/>
    <w:rsid w:val="00D734E6"/>
    <w:rsid w:val="00D80FBD"/>
    <w:rsid w:val="00DB14A2"/>
    <w:rsid w:val="00DC4E36"/>
    <w:rsid w:val="00DF19E8"/>
    <w:rsid w:val="00DF401D"/>
    <w:rsid w:val="00DF56DA"/>
    <w:rsid w:val="00DF739D"/>
    <w:rsid w:val="00E05FA3"/>
    <w:rsid w:val="00E11CA6"/>
    <w:rsid w:val="00E14565"/>
    <w:rsid w:val="00E20612"/>
    <w:rsid w:val="00E57AAC"/>
    <w:rsid w:val="00E636D7"/>
    <w:rsid w:val="00E77D58"/>
    <w:rsid w:val="00E87A4F"/>
    <w:rsid w:val="00EB1FF5"/>
    <w:rsid w:val="00EB3E6F"/>
    <w:rsid w:val="00EC0232"/>
    <w:rsid w:val="00ED5560"/>
    <w:rsid w:val="00F12DC2"/>
    <w:rsid w:val="00F152DF"/>
    <w:rsid w:val="00FA4A60"/>
    <w:rsid w:val="00FB16E6"/>
    <w:rsid w:val="00FC1142"/>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uiPriority w:val="99"/>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uiPriority w:val="99"/>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bls.gov/oes/current/naics2_22.htm" TargetMode="External"/><Relationship Id="rId2" Type="http://schemas.openxmlformats.org/officeDocument/2006/relationships/hyperlink" Target="http://www.nerc.com" TargetMode="External"/><Relationship Id="rId1" Type="http://schemas.openxmlformats.org/officeDocument/2006/relationships/hyperlink" Target="http://elibrary.ferc.gov/idmws/common/opennat.asp?fileID=12953218"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4F8EA-3BF4-4908-8A2E-6BC6C3E8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3409</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2013-10-09T17:24:00Z</dcterms:created>
  <dcterms:modified xsi:type="dcterms:W3CDTF">2013-10-24T13:34:00Z</dcterms:modified>
</cp:coreProperties>
</file>