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6.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37" w:rsidRPr="00021944" w:rsidRDefault="00252C21" w:rsidP="008D36CD">
      <w:pPr>
        <w:jc w:val="center"/>
        <w:rPr>
          <w:szCs w:val="26"/>
        </w:rPr>
      </w:pPr>
      <w:r>
        <w:rPr>
          <w:szCs w:val="26"/>
        </w:rPr>
        <w:t>145 FERC ¶ 61,051</w:t>
      </w:r>
    </w:p>
    <w:p w:rsidR="00E566AE" w:rsidRPr="00021944" w:rsidRDefault="00E566AE" w:rsidP="008D36CD">
      <w:pPr>
        <w:jc w:val="center"/>
        <w:rPr>
          <w:szCs w:val="26"/>
        </w:rPr>
      </w:pPr>
      <w:r w:rsidRPr="00021944">
        <w:rPr>
          <w:szCs w:val="26"/>
        </w:rPr>
        <w:t>UNITED STATES OF AMERICA</w:t>
      </w:r>
    </w:p>
    <w:p w:rsidR="00E566AE" w:rsidRPr="00021944" w:rsidRDefault="00E566AE" w:rsidP="008D36CD">
      <w:pPr>
        <w:jc w:val="center"/>
        <w:rPr>
          <w:szCs w:val="26"/>
        </w:rPr>
      </w:pPr>
      <w:r w:rsidRPr="00021944">
        <w:rPr>
          <w:szCs w:val="26"/>
        </w:rPr>
        <w:t>FEDERAL ENERGY REGULATORY COMMISSION</w:t>
      </w:r>
    </w:p>
    <w:p w:rsidR="00E566AE" w:rsidRPr="00021944" w:rsidRDefault="00E566AE" w:rsidP="008D36CD">
      <w:pPr>
        <w:jc w:val="center"/>
        <w:rPr>
          <w:szCs w:val="26"/>
        </w:rPr>
      </w:pPr>
    </w:p>
    <w:p w:rsidR="00E566AE" w:rsidRPr="00021944" w:rsidRDefault="00E566AE" w:rsidP="008D36CD">
      <w:pPr>
        <w:jc w:val="center"/>
        <w:rPr>
          <w:szCs w:val="26"/>
        </w:rPr>
      </w:pPr>
      <w:r w:rsidRPr="00021944">
        <w:rPr>
          <w:szCs w:val="26"/>
        </w:rPr>
        <w:t>18 CFR Part</w:t>
      </w:r>
      <w:r w:rsidR="00F03BD0" w:rsidRPr="00021944">
        <w:rPr>
          <w:szCs w:val="26"/>
        </w:rPr>
        <w:t xml:space="preserve"> </w:t>
      </w:r>
      <w:r w:rsidR="005A264A" w:rsidRPr="00021944">
        <w:rPr>
          <w:szCs w:val="26"/>
        </w:rPr>
        <w:t>40</w:t>
      </w:r>
    </w:p>
    <w:p w:rsidR="00E566AE" w:rsidRPr="00021944" w:rsidRDefault="00E566AE" w:rsidP="008D36CD">
      <w:pPr>
        <w:jc w:val="center"/>
        <w:rPr>
          <w:szCs w:val="26"/>
        </w:rPr>
      </w:pPr>
    </w:p>
    <w:p w:rsidR="00E566AE" w:rsidRPr="00021944" w:rsidRDefault="00E566AE" w:rsidP="008D36CD">
      <w:pPr>
        <w:jc w:val="center"/>
        <w:rPr>
          <w:szCs w:val="26"/>
        </w:rPr>
      </w:pPr>
      <w:r w:rsidRPr="00021944">
        <w:rPr>
          <w:szCs w:val="26"/>
        </w:rPr>
        <w:t>[Docket No</w:t>
      </w:r>
      <w:r w:rsidR="00515952" w:rsidRPr="00021944">
        <w:rPr>
          <w:szCs w:val="26"/>
        </w:rPr>
        <w:t>s</w:t>
      </w:r>
      <w:r w:rsidRPr="00021944">
        <w:rPr>
          <w:szCs w:val="26"/>
        </w:rPr>
        <w:t>. RM</w:t>
      </w:r>
      <w:r w:rsidR="00325A2B" w:rsidRPr="00021944">
        <w:rPr>
          <w:szCs w:val="26"/>
        </w:rPr>
        <w:t>12-1-00</w:t>
      </w:r>
      <w:r w:rsidR="0075330B" w:rsidRPr="00021944">
        <w:rPr>
          <w:szCs w:val="26"/>
        </w:rPr>
        <w:t>0</w:t>
      </w:r>
      <w:r w:rsidR="00325A2B" w:rsidRPr="00021944">
        <w:rPr>
          <w:szCs w:val="26"/>
        </w:rPr>
        <w:t xml:space="preserve"> and RM13-</w:t>
      </w:r>
      <w:r w:rsidR="00515952" w:rsidRPr="00021944">
        <w:rPr>
          <w:szCs w:val="26"/>
        </w:rPr>
        <w:t>9</w:t>
      </w:r>
      <w:r w:rsidR="00325A2B" w:rsidRPr="00021944">
        <w:rPr>
          <w:szCs w:val="26"/>
        </w:rPr>
        <w:t>-000</w:t>
      </w:r>
      <w:r w:rsidR="00F20C36">
        <w:rPr>
          <w:szCs w:val="26"/>
        </w:rPr>
        <w:t xml:space="preserve">; Order No. </w:t>
      </w:r>
      <w:r w:rsidR="00927293">
        <w:rPr>
          <w:szCs w:val="26"/>
        </w:rPr>
        <w:t>786</w:t>
      </w:r>
      <w:r w:rsidRPr="00021944">
        <w:rPr>
          <w:szCs w:val="26"/>
        </w:rPr>
        <w:t>]</w:t>
      </w:r>
    </w:p>
    <w:p w:rsidR="00E566AE" w:rsidRPr="00021944" w:rsidRDefault="00E566AE" w:rsidP="008D36CD">
      <w:pPr>
        <w:jc w:val="center"/>
        <w:rPr>
          <w:szCs w:val="26"/>
        </w:rPr>
      </w:pPr>
    </w:p>
    <w:p w:rsidR="008A5BC2" w:rsidRPr="00021944" w:rsidRDefault="008A5BC2" w:rsidP="008A5BC2">
      <w:pPr>
        <w:jc w:val="center"/>
        <w:rPr>
          <w:szCs w:val="26"/>
        </w:rPr>
      </w:pPr>
      <w:r w:rsidRPr="00021944">
        <w:rPr>
          <w:szCs w:val="26"/>
        </w:rPr>
        <w:t>Transmission Planning Reliability Standards</w:t>
      </w:r>
    </w:p>
    <w:p w:rsidR="008A5BC2" w:rsidRPr="00021944" w:rsidRDefault="008A5BC2" w:rsidP="008D36CD">
      <w:pPr>
        <w:jc w:val="center"/>
        <w:rPr>
          <w:szCs w:val="26"/>
        </w:rPr>
      </w:pPr>
    </w:p>
    <w:p w:rsidR="00A6599D" w:rsidRDefault="00252C21" w:rsidP="00252C21">
      <w:pPr>
        <w:widowControl/>
        <w:jc w:val="center"/>
        <w:rPr>
          <w:szCs w:val="26"/>
        </w:rPr>
      </w:pPr>
      <w:r w:rsidRPr="00252C21">
        <w:rPr>
          <w:szCs w:val="26"/>
        </w:rPr>
        <w:t>(Issued October 17, 2013)</w:t>
      </w:r>
    </w:p>
    <w:p w:rsidR="00E566AE" w:rsidRPr="00021944" w:rsidRDefault="00E566AE" w:rsidP="00A6599D">
      <w:pPr>
        <w:rPr>
          <w:szCs w:val="26"/>
        </w:rPr>
      </w:pPr>
    </w:p>
    <w:p w:rsidR="00E566AE" w:rsidRPr="00021944" w:rsidRDefault="00E566AE" w:rsidP="008D36CD">
      <w:pPr>
        <w:spacing w:line="480" w:lineRule="auto"/>
        <w:rPr>
          <w:szCs w:val="26"/>
        </w:rPr>
      </w:pPr>
      <w:r w:rsidRPr="00021944">
        <w:rPr>
          <w:szCs w:val="26"/>
          <w:u w:val="single"/>
        </w:rPr>
        <w:t>AGENCY</w:t>
      </w:r>
      <w:r w:rsidRPr="00021944">
        <w:rPr>
          <w:szCs w:val="26"/>
        </w:rPr>
        <w:t>:  Federal Energy Regulatory Commission.</w:t>
      </w:r>
    </w:p>
    <w:p w:rsidR="00E566AE" w:rsidRPr="00021944" w:rsidRDefault="00E566AE" w:rsidP="008D36CD">
      <w:pPr>
        <w:spacing w:line="480" w:lineRule="auto"/>
        <w:rPr>
          <w:szCs w:val="26"/>
        </w:rPr>
      </w:pPr>
      <w:r w:rsidRPr="00021944">
        <w:rPr>
          <w:szCs w:val="26"/>
          <w:u w:val="single"/>
        </w:rPr>
        <w:t>ACTION</w:t>
      </w:r>
      <w:r w:rsidRPr="00021944">
        <w:rPr>
          <w:szCs w:val="26"/>
        </w:rPr>
        <w:t xml:space="preserve">:  </w:t>
      </w:r>
      <w:r w:rsidR="00AB1335" w:rsidRPr="00021944">
        <w:rPr>
          <w:szCs w:val="26"/>
        </w:rPr>
        <w:t xml:space="preserve">Final </w:t>
      </w:r>
      <w:r w:rsidR="00F20C36">
        <w:rPr>
          <w:szCs w:val="26"/>
        </w:rPr>
        <w:t>r</w:t>
      </w:r>
      <w:r w:rsidR="00AB1335" w:rsidRPr="00021944">
        <w:rPr>
          <w:szCs w:val="26"/>
        </w:rPr>
        <w:t>ule.</w:t>
      </w:r>
    </w:p>
    <w:p w:rsidR="008C6943" w:rsidRDefault="00E566AE" w:rsidP="003C3634">
      <w:pPr>
        <w:spacing w:line="480" w:lineRule="auto"/>
      </w:pPr>
      <w:r w:rsidRPr="00021944">
        <w:rPr>
          <w:szCs w:val="26"/>
          <w:u w:val="single"/>
        </w:rPr>
        <w:t>SUMMARY</w:t>
      </w:r>
      <w:r w:rsidRPr="00021944">
        <w:rPr>
          <w:szCs w:val="26"/>
        </w:rPr>
        <w:t xml:space="preserve">:  </w:t>
      </w:r>
      <w:r w:rsidR="003F18CC">
        <w:rPr>
          <w:szCs w:val="26"/>
        </w:rPr>
        <w:t>Under section</w:t>
      </w:r>
      <w:r w:rsidR="00675196">
        <w:rPr>
          <w:szCs w:val="26"/>
        </w:rPr>
        <w:t xml:space="preserve"> 215 of the Federal Power Act, the Federal Energy Regulatory Commission </w:t>
      </w:r>
      <w:r w:rsidR="00257A38">
        <w:rPr>
          <w:szCs w:val="26"/>
        </w:rPr>
        <w:t xml:space="preserve">approves </w:t>
      </w:r>
      <w:r w:rsidR="00675196">
        <w:t xml:space="preserve">Transmission Planning (TPL) Reliability Standard </w:t>
      </w:r>
      <w:r w:rsidR="00675196" w:rsidRPr="00021944">
        <w:rPr>
          <w:szCs w:val="26"/>
        </w:rPr>
        <w:t>TPL-001-4</w:t>
      </w:r>
      <w:r w:rsidR="00675196">
        <w:t xml:space="preserve">, submitted by the North </w:t>
      </w:r>
      <w:r w:rsidR="00675196">
        <w:rPr>
          <w:szCs w:val="26"/>
        </w:rPr>
        <w:t>American E</w:t>
      </w:r>
      <w:r w:rsidR="00257A38">
        <w:rPr>
          <w:szCs w:val="26"/>
        </w:rPr>
        <w:t>lectric Reliability Corporation</w:t>
      </w:r>
      <w:r w:rsidR="00675196">
        <w:rPr>
          <w:szCs w:val="26"/>
        </w:rPr>
        <w:t xml:space="preserve">, the Commission-certified Electric Reliability Organization.  </w:t>
      </w:r>
      <w:r w:rsidR="00675196" w:rsidRPr="00021944">
        <w:rPr>
          <w:szCs w:val="26"/>
        </w:rPr>
        <w:t>Reliability Standard TPL-001-4</w:t>
      </w:r>
      <w:r w:rsidR="004D0CD8">
        <w:rPr>
          <w:szCs w:val="26"/>
        </w:rPr>
        <w:t xml:space="preserve"> </w:t>
      </w:r>
      <w:r w:rsidR="004D0CD8">
        <w:t xml:space="preserve">introduces significant revisions and improvements by requiring annual assessments addressing near-term and long-term planning horizons for steady state, short circuit and stability conditions. </w:t>
      </w:r>
      <w:r w:rsidR="004D0CD8" w:rsidDel="0072636C">
        <w:t xml:space="preserve"> </w:t>
      </w:r>
      <w:r w:rsidR="004D0CD8" w:rsidRPr="00021944">
        <w:rPr>
          <w:szCs w:val="26"/>
        </w:rPr>
        <w:t>Reliability Standard TPL-001-4</w:t>
      </w:r>
      <w:r w:rsidR="004D0CD8">
        <w:rPr>
          <w:szCs w:val="26"/>
        </w:rPr>
        <w:t xml:space="preserve"> also</w:t>
      </w:r>
      <w:r w:rsidR="004D0CD8">
        <w:t xml:space="preserve"> </w:t>
      </w:r>
      <w:r w:rsidR="00675196">
        <w:rPr>
          <w:szCs w:val="26"/>
        </w:rPr>
        <w:t xml:space="preserve">includes a </w:t>
      </w:r>
      <w:r w:rsidR="008C6943" w:rsidRPr="00021944">
        <w:rPr>
          <w:szCs w:val="26"/>
        </w:rPr>
        <w:t xml:space="preserve">provision that </w:t>
      </w:r>
      <w:r w:rsidR="008C6943">
        <w:rPr>
          <w:szCs w:val="26"/>
        </w:rPr>
        <w:t>al</w:t>
      </w:r>
      <w:r w:rsidR="008C6943" w:rsidRPr="00021944">
        <w:rPr>
          <w:szCs w:val="26"/>
        </w:rPr>
        <w:t>low</w:t>
      </w:r>
      <w:r w:rsidR="00675196">
        <w:rPr>
          <w:szCs w:val="26"/>
        </w:rPr>
        <w:t>s</w:t>
      </w:r>
      <w:r w:rsidR="008C6943" w:rsidRPr="00021944">
        <w:rPr>
          <w:szCs w:val="26"/>
        </w:rPr>
        <w:t xml:space="preserve"> a transmission planner to plan for non-consequential load loss following a single contingency by providing a blend of specific quantitative and qualitative parameters for the permissible use of planned non-consequential load loss to address bulk electric system performance issues, including</w:t>
      </w:r>
      <w:r w:rsidR="008C6943">
        <w:rPr>
          <w:szCs w:val="26"/>
        </w:rPr>
        <w:t xml:space="preserve"> </w:t>
      </w:r>
      <w:r w:rsidR="008C6943" w:rsidRPr="00021944">
        <w:rPr>
          <w:szCs w:val="26"/>
        </w:rPr>
        <w:t xml:space="preserve">firm limitations on the maximum amount of load that an entity may plan to shed, safeguards to ensure against inconsistent results and arbitrary determinations that allow for the planned non-consequential load loss, and a more specifically defined, open and transparent, verifiable, and enforceable stakeholder </w:t>
      </w:r>
      <w:r w:rsidR="008C6943" w:rsidRPr="00021944">
        <w:rPr>
          <w:szCs w:val="26"/>
        </w:rPr>
        <w:lastRenderedPageBreak/>
        <w:t>process.</w:t>
      </w:r>
      <w:r w:rsidR="00675196">
        <w:rPr>
          <w:szCs w:val="26"/>
        </w:rPr>
        <w:t xml:space="preserve">  </w:t>
      </w:r>
      <w:r w:rsidR="00675196">
        <w:t xml:space="preserve">The Commission finds </w:t>
      </w:r>
      <w:r w:rsidR="00F66E9F">
        <w:t xml:space="preserve">in the Final Rule </w:t>
      </w:r>
      <w:r w:rsidR="00675196">
        <w:t>that the proposed Reliability Standard is just, reasonable, not unduly discriminatory or preferential, and in the public interest.</w:t>
      </w:r>
      <w:r w:rsidR="00C547B0">
        <w:t xml:space="preserve">  </w:t>
      </w:r>
      <w:r w:rsidR="00B20D70">
        <w:t xml:space="preserve">In addition, the Commission directs NERC to </w:t>
      </w:r>
      <w:r w:rsidR="00B20D70" w:rsidRPr="0076511D">
        <w:rPr>
          <w:szCs w:val="26"/>
        </w:rPr>
        <w:t xml:space="preserve">modify Reliability Standard TPL-001-4 to address the concern </w:t>
      </w:r>
      <w:r w:rsidR="00B20D70">
        <w:rPr>
          <w:szCs w:val="26"/>
        </w:rPr>
        <w:t xml:space="preserve">that the standard </w:t>
      </w:r>
      <w:r w:rsidR="00B20D70" w:rsidRPr="0076511D">
        <w:rPr>
          <w:szCs w:val="26"/>
        </w:rPr>
        <w:t>could exclude planned maintenance outages of significant facilities from future planning assessments</w:t>
      </w:r>
      <w:r w:rsidR="004A282D">
        <w:rPr>
          <w:szCs w:val="26"/>
        </w:rPr>
        <w:t xml:space="preserve"> and directs NERC to change </w:t>
      </w:r>
      <w:r w:rsidR="000E05C6">
        <w:rPr>
          <w:szCs w:val="26"/>
        </w:rPr>
        <w:t xml:space="preserve">the </w:t>
      </w:r>
      <w:r w:rsidR="004A282D">
        <w:rPr>
          <w:szCs w:val="26"/>
        </w:rPr>
        <w:t xml:space="preserve">TPL-001-4, Requirement R1 </w:t>
      </w:r>
      <w:r w:rsidR="000E05C6">
        <w:rPr>
          <w:szCs w:val="26"/>
        </w:rPr>
        <w:t>Violation Risk Factor</w:t>
      </w:r>
      <w:r w:rsidR="004A282D">
        <w:rPr>
          <w:szCs w:val="26"/>
        </w:rPr>
        <w:t xml:space="preserve"> from medium to high</w:t>
      </w:r>
      <w:r w:rsidR="00B20D70">
        <w:rPr>
          <w:szCs w:val="26"/>
        </w:rPr>
        <w:t>.</w:t>
      </w:r>
    </w:p>
    <w:p w:rsidR="00675196" w:rsidRDefault="00675196" w:rsidP="00675196">
      <w:pPr>
        <w:spacing w:line="480" w:lineRule="auto"/>
      </w:pPr>
      <w:r>
        <w:t xml:space="preserve">DATES:  This rule will become effective </w:t>
      </w:r>
      <w:r>
        <w:rPr>
          <w:b/>
        </w:rPr>
        <w:t>[Insert date 60 days after publication</w:t>
      </w:r>
      <w:r w:rsidR="00252C21">
        <w:rPr>
          <w:b/>
        </w:rPr>
        <w:t xml:space="preserve"> </w:t>
      </w:r>
      <w:r>
        <w:rPr>
          <w:b/>
        </w:rPr>
        <w:t>in the FEDERAL REGISTER].</w:t>
      </w:r>
    </w:p>
    <w:p w:rsidR="00675196" w:rsidRDefault="00675196" w:rsidP="008D36CD">
      <w:pPr>
        <w:rPr>
          <w:szCs w:val="26"/>
          <w:u w:val="single"/>
        </w:rPr>
      </w:pPr>
    </w:p>
    <w:p w:rsidR="00E566AE" w:rsidRPr="00021944" w:rsidRDefault="00E566AE" w:rsidP="008D36CD">
      <w:pPr>
        <w:rPr>
          <w:szCs w:val="26"/>
        </w:rPr>
      </w:pPr>
      <w:r w:rsidRPr="00021944">
        <w:rPr>
          <w:szCs w:val="26"/>
          <w:u w:val="single"/>
        </w:rPr>
        <w:t>FOR FURTHER INFORMATION CONTACT</w:t>
      </w:r>
      <w:r w:rsidRPr="00021944">
        <w:rPr>
          <w:szCs w:val="26"/>
        </w:rPr>
        <w:t>:</w:t>
      </w:r>
    </w:p>
    <w:p w:rsidR="00E566AE" w:rsidRPr="00021944" w:rsidRDefault="00E566AE" w:rsidP="008D36CD">
      <w:pPr>
        <w:rPr>
          <w:szCs w:val="26"/>
        </w:rPr>
      </w:pPr>
    </w:p>
    <w:p w:rsidR="000B251B" w:rsidRPr="00021944" w:rsidRDefault="000B251B" w:rsidP="000B251B">
      <w:pPr>
        <w:rPr>
          <w:szCs w:val="26"/>
        </w:rPr>
      </w:pPr>
      <w:r w:rsidRPr="00021944">
        <w:rPr>
          <w:szCs w:val="26"/>
        </w:rPr>
        <w:t>Eugene Blick (Technical Information)</w:t>
      </w:r>
    </w:p>
    <w:p w:rsidR="000B251B" w:rsidRPr="00021944" w:rsidRDefault="000B251B" w:rsidP="000B251B">
      <w:pPr>
        <w:rPr>
          <w:szCs w:val="26"/>
        </w:rPr>
      </w:pPr>
      <w:r w:rsidRPr="00021944">
        <w:rPr>
          <w:szCs w:val="26"/>
        </w:rPr>
        <w:t>Office of Electric Reliability</w:t>
      </w:r>
    </w:p>
    <w:p w:rsidR="000B251B" w:rsidRPr="00021944" w:rsidRDefault="000B251B" w:rsidP="000B251B">
      <w:pPr>
        <w:rPr>
          <w:szCs w:val="26"/>
        </w:rPr>
      </w:pPr>
      <w:r w:rsidRPr="00021944">
        <w:rPr>
          <w:szCs w:val="26"/>
        </w:rPr>
        <w:t>Federal Energy Regulatory Commission</w:t>
      </w:r>
    </w:p>
    <w:p w:rsidR="000B251B" w:rsidRPr="00021944" w:rsidRDefault="000B251B" w:rsidP="000B251B">
      <w:pPr>
        <w:rPr>
          <w:szCs w:val="26"/>
        </w:rPr>
      </w:pPr>
      <w:r w:rsidRPr="00021944">
        <w:rPr>
          <w:szCs w:val="26"/>
        </w:rPr>
        <w:t>888 First Street, NE</w:t>
      </w:r>
    </w:p>
    <w:p w:rsidR="000B251B" w:rsidRPr="00021944" w:rsidRDefault="000B251B" w:rsidP="000B251B">
      <w:pPr>
        <w:rPr>
          <w:szCs w:val="26"/>
        </w:rPr>
      </w:pPr>
      <w:r w:rsidRPr="00021944">
        <w:rPr>
          <w:szCs w:val="26"/>
        </w:rPr>
        <w:t>Washington, DC  20426</w:t>
      </w:r>
    </w:p>
    <w:p w:rsidR="000B251B" w:rsidRPr="00021944" w:rsidRDefault="000B251B" w:rsidP="000B251B">
      <w:pPr>
        <w:rPr>
          <w:szCs w:val="26"/>
        </w:rPr>
      </w:pPr>
      <w:r w:rsidRPr="00021944">
        <w:rPr>
          <w:szCs w:val="26"/>
        </w:rPr>
        <w:t>Telephone:  (202) 502-8066</w:t>
      </w:r>
    </w:p>
    <w:p w:rsidR="000B251B" w:rsidRPr="00021944" w:rsidRDefault="000B251B" w:rsidP="000B251B">
      <w:pPr>
        <w:rPr>
          <w:szCs w:val="26"/>
        </w:rPr>
      </w:pPr>
      <w:r w:rsidRPr="00021944">
        <w:rPr>
          <w:szCs w:val="26"/>
        </w:rPr>
        <w:t>Eugene.Blick@ferc.gov</w:t>
      </w:r>
    </w:p>
    <w:p w:rsidR="000B251B" w:rsidRPr="00021944" w:rsidRDefault="000B251B" w:rsidP="000B251B">
      <w:pPr>
        <w:rPr>
          <w:szCs w:val="26"/>
        </w:rPr>
      </w:pPr>
    </w:p>
    <w:p w:rsidR="000B251B" w:rsidRPr="00021944" w:rsidRDefault="000B251B" w:rsidP="000B251B">
      <w:pPr>
        <w:keepNext/>
        <w:keepLines/>
        <w:rPr>
          <w:szCs w:val="26"/>
        </w:rPr>
      </w:pPr>
      <w:r w:rsidRPr="00021944">
        <w:rPr>
          <w:szCs w:val="26"/>
        </w:rPr>
        <w:t>Robert T. Stroh (Legal Information)</w:t>
      </w:r>
    </w:p>
    <w:p w:rsidR="000B251B" w:rsidRPr="00021944" w:rsidRDefault="000B251B" w:rsidP="000B251B">
      <w:pPr>
        <w:keepNext/>
        <w:keepLines/>
        <w:rPr>
          <w:szCs w:val="26"/>
        </w:rPr>
      </w:pPr>
      <w:r w:rsidRPr="00021944">
        <w:rPr>
          <w:szCs w:val="26"/>
        </w:rPr>
        <w:t>Office of the General Counsel</w:t>
      </w:r>
    </w:p>
    <w:p w:rsidR="000B251B" w:rsidRPr="00021944" w:rsidRDefault="000B251B" w:rsidP="000B251B">
      <w:pPr>
        <w:keepNext/>
        <w:keepLines/>
        <w:rPr>
          <w:szCs w:val="26"/>
        </w:rPr>
      </w:pPr>
      <w:r w:rsidRPr="00021944">
        <w:rPr>
          <w:szCs w:val="26"/>
        </w:rPr>
        <w:t>Federal Energy Regulatory Commission</w:t>
      </w:r>
    </w:p>
    <w:p w:rsidR="000B251B" w:rsidRPr="00021944" w:rsidRDefault="000B251B" w:rsidP="000B251B">
      <w:pPr>
        <w:keepNext/>
        <w:keepLines/>
        <w:rPr>
          <w:szCs w:val="26"/>
        </w:rPr>
      </w:pPr>
      <w:r w:rsidRPr="00021944">
        <w:rPr>
          <w:szCs w:val="26"/>
        </w:rPr>
        <w:t>888 First Street, NE</w:t>
      </w:r>
    </w:p>
    <w:p w:rsidR="000B251B" w:rsidRPr="00021944" w:rsidRDefault="000B251B" w:rsidP="000B251B">
      <w:pPr>
        <w:keepNext/>
        <w:keepLines/>
        <w:rPr>
          <w:szCs w:val="26"/>
        </w:rPr>
      </w:pPr>
      <w:r w:rsidRPr="00021944">
        <w:rPr>
          <w:szCs w:val="26"/>
        </w:rPr>
        <w:t>Washington, DC  20426</w:t>
      </w:r>
    </w:p>
    <w:p w:rsidR="000B251B" w:rsidRPr="00021944" w:rsidRDefault="000B251B" w:rsidP="000B251B">
      <w:pPr>
        <w:rPr>
          <w:szCs w:val="26"/>
        </w:rPr>
      </w:pPr>
      <w:r w:rsidRPr="00021944">
        <w:rPr>
          <w:szCs w:val="26"/>
        </w:rPr>
        <w:t>Telephone:  (202) 502-8473</w:t>
      </w:r>
    </w:p>
    <w:p w:rsidR="000B251B" w:rsidRPr="00021944" w:rsidRDefault="000B251B" w:rsidP="000B251B">
      <w:pPr>
        <w:rPr>
          <w:szCs w:val="26"/>
        </w:rPr>
      </w:pPr>
      <w:r w:rsidRPr="00021944">
        <w:rPr>
          <w:szCs w:val="26"/>
        </w:rPr>
        <w:t>Robert.Stroh@ferc.gov</w:t>
      </w:r>
    </w:p>
    <w:p w:rsidR="00E566AE" w:rsidRPr="00021944" w:rsidRDefault="00E566AE" w:rsidP="008D36CD">
      <w:pPr>
        <w:rPr>
          <w:szCs w:val="26"/>
        </w:rPr>
      </w:pPr>
    </w:p>
    <w:p w:rsidR="00E566AE" w:rsidRPr="00021944" w:rsidRDefault="00E566AE" w:rsidP="008D36CD">
      <w:pPr>
        <w:rPr>
          <w:szCs w:val="26"/>
        </w:rPr>
        <w:sectPr w:rsidR="00E566AE" w:rsidRPr="00021944" w:rsidSect="00E566AE">
          <w:headerReference w:type="even" r:id="rId11"/>
          <w:headerReference w:type="default" r:id="rId12"/>
          <w:pgSz w:w="12240" w:h="15840"/>
          <w:pgMar w:top="1440" w:right="1440" w:bottom="1440" w:left="1440" w:header="720" w:footer="720" w:gutter="0"/>
          <w:pgNumType w:fmt="numberInDash"/>
          <w:cols w:space="720"/>
          <w:titlePg/>
          <w:docGrid w:linePitch="360"/>
        </w:sectPr>
      </w:pPr>
      <w:r w:rsidRPr="00021944">
        <w:rPr>
          <w:szCs w:val="26"/>
          <w:u w:val="single"/>
        </w:rPr>
        <w:t>SUPPLEMENTARY INFORMATION</w:t>
      </w:r>
      <w:r w:rsidRPr="00021944">
        <w:rPr>
          <w:szCs w:val="26"/>
        </w:rPr>
        <w:t>:</w:t>
      </w:r>
    </w:p>
    <w:p w:rsidR="00252C21" w:rsidRDefault="00252C21" w:rsidP="008D36CD">
      <w:pPr>
        <w:jc w:val="center"/>
        <w:rPr>
          <w:szCs w:val="26"/>
        </w:rPr>
      </w:pPr>
      <w:r>
        <w:rPr>
          <w:szCs w:val="26"/>
        </w:rPr>
        <w:lastRenderedPageBreak/>
        <w:t>145 FERC ¶ 61,051</w:t>
      </w:r>
    </w:p>
    <w:p w:rsidR="00E566AE" w:rsidRPr="00021944" w:rsidRDefault="00E566AE" w:rsidP="008D36CD">
      <w:pPr>
        <w:jc w:val="center"/>
        <w:rPr>
          <w:szCs w:val="26"/>
        </w:rPr>
      </w:pPr>
      <w:r w:rsidRPr="00021944">
        <w:rPr>
          <w:szCs w:val="26"/>
        </w:rPr>
        <w:t>UNITED STATES OF AMERICA</w:t>
      </w:r>
    </w:p>
    <w:p w:rsidR="00E566AE" w:rsidRPr="00021944" w:rsidRDefault="00E566AE" w:rsidP="008D36CD">
      <w:pPr>
        <w:jc w:val="center"/>
        <w:rPr>
          <w:szCs w:val="26"/>
        </w:rPr>
      </w:pPr>
      <w:r w:rsidRPr="00021944">
        <w:rPr>
          <w:szCs w:val="26"/>
        </w:rPr>
        <w:t>FEDERAL ENERGY REGULATORY COMMISSION</w:t>
      </w:r>
    </w:p>
    <w:p w:rsidR="00E566AE" w:rsidRPr="00021944" w:rsidRDefault="00E566AE" w:rsidP="008D36CD">
      <w:pPr>
        <w:rPr>
          <w:szCs w:val="26"/>
        </w:rPr>
      </w:pPr>
    </w:p>
    <w:p w:rsidR="00E566AE" w:rsidRPr="00843A0C" w:rsidRDefault="00843A0C" w:rsidP="00843A0C">
      <w:pPr>
        <w:widowControl/>
        <w:rPr>
          <w:szCs w:val="26"/>
        </w:rPr>
      </w:pPr>
      <w:r w:rsidRPr="00843A0C">
        <w:rPr>
          <w:szCs w:val="26"/>
        </w:rPr>
        <w:t xml:space="preserve">Before Commissioners:  Jon </w:t>
      </w:r>
      <w:proofErr w:type="spellStart"/>
      <w:r w:rsidRPr="00843A0C">
        <w:rPr>
          <w:szCs w:val="26"/>
        </w:rPr>
        <w:t>Wellinghoff</w:t>
      </w:r>
      <w:proofErr w:type="spellEnd"/>
      <w:r w:rsidRPr="00843A0C">
        <w:rPr>
          <w:szCs w:val="26"/>
        </w:rPr>
        <w:t>, Chairman;</w:t>
      </w:r>
    </w:p>
    <w:p w:rsidR="00843A0C" w:rsidRPr="00843A0C" w:rsidRDefault="00843A0C" w:rsidP="00843A0C">
      <w:pPr>
        <w:widowControl/>
        <w:rPr>
          <w:szCs w:val="26"/>
        </w:rPr>
      </w:pPr>
      <w:r w:rsidRPr="00843A0C">
        <w:rPr>
          <w:szCs w:val="26"/>
        </w:rPr>
        <w:t xml:space="preserve">                                        Philip D. Moeller, John R. Norris,</w:t>
      </w:r>
    </w:p>
    <w:p w:rsidR="00843A0C" w:rsidRDefault="00843A0C" w:rsidP="00843A0C">
      <w:pPr>
        <w:widowControl/>
        <w:rPr>
          <w:szCs w:val="26"/>
        </w:rPr>
      </w:pPr>
      <w:r w:rsidRPr="00843A0C">
        <w:rPr>
          <w:szCs w:val="26"/>
        </w:rPr>
        <w:t xml:space="preserve">                                        Cheryl A. LaFleur, and Tony Clark.</w:t>
      </w:r>
    </w:p>
    <w:p w:rsidR="00843A0C" w:rsidRDefault="00843A0C" w:rsidP="00843A0C">
      <w:pPr>
        <w:widowControl/>
        <w:rPr>
          <w:szCs w:val="26"/>
        </w:rPr>
      </w:pPr>
    </w:p>
    <w:p w:rsidR="00843A0C" w:rsidRPr="00021944" w:rsidRDefault="00843A0C" w:rsidP="00843A0C">
      <w:pPr>
        <w:widowControl/>
        <w:rPr>
          <w:szCs w:val="26"/>
        </w:rPr>
      </w:pPr>
    </w:p>
    <w:tbl>
      <w:tblPr>
        <w:tblW w:w="0" w:type="auto"/>
        <w:tblCellMar>
          <w:left w:w="0" w:type="dxa"/>
          <w:right w:w="0" w:type="dxa"/>
        </w:tblCellMar>
        <w:tblLook w:val="01E0" w:firstRow="1" w:lastRow="1" w:firstColumn="1" w:lastColumn="1" w:noHBand="0" w:noVBand="0"/>
      </w:tblPr>
      <w:tblGrid>
        <w:gridCol w:w="5222"/>
        <w:gridCol w:w="1475"/>
        <w:gridCol w:w="1943"/>
      </w:tblGrid>
      <w:tr w:rsidR="00E566AE" w:rsidRPr="00021944" w:rsidTr="0019011E">
        <w:tc>
          <w:tcPr>
            <w:tcW w:w="5720" w:type="dxa"/>
            <w:shd w:val="clear" w:color="auto" w:fill="auto"/>
          </w:tcPr>
          <w:p w:rsidR="00E566AE" w:rsidRPr="00021944" w:rsidRDefault="003249DB" w:rsidP="003249DB">
            <w:pPr>
              <w:rPr>
                <w:szCs w:val="26"/>
              </w:rPr>
            </w:pPr>
            <w:r w:rsidRPr="00021944">
              <w:rPr>
                <w:szCs w:val="26"/>
              </w:rPr>
              <w:t>Transmission Planning Reliability Standards</w:t>
            </w:r>
          </w:p>
        </w:tc>
        <w:tc>
          <w:tcPr>
            <w:tcW w:w="1560" w:type="dxa"/>
            <w:shd w:val="clear" w:color="auto" w:fill="auto"/>
            <w:tcMar>
              <w:left w:w="72" w:type="dxa"/>
            </w:tcMar>
          </w:tcPr>
          <w:p w:rsidR="00E566AE" w:rsidRPr="00021944" w:rsidRDefault="00E566AE" w:rsidP="0019011E">
            <w:pPr>
              <w:jc w:val="right"/>
              <w:rPr>
                <w:szCs w:val="26"/>
              </w:rPr>
            </w:pPr>
            <w:r w:rsidRPr="00021944">
              <w:rPr>
                <w:szCs w:val="26"/>
              </w:rPr>
              <w:t>Docket No</w:t>
            </w:r>
            <w:r w:rsidR="003249DB" w:rsidRPr="00021944">
              <w:rPr>
                <w:szCs w:val="26"/>
              </w:rPr>
              <w:t>s</w:t>
            </w:r>
            <w:r w:rsidRPr="00021944">
              <w:rPr>
                <w:szCs w:val="26"/>
              </w:rPr>
              <w:t>.</w:t>
            </w:r>
          </w:p>
        </w:tc>
        <w:tc>
          <w:tcPr>
            <w:tcW w:w="2080" w:type="dxa"/>
            <w:shd w:val="clear" w:color="auto" w:fill="auto"/>
            <w:tcMar>
              <w:left w:w="144" w:type="dxa"/>
            </w:tcMar>
          </w:tcPr>
          <w:p w:rsidR="00E566AE" w:rsidRPr="00021944" w:rsidRDefault="00E566AE" w:rsidP="008D36CD">
            <w:pPr>
              <w:rPr>
                <w:szCs w:val="26"/>
              </w:rPr>
            </w:pPr>
            <w:r w:rsidRPr="00021944">
              <w:rPr>
                <w:szCs w:val="26"/>
              </w:rPr>
              <w:t>RM</w:t>
            </w:r>
            <w:r w:rsidR="003249DB" w:rsidRPr="00021944">
              <w:rPr>
                <w:szCs w:val="26"/>
              </w:rPr>
              <w:t>12-1-00</w:t>
            </w:r>
            <w:r w:rsidR="00605DDE" w:rsidRPr="00021944">
              <w:rPr>
                <w:szCs w:val="26"/>
              </w:rPr>
              <w:t>0</w:t>
            </w:r>
            <w:r w:rsidR="003249DB" w:rsidRPr="00021944">
              <w:rPr>
                <w:szCs w:val="26"/>
              </w:rPr>
              <w:t xml:space="preserve"> and RM13-9-000</w:t>
            </w:r>
          </w:p>
        </w:tc>
      </w:tr>
    </w:tbl>
    <w:p w:rsidR="00E566AE" w:rsidRPr="00021944" w:rsidRDefault="00E566AE" w:rsidP="008D36CD">
      <w:pPr>
        <w:rPr>
          <w:szCs w:val="26"/>
        </w:rPr>
      </w:pPr>
    </w:p>
    <w:p w:rsidR="00E566AE" w:rsidRDefault="00E566AE" w:rsidP="008D36CD">
      <w:pPr>
        <w:rPr>
          <w:szCs w:val="26"/>
        </w:rPr>
      </w:pPr>
    </w:p>
    <w:p w:rsidR="00F20C36" w:rsidRDefault="00F20C36" w:rsidP="00FD558E">
      <w:pPr>
        <w:jc w:val="center"/>
        <w:rPr>
          <w:szCs w:val="26"/>
        </w:rPr>
      </w:pPr>
      <w:r>
        <w:rPr>
          <w:szCs w:val="26"/>
        </w:rPr>
        <w:t>Order No.</w:t>
      </w:r>
      <w:r w:rsidR="00252C21">
        <w:rPr>
          <w:szCs w:val="26"/>
        </w:rPr>
        <w:t xml:space="preserve"> </w:t>
      </w:r>
      <w:r w:rsidR="00927293">
        <w:rPr>
          <w:szCs w:val="26"/>
        </w:rPr>
        <w:t>786</w:t>
      </w:r>
    </w:p>
    <w:p w:rsidR="00F20C36" w:rsidRPr="00021944" w:rsidRDefault="00F20C36" w:rsidP="00FD558E">
      <w:pPr>
        <w:jc w:val="center"/>
        <w:rPr>
          <w:szCs w:val="26"/>
        </w:rPr>
      </w:pPr>
    </w:p>
    <w:p w:rsidR="00E566AE" w:rsidRPr="00021944" w:rsidRDefault="00AB1335" w:rsidP="008D36CD">
      <w:pPr>
        <w:jc w:val="center"/>
        <w:rPr>
          <w:szCs w:val="26"/>
        </w:rPr>
      </w:pPr>
      <w:r w:rsidRPr="00021944">
        <w:rPr>
          <w:szCs w:val="26"/>
        </w:rPr>
        <w:t>FINAL RULE</w:t>
      </w:r>
    </w:p>
    <w:p w:rsidR="00182209" w:rsidRPr="00021944" w:rsidRDefault="00182209" w:rsidP="008D36CD">
      <w:pPr>
        <w:jc w:val="center"/>
        <w:rPr>
          <w:szCs w:val="26"/>
        </w:rPr>
      </w:pPr>
    </w:p>
    <w:p w:rsidR="003C3634" w:rsidRDefault="00252C21" w:rsidP="00252C21">
      <w:pPr>
        <w:widowControl/>
        <w:jc w:val="center"/>
        <w:rPr>
          <w:szCs w:val="26"/>
        </w:rPr>
      </w:pPr>
      <w:r w:rsidRPr="00252C21">
        <w:rPr>
          <w:szCs w:val="26"/>
        </w:rPr>
        <w:t>(Issued October 17, 2013)</w:t>
      </w:r>
    </w:p>
    <w:p w:rsidR="00182209" w:rsidRPr="00021944" w:rsidRDefault="00182209" w:rsidP="003C3634">
      <w:pPr>
        <w:rPr>
          <w:szCs w:val="26"/>
        </w:rPr>
      </w:pPr>
    </w:p>
    <w:p w:rsidR="00E566AE" w:rsidRPr="00021944" w:rsidRDefault="00E566AE" w:rsidP="008D36CD">
      <w:pPr>
        <w:jc w:val="center"/>
        <w:rPr>
          <w:szCs w:val="26"/>
        </w:rPr>
      </w:pPr>
    </w:p>
    <w:p w:rsidR="00951DF3" w:rsidRDefault="00675196" w:rsidP="00BE38E9">
      <w:pPr>
        <w:pStyle w:val="FERCparanumber"/>
        <w:numPr>
          <w:ilvl w:val="0"/>
          <w:numId w:val="15"/>
        </w:numPr>
      </w:pPr>
      <w:r w:rsidRPr="00BE38E9">
        <w:rPr>
          <w:szCs w:val="26"/>
        </w:rPr>
        <w:t>Under section 215</w:t>
      </w:r>
      <w:r w:rsidR="00F66E9F">
        <w:rPr>
          <w:szCs w:val="26"/>
        </w:rPr>
        <w:t>(d)</w:t>
      </w:r>
      <w:r w:rsidRPr="00BE38E9">
        <w:rPr>
          <w:szCs w:val="26"/>
        </w:rPr>
        <w:t xml:space="preserve"> of the Federal Power Act</w:t>
      </w:r>
      <w:r w:rsidR="00F66E9F">
        <w:rPr>
          <w:szCs w:val="26"/>
        </w:rPr>
        <w:t xml:space="preserve"> (FPA)</w:t>
      </w:r>
      <w:r w:rsidRPr="00BE38E9">
        <w:rPr>
          <w:szCs w:val="26"/>
        </w:rPr>
        <w:t xml:space="preserve">, the Commission </w:t>
      </w:r>
      <w:r w:rsidR="00F66E9F">
        <w:rPr>
          <w:szCs w:val="26"/>
        </w:rPr>
        <w:t>approves</w:t>
      </w:r>
      <w:r w:rsidRPr="00BE38E9">
        <w:rPr>
          <w:szCs w:val="26"/>
        </w:rPr>
        <w:t xml:space="preserve"> </w:t>
      </w:r>
      <w:r>
        <w:t xml:space="preserve">Transmission Planning (TPL) Reliability Standard </w:t>
      </w:r>
      <w:r w:rsidRPr="00BE38E9">
        <w:rPr>
          <w:szCs w:val="26"/>
        </w:rPr>
        <w:t>TPL-001-4</w:t>
      </w:r>
      <w:r>
        <w:t xml:space="preserve">, submitted by the North </w:t>
      </w:r>
      <w:r w:rsidRPr="00BE38E9">
        <w:rPr>
          <w:szCs w:val="26"/>
        </w:rPr>
        <w:t>American Electric Reliability Corporation (NERC), the Commission-certified Electric Reliability Organizatio</w:t>
      </w:r>
      <w:r w:rsidR="00942E1F" w:rsidRPr="00BE38E9">
        <w:rPr>
          <w:szCs w:val="26"/>
        </w:rPr>
        <w:t>n</w:t>
      </w:r>
      <w:r w:rsidR="00F66E9F">
        <w:rPr>
          <w:szCs w:val="26"/>
        </w:rPr>
        <w:t xml:space="preserve"> (ERO)</w:t>
      </w:r>
      <w:r w:rsidR="00942E1F" w:rsidRPr="00BE38E9">
        <w:rPr>
          <w:szCs w:val="26"/>
        </w:rPr>
        <w:t>.</w:t>
      </w:r>
      <w:r w:rsidR="00F66E9F">
        <w:rPr>
          <w:rStyle w:val="FootnoteReference"/>
        </w:rPr>
        <w:footnoteReference w:id="2"/>
      </w:r>
      <w:r w:rsidR="00942E1F" w:rsidRPr="00BE38E9">
        <w:rPr>
          <w:szCs w:val="26"/>
        </w:rPr>
        <w:t xml:space="preserve">  </w:t>
      </w:r>
      <w:r w:rsidR="00E334D7">
        <w:rPr>
          <w:szCs w:val="26"/>
        </w:rPr>
        <w:t xml:space="preserve">The Commission finds that </w:t>
      </w:r>
      <w:r w:rsidR="00BE38E9">
        <w:t xml:space="preserve">Reliability Standard TPL-001-4 introduces significant revisions and improvements to the </w:t>
      </w:r>
      <w:r w:rsidR="00E334D7">
        <w:t xml:space="preserve">TPL </w:t>
      </w:r>
      <w:r w:rsidR="00BE38E9">
        <w:t xml:space="preserve">Reliability Standards, including increased specificity of data required for modeling conditions, and requires </w:t>
      </w:r>
      <w:r w:rsidR="0072636C">
        <w:t>annual assessments addressing near-term and long-term planning horizons for steady state, short circuit and stability conditions</w:t>
      </w:r>
      <w:r w:rsidR="00BE38E9">
        <w:t xml:space="preserve">.  Further, </w:t>
      </w:r>
      <w:r w:rsidR="00C15661">
        <w:t xml:space="preserve">we find that </w:t>
      </w:r>
      <w:r w:rsidR="00BE38E9">
        <w:t xml:space="preserve">the Reliability Standard </w:t>
      </w:r>
      <w:r w:rsidR="0072636C">
        <w:t xml:space="preserve">generally </w:t>
      </w:r>
      <w:r w:rsidR="00BE38E9">
        <w:t xml:space="preserve">addresses </w:t>
      </w:r>
      <w:r w:rsidR="00C15661">
        <w:t xml:space="preserve">the </w:t>
      </w:r>
      <w:r w:rsidR="00BE38E9">
        <w:t xml:space="preserve">Commission directives set forth in Order No. 693 and subsequent Commission </w:t>
      </w:r>
    </w:p>
    <w:p w:rsidR="00C15661" w:rsidRDefault="00BE38E9" w:rsidP="00951DF3">
      <w:pPr>
        <w:pStyle w:val="FERCparanumber"/>
        <w:numPr>
          <w:ilvl w:val="0"/>
          <w:numId w:val="0"/>
        </w:numPr>
      </w:pPr>
      <w:r>
        <w:lastRenderedPageBreak/>
        <w:t>orders.</w:t>
      </w:r>
      <w:r>
        <w:rPr>
          <w:rStyle w:val="FootnoteReference"/>
        </w:rPr>
        <w:footnoteReference w:id="3"/>
      </w:r>
      <w:r>
        <w:t xml:space="preserve">  We agree with NERC that </w:t>
      </w:r>
      <w:r w:rsidR="00C15661">
        <w:t xml:space="preserve">Reliability Standard </w:t>
      </w:r>
      <w:r>
        <w:t>TPL-001-</w:t>
      </w:r>
      <w:r w:rsidR="00C15661">
        <w:t>4</w:t>
      </w:r>
      <w:r>
        <w:t xml:space="preserve"> includes specific improvements over the currently</w:t>
      </w:r>
      <w:r w:rsidR="00E334D7">
        <w:t>-</w:t>
      </w:r>
      <w:r>
        <w:t>effective Transmission Plan</w:t>
      </w:r>
      <w:r w:rsidR="00C15661">
        <w:t xml:space="preserve">ning Reliability Standards and </w:t>
      </w:r>
      <w:r>
        <w:t xml:space="preserve">is responsive to </w:t>
      </w:r>
      <w:r w:rsidR="00C15661">
        <w:t xml:space="preserve">the Commission’s </w:t>
      </w:r>
      <w:r>
        <w:t xml:space="preserve">directives.  </w:t>
      </w:r>
    </w:p>
    <w:p w:rsidR="00CE583D" w:rsidRPr="00A51236" w:rsidRDefault="00775F77" w:rsidP="008D678D">
      <w:pPr>
        <w:pStyle w:val="FERCparanumber"/>
        <w:numPr>
          <w:ilvl w:val="0"/>
          <w:numId w:val="15"/>
        </w:numPr>
        <w:rPr>
          <w:szCs w:val="26"/>
        </w:rPr>
      </w:pPr>
      <w:r w:rsidRPr="00A51236">
        <w:rPr>
          <w:szCs w:val="26"/>
        </w:rPr>
        <w:t>Further, in response to Order No. 762,</w:t>
      </w:r>
      <w:r>
        <w:rPr>
          <w:rStyle w:val="FootnoteReference"/>
        </w:rPr>
        <w:footnoteReference w:id="4"/>
      </w:r>
      <w:r w:rsidRPr="00A51236">
        <w:rPr>
          <w:szCs w:val="26"/>
        </w:rPr>
        <w:t xml:space="preserve"> </w:t>
      </w:r>
      <w:r w:rsidR="00C15661" w:rsidRPr="00A51236">
        <w:rPr>
          <w:szCs w:val="26"/>
        </w:rPr>
        <w:t>Reliability Standard TPL-001-4 includes a provision that allows a transmission planner to plan for non-consequential load loss following a single contingency</w:t>
      </w:r>
      <w:r w:rsidR="00393CDC">
        <w:rPr>
          <w:szCs w:val="26"/>
        </w:rPr>
        <w:t xml:space="preserve">.  </w:t>
      </w:r>
      <w:r w:rsidR="001A72C3" w:rsidRPr="00A51236">
        <w:rPr>
          <w:szCs w:val="26"/>
        </w:rPr>
        <w:t>While t</w:t>
      </w:r>
      <w:r w:rsidR="00BA2828" w:rsidRPr="00A51236">
        <w:rPr>
          <w:szCs w:val="26"/>
        </w:rPr>
        <w:t xml:space="preserve">he Reliability Standard </w:t>
      </w:r>
      <w:r w:rsidR="001A72C3" w:rsidRPr="00A51236">
        <w:rPr>
          <w:szCs w:val="26"/>
        </w:rPr>
        <w:t>provides</w:t>
      </w:r>
      <w:r w:rsidR="00BA2828" w:rsidRPr="00A51236">
        <w:rPr>
          <w:szCs w:val="26"/>
        </w:rPr>
        <w:t xml:space="preserve"> that “an objective of the planning process is to limit the likelihood and magnitude of Non-</w:t>
      </w:r>
      <w:r w:rsidR="00CE583D" w:rsidRPr="00A51236">
        <w:rPr>
          <w:szCs w:val="26"/>
        </w:rPr>
        <w:t>C</w:t>
      </w:r>
      <w:r w:rsidR="00BA2828" w:rsidRPr="00A51236">
        <w:rPr>
          <w:szCs w:val="26"/>
        </w:rPr>
        <w:t>onsequential Load Loss following planning events</w:t>
      </w:r>
      <w:r w:rsidR="001A72C3" w:rsidRPr="00A51236">
        <w:rPr>
          <w:szCs w:val="26"/>
        </w:rPr>
        <w:t>,</w:t>
      </w:r>
      <w:r w:rsidR="00BA2828" w:rsidRPr="00A51236">
        <w:rPr>
          <w:szCs w:val="26"/>
        </w:rPr>
        <w:t>”</w:t>
      </w:r>
      <w:r w:rsidR="001A72C3" w:rsidRPr="00A51236">
        <w:rPr>
          <w:szCs w:val="26"/>
        </w:rPr>
        <w:t xml:space="preserve"> the standard also recognizes that “</w:t>
      </w:r>
      <w:r w:rsidR="00CE583D" w:rsidRPr="00A51236">
        <w:rPr>
          <w:szCs w:val="26"/>
        </w:rPr>
        <w:t>[</w:t>
      </w:r>
      <w:r w:rsidR="001A72C3" w:rsidRPr="00A51236">
        <w:rPr>
          <w:szCs w:val="26"/>
        </w:rPr>
        <w:t>i</w:t>
      </w:r>
      <w:r w:rsidR="00CE583D" w:rsidRPr="00A51236">
        <w:rPr>
          <w:szCs w:val="26"/>
        </w:rPr>
        <w:t>]</w:t>
      </w:r>
      <w:r w:rsidR="001A72C3" w:rsidRPr="00A51236">
        <w:rPr>
          <w:szCs w:val="26"/>
        </w:rPr>
        <w:t>n limited</w:t>
      </w:r>
      <w:r w:rsidR="00CE583D" w:rsidRPr="00A51236">
        <w:rPr>
          <w:szCs w:val="26"/>
        </w:rPr>
        <w:t xml:space="preserve"> circumstances, Non-Consequential Load Loss</w:t>
      </w:r>
      <w:r w:rsidR="001A72C3" w:rsidRPr="00A51236">
        <w:rPr>
          <w:szCs w:val="26"/>
        </w:rPr>
        <w:t xml:space="preserve"> </w:t>
      </w:r>
      <w:r w:rsidR="00CE583D" w:rsidRPr="00A51236">
        <w:rPr>
          <w:szCs w:val="26"/>
        </w:rPr>
        <w:t>may be needed throughout the planning horizon to ensure that BES performance requirements are met.”</w:t>
      </w:r>
      <w:r w:rsidR="00BA2828">
        <w:rPr>
          <w:rStyle w:val="FootnoteReference"/>
        </w:rPr>
        <w:footnoteReference w:id="5"/>
      </w:r>
      <w:r w:rsidR="00CE583D" w:rsidRPr="00A51236">
        <w:rPr>
          <w:szCs w:val="26"/>
        </w:rPr>
        <w:t xml:space="preserve">  Thus, for such limited circumstances, Reliability Standard TPL-00</w:t>
      </w:r>
      <w:r w:rsidR="00974641" w:rsidRPr="00A51236">
        <w:rPr>
          <w:szCs w:val="26"/>
        </w:rPr>
        <w:t>1-</w:t>
      </w:r>
      <w:r w:rsidR="00CE583D" w:rsidRPr="00A51236">
        <w:rPr>
          <w:szCs w:val="26"/>
        </w:rPr>
        <w:t>4</w:t>
      </w:r>
      <w:r w:rsidR="00C15661" w:rsidRPr="00A51236">
        <w:rPr>
          <w:szCs w:val="26"/>
        </w:rPr>
        <w:t xml:space="preserve"> provid</w:t>
      </w:r>
      <w:r w:rsidR="00CE583D" w:rsidRPr="00A51236">
        <w:rPr>
          <w:szCs w:val="26"/>
        </w:rPr>
        <w:t>es</w:t>
      </w:r>
      <w:r w:rsidR="00C15661" w:rsidRPr="00A51236">
        <w:rPr>
          <w:szCs w:val="26"/>
        </w:rPr>
        <w:t xml:space="preserve"> a blend of specific quantitative and qualitative parameters for the permissible use of planned non-consequential load loss to address bulk electric system performance issues, </w:t>
      </w:r>
      <w:r w:rsidR="00C15661" w:rsidRPr="00A51236">
        <w:rPr>
          <w:szCs w:val="26"/>
        </w:rPr>
        <w:lastRenderedPageBreak/>
        <w:t xml:space="preserve">including firm limitations on the maximum amount of load that an entity may plan to shed, safeguards to ensure against inconsistent results and arbitrary determinations that allow for the planned non-consequential load loss, and a more specifically defined, open and transparent, verifiable, and enforceable stakeholder process.  </w:t>
      </w:r>
    </w:p>
    <w:p w:rsidR="009327F7" w:rsidRPr="00393CDC" w:rsidRDefault="00CE583D" w:rsidP="008D678D">
      <w:pPr>
        <w:pStyle w:val="FERCparanumber"/>
        <w:numPr>
          <w:ilvl w:val="0"/>
          <w:numId w:val="15"/>
        </w:numPr>
        <w:rPr>
          <w:szCs w:val="26"/>
        </w:rPr>
      </w:pPr>
      <w:r w:rsidRPr="00393CDC">
        <w:rPr>
          <w:szCs w:val="26"/>
        </w:rPr>
        <w:t>For the reasons discussed in detail below, t</w:t>
      </w:r>
      <w:r w:rsidR="00E334D7">
        <w:t xml:space="preserve">he Commission finds that </w:t>
      </w:r>
      <w:r w:rsidR="00675196">
        <w:t xml:space="preserve">Reliability Standard </w:t>
      </w:r>
      <w:r w:rsidR="00E334D7">
        <w:t>TPL-00</w:t>
      </w:r>
      <w:r w:rsidR="00974641">
        <w:t>1-</w:t>
      </w:r>
      <w:r w:rsidR="00E334D7">
        <w:t xml:space="preserve">4 </w:t>
      </w:r>
      <w:r w:rsidR="00675196">
        <w:t>is just, reasonable, not unduly discriminatory or preferential, and in the public interest.</w:t>
      </w:r>
      <w:r w:rsidR="00C15661">
        <w:t xml:space="preserve">  Therefore, </w:t>
      </w:r>
      <w:r w:rsidR="00061145" w:rsidRPr="00393CDC">
        <w:rPr>
          <w:szCs w:val="26"/>
        </w:rPr>
        <w:t>p</w:t>
      </w:r>
      <w:r w:rsidR="005B73FB" w:rsidRPr="00393CDC">
        <w:rPr>
          <w:szCs w:val="26"/>
        </w:rPr>
        <w:t>ursuant to section 215</w:t>
      </w:r>
      <w:r w:rsidRPr="00393CDC">
        <w:rPr>
          <w:szCs w:val="26"/>
        </w:rPr>
        <w:t>(d)</w:t>
      </w:r>
      <w:r w:rsidR="005B73FB" w:rsidRPr="00393CDC">
        <w:rPr>
          <w:szCs w:val="26"/>
        </w:rPr>
        <w:t xml:space="preserve"> of the FPA the Commission approve</w:t>
      </w:r>
      <w:r w:rsidR="00AB1335" w:rsidRPr="00393CDC">
        <w:rPr>
          <w:szCs w:val="26"/>
        </w:rPr>
        <w:t>s</w:t>
      </w:r>
      <w:r w:rsidR="005B73FB" w:rsidRPr="00393CDC">
        <w:rPr>
          <w:szCs w:val="26"/>
        </w:rPr>
        <w:t xml:space="preserve"> </w:t>
      </w:r>
      <w:r w:rsidR="00AC407C" w:rsidRPr="00393CDC">
        <w:rPr>
          <w:szCs w:val="26"/>
        </w:rPr>
        <w:t>proposed</w:t>
      </w:r>
      <w:r w:rsidR="005B73FB" w:rsidRPr="00393CDC">
        <w:rPr>
          <w:szCs w:val="26"/>
        </w:rPr>
        <w:t xml:space="preserve"> Reliability Standard</w:t>
      </w:r>
      <w:r w:rsidR="00692C37" w:rsidRPr="00393CDC">
        <w:rPr>
          <w:szCs w:val="26"/>
        </w:rPr>
        <w:t xml:space="preserve"> </w:t>
      </w:r>
      <w:r w:rsidR="005B73FB" w:rsidRPr="00393CDC">
        <w:rPr>
          <w:szCs w:val="26"/>
        </w:rPr>
        <w:t>TPL-001-4</w:t>
      </w:r>
      <w:r w:rsidR="00BE7DA1" w:rsidRPr="00393CDC">
        <w:rPr>
          <w:szCs w:val="26"/>
        </w:rPr>
        <w:t>.</w:t>
      </w:r>
      <w:r w:rsidR="00393CDC" w:rsidRPr="00393CDC">
        <w:rPr>
          <w:szCs w:val="26"/>
        </w:rPr>
        <w:t xml:space="preserve">  </w:t>
      </w:r>
      <w:r w:rsidR="00393CDC" w:rsidRPr="00393CDC">
        <w:t xml:space="preserve">Thus, the Commission </w:t>
      </w:r>
      <w:r w:rsidR="00393CDC">
        <w:t xml:space="preserve">approves </w:t>
      </w:r>
      <w:r w:rsidR="00393CDC" w:rsidRPr="00393CDC">
        <w:t xml:space="preserve">footnote 12 to Table 1 of the Reliability Standard (formerly referred to as footnote </w:t>
      </w:r>
      <w:r w:rsidR="009856A8">
        <w:t>‘</w:t>
      </w:r>
      <w:r w:rsidR="00393CDC" w:rsidRPr="00393CDC">
        <w:t>b</w:t>
      </w:r>
      <w:r w:rsidR="009856A8">
        <w:t>’</w:t>
      </w:r>
      <w:r w:rsidR="00393CDC" w:rsidRPr="00393CDC">
        <w:t>). </w:t>
      </w:r>
      <w:r w:rsidR="00393CDC">
        <w:t xml:space="preserve"> </w:t>
      </w:r>
      <w:r w:rsidR="00B20D70">
        <w:t xml:space="preserve">In addition, as discussed below, the Commission </w:t>
      </w:r>
      <w:r w:rsidR="00E52FD9" w:rsidRPr="00393CDC">
        <w:rPr>
          <w:szCs w:val="26"/>
        </w:rPr>
        <w:t>finds NERC’s explanation on protection system failures versus relay failures, assessment of backup or redundant protection systems, single line to ground faults and the Order No. 693 directives to be reasonable</w:t>
      </w:r>
      <w:r w:rsidR="00DC21A6" w:rsidRPr="00393CDC">
        <w:rPr>
          <w:szCs w:val="26"/>
        </w:rPr>
        <w:t xml:space="preserve">.  However, the Commission has concerns about two issues and </w:t>
      </w:r>
      <w:r w:rsidR="00B20D70">
        <w:t xml:space="preserve">directs NERC to </w:t>
      </w:r>
      <w:r w:rsidR="00B20D70" w:rsidRPr="00393CDC">
        <w:rPr>
          <w:szCs w:val="26"/>
        </w:rPr>
        <w:t>modify Reliability Standard TPL-001-4 to address the concern that the standard could exclude planned maintenance outages of significant facilities from future planning assessments</w:t>
      </w:r>
      <w:r w:rsidR="003473BA" w:rsidRPr="00393CDC">
        <w:rPr>
          <w:szCs w:val="26"/>
        </w:rPr>
        <w:t xml:space="preserve"> and directs NERC to change </w:t>
      </w:r>
      <w:r w:rsidR="000E05C6" w:rsidRPr="00393CDC">
        <w:rPr>
          <w:szCs w:val="26"/>
        </w:rPr>
        <w:t xml:space="preserve">the </w:t>
      </w:r>
      <w:r w:rsidR="003473BA" w:rsidRPr="00393CDC">
        <w:rPr>
          <w:szCs w:val="26"/>
        </w:rPr>
        <w:t>TPL-001-4, Requirement R1 VRF from medium to high</w:t>
      </w:r>
      <w:r w:rsidR="00B20D70" w:rsidRPr="00393CDC">
        <w:rPr>
          <w:szCs w:val="26"/>
        </w:rPr>
        <w:t xml:space="preserve">. </w:t>
      </w:r>
    </w:p>
    <w:p w:rsidR="009D18A6" w:rsidRPr="00021944" w:rsidRDefault="009D18A6" w:rsidP="009D18A6">
      <w:pPr>
        <w:pStyle w:val="Heading1"/>
        <w:rPr>
          <w:szCs w:val="26"/>
        </w:rPr>
      </w:pPr>
      <w:bookmarkStart w:id="0" w:name="_bmk1"/>
      <w:bookmarkStart w:id="1" w:name="_Toc194894763"/>
      <w:bookmarkStart w:id="2" w:name="_Toc194894765"/>
      <w:bookmarkStart w:id="3" w:name="_bmk3"/>
      <w:r w:rsidRPr="00021944">
        <w:rPr>
          <w:szCs w:val="26"/>
        </w:rPr>
        <w:lastRenderedPageBreak/>
        <w:t>B</w:t>
      </w:r>
      <w:bookmarkEnd w:id="0"/>
      <w:r w:rsidRPr="00021944">
        <w:rPr>
          <w:szCs w:val="26"/>
        </w:rPr>
        <w:t>ackground</w:t>
      </w:r>
      <w:bookmarkEnd w:id="1"/>
    </w:p>
    <w:p w:rsidR="009D18A6" w:rsidRPr="00021944" w:rsidRDefault="009D18A6" w:rsidP="009D18A6">
      <w:pPr>
        <w:pStyle w:val="Heading2"/>
        <w:rPr>
          <w:szCs w:val="26"/>
        </w:rPr>
      </w:pPr>
      <w:r w:rsidRPr="00021944">
        <w:rPr>
          <w:szCs w:val="26"/>
        </w:rPr>
        <w:t xml:space="preserve">Regulatory History </w:t>
      </w:r>
    </w:p>
    <w:p w:rsidR="002B580C" w:rsidRPr="00021944" w:rsidRDefault="002B580C" w:rsidP="006A7DF2">
      <w:pPr>
        <w:pStyle w:val="FERCparanumber"/>
        <w:rPr>
          <w:szCs w:val="26"/>
        </w:rPr>
      </w:pPr>
      <w:r w:rsidRPr="00021944">
        <w:rPr>
          <w:szCs w:val="26"/>
        </w:rPr>
        <w:t>In Order No. 693, the Commission accepted the Version 0 TPL Reliability Standards</w:t>
      </w:r>
      <w:r w:rsidR="000375F8" w:rsidRPr="00021944">
        <w:rPr>
          <w:szCs w:val="26"/>
        </w:rPr>
        <w:t>.</w:t>
      </w:r>
      <w:r w:rsidR="000375F8" w:rsidRPr="00021944">
        <w:rPr>
          <w:rStyle w:val="FootnoteReference"/>
        </w:rPr>
        <w:footnoteReference w:id="6"/>
      </w:r>
      <w:r w:rsidR="000375F8" w:rsidRPr="00021944">
        <w:rPr>
          <w:szCs w:val="26"/>
        </w:rPr>
        <w:t xml:space="preserve">  Further</w:t>
      </w:r>
      <w:r w:rsidRPr="00021944">
        <w:rPr>
          <w:szCs w:val="26"/>
        </w:rPr>
        <w:t xml:space="preserve">, pursuant to FPA section 215(d)(5), </w:t>
      </w:r>
      <w:r w:rsidR="000375F8" w:rsidRPr="00021944">
        <w:rPr>
          <w:szCs w:val="26"/>
        </w:rPr>
        <w:t xml:space="preserve">the Commission directed NERC </w:t>
      </w:r>
      <w:r w:rsidRPr="00021944">
        <w:rPr>
          <w:szCs w:val="26"/>
        </w:rPr>
        <w:t>to develop modifications through the Reliability Standards development process</w:t>
      </w:r>
      <w:r w:rsidR="00A07749">
        <w:rPr>
          <w:szCs w:val="26"/>
        </w:rPr>
        <w:t xml:space="preserve"> to address certain issues identified by the Commission</w:t>
      </w:r>
      <w:r w:rsidR="00D92378" w:rsidRPr="00021944">
        <w:rPr>
          <w:szCs w:val="26"/>
        </w:rPr>
        <w:t xml:space="preserve">.  </w:t>
      </w:r>
      <w:r w:rsidRPr="00021944">
        <w:rPr>
          <w:szCs w:val="26"/>
        </w:rPr>
        <w:t>In addition, the Commission neither approved nor remanded Reliability Standards</w:t>
      </w:r>
      <w:r w:rsidR="0082662F">
        <w:rPr>
          <w:szCs w:val="26"/>
        </w:rPr>
        <w:t xml:space="preserve"> </w:t>
      </w:r>
      <w:r w:rsidRPr="00021944">
        <w:rPr>
          <w:szCs w:val="26"/>
        </w:rPr>
        <w:t>TPL-005-0 and TPL-006-0</w:t>
      </w:r>
      <w:r w:rsidR="0082662F">
        <w:rPr>
          <w:szCs w:val="26"/>
        </w:rPr>
        <w:t xml:space="preserve"> because </w:t>
      </w:r>
      <w:r w:rsidRPr="00021944">
        <w:rPr>
          <w:szCs w:val="26"/>
        </w:rPr>
        <w:t xml:space="preserve">these two </w:t>
      </w:r>
      <w:r w:rsidR="0082662F">
        <w:rPr>
          <w:szCs w:val="26"/>
        </w:rPr>
        <w:t>s</w:t>
      </w:r>
      <w:r w:rsidRPr="00021944">
        <w:rPr>
          <w:szCs w:val="26"/>
        </w:rPr>
        <w:t>tandards applied only to regional reliability organizations</w:t>
      </w:r>
      <w:r w:rsidR="00A07749">
        <w:rPr>
          <w:szCs w:val="26"/>
        </w:rPr>
        <w:t xml:space="preserve">, the </w:t>
      </w:r>
      <w:r w:rsidR="00CD5233">
        <w:rPr>
          <w:szCs w:val="26"/>
        </w:rPr>
        <w:t>predecessors</w:t>
      </w:r>
      <w:r w:rsidR="00A07749">
        <w:rPr>
          <w:szCs w:val="26"/>
        </w:rPr>
        <w:t xml:space="preserve"> to the </w:t>
      </w:r>
      <w:r w:rsidR="00CD5233">
        <w:rPr>
          <w:szCs w:val="26"/>
        </w:rPr>
        <w:t>statutorily recognized</w:t>
      </w:r>
      <w:r w:rsidR="00A07749">
        <w:rPr>
          <w:szCs w:val="26"/>
        </w:rPr>
        <w:t xml:space="preserve"> Regional Entities</w:t>
      </w:r>
      <w:r w:rsidR="00D92378" w:rsidRPr="00021944">
        <w:rPr>
          <w:szCs w:val="26"/>
        </w:rPr>
        <w:t>.</w:t>
      </w:r>
      <w:r w:rsidR="00733A25" w:rsidRPr="00021944">
        <w:rPr>
          <w:szCs w:val="26"/>
        </w:rPr>
        <w:t xml:space="preserve">  </w:t>
      </w:r>
      <w:r w:rsidRPr="00021944">
        <w:rPr>
          <w:szCs w:val="26"/>
        </w:rPr>
        <w:t>With regard to Reliability Standard TPL-002-0b, Table 1, footnote ‘b</w:t>
      </w:r>
      <w:r w:rsidR="00071EC3" w:rsidRPr="00021944">
        <w:rPr>
          <w:szCs w:val="26"/>
        </w:rPr>
        <w:t>,</w:t>
      </w:r>
      <w:r w:rsidRPr="00021944">
        <w:rPr>
          <w:szCs w:val="26"/>
        </w:rPr>
        <w:t xml:space="preserve">’ </w:t>
      </w:r>
      <w:r w:rsidR="000375F8" w:rsidRPr="00021944">
        <w:rPr>
          <w:szCs w:val="26"/>
        </w:rPr>
        <w:t xml:space="preserve">which </w:t>
      </w:r>
      <w:r w:rsidR="001332A3" w:rsidRPr="00021944">
        <w:rPr>
          <w:szCs w:val="26"/>
        </w:rPr>
        <w:t xml:space="preserve">applies </w:t>
      </w:r>
      <w:r w:rsidR="000375F8" w:rsidRPr="00021944">
        <w:rPr>
          <w:szCs w:val="26"/>
        </w:rPr>
        <w:t xml:space="preserve">to </w:t>
      </w:r>
      <w:r w:rsidR="00717085" w:rsidRPr="00021944">
        <w:rPr>
          <w:szCs w:val="26"/>
        </w:rPr>
        <w:t xml:space="preserve">planned </w:t>
      </w:r>
      <w:r w:rsidR="004E150E" w:rsidRPr="00021944">
        <w:rPr>
          <w:szCs w:val="26"/>
        </w:rPr>
        <w:t>non-consequential load</w:t>
      </w:r>
      <w:r w:rsidR="00717085" w:rsidRPr="00021944">
        <w:rPr>
          <w:szCs w:val="26"/>
        </w:rPr>
        <w:t xml:space="preserve"> loss</w:t>
      </w:r>
      <w:r w:rsidR="000375F8" w:rsidRPr="00021944">
        <w:rPr>
          <w:szCs w:val="26"/>
        </w:rPr>
        <w:t xml:space="preserve">, </w:t>
      </w:r>
      <w:r w:rsidRPr="00021944">
        <w:rPr>
          <w:szCs w:val="26"/>
        </w:rPr>
        <w:t xml:space="preserve">the Commission directed NERC to clarify footnote ‘b’ regarding the </w:t>
      </w:r>
      <w:r w:rsidR="00116888" w:rsidRPr="00021944">
        <w:rPr>
          <w:szCs w:val="26"/>
        </w:rPr>
        <w:t xml:space="preserve">planned </w:t>
      </w:r>
      <w:r w:rsidRPr="00021944">
        <w:rPr>
          <w:szCs w:val="26"/>
        </w:rPr>
        <w:t xml:space="preserve">non-consequential load </w:t>
      </w:r>
      <w:r w:rsidR="004A2ACD" w:rsidRPr="00021944">
        <w:rPr>
          <w:szCs w:val="26"/>
        </w:rPr>
        <w:t xml:space="preserve">loss </w:t>
      </w:r>
      <w:r w:rsidRPr="00021944">
        <w:rPr>
          <w:szCs w:val="26"/>
        </w:rPr>
        <w:t>for a single contingency event.</w:t>
      </w:r>
      <w:r w:rsidR="000375F8" w:rsidRPr="00021944">
        <w:rPr>
          <w:rStyle w:val="FootnoteReference"/>
        </w:rPr>
        <w:footnoteReference w:id="7"/>
      </w:r>
      <w:r w:rsidRPr="00021944">
        <w:rPr>
          <w:szCs w:val="26"/>
        </w:rPr>
        <w:t xml:space="preserve">  In a March 18, 2010 order, the Commission directed NERC to submit a modification to footnote ‘b’ responsive to the Commissi</w:t>
      </w:r>
      <w:r w:rsidR="00733A25" w:rsidRPr="00021944">
        <w:rPr>
          <w:szCs w:val="26"/>
        </w:rPr>
        <w:t xml:space="preserve">on’s directive </w:t>
      </w:r>
      <w:r w:rsidR="00733A25" w:rsidRPr="00021944">
        <w:rPr>
          <w:szCs w:val="26"/>
        </w:rPr>
        <w:lastRenderedPageBreak/>
        <w:t>in Order No. 693</w:t>
      </w:r>
      <w:r w:rsidRPr="00021944">
        <w:rPr>
          <w:szCs w:val="26"/>
        </w:rPr>
        <w:t xml:space="preserve"> by June 30, 2010.</w:t>
      </w:r>
      <w:r w:rsidRPr="00021944">
        <w:rPr>
          <w:rStyle w:val="FootnoteReference"/>
        </w:rPr>
        <w:footnoteReference w:id="8"/>
      </w:r>
      <w:r w:rsidRPr="00021944">
        <w:rPr>
          <w:szCs w:val="26"/>
        </w:rPr>
        <w:t xml:space="preserve">  In a</w:t>
      </w:r>
      <w:r w:rsidR="00400DB1" w:rsidRPr="00021944">
        <w:rPr>
          <w:szCs w:val="26"/>
        </w:rPr>
        <w:t xml:space="preserve"> </w:t>
      </w:r>
      <w:r w:rsidRPr="00021944">
        <w:rPr>
          <w:szCs w:val="26"/>
        </w:rPr>
        <w:t>June 11, 2010 order, the Commission extended the compliance deadline until</w:t>
      </w:r>
      <w:r w:rsidR="00400DB1" w:rsidRPr="00021944">
        <w:rPr>
          <w:szCs w:val="26"/>
        </w:rPr>
        <w:t xml:space="preserve"> </w:t>
      </w:r>
      <w:r w:rsidRPr="00021944">
        <w:rPr>
          <w:szCs w:val="26"/>
        </w:rPr>
        <w:t>March 31, 2011.</w:t>
      </w:r>
      <w:r w:rsidRPr="00021944">
        <w:rPr>
          <w:rStyle w:val="FootnoteReference"/>
        </w:rPr>
        <w:footnoteReference w:id="9"/>
      </w:r>
      <w:r w:rsidRPr="00021944">
        <w:rPr>
          <w:szCs w:val="26"/>
        </w:rPr>
        <w:t xml:space="preserve">     </w:t>
      </w:r>
    </w:p>
    <w:p w:rsidR="002B580C" w:rsidRPr="00021944" w:rsidRDefault="002B580C" w:rsidP="00AB6B19">
      <w:pPr>
        <w:pStyle w:val="Heading2"/>
        <w:numPr>
          <w:ilvl w:val="0"/>
          <w:numId w:val="0"/>
        </w:numPr>
        <w:ind w:left="720"/>
        <w:rPr>
          <w:szCs w:val="26"/>
        </w:rPr>
      </w:pPr>
      <w:r w:rsidRPr="00021944">
        <w:rPr>
          <w:szCs w:val="26"/>
        </w:rPr>
        <w:t xml:space="preserve">Remand of </w:t>
      </w:r>
      <w:r w:rsidR="00D20BDD">
        <w:rPr>
          <w:szCs w:val="26"/>
        </w:rPr>
        <w:t xml:space="preserve">Footnote b of the Version 1 TPL Reliability Standard </w:t>
      </w:r>
      <w:r w:rsidR="00113979" w:rsidRPr="00021944">
        <w:rPr>
          <w:szCs w:val="26"/>
        </w:rPr>
        <w:t>(RM11-18-000)</w:t>
      </w:r>
    </w:p>
    <w:p w:rsidR="003410D3" w:rsidRPr="00021944" w:rsidRDefault="00A25563" w:rsidP="00A148C6">
      <w:pPr>
        <w:pStyle w:val="FERCparanumber"/>
        <w:tabs>
          <w:tab w:val="clear" w:pos="720"/>
          <w:tab w:val="num" w:pos="650"/>
          <w:tab w:val="num" w:pos="1350"/>
        </w:tabs>
        <w:rPr>
          <w:szCs w:val="26"/>
        </w:rPr>
      </w:pPr>
      <w:r w:rsidRPr="00021944">
        <w:rPr>
          <w:szCs w:val="26"/>
        </w:rPr>
        <w:t>O</w:t>
      </w:r>
      <w:r w:rsidR="002B580C" w:rsidRPr="00021944">
        <w:rPr>
          <w:szCs w:val="26"/>
        </w:rPr>
        <w:t xml:space="preserve">n March 31, 2011, NERC submitted proposed </w:t>
      </w:r>
      <w:r w:rsidRPr="00021944">
        <w:rPr>
          <w:szCs w:val="26"/>
        </w:rPr>
        <w:t xml:space="preserve">Reliability Standard </w:t>
      </w:r>
      <w:r w:rsidR="002B580C" w:rsidRPr="00021944">
        <w:rPr>
          <w:szCs w:val="26"/>
        </w:rPr>
        <w:t>TPL-002-1 (Version 1)</w:t>
      </w:r>
      <w:r w:rsidR="0082662F">
        <w:rPr>
          <w:szCs w:val="26"/>
        </w:rPr>
        <w:t xml:space="preserve">.  NERC </w:t>
      </w:r>
      <w:r w:rsidR="002B580C" w:rsidRPr="00021944">
        <w:rPr>
          <w:szCs w:val="26"/>
        </w:rPr>
        <w:t xml:space="preserve">proposed to modify </w:t>
      </w:r>
      <w:r w:rsidR="003A5F32" w:rsidRPr="00021944">
        <w:rPr>
          <w:szCs w:val="26"/>
        </w:rPr>
        <w:t xml:space="preserve">Table 1, </w:t>
      </w:r>
      <w:r w:rsidR="002B580C" w:rsidRPr="00021944">
        <w:rPr>
          <w:szCs w:val="26"/>
        </w:rPr>
        <w:t xml:space="preserve">footnote ‘b’ to permit planned </w:t>
      </w:r>
      <w:r w:rsidR="00677CA6" w:rsidRPr="00021944">
        <w:rPr>
          <w:szCs w:val="26"/>
        </w:rPr>
        <w:t>non-consequential load loss</w:t>
      </w:r>
      <w:r w:rsidR="002B580C" w:rsidRPr="00021944">
        <w:rPr>
          <w:szCs w:val="26"/>
        </w:rPr>
        <w:t xml:space="preserve"> when documented and subject</w:t>
      </w:r>
      <w:r w:rsidR="004E0557">
        <w:rPr>
          <w:szCs w:val="26"/>
        </w:rPr>
        <w:t>ed</w:t>
      </w:r>
      <w:r w:rsidR="002B580C" w:rsidRPr="00021944">
        <w:rPr>
          <w:szCs w:val="26"/>
        </w:rPr>
        <w:t xml:space="preserve"> to an open stakeholder process.</w:t>
      </w:r>
      <w:r w:rsidR="006576BD" w:rsidRPr="00021944">
        <w:rPr>
          <w:rStyle w:val="FootnoteReference"/>
        </w:rPr>
        <w:footnoteReference w:id="10"/>
      </w:r>
      <w:r w:rsidR="002B580C" w:rsidRPr="00021944">
        <w:rPr>
          <w:szCs w:val="26"/>
        </w:rPr>
        <w:t xml:space="preserve">  </w:t>
      </w:r>
      <w:r w:rsidR="00AB6B19" w:rsidRPr="00021944">
        <w:rPr>
          <w:szCs w:val="26"/>
        </w:rPr>
        <w:t xml:space="preserve">In Order No. 762, </w:t>
      </w:r>
      <w:r w:rsidR="002B580C" w:rsidRPr="00021944">
        <w:rPr>
          <w:szCs w:val="26"/>
        </w:rPr>
        <w:t>the Commission remand</w:t>
      </w:r>
      <w:r w:rsidR="00AB6B19" w:rsidRPr="00021944">
        <w:rPr>
          <w:szCs w:val="26"/>
        </w:rPr>
        <w:t>ed</w:t>
      </w:r>
      <w:r w:rsidR="002B580C" w:rsidRPr="00021944">
        <w:rPr>
          <w:szCs w:val="26"/>
        </w:rPr>
        <w:t xml:space="preserve"> to NERC the proposed modification to footnote ‘b</w:t>
      </w:r>
      <w:r w:rsidR="00241AA5" w:rsidRPr="00021944">
        <w:rPr>
          <w:szCs w:val="26"/>
        </w:rPr>
        <w:t>,</w:t>
      </w:r>
      <w:r w:rsidR="002B580C" w:rsidRPr="00021944">
        <w:rPr>
          <w:szCs w:val="26"/>
        </w:rPr>
        <w:t>’</w:t>
      </w:r>
      <w:r w:rsidR="000620B0" w:rsidRPr="00021944">
        <w:rPr>
          <w:szCs w:val="26"/>
        </w:rPr>
        <w:t xml:space="preserve"> concluding</w:t>
      </w:r>
      <w:r w:rsidR="00733A25" w:rsidRPr="00021944">
        <w:rPr>
          <w:szCs w:val="26"/>
        </w:rPr>
        <w:t xml:space="preserve"> that the proposed revisions </w:t>
      </w:r>
      <w:r w:rsidR="000620B0" w:rsidRPr="00021944">
        <w:rPr>
          <w:szCs w:val="26"/>
        </w:rPr>
        <w:t>did not meet the Commission’s Order No. 693 directives, nor did the revisions achieve an equally effective and efficient alternative.</w:t>
      </w:r>
      <w:r w:rsidR="0021554E" w:rsidRPr="00021944">
        <w:rPr>
          <w:rStyle w:val="FootnoteReference"/>
        </w:rPr>
        <w:footnoteReference w:id="11"/>
      </w:r>
      <w:r w:rsidR="000620B0" w:rsidRPr="00021944">
        <w:rPr>
          <w:szCs w:val="26"/>
        </w:rPr>
        <w:t xml:space="preserve">  The Commission stated that the proposal </w:t>
      </w:r>
      <w:r w:rsidR="002B580C" w:rsidRPr="00021944">
        <w:rPr>
          <w:szCs w:val="26"/>
        </w:rPr>
        <w:t>d</w:t>
      </w:r>
      <w:r w:rsidR="00AB6B19" w:rsidRPr="00021944">
        <w:rPr>
          <w:szCs w:val="26"/>
        </w:rPr>
        <w:t xml:space="preserve">id </w:t>
      </w:r>
      <w:r w:rsidR="002B580C" w:rsidRPr="00021944">
        <w:rPr>
          <w:szCs w:val="26"/>
        </w:rPr>
        <w:t xml:space="preserve">not adequately clarify or define the circumstances in which an entity can use </w:t>
      </w:r>
      <w:r w:rsidR="00953FB7" w:rsidRPr="00021944">
        <w:rPr>
          <w:szCs w:val="26"/>
        </w:rPr>
        <w:t xml:space="preserve">planned </w:t>
      </w:r>
      <w:r w:rsidR="00677CA6" w:rsidRPr="00021944">
        <w:rPr>
          <w:szCs w:val="26"/>
        </w:rPr>
        <w:t>non-consequential load loss</w:t>
      </w:r>
      <w:r w:rsidR="002B580C" w:rsidRPr="00021944">
        <w:rPr>
          <w:szCs w:val="26"/>
        </w:rPr>
        <w:t xml:space="preserve"> as a mitigation plan to </w:t>
      </w:r>
      <w:r w:rsidR="00953FB7" w:rsidRPr="00021944">
        <w:rPr>
          <w:szCs w:val="26"/>
        </w:rPr>
        <w:t>meet</w:t>
      </w:r>
      <w:r w:rsidR="00C23C75" w:rsidRPr="00021944">
        <w:rPr>
          <w:szCs w:val="26"/>
        </w:rPr>
        <w:t xml:space="preserve"> </w:t>
      </w:r>
      <w:r w:rsidR="00953FB7" w:rsidRPr="00021944">
        <w:rPr>
          <w:szCs w:val="26"/>
        </w:rPr>
        <w:lastRenderedPageBreak/>
        <w:t>performance requirements for</w:t>
      </w:r>
      <w:r w:rsidR="002B580C" w:rsidRPr="00021944">
        <w:rPr>
          <w:szCs w:val="26"/>
        </w:rPr>
        <w:t xml:space="preserve"> single contingency</w:t>
      </w:r>
      <w:r w:rsidR="00953FB7" w:rsidRPr="00021944">
        <w:rPr>
          <w:szCs w:val="26"/>
        </w:rPr>
        <w:t xml:space="preserve"> events</w:t>
      </w:r>
      <w:r w:rsidR="002B580C" w:rsidRPr="00021944">
        <w:rPr>
          <w:szCs w:val="26"/>
        </w:rPr>
        <w:t xml:space="preserve">.  The Commission </w:t>
      </w:r>
      <w:r w:rsidR="00B9422D" w:rsidRPr="00021944">
        <w:rPr>
          <w:szCs w:val="26"/>
        </w:rPr>
        <w:t xml:space="preserve">also </w:t>
      </w:r>
      <w:r w:rsidR="00777559">
        <w:rPr>
          <w:szCs w:val="26"/>
        </w:rPr>
        <w:t>explained</w:t>
      </w:r>
      <w:r w:rsidR="002B580C" w:rsidRPr="00021944">
        <w:rPr>
          <w:szCs w:val="26"/>
        </w:rPr>
        <w:t xml:space="preserve"> that the procedural and substantive parameters of NERC’s proposal </w:t>
      </w:r>
      <w:r w:rsidR="00AB6B19" w:rsidRPr="00021944">
        <w:rPr>
          <w:szCs w:val="26"/>
        </w:rPr>
        <w:t xml:space="preserve">were </w:t>
      </w:r>
      <w:r w:rsidR="002B580C" w:rsidRPr="00021944">
        <w:rPr>
          <w:szCs w:val="26"/>
        </w:rPr>
        <w:t xml:space="preserve">too undefined to provide assurances that the process will be effective in determining when it is appropriate to plan for </w:t>
      </w:r>
      <w:r w:rsidR="00677CA6" w:rsidRPr="00021944">
        <w:rPr>
          <w:szCs w:val="26"/>
        </w:rPr>
        <w:t>non-consequential load loss</w:t>
      </w:r>
      <w:r w:rsidR="002B580C" w:rsidRPr="00021944">
        <w:rPr>
          <w:szCs w:val="26"/>
        </w:rPr>
        <w:t>, d</w:t>
      </w:r>
      <w:r w:rsidR="00061145" w:rsidRPr="00021944">
        <w:rPr>
          <w:szCs w:val="26"/>
        </w:rPr>
        <w:t>id</w:t>
      </w:r>
      <w:r w:rsidR="002B580C" w:rsidRPr="00021944">
        <w:rPr>
          <w:szCs w:val="26"/>
        </w:rPr>
        <w:t xml:space="preserve"> not contain NERC-defined criteria on circumstances to determine when an exception for planned </w:t>
      </w:r>
      <w:r w:rsidR="00677CA6" w:rsidRPr="00021944">
        <w:rPr>
          <w:szCs w:val="26"/>
        </w:rPr>
        <w:t xml:space="preserve">non-consequential load loss </w:t>
      </w:r>
      <w:r w:rsidR="002B580C" w:rsidRPr="00021944">
        <w:rPr>
          <w:szCs w:val="26"/>
        </w:rPr>
        <w:t>is permissible, and could result in inconsist</w:t>
      </w:r>
      <w:r w:rsidR="00A148C6" w:rsidRPr="00021944">
        <w:rPr>
          <w:szCs w:val="26"/>
        </w:rPr>
        <w:t xml:space="preserve">ent results in implementation.  </w:t>
      </w:r>
      <w:r w:rsidR="003410D3" w:rsidRPr="00021944">
        <w:rPr>
          <w:szCs w:val="26"/>
        </w:rPr>
        <w:t>Accordingly, the Commission remanded the filing to NERC</w:t>
      </w:r>
      <w:r w:rsidR="00777559">
        <w:rPr>
          <w:szCs w:val="26"/>
        </w:rPr>
        <w:t xml:space="preserve"> and</w:t>
      </w:r>
      <w:r w:rsidR="003410D3" w:rsidRPr="00021944">
        <w:rPr>
          <w:szCs w:val="26"/>
        </w:rPr>
        <w:t xml:space="preserve"> direct</w:t>
      </w:r>
      <w:r w:rsidR="00777559">
        <w:rPr>
          <w:szCs w:val="26"/>
        </w:rPr>
        <w:t>ed</w:t>
      </w:r>
      <w:r w:rsidR="003410D3" w:rsidRPr="00021944">
        <w:rPr>
          <w:szCs w:val="26"/>
        </w:rPr>
        <w:t xml:space="preserve"> NERC to </w:t>
      </w:r>
      <w:r w:rsidR="00777559">
        <w:rPr>
          <w:szCs w:val="26"/>
        </w:rPr>
        <w:t xml:space="preserve">develop </w:t>
      </w:r>
      <w:r w:rsidR="003410D3" w:rsidRPr="00021944">
        <w:rPr>
          <w:szCs w:val="26"/>
        </w:rPr>
        <w:t>revis</w:t>
      </w:r>
      <w:r w:rsidR="00777559">
        <w:rPr>
          <w:szCs w:val="26"/>
        </w:rPr>
        <w:t>ions</w:t>
      </w:r>
      <w:r w:rsidR="003410D3" w:rsidRPr="00021944">
        <w:rPr>
          <w:szCs w:val="26"/>
        </w:rPr>
        <w:t xml:space="preserve"> </w:t>
      </w:r>
      <w:r w:rsidR="00777559">
        <w:rPr>
          <w:szCs w:val="26"/>
        </w:rPr>
        <w:t xml:space="preserve">to </w:t>
      </w:r>
      <w:r w:rsidR="003410D3" w:rsidRPr="00021944">
        <w:rPr>
          <w:szCs w:val="26"/>
        </w:rPr>
        <w:t>footnote</w:t>
      </w:r>
      <w:r w:rsidR="003137B9" w:rsidRPr="00021944">
        <w:rPr>
          <w:szCs w:val="26"/>
        </w:rPr>
        <w:t xml:space="preserve"> ‘b’</w:t>
      </w:r>
      <w:r w:rsidR="003410D3" w:rsidRPr="00021944">
        <w:rPr>
          <w:szCs w:val="26"/>
        </w:rPr>
        <w:t xml:space="preserve"> </w:t>
      </w:r>
      <w:r w:rsidR="00777559">
        <w:rPr>
          <w:szCs w:val="26"/>
        </w:rPr>
        <w:t>that would</w:t>
      </w:r>
      <w:r w:rsidR="003410D3" w:rsidRPr="00021944">
        <w:rPr>
          <w:szCs w:val="26"/>
        </w:rPr>
        <w:t xml:space="preserve"> address the Commission’s concerns.  Additionally, in Order No. 762</w:t>
      </w:r>
      <w:r w:rsidR="00777559">
        <w:rPr>
          <w:szCs w:val="26"/>
        </w:rPr>
        <w:t>,</w:t>
      </w:r>
      <w:r w:rsidR="00061145" w:rsidRPr="00021944">
        <w:rPr>
          <w:szCs w:val="26"/>
        </w:rPr>
        <w:t xml:space="preserve"> </w:t>
      </w:r>
      <w:r w:rsidR="003410D3" w:rsidRPr="00021944">
        <w:rPr>
          <w:szCs w:val="26"/>
        </w:rPr>
        <w:t xml:space="preserve">the Commission directed NERC to “identify the specific instances of any planned interruptions of </w:t>
      </w:r>
      <w:r w:rsidR="00D629D0" w:rsidRPr="00021944">
        <w:rPr>
          <w:szCs w:val="26"/>
        </w:rPr>
        <w:t>firm demand</w:t>
      </w:r>
      <w:r w:rsidR="003410D3" w:rsidRPr="00021944">
        <w:rPr>
          <w:szCs w:val="26"/>
        </w:rPr>
        <w:t xml:space="preserve"> under footnote </w:t>
      </w:r>
      <w:r w:rsidR="0032258C" w:rsidRPr="00021944">
        <w:rPr>
          <w:szCs w:val="26"/>
        </w:rPr>
        <w:t>‘</w:t>
      </w:r>
      <w:r w:rsidR="003410D3" w:rsidRPr="00021944">
        <w:rPr>
          <w:szCs w:val="26"/>
        </w:rPr>
        <w:t>b</w:t>
      </w:r>
      <w:r w:rsidR="0032258C" w:rsidRPr="00021944">
        <w:rPr>
          <w:szCs w:val="26"/>
        </w:rPr>
        <w:t>’</w:t>
      </w:r>
      <w:r w:rsidR="003410D3" w:rsidRPr="00021944">
        <w:rPr>
          <w:szCs w:val="26"/>
        </w:rPr>
        <w:t xml:space="preserve"> and how frequently the provision has been used.”</w:t>
      </w:r>
      <w:r w:rsidR="00B9422D" w:rsidRPr="00021944">
        <w:rPr>
          <w:rStyle w:val="FootnoteReference"/>
        </w:rPr>
        <w:footnoteReference w:id="12"/>
      </w:r>
      <w:r w:rsidR="003410D3" w:rsidRPr="00021944">
        <w:rPr>
          <w:szCs w:val="26"/>
        </w:rPr>
        <w:t xml:space="preserve">  </w:t>
      </w:r>
    </w:p>
    <w:p w:rsidR="002B580C" w:rsidRPr="00021944" w:rsidRDefault="000643D7" w:rsidP="00AB6B19">
      <w:pPr>
        <w:pStyle w:val="Heading2"/>
        <w:numPr>
          <w:ilvl w:val="0"/>
          <w:numId w:val="0"/>
        </w:numPr>
        <w:ind w:left="720"/>
        <w:rPr>
          <w:szCs w:val="26"/>
        </w:rPr>
      </w:pPr>
      <w:r w:rsidRPr="00021944">
        <w:rPr>
          <w:szCs w:val="26"/>
        </w:rPr>
        <w:t xml:space="preserve">Proposed Remand of </w:t>
      </w:r>
      <w:r w:rsidR="00D20BDD">
        <w:rPr>
          <w:szCs w:val="26"/>
        </w:rPr>
        <w:t xml:space="preserve">Version 2 of the </w:t>
      </w:r>
      <w:r w:rsidR="002B580C" w:rsidRPr="00021944">
        <w:rPr>
          <w:szCs w:val="26"/>
        </w:rPr>
        <w:t>TPL</w:t>
      </w:r>
      <w:r w:rsidR="00D20BDD">
        <w:rPr>
          <w:szCs w:val="26"/>
        </w:rPr>
        <w:t xml:space="preserve"> Reliability Standard (</w:t>
      </w:r>
      <w:r w:rsidR="00113979" w:rsidRPr="00021944">
        <w:rPr>
          <w:szCs w:val="26"/>
        </w:rPr>
        <w:t>RM12-1-000)</w:t>
      </w:r>
    </w:p>
    <w:p w:rsidR="000643D7" w:rsidRPr="00021944" w:rsidRDefault="000F1445" w:rsidP="007E3FE9">
      <w:pPr>
        <w:pStyle w:val="FERCparanumber"/>
        <w:tabs>
          <w:tab w:val="clear" w:pos="720"/>
          <w:tab w:val="num" w:pos="650"/>
          <w:tab w:val="num" w:pos="1350"/>
        </w:tabs>
        <w:rPr>
          <w:szCs w:val="26"/>
        </w:rPr>
      </w:pPr>
      <w:r w:rsidRPr="00021944">
        <w:rPr>
          <w:szCs w:val="26"/>
        </w:rPr>
        <w:t>O</w:t>
      </w:r>
      <w:r w:rsidR="000643D7" w:rsidRPr="00021944">
        <w:rPr>
          <w:szCs w:val="26"/>
        </w:rPr>
        <w:t>n October 19, 2011</w:t>
      </w:r>
      <w:r w:rsidR="00A148C6" w:rsidRPr="00021944">
        <w:rPr>
          <w:szCs w:val="26"/>
        </w:rPr>
        <w:t>,</w:t>
      </w:r>
      <w:r w:rsidR="000643D7" w:rsidRPr="00021944">
        <w:rPr>
          <w:szCs w:val="26"/>
        </w:rPr>
        <w:t xml:space="preserve"> </w:t>
      </w:r>
      <w:r w:rsidRPr="00021944">
        <w:rPr>
          <w:szCs w:val="26"/>
        </w:rPr>
        <w:t xml:space="preserve">NERC submitted a petition </w:t>
      </w:r>
      <w:r w:rsidR="000643D7" w:rsidRPr="00021944">
        <w:rPr>
          <w:szCs w:val="26"/>
        </w:rPr>
        <w:t>seeking approval of a revised and consolidated TPL Reliability Standard that combine</w:t>
      </w:r>
      <w:r w:rsidR="00A4179D" w:rsidRPr="00021944">
        <w:rPr>
          <w:szCs w:val="26"/>
        </w:rPr>
        <w:t>d</w:t>
      </w:r>
      <w:r w:rsidR="000643D7" w:rsidRPr="00021944">
        <w:rPr>
          <w:szCs w:val="26"/>
        </w:rPr>
        <w:t xml:space="preserve"> the four current</w:t>
      </w:r>
      <w:r w:rsidR="00940B96" w:rsidRPr="00021944">
        <w:rPr>
          <w:szCs w:val="26"/>
        </w:rPr>
        <w:t>ly-effective</w:t>
      </w:r>
      <w:r w:rsidR="000643D7" w:rsidRPr="00021944">
        <w:rPr>
          <w:szCs w:val="26"/>
        </w:rPr>
        <w:t xml:space="preserve"> TPL </w:t>
      </w:r>
      <w:r w:rsidR="00061145" w:rsidRPr="00021944">
        <w:rPr>
          <w:szCs w:val="26"/>
        </w:rPr>
        <w:t xml:space="preserve">Reliability </w:t>
      </w:r>
      <w:r w:rsidR="000643D7" w:rsidRPr="00021944">
        <w:rPr>
          <w:szCs w:val="26"/>
        </w:rPr>
        <w:t>Standards into a single standard</w:t>
      </w:r>
      <w:r w:rsidRPr="00021944">
        <w:rPr>
          <w:szCs w:val="26"/>
        </w:rPr>
        <w:t>,</w:t>
      </w:r>
      <w:r w:rsidR="000643D7" w:rsidRPr="00021944">
        <w:rPr>
          <w:szCs w:val="26"/>
        </w:rPr>
        <w:t xml:space="preserve"> TPL-001-2</w:t>
      </w:r>
      <w:r w:rsidR="00CE0B5F" w:rsidRPr="00021944">
        <w:rPr>
          <w:szCs w:val="26"/>
        </w:rPr>
        <w:t xml:space="preserve"> (Version 2)</w:t>
      </w:r>
      <w:r w:rsidR="000643D7" w:rsidRPr="00021944">
        <w:rPr>
          <w:szCs w:val="26"/>
        </w:rPr>
        <w:t>.</w:t>
      </w:r>
      <w:r w:rsidR="00152036" w:rsidRPr="00021944">
        <w:rPr>
          <w:rStyle w:val="FootnoteReference"/>
        </w:rPr>
        <w:footnoteReference w:id="13"/>
      </w:r>
      <w:r w:rsidR="000643D7" w:rsidRPr="00021944">
        <w:rPr>
          <w:szCs w:val="26"/>
        </w:rPr>
        <w:t xml:space="preserve">  </w:t>
      </w:r>
      <w:r w:rsidR="00061145" w:rsidRPr="00021944">
        <w:rPr>
          <w:szCs w:val="26"/>
        </w:rPr>
        <w:t xml:space="preserve">The Version 2 standard included </w:t>
      </w:r>
      <w:r w:rsidR="002733FB" w:rsidRPr="00021944">
        <w:rPr>
          <w:szCs w:val="26"/>
        </w:rPr>
        <w:t xml:space="preserve">language similar to NERC’s </w:t>
      </w:r>
      <w:r w:rsidR="002733FB" w:rsidRPr="00021944">
        <w:rPr>
          <w:szCs w:val="26"/>
        </w:rPr>
        <w:lastRenderedPageBreak/>
        <w:t>Version 1</w:t>
      </w:r>
      <w:r w:rsidR="00061145" w:rsidRPr="00021944">
        <w:rPr>
          <w:szCs w:val="26"/>
        </w:rPr>
        <w:t xml:space="preserve"> </w:t>
      </w:r>
      <w:r w:rsidR="002733FB" w:rsidRPr="00021944">
        <w:rPr>
          <w:szCs w:val="26"/>
        </w:rPr>
        <w:t>proposal</w:t>
      </w:r>
      <w:r w:rsidR="00D20BDD">
        <w:rPr>
          <w:szCs w:val="26"/>
        </w:rPr>
        <w:t xml:space="preserve"> with regard to utilizing non-consequential load loss</w:t>
      </w:r>
      <w:r w:rsidR="002733FB" w:rsidRPr="00021944">
        <w:rPr>
          <w:szCs w:val="26"/>
        </w:rPr>
        <w:t xml:space="preserve">.  </w:t>
      </w:r>
      <w:r w:rsidR="003A2FDC">
        <w:rPr>
          <w:szCs w:val="26"/>
        </w:rPr>
        <w:t>The</w:t>
      </w:r>
      <w:r w:rsidR="00BD5716" w:rsidRPr="00021944">
        <w:rPr>
          <w:szCs w:val="26"/>
        </w:rPr>
        <w:t xml:space="preserve"> Version 2</w:t>
      </w:r>
      <w:r w:rsidR="002733FB" w:rsidRPr="00021944">
        <w:rPr>
          <w:szCs w:val="26"/>
        </w:rPr>
        <w:t xml:space="preserve"> </w:t>
      </w:r>
      <w:r w:rsidR="003A2FDC">
        <w:rPr>
          <w:szCs w:val="26"/>
        </w:rPr>
        <w:t xml:space="preserve">standard </w:t>
      </w:r>
      <w:r w:rsidR="00796CF1">
        <w:rPr>
          <w:szCs w:val="26"/>
        </w:rPr>
        <w:t>included a</w:t>
      </w:r>
      <w:r w:rsidR="00D20BDD">
        <w:rPr>
          <w:szCs w:val="26"/>
        </w:rPr>
        <w:t xml:space="preserve"> non-consequential load loss provision </w:t>
      </w:r>
      <w:r w:rsidR="00CC6E84" w:rsidRPr="00021944">
        <w:rPr>
          <w:szCs w:val="26"/>
        </w:rPr>
        <w:t>in</w:t>
      </w:r>
      <w:r w:rsidR="00F550C5" w:rsidRPr="00021944">
        <w:rPr>
          <w:szCs w:val="26"/>
        </w:rPr>
        <w:t xml:space="preserve"> </w:t>
      </w:r>
      <w:r w:rsidR="00796CF1">
        <w:rPr>
          <w:szCs w:val="26"/>
        </w:rPr>
        <w:t xml:space="preserve">Table </w:t>
      </w:r>
      <w:r w:rsidR="007E3FE9">
        <w:rPr>
          <w:szCs w:val="26"/>
        </w:rPr>
        <w:t xml:space="preserve">1 - </w:t>
      </w:r>
      <w:r w:rsidR="002733FB" w:rsidRPr="00021944">
        <w:rPr>
          <w:szCs w:val="26"/>
        </w:rPr>
        <w:t>Steady State &amp; Stability Performance</w:t>
      </w:r>
      <w:r w:rsidR="007E3FE9">
        <w:rPr>
          <w:szCs w:val="26"/>
        </w:rPr>
        <w:t xml:space="preserve"> Footnotes (Planning Events and Extreme Events)</w:t>
      </w:r>
      <w:r w:rsidR="00796CF1">
        <w:rPr>
          <w:szCs w:val="26"/>
        </w:rPr>
        <w:t>,</w:t>
      </w:r>
      <w:r w:rsidR="002733FB" w:rsidRPr="00021944">
        <w:rPr>
          <w:szCs w:val="26"/>
        </w:rPr>
        <w:t xml:space="preserve"> </w:t>
      </w:r>
      <w:r w:rsidR="00796CF1">
        <w:rPr>
          <w:szCs w:val="26"/>
        </w:rPr>
        <w:t>f</w:t>
      </w:r>
      <w:r w:rsidR="002733FB" w:rsidRPr="00021944">
        <w:rPr>
          <w:szCs w:val="26"/>
        </w:rPr>
        <w:t>ootnotes 9 and 12</w:t>
      </w:r>
      <w:r w:rsidR="00A820E2" w:rsidRPr="00021944">
        <w:rPr>
          <w:szCs w:val="26"/>
        </w:rPr>
        <w:t>.</w:t>
      </w:r>
      <w:r w:rsidR="00B01ACD" w:rsidRPr="00021944">
        <w:rPr>
          <w:rStyle w:val="FootnoteReference"/>
        </w:rPr>
        <w:footnoteReference w:id="14"/>
      </w:r>
      <w:r w:rsidR="00796CF1">
        <w:rPr>
          <w:szCs w:val="26"/>
        </w:rPr>
        <w:t xml:space="preserve"> </w:t>
      </w:r>
    </w:p>
    <w:p w:rsidR="003B78A9" w:rsidRPr="00021944" w:rsidRDefault="000643D7" w:rsidP="00D11FF5">
      <w:pPr>
        <w:pStyle w:val="FERCparanumber"/>
        <w:rPr>
          <w:b/>
          <w:bCs/>
          <w:szCs w:val="26"/>
        </w:rPr>
      </w:pPr>
      <w:r w:rsidRPr="00021944">
        <w:rPr>
          <w:szCs w:val="26"/>
        </w:rPr>
        <w:t>On</w:t>
      </w:r>
      <w:r w:rsidR="00A148C6" w:rsidRPr="00021944">
        <w:rPr>
          <w:szCs w:val="26"/>
        </w:rPr>
        <w:t xml:space="preserve"> the same day </w:t>
      </w:r>
      <w:r w:rsidR="00314689" w:rsidRPr="00021944">
        <w:rPr>
          <w:szCs w:val="26"/>
        </w:rPr>
        <w:t xml:space="preserve">that </w:t>
      </w:r>
      <w:r w:rsidR="002B41DA" w:rsidRPr="00021944">
        <w:rPr>
          <w:szCs w:val="26"/>
        </w:rPr>
        <w:t xml:space="preserve">the Commission </w:t>
      </w:r>
      <w:r w:rsidR="00A148C6" w:rsidRPr="00021944">
        <w:rPr>
          <w:szCs w:val="26"/>
        </w:rPr>
        <w:t xml:space="preserve">issued Order No. 762, </w:t>
      </w:r>
      <w:r w:rsidR="004D4B9E" w:rsidRPr="00021944">
        <w:rPr>
          <w:szCs w:val="26"/>
        </w:rPr>
        <w:t xml:space="preserve">the Commission issued </w:t>
      </w:r>
      <w:r w:rsidR="005652B1">
        <w:rPr>
          <w:szCs w:val="26"/>
        </w:rPr>
        <w:t>a notice of proposed rulemaking (</w:t>
      </w:r>
      <w:r w:rsidR="004D4B9E" w:rsidRPr="00021944">
        <w:rPr>
          <w:szCs w:val="26"/>
        </w:rPr>
        <w:t>April 2012 NOPR</w:t>
      </w:r>
      <w:r w:rsidR="005652B1">
        <w:rPr>
          <w:szCs w:val="26"/>
        </w:rPr>
        <w:t>)</w:t>
      </w:r>
      <w:r w:rsidR="004D4B9E" w:rsidRPr="00021944">
        <w:rPr>
          <w:szCs w:val="26"/>
        </w:rPr>
        <w:t xml:space="preserve"> </w:t>
      </w:r>
      <w:r w:rsidRPr="00021944">
        <w:rPr>
          <w:szCs w:val="26"/>
        </w:rPr>
        <w:t xml:space="preserve">stating that, notwithstanding that proposed </w:t>
      </w:r>
      <w:r w:rsidR="0098540F" w:rsidRPr="00021944">
        <w:rPr>
          <w:szCs w:val="26"/>
        </w:rPr>
        <w:t xml:space="preserve">Version 2 </w:t>
      </w:r>
      <w:r w:rsidRPr="00021944">
        <w:rPr>
          <w:szCs w:val="26"/>
        </w:rPr>
        <w:t xml:space="preserve">included specific </w:t>
      </w:r>
      <w:r w:rsidR="00A148C6" w:rsidRPr="00021944">
        <w:rPr>
          <w:szCs w:val="26"/>
        </w:rPr>
        <w:t>improvements over the currently-</w:t>
      </w:r>
      <w:r w:rsidRPr="00021944">
        <w:rPr>
          <w:szCs w:val="26"/>
        </w:rPr>
        <w:t xml:space="preserve">effective Transmission Planning Reliability Standards, footnote </w:t>
      </w:r>
      <w:r w:rsidR="00EE7A12" w:rsidRPr="00021944">
        <w:rPr>
          <w:szCs w:val="26"/>
        </w:rPr>
        <w:t>12</w:t>
      </w:r>
      <w:r w:rsidR="0093642D" w:rsidRPr="00021944">
        <w:rPr>
          <w:szCs w:val="26"/>
        </w:rPr>
        <w:t xml:space="preserve"> </w:t>
      </w:r>
      <w:r w:rsidRPr="00021944">
        <w:rPr>
          <w:szCs w:val="26"/>
        </w:rPr>
        <w:t>“allow</w:t>
      </w:r>
      <w:r w:rsidR="0093642D" w:rsidRPr="00021944">
        <w:rPr>
          <w:szCs w:val="26"/>
        </w:rPr>
        <w:t>[s]</w:t>
      </w:r>
      <w:r w:rsidR="00D92A20" w:rsidRPr="00021944">
        <w:rPr>
          <w:szCs w:val="26"/>
        </w:rPr>
        <w:t xml:space="preserve"> </w:t>
      </w:r>
      <w:r w:rsidRPr="00021944">
        <w:rPr>
          <w:szCs w:val="26"/>
        </w:rPr>
        <w:t>for transmission planners to plan for non-consequential load loss following a single contingency without adequate safeguards</w:t>
      </w:r>
      <w:r w:rsidR="001F54C3" w:rsidRPr="00021944">
        <w:rPr>
          <w:szCs w:val="26"/>
        </w:rPr>
        <w:t xml:space="preserve"> [and]</w:t>
      </w:r>
      <w:r w:rsidRPr="00021944">
        <w:rPr>
          <w:szCs w:val="26"/>
        </w:rPr>
        <w:t xml:space="preserve"> undermines the potential benefits the proposed Reliability Standard may provide.”</w:t>
      </w:r>
      <w:r w:rsidR="0033417F" w:rsidRPr="00021944">
        <w:rPr>
          <w:rStyle w:val="FootnoteReference"/>
        </w:rPr>
        <w:footnoteReference w:id="15"/>
      </w:r>
      <w:r w:rsidRPr="00021944">
        <w:rPr>
          <w:szCs w:val="26"/>
        </w:rPr>
        <w:t xml:space="preserve">  Thus, </w:t>
      </w:r>
      <w:r w:rsidR="0098540F" w:rsidRPr="00021944">
        <w:rPr>
          <w:szCs w:val="26"/>
        </w:rPr>
        <w:t>the Commission stated that</w:t>
      </w:r>
      <w:r w:rsidR="00D11FF5" w:rsidRPr="00021944">
        <w:rPr>
          <w:szCs w:val="26"/>
        </w:rPr>
        <w:t xml:space="preserve"> </w:t>
      </w:r>
      <w:r w:rsidR="0098540F" w:rsidRPr="00021944">
        <w:rPr>
          <w:szCs w:val="26"/>
        </w:rPr>
        <w:t xml:space="preserve">its </w:t>
      </w:r>
      <w:r w:rsidRPr="00021944">
        <w:rPr>
          <w:szCs w:val="26"/>
        </w:rPr>
        <w:t xml:space="preserve">concerns regarding the stakeholder process set forth in footnote </w:t>
      </w:r>
      <w:r w:rsidR="00877384" w:rsidRPr="00021944">
        <w:rPr>
          <w:szCs w:val="26"/>
        </w:rPr>
        <w:t xml:space="preserve">12 </w:t>
      </w:r>
      <w:r w:rsidR="0098540F" w:rsidRPr="00021944">
        <w:rPr>
          <w:szCs w:val="26"/>
        </w:rPr>
        <w:t xml:space="preserve">required a proposal </w:t>
      </w:r>
      <w:r w:rsidRPr="00021944">
        <w:rPr>
          <w:szCs w:val="26"/>
        </w:rPr>
        <w:t xml:space="preserve">to remand the </w:t>
      </w:r>
      <w:r w:rsidR="0098540F" w:rsidRPr="00021944">
        <w:rPr>
          <w:szCs w:val="26"/>
        </w:rPr>
        <w:t>entire Reliability Standard</w:t>
      </w:r>
      <w:r w:rsidR="00796CF1">
        <w:rPr>
          <w:szCs w:val="26"/>
        </w:rPr>
        <w:t>.  The Commission</w:t>
      </w:r>
      <w:r w:rsidR="00CB1842" w:rsidRPr="00021944">
        <w:rPr>
          <w:szCs w:val="26"/>
        </w:rPr>
        <w:t xml:space="preserve"> </w:t>
      </w:r>
      <w:r w:rsidRPr="00021944">
        <w:rPr>
          <w:szCs w:val="26"/>
        </w:rPr>
        <w:t>added</w:t>
      </w:r>
      <w:r w:rsidR="00CB1842" w:rsidRPr="00021944">
        <w:rPr>
          <w:szCs w:val="26"/>
        </w:rPr>
        <w:t xml:space="preserve"> </w:t>
      </w:r>
      <w:r w:rsidRPr="00021944">
        <w:rPr>
          <w:szCs w:val="26"/>
        </w:rPr>
        <w:t>that resolution of th</w:t>
      </w:r>
      <w:r w:rsidR="00CB1842" w:rsidRPr="00021944">
        <w:rPr>
          <w:szCs w:val="26"/>
        </w:rPr>
        <w:t xml:space="preserve">e footnote 12 concerns </w:t>
      </w:r>
      <w:r w:rsidR="006D5130">
        <w:rPr>
          <w:szCs w:val="26"/>
        </w:rPr>
        <w:t>“</w:t>
      </w:r>
      <w:r w:rsidR="00CB1842" w:rsidRPr="00021944">
        <w:rPr>
          <w:szCs w:val="26"/>
        </w:rPr>
        <w:t xml:space="preserve">would </w:t>
      </w:r>
      <w:r w:rsidRPr="00021944">
        <w:rPr>
          <w:szCs w:val="26"/>
        </w:rPr>
        <w:t xml:space="preserve">allow the </w:t>
      </w:r>
      <w:r w:rsidRPr="00021944">
        <w:rPr>
          <w:szCs w:val="26"/>
        </w:rPr>
        <w:lastRenderedPageBreak/>
        <w:t>industry, NERC</w:t>
      </w:r>
      <w:r w:rsidR="003B78A9" w:rsidRPr="00021944">
        <w:rPr>
          <w:szCs w:val="26"/>
        </w:rPr>
        <w:t xml:space="preserve"> </w:t>
      </w:r>
      <w:r w:rsidRPr="00021944">
        <w:rPr>
          <w:szCs w:val="26"/>
        </w:rPr>
        <w:t>and the Commission to go forward with the consideration of other improvements contained in proposed</w:t>
      </w:r>
      <w:r w:rsidR="00877384" w:rsidRPr="00021944">
        <w:rPr>
          <w:szCs w:val="26"/>
        </w:rPr>
        <w:t xml:space="preserve"> Version 2</w:t>
      </w:r>
      <w:r w:rsidRPr="00021944">
        <w:rPr>
          <w:szCs w:val="26"/>
        </w:rPr>
        <w:t>.</w:t>
      </w:r>
      <w:r w:rsidR="006D5130">
        <w:rPr>
          <w:szCs w:val="26"/>
        </w:rPr>
        <w:t>”</w:t>
      </w:r>
      <w:r w:rsidR="00187594" w:rsidRPr="00021944">
        <w:rPr>
          <w:rStyle w:val="FootnoteReference"/>
        </w:rPr>
        <w:footnoteReference w:id="16"/>
      </w:r>
      <w:r w:rsidR="00D11FF5" w:rsidRPr="00021944">
        <w:rPr>
          <w:b/>
          <w:bCs/>
          <w:szCs w:val="26"/>
        </w:rPr>
        <w:t xml:space="preserve">   </w:t>
      </w:r>
      <w:r w:rsidR="003B78A9" w:rsidRPr="00021944">
        <w:rPr>
          <w:szCs w:val="26"/>
        </w:rPr>
        <w:t xml:space="preserve">In addition, the </w:t>
      </w:r>
      <w:r w:rsidR="00CB1842" w:rsidRPr="00021944">
        <w:rPr>
          <w:szCs w:val="26"/>
        </w:rPr>
        <w:t xml:space="preserve">April 2012 </w:t>
      </w:r>
      <w:r w:rsidR="003B78A9" w:rsidRPr="00021944">
        <w:rPr>
          <w:szCs w:val="26"/>
        </w:rPr>
        <w:t>NOPR asked for comment on various aspects of the consol</w:t>
      </w:r>
      <w:r w:rsidR="00C60279" w:rsidRPr="00021944">
        <w:rPr>
          <w:szCs w:val="26"/>
        </w:rPr>
        <w:t xml:space="preserve">idated Version 2 </w:t>
      </w:r>
      <w:r w:rsidR="004D4B9E" w:rsidRPr="00021944">
        <w:rPr>
          <w:szCs w:val="26"/>
        </w:rPr>
        <w:t xml:space="preserve">Reliability </w:t>
      </w:r>
      <w:r w:rsidR="00C60279" w:rsidRPr="00021944">
        <w:rPr>
          <w:szCs w:val="26"/>
        </w:rPr>
        <w:t xml:space="preserve">Standard.  </w:t>
      </w:r>
      <w:r w:rsidR="003B78A9" w:rsidRPr="00021944">
        <w:rPr>
          <w:szCs w:val="26"/>
        </w:rPr>
        <w:t xml:space="preserve">Comments on the NOPR were due by </w:t>
      </w:r>
      <w:r w:rsidR="007A60B9" w:rsidRPr="00021944">
        <w:rPr>
          <w:szCs w:val="26"/>
        </w:rPr>
        <w:t xml:space="preserve">July 20, </w:t>
      </w:r>
      <w:r w:rsidR="003B78A9" w:rsidRPr="00021944">
        <w:rPr>
          <w:szCs w:val="26"/>
        </w:rPr>
        <w:t xml:space="preserve">2012.  </w:t>
      </w:r>
      <w:r w:rsidR="00C60279" w:rsidRPr="00021944">
        <w:rPr>
          <w:szCs w:val="26"/>
        </w:rPr>
        <w:t>The following entities</w:t>
      </w:r>
      <w:r w:rsidR="003B78A9" w:rsidRPr="00021944">
        <w:rPr>
          <w:szCs w:val="26"/>
        </w:rPr>
        <w:t xml:space="preserve"> submitted</w:t>
      </w:r>
      <w:r w:rsidR="00A4523B" w:rsidRPr="00021944">
        <w:rPr>
          <w:szCs w:val="26"/>
        </w:rPr>
        <w:t xml:space="preserve"> comments</w:t>
      </w:r>
      <w:r w:rsidR="00C60279" w:rsidRPr="00021944">
        <w:rPr>
          <w:szCs w:val="26"/>
        </w:rPr>
        <w:t>:</w:t>
      </w:r>
      <w:r w:rsidR="00D11FF5" w:rsidRPr="00021944">
        <w:rPr>
          <w:szCs w:val="26"/>
        </w:rPr>
        <w:t xml:space="preserve"> </w:t>
      </w:r>
      <w:r w:rsidR="00023906">
        <w:rPr>
          <w:szCs w:val="26"/>
        </w:rPr>
        <w:t xml:space="preserve"> </w:t>
      </w:r>
      <w:r w:rsidR="00D11FF5" w:rsidRPr="00021944">
        <w:rPr>
          <w:szCs w:val="26"/>
        </w:rPr>
        <w:t>NERC, the Edison Electric Institute (EEI), ISO/RTOs,</w:t>
      </w:r>
      <w:r w:rsidR="00D11FF5" w:rsidRPr="00021944">
        <w:rPr>
          <w:rStyle w:val="FootnoteReference"/>
        </w:rPr>
        <w:footnoteReference w:id="17"/>
      </w:r>
      <w:r w:rsidR="00D11FF5" w:rsidRPr="00021944">
        <w:rPr>
          <w:szCs w:val="26"/>
        </w:rPr>
        <w:t xml:space="preserve"> ITC Companies,</w:t>
      </w:r>
      <w:r w:rsidR="00D11FF5" w:rsidRPr="00021944">
        <w:rPr>
          <w:rStyle w:val="FootnoteReference"/>
        </w:rPr>
        <w:footnoteReference w:id="18"/>
      </w:r>
      <w:r w:rsidR="00D11FF5" w:rsidRPr="00021944">
        <w:rPr>
          <w:szCs w:val="26"/>
        </w:rPr>
        <w:t xml:space="preserve"> Mid</w:t>
      </w:r>
      <w:r w:rsidR="0014732F" w:rsidRPr="00021944">
        <w:rPr>
          <w:szCs w:val="26"/>
        </w:rPr>
        <w:t>continent</w:t>
      </w:r>
      <w:r w:rsidR="00D11FF5" w:rsidRPr="00021944">
        <w:rPr>
          <w:szCs w:val="26"/>
        </w:rPr>
        <w:t xml:space="preserve"> Independent System Operator Inc. (MISO),</w:t>
      </w:r>
      <w:r w:rsidR="00D11FF5" w:rsidRPr="00021944">
        <w:rPr>
          <w:rStyle w:val="FootnoteReference"/>
        </w:rPr>
        <w:footnoteReference w:id="19"/>
      </w:r>
      <w:r w:rsidR="003B78A9" w:rsidRPr="00021944">
        <w:rPr>
          <w:szCs w:val="26"/>
        </w:rPr>
        <w:t xml:space="preserve"> </w:t>
      </w:r>
      <w:r w:rsidR="00D11FF5" w:rsidRPr="00021944">
        <w:rPr>
          <w:szCs w:val="26"/>
        </w:rPr>
        <w:t>American Transmission Company</w:t>
      </w:r>
      <w:r w:rsidR="00D144F3" w:rsidRPr="00021944">
        <w:rPr>
          <w:szCs w:val="26"/>
        </w:rPr>
        <w:t xml:space="preserve"> LLC (ATCLLC), Powerex Corporation (Powerex), Bonneville Power Administration (BPA), and Hydro One Networks and the Independent Electricity System Operator (Hydro One and IESO). </w:t>
      </w:r>
    </w:p>
    <w:bookmarkEnd w:id="2"/>
    <w:bookmarkEnd w:id="3"/>
    <w:p w:rsidR="00502308" w:rsidRPr="00021944" w:rsidRDefault="00052711" w:rsidP="007F22A3">
      <w:pPr>
        <w:pStyle w:val="Heading2"/>
        <w:numPr>
          <w:ilvl w:val="0"/>
          <w:numId w:val="0"/>
        </w:numPr>
        <w:ind w:left="1440" w:hanging="720"/>
        <w:rPr>
          <w:szCs w:val="26"/>
        </w:rPr>
      </w:pPr>
      <w:r w:rsidRPr="00021944">
        <w:rPr>
          <w:szCs w:val="26"/>
        </w:rPr>
        <w:t xml:space="preserve">Proposed Reliability Standard TPL-001-4 – Version </w:t>
      </w:r>
      <w:r w:rsidR="00DD3386" w:rsidRPr="00021944">
        <w:rPr>
          <w:szCs w:val="26"/>
        </w:rPr>
        <w:t>4</w:t>
      </w:r>
      <w:r w:rsidR="003B78A9" w:rsidRPr="00021944">
        <w:rPr>
          <w:szCs w:val="26"/>
        </w:rPr>
        <w:t xml:space="preserve"> (RM13-9-000)</w:t>
      </w:r>
    </w:p>
    <w:p w:rsidR="002D1716" w:rsidRPr="002D1716" w:rsidRDefault="00EA4788" w:rsidP="002D1716">
      <w:pPr>
        <w:pStyle w:val="FERCparanumber"/>
        <w:tabs>
          <w:tab w:val="clear" w:pos="720"/>
        </w:tabs>
        <w:rPr>
          <w:szCs w:val="26"/>
        </w:rPr>
      </w:pPr>
      <w:r w:rsidRPr="00021944">
        <w:rPr>
          <w:szCs w:val="26"/>
        </w:rPr>
        <w:t xml:space="preserve">On </w:t>
      </w:r>
      <w:r w:rsidR="00F616EC" w:rsidRPr="00021944">
        <w:rPr>
          <w:szCs w:val="26"/>
        </w:rPr>
        <w:t>February</w:t>
      </w:r>
      <w:r w:rsidR="004A7F9A" w:rsidRPr="00021944">
        <w:rPr>
          <w:szCs w:val="26"/>
        </w:rPr>
        <w:t xml:space="preserve"> 28, 2013</w:t>
      </w:r>
      <w:r w:rsidR="003E754F" w:rsidRPr="00021944">
        <w:rPr>
          <w:szCs w:val="26"/>
        </w:rPr>
        <w:t xml:space="preserve">, NERC submitted </w:t>
      </w:r>
      <w:bookmarkStart w:id="4" w:name="_Toc190757957"/>
      <w:bookmarkStart w:id="5" w:name="_Toc194894799"/>
      <w:bookmarkStart w:id="6" w:name="_bmk37"/>
      <w:r w:rsidR="0019608F" w:rsidRPr="00021944">
        <w:rPr>
          <w:szCs w:val="26"/>
        </w:rPr>
        <w:t xml:space="preserve">proposed </w:t>
      </w:r>
      <w:r w:rsidR="00F616EC" w:rsidRPr="00021944">
        <w:rPr>
          <w:szCs w:val="26"/>
        </w:rPr>
        <w:t>Reliability</w:t>
      </w:r>
      <w:r w:rsidR="0019608F" w:rsidRPr="00021944">
        <w:rPr>
          <w:szCs w:val="26"/>
        </w:rPr>
        <w:t xml:space="preserve"> Standard TPL-001-4</w:t>
      </w:r>
      <w:r w:rsidR="00D20DB9" w:rsidRPr="00021944">
        <w:rPr>
          <w:szCs w:val="26"/>
        </w:rPr>
        <w:t xml:space="preserve"> (Version </w:t>
      </w:r>
      <w:r w:rsidR="00DD3386" w:rsidRPr="00021944">
        <w:rPr>
          <w:szCs w:val="26"/>
        </w:rPr>
        <w:t>4</w:t>
      </w:r>
      <w:r w:rsidR="00D20DB9" w:rsidRPr="00021944">
        <w:rPr>
          <w:szCs w:val="26"/>
        </w:rPr>
        <w:t>)</w:t>
      </w:r>
      <w:r w:rsidR="00DD3386" w:rsidRPr="00021944">
        <w:rPr>
          <w:szCs w:val="26"/>
        </w:rPr>
        <w:t xml:space="preserve"> </w:t>
      </w:r>
      <w:r w:rsidR="0019608F" w:rsidRPr="00021944">
        <w:rPr>
          <w:szCs w:val="26"/>
        </w:rPr>
        <w:t xml:space="preserve">in </w:t>
      </w:r>
      <w:r w:rsidR="00061ED4" w:rsidRPr="00021944">
        <w:rPr>
          <w:szCs w:val="26"/>
        </w:rPr>
        <w:t>response to the Commission’s remand in</w:t>
      </w:r>
      <w:r w:rsidR="0019608F" w:rsidRPr="00021944">
        <w:rPr>
          <w:szCs w:val="26"/>
        </w:rPr>
        <w:t xml:space="preserve"> </w:t>
      </w:r>
      <w:r w:rsidR="00061ED4" w:rsidRPr="00021944">
        <w:rPr>
          <w:szCs w:val="26"/>
        </w:rPr>
        <w:t>Order No. 762</w:t>
      </w:r>
      <w:r w:rsidR="0019608F" w:rsidRPr="00021944">
        <w:rPr>
          <w:szCs w:val="26"/>
        </w:rPr>
        <w:t xml:space="preserve"> </w:t>
      </w:r>
      <w:r w:rsidR="00061ED4" w:rsidRPr="00021944">
        <w:rPr>
          <w:szCs w:val="26"/>
        </w:rPr>
        <w:lastRenderedPageBreak/>
        <w:t xml:space="preserve">and concerns </w:t>
      </w:r>
      <w:r w:rsidR="004D4B9E" w:rsidRPr="00021944">
        <w:rPr>
          <w:szCs w:val="26"/>
        </w:rPr>
        <w:t xml:space="preserve">with regard to </w:t>
      </w:r>
      <w:r w:rsidR="002D1716">
        <w:rPr>
          <w:szCs w:val="26"/>
        </w:rPr>
        <w:t xml:space="preserve">Table 1 </w:t>
      </w:r>
      <w:r w:rsidR="004D4B9E" w:rsidRPr="00021944">
        <w:rPr>
          <w:szCs w:val="26"/>
        </w:rPr>
        <w:t xml:space="preserve">footnote 12 </w:t>
      </w:r>
      <w:r w:rsidR="00061ED4" w:rsidRPr="00021944">
        <w:rPr>
          <w:szCs w:val="26"/>
        </w:rPr>
        <w:t xml:space="preserve">identified in the </w:t>
      </w:r>
      <w:r w:rsidR="00A92D86" w:rsidRPr="00021944">
        <w:rPr>
          <w:szCs w:val="26"/>
        </w:rPr>
        <w:t xml:space="preserve">April 2012 </w:t>
      </w:r>
      <w:r w:rsidR="002D1716">
        <w:rPr>
          <w:szCs w:val="26"/>
        </w:rPr>
        <w:t>NOPR.</w:t>
      </w:r>
      <w:r w:rsidR="007F22A3">
        <w:rPr>
          <w:rStyle w:val="FootnoteReference"/>
        </w:rPr>
        <w:footnoteReference w:id="20"/>
      </w:r>
      <w:r w:rsidR="002D1716">
        <w:rPr>
          <w:szCs w:val="26"/>
        </w:rPr>
        <w:t xml:space="preserve">  Reliability Standard </w:t>
      </w:r>
      <w:r w:rsidR="002D1716" w:rsidRPr="002D1716">
        <w:rPr>
          <w:szCs w:val="26"/>
        </w:rPr>
        <w:t>TPL-001-</w:t>
      </w:r>
      <w:r w:rsidR="002D1716">
        <w:rPr>
          <w:szCs w:val="26"/>
        </w:rPr>
        <w:t>4</w:t>
      </w:r>
      <w:r w:rsidR="002D1716" w:rsidRPr="002D1716">
        <w:rPr>
          <w:szCs w:val="26"/>
        </w:rPr>
        <w:t xml:space="preserve"> includes eight </w:t>
      </w:r>
      <w:r w:rsidR="002D1716">
        <w:t xml:space="preserve">requirements and </w:t>
      </w:r>
      <w:r w:rsidR="0049204F">
        <w:t xml:space="preserve">    </w:t>
      </w:r>
      <w:r w:rsidR="002D1716">
        <w:t>Table 1:</w:t>
      </w:r>
      <w:r w:rsidR="00D451CF">
        <w:rPr>
          <w:rStyle w:val="FootnoteReference"/>
        </w:rPr>
        <w:footnoteReference w:id="21"/>
      </w:r>
    </w:p>
    <w:p w:rsidR="002D1716" w:rsidRDefault="002D1716" w:rsidP="002D1716">
      <w:pPr>
        <w:pStyle w:val="FERCparanumber"/>
        <w:numPr>
          <w:ilvl w:val="0"/>
          <w:numId w:val="0"/>
        </w:numPr>
        <w:rPr>
          <w:sz w:val="24"/>
        </w:rPr>
      </w:pPr>
      <w:r>
        <w:rPr>
          <w:b/>
          <w:u w:val="single"/>
        </w:rPr>
        <w:t>Requirement R1:</w:t>
      </w:r>
      <w:r>
        <w:rPr>
          <w:b/>
        </w:rPr>
        <w:t xml:space="preserve"> </w:t>
      </w:r>
      <w:r>
        <w:t xml:space="preserve"> Requires the transmission planner and planning coordinator to maintain system models and provides a specific list of items required for the system models and that the models represent projected system conditions.  The planner is required to model the items that are variable, such as load and generation dispatch, based specifically on the expected system conditions.</w:t>
      </w:r>
      <w:r>
        <w:rPr>
          <w:sz w:val="24"/>
        </w:rPr>
        <w:t xml:space="preserve"> </w:t>
      </w:r>
    </w:p>
    <w:p w:rsidR="002D1716" w:rsidRDefault="002D1716" w:rsidP="002D1716">
      <w:pPr>
        <w:pStyle w:val="FERCparanumber"/>
        <w:numPr>
          <w:ilvl w:val="0"/>
          <w:numId w:val="0"/>
        </w:numPr>
      </w:pPr>
      <w:r>
        <w:rPr>
          <w:b/>
          <w:u w:val="single"/>
        </w:rPr>
        <w:t>Requirement R2:</w:t>
      </w:r>
      <w:r>
        <w:t xml:space="preserve">  Requires each transmission planner and planning coordinator to prepare an annual planning assessment of its portion of the bulk electric system and must use current or qualified past studies, document assumptions, and document summarized results of the steady state analyses, short circuit analyses, and stability analyses.  Requirement R2, Part 2.1.3 requires the planner to assess </w:t>
      </w:r>
      <w:r>
        <w:lastRenderedPageBreak/>
        <w:t xml:space="preserve">system performance utilizing a current annual study or qualified past study for each known outage with a duration of at least six months for certain events.  </w:t>
      </w:r>
      <w:r>
        <w:rPr>
          <w:szCs w:val="26"/>
        </w:rPr>
        <w:t xml:space="preserve">It also clarifies that qualified past studies can be utilized in the analysis while tightly defining the qualifications for those studies.  </w:t>
      </w:r>
      <w:r>
        <w:t xml:space="preserve">Requirement R2 includes a new part 2.7.3 that allows transmission planners and planning coordinators to utilize </w:t>
      </w:r>
      <w:r w:rsidR="00D451CF">
        <w:t>n</w:t>
      </w:r>
      <w:r>
        <w:t>on-</w:t>
      </w:r>
      <w:r w:rsidR="00D451CF">
        <w:t>c</w:t>
      </w:r>
      <w:r>
        <w:t xml:space="preserve">onsequential </w:t>
      </w:r>
      <w:r w:rsidR="00D451CF">
        <w:t>l</w:t>
      </w:r>
      <w:r>
        <w:t xml:space="preserve">oad </w:t>
      </w:r>
      <w:r w:rsidR="00D451CF">
        <w:t>l</w:t>
      </w:r>
      <w:r>
        <w:t xml:space="preserve">oss to meet performance requirements if the applicable entities are unable to complete a </w:t>
      </w:r>
      <w:r w:rsidR="00D451CF">
        <w:t>c</w:t>
      </w:r>
      <w:r>
        <w:t xml:space="preserve">orrective </w:t>
      </w:r>
      <w:r w:rsidR="00D451CF">
        <w:t>a</w:t>
      </w:r>
      <w:r>
        <w:t xml:space="preserve">ction </w:t>
      </w:r>
      <w:r w:rsidR="00D451CF">
        <w:t>p</w:t>
      </w:r>
      <w:r>
        <w:t xml:space="preserve">lan due to circumstances beyond their control. </w:t>
      </w:r>
    </w:p>
    <w:p w:rsidR="002D1716" w:rsidRDefault="002D1716" w:rsidP="002D1716">
      <w:pPr>
        <w:pStyle w:val="FERCparanumber"/>
        <w:numPr>
          <w:ilvl w:val="0"/>
          <w:numId w:val="0"/>
        </w:numPr>
      </w:pPr>
      <w:r>
        <w:rPr>
          <w:szCs w:val="26"/>
        </w:rPr>
        <w:t xml:space="preserve"> </w:t>
      </w:r>
      <w:r>
        <w:rPr>
          <w:b/>
          <w:u w:val="single"/>
        </w:rPr>
        <w:t>Requirements R3 and R4</w:t>
      </w:r>
      <w:r>
        <w:rPr>
          <w:b/>
        </w:rPr>
        <w:t>:</w:t>
      </w:r>
      <w:r>
        <w:t xml:space="preserve">  Requirement R3 describes the requirements for steady state studies and Requirement R4 explains the requirements for stability studies.  Requirement R3 and Requirement R4 also require that simulations duplicate what will occur in an actual power system based on the expected performance of the protection systems.  Requirement R3 and Requirement R4 also include new parts that require the planners to conduct an evaluation of possible actions designed to reduce the likelihood or the consequences of extreme events that cause cascading. </w:t>
      </w:r>
    </w:p>
    <w:p w:rsidR="002D1716" w:rsidRDefault="002D1716" w:rsidP="002D1716">
      <w:pPr>
        <w:pStyle w:val="FERCparanumber"/>
        <w:numPr>
          <w:ilvl w:val="0"/>
          <w:numId w:val="0"/>
        </w:numPr>
        <w:rPr>
          <w:sz w:val="24"/>
        </w:rPr>
      </w:pPr>
      <w:r>
        <w:rPr>
          <w:b/>
          <w:u w:val="single"/>
        </w:rPr>
        <w:t>Requirement R5:</w:t>
      </w:r>
      <w:r>
        <w:t xml:space="preserve">  Requirement R5 </w:t>
      </w:r>
      <w:r>
        <w:rPr>
          <w:szCs w:val="26"/>
        </w:rPr>
        <w:t xml:space="preserve">deals with voltage criteria and voltage performance.  NERC proposes in Requirement R5 that each transmission planner and planning coordinator must have criteria for acceptable system steady state voltage limits, post-contingency voltage deviations, and the transient voltage response for its system.  For transient voltage response the criteria must specify a </w:t>
      </w:r>
      <w:r>
        <w:rPr>
          <w:szCs w:val="26"/>
        </w:rPr>
        <w:lastRenderedPageBreak/>
        <w:t>low-voltage level and a maximum length of time that transient voltages may remain below that level.  This requirement will establish more robust transmission planning for organizations and greater consistency as these voltage criteria are shared.</w:t>
      </w:r>
      <w:r>
        <w:rPr>
          <w:sz w:val="24"/>
        </w:rPr>
        <w:t xml:space="preserve">  </w:t>
      </w:r>
    </w:p>
    <w:p w:rsidR="002D1716" w:rsidRDefault="002D1716" w:rsidP="002D1716">
      <w:pPr>
        <w:pStyle w:val="FERCparanumber"/>
        <w:numPr>
          <w:ilvl w:val="0"/>
          <w:numId w:val="0"/>
        </w:numPr>
      </w:pPr>
      <w:r>
        <w:rPr>
          <w:b/>
          <w:u w:val="single"/>
        </w:rPr>
        <w:t>Requirement R6</w:t>
      </w:r>
      <w:r>
        <w:t xml:space="preserve">:  Specifies that an entity must define and document the criteria or methodology used to identify system instability for conditions such as cascading, voltage instability, or uncontrolled islanding within its planning assessment. </w:t>
      </w:r>
    </w:p>
    <w:p w:rsidR="002D1716" w:rsidRDefault="002D1716" w:rsidP="002D1716">
      <w:pPr>
        <w:pStyle w:val="FERCparanumber"/>
        <w:numPr>
          <w:ilvl w:val="0"/>
          <w:numId w:val="0"/>
        </w:numPr>
      </w:pPr>
      <w:r>
        <w:rPr>
          <w:b/>
          <w:u w:val="single"/>
        </w:rPr>
        <w:t>Requirement R7</w:t>
      </w:r>
      <w:r>
        <w:t>:  Mandates coordination of individual and joint responsibilities for the planning coordinator and the transmission planner which is intended to eliminate confusion regarding the responsibilities of the applicable entities and assures that all elements needed for regional and wide area studies are defined with a specific entity responsible for each element and that no gaps will exist in planning for the Bulk-Power System.</w:t>
      </w:r>
    </w:p>
    <w:p w:rsidR="002D1716" w:rsidRDefault="002D1716" w:rsidP="002D1716">
      <w:pPr>
        <w:pStyle w:val="FERCparanumber"/>
        <w:numPr>
          <w:ilvl w:val="0"/>
          <w:numId w:val="0"/>
        </w:numPr>
      </w:pPr>
      <w:r>
        <w:rPr>
          <w:b/>
          <w:u w:val="single"/>
        </w:rPr>
        <w:t>Requirement R8</w:t>
      </w:r>
      <w:r>
        <w:t xml:space="preserve">:  Addresses the sharing of planning assessments with neighboring systems.  The requirement ensures that information is shared with and input received from adjacent entities and other entities with a reliability related need that may be affected </w:t>
      </w:r>
      <w:r w:rsidR="004E0557">
        <w:t xml:space="preserve">by </w:t>
      </w:r>
      <w:r>
        <w:t>an entity’s system planning.</w:t>
      </w:r>
    </w:p>
    <w:p w:rsidR="002D1716" w:rsidRDefault="002D1716" w:rsidP="002D1716">
      <w:pPr>
        <w:pStyle w:val="FERCparanumber"/>
        <w:numPr>
          <w:ilvl w:val="0"/>
          <w:numId w:val="0"/>
        </w:numPr>
        <w:rPr>
          <w:szCs w:val="26"/>
        </w:rPr>
      </w:pPr>
      <w:r>
        <w:rPr>
          <w:b/>
          <w:u w:val="single"/>
        </w:rPr>
        <w:t>Table 1</w:t>
      </w:r>
      <w:r>
        <w:t>:  Similar to the</w:t>
      </w:r>
      <w:r w:rsidR="00D451CF">
        <w:t xml:space="preserve"> currently-effective</w:t>
      </w:r>
      <w:r>
        <w:t xml:space="preserve"> TPL Reliability Standard, the revised </w:t>
      </w:r>
      <w:r w:rsidR="00D451CF">
        <w:t xml:space="preserve">standard </w:t>
      </w:r>
      <w:r>
        <w:t xml:space="preserve">contains a series of planning events and describes system performance requirements in Table 1 for a range of potential system contingencies required to </w:t>
      </w:r>
      <w:r>
        <w:lastRenderedPageBreak/>
        <w:t>be evaluated by the planner.  Table 1 includes three parts:  Steady State &amp; Stability Performance Planning Events, Steady State &amp; Stability Performance Extreme Events, and Steady State &amp; Stability Performance Footnotes.</w:t>
      </w:r>
      <w:r>
        <w:rPr>
          <w:szCs w:val="26"/>
        </w:rPr>
        <w:t xml:space="preserve">  Table 1 categorizes the events as either “planning events” or “extreme events.”  The proposed table lists seven </w:t>
      </w:r>
      <w:r w:rsidR="00D451CF">
        <w:rPr>
          <w:szCs w:val="26"/>
        </w:rPr>
        <w:t>c</w:t>
      </w:r>
      <w:r>
        <w:rPr>
          <w:szCs w:val="26"/>
        </w:rPr>
        <w:t>ontingency planning events that require steady-state and stability analysis as well as five extreme event contingencies</w:t>
      </w:r>
    </w:p>
    <w:p w:rsidR="00796378" w:rsidRPr="00D451CF" w:rsidRDefault="007F22A3" w:rsidP="00D451CF">
      <w:pPr>
        <w:pStyle w:val="FERCparanumber"/>
        <w:rPr>
          <w:szCs w:val="26"/>
        </w:rPr>
      </w:pPr>
      <w:r>
        <w:rPr>
          <w:szCs w:val="26"/>
        </w:rPr>
        <w:t>NERC m</w:t>
      </w:r>
      <w:r w:rsidR="00DD3386" w:rsidRPr="00021944">
        <w:rPr>
          <w:szCs w:val="26"/>
        </w:rPr>
        <w:t xml:space="preserve">odified </w:t>
      </w:r>
      <w:r w:rsidR="00C71B8F" w:rsidRPr="00021944">
        <w:rPr>
          <w:szCs w:val="26"/>
        </w:rPr>
        <w:t>f</w:t>
      </w:r>
      <w:r w:rsidR="00061ED4" w:rsidRPr="00021944">
        <w:rPr>
          <w:szCs w:val="26"/>
        </w:rPr>
        <w:t>ootnote</w:t>
      </w:r>
      <w:r w:rsidR="00997AF2" w:rsidRPr="00021944">
        <w:rPr>
          <w:szCs w:val="26"/>
        </w:rPr>
        <w:t xml:space="preserve"> 12</w:t>
      </w:r>
      <w:r w:rsidR="00061ED4" w:rsidRPr="00021944">
        <w:rPr>
          <w:szCs w:val="26"/>
        </w:rPr>
        <w:t xml:space="preserve"> </w:t>
      </w:r>
      <w:r w:rsidR="002D1716">
        <w:rPr>
          <w:szCs w:val="26"/>
        </w:rPr>
        <w:t xml:space="preserve">of Table 1 </w:t>
      </w:r>
      <w:r>
        <w:rPr>
          <w:szCs w:val="26"/>
        </w:rPr>
        <w:t xml:space="preserve">to </w:t>
      </w:r>
      <w:r w:rsidR="00061ED4" w:rsidRPr="00021944">
        <w:rPr>
          <w:szCs w:val="26"/>
        </w:rPr>
        <w:t>provide specific parameters for the permissible use of planned</w:t>
      </w:r>
      <w:r w:rsidR="00997AF2" w:rsidRPr="00021944">
        <w:rPr>
          <w:szCs w:val="26"/>
        </w:rPr>
        <w:t xml:space="preserve"> </w:t>
      </w:r>
      <w:r w:rsidR="00A60BBB" w:rsidRPr="00021944">
        <w:rPr>
          <w:szCs w:val="26"/>
        </w:rPr>
        <w:t xml:space="preserve">non-consequential load loss </w:t>
      </w:r>
      <w:r w:rsidR="00061ED4" w:rsidRPr="00021944">
        <w:rPr>
          <w:szCs w:val="26"/>
        </w:rPr>
        <w:t xml:space="preserve">to address </w:t>
      </w:r>
      <w:r w:rsidR="00997AF2" w:rsidRPr="00021944">
        <w:rPr>
          <w:szCs w:val="26"/>
        </w:rPr>
        <w:t>b</w:t>
      </w:r>
      <w:r w:rsidR="00061ED4" w:rsidRPr="00021944">
        <w:rPr>
          <w:szCs w:val="26"/>
        </w:rPr>
        <w:t xml:space="preserve">ulk </w:t>
      </w:r>
      <w:r w:rsidR="00997AF2" w:rsidRPr="00021944">
        <w:rPr>
          <w:szCs w:val="26"/>
        </w:rPr>
        <w:t>e</w:t>
      </w:r>
      <w:r w:rsidR="00061ED4" w:rsidRPr="00021944">
        <w:rPr>
          <w:szCs w:val="26"/>
        </w:rPr>
        <w:t xml:space="preserve">lectric </w:t>
      </w:r>
      <w:r w:rsidR="00997AF2" w:rsidRPr="00021944">
        <w:rPr>
          <w:szCs w:val="26"/>
        </w:rPr>
        <w:t>s</w:t>
      </w:r>
      <w:r w:rsidR="00061ED4" w:rsidRPr="00021944">
        <w:rPr>
          <w:szCs w:val="26"/>
        </w:rPr>
        <w:t>ystem</w:t>
      </w:r>
      <w:r w:rsidR="00997AF2" w:rsidRPr="00021944">
        <w:rPr>
          <w:szCs w:val="26"/>
        </w:rPr>
        <w:t xml:space="preserve"> performance issues</w:t>
      </w:r>
      <w:r w:rsidR="00CD76B8" w:rsidRPr="00021944">
        <w:rPr>
          <w:szCs w:val="26"/>
        </w:rPr>
        <w:t xml:space="preserve">, </w:t>
      </w:r>
      <w:r w:rsidR="00F616EC" w:rsidRPr="00021944">
        <w:rPr>
          <w:szCs w:val="26"/>
        </w:rPr>
        <w:t>includ</w:t>
      </w:r>
      <w:r w:rsidR="00CD76B8" w:rsidRPr="00021944">
        <w:rPr>
          <w:szCs w:val="26"/>
        </w:rPr>
        <w:t>ing:</w:t>
      </w:r>
      <w:r w:rsidR="00F616EC" w:rsidRPr="00021944">
        <w:rPr>
          <w:szCs w:val="26"/>
        </w:rPr>
        <w:t xml:space="preserve"> </w:t>
      </w:r>
      <w:r w:rsidR="0049204F">
        <w:rPr>
          <w:szCs w:val="26"/>
        </w:rPr>
        <w:t xml:space="preserve"> </w:t>
      </w:r>
      <w:r w:rsidR="00CD76B8" w:rsidRPr="00021944">
        <w:rPr>
          <w:szCs w:val="26"/>
        </w:rPr>
        <w:t xml:space="preserve">(1) </w:t>
      </w:r>
      <w:r w:rsidR="00F616EC" w:rsidRPr="00021944">
        <w:rPr>
          <w:szCs w:val="26"/>
        </w:rPr>
        <w:t>f</w:t>
      </w:r>
      <w:r w:rsidR="00061ED4" w:rsidRPr="00021944">
        <w:rPr>
          <w:szCs w:val="26"/>
        </w:rPr>
        <w:t xml:space="preserve">irm limitations on the maximum amount of load that </w:t>
      </w:r>
      <w:r w:rsidR="00F616EC" w:rsidRPr="00021944">
        <w:rPr>
          <w:szCs w:val="26"/>
        </w:rPr>
        <w:t xml:space="preserve">an entity </w:t>
      </w:r>
      <w:r w:rsidR="00061ED4" w:rsidRPr="00021944">
        <w:rPr>
          <w:szCs w:val="26"/>
        </w:rPr>
        <w:t xml:space="preserve">may </w:t>
      </w:r>
      <w:r w:rsidR="00F616EC" w:rsidRPr="00021944">
        <w:rPr>
          <w:szCs w:val="26"/>
        </w:rPr>
        <w:t xml:space="preserve">plan </w:t>
      </w:r>
      <w:r w:rsidR="00061ED4" w:rsidRPr="00021944">
        <w:rPr>
          <w:szCs w:val="26"/>
        </w:rPr>
        <w:t>to</w:t>
      </w:r>
      <w:r w:rsidR="00F616EC" w:rsidRPr="00021944">
        <w:rPr>
          <w:szCs w:val="26"/>
        </w:rPr>
        <w:t xml:space="preserve"> </w:t>
      </w:r>
      <w:r w:rsidR="00061ED4" w:rsidRPr="00021944">
        <w:rPr>
          <w:szCs w:val="26"/>
        </w:rPr>
        <w:t>shed,</w:t>
      </w:r>
      <w:r w:rsidR="00F616EC" w:rsidRPr="00021944">
        <w:rPr>
          <w:szCs w:val="26"/>
        </w:rPr>
        <w:t xml:space="preserve"> </w:t>
      </w:r>
      <w:r w:rsidR="00CD76B8" w:rsidRPr="00021944">
        <w:rPr>
          <w:szCs w:val="26"/>
        </w:rPr>
        <w:t xml:space="preserve">(2) </w:t>
      </w:r>
      <w:r w:rsidR="00F616EC" w:rsidRPr="00021944">
        <w:rPr>
          <w:szCs w:val="26"/>
        </w:rPr>
        <w:t>s</w:t>
      </w:r>
      <w:r w:rsidR="00061ED4" w:rsidRPr="00021944">
        <w:rPr>
          <w:szCs w:val="26"/>
        </w:rPr>
        <w:t>afeguards to ensure against inconsistent results and arbitrary</w:t>
      </w:r>
      <w:r w:rsidR="00F616EC" w:rsidRPr="00021944">
        <w:rPr>
          <w:szCs w:val="26"/>
        </w:rPr>
        <w:t xml:space="preserve"> </w:t>
      </w:r>
      <w:r w:rsidR="00061ED4" w:rsidRPr="00021944">
        <w:rPr>
          <w:szCs w:val="26"/>
        </w:rPr>
        <w:t xml:space="preserve">determinations that allow for the planned </w:t>
      </w:r>
      <w:r w:rsidR="00625B44" w:rsidRPr="00021944">
        <w:rPr>
          <w:szCs w:val="26"/>
        </w:rPr>
        <w:t>non-consequen</w:t>
      </w:r>
      <w:r w:rsidR="00C27648" w:rsidRPr="00021944">
        <w:rPr>
          <w:szCs w:val="26"/>
        </w:rPr>
        <w:t>tial load loss</w:t>
      </w:r>
      <w:r w:rsidR="00061ED4" w:rsidRPr="00021944">
        <w:rPr>
          <w:szCs w:val="26"/>
        </w:rPr>
        <w:t>, and</w:t>
      </w:r>
      <w:r w:rsidR="00F616EC" w:rsidRPr="00021944">
        <w:rPr>
          <w:szCs w:val="26"/>
        </w:rPr>
        <w:t xml:space="preserve"> </w:t>
      </w:r>
      <w:r w:rsidR="00CD76B8" w:rsidRPr="00021944">
        <w:rPr>
          <w:szCs w:val="26"/>
        </w:rPr>
        <w:t xml:space="preserve">(3) </w:t>
      </w:r>
      <w:r w:rsidR="00F616EC" w:rsidRPr="00021944">
        <w:rPr>
          <w:szCs w:val="26"/>
        </w:rPr>
        <w:t xml:space="preserve">a </w:t>
      </w:r>
      <w:r w:rsidR="00061ED4" w:rsidRPr="00021944">
        <w:rPr>
          <w:szCs w:val="26"/>
        </w:rPr>
        <w:t>more specifically defined, open and transparent,</w:t>
      </w:r>
      <w:r w:rsidR="00F616EC" w:rsidRPr="00021944">
        <w:rPr>
          <w:szCs w:val="26"/>
        </w:rPr>
        <w:t xml:space="preserve"> </w:t>
      </w:r>
      <w:r w:rsidR="00061ED4" w:rsidRPr="00021944">
        <w:rPr>
          <w:szCs w:val="26"/>
        </w:rPr>
        <w:t>verifiable, and</w:t>
      </w:r>
      <w:r w:rsidR="00F616EC" w:rsidRPr="00021944">
        <w:rPr>
          <w:szCs w:val="26"/>
        </w:rPr>
        <w:t xml:space="preserve"> </w:t>
      </w:r>
      <w:r w:rsidR="00061ED4" w:rsidRPr="00021944">
        <w:rPr>
          <w:szCs w:val="26"/>
        </w:rPr>
        <w:t>enforceable stakeholder process.</w:t>
      </w:r>
      <w:r w:rsidR="00D451CF">
        <w:rPr>
          <w:szCs w:val="26"/>
        </w:rPr>
        <w:t xml:space="preserve">  </w:t>
      </w:r>
      <w:r w:rsidR="00D451CF" w:rsidRPr="00D451CF">
        <w:rPr>
          <w:szCs w:val="26"/>
        </w:rPr>
        <w:t>F</w:t>
      </w:r>
      <w:r w:rsidR="00DA42DA" w:rsidRPr="00D451CF">
        <w:rPr>
          <w:szCs w:val="26"/>
        </w:rPr>
        <w:t>ootnote 12 as modified provides:</w:t>
      </w:r>
    </w:p>
    <w:p w:rsidR="00415422" w:rsidRPr="00021944" w:rsidRDefault="00DA42DA" w:rsidP="00D4622E">
      <w:pPr>
        <w:pStyle w:val="FERCparanumber"/>
        <w:numPr>
          <w:ilvl w:val="0"/>
          <w:numId w:val="0"/>
        </w:numPr>
        <w:spacing w:line="240" w:lineRule="auto"/>
        <w:ind w:left="990"/>
        <w:rPr>
          <w:szCs w:val="26"/>
        </w:rPr>
      </w:pPr>
      <w:r w:rsidRPr="00021944">
        <w:rPr>
          <w:szCs w:val="26"/>
        </w:rPr>
        <w:t>An objective of the planning process is to minimize the likelihood and magnitude of Non-Consequential Load Loss following planning events.  In limited circumstances, Non-Consequential Load Loss may be needed throughout the planning horizon to ensure that BES performance requirements are met.  However, when Non-Consequential Load Loss is utilized under footnote 12 within the Near-Term Transmission Planning Horizon to address BES performance requirements, such interruption is limited to circumstances where the Non-Consequential Load Loss meets the conditions shown in Attachment 1.  In no case can the planned Non-Consequential Load Loss under footnote 12 exceed 75 MW for US registered entities.  The amount of planned Non-Consequential Load Loss for a non-US Registered Entity should be implemented in a manner that is consistent with, or under the direction of, the applicable governmental authority or its agency in the non-US jurisdiction.</w:t>
      </w:r>
    </w:p>
    <w:p w:rsidR="006957FE" w:rsidRPr="00021944" w:rsidRDefault="006957FE" w:rsidP="006957FE">
      <w:pPr>
        <w:pStyle w:val="FERCparanumber"/>
        <w:numPr>
          <w:ilvl w:val="0"/>
          <w:numId w:val="0"/>
        </w:numPr>
        <w:spacing w:line="240" w:lineRule="auto"/>
        <w:ind w:left="1440"/>
        <w:rPr>
          <w:szCs w:val="26"/>
        </w:rPr>
      </w:pPr>
    </w:p>
    <w:p w:rsidR="00267245" w:rsidRPr="00021944" w:rsidRDefault="009212D4" w:rsidP="00BD2ADD">
      <w:pPr>
        <w:pStyle w:val="FERCparanumber"/>
        <w:rPr>
          <w:szCs w:val="26"/>
        </w:rPr>
      </w:pPr>
      <w:r w:rsidRPr="00021944">
        <w:rPr>
          <w:szCs w:val="26"/>
        </w:rPr>
        <w:t xml:space="preserve">Attachment 1 </w:t>
      </w:r>
      <w:r w:rsidR="00D65B13" w:rsidRPr="00021944">
        <w:rPr>
          <w:szCs w:val="26"/>
        </w:rPr>
        <w:t xml:space="preserve">to </w:t>
      </w:r>
      <w:r w:rsidR="00070979" w:rsidRPr="00021944">
        <w:rPr>
          <w:szCs w:val="26"/>
        </w:rPr>
        <w:t>TPL-001-4, referenced in footnote 12</w:t>
      </w:r>
      <w:r w:rsidR="00CE1842">
        <w:rPr>
          <w:szCs w:val="26"/>
        </w:rPr>
        <w:t xml:space="preserve"> </w:t>
      </w:r>
      <w:r w:rsidR="00A92D86" w:rsidRPr="00021944">
        <w:rPr>
          <w:szCs w:val="26"/>
        </w:rPr>
        <w:t xml:space="preserve"> </w:t>
      </w:r>
      <w:r w:rsidR="00070979" w:rsidRPr="00021944">
        <w:rPr>
          <w:szCs w:val="26"/>
        </w:rPr>
        <w:t xml:space="preserve">has three </w:t>
      </w:r>
      <w:r w:rsidR="000E115B" w:rsidRPr="00021944">
        <w:rPr>
          <w:szCs w:val="26"/>
        </w:rPr>
        <w:t>sections</w:t>
      </w:r>
      <w:r w:rsidR="00070979" w:rsidRPr="00021944">
        <w:rPr>
          <w:szCs w:val="26"/>
        </w:rPr>
        <w:t>:</w:t>
      </w:r>
      <w:r w:rsidR="00A92D86" w:rsidRPr="00021944">
        <w:rPr>
          <w:szCs w:val="26"/>
        </w:rPr>
        <w:t xml:space="preserve">  </w:t>
      </w:r>
      <w:r w:rsidR="00070979" w:rsidRPr="00021944">
        <w:rPr>
          <w:szCs w:val="26"/>
        </w:rPr>
        <w:t>(</w:t>
      </w:r>
      <w:r w:rsidR="00095AB4" w:rsidRPr="00021944">
        <w:rPr>
          <w:szCs w:val="26"/>
        </w:rPr>
        <w:t>I</w:t>
      </w:r>
      <w:r w:rsidR="00070979" w:rsidRPr="00021944">
        <w:rPr>
          <w:szCs w:val="26"/>
        </w:rPr>
        <w:t xml:space="preserve">) </w:t>
      </w:r>
      <w:r w:rsidR="006D1E56" w:rsidRPr="00021944">
        <w:rPr>
          <w:szCs w:val="26"/>
        </w:rPr>
        <w:t>s</w:t>
      </w:r>
      <w:r w:rsidR="00070979" w:rsidRPr="00021944">
        <w:rPr>
          <w:szCs w:val="26"/>
        </w:rPr>
        <w:t xml:space="preserve">takeholder </w:t>
      </w:r>
      <w:r w:rsidR="006D1E56" w:rsidRPr="00021944">
        <w:rPr>
          <w:szCs w:val="26"/>
        </w:rPr>
        <w:t>p</w:t>
      </w:r>
      <w:r w:rsidR="00070979" w:rsidRPr="00021944">
        <w:rPr>
          <w:szCs w:val="26"/>
        </w:rPr>
        <w:t>rocess, (</w:t>
      </w:r>
      <w:r w:rsidR="00095AB4" w:rsidRPr="00021944">
        <w:rPr>
          <w:szCs w:val="26"/>
        </w:rPr>
        <w:t>II</w:t>
      </w:r>
      <w:r w:rsidR="00070979" w:rsidRPr="00021944">
        <w:rPr>
          <w:szCs w:val="26"/>
        </w:rPr>
        <w:t xml:space="preserve">) </w:t>
      </w:r>
      <w:r w:rsidR="006D1E56" w:rsidRPr="00021944">
        <w:rPr>
          <w:szCs w:val="26"/>
        </w:rPr>
        <w:t>i</w:t>
      </w:r>
      <w:r w:rsidR="00070979" w:rsidRPr="00021944">
        <w:rPr>
          <w:szCs w:val="26"/>
        </w:rPr>
        <w:t xml:space="preserve">nformation </w:t>
      </w:r>
      <w:r w:rsidR="00B20D70">
        <w:rPr>
          <w:szCs w:val="26"/>
        </w:rPr>
        <w:t>an entity must provide to stakeholders</w:t>
      </w:r>
      <w:r w:rsidR="00070979" w:rsidRPr="00021944">
        <w:rPr>
          <w:szCs w:val="26"/>
        </w:rPr>
        <w:t>, and</w:t>
      </w:r>
      <w:r w:rsidR="00A92D86" w:rsidRPr="00021944">
        <w:rPr>
          <w:szCs w:val="26"/>
        </w:rPr>
        <w:t xml:space="preserve"> </w:t>
      </w:r>
      <w:r w:rsidR="00070979" w:rsidRPr="00021944">
        <w:rPr>
          <w:szCs w:val="26"/>
        </w:rPr>
        <w:t>(</w:t>
      </w:r>
      <w:r w:rsidR="00095AB4" w:rsidRPr="00021944">
        <w:rPr>
          <w:szCs w:val="26"/>
        </w:rPr>
        <w:t>III</w:t>
      </w:r>
      <w:r w:rsidR="00070979" w:rsidRPr="00021944">
        <w:rPr>
          <w:szCs w:val="26"/>
        </w:rPr>
        <w:t xml:space="preserve">) </w:t>
      </w:r>
      <w:r w:rsidR="006D1E56" w:rsidRPr="00021944">
        <w:rPr>
          <w:szCs w:val="26"/>
        </w:rPr>
        <w:t xml:space="preserve">instances for which regulatory review of </w:t>
      </w:r>
      <w:r w:rsidR="006957FE" w:rsidRPr="00021944">
        <w:rPr>
          <w:szCs w:val="26"/>
        </w:rPr>
        <w:t xml:space="preserve">planned </w:t>
      </w:r>
      <w:r w:rsidR="006D1E56" w:rsidRPr="00021944">
        <w:rPr>
          <w:szCs w:val="26"/>
        </w:rPr>
        <w:t>non-consequential load loss under footnote 12 is required</w:t>
      </w:r>
      <w:r w:rsidR="00D65B13" w:rsidRPr="00021944">
        <w:rPr>
          <w:szCs w:val="26"/>
        </w:rPr>
        <w:t xml:space="preserve">.  </w:t>
      </w:r>
      <w:r w:rsidR="00124562" w:rsidRPr="00021944">
        <w:rPr>
          <w:szCs w:val="26"/>
        </w:rPr>
        <w:t xml:space="preserve">Section I describes </w:t>
      </w:r>
      <w:r w:rsidR="000E115B" w:rsidRPr="00021944">
        <w:rPr>
          <w:szCs w:val="26"/>
        </w:rPr>
        <w:t xml:space="preserve">five criteria </w:t>
      </w:r>
      <w:r w:rsidR="006D450B" w:rsidRPr="00021944">
        <w:rPr>
          <w:szCs w:val="26"/>
        </w:rPr>
        <w:t>that apply to the</w:t>
      </w:r>
      <w:r w:rsidR="000E115B" w:rsidRPr="00021944">
        <w:rPr>
          <w:szCs w:val="26"/>
        </w:rPr>
        <w:t xml:space="preserve"> open and transparent </w:t>
      </w:r>
      <w:r w:rsidR="009117DD" w:rsidRPr="00021944">
        <w:rPr>
          <w:szCs w:val="26"/>
        </w:rPr>
        <w:t>stakeholder process</w:t>
      </w:r>
      <w:r w:rsidR="000E115B" w:rsidRPr="00021944">
        <w:rPr>
          <w:szCs w:val="26"/>
        </w:rPr>
        <w:t xml:space="preserve"> </w:t>
      </w:r>
      <w:r w:rsidR="006D450B" w:rsidRPr="00021944">
        <w:rPr>
          <w:szCs w:val="26"/>
        </w:rPr>
        <w:t xml:space="preserve">that an </w:t>
      </w:r>
      <w:r w:rsidR="000E115B" w:rsidRPr="00021944">
        <w:rPr>
          <w:szCs w:val="26"/>
        </w:rPr>
        <w:t xml:space="preserve">entity </w:t>
      </w:r>
      <w:r w:rsidR="006D450B" w:rsidRPr="00021944">
        <w:rPr>
          <w:szCs w:val="26"/>
        </w:rPr>
        <w:t xml:space="preserve">must implement when it </w:t>
      </w:r>
      <w:r w:rsidR="000E115B" w:rsidRPr="00021944">
        <w:rPr>
          <w:szCs w:val="26"/>
        </w:rPr>
        <w:t xml:space="preserve">seeks to </w:t>
      </w:r>
      <w:r w:rsidR="001D1775" w:rsidRPr="00021944">
        <w:rPr>
          <w:szCs w:val="26"/>
        </w:rPr>
        <w:t>use</w:t>
      </w:r>
      <w:r w:rsidR="00A92D86" w:rsidRPr="00021944">
        <w:rPr>
          <w:szCs w:val="26"/>
        </w:rPr>
        <w:t xml:space="preserve"> footnote 12.  </w:t>
      </w:r>
      <w:r w:rsidR="006D450B" w:rsidRPr="00021944">
        <w:rPr>
          <w:szCs w:val="26"/>
        </w:rPr>
        <w:t>S</w:t>
      </w:r>
      <w:r w:rsidR="00567D72" w:rsidRPr="00021944">
        <w:rPr>
          <w:szCs w:val="26"/>
        </w:rPr>
        <w:t xml:space="preserve">ection I provides that an entity does not have to repeat the stakeholder process for a specific application of footnote 12 with respect to subsequent planning assessments unless conditions have materially changed for that specific application.  </w:t>
      </w:r>
    </w:p>
    <w:p w:rsidR="006D595F" w:rsidRPr="00021944" w:rsidRDefault="00721A5E" w:rsidP="0019395F">
      <w:pPr>
        <w:pStyle w:val="FERCparanumber"/>
        <w:rPr>
          <w:szCs w:val="26"/>
        </w:rPr>
      </w:pPr>
      <w:r w:rsidRPr="00021944">
        <w:rPr>
          <w:szCs w:val="26"/>
        </w:rPr>
        <w:t>S</w:t>
      </w:r>
      <w:r w:rsidR="0088131D" w:rsidRPr="00021944">
        <w:rPr>
          <w:szCs w:val="26"/>
        </w:rPr>
        <w:t xml:space="preserve">ection II of Attachment 1 </w:t>
      </w:r>
      <w:r w:rsidR="009212D4" w:rsidRPr="00021944">
        <w:rPr>
          <w:szCs w:val="26"/>
        </w:rPr>
        <w:t xml:space="preserve">specifies </w:t>
      </w:r>
      <w:r w:rsidRPr="00021944">
        <w:rPr>
          <w:szCs w:val="26"/>
        </w:rPr>
        <w:t xml:space="preserve">eight categories of </w:t>
      </w:r>
      <w:r w:rsidR="009212D4" w:rsidRPr="00021944">
        <w:rPr>
          <w:szCs w:val="26"/>
        </w:rPr>
        <w:t>information that</w:t>
      </w:r>
      <w:r w:rsidRPr="00021944">
        <w:rPr>
          <w:szCs w:val="26"/>
        </w:rPr>
        <w:t xml:space="preserve"> </w:t>
      </w:r>
      <w:r w:rsidR="0013214A" w:rsidRPr="00021944">
        <w:rPr>
          <w:szCs w:val="26"/>
        </w:rPr>
        <w:t xml:space="preserve">entities must provide </w:t>
      </w:r>
      <w:r w:rsidR="009212D4" w:rsidRPr="00021944">
        <w:rPr>
          <w:szCs w:val="26"/>
        </w:rPr>
        <w:t>to stakeholders</w:t>
      </w:r>
      <w:r w:rsidRPr="00021944">
        <w:rPr>
          <w:szCs w:val="26"/>
        </w:rPr>
        <w:t>,</w:t>
      </w:r>
      <w:r w:rsidR="009212D4" w:rsidRPr="00021944">
        <w:rPr>
          <w:szCs w:val="26"/>
        </w:rPr>
        <w:t xml:space="preserve"> </w:t>
      </w:r>
      <w:r w:rsidR="0013214A" w:rsidRPr="00021944">
        <w:rPr>
          <w:szCs w:val="26"/>
        </w:rPr>
        <w:t>in</w:t>
      </w:r>
      <w:r w:rsidR="008325A8" w:rsidRPr="00021944">
        <w:rPr>
          <w:szCs w:val="26"/>
        </w:rPr>
        <w:t>cluding</w:t>
      </w:r>
      <w:r w:rsidR="0013214A" w:rsidRPr="00021944">
        <w:rPr>
          <w:szCs w:val="26"/>
        </w:rPr>
        <w:t xml:space="preserve"> </w:t>
      </w:r>
      <w:r w:rsidRPr="00021944">
        <w:rPr>
          <w:szCs w:val="26"/>
        </w:rPr>
        <w:t xml:space="preserve">estimated amount, frequency and duration </w:t>
      </w:r>
      <w:r w:rsidR="00FB28A1" w:rsidRPr="00021944">
        <w:rPr>
          <w:szCs w:val="26"/>
        </w:rPr>
        <w:t xml:space="preserve">of </w:t>
      </w:r>
      <w:r w:rsidR="00722C1F" w:rsidRPr="00021944">
        <w:rPr>
          <w:szCs w:val="26"/>
        </w:rPr>
        <w:t>planned non-consequential load loss</w:t>
      </w:r>
      <w:r w:rsidR="0013214A" w:rsidRPr="00021944">
        <w:rPr>
          <w:szCs w:val="26"/>
        </w:rPr>
        <w:t xml:space="preserve"> under f</w:t>
      </w:r>
      <w:r w:rsidR="009212D4" w:rsidRPr="00021944">
        <w:rPr>
          <w:szCs w:val="26"/>
        </w:rPr>
        <w:t>ootnote</w:t>
      </w:r>
      <w:r w:rsidR="0013214A" w:rsidRPr="00021944">
        <w:rPr>
          <w:szCs w:val="26"/>
        </w:rPr>
        <w:t xml:space="preserve"> 12</w:t>
      </w:r>
      <w:r w:rsidR="00FB28A1" w:rsidRPr="00021944">
        <w:rPr>
          <w:szCs w:val="26"/>
        </w:rPr>
        <w:t xml:space="preserve">.  An entity must also provide information on </w:t>
      </w:r>
      <w:r w:rsidRPr="00021944">
        <w:rPr>
          <w:szCs w:val="26"/>
        </w:rPr>
        <w:t>alternatives considered and future plans to alleviate</w:t>
      </w:r>
      <w:r w:rsidR="00722C1F" w:rsidRPr="00021944">
        <w:rPr>
          <w:szCs w:val="26"/>
        </w:rPr>
        <w:t xml:space="preserve"> the need for planned non-consequential load loss</w:t>
      </w:r>
      <w:r w:rsidR="0013214A" w:rsidRPr="00021944">
        <w:rPr>
          <w:szCs w:val="26"/>
        </w:rPr>
        <w:t xml:space="preserve">.  </w:t>
      </w:r>
    </w:p>
    <w:p w:rsidR="00570B90" w:rsidRPr="00021944" w:rsidRDefault="00DC6B50" w:rsidP="00D465B6">
      <w:pPr>
        <w:pStyle w:val="FERCparanumber"/>
        <w:rPr>
          <w:szCs w:val="26"/>
        </w:rPr>
      </w:pPr>
      <w:r w:rsidRPr="00021944">
        <w:rPr>
          <w:szCs w:val="26"/>
        </w:rPr>
        <w:t xml:space="preserve">Section III of Attachment 1 describes the process for </w:t>
      </w:r>
      <w:r w:rsidR="009212D4" w:rsidRPr="00021944">
        <w:rPr>
          <w:szCs w:val="26"/>
        </w:rPr>
        <w:t xml:space="preserve">planned </w:t>
      </w:r>
      <w:r w:rsidR="00625B44" w:rsidRPr="00021944">
        <w:rPr>
          <w:szCs w:val="26"/>
        </w:rPr>
        <w:t xml:space="preserve">non-consequential load loss </w:t>
      </w:r>
      <w:r w:rsidR="009212D4" w:rsidRPr="00021944">
        <w:rPr>
          <w:szCs w:val="26"/>
        </w:rPr>
        <w:t>greater</w:t>
      </w:r>
      <w:r w:rsidR="00CB685F" w:rsidRPr="00021944">
        <w:rPr>
          <w:szCs w:val="26"/>
        </w:rPr>
        <w:t xml:space="preserve"> </w:t>
      </w:r>
      <w:r w:rsidR="009212D4" w:rsidRPr="00021944">
        <w:rPr>
          <w:szCs w:val="26"/>
        </w:rPr>
        <w:t xml:space="preserve">than 25 MW. </w:t>
      </w:r>
      <w:r w:rsidR="00D96FCB" w:rsidRPr="00021944">
        <w:rPr>
          <w:szCs w:val="26"/>
        </w:rPr>
        <w:t xml:space="preserve"> </w:t>
      </w:r>
      <w:r w:rsidR="009212D4" w:rsidRPr="00021944">
        <w:rPr>
          <w:szCs w:val="26"/>
        </w:rPr>
        <w:t xml:space="preserve">Specifically, planned </w:t>
      </w:r>
      <w:r w:rsidR="00625B44" w:rsidRPr="00021944">
        <w:rPr>
          <w:szCs w:val="26"/>
        </w:rPr>
        <w:t xml:space="preserve">non-consequential load loss </w:t>
      </w:r>
      <w:r w:rsidR="009212D4" w:rsidRPr="00021944">
        <w:rPr>
          <w:szCs w:val="26"/>
        </w:rPr>
        <w:t>between 25 MW and 75 MW, or any</w:t>
      </w:r>
      <w:r w:rsidR="00CB685F" w:rsidRPr="00021944">
        <w:rPr>
          <w:szCs w:val="26"/>
        </w:rPr>
        <w:t xml:space="preserve"> </w:t>
      </w:r>
      <w:r w:rsidR="009212D4" w:rsidRPr="00021944">
        <w:rPr>
          <w:szCs w:val="26"/>
        </w:rPr>
        <w:t xml:space="preserve">planned </w:t>
      </w:r>
      <w:r w:rsidR="00625B44" w:rsidRPr="00021944">
        <w:rPr>
          <w:szCs w:val="26"/>
        </w:rPr>
        <w:t xml:space="preserve">non-consequential load loss </w:t>
      </w:r>
      <w:r w:rsidR="009212D4" w:rsidRPr="00021944">
        <w:rPr>
          <w:szCs w:val="26"/>
        </w:rPr>
        <w:t>at the 300 kV level or above would receive greater scrutiny by</w:t>
      </w:r>
      <w:r w:rsidR="00CB685F" w:rsidRPr="00021944">
        <w:rPr>
          <w:szCs w:val="26"/>
        </w:rPr>
        <w:t xml:space="preserve"> </w:t>
      </w:r>
      <w:r w:rsidR="009212D4" w:rsidRPr="00021944">
        <w:rPr>
          <w:szCs w:val="26"/>
        </w:rPr>
        <w:t>regu</w:t>
      </w:r>
      <w:r w:rsidR="006A36B3" w:rsidRPr="00021944">
        <w:rPr>
          <w:szCs w:val="26"/>
        </w:rPr>
        <w:t xml:space="preserve">latory authorities and the ERO.  </w:t>
      </w:r>
      <w:r w:rsidR="004C144B" w:rsidRPr="00021944">
        <w:rPr>
          <w:szCs w:val="26"/>
        </w:rPr>
        <w:t>Where these parameters apply, “the Transmission Planner or Planning Coordinator must ensure that applicable r</w:t>
      </w:r>
      <w:r w:rsidR="002722BC" w:rsidRPr="00021944">
        <w:rPr>
          <w:szCs w:val="26"/>
        </w:rPr>
        <w:t>e</w:t>
      </w:r>
      <w:r w:rsidR="004C144B" w:rsidRPr="00021944">
        <w:rPr>
          <w:szCs w:val="26"/>
        </w:rPr>
        <w:t>gul</w:t>
      </w:r>
      <w:r w:rsidR="002722BC" w:rsidRPr="00021944">
        <w:rPr>
          <w:szCs w:val="26"/>
        </w:rPr>
        <w:t>at</w:t>
      </w:r>
      <w:r w:rsidR="004C144B" w:rsidRPr="00021944">
        <w:rPr>
          <w:szCs w:val="26"/>
        </w:rPr>
        <w:t>ory authorities or governing bodies responsible for retail electric service</w:t>
      </w:r>
      <w:r w:rsidR="002722BC" w:rsidRPr="00021944">
        <w:rPr>
          <w:szCs w:val="26"/>
        </w:rPr>
        <w:t xml:space="preserve"> </w:t>
      </w:r>
      <w:r w:rsidR="002722BC" w:rsidRPr="00021944">
        <w:rPr>
          <w:szCs w:val="26"/>
        </w:rPr>
        <w:lastRenderedPageBreak/>
        <w:t>issues do not object to the use of Non-Consequential Load Loss under footnote 12.”</w:t>
      </w:r>
      <w:r w:rsidR="0066633F" w:rsidRPr="00021944">
        <w:rPr>
          <w:rStyle w:val="FootnoteReference"/>
        </w:rPr>
        <w:footnoteReference w:id="22"/>
      </w:r>
      <w:r w:rsidR="002722BC" w:rsidRPr="00021944">
        <w:rPr>
          <w:szCs w:val="26"/>
        </w:rPr>
        <w:t xml:space="preserve">  Further, </w:t>
      </w:r>
      <w:r w:rsidR="00EB35C2" w:rsidRPr="00021944">
        <w:rPr>
          <w:szCs w:val="26"/>
        </w:rPr>
        <w:t>“</w:t>
      </w:r>
      <w:r w:rsidR="0003374C" w:rsidRPr="00021944">
        <w:rPr>
          <w:szCs w:val="26"/>
        </w:rPr>
        <w:t>[</w:t>
      </w:r>
      <w:r w:rsidR="00EB35C2" w:rsidRPr="00021944">
        <w:rPr>
          <w:szCs w:val="26"/>
        </w:rPr>
        <w:t>o</w:t>
      </w:r>
      <w:r w:rsidR="0003374C" w:rsidRPr="00021944">
        <w:rPr>
          <w:szCs w:val="26"/>
        </w:rPr>
        <w:t>]</w:t>
      </w:r>
      <w:r w:rsidR="00EB35C2" w:rsidRPr="00021944">
        <w:rPr>
          <w:szCs w:val="26"/>
        </w:rPr>
        <w:t xml:space="preserve">nce assurance has been received that the applicable regulatory authorities … responsible for retail electric service issues do not object … </w:t>
      </w:r>
      <w:r w:rsidR="0003374C" w:rsidRPr="00021944">
        <w:rPr>
          <w:szCs w:val="26"/>
        </w:rPr>
        <w:t>t</w:t>
      </w:r>
      <w:r w:rsidR="00EB35C2" w:rsidRPr="00021944">
        <w:rPr>
          <w:szCs w:val="26"/>
        </w:rPr>
        <w:t xml:space="preserve">he Planning Coordinator or Transmission Planner must submit the information [in Section II of Attachment 1] to </w:t>
      </w:r>
      <w:r w:rsidR="002722BC" w:rsidRPr="00021944">
        <w:rPr>
          <w:szCs w:val="26"/>
        </w:rPr>
        <w:t xml:space="preserve">the ERO </w:t>
      </w:r>
      <w:r w:rsidR="00EB35C2" w:rsidRPr="00021944">
        <w:rPr>
          <w:szCs w:val="26"/>
        </w:rPr>
        <w:t xml:space="preserve">for a determination of </w:t>
      </w:r>
      <w:r w:rsidR="002722BC" w:rsidRPr="00021944">
        <w:rPr>
          <w:szCs w:val="26"/>
        </w:rPr>
        <w:t>whether there are any Adverse Reliability Impacts” caused by the responsible entity’s request to use footnote 12</w:t>
      </w:r>
      <w:r w:rsidR="005D289B" w:rsidRPr="00021944">
        <w:rPr>
          <w:szCs w:val="26"/>
        </w:rPr>
        <w:t>.</w:t>
      </w:r>
      <w:r w:rsidR="005D289B" w:rsidRPr="00021944">
        <w:rPr>
          <w:rStyle w:val="FootnoteReference"/>
        </w:rPr>
        <w:footnoteReference w:id="23"/>
      </w:r>
      <w:r w:rsidR="005D289B" w:rsidRPr="00021944">
        <w:rPr>
          <w:szCs w:val="26"/>
        </w:rPr>
        <w:t xml:space="preserve">  </w:t>
      </w:r>
      <w:r w:rsidR="00A95439" w:rsidRPr="00021944">
        <w:rPr>
          <w:szCs w:val="26"/>
        </w:rPr>
        <w:t>According to NERC, this provision provides safeguards against arbitrary or inconsistent determinations, and also “preserves, to the extent practicable, the role of Retail Regulators,” while al</w:t>
      </w:r>
      <w:r w:rsidR="004D4B9E" w:rsidRPr="00021944">
        <w:rPr>
          <w:szCs w:val="26"/>
        </w:rPr>
        <w:t>lowing ERO review for possible a</w:t>
      </w:r>
      <w:r w:rsidR="00A95439" w:rsidRPr="00021944">
        <w:rPr>
          <w:szCs w:val="26"/>
        </w:rPr>
        <w:t xml:space="preserve">dverse </w:t>
      </w:r>
      <w:r w:rsidR="004D4B9E" w:rsidRPr="00021944">
        <w:rPr>
          <w:szCs w:val="26"/>
        </w:rPr>
        <w:t>r</w:t>
      </w:r>
      <w:r w:rsidR="00A95439" w:rsidRPr="00021944">
        <w:rPr>
          <w:szCs w:val="26"/>
        </w:rPr>
        <w:t xml:space="preserve">eliability </w:t>
      </w:r>
      <w:r w:rsidR="004D4B9E" w:rsidRPr="00021944">
        <w:rPr>
          <w:szCs w:val="26"/>
        </w:rPr>
        <w:t>i</w:t>
      </w:r>
      <w:r w:rsidR="00A95439" w:rsidRPr="00021944">
        <w:rPr>
          <w:szCs w:val="26"/>
        </w:rPr>
        <w:t>mpacts.</w:t>
      </w:r>
      <w:r w:rsidR="00A95439" w:rsidRPr="00021944">
        <w:rPr>
          <w:rStyle w:val="FootnoteReference"/>
        </w:rPr>
        <w:footnoteReference w:id="24"/>
      </w:r>
      <w:r w:rsidR="002722BC" w:rsidRPr="00021944">
        <w:rPr>
          <w:szCs w:val="26"/>
        </w:rPr>
        <w:t xml:space="preserve">   </w:t>
      </w:r>
      <w:r w:rsidR="00570B90" w:rsidRPr="00021944">
        <w:rPr>
          <w:szCs w:val="26"/>
        </w:rPr>
        <w:t xml:space="preserve"> </w:t>
      </w:r>
    </w:p>
    <w:p w:rsidR="009848ED" w:rsidRPr="00021944" w:rsidRDefault="004737A3" w:rsidP="004761D2">
      <w:pPr>
        <w:pStyle w:val="FERCparanumber"/>
        <w:rPr>
          <w:szCs w:val="26"/>
        </w:rPr>
      </w:pPr>
      <w:r w:rsidRPr="00021944">
        <w:rPr>
          <w:szCs w:val="26"/>
        </w:rPr>
        <w:t>NERC state</w:t>
      </w:r>
      <w:r w:rsidR="004962FE" w:rsidRPr="00021944">
        <w:rPr>
          <w:szCs w:val="26"/>
        </w:rPr>
        <w:t>d</w:t>
      </w:r>
      <w:r w:rsidRPr="00021944">
        <w:rPr>
          <w:szCs w:val="26"/>
        </w:rPr>
        <w:t xml:space="preserve"> that t</w:t>
      </w:r>
      <w:r w:rsidR="009212D4" w:rsidRPr="00021944">
        <w:rPr>
          <w:szCs w:val="26"/>
        </w:rPr>
        <w:t xml:space="preserve">he combination of </w:t>
      </w:r>
      <w:r w:rsidRPr="00021944">
        <w:rPr>
          <w:szCs w:val="26"/>
        </w:rPr>
        <w:t xml:space="preserve">numerical </w:t>
      </w:r>
      <w:r w:rsidR="009212D4" w:rsidRPr="00021944">
        <w:rPr>
          <w:szCs w:val="26"/>
        </w:rPr>
        <w:t xml:space="preserve">limitations and other </w:t>
      </w:r>
      <w:r w:rsidR="00D465B6" w:rsidRPr="00021944">
        <w:rPr>
          <w:szCs w:val="26"/>
        </w:rPr>
        <w:t>c</w:t>
      </w:r>
      <w:r w:rsidR="009212D4" w:rsidRPr="00021944">
        <w:rPr>
          <w:szCs w:val="26"/>
        </w:rPr>
        <w:t>onsiderations, such as</w:t>
      </w:r>
      <w:r w:rsidR="00CB685F" w:rsidRPr="00021944">
        <w:rPr>
          <w:szCs w:val="26"/>
        </w:rPr>
        <w:t xml:space="preserve"> </w:t>
      </w:r>
      <w:r w:rsidR="009212D4" w:rsidRPr="00021944">
        <w:rPr>
          <w:szCs w:val="26"/>
        </w:rPr>
        <w:t>costs and alternatives, guards against a determination based solely on a quantitative</w:t>
      </w:r>
      <w:r w:rsidR="00CB685F" w:rsidRPr="00021944">
        <w:rPr>
          <w:szCs w:val="26"/>
        </w:rPr>
        <w:t xml:space="preserve"> </w:t>
      </w:r>
      <w:r w:rsidR="009212D4" w:rsidRPr="00021944">
        <w:rPr>
          <w:szCs w:val="26"/>
        </w:rPr>
        <w:t xml:space="preserve">threshold becoming an acceptable </w:t>
      </w:r>
      <w:r w:rsidR="009212D4" w:rsidRPr="00021944">
        <w:rPr>
          <w:i/>
          <w:iCs/>
          <w:szCs w:val="26"/>
        </w:rPr>
        <w:t xml:space="preserve">de facto </w:t>
      </w:r>
      <w:r w:rsidR="009212D4" w:rsidRPr="00021944">
        <w:rPr>
          <w:szCs w:val="26"/>
        </w:rPr>
        <w:t>interpretation of planned</w:t>
      </w:r>
      <w:r w:rsidR="00737D85" w:rsidRPr="00021944">
        <w:rPr>
          <w:szCs w:val="26"/>
        </w:rPr>
        <w:t xml:space="preserve"> non-consequential load loss</w:t>
      </w:r>
      <w:r w:rsidR="009212D4" w:rsidRPr="00021944">
        <w:rPr>
          <w:szCs w:val="26"/>
        </w:rPr>
        <w:t>.</w:t>
      </w:r>
      <w:r w:rsidR="00CB685F" w:rsidRPr="00021944">
        <w:rPr>
          <w:szCs w:val="26"/>
        </w:rPr>
        <w:t xml:space="preserve">  </w:t>
      </w:r>
      <w:r w:rsidR="00EF36EC" w:rsidRPr="00021944">
        <w:rPr>
          <w:szCs w:val="26"/>
        </w:rPr>
        <w:t xml:space="preserve">According to NERC, </w:t>
      </w:r>
      <w:r w:rsidR="009212D4" w:rsidRPr="00021944">
        <w:rPr>
          <w:szCs w:val="26"/>
        </w:rPr>
        <w:t xml:space="preserve">the procedures in </w:t>
      </w:r>
      <w:r w:rsidR="00EF36EC" w:rsidRPr="00021944">
        <w:rPr>
          <w:szCs w:val="26"/>
        </w:rPr>
        <w:t>f</w:t>
      </w:r>
      <w:r w:rsidR="009212D4" w:rsidRPr="00021944">
        <w:rPr>
          <w:szCs w:val="26"/>
        </w:rPr>
        <w:t>ootnote</w:t>
      </w:r>
      <w:r w:rsidR="00EF36EC" w:rsidRPr="00021944">
        <w:rPr>
          <w:szCs w:val="26"/>
        </w:rPr>
        <w:t xml:space="preserve"> 12</w:t>
      </w:r>
      <w:r w:rsidR="009212D4" w:rsidRPr="00021944">
        <w:rPr>
          <w:szCs w:val="26"/>
        </w:rPr>
        <w:t xml:space="preserve"> would enable acceptable, but limited,</w:t>
      </w:r>
      <w:r w:rsidR="00CB685F" w:rsidRPr="00021944">
        <w:rPr>
          <w:szCs w:val="26"/>
        </w:rPr>
        <w:t xml:space="preserve"> </w:t>
      </w:r>
      <w:r w:rsidR="00EF36EC" w:rsidRPr="00021944">
        <w:rPr>
          <w:szCs w:val="26"/>
        </w:rPr>
        <w:t xml:space="preserve">circumstances of </w:t>
      </w:r>
      <w:r w:rsidR="00EF36EC" w:rsidRPr="00021944">
        <w:rPr>
          <w:szCs w:val="26"/>
        </w:rPr>
        <w:lastRenderedPageBreak/>
        <w:t xml:space="preserve">planned </w:t>
      </w:r>
      <w:r w:rsidR="00737D85" w:rsidRPr="00021944">
        <w:rPr>
          <w:szCs w:val="26"/>
        </w:rPr>
        <w:t xml:space="preserve">non-consequential load loss </w:t>
      </w:r>
      <w:r w:rsidR="009212D4" w:rsidRPr="00021944">
        <w:rPr>
          <w:szCs w:val="26"/>
        </w:rPr>
        <w:t>after a thorough stakeholder review</w:t>
      </w:r>
      <w:r w:rsidR="00CB685F" w:rsidRPr="00021944">
        <w:rPr>
          <w:szCs w:val="26"/>
        </w:rPr>
        <w:t xml:space="preserve"> </w:t>
      </w:r>
      <w:r w:rsidR="009212D4" w:rsidRPr="00021944">
        <w:rPr>
          <w:szCs w:val="26"/>
        </w:rPr>
        <w:t>and approval and</w:t>
      </w:r>
      <w:r w:rsidR="00B20D70">
        <w:rPr>
          <w:szCs w:val="26"/>
        </w:rPr>
        <w:t xml:space="preserve"> </w:t>
      </w:r>
      <w:r w:rsidR="009212D4" w:rsidRPr="00021944">
        <w:rPr>
          <w:szCs w:val="26"/>
        </w:rPr>
        <w:t>ERO review.</w:t>
      </w:r>
    </w:p>
    <w:p w:rsidR="003D4ED8" w:rsidRPr="00021944" w:rsidRDefault="003D4ED8" w:rsidP="003D4ED8">
      <w:pPr>
        <w:pStyle w:val="FERCparanumber"/>
        <w:rPr>
          <w:szCs w:val="26"/>
        </w:rPr>
      </w:pPr>
      <w:r w:rsidRPr="00021944">
        <w:rPr>
          <w:szCs w:val="26"/>
        </w:rPr>
        <w:t xml:space="preserve">NERC </w:t>
      </w:r>
      <w:r w:rsidR="004962FE" w:rsidRPr="00021944">
        <w:rPr>
          <w:szCs w:val="26"/>
        </w:rPr>
        <w:t xml:space="preserve">also stated </w:t>
      </w:r>
      <w:r w:rsidR="00177693" w:rsidRPr="00021944">
        <w:rPr>
          <w:szCs w:val="26"/>
        </w:rPr>
        <w:t>that</w:t>
      </w:r>
      <w:r w:rsidR="004761D2" w:rsidRPr="00021944">
        <w:rPr>
          <w:szCs w:val="26"/>
        </w:rPr>
        <w:t>,</w:t>
      </w:r>
      <w:r w:rsidRPr="00021944">
        <w:rPr>
          <w:szCs w:val="26"/>
        </w:rPr>
        <w:t xml:space="preserve"> because </w:t>
      </w:r>
      <w:r w:rsidR="00177693" w:rsidRPr="00021944">
        <w:rPr>
          <w:szCs w:val="26"/>
        </w:rPr>
        <w:t xml:space="preserve">footnote 12 </w:t>
      </w:r>
      <w:r w:rsidRPr="00021944">
        <w:rPr>
          <w:szCs w:val="26"/>
        </w:rPr>
        <w:t>differ</w:t>
      </w:r>
      <w:r w:rsidR="00903034" w:rsidRPr="00021944">
        <w:rPr>
          <w:szCs w:val="26"/>
        </w:rPr>
        <w:t>s</w:t>
      </w:r>
      <w:r w:rsidRPr="00021944">
        <w:rPr>
          <w:szCs w:val="26"/>
        </w:rPr>
        <w:t xml:space="preserve"> from footnote </w:t>
      </w:r>
      <w:r w:rsidR="00B60727" w:rsidRPr="00021944">
        <w:rPr>
          <w:szCs w:val="26"/>
        </w:rPr>
        <w:t>‘</w:t>
      </w:r>
      <w:r w:rsidRPr="00021944">
        <w:rPr>
          <w:szCs w:val="26"/>
        </w:rPr>
        <w:t>b</w:t>
      </w:r>
      <w:r w:rsidR="00B60727" w:rsidRPr="00021944">
        <w:rPr>
          <w:szCs w:val="26"/>
        </w:rPr>
        <w:t>’</w:t>
      </w:r>
      <w:r w:rsidRPr="00021944">
        <w:rPr>
          <w:szCs w:val="26"/>
        </w:rPr>
        <w:t xml:space="preserve"> included in the </w:t>
      </w:r>
      <w:r w:rsidR="002603E5" w:rsidRPr="00021944">
        <w:rPr>
          <w:szCs w:val="26"/>
        </w:rPr>
        <w:t xml:space="preserve">currently-effective </w:t>
      </w:r>
      <w:r w:rsidRPr="00021944">
        <w:rPr>
          <w:szCs w:val="26"/>
        </w:rPr>
        <w:t xml:space="preserve">TPL </w:t>
      </w:r>
      <w:r w:rsidR="00177693" w:rsidRPr="00021944">
        <w:rPr>
          <w:szCs w:val="26"/>
        </w:rPr>
        <w:t>Reliability S</w:t>
      </w:r>
      <w:r w:rsidRPr="00021944">
        <w:rPr>
          <w:szCs w:val="26"/>
        </w:rPr>
        <w:t xml:space="preserve">tandards, data do not yet exist on the frequency of instances of planned </w:t>
      </w:r>
      <w:r w:rsidR="00737D85" w:rsidRPr="00021944">
        <w:rPr>
          <w:szCs w:val="26"/>
        </w:rPr>
        <w:t xml:space="preserve">non-consequential load loss </w:t>
      </w:r>
      <w:r w:rsidRPr="00021944">
        <w:rPr>
          <w:szCs w:val="26"/>
        </w:rPr>
        <w:t xml:space="preserve">under the new </w:t>
      </w:r>
      <w:r w:rsidR="00B60727" w:rsidRPr="00021944">
        <w:rPr>
          <w:szCs w:val="26"/>
        </w:rPr>
        <w:t>f</w:t>
      </w:r>
      <w:r w:rsidRPr="00021944">
        <w:rPr>
          <w:szCs w:val="26"/>
        </w:rPr>
        <w:t>ootnote</w:t>
      </w:r>
      <w:r w:rsidR="00B60727" w:rsidRPr="00021944">
        <w:rPr>
          <w:szCs w:val="26"/>
        </w:rPr>
        <w:t xml:space="preserve"> 12</w:t>
      </w:r>
      <w:r w:rsidRPr="00021944">
        <w:rPr>
          <w:szCs w:val="26"/>
        </w:rPr>
        <w:t xml:space="preserve">.  </w:t>
      </w:r>
      <w:r w:rsidR="00177693" w:rsidRPr="00021944">
        <w:rPr>
          <w:szCs w:val="26"/>
        </w:rPr>
        <w:t xml:space="preserve">Consequently, </w:t>
      </w:r>
      <w:r w:rsidRPr="00021944">
        <w:rPr>
          <w:szCs w:val="26"/>
        </w:rPr>
        <w:t xml:space="preserve">NERC </w:t>
      </w:r>
      <w:r w:rsidR="00177693" w:rsidRPr="00021944">
        <w:rPr>
          <w:szCs w:val="26"/>
        </w:rPr>
        <w:t>state</w:t>
      </w:r>
      <w:r w:rsidR="004962FE" w:rsidRPr="00021944">
        <w:rPr>
          <w:szCs w:val="26"/>
        </w:rPr>
        <w:t>d</w:t>
      </w:r>
      <w:r w:rsidR="00177693" w:rsidRPr="00021944">
        <w:rPr>
          <w:szCs w:val="26"/>
        </w:rPr>
        <w:t xml:space="preserve"> that it will </w:t>
      </w:r>
      <w:r w:rsidRPr="00021944">
        <w:rPr>
          <w:szCs w:val="26"/>
        </w:rPr>
        <w:t>monitor</w:t>
      </w:r>
      <w:r w:rsidR="002603E5" w:rsidRPr="00021944">
        <w:rPr>
          <w:szCs w:val="26"/>
        </w:rPr>
        <w:t xml:space="preserve"> the</w:t>
      </w:r>
      <w:r w:rsidRPr="00021944">
        <w:rPr>
          <w:szCs w:val="26"/>
        </w:rPr>
        <w:t xml:space="preserve"> use of</w:t>
      </w:r>
      <w:r w:rsidR="00526E45" w:rsidRPr="00021944">
        <w:rPr>
          <w:szCs w:val="26"/>
        </w:rPr>
        <w:t xml:space="preserve"> </w:t>
      </w:r>
      <w:r w:rsidR="00177693" w:rsidRPr="00021944">
        <w:rPr>
          <w:szCs w:val="26"/>
        </w:rPr>
        <w:t>f</w:t>
      </w:r>
      <w:r w:rsidRPr="00021944">
        <w:rPr>
          <w:szCs w:val="26"/>
        </w:rPr>
        <w:t xml:space="preserve">ootnote </w:t>
      </w:r>
      <w:r w:rsidR="00177693" w:rsidRPr="00021944">
        <w:rPr>
          <w:szCs w:val="26"/>
        </w:rPr>
        <w:t xml:space="preserve">12 </w:t>
      </w:r>
      <w:r w:rsidRPr="00021944">
        <w:rPr>
          <w:szCs w:val="26"/>
        </w:rPr>
        <w:t xml:space="preserve">and will report the results of this monitoring after the first two years of the </w:t>
      </w:r>
      <w:r w:rsidR="00177693" w:rsidRPr="00021944">
        <w:rPr>
          <w:szCs w:val="26"/>
        </w:rPr>
        <w:t>f</w:t>
      </w:r>
      <w:r w:rsidRPr="00021944">
        <w:rPr>
          <w:szCs w:val="26"/>
        </w:rPr>
        <w:t>ootnote’s</w:t>
      </w:r>
      <w:r w:rsidR="00177693" w:rsidRPr="00021944">
        <w:rPr>
          <w:szCs w:val="26"/>
        </w:rPr>
        <w:t xml:space="preserve"> </w:t>
      </w:r>
      <w:r w:rsidRPr="00021944">
        <w:rPr>
          <w:szCs w:val="26"/>
        </w:rPr>
        <w:t>implementation.</w:t>
      </w:r>
      <w:r w:rsidR="00C92A40">
        <w:rPr>
          <w:rStyle w:val="FootnoteReference"/>
        </w:rPr>
        <w:footnoteReference w:id="25"/>
      </w:r>
    </w:p>
    <w:p w:rsidR="00AF3CE8" w:rsidRPr="00021944" w:rsidRDefault="000B141F" w:rsidP="00AF3CE8">
      <w:pPr>
        <w:pStyle w:val="FERCparanumber"/>
        <w:rPr>
          <w:szCs w:val="26"/>
        </w:rPr>
      </w:pPr>
      <w:r w:rsidRPr="00021944">
        <w:rPr>
          <w:szCs w:val="26"/>
        </w:rPr>
        <w:t>NERC request</w:t>
      </w:r>
      <w:r w:rsidR="004962FE" w:rsidRPr="00021944">
        <w:rPr>
          <w:szCs w:val="26"/>
        </w:rPr>
        <w:t>ed</w:t>
      </w:r>
      <w:r w:rsidRPr="00021944">
        <w:rPr>
          <w:szCs w:val="26"/>
        </w:rPr>
        <w:t xml:space="preserve"> that r</w:t>
      </w:r>
      <w:r w:rsidR="00AF3CE8" w:rsidRPr="00021944">
        <w:rPr>
          <w:szCs w:val="26"/>
        </w:rPr>
        <w:t xml:space="preserve">equirements R1 and R7 </w:t>
      </w:r>
      <w:r w:rsidRPr="00021944">
        <w:rPr>
          <w:szCs w:val="26"/>
        </w:rPr>
        <w:t xml:space="preserve">of the Version </w:t>
      </w:r>
      <w:r w:rsidR="00570B90" w:rsidRPr="00021944">
        <w:rPr>
          <w:szCs w:val="26"/>
        </w:rPr>
        <w:t>4</w:t>
      </w:r>
      <w:r w:rsidRPr="00021944">
        <w:rPr>
          <w:szCs w:val="26"/>
        </w:rPr>
        <w:t xml:space="preserve"> Reliability Standard </w:t>
      </w:r>
      <w:r w:rsidR="00AF3CE8" w:rsidRPr="00021944">
        <w:rPr>
          <w:szCs w:val="26"/>
        </w:rPr>
        <w:t>as well as the definitions become effective</w:t>
      </w:r>
      <w:r w:rsidR="004962FE" w:rsidRPr="00021944">
        <w:rPr>
          <w:szCs w:val="26"/>
        </w:rPr>
        <w:t xml:space="preserve"> </w:t>
      </w:r>
      <w:r w:rsidR="00AF3CE8" w:rsidRPr="00021944">
        <w:rPr>
          <w:szCs w:val="26"/>
        </w:rPr>
        <w:t xml:space="preserve">on the first day of the first calendar quarter </w:t>
      </w:r>
      <w:r w:rsidRPr="00021944">
        <w:rPr>
          <w:szCs w:val="26"/>
        </w:rPr>
        <w:t xml:space="preserve">twelve </w:t>
      </w:r>
      <w:r w:rsidR="00AF3CE8" w:rsidRPr="00021944">
        <w:rPr>
          <w:szCs w:val="26"/>
        </w:rPr>
        <w:t>months after a</w:t>
      </w:r>
      <w:r w:rsidRPr="00021944">
        <w:rPr>
          <w:szCs w:val="26"/>
        </w:rPr>
        <w:t>pplicable regulatory approval.  In addition, e</w:t>
      </w:r>
      <w:r w:rsidR="00AF3CE8" w:rsidRPr="00021944">
        <w:rPr>
          <w:szCs w:val="26"/>
        </w:rPr>
        <w:t xml:space="preserve">xcept as indicated below, </w:t>
      </w:r>
      <w:r w:rsidR="004962FE" w:rsidRPr="00021944">
        <w:rPr>
          <w:szCs w:val="26"/>
        </w:rPr>
        <w:t>NERC requested</w:t>
      </w:r>
      <w:r w:rsidRPr="00021944">
        <w:rPr>
          <w:szCs w:val="26"/>
        </w:rPr>
        <w:t xml:space="preserve"> that </w:t>
      </w:r>
      <w:r w:rsidR="00AF3CE8" w:rsidRPr="00021944">
        <w:rPr>
          <w:szCs w:val="26"/>
        </w:rPr>
        <w:t xml:space="preserve">Requirements R2 through R6 and Requirement R8 </w:t>
      </w:r>
      <w:r w:rsidR="00DB2C57" w:rsidRPr="00021944">
        <w:rPr>
          <w:szCs w:val="26"/>
        </w:rPr>
        <w:t xml:space="preserve">including Table 1 – Steady State &amp; Stability Performance Planning Events, Table 1 – Steady State &amp; Stability Performance Extreme Events, Table 1 – Steady State &amp; Stability Performance Footnotes (Planning Events &amp; Extreme Events) and Attachment 1 </w:t>
      </w:r>
      <w:r w:rsidR="00AF3CE8" w:rsidRPr="00021944">
        <w:rPr>
          <w:szCs w:val="26"/>
        </w:rPr>
        <w:t xml:space="preserve">become effective </w:t>
      </w:r>
      <w:r w:rsidR="009B7AB3" w:rsidRPr="00021944">
        <w:rPr>
          <w:szCs w:val="26"/>
        </w:rPr>
        <w:t xml:space="preserve">and subject to compliance </w:t>
      </w:r>
      <w:r w:rsidR="00AF3CE8" w:rsidRPr="00021944">
        <w:rPr>
          <w:szCs w:val="26"/>
        </w:rPr>
        <w:t xml:space="preserve">on the first day of the first calendar quarter, 24 months after applicable regulatory approval.  </w:t>
      </w:r>
    </w:p>
    <w:p w:rsidR="00785657" w:rsidRPr="00021944" w:rsidRDefault="003108F0" w:rsidP="00BE5E3A">
      <w:pPr>
        <w:pStyle w:val="FERCparanumber"/>
        <w:rPr>
          <w:szCs w:val="26"/>
        </w:rPr>
      </w:pPr>
      <w:r w:rsidRPr="00021944">
        <w:rPr>
          <w:szCs w:val="26"/>
        </w:rPr>
        <w:lastRenderedPageBreak/>
        <w:t xml:space="preserve">NERC also </w:t>
      </w:r>
      <w:r w:rsidR="004962FE" w:rsidRPr="00021944">
        <w:rPr>
          <w:szCs w:val="26"/>
        </w:rPr>
        <w:t>proposed</w:t>
      </w:r>
      <w:r w:rsidRPr="00021944">
        <w:rPr>
          <w:szCs w:val="26"/>
        </w:rPr>
        <w:t xml:space="preserve"> that, f</w:t>
      </w:r>
      <w:r w:rsidR="00AF3CE8" w:rsidRPr="00021944">
        <w:rPr>
          <w:szCs w:val="26"/>
        </w:rPr>
        <w:t>or 84 calendar months beginning the first day of the first calendar quarter following applicable regulatory approval</w:t>
      </w:r>
      <w:r w:rsidR="00D06F65">
        <w:rPr>
          <w:szCs w:val="26"/>
        </w:rPr>
        <w:t>,</w:t>
      </w:r>
      <w:r w:rsidR="006308EB">
        <w:rPr>
          <w:szCs w:val="26"/>
        </w:rPr>
        <w:t xml:space="preserve"> concurrent with</w:t>
      </w:r>
      <w:r w:rsidR="00D06F65">
        <w:rPr>
          <w:szCs w:val="26"/>
        </w:rPr>
        <w:t xml:space="preserve"> the 24 month effective date </w:t>
      </w:r>
      <w:r w:rsidR="006308EB">
        <w:rPr>
          <w:szCs w:val="26"/>
        </w:rPr>
        <w:t>of Requirement R2</w:t>
      </w:r>
      <w:r w:rsidR="00AF3CE8" w:rsidRPr="00021944">
        <w:rPr>
          <w:szCs w:val="26"/>
        </w:rPr>
        <w:t xml:space="preserve">, </w:t>
      </w:r>
      <w:r w:rsidR="0079456B" w:rsidRPr="00021944">
        <w:rPr>
          <w:szCs w:val="26"/>
        </w:rPr>
        <w:t>c</w:t>
      </w:r>
      <w:r w:rsidR="00AF3CE8" w:rsidRPr="00021944">
        <w:rPr>
          <w:szCs w:val="26"/>
        </w:rPr>
        <w:t xml:space="preserve">orrective </w:t>
      </w:r>
      <w:r w:rsidR="0079456B" w:rsidRPr="00021944">
        <w:rPr>
          <w:szCs w:val="26"/>
        </w:rPr>
        <w:t>a</w:t>
      </w:r>
      <w:r w:rsidR="00AF3CE8" w:rsidRPr="00021944">
        <w:rPr>
          <w:szCs w:val="26"/>
        </w:rPr>
        <w:t xml:space="preserve">ction </w:t>
      </w:r>
      <w:r w:rsidR="0079456B" w:rsidRPr="00021944">
        <w:rPr>
          <w:szCs w:val="26"/>
        </w:rPr>
        <w:t>p</w:t>
      </w:r>
      <w:r w:rsidR="00AF3CE8" w:rsidRPr="00021944">
        <w:rPr>
          <w:szCs w:val="26"/>
        </w:rPr>
        <w:t xml:space="preserve">lans applying to </w:t>
      </w:r>
      <w:r w:rsidR="003140F0" w:rsidRPr="00021944">
        <w:rPr>
          <w:szCs w:val="26"/>
        </w:rPr>
        <w:t xml:space="preserve">specific </w:t>
      </w:r>
      <w:r w:rsidR="00AF3CE8" w:rsidRPr="00021944">
        <w:rPr>
          <w:szCs w:val="26"/>
        </w:rPr>
        <w:t xml:space="preserve">categories of </w:t>
      </w:r>
      <w:r w:rsidR="0079456B" w:rsidRPr="00021944">
        <w:rPr>
          <w:szCs w:val="26"/>
        </w:rPr>
        <w:t>c</w:t>
      </w:r>
      <w:r w:rsidR="00AF3CE8" w:rsidRPr="00021944">
        <w:rPr>
          <w:szCs w:val="26"/>
        </w:rPr>
        <w:t>ontingencies and events ident</w:t>
      </w:r>
      <w:r w:rsidR="005277D3" w:rsidRPr="00021944">
        <w:rPr>
          <w:szCs w:val="26"/>
        </w:rPr>
        <w:t xml:space="preserve">ified in TPL-001-4, Table 1 are </w:t>
      </w:r>
      <w:r w:rsidR="00AF3CE8" w:rsidRPr="00021944">
        <w:rPr>
          <w:szCs w:val="26"/>
        </w:rPr>
        <w:t xml:space="preserve">allowed to include </w:t>
      </w:r>
      <w:r w:rsidR="0079456B" w:rsidRPr="00021944">
        <w:rPr>
          <w:szCs w:val="26"/>
        </w:rPr>
        <w:t>n</w:t>
      </w:r>
      <w:r w:rsidR="00AF3CE8" w:rsidRPr="00021944">
        <w:rPr>
          <w:szCs w:val="26"/>
        </w:rPr>
        <w:t>on-</w:t>
      </w:r>
      <w:r w:rsidR="0079456B" w:rsidRPr="00021944">
        <w:rPr>
          <w:szCs w:val="26"/>
        </w:rPr>
        <w:t>c</w:t>
      </w:r>
      <w:r w:rsidR="00AF3CE8" w:rsidRPr="00021944">
        <w:rPr>
          <w:szCs w:val="26"/>
        </w:rPr>
        <w:t xml:space="preserve">onsequential </w:t>
      </w:r>
      <w:r w:rsidR="0079456B" w:rsidRPr="00021944">
        <w:rPr>
          <w:szCs w:val="26"/>
        </w:rPr>
        <w:t>l</w:t>
      </w:r>
      <w:r w:rsidR="00AF3CE8" w:rsidRPr="00021944">
        <w:rPr>
          <w:szCs w:val="26"/>
        </w:rPr>
        <w:t xml:space="preserve">oad </w:t>
      </w:r>
      <w:r w:rsidR="0079456B" w:rsidRPr="00021944">
        <w:rPr>
          <w:szCs w:val="26"/>
        </w:rPr>
        <w:t>l</w:t>
      </w:r>
      <w:r w:rsidR="00AF3CE8" w:rsidRPr="00021944">
        <w:rPr>
          <w:szCs w:val="26"/>
        </w:rPr>
        <w:t xml:space="preserve">oss and curtailment of </w:t>
      </w:r>
      <w:r w:rsidR="0079456B" w:rsidRPr="00021944">
        <w:rPr>
          <w:szCs w:val="26"/>
        </w:rPr>
        <w:t>f</w:t>
      </w:r>
      <w:r w:rsidR="00AF3CE8" w:rsidRPr="00021944">
        <w:rPr>
          <w:szCs w:val="26"/>
        </w:rPr>
        <w:t xml:space="preserve">irm </w:t>
      </w:r>
      <w:r w:rsidR="0079456B" w:rsidRPr="00021944">
        <w:rPr>
          <w:szCs w:val="26"/>
        </w:rPr>
        <w:t>t</w:t>
      </w:r>
      <w:r w:rsidR="00AF3CE8" w:rsidRPr="00021944">
        <w:rPr>
          <w:szCs w:val="26"/>
        </w:rPr>
        <w:t xml:space="preserve">ransmission </w:t>
      </w:r>
      <w:r w:rsidR="0079456B" w:rsidRPr="00021944">
        <w:rPr>
          <w:szCs w:val="26"/>
        </w:rPr>
        <w:t>s</w:t>
      </w:r>
      <w:r w:rsidR="00AF3CE8" w:rsidRPr="00021944">
        <w:rPr>
          <w:szCs w:val="26"/>
        </w:rPr>
        <w:t xml:space="preserve">ervice (in accordance with Requirement R2, Part 2.7.3) that would not otherwise be permitted by the requirements of </w:t>
      </w:r>
      <w:r w:rsidR="005277D3" w:rsidRPr="00021944">
        <w:rPr>
          <w:szCs w:val="26"/>
        </w:rPr>
        <w:t xml:space="preserve">the </w:t>
      </w:r>
      <w:r w:rsidR="00785657" w:rsidRPr="00021944">
        <w:rPr>
          <w:szCs w:val="26"/>
        </w:rPr>
        <w:t xml:space="preserve">Version </w:t>
      </w:r>
      <w:r w:rsidR="00AC407C" w:rsidRPr="00021944">
        <w:rPr>
          <w:szCs w:val="26"/>
        </w:rPr>
        <w:t>4</w:t>
      </w:r>
      <w:r w:rsidR="00785657" w:rsidRPr="00021944">
        <w:rPr>
          <w:szCs w:val="26"/>
        </w:rPr>
        <w:t xml:space="preserve"> Reliability Standard.</w:t>
      </w:r>
      <w:r w:rsidR="000F5B44" w:rsidRPr="00021944">
        <w:rPr>
          <w:szCs w:val="26"/>
        </w:rPr>
        <w:t xml:space="preserve">  </w:t>
      </w:r>
      <w:r w:rsidRPr="00021944">
        <w:rPr>
          <w:szCs w:val="26"/>
        </w:rPr>
        <w:t>Further, NERC state</w:t>
      </w:r>
      <w:r w:rsidR="004962FE" w:rsidRPr="00021944">
        <w:rPr>
          <w:szCs w:val="26"/>
        </w:rPr>
        <w:t>d</w:t>
      </w:r>
      <w:r w:rsidRPr="00021944">
        <w:rPr>
          <w:szCs w:val="26"/>
        </w:rPr>
        <w:t xml:space="preserve"> that </w:t>
      </w:r>
      <w:r w:rsidR="00437F9A" w:rsidRPr="00021944">
        <w:rPr>
          <w:szCs w:val="26"/>
        </w:rPr>
        <w:t>Requirement R2, Part 2.7.3 address</w:t>
      </w:r>
      <w:r w:rsidR="00AD3897" w:rsidRPr="00021944">
        <w:rPr>
          <w:szCs w:val="26"/>
        </w:rPr>
        <w:t>es</w:t>
      </w:r>
      <w:r w:rsidR="00437F9A" w:rsidRPr="00021944">
        <w:rPr>
          <w:szCs w:val="26"/>
        </w:rPr>
        <w:t xml:space="preserve"> situations that are beyond the control of the planner that prevent the implementation of a </w:t>
      </w:r>
      <w:r w:rsidR="0079456B" w:rsidRPr="00021944">
        <w:rPr>
          <w:szCs w:val="26"/>
        </w:rPr>
        <w:t>c</w:t>
      </w:r>
      <w:r w:rsidR="00437F9A" w:rsidRPr="00021944">
        <w:rPr>
          <w:szCs w:val="26"/>
        </w:rPr>
        <w:t xml:space="preserve">orrective </w:t>
      </w:r>
      <w:r w:rsidR="0079456B" w:rsidRPr="00021944">
        <w:rPr>
          <w:szCs w:val="26"/>
        </w:rPr>
        <w:t>a</w:t>
      </w:r>
      <w:r w:rsidR="00437F9A" w:rsidRPr="00021944">
        <w:rPr>
          <w:szCs w:val="26"/>
        </w:rPr>
        <w:t>ction plan in the required timeframe.</w:t>
      </w:r>
      <w:r w:rsidR="00F667DF" w:rsidRPr="00021944">
        <w:rPr>
          <w:szCs w:val="26"/>
        </w:rPr>
        <w:t xml:space="preserve">  Some examples of situations beyond the control of the planner could include a state </w:t>
      </w:r>
      <w:r w:rsidR="00A07379" w:rsidRPr="00021944">
        <w:rPr>
          <w:szCs w:val="26"/>
        </w:rPr>
        <w:t>road widening</w:t>
      </w:r>
      <w:r w:rsidR="00F667DF" w:rsidRPr="00021944">
        <w:rPr>
          <w:szCs w:val="26"/>
        </w:rPr>
        <w:t xml:space="preserve"> project taking substation land that was targeted for expansion or a ruling preventing the entity from condemning the land necessary for a project.</w:t>
      </w:r>
    </w:p>
    <w:p w:rsidR="00AF3CE8" w:rsidRPr="00021944" w:rsidRDefault="00785657" w:rsidP="006C5CD2">
      <w:pPr>
        <w:pStyle w:val="FERCparanumber"/>
        <w:rPr>
          <w:szCs w:val="26"/>
        </w:rPr>
      </w:pPr>
      <w:r w:rsidRPr="00021944">
        <w:rPr>
          <w:szCs w:val="26"/>
        </w:rPr>
        <w:t>NERC also request</w:t>
      </w:r>
      <w:r w:rsidR="004962FE" w:rsidRPr="00021944">
        <w:rPr>
          <w:szCs w:val="26"/>
        </w:rPr>
        <w:t>ed</w:t>
      </w:r>
      <w:r w:rsidRPr="00021944">
        <w:rPr>
          <w:szCs w:val="26"/>
        </w:rPr>
        <w:t xml:space="preserve"> approval </w:t>
      </w:r>
      <w:r w:rsidR="00FA41C8" w:rsidRPr="00021944">
        <w:rPr>
          <w:szCs w:val="26"/>
        </w:rPr>
        <w:t xml:space="preserve">to retire </w:t>
      </w:r>
      <w:r w:rsidR="002D1716">
        <w:rPr>
          <w:szCs w:val="26"/>
        </w:rPr>
        <w:t xml:space="preserve">the </w:t>
      </w:r>
      <w:r w:rsidR="003140F0" w:rsidRPr="00021944">
        <w:rPr>
          <w:szCs w:val="26"/>
        </w:rPr>
        <w:t>currently-effective</w:t>
      </w:r>
      <w:r w:rsidR="004962FE" w:rsidRPr="00021944">
        <w:rPr>
          <w:szCs w:val="26"/>
        </w:rPr>
        <w:t xml:space="preserve"> TPL Reliability Standards and </w:t>
      </w:r>
      <w:r w:rsidR="00944A0D" w:rsidRPr="00021944">
        <w:rPr>
          <w:szCs w:val="26"/>
        </w:rPr>
        <w:t xml:space="preserve">to withdraw two pending </w:t>
      </w:r>
      <w:r w:rsidR="00FD7FF7" w:rsidRPr="00021944">
        <w:rPr>
          <w:szCs w:val="26"/>
        </w:rPr>
        <w:t>TPL Reliability Standard</w:t>
      </w:r>
      <w:r w:rsidR="00944A0D" w:rsidRPr="00021944">
        <w:rPr>
          <w:szCs w:val="26"/>
        </w:rPr>
        <w:t>s</w:t>
      </w:r>
      <w:r w:rsidR="001E636D" w:rsidRPr="00021944">
        <w:rPr>
          <w:szCs w:val="26"/>
        </w:rPr>
        <w:t>,</w:t>
      </w:r>
      <w:r w:rsidR="00FD7FF7" w:rsidRPr="00021944">
        <w:rPr>
          <w:szCs w:val="26"/>
        </w:rPr>
        <w:t xml:space="preserve"> </w:t>
      </w:r>
      <w:r w:rsidR="006C5CD2" w:rsidRPr="00021944">
        <w:rPr>
          <w:szCs w:val="26"/>
        </w:rPr>
        <w:t>TPL-005-0 and TPL-006-0.1</w:t>
      </w:r>
      <w:r w:rsidR="00773B0E" w:rsidRPr="00021944">
        <w:rPr>
          <w:szCs w:val="26"/>
        </w:rPr>
        <w:t>,</w:t>
      </w:r>
      <w:r w:rsidR="006C5CD2" w:rsidRPr="00021944">
        <w:rPr>
          <w:szCs w:val="26"/>
        </w:rPr>
        <w:t xml:space="preserve"> because </w:t>
      </w:r>
      <w:r w:rsidR="004962FE" w:rsidRPr="00021944">
        <w:rPr>
          <w:szCs w:val="26"/>
        </w:rPr>
        <w:t xml:space="preserve">it </w:t>
      </w:r>
      <w:r w:rsidR="001E636D" w:rsidRPr="00021944">
        <w:rPr>
          <w:szCs w:val="26"/>
        </w:rPr>
        <w:t xml:space="preserve">transferred </w:t>
      </w:r>
      <w:r w:rsidR="006C5CD2" w:rsidRPr="00021944">
        <w:rPr>
          <w:szCs w:val="26"/>
        </w:rPr>
        <w:t>the requirements</w:t>
      </w:r>
      <w:r w:rsidR="00944A0D" w:rsidRPr="00021944">
        <w:rPr>
          <w:szCs w:val="26"/>
        </w:rPr>
        <w:t xml:space="preserve"> </w:t>
      </w:r>
      <w:r w:rsidR="00777D84" w:rsidRPr="00021944">
        <w:rPr>
          <w:szCs w:val="26"/>
        </w:rPr>
        <w:t xml:space="preserve">of the pending </w:t>
      </w:r>
      <w:r w:rsidR="00347795" w:rsidRPr="00021944">
        <w:rPr>
          <w:szCs w:val="26"/>
        </w:rPr>
        <w:t xml:space="preserve">Reliability </w:t>
      </w:r>
      <w:r w:rsidR="00777D84" w:rsidRPr="00021944">
        <w:rPr>
          <w:szCs w:val="26"/>
        </w:rPr>
        <w:t xml:space="preserve">Standards </w:t>
      </w:r>
      <w:r w:rsidR="00944A0D" w:rsidRPr="00021944">
        <w:rPr>
          <w:szCs w:val="26"/>
        </w:rPr>
        <w:t xml:space="preserve">to </w:t>
      </w:r>
      <w:r w:rsidR="000A07B8" w:rsidRPr="00021944">
        <w:rPr>
          <w:szCs w:val="26"/>
        </w:rPr>
        <w:t>s</w:t>
      </w:r>
      <w:r w:rsidR="00944A0D" w:rsidRPr="00021944">
        <w:rPr>
          <w:szCs w:val="26"/>
        </w:rPr>
        <w:t>ections 803</w:t>
      </w:r>
      <w:r w:rsidR="004962FE" w:rsidRPr="00021944">
        <w:rPr>
          <w:szCs w:val="26"/>
        </w:rPr>
        <w:t xml:space="preserve"> </w:t>
      </w:r>
      <w:r w:rsidR="00944A0D" w:rsidRPr="00021944">
        <w:rPr>
          <w:szCs w:val="26"/>
        </w:rPr>
        <w:t>and 804 of</w:t>
      </w:r>
      <w:r w:rsidR="006C5CD2" w:rsidRPr="00021944">
        <w:rPr>
          <w:szCs w:val="26"/>
        </w:rPr>
        <w:t xml:space="preserve"> NERC’s Rules of Procedure.  </w:t>
      </w:r>
      <w:r w:rsidR="00FD7FF7" w:rsidRPr="00021944">
        <w:rPr>
          <w:szCs w:val="26"/>
        </w:rPr>
        <w:t xml:space="preserve">NERC </w:t>
      </w:r>
      <w:r w:rsidR="004962FE" w:rsidRPr="00021944">
        <w:rPr>
          <w:szCs w:val="26"/>
        </w:rPr>
        <w:t>proposed</w:t>
      </w:r>
      <w:r w:rsidR="00773B0E" w:rsidRPr="00021944">
        <w:rPr>
          <w:szCs w:val="26"/>
        </w:rPr>
        <w:t xml:space="preserve"> to retire </w:t>
      </w:r>
      <w:r w:rsidR="00FD7FF7" w:rsidRPr="00021944">
        <w:rPr>
          <w:szCs w:val="26"/>
        </w:rPr>
        <w:t xml:space="preserve">TPL Reliability Standards </w:t>
      </w:r>
      <w:r w:rsidR="006C5CD2" w:rsidRPr="00021944">
        <w:rPr>
          <w:szCs w:val="26"/>
        </w:rPr>
        <w:t>TPL-001-</w:t>
      </w:r>
      <w:r w:rsidR="00944A0D" w:rsidRPr="00021944">
        <w:rPr>
          <w:szCs w:val="26"/>
        </w:rPr>
        <w:t>0.1</w:t>
      </w:r>
      <w:r w:rsidR="006C5CD2" w:rsidRPr="00021944">
        <w:rPr>
          <w:szCs w:val="26"/>
        </w:rPr>
        <w:t>,</w:t>
      </w:r>
      <w:r w:rsidR="00FD7FF7" w:rsidRPr="00021944">
        <w:rPr>
          <w:szCs w:val="26"/>
        </w:rPr>
        <w:t xml:space="preserve"> </w:t>
      </w:r>
      <w:r w:rsidR="006C5CD2" w:rsidRPr="00021944">
        <w:rPr>
          <w:szCs w:val="26"/>
        </w:rPr>
        <w:t>TPL-002-</w:t>
      </w:r>
      <w:r w:rsidR="00944A0D" w:rsidRPr="00021944">
        <w:rPr>
          <w:szCs w:val="26"/>
        </w:rPr>
        <w:t>0</w:t>
      </w:r>
      <w:r w:rsidR="006C5CD2" w:rsidRPr="00021944">
        <w:rPr>
          <w:szCs w:val="26"/>
        </w:rPr>
        <w:t>b, TPL-003-</w:t>
      </w:r>
      <w:r w:rsidR="00944A0D" w:rsidRPr="00021944">
        <w:rPr>
          <w:szCs w:val="26"/>
        </w:rPr>
        <w:t>0</w:t>
      </w:r>
      <w:r w:rsidR="006C5CD2" w:rsidRPr="00021944">
        <w:rPr>
          <w:szCs w:val="26"/>
        </w:rPr>
        <w:t xml:space="preserve">a, </w:t>
      </w:r>
      <w:r w:rsidR="00503AD7" w:rsidRPr="00021944">
        <w:rPr>
          <w:szCs w:val="26"/>
        </w:rPr>
        <w:t xml:space="preserve">and </w:t>
      </w:r>
      <w:r w:rsidR="006C5CD2" w:rsidRPr="00021944">
        <w:rPr>
          <w:szCs w:val="26"/>
        </w:rPr>
        <w:t>TPL-004-</w:t>
      </w:r>
      <w:r w:rsidR="00944A0D" w:rsidRPr="00021944">
        <w:rPr>
          <w:szCs w:val="26"/>
        </w:rPr>
        <w:t>0</w:t>
      </w:r>
      <w:r w:rsidR="006C5CD2" w:rsidRPr="00021944">
        <w:rPr>
          <w:szCs w:val="26"/>
        </w:rPr>
        <w:t xml:space="preserve"> on midnight of the day immediately prior to the </w:t>
      </w:r>
      <w:r w:rsidR="00773B0E" w:rsidRPr="00021944">
        <w:rPr>
          <w:szCs w:val="26"/>
        </w:rPr>
        <w:t>e</w:t>
      </w:r>
      <w:r w:rsidR="006C5CD2" w:rsidRPr="00021944">
        <w:rPr>
          <w:szCs w:val="26"/>
        </w:rPr>
        <w:t xml:space="preserve">ffective </w:t>
      </w:r>
      <w:r w:rsidR="00773B0E" w:rsidRPr="00021944">
        <w:rPr>
          <w:szCs w:val="26"/>
        </w:rPr>
        <w:t>date of TPL-001</w:t>
      </w:r>
      <w:r w:rsidR="00C944F5" w:rsidRPr="00021944">
        <w:rPr>
          <w:szCs w:val="26"/>
        </w:rPr>
        <w:t>-4</w:t>
      </w:r>
      <w:r w:rsidR="006C5CD2" w:rsidRPr="00021944">
        <w:rPr>
          <w:szCs w:val="26"/>
        </w:rPr>
        <w:t>.  However, during th</w:t>
      </w:r>
      <w:r w:rsidR="00944A0D" w:rsidRPr="00021944">
        <w:rPr>
          <w:szCs w:val="26"/>
        </w:rPr>
        <w:t xml:space="preserve">e </w:t>
      </w:r>
      <w:r w:rsidR="006C5CD2" w:rsidRPr="00021944">
        <w:rPr>
          <w:szCs w:val="26"/>
        </w:rPr>
        <w:t xml:space="preserve">24-month </w:t>
      </w:r>
      <w:r w:rsidR="00944A0D" w:rsidRPr="00021944">
        <w:rPr>
          <w:szCs w:val="26"/>
        </w:rPr>
        <w:t xml:space="preserve">implementation </w:t>
      </w:r>
      <w:r w:rsidR="006C5CD2" w:rsidRPr="00021944">
        <w:rPr>
          <w:szCs w:val="26"/>
        </w:rPr>
        <w:t xml:space="preserve">period, all aspects of </w:t>
      </w:r>
      <w:r w:rsidR="00B23A60" w:rsidRPr="00021944">
        <w:rPr>
          <w:szCs w:val="26"/>
        </w:rPr>
        <w:t xml:space="preserve">the currently-effective TPL Reliability </w:t>
      </w:r>
      <w:r w:rsidR="00B23A60" w:rsidRPr="00021944">
        <w:rPr>
          <w:szCs w:val="26"/>
        </w:rPr>
        <w:lastRenderedPageBreak/>
        <w:t xml:space="preserve">Standards, </w:t>
      </w:r>
      <w:r w:rsidR="006C5CD2" w:rsidRPr="00021944">
        <w:rPr>
          <w:szCs w:val="26"/>
        </w:rPr>
        <w:t>TPL-001-</w:t>
      </w:r>
      <w:r w:rsidR="00D75E92" w:rsidRPr="00021944">
        <w:rPr>
          <w:szCs w:val="26"/>
        </w:rPr>
        <w:t>0.1</w:t>
      </w:r>
      <w:r w:rsidR="006C5CD2" w:rsidRPr="00021944">
        <w:rPr>
          <w:szCs w:val="26"/>
        </w:rPr>
        <w:t xml:space="preserve"> through TPL-00</w:t>
      </w:r>
      <w:r w:rsidR="00D75E92" w:rsidRPr="00021944">
        <w:rPr>
          <w:szCs w:val="26"/>
        </w:rPr>
        <w:t>4</w:t>
      </w:r>
      <w:r w:rsidR="006C5CD2" w:rsidRPr="00021944">
        <w:rPr>
          <w:szCs w:val="26"/>
        </w:rPr>
        <w:t xml:space="preserve">-0 </w:t>
      </w:r>
      <w:r w:rsidR="00FD7FF7" w:rsidRPr="00021944">
        <w:rPr>
          <w:szCs w:val="26"/>
        </w:rPr>
        <w:t xml:space="preserve">will </w:t>
      </w:r>
      <w:r w:rsidR="006C5CD2" w:rsidRPr="00021944">
        <w:rPr>
          <w:szCs w:val="26"/>
        </w:rPr>
        <w:t xml:space="preserve">remain in effect for compliance monitoring. </w:t>
      </w:r>
      <w:r w:rsidR="004962FE" w:rsidRPr="00021944">
        <w:rPr>
          <w:szCs w:val="26"/>
        </w:rPr>
        <w:t xml:space="preserve"> NERC stated</w:t>
      </w:r>
      <w:r w:rsidR="00B23A60" w:rsidRPr="00021944">
        <w:rPr>
          <w:szCs w:val="26"/>
        </w:rPr>
        <w:t xml:space="preserve"> that the </w:t>
      </w:r>
      <w:r w:rsidR="006C5CD2" w:rsidRPr="00021944">
        <w:rPr>
          <w:szCs w:val="26"/>
        </w:rPr>
        <w:t>24 month period is to allow entities to develop, perform and/or validate new or modified studies</w:t>
      </w:r>
      <w:r w:rsidR="00773B0E" w:rsidRPr="00021944">
        <w:rPr>
          <w:szCs w:val="26"/>
        </w:rPr>
        <w:t xml:space="preserve"> </w:t>
      </w:r>
      <w:r w:rsidR="006C5CD2" w:rsidRPr="00021944">
        <w:rPr>
          <w:szCs w:val="26"/>
        </w:rPr>
        <w:t xml:space="preserve">necessary to implement and meet </w:t>
      </w:r>
      <w:r w:rsidR="00D75E92" w:rsidRPr="00021944">
        <w:rPr>
          <w:szCs w:val="26"/>
        </w:rPr>
        <w:t xml:space="preserve">Reliability Standard </w:t>
      </w:r>
      <w:r w:rsidR="006C5CD2" w:rsidRPr="00021944">
        <w:rPr>
          <w:szCs w:val="26"/>
        </w:rPr>
        <w:t>TPL-001-4</w:t>
      </w:r>
      <w:r w:rsidR="00FD7FF7" w:rsidRPr="00021944">
        <w:rPr>
          <w:szCs w:val="26"/>
        </w:rPr>
        <w:t xml:space="preserve">.  </w:t>
      </w:r>
      <w:r w:rsidR="00471345" w:rsidRPr="00021944">
        <w:rPr>
          <w:szCs w:val="26"/>
        </w:rPr>
        <w:t>NERC explain</w:t>
      </w:r>
      <w:r w:rsidR="004962FE" w:rsidRPr="00021944">
        <w:rPr>
          <w:szCs w:val="26"/>
        </w:rPr>
        <w:t>ed</w:t>
      </w:r>
      <w:r w:rsidR="00471345" w:rsidRPr="00021944">
        <w:rPr>
          <w:szCs w:val="26"/>
        </w:rPr>
        <w:t xml:space="preserve"> that t</w:t>
      </w:r>
      <w:r w:rsidR="00FD7FF7" w:rsidRPr="00021944">
        <w:rPr>
          <w:szCs w:val="26"/>
        </w:rPr>
        <w:t xml:space="preserve">he specified effective </w:t>
      </w:r>
      <w:r w:rsidR="006C5CD2" w:rsidRPr="00021944">
        <w:rPr>
          <w:szCs w:val="26"/>
        </w:rPr>
        <w:t xml:space="preserve">dates allow sufficient time for proper assessment of the </w:t>
      </w:r>
      <w:r w:rsidR="00FD7FF7" w:rsidRPr="00021944">
        <w:rPr>
          <w:szCs w:val="26"/>
        </w:rPr>
        <w:t xml:space="preserve">available options necessary to </w:t>
      </w:r>
      <w:r w:rsidR="006C5CD2" w:rsidRPr="00021944">
        <w:rPr>
          <w:szCs w:val="26"/>
        </w:rPr>
        <w:t xml:space="preserve">create a viable </w:t>
      </w:r>
      <w:r w:rsidR="009A6DC4" w:rsidRPr="00021944">
        <w:rPr>
          <w:szCs w:val="26"/>
        </w:rPr>
        <w:t>c</w:t>
      </w:r>
      <w:r w:rsidR="006C5CD2" w:rsidRPr="00021944">
        <w:rPr>
          <w:szCs w:val="26"/>
        </w:rPr>
        <w:t xml:space="preserve">orrective </w:t>
      </w:r>
      <w:r w:rsidR="009A6DC4" w:rsidRPr="00021944">
        <w:rPr>
          <w:szCs w:val="26"/>
        </w:rPr>
        <w:t>a</w:t>
      </w:r>
      <w:r w:rsidR="006C5CD2" w:rsidRPr="00021944">
        <w:rPr>
          <w:szCs w:val="26"/>
        </w:rPr>
        <w:t xml:space="preserve">ction </w:t>
      </w:r>
      <w:r w:rsidR="009A6DC4" w:rsidRPr="00021944">
        <w:rPr>
          <w:szCs w:val="26"/>
        </w:rPr>
        <w:t>p</w:t>
      </w:r>
      <w:r w:rsidR="006C5CD2" w:rsidRPr="00021944">
        <w:rPr>
          <w:szCs w:val="26"/>
        </w:rPr>
        <w:t xml:space="preserve">lan that is compliant with the new </w:t>
      </w:r>
      <w:r w:rsidR="00D37C95" w:rsidRPr="00021944">
        <w:rPr>
          <w:szCs w:val="26"/>
        </w:rPr>
        <w:t>TPL Reliability Standard</w:t>
      </w:r>
      <w:r w:rsidR="006C5CD2" w:rsidRPr="00021944">
        <w:rPr>
          <w:szCs w:val="26"/>
        </w:rPr>
        <w:t>.</w:t>
      </w:r>
    </w:p>
    <w:p w:rsidR="00955825" w:rsidRPr="00021944" w:rsidRDefault="00955825" w:rsidP="007F22A3">
      <w:pPr>
        <w:pStyle w:val="Heading2"/>
        <w:numPr>
          <w:ilvl w:val="0"/>
          <w:numId w:val="0"/>
        </w:numPr>
        <w:ind w:left="1440" w:hanging="720"/>
        <w:rPr>
          <w:szCs w:val="26"/>
        </w:rPr>
      </w:pPr>
      <w:r w:rsidRPr="00021944">
        <w:rPr>
          <w:szCs w:val="26"/>
        </w:rPr>
        <w:t xml:space="preserve">Supplemental NOPR </w:t>
      </w:r>
    </w:p>
    <w:p w:rsidR="00AE1327" w:rsidRPr="00021944" w:rsidRDefault="00955825" w:rsidP="00B379C4">
      <w:pPr>
        <w:pStyle w:val="FERCparanumber"/>
        <w:rPr>
          <w:szCs w:val="26"/>
        </w:rPr>
      </w:pPr>
      <w:r w:rsidRPr="00021944">
        <w:rPr>
          <w:szCs w:val="26"/>
        </w:rPr>
        <w:t>On May 1</w:t>
      </w:r>
      <w:r w:rsidR="00A55F66" w:rsidRPr="00021944">
        <w:rPr>
          <w:szCs w:val="26"/>
        </w:rPr>
        <w:t>6</w:t>
      </w:r>
      <w:r w:rsidRPr="00021944">
        <w:rPr>
          <w:szCs w:val="26"/>
        </w:rPr>
        <w:t xml:space="preserve">, 2013, the Commission </w:t>
      </w:r>
      <w:r w:rsidR="004962FE" w:rsidRPr="00021944">
        <w:rPr>
          <w:szCs w:val="26"/>
        </w:rPr>
        <w:t xml:space="preserve">issued a Supplemental NOPR which </w:t>
      </w:r>
      <w:r w:rsidRPr="00021944">
        <w:rPr>
          <w:szCs w:val="26"/>
        </w:rPr>
        <w:t xml:space="preserve">proposed to </w:t>
      </w:r>
      <w:r w:rsidR="002F2690" w:rsidRPr="00021944">
        <w:rPr>
          <w:szCs w:val="26"/>
        </w:rPr>
        <w:t xml:space="preserve">approve </w:t>
      </w:r>
      <w:r w:rsidR="004962FE" w:rsidRPr="00021944">
        <w:rPr>
          <w:szCs w:val="26"/>
        </w:rPr>
        <w:t xml:space="preserve">the Version 4 TPL Reliability Standard, </w:t>
      </w:r>
      <w:r w:rsidR="00B379C4" w:rsidRPr="00021944">
        <w:rPr>
          <w:szCs w:val="26"/>
        </w:rPr>
        <w:t>TPL-</w:t>
      </w:r>
      <w:r w:rsidR="00AD0137" w:rsidRPr="00021944">
        <w:rPr>
          <w:szCs w:val="26"/>
        </w:rPr>
        <w:t>0</w:t>
      </w:r>
      <w:r w:rsidR="00B379C4" w:rsidRPr="00021944">
        <w:rPr>
          <w:szCs w:val="26"/>
        </w:rPr>
        <w:t>01-4</w:t>
      </w:r>
      <w:r w:rsidR="004962FE" w:rsidRPr="00021944">
        <w:rPr>
          <w:szCs w:val="26"/>
        </w:rPr>
        <w:t>,</w:t>
      </w:r>
      <w:r w:rsidR="002C7EED" w:rsidRPr="00021944">
        <w:rPr>
          <w:szCs w:val="26"/>
        </w:rPr>
        <w:t xml:space="preserve"> as just, reasonable, not unduly discriminatory or preferential, and in the public interest</w:t>
      </w:r>
      <w:r w:rsidR="00B379C4" w:rsidRPr="00021944">
        <w:rPr>
          <w:szCs w:val="26"/>
        </w:rPr>
        <w:t>.</w:t>
      </w:r>
      <w:r w:rsidR="0012476A">
        <w:rPr>
          <w:rStyle w:val="FootnoteReference"/>
        </w:rPr>
        <w:footnoteReference w:id="26"/>
      </w:r>
      <w:r w:rsidR="00B379C4" w:rsidRPr="00021944">
        <w:rPr>
          <w:szCs w:val="26"/>
        </w:rPr>
        <w:t xml:space="preserve">  </w:t>
      </w:r>
      <w:r w:rsidRPr="00021944">
        <w:rPr>
          <w:szCs w:val="26"/>
        </w:rPr>
        <w:t xml:space="preserve">In the </w:t>
      </w:r>
      <w:r w:rsidR="004962FE" w:rsidRPr="00021944">
        <w:rPr>
          <w:szCs w:val="26"/>
        </w:rPr>
        <w:t xml:space="preserve">Supplemental </w:t>
      </w:r>
      <w:r w:rsidRPr="00021944">
        <w:rPr>
          <w:szCs w:val="26"/>
        </w:rPr>
        <w:t>NOPR</w:t>
      </w:r>
      <w:r w:rsidR="00E268CF">
        <w:rPr>
          <w:szCs w:val="26"/>
        </w:rPr>
        <w:t>,</w:t>
      </w:r>
      <w:r w:rsidRPr="00021944">
        <w:rPr>
          <w:szCs w:val="26"/>
        </w:rPr>
        <w:t xml:space="preserve"> the Commission </w:t>
      </w:r>
      <w:r w:rsidR="00E268CF">
        <w:rPr>
          <w:szCs w:val="26"/>
        </w:rPr>
        <w:t>suggested</w:t>
      </w:r>
      <w:r w:rsidR="004962FE" w:rsidRPr="00021944">
        <w:rPr>
          <w:szCs w:val="26"/>
        </w:rPr>
        <w:t xml:space="preserve"> </w:t>
      </w:r>
      <w:r w:rsidRPr="00021944">
        <w:rPr>
          <w:szCs w:val="26"/>
        </w:rPr>
        <w:t>that</w:t>
      </w:r>
      <w:r w:rsidR="0012476A">
        <w:rPr>
          <w:szCs w:val="26"/>
        </w:rPr>
        <w:t>,</w:t>
      </w:r>
      <w:r w:rsidRPr="00021944">
        <w:rPr>
          <w:szCs w:val="26"/>
        </w:rPr>
        <w:t xml:space="preserve"> while </w:t>
      </w:r>
      <w:r w:rsidR="002C7EED" w:rsidRPr="00021944">
        <w:rPr>
          <w:szCs w:val="26"/>
        </w:rPr>
        <w:t xml:space="preserve">NERC’s proposal differs from the Commission </w:t>
      </w:r>
      <w:r w:rsidR="005A0B4A" w:rsidRPr="00021944">
        <w:rPr>
          <w:szCs w:val="26"/>
        </w:rPr>
        <w:t>directives</w:t>
      </w:r>
      <w:r w:rsidR="002C7EED" w:rsidRPr="00021944">
        <w:rPr>
          <w:szCs w:val="26"/>
        </w:rPr>
        <w:t xml:space="preserve"> on th</w:t>
      </w:r>
      <w:r w:rsidR="007F22A3">
        <w:rPr>
          <w:szCs w:val="26"/>
        </w:rPr>
        <w:t xml:space="preserve">e </w:t>
      </w:r>
      <w:r w:rsidR="002C7EED" w:rsidRPr="00021944">
        <w:rPr>
          <w:szCs w:val="26"/>
        </w:rPr>
        <w:t>matter</w:t>
      </w:r>
      <w:r w:rsidR="007F22A3">
        <w:rPr>
          <w:szCs w:val="26"/>
        </w:rPr>
        <w:t xml:space="preserve"> of utilizing non-c</w:t>
      </w:r>
      <w:r w:rsidR="0012476A">
        <w:rPr>
          <w:szCs w:val="26"/>
        </w:rPr>
        <w:t>onsequential load loss</w:t>
      </w:r>
      <w:r w:rsidRPr="00021944">
        <w:rPr>
          <w:szCs w:val="26"/>
        </w:rPr>
        <w:t xml:space="preserve">, </w:t>
      </w:r>
      <w:r w:rsidR="005A0B4A" w:rsidRPr="00021944">
        <w:rPr>
          <w:szCs w:val="26"/>
        </w:rPr>
        <w:t xml:space="preserve">NERC’s </w:t>
      </w:r>
      <w:r w:rsidR="004264F8" w:rsidRPr="00021944">
        <w:rPr>
          <w:szCs w:val="26"/>
        </w:rPr>
        <w:t>propos</w:t>
      </w:r>
      <w:r w:rsidR="005A0B4A" w:rsidRPr="00021944">
        <w:rPr>
          <w:szCs w:val="26"/>
        </w:rPr>
        <w:t>al</w:t>
      </w:r>
      <w:r w:rsidR="004264F8" w:rsidRPr="00021944">
        <w:rPr>
          <w:szCs w:val="26"/>
        </w:rPr>
        <w:t xml:space="preserve"> </w:t>
      </w:r>
      <w:r w:rsidR="00F5332F" w:rsidRPr="00021944">
        <w:rPr>
          <w:szCs w:val="26"/>
        </w:rPr>
        <w:t xml:space="preserve">adequately </w:t>
      </w:r>
      <w:r w:rsidR="009848ED" w:rsidRPr="00021944">
        <w:rPr>
          <w:szCs w:val="26"/>
        </w:rPr>
        <w:t xml:space="preserve">addresses the </w:t>
      </w:r>
      <w:r w:rsidR="00D844BD" w:rsidRPr="00021944">
        <w:rPr>
          <w:szCs w:val="26"/>
        </w:rPr>
        <w:t xml:space="preserve">underlying reliability </w:t>
      </w:r>
      <w:r w:rsidR="009848ED" w:rsidRPr="00021944">
        <w:rPr>
          <w:szCs w:val="26"/>
        </w:rPr>
        <w:t xml:space="preserve">concerns raised in </w:t>
      </w:r>
      <w:r w:rsidR="005A0B4A" w:rsidRPr="00021944">
        <w:rPr>
          <w:szCs w:val="26"/>
        </w:rPr>
        <w:t xml:space="preserve">Order No. 693, </w:t>
      </w:r>
      <w:r w:rsidR="009848ED" w:rsidRPr="00021944">
        <w:rPr>
          <w:szCs w:val="26"/>
        </w:rPr>
        <w:t xml:space="preserve">Order No. 762 and the </w:t>
      </w:r>
      <w:r w:rsidR="004D4B9E" w:rsidRPr="00021944">
        <w:rPr>
          <w:szCs w:val="26"/>
        </w:rPr>
        <w:t xml:space="preserve">April 2012 </w:t>
      </w:r>
      <w:r w:rsidR="007F3CB3" w:rsidRPr="00021944">
        <w:rPr>
          <w:szCs w:val="26"/>
        </w:rPr>
        <w:t>NOPR</w:t>
      </w:r>
      <w:r w:rsidR="00F5332F" w:rsidRPr="00021944">
        <w:rPr>
          <w:szCs w:val="26"/>
        </w:rPr>
        <w:t xml:space="preserve"> and, thus, </w:t>
      </w:r>
      <w:r w:rsidR="00931293" w:rsidRPr="00021944">
        <w:rPr>
          <w:szCs w:val="26"/>
        </w:rPr>
        <w:t xml:space="preserve">is </w:t>
      </w:r>
      <w:r w:rsidR="009848ED" w:rsidRPr="00021944">
        <w:rPr>
          <w:szCs w:val="26"/>
        </w:rPr>
        <w:t>an equally effective and efficient alternative to address the Commission’s</w:t>
      </w:r>
      <w:r w:rsidR="00931293" w:rsidRPr="00021944">
        <w:rPr>
          <w:szCs w:val="26"/>
        </w:rPr>
        <w:t xml:space="preserve"> </w:t>
      </w:r>
      <w:r w:rsidR="009848ED" w:rsidRPr="00021944">
        <w:rPr>
          <w:szCs w:val="26"/>
        </w:rPr>
        <w:t>directive</w:t>
      </w:r>
      <w:r w:rsidR="004962FE" w:rsidRPr="00021944">
        <w:rPr>
          <w:szCs w:val="26"/>
        </w:rPr>
        <w:t>s.</w:t>
      </w:r>
      <w:r w:rsidR="0012476A">
        <w:rPr>
          <w:rStyle w:val="FootnoteReference"/>
        </w:rPr>
        <w:footnoteReference w:id="27"/>
      </w:r>
      <w:r w:rsidR="004962FE" w:rsidRPr="00021944">
        <w:rPr>
          <w:szCs w:val="26"/>
        </w:rPr>
        <w:t xml:space="preserve">  </w:t>
      </w:r>
      <w:r w:rsidR="0012476A">
        <w:rPr>
          <w:szCs w:val="26"/>
        </w:rPr>
        <w:t xml:space="preserve">In the </w:t>
      </w:r>
      <w:r w:rsidR="004962FE" w:rsidRPr="00021944">
        <w:rPr>
          <w:szCs w:val="26"/>
        </w:rPr>
        <w:t>Supplemental NOPR</w:t>
      </w:r>
      <w:r w:rsidR="0012476A">
        <w:rPr>
          <w:szCs w:val="26"/>
        </w:rPr>
        <w:t xml:space="preserve">, the Commission proposed to find that </w:t>
      </w:r>
      <w:r w:rsidR="00931293" w:rsidRPr="00021944">
        <w:rPr>
          <w:szCs w:val="26"/>
        </w:rPr>
        <w:t>p</w:t>
      </w:r>
      <w:r w:rsidR="009848ED" w:rsidRPr="00021944">
        <w:rPr>
          <w:szCs w:val="26"/>
        </w:rPr>
        <w:t xml:space="preserve">roposed </w:t>
      </w:r>
      <w:r w:rsidR="00931293" w:rsidRPr="00021944">
        <w:rPr>
          <w:szCs w:val="26"/>
        </w:rPr>
        <w:t xml:space="preserve">footnote 12 </w:t>
      </w:r>
      <w:r w:rsidR="009848ED" w:rsidRPr="00021944">
        <w:rPr>
          <w:szCs w:val="26"/>
        </w:rPr>
        <w:t>would improve reliability by</w:t>
      </w:r>
      <w:r w:rsidR="00931293" w:rsidRPr="00021944">
        <w:rPr>
          <w:szCs w:val="26"/>
        </w:rPr>
        <w:t xml:space="preserve"> p</w:t>
      </w:r>
      <w:r w:rsidR="009848ED" w:rsidRPr="00021944">
        <w:rPr>
          <w:szCs w:val="26"/>
        </w:rPr>
        <w:t xml:space="preserve">roviding </w:t>
      </w:r>
      <w:r w:rsidR="009848ED" w:rsidRPr="00021944">
        <w:rPr>
          <w:szCs w:val="26"/>
        </w:rPr>
        <w:lastRenderedPageBreak/>
        <w:t>a blend of specific quantitative and qualitative parameters for the</w:t>
      </w:r>
      <w:r w:rsidR="00931293" w:rsidRPr="00021944">
        <w:rPr>
          <w:szCs w:val="26"/>
        </w:rPr>
        <w:t xml:space="preserve"> </w:t>
      </w:r>
      <w:r w:rsidR="009848ED" w:rsidRPr="00021944">
        <w:rPr>
          <w:szCs w:val="26"/>
        </w:rPr>
        <w:t xml:space="preserve">permissible use of planned </w:t>
      </w:r>
      <w:r w:rsidR="0034142B" w:rsidRPr="00021944">
        <w:rPr>
          <w:szCs w:val="26"/>
        </w:rPr>
        <w:t xml:space="preserve">non-consequential load loss </w:t>
      </w:r>
      <w:r w:rsidR="009848ED" w:rsidRPr="00021944">
        <w:rPr>
          <w:szCs w:val="26"/>
        </w:rPr>
        <w:t xml:space="preserve">to address </w:t>
      </w:r>
      <w:r w:rsidR="00931293" w:rsidRPr="00021944">
        <w:rPr>
          <w:szCs w:val="26"/>
        </w:rPr>
        <w:t>bulk electric system performance issues.  In addition,</w:t>
      </w:r>
      <w:r w:rsidR="00F550C5" w:rsidRPr="00021944">
        <w:rPr>
          <w:szCs w:val="26"/>
        </w:rPr>
        <w:t xml:space="preserve"> the </w:t>
      </w:r>
      <w:r w:rsidR="0012476A">
        <w:rPr>
          <w:szCs w:val="26"/>
        </w:rPr>
        <w:t xml:space="preserve">Commission </w:t>
      </w:r>
      <w:r w:rsidR="00F550C5" w:rsidRPr="00021944">
        <w:rPr>
          <w:szCs w:val="26"/>
        </w:rPr>
        <w:t>state</w:t>
      </w:r>
      <w:r w:rsidR="004962FE" w:rsidRPr="00021944">
        <w:rPr>
          <w:szCs w:val="26"/>
        </w:rPr>
        <w:t>d</w:t>
      </w:r>
      <w:r w:rsidR="00F550C5" w:rsidRPr="00021944">
        <w:rPr>
          <w:szCs w:val="26"/>
        </w:rPr>
        <w:t xml:space="preserve"> that </w:t>
      </w:r>
      <w:r w:rsidR="00931293" w:rsidRPr="00021944">
        <w:rPr>
          <w:szCs w:val="26"/>
        </w:rPr>
        <w:t xml:space="preserve">the stakeholder process </w:t>
      </w:r>
      <w:r w:rsidR="00F550C5" w:rsidRPr="00021944">
        <w:rPr>
          <w:szCs w:val="26"/>
        </w:rPr>
        <w:t>appear</w:t>
      </w:r>
      <w:r w:rsidR="00E268CF">
        <w:rPr>
          <w:szCs w:val="26"/>
        </w:rPr>
        <w:t>s</w:t>
      </w:r>
      <w:r w:rsidR="00F550C5" w:rsidRPr="00021944">
        <w:rPr>
          <w:szCs w:val="26"/>
        </w:rPr>
        <w:t xml:space="preserve"> to be </w:t>
      </w:r>
      <w:r w:rsidR="00931293" w:rsidRPr="00021944">
        <w:rPr>
          <w:szCs w:val="26"/>
        </w:rPr>
        <w:t xml:space="preserve">adequately defined </w:t>
      </w:r>
      <w:r w:rsidR="0059249B" w:rsidRPr="00021944">
        <w:rPr>
          <w:szCs w:val="26"/>
        </w:rPr>
        <w:t xml:space="preserve">and </w:t>
      </w:r>
      <w:r w:rsidR="00AC34B7" w:rsidRPr="00021944">
        <w:rPr>
          <w:szCs w:val="26"/>
        </w:rPr>
        <w:t>includes</w:t>
      </w:r>
      <w:r w:rsidR="009848ED" w:rsidRPr="00021944">
        <w:rPr>
          <w:szCs w:val="26"/>
        </w:rPr>
        <w:t xml:space="preserve"> specific</w:t>
      </w:r>
      <w:r w:rsidR="00AC34B7" w:rsidRPr="00021944">
        <w:rPr>
          <w:szCs w:val="26"/>
        </w:rPr>
        <w:t xml:space="preserve"> </w:t>
      </w:r>
      <w:r w:rsidR="009848ED" w:rsidRPr="00021944">
        <w:rPr>
          <w:szCs w:val="26"/>
        </w:rPr>
        <w:t>criteria and guidelines</w:t>
      </w:r>
      <w:r w:rsidR="00AC34B7" w:rsidRPr="00021944">
        <w:rPr>
          <w:szCs w:val="26"/>
        </w:rPr>
        <w:t xml:space="preserve"> </w:t>
      </w:r>
      <w:r w:rsidR="009848ED" w:rsidRPr="00021944">
        <w:rPr>
          <w:szCs w:val="26"/>
        </w:rPr>
        <w:t xml:space="preserve">that </w:t>
      </w:r>
      <w:r w:rsidR="00AC34B7" w:rsidRPr="00021944">
        <w:rPr>
          <w:szCs w:val="26"/>
        </w:rPr>
        <w:t xml:space="preserve">a responsible entity </w:t>
      </w:r>
      <w:r w:rsidR="009848ED" w:rsidRPr="00021944">
        <w:rPr>
          <w:szCs w:val="26"/>
        </w:rPr>
        <w:t>must follow</w:t>
      </w:r>
      <w:r w:rsidR="00AC34B7" w:rsidRPr="00021944">
        <w:rPr>
          <w:szCs w:val="26"/>
        </w:rPr>
        <w:t xml:space="preserve"> </w:t>
      </w:r>
      <w:r w:rsidR="009848ED" w:rsidRPr="00021944">
        <w:rPr>
          <w:szCs w:val="26"/>
        </w:rPr>
        <w:t xml:space="preserve">before </w:t>
      </w:r>
      <w:r w:rsidR="00AC34B7" w:rsidRPr="00021944">
        <w:rPr>
          <w:szCs w:val="26"/>
        </w:rPr>
        <w:t xml:space="preserve">it </w:t>
      </w:r>
      <w:r w:rsidR="009848ED" w:rsidRPr="00021944">
        <w:rPr>
          <w:szCs w:val="26"/>
        </w:rPr>
        <w:t>may</w:t>
      </w:r>
      <w:r w:rsidR="00AC34B7" w:rsidRPr="00021944">
        <w:rPr>
          <w:szCs w:val="26"/>
        </w:rPr>
        <w:t xml:space="preserve"> </w:t>
      </w:r>
      <w:r w:rsidR="003E6CB4" w:rsidRPr="00021944">
        <w:rPr>
          <w:szCs w:val="26"/>
        </w:rPr>
        <w:t xml:space="preserve">use </w:t>
      </w:r>
      <w:r w:rsidR="009848ED" w:rsidRPr="00021944">
        <w:rPr>
          <w:szCs w:val="26"/>
        </w:rPr>
        <w:t>plan</w:t>
      </w:r>
      <w:r w:rsidR="003E6CB4" w:rsidRPr="00021944">
        <w:rPr>
          <w:szCs w:val="26"/>
        </w:rPr>
        <w:t>ned</w:t>
      </w:r>
      <w:r w:rsidR="009848ED" w:rsidRPr="00021944">
        <w:rPr>
          <w:szCs w:val="26"/>
        </w:rPr>
        <w:t xml:space="preserve"> </w:t>
      </w:r>
      <w:r w:rsidR="0034142B" w:rsidRPr="00021944">
        <w:rPr>
          <w:szCs w:val="26"/>
        </w:rPr>
        <w:t xml:space="preserve">non-consequential load loss </w:t>
      </w:r>
      <w:r w:rsidR="009848ED" w:rsidRPr="00021944">
        <w:rPr>
          <w:szCs w:val="26"/>
        </w:rPr>
        <w:t xml:space="preserve">to </w:t>
      </w:r>
      <w:r w:rsidR="003E6CB4" w:rsidRPr="00021944">
        <w:rPr>
          <w:szCs w:val="26"/>
        </w:rPr>
        <w:t>meet Reliability Standard TPL-001-4</w:t>
      </w:r>
      <w:r w:rsidR="002C5ECD" w:rsidRPr="00021944">
        <w:rPr>
          <w:szCs w:val="26"/>
        </w:rPr>
        <w:t xml:space="preserve"> performance requirements for </w:t>
      </w:r>
      <w:r w:rsidR="009848ED" w:rsidRPr="00021944">
        <w:rPr>
          <w:szCs w:val="26"/>
        </w:rPr>
        <w:t xml:space="preserve">a single </w:t>
      </w:r>
      <w:r w:rsidR="00AC34B7" w:rsidRPr="00021944">
        <w:rPr>
          <w:szCs w:val="26"/>
        </w:rPr>
        <w:t>c</w:t>
      </w:r>
      <w:r w:rsidR="009848ED" w:rsidRPr="00021944">
        <w:rPr>
          <w:szCs w:val="26"/>
        </w:rPr>
        <w:t>ontingency</w:t>
      </w:r>
      <w:r w:rsidR="002C5ECD" w:rsidRPr="00021944">
        <w:rPr>
          <w:szCs w:val="26"/>
        </w:rPr>
        <w:t xml:space="preserve"> event</w:t>
      </w:r>
      <w:r w:rsidR="00AC34B7" w:rsidRPr="00021944">
        <w:rPr>
          <w:szCs w:val="26"/>
        </w:rPr>
        <w:t xml:space="preserve">.  Further, </w:t>
      </w:r>
      <w:r w:rsidR="00F550C5" w:rsidRPr="00021944">
        <w:rPr>
          <w:szCs w:val="26"/>
        </w:rPr>
        <w:t xml:space="preserve">the </w:t>
      </w:r>
      <w:r w:rsidR="004962FE" w:rsidRPr="00021944">
        <w:rPr>
          <w:szCs w:val="26"/>
        </w:rPr>
        <w:t xml:space="preserve">Supplemental </w:t>
      </w:r>
      <w:r w:rsidR="00F550C5" w:rsidRPr="00021944">
        <w:rPr>
          <w:szCs w:val="26"/>
        </w:rPr>
        <w:t xml:space="preserve">NOPR </w:t>
      </w:r>
      <w:r w:rsidR="00E268CF">
        <w:rPr>
          <w:szCs w:val="26"/>
        </w:rPr>
        <w:t>indicated</w:t>
      </w:r>
      <w:r w:rsidR="00F550C5" w:rsidRPr="00021944">
        <w:rPr>
          <w:szCs w:val="26"/>
        </w:rPr>
        <w:t xml:space="preserve"> that </w:t>
      </w:r>
      <w:r w:rsidR="002B539D" w:rsidRPr="00021944">
        <w:rPr>
          <w:szCs w:val="26"/>
        </w:rPr>
        <w:t xml:space="preserve">NERC’s proposal provides reasonable </w:t>
      </w:r>
      <w:r w:rsidR="009848ED" w:rsidRPr="00021944">
        <w:rPr>
          <w:szCs w:val="26"/>
        </w:rPr>
        <w:t>safeguards</w:t>
      </w:r>
      <w:r w:rsidR="004962FE" w:rsidRPr="00021944">
        <w:rPr>
          <w:szCs w:val="26"/>
        </w:rPr>
        <w:t xml:space="preserve">, including a </w:t>
      </w:r>
      <w:r w:rsidR="00B7646A" w:rsidRPr="00021944">
        <w:rPr>
          <w:szCs w:val="26"/>
        </w:rPr>
        <w:t>review process</w:t>
      </w:r>
      <w:r w:rsidR="004962FE" w:rsidRPr="00021944">
        <w:rPr>
          <w:szCs w:val="26"/>
        </w:rPr>
        <w:t xml:space="preserve"> by NERC</w:t>
      </w:r>
      <w:r w:rsidR="00B7646A" w:rsidRPr="00021944">
        <w:rPr>
          <w:szCs w:val="26"/>
        </w:rPr>
        <w:t>,</w:t>
      </w:r>
      <w:r w:rsidR="009848ED" w:rsidRPr="00021944">
        <w:rPr>
          <w:szCs w:val="26"/>
        </w:rPr>
        <w:t xml:space="preserve"> </w:t>
      </w:r>
      <w:r w:rsidR="002B539D" w:rsidRPr="00021944">
        <w:rPr>
          <w:szCs w:val="26"/>
        </w:rPr>
        <w:t xml:space="preserve">to </w:t>
      </w:r>
      <w:r w:rsidR="00B7646A" w:rsidRPr="00021944">
        <w:rPr>
          <w:szCs w:val="26"/>
        </w:rPr>
        <w:t>protect against</w:t>
      </w:r>
      <w:r w:rsidR="009848ED" w:rsidRPr="00021944">
        <w:rPr>
          <w:szCs w:val="26"/>
        </w:rPr>
        <w:t xml:space="preserve"> </w:t>
      </w:r>
      <w:r w:rsidR="00AC34B7" w:rsidRPr="00021944">
        <w:rPr>
          <w:szCs w:val="26"/>
        </w:rPr>
        <w:t>a</w:t>
      </w:r>
      <w:r w:rsidR="009848ED" w:rsidRPr="00021944">
        <w:rPr>
          <w:szCs w:val="26"/>
        </w:rPr>
        <w:t>dverse</w:t>
      </w:r>
      <w:r w:rsidR="00AC34B7" w:rsidRPr="00021944">
        <w:rPr>
          <w:szCs w:val="26"/>
        </w:rPr>
        <w:t xml:space="preserve"> r</w:t>
      </w:r>
      <w:r w:rsidR="009848ED" w:rsidRPr="00021944">
        <w:rPr>
          <w:szCs w:val="26"/>
        </w:rPr>
        <w:t xml:space="preserve">eliability </w:t>
      </w:r>
      <w:r w:rsidR="00AC34B7" w:rsidRPr="00021944">
        <w:rPr>
          <w:szCs w:val="26"/>
        </w:rPr>
        <w:t>i</w:t>
      </w:r>
      <w:r w:rsidR="009848ED" w:rsidRPr="00021944">
        <w:rPr>
          <w:szCs w:val="26"/>
        </w:rPr>
        <w:t xml:space="preserve">mpacts </w:t>
      </w:r>
      <w:r w:rsidR="00B7646A" w:rsidRPr="00021944">
        <w:rPr>
          <w:szCs w:val="26"/>
        </w:rPr>
        <w:t>that could otherwise result from</w:t>
      </w:r>
      <w:r w:rsidR="009848ED" w:rsidRPr="00021944">
        <w:rPr>
          <w:szCs w:val="26"/>
        </w:rPr>
        <w:t xml:space="preserve"> plan</w:t>
      </w:r>
      <w:r w:rsidR="00B7646A" w:rsidRPr="00021944">
        <w:rPr>
          <w:szCs w:val="26"/>
        </w:rPr>
        <w:t>ned</w:t>
      </w:r>
      <w:r w:rsidR="009848ED" w:rsidRPr="00021944">
        <w:rPr>
          <w:szCs w:val="26"/>
        </w:rPr>
        <w:t xml:space="preserve"> </w:t>
      </w:r>
      <w:r w:rsidR="00022A1A" w:rsidRPr="00021944">
        <w:rPr>
          <w:szCs w:val="26"/>
        </w:rPr>
        <w:t>non-consequential load loss</w:t>
      </w:r>
      <w:r w:rsidR="009848ED" w:rsidRPr="00021944">
        <w:rPr>
          <w:szCs w:val="26"/>
        </w:rPr>
        <w:t>.</w:t>
      </w:r>
      <w:r w:rsidR="0012476A">
        <w:rPr>
          <w:rStyle w:val="FootnoteReference"/>
        </w:rPr>
        <w:footnoteReference w:id="28"/>
      </w:r>
      <w:r w:rsidR="002B539D" w:rsidRPr="00021944">
        <w:rPr>
          <w:szCs w:val="26"/>
        </w:rPr>
        <w:t xml:space="preserve">  </w:t>
      </w:r>
    </w:p>
    <w:p w:rsidR="0013642F" w:rsidRPr="00021944" w:rsidRDefault="00F550C5" w:rsidP="00B379C4">
      <w:pPr>
        <w:pStyle w:val="FERCparanumber"/>
        <w:rPr>
          <w:szCs w:val="26"/>
        </w:rPr>
      </w:pPr>
      <w:r w:rsidRPr="00021944">
        <w:rPr>
          <w:szCs w:val="26"/>
        </w:rPr>
        <w:t>In the Supplemental NOPR</w:t>
      </w:r>
      <w:r w:rsidR="0012476A">
        <w:rPr>
          <w:szCs w:val="26"/>
        </w:rPr>
        <w:t>,</w:t>
      </w:r>
      <w:r w:rsidRPr="00021944">
        <w:rPr>
          <w:szCs w:val="26"/>
        </w:rPr>
        <w:t xml:space="preserve"> the Commission </w:t>
      </w:r>
      <w:r w:rsidR="00B62479" w:rsidRPr="00021944">
        <w:rPr>
          <w:szCs w:val="26"/>
        </w:rPr>
        <w:t>propose</w:t>
      </w:r>
      <w:r w:rsidRPr="00021944">
        <w:rPr>
          <w:szCs w:val="26"/>
        </w:rPr>
        <w:t>d</w:t>
      </w:r>
      <w:r w:rsidR="00B62479" w:rsidRPr="00021944">
        <w:rPr>
          <w:szCs w:val="26"/>
        </w:rPr>
        <w:t xml:space="preserve"> to direct that NERC submit a report on the use of footnote 12, due </w:t>
      </w:r>
      <w:r w:rsidR="008C3916" w:rsidRPr="00021944">
        <w:rPr>
          <w:szCs w:val="26"/>
        </w:rPr>
        <w:t>at the end of the first</w:t>
      </w:r>
      <w:r w:rsidR="00B62479" w:rsidRPr="00021944">
        <w:rPr>
          <w:szCs w:val="26"/>
        </w:rPr>
        <w:t xml:space="preserve"> calendar quarter after the first two years of implementation of footnote 12</w:t>
      </w:r>
      <w:r w:rsidR="002615AB" w:rsidRPr="00021944">
        <w:rPr>
          <w:szCs w:val="26"/>
        </w:rPr>
        <w:t xml:space="preserve"> </w:t>
      </w:r>
      <w:r w:rsidRPr="00021944">
        <w:rPr>
          <w:szCs w:val="26"/>
        </w:rPr>
        <w:t xml:space="preserve">to </w:t>
      </w:r>
      <w:r w:rsidR="00B62479" w:rsidRPr="00021944">
        <w:rPr>
          <w:szCs w:val="26"/>
        </w:rPr>
        <w:t xml:space="preserve">provide an analysis of the use of footnote 12, including but not limited </w:t>
      </w:r>
      <w:r w:rsidR="007F2221" w:rsidRPr="00021944">
        <w:rPr>
          <w:szCs w:val="26"/>
        </w:rPr>
        <w:t xml:space="preserve">to </w:t>
      </w:r>
      <w:r w:rsidR="00B62479" w:rsidRPr="00021944">
        <w:rPr>
          <w:szCs w:val="26"/>
        </w:rPr>
        <w:t xml:space="preserve">information on the duration, frequency and magnitude of planned </w:t>
      </w:r>
      <w:r w:rsidR="00022A1A" w:rsidRPr="00021944">
        <w:rPr>
          <w:szCs w:val="26"/>
        </w:rPr>
        <w:t>non-consequential load loss</w:t>
      </w:r>
      <w:r w:rsidR="00B62479" w:rsidRPr="00021944">
        <w:rPr>
          <w:szCs w:val="26"/>
        </w:rPr>
        <w:t xml:space="preserve">, and typical (and if significant, atypical) scenarios where entities plan for non-consequential load </w:t>
      </w:r>
      <w:r w:rsidR="00022A1A" w:rsidRPr="00021944">
        <w:rPr>
          <w:szCs w:val="26"/>
        </w:rPr>
        <w:t>loss</w:t>
      </w:r>
      <w:r w:rsidR="00B62479" w:rsidRPr="00021944">
        <w:rPr>
          <w:szCs w:val="26"/>
        </w:rPr>
        <w:t xml:space="preserve">.  </w:t>
      </w:r>
      <w:r w:rsidR="004D4B9E" w:rsidRPr="00021944">
        <w:rPr>
          <w:szCs w:val="26"/>
        </w:rPr>
        <w:t>The Commission proposed that t</w:t>
      </w:r>
      <w:r w:rsidR="00B62479" w:rsidRPr="00021944">
        <w:rPr>
          <w:szCs w:val="26"/>
        </w:rPr>
        <w:t xml:space="preserve">he report </w:t>
      </w:r>
      <w:r w:rsidR="002615AB" w:rsidRPr="00021944">
        <w:rPr>
          <w:szCs w:val="26"/>
        </w:rPr>
        <w:t>should also</w:t>
      </w:r>
      <w:r w:rsidR="00B62479" w:rsidRPr="00021944">
        <w:rPr>
          <w:szCs w:val="26"/>
        </w:rPr>
        <w:t xml:space="preserve"> </w:t>
      </w:r>
      <w:r w:rsidR="00B62479" w:rsidRPr="00021944">
        <w:rPr>
          <w:szCs w:val="26"/>
        </w:rPr>
        <w:lastRenderedPageBreak/>
        <w:t xml:space="preserve">address the effectiveness of the stakeholder process and the </w:t>
      </w:r>
      <w:r w:rsidR="00BD5DEF" w:rsidRPr="00021944">
        <w:rPr>
          <w:szCs w:val="26"/>
        </w:rPr>
        <w:t xml:space="preserve">use </w:t>
      </w:r>
      <w:r w:rsidR="0019119D" w:rsidRPr="00021944">
        <w:rPr>
          <w:szCs w:val="26"/>
        </w:rPr>
        <w:t xml:space="preserve">and </w:t>
      </w:r>
      <w:r w:rsidR="00B62479" w:rsidRPr="00021944">
        <w:rPr>
          <w:szCs w:val="26"/>
        </w:rPr>
        <w:t>effectiveness of the local regulatory review and NERC review.</w:t>
      </w:r>
      <w:r w:rsidR="0012476A">
        <w:rPr>
          <w:rStyle w:val="FootnoteReference"/>
        </w:rPr>
        <w:footnoteReference w:id="29"/>
      </w:r>
      <w:r w:rsidRPr="00021944">
        <w:rPr>
          <w:szCs w:val="26"/>
        </w:rPr>
        <w:t xml:space="preserve">  </w:t>
      </w:r>
    </w:p>
    <w:p w:rsidR="00C60279" w:rsidRPr="00021944" w:rsidRDefault="00E75F1E" w:rsidP="00C60279">
      <w:pPr>
        <w:pStyle w:val="FERCparanumber"/>
        <w:rPr>
          <w:szCs w:val="26"/>
        </w:rPr>
      </w:pPr>
      <w:r>
        <w:rPr>
          <w:szCs w:val="26"/>
        </w:rPr>
        <w:t>Comments on the Supplemental NOPR were due on June 24, 201</w:t>
      </w:r>
      <w:r w:rsidR="0012476A">
        <w:rPr>
          <w:szCs w:val="26"/>
        </w:rPr>
        <w:t>3</w:t>
      </w:r>
      <w:r>
        <w:rPr>
          <w:szCs w:val="26"/>
        </w:rPr>
        <w:t xml:space="preserve">.  </w:t>
      </w:r>
      <w:r w:rsidR="00C60279" w:rsidRPr="00021944">
        <w:rPr>
          <w:szCs w:val="26"/>
        </w:rPr>
        <w:t>NERC, MISO and ITC Companies file</w:t>
      </w:r>
      <w:r w:rsidR="004D442F" w:rsidRPr="00021944">
        <w:rPr>
          <w:szCs w:val="26"/>
        </w:rPr>
        <w:t>d</w:t>
      </w:r>
      <w:r w:rsidR="00C60279" w:rsidRPr="00021944">
        <w:rPr>
          <w:szCs w:val="26"/>
        </w:rPr>
        <w:t xml:space="preserve"> comments in response to the Supplemental NOPR. </w:t>
      </w:r>
    </w:p>
    <w:p w:rsidR="00955825" w:rsidRPr="00021944" w:rsidRDefault="00955825" w:rsidP="00955825">
      <w:pPr>
        <w:pStyle w:val="Heading1"/>
        <w:rPr>
          <w:szCs w:val="26"/>
        </w:rPr>
      </w:pPr>
      <w:r w:rsidRPr="00021944">
        <w:rPr>
          <w:szCs w:val="26"/>
        </w:rPr>
        <w:t xml:space="preserve">Discussion </w:t>
      </w:r>
    </w:p>
    <w:p w:rsidR="00C3776D" w:rsidRPr="00C3776D" w:rsidRDefault="002C7E6C" w:rsidP="00564CA9">
      <w:pPr>
        <w:pStyle w:val="FERCparanumber"/>
        <w:rPr>
          <w:szCs w:val="26"/>
        </w:rPr>
      </w:pPr>
      <w:r w:rsidRPr="00564CA9">
        <w:rPr>
          <w:szCs w:val="26"/>
        </w:rPr>
        <w:t>Pursuant to FPA section 215(d), w</w:t>
      </w:r>
      <w:r w:rsidR="00D11FF5" w:rsidRPr="00564CA9">
        <w:rPr>
          <w:szCs w:val="26"/>
        </w:rPr>
        <w:t>e find that</w:t>
      </w:r>
      <w:r w:rsidR="00861DB0">
        <w:rPr>
          <w:szCs w:val="26"/>
        </w:rPr>
        <w:t xml:space="preserve"> </w:t>
      </w:r>
      <w:r w:rsidR="00861DB0" w:rsidRPr="00564CA9">
        <w:rPr>
          <w:szCs w:val="26"/>
        </w:rPr>
        <w:t>Reliability Standard TPL-001-4</w:t>
      </w:r>
      <w:r w:rsidRPr="00564CA9">
        <w:rPr>
          <w:szCs w:val="26"/>
        </w:rPr>
        <w:t xml:space="preserve"> </w:t>
      </w:r>
      <w:r w:rsidR="00D11FF5" w:rsidRPr="00564CA9">
        <w:rPr>
          <w:szCs w:val="26"/>
        </w:rPr>
        <w:t>is just, reasonable, not unduly discriminato</w:t>
      </w:r>
      <w:r w:rsidR="002D1716" w:rsidRPr="00564CA9">
        <w:rPr>
          <w:szCs w:val="26"/>
        </w:rPr>
        <w:t xml:space="preserve">ry </w:t>
      </w:r>
      <w:r w:rsidR="00B25139">
        <w:rPr>
          <w:szCs w:val="26"/>
        </w:rPr>
        <w:t xml:space="preserve">or preferential, </w:t>
      </w:r>
      <w:r w:rsidR="002D1716" w:rsidRPr="00564CA9">
        <w:rPr>
          <w:szCs w:val="26"/>
        </w:rPr>
        <w:t xml:space="preserve">and in the public interest.  </w:t>
      </w:r>
      <w:r w:rsidR="002D1716">
        <w:t>While NERC’s proposal differs from the Commission directives</w:t>
      </w:r>
      <w:r w:rsidR="00564CA9">
        <w:t>, w</w:t>
      </w:r>
      <w:r w:rsidR="002D1716">
        <w:t xml:space="preserve">e find </w:t>
      </w:r>
      <w:r w:rsidR="00B25139">
        <w:t xml:space="preserve">that </w:t>
      </w:r>
      <w:r w:rsidR="00861DB0">
        <w:t>NERC</w:t>
      </w:r>
      <w:r w:rsidR="002D1716">
        <w:t xml:space="preserve"> adequately addres</w:t>
      </w:r>
      <w:r w:rsidR="00861DB0">
        <w:t>sed</w:t>
      </w:r>
      <w:r w:rsidR="002D1716">
        <w:t xml:space="preserve"> the </w:t>
      </w:r>
      <w:r w:rsidR="003E61C3">
        <w:t xml:space="preserve">directives and </w:t>
      </w:r>
      <w:r w:rsidR="002D1716">
        <w:t>underlying reliability co</w:t>
      </w:r>
      <w:r w:rsidR="00E75F1E">
        <w:t xml:space="preserve">ncerns </w:t>
      </w:r>
      <w:r w:rsidR="003E61C3">
        <w:t xml:space="preserve">of </w:t>
      </w:r>
      <w:r w:rsidR="00E75F1E">
        <w:t xml:space="preserve">Order No. 693, </w:t>
      </w:r>
      <w:r w:rsidR="002D1716">
        <w:t xml:space="preserve">Order No. 762 and the </w:t>
      </w:r>
      <w:r w:rsidR="00BE156E">
        <w:t xml:space="preserve">April 2012 </w:t>
      </w:r>
      <w:r w:rsidR="002D1716">
        <w:t>NOPR</w:t>
      </w:r>
      <w:r w:rsidR="00BE156E">
        <w:t xml:space="preserve"> </w:t>
      </w:r>
      <w:r w:rsidR="002D1716">
        <w:t xml:space="preserve">and, thus, is an equally effective and efficient alternative to address the Commission’s </w:t>
      </w:r>
      <w:r w:rsidR="00E75F1E">
        <w:t>concerns</w:t>
      </w:r>
      <w:r w:rsidR="002D1716">
        <w:t>.</w:t>
      </w:r>
      <w:r w:rsidR="00564CA9">
        <w:rPr>
          <w:rStyle w:val="FootnoteReference"/>
        </w:rPr>
        <w:footnoteReference w:id="30"/>
      </w:r>
      <w:r w:rsidR="00564CA9">
        <w:t xml:space="preserve">  </w:t>
      </w:r>
      <w:r w:rsidR="00564CA9" w:rsidRPr="00564CA9">
        <w:rPr>
          <w:szCs w:val="26"/>
        </w:rPr>
        <w:t>We find that the revised TP</w:t>
      </w:r>
      <w:r w:rsidR="00C3776D">
        <w:rPr>
          <w:szCs w:val="26"/>
        </w:rPr>
        <w:t>L</w:t>
      </w:r>
      <w:r w:rsidR="00564CA9" w:rsidRPr="00564CA9">
        <w:rPr>
          <w:szCs w:val="26"/>
        </w:rPr>
        <w:t xml:space="preserve"> </w:t>
      </w:r>
      <w:r w:rsidR="00C3776D" w:rsidRPr="00564CA9">
        <w:rPr>
          <w:szCs w:val="26"/>
        </w:rPr>
        <w:t>Reliability</w:t>
      </w:r>
      <w:r w:rsidR="00564CA9" w:rsidRPr="00564CA9">
        <w:rPr>
          <w:szCs w:val="26"/>
        </w:rPr>
        <w:t xml:space="preserve"> Standard </w:t>
      </w:r>
      <w:r w:rsidR="00BE156E" w:rsidRPr="00564CA9">
        <w:rPr>
          <w:szCs w:val="26"/>
        </w:rPr>
        <w:t xml:space="preserve">improves uniformity and transparency in the </w:t>
      </w:r>
      <w:r w:rsidR="00C26256">
        <w:rPr>
          <w:szCs w:val="26"/>
        </w:rPr>
        <w:t xml:space="preserve">transmission </w:t>
      </w:r>
      <w:r w:rsidR="00BE156E" w:rsidRPr="00564CA9">
        <w:rPr>
          <w:szCs w:val="26"/>
        </w:rPr>
        <w:t xml:space="preserve">planning process and clarifies the instances where planners may utilize </w:t>
      </w:r>
      <w:r w:rsidR="00881840">
        <w:rPr>
          <w:szCs w:val="26"/>
        </w:rPr>
        <w:t xml:space="preserve">planned </w:t>
      </w:r>
      <w:r w:rsidR="00BE156E" w:rsidRPr="00564CA9">
        <w:rPr>
          <w:szCs w:val="26"/>
        </w:rPr>
        <w:t>load loss</w:t>
      </w:r>
      <w:r w:rsidR="00564CA9" w:rsidRPr="00564CA9">
        <w:rPr>
          <w:szCs w:val="26"/>
        </w:rPr>
        <w:t xml:space="preserve"> </w:t>
      </w:r>
      <w:r w:rsidR="00C547B0">
        <w:rPr>
          <w:szCs w:val="26"/>
        </w:rPr>
        <w:t xml:space="preserve">in </w:t>
      </w:r>
      <w:r w:rsidR="00564CA9" w:rsidRPr="00564CA9">
        <w:rPr>
          <w:szCs w:val="26"/>
        </w:rPr>
        <w:t>e</w:t>
      </w:r>
      <w:r w:rsidR="00564CA9" w:rsidRPr="00564CA9">
        <w:rPr>
          <w:color w:val="000000"/>
          <w:szCs w:val="26"/>
        </w:rPr>
        <w:t>stablishing</w:t>
      </w:r>
      <w:r w:rsidR="00BE156E" w:rsidRPr="00564CA9">
        <w:rPr>
          <w:color w:val="000000"/>
          <w:szCs w:val="26"/>
        </w:rPr>
        <w:t xml:space="preserve"> transmission planning performance requirements for reliable </w:t>
      </w:r>
      <w:r w:rsidR="00564CA9" w:rsidRPr="00564CA9">
        <w:rPr>
          <w:color w:val="000000"/>
          <w:szCs w:val="26"/>
        </w:rPr>
        <w:t>b</w:t>
      </w:r>
      <w:r w:rsidR="00BE156E" w:rsidRPr="00564CA9">
        <w:rPr>
          <w:color w:val="000000"/>
          <w:szCs w:val="26"/>
        </w:rPr>
        <w:t xml:space="preserve">ulk </w:t>
      </w:r>
      <w:r w:rsidR="00564CA9" w:rsidRPr="00564CA9">
        <w:rPr>
          <w:color w:val="000000"/>
          <w:szCs w:val="26"/>
        </w:rPr>
        <w:t>e</w:t>
      </w:r>
      <w:r w:rsidR="00BE156E" w:rsidRPr="00564CA9">
        <w:rPr>
          <w:color w:val="000000"/>
          <w:szCs w:val="26"/>
        </w:rPr>
        <w:t>lectric</w:t>
      </w:r>
      <w:r w:rsidR="00564CA9" w:rsidRPr="00564CA9">
        <w:rPr>
          <w:color w:val="000000"/>
          <w:szCs w:val="26"/>
        </w:rPr>
        <w:t xml:space="preserve"> s</w:t>
      </w:r>
      <w:r w:rsidR="00BE156E" w:rsidRPr="00564CA9">
        <w:rPr>
          <w:color w:val="000000"/>
          <w:szCs w:val="26"/>
        </w:rPr>
        <w:t>ystem</w:t>
      </w:r>
      <w:r w:rsidR="00564CA9" w:rsidRPr="00564CA9">
        <w:rPr>
          <w:color w:val="000000"/>
          <w:szCs w:val="26"/>
        </w:rPr>
        <w:t xml:space="preserve"> </w:t>
      </w:r>
      <w:r w:rsidR="00BE156E" w:rsidRPr="00564CA9">
        <w:rPr>
          <w:color w:val="000000"/>
          <w:szCs w:val="26"/>
        </w:rPr>
        <w:t xml:space="preserve">operations across normal and </w:t>
      </w:r>
      <w:r w:rsidR="00564CA9" w:rsidRPr="00564CA9">
        <w:rPr>
          <w:color w:val="000000"/>
          <w:szCs w:val="26"/>
        </w:rPr>
        <w:t>c</w:t>
      </w:r>
      <w:r w:rsidR="00BE156E" w:rsidRPr="00564CA9">
        <w:rPr>
          <w:color w:val="000000"/>
          <w:szCs w:val="26"/>
        </w:rPr>
        <w:t xml:space="preserve">ontingency </w:t>
      </w:r>
      <w:r w:rsidR="00564CA9" w:rsidRPr="00564CA9">
        <w:rPr>
          <w:color w:val="000000"/>
          <w:szCs w:val="26"/>
        </w:rPr>
        <w:t xml:space="preserve">conditions.  We also find that Reliability Standard </w:t>
      </w:r>
      <w:r w:rsidR="00BE156E" w:rsidRPr="00564CA9">
        <w:rPr>
          <w:color w:val="000000"/>
          <w:szCs w:val="26"/>
        </w:rPr>
        <w:t>TPL-001-</w:t>
      </w:r>
      <w:r w:rsidR="00564CA9" w:rsidRPr="00564CA9">
        <w:rPr>
          <w:color w:val="000000"/>
          <w:szCs w:val="26"/>
        </w:rPr>
        <w:t xml:space="preserve">4 </w:t>
      </w:r>
      <w:r w:rsidR="00BE156E" w:rsidRPr="00564CA9">
        <w:rPr>
          <w:color w:val="000000"/>
          <w:szCs w:val="26"/>
        </w:rPr>
        <w:t xml:space="preserve">will serve as </w:t>
      </w:r>
      <w:r w:rsidR="00C26256">
        <w:rPr>
          <w:color w:val="000000"/>
          <w:szCs w:val="26"/>
        </w:rPr>
        <w:t xml:space="preserve">a foundation </w:t>
      </w:r>
      <w:r w:rsidR="00BE156E" w:rsidRPr="00564CA9">
        <w:rPr>
          <w:color w:val="000000"/>
          <w:szCs w:val="26"/>
        </w:rPr>
        <w:t xml:space="preserve">for annual planning assessments conducted by </w:t>
      </w:r>
      <w:r w:rsidR="00564CA9" w:rsidRPr="00564CA9">
        <w:rPr>
          <w:color w:val="000000"/>
          <w:szCs w:val="26"/>
        </w:rPr>
        <w:lastRenderedPageBreak/>
        <w:t>p</w:t>
      </w:r>
      <w:r w:rsidR="00BE156E" w:rsidRPr="00564CA9">
        <w:rPr>
          <w:color w:val="000000"/>
          <w:szCs w:val="26"/>
        </w:rPr>
        <w:t xml:space="preserve">lanning </w:t>
      </w:r>
      <w:r w:rsidR="00564CA9" w:rsidRPr="00564CA9">
        <w:rPr>
          <w:color w:val="000000"/>
          <w:szCs w:val="26"/>
        </w:rPr>
        <w:t>c</w:t>
      </w:r>
      <w:r w:rsidR="00BE156E" w:rsidRPr="00564CA9">
        <w:rPr>
          <w:color w:val="000000"/>
          <w:szCs w:val="26"/>
        </w:rPr>
        <w:t xml:space="preserve">oordinators and </w:t>
      </w:r>
      <w:r w:rsidR="00564CA9" w:rsidRPr="00564CA9">
        <w:rPr>
          <w:color w:val="000000"/>
          <w:szCs w:val="26"/>
        </w:rPr>
        <w:t>t</w:t>
      </w:r>
      <w:r w:rsidR="00BE156E" w:rsidRPr="00564CA9">
        <w:rPr>
          <w:color w:val="000000"/>
          <w:szCs w:val="26"/>
        </w:rPr>
        <w:t xml:space="preserve">ransmission </w:t>
      </w:r>
      <w:r w:rsidR="00564CA9" w:rsidRPr="00564CA9">
        <w:rPr>
          <w:color w:val="000000"/>
          <w:szCs w:val="26"/>
        </w:rPr>
        <w:t>p</w:t>
      </w:r>
      <w:r w:rsidR="00BE156E" w:rsidRPr="00564CA9">
        <w:rPr>
          <w:color w:val="000000"/>
          <w:szCs w:val="26"/>
        </w:rPr>
        <w:t xml:space="preserve">lanners to plan the </w:t>
      </w:r>
      <w:r w:rsidR="00564CA9" w:rsidRPr="00564CA9">
        <w:rPr>
          <w:color w:val="000000"/>
          <w:szCs w:val="26"/>
        </w:rPr>
        <w:t>b</w:t>
      </w:r>
      <w:r w:rsidR="00BE156E" w:rsidRPr="00564CA9">
        <w:rPr>
          <w:color w:val="000000"/>
          <w:szCs w:val="26"/>
        </w:rPr>
        <w:t xml:space="preserve">ulk </w:t>
      </w:r>
      <w:r w:rsidR="00564CA9" w:rsidRPr="00564CA9">
        <w:rPr>
          <w:color w:val="000000"/>
          <w:szCs w:val="26"/>
        </w:rPr>
        <w:t>e</w:t>
      </w:r>
      <w:r w:rsidR="00BE156E" w:rsidRPr="00564CA9">
        <w:rPr>
          <w:color w:val="000000"/>
          <w:szCs w:val="26"/>
        </w:rPr>
        <w:t xml:space="preserve">lectric </w:t>
      </w:r>
      <w:r w:rsidR="00564CA9" w:rsidRPr="00564CA9">
        <w:rPr>
          <w:color w:val="000000"/>
          <w:szCs w:val="26"/>
        </w:rPr>
        <w:t>s</w:t>
      </w:r>
      <w:r w:rsidR="00BE156E" w:rsidRPr="00564CA9">
        <w:rPr>
          <w:color w:val="000000"/>
          <w:szCs w:val="26"/>
        </w:rPr>
        <w:t>ystem</w:t>
      </w:r>
      <w:r w:rsidR="00564CA9" w:rsidRPr="00564CA9">
        <w:rPr>
          <w:color w:val="000000"/>
          <w:szCs w:val="26"/>
        </w:rPr>
        <w:t xml:space="preserve"> </w:t>
      </w:r>
      <w:r w:rsidR="00BE156E" w:rsidRPr="00564CA9">
        <w:rPr>
          <w:color w:val="000000"/>
          <w:szCs w:val="26"/>
        </w:rPr>
        <w:t xml:space="preserve">reliably in response to a range of potential contingencies. </w:t>
      </w:r>
      <w:r w:rsidR="00564CA9" w:rsidRPr="00564CA9">
        <w:rPr>
          <w:color w:val="000000"/>
          <w:szCs w:val="26"/>
        </w:rPr>
        <w:t xml:space="preserve"> </w:t>
      </w:r>
      <w:r w:rsidR="00C3776D">
        <w:rPr>
          <w:color w:val="000000"/>
          <w:szCs w:val="26"/>
        </w:rPr>
        <w:t>Further, w</w:t>
      </w:r>
      <w:r w:rsidR="00564CA9" w:rsidRPr="00564CA9">
        <w:rPr>
          <w:color w:val="000000"/>
          <w:szCs w:val="26"/>
        </w:rPr>
        <w:t xml:space="preserve">e find that the Reliability Standard </w:t>
      </w:r>
      <w:r w:rsidR="00BE156E" w:rsidRPr="00564CA9">
        <w:rPr>
          <w:color w:val="000000"/>
          <w:szCs w:val="26"/>
        </w:rPr>
        <w:t xml:space="preserve">presents clear, measurable, and enforceable </w:t>
      </w:r>
      <w:r w:rsidR="00564CA9" w:rsidRPr="00564CA9">
        <w:rPr>
          <w:color w:val="000000"/>
          <w:szCs w:val="26"/>
        </w:rPr>
        <w:t>r</w:t>
      </w:r>
      <w:r w:rsidR="00BE156E" w:rsidRPr="00564CA9">
        <w:rPr>
          <w:color w:val="000000"/>
          <w:szCs w:val="26"/>
        </w:rPr>
        <w:t xml:space="preserve">equirements that each </w:t>
      </w:r>
      <w:r w:rsidR="00564CA9" w:rsidRPr="00564CA9">
        <w:rPr>
          <w:color w:val="000000"/>
          <w:szCs w:val="26"/>
        </w:rPr>
        <w:t>p</w:t>
      </w:r>
      <w:r w:rsidR="00BE156E" w:rsidRPr="00564CA9">
        <w:rPr>
          <w:color w:val="000000"/>
          <w:szCs w:val="26"/>
        </w:rPr>
        <w:t xml:space="preserve">lanning </w:t>
      </w:r>
      <w:r w:rsidR="00564CA9" w:rsidRPr="00564CA9">
        <w:rPr>
          <w:color w:val="000000"/>
          <w:szCs w:val="26"/>
        </w:rPr>
        <w:t>c</w:t>
      </w:r>
      <w:r w:rsidR="00BE156E" w:rsidRPr="00564CA9">
        <w:rPr>
          <w:color w:val="000000"/>
          <w:szCs w:val="26"/>
        </w:rPr>
        <w:t xml:space="preserve">oordinator and </w:t>
      </w:r>
      <w:r w:rsidR="00564CA9" w:rsidRPr="00564CA9">
        <w:rPr>
          <w:color w:val="000000"/>
          <w:szCs w:val="26"/>
        </w:rPr>
        <w:t>t</w:t>
      </w:r>
      <w:r w:rsidR="00BE156E" w:rsidRPr="00564CA9">
        <w:rPr>
          <w:color w:val="000000"/>
          <w:szCs w:val="26"/>
        </w:rPr>
        <w:t xml:space="preserve">ransmission </w:t>
      </w:r>
      <w:r w:rsidR="00564CA9" w:rsidRPr="00564CA9">
        <w:rPr>
          <w:color w:val="000000"/>
          <w:szCs w:val="26"/>
        </w:rPr>
        <w:t>p</w:t>
      </w:r>
      <w:r w:rsidR="00BE156E" w:rsidRPr="00564CA9">
        <w:rPr>
          <w:color w:val="000000"/>
          <w:szCs w:val="26"/>
        </w:rPr>
        <w:t xml:space="preserve">lanner must follow when planning its </w:t>
      </w:r>
      <w:r w:rsidR="00564CA9" w:rsidRPr="00564CA9">
        <w:rPr>
          <w:color w:val="000000"/>
          <w:szCs w:val="26"/>
        </w:rPr>
        <w:t>s</w:t>
      </w:r>
      <w:r w:rsidR="00BE156E" w:rsidRPr="00564CA9">
        <w:rPr>
          <w:color w:val="000000"/>
          <w:szCs w:val="26"/>
        </w:rPr>
        <w:t xml:space="preserve">ystem. </w:t>
      </w:r>
    </w:p>
    <w:p w:rsidR="00F550C5" w:rsidRPr="00021944" w:rsidRDefault="004962FE" w:rsidP="00873A3D">
      <w:pPr>
        <w:pStyle w:val="FERCparanumber"/>
        <w:rPr>
          <w:szCs w:val="26"/>
        </w:rPr>
      </w:pPr>
      <w:r w:rsidRPr="00021944">
        <w:rPr>
          <w:szCs w:val="26"/>
        </w:rPr>
        <w:t>In the Supplemental NOPR</w:t>
      </w:r>
      <w:r w:rsidR="002D1716">
        <w:rPr>
          <w:szCs w:val="26"/>
        </w:rPr>
        <w:t>,</w:t>
      </w:r>
      <w:r w:rsidRPr="00021944">
        <w:rPr>
          <w:szCs w:val="26"/>
        </w:rPr>
        <w:t xml:space="preserve"> the Commission stated it would issue a final rule that addresses the consolidated transmission planning Reliability Standard, TPL-00</w:t>
      </w:r>
      <w:r w:rsidR="00E15648">
        <w:rPr>
          <w:szCs w:val="26"/>
        </w:rPr>
        <w:t>1</w:t>
      </w:r>
      <w:r w:rsidRPr="00021944">
        <w:rPr>
          <w:szCs w:val="26"/>
        </w:rPr>
        <w:t>-</w:t>
      </w:r>
      <w:r w:rsidR="00E15648">
        <w:rPr>
          <w:szCs w:val="26"/>
        </w:rPr>
        <w:t>4</w:t>
      </w:r>
      <w:r w:rsidRPr="00021944">
        <w:rPr>
          <w:szCs w:val="26"/>
        </w:rPr>
        <w:t>.  Therefore, this Final Rule addresses the modified footnote 12 and commen</w:t>
      </w:r>
      <w:r w:rsidR="00955E9C" w:rsidRPr="00021944">
        <w:rPr>
          <w:szCs w:val="26"/>
        </w:rPr>
        <w:t xml:space="preserve">ts received in response to the </w:t>
      </w:r>
      <w:r w:rsidRPr="00021944">
        <w:rPr>
          <w:szCs w:val="26"/>
        </w:rPr>
        <w:t xml:space="preserve">Supplemental NOPR as well as other aspects of the consolidated TPL Reliability Standard raised in the April 2012 NOPR.  </w:t>
      </w:r>
    </w:p>
    <w:p w:rsidR="00F550C5" w:rsidRPr="00021944" w:rsidRDefault="00F550C5" w:rsidP="000350B1">
      <w:pPr>
        <w:pStyle w:val="Heading2"/>
        <w:rPr>
          <w:szCs w:val="26"/>
        </w:rPr>
      </w:pPr>
      <w:r w:rsidRPr="00021944">
        <w:rPr>
          <w:szCs w:val="26"/>
        </w:rPr>
        <w:t>Footnote 12</w:t>
      </w:r>
      <w:r w:rsidR="002D1716">
        <w:rPr>
          <w:szCs w:val="26"/>
        </w:rPr>
        <w:t xml:space="preserve"> and Planned Use of Non-Consequential Load Loss</w:t>
      </w:r>
    </w:p>
    <w:p w:rsidR="00F550C5" w:rsidRPr="00C851C5" w:rsidRDefault="00F550C5" w:rsidP="00F550C5">
      <w:pPr>
        <w:pStyle w:val="FERCparanumber"/>
        <w:numPr>
          <w:ilvl w:val="0"/>
          <w:numId w:val="0"/>
        </w:numPr>
        <w:ind w:firstLine="720"/>
        <w:rPr>
          <w:b/>
          <w:szCs w:val="26"/>
          <w:u w:val="single"/>
        </w:rPr>
      </w:pPr>
      <w:r w:rsidRPr="00C851C5">
        <w:rPr>
          <w:b/>
          <w:szCs w:val="26"/>
          <w:u w:val="single"/>
        </w:rPr>
        <w:t>NOPR Proposal</w:t>
      </w:r>
    </w:p>
    <w:p w:rsidR="005D4485" w:rsidRPr="00021944" w:rsidRDefault="005E793D" w:rsidP="00F550C5">
      <w:pPr>
        <w:pStyle w:val="FERCparanumber"/>
        <w:rPr>
          <w:b/>
          <w:szCs w:val="26"/>
        </w:rPr>
      </w:pPr>
      <w:r w:rsidRPr="00021944">
        <w:rPr>
          <w:szCs w:val="26"/>
        </w:rPr>
        <w:t>In the Supplemental NOPR</w:t>
      </w:r>
      <w:r w:rsidR="002C7E6C">
        <w:rPr>
          <w:szCs w:val="26"/>
        </w:rPr>
        <w:t>,</w:t>
      </w:r>
      <w:r w:rsidRPr="00021944">
        <w:rPr>
          <w:szCs w:val="26"/>
        </w:rPr>
        <w:t xml:space="preserve"> the Commission proposed to approve </w:t>
      </w:r>
      <w:r w:rsidR="005D4485" w:rsidRPr="00021944">
        <w:rPr>
          <w:szCs w:val="26"/>
        </w:rPr>
        <w:t xml:space="preserve">footnote 12.  </w:t>
      </w:r>
      <w:r w:rsidR="003A4A73">
        <w:rPr>
          <w:szCs w:val="26"/>
        </w:rPr>
        <w:t>T</w:t>
      </w:r>
      <w:r w:rsidR="003C2426">
        <w:rPr>
          <w:szCs w:val="26"/>
        </w:rPr>
        <w:t xml:space="preserve">he Commission </w:t>
      </w:r>
      <w:r w:rsidR="003A4A73">
        <w:rPr>
          <w:szCs w:val="26"/>
        </w:rPr>
        <w:t xml:space="preserve">indicated </w:t>
      </w:r>
      <w:r w:rsidR="003C2426">
        <w:rPr>
          <w:szCs w:val="26"/>
        </w:rPr>
        <w:t xml:space="preserve">that the proposal </w:t>
      </w:r>
      <w:r w:rsidR="005D4485" w:rsidRPr="00021944">
        <w:rPr>
          <w:szCs w:val="26"/>
        </w:rPr>
        <w:t>differs from the Commission directives but</w:t>
      </w:r>
      <w:r w:rsidR="003A4A73">
        <w:rPr>
          <w:szCs w:val="26"/>
        </w:rPr>
        <w:t xml:space="preserve"> </w:t>
      </w:r>
      <w:r w:rsidR="005D4485" w:rsidRPr="00021944">
        <w:rPr>
          <w:szCs w:val="26"/>
        </w:rPr>
        <w:t>adequately addresses the underlying reliability concerns raised in Order No. 693, Order No. 762 and the April 2012 NOPR and, thus, is an equally effective and efficient alternative to address the Commission’s directives.</w:t>
      </w:r>
      <w:r w:rsidR="00933396">
        <w:rPr>
          <w:rStyle w:val="FootnoteReference"/>
        </w:rPr>
        <w:footnoteReference w:id="31"/>
      </w:r>
      <w:r w:rsidR="005D4485" w:rsidRPr="00021944">
        <w:rPr>
          <w:szCs w:val="26"/>
        </w:rPr>
        <w:t xml:space="preserve">  The Supplemental NOPR </w:t>
      </w:r>
      <w:r w:rsidR="005410CC">
        <w:rPr>
          <w:szCs w:val="26"/>
        </w:rPr>
        <w:t>indicated</w:t>
      </w:r>
      <w:r w:rsidR="005D4485" w:rsidRPr="00021944">
        <w:rPr>
          <w:szCs w:val="26"/>
        </w:rPr>
        <w:t xml:space="preserve"> that proposed footnote 12 would improve </w:t>
      </w:r>
      <w:r w:rsidR="005D4485" w:rsidRPr="00021944">
        <w:rPr>
          <w:szCs w:val="26"/>
        </w:rPr>
        <w:lastRenderedPageBreak/>
        <w:t xml:space="preserve">reliability by providing a blend of specific quantitative and qualitative parameters for the permissible use of planned non-consequential load loss to address bulk electric system performance issues.  In addition, the Supplemental NOPR stated that the stakeholder process appeared to be adequately defined and includes specific criteria and guidelines that a responsible entity must follow before it may use planned non-consequential load loss to meet Reliability Standard TPL-001-4 performance requirements for a single contingency event.  Further, the Supplemental NOPR stated that NERC’s proposal provides reasonable safeguards, including a review process by NERC, to protect against adverse reliability impacts that could otherwise result from planned non-consequential load loss.  </w:t>
      </w:r>
    </w:p>
    <w:p w:rsidR="00F550C5" w:rsidRPr="00970243" w:rsidRDefault="00F550C5" w:rsidP="00F550C5">
      <w:pPr>
        <w:pStyle w:val="FERCparanumber"/>
        <w:numPr>
          <w:ilvl w:val="0"/>
          <w:numId w:val="0"/>
        </w:numPr>
        <w:ind w:firstLine="720"/>
        <w:rPr>
          <w:b/>
          <w:szCs w:val="26"/>
          <w:u w:val="single"/>
        </w:rPr>
      </w:pPr>
      <w:r w:rsidRPr="00970243">
        <w:rPr>
          <w:b/>
          <w:szCs w:val="26"/>
          <w:u w:val="single"/>
        </w:rPr>
        <w:t>Comments</w:t>
      </w:r>
    </w:p>
    <w:p w:rsidR="000350B1" w:rsidRPr="00021944" w:rsidRDefault="005D4485" w:rsidP="00F550C5">
      <w:pPr>
        <w:pStyle w:val="FERCparanumber"/>
        <w:rPr>
          <w:b/>
          <w:szCs w:val="26"/>
        </w:rPr>
      </w:pPr>
      <w:r w:rsidRPr="00021944">
        <w:rPr>
          <w:szCs w:val="26"/>
        </w:rPr>
        <w:t>NERC supports the Commission’s proposal in the Supplemental NOPR.  NERC also commit</w:t>
      </w:r>
      <w:r w:rsidR="00E84334">
        <w:rPr>
          <w:szCs w:val="26"/>
        </w:rPr>
        <w:t>s</w:t>
      </w:r>
      <w:r w:rsidRPr="00021944">
        <w:rPr>
          <w:szCs w:val="26"/>
        </w:rPr>
        <w:t xml:space="preserve"> to </w:t>
      </w:r>
      <w:r w:rsidR="003C1C1D">
        <w:rPr>
          <w:szCs w:val="26"/>
        </w:rPr>
        <w:t xml:space="preserve">monitor </w:t>
      </w:r>
      <w:r w:rsidRPr="00021944">
        <w:rPr>
          <w:szCs w:val="26"/>
        </w:rPr>
        <w:t xml:space="preserve">the use of footnote 12 </w:t>
      </w:r>
      <w:r w:rsidR="003C1C1D">
        <w:rPr>
          <w:szCs w:val="26"/>
        </w:rPr>
        <w:t xml:space="preserve">and issue a report </w:t>
      </w:r>
      <w:r w:rsidRPr="00021944">
        <w:rPr>
          <w:szCs w:val="26"/>
        </w:rPr>
        <w:t xml:space="preserve">containing the findings of the monitoring by the end of the first calendar quarter following the first two years of implementation.  ITC Companies believe NERC’s </w:t>
      </w:r>
      <w:r w:rsidR="00437205" w:rsidRPr="00021944">
        <w:rPr>
          <w:szCs w:val="26"/>
        </w:rPr>
        <w:t>proposal</w:t>
      </w:r>
      <w:r w:rsidRPr="00021944">
        <w:rPr>
          <w:szCs w:val="26"/>
        </w:rPr>
        <w:t xml:space="preserve"> is a significant improvement over the currently</w:t>
      </w:r>
      <w:r w:rsidR="00E84334">
        <w:rPr>
          <w:szCs w:val="26"/>
        </w:rPr>
        <w:t>-</w:t>
      </w:r>
      <w:r w:rsidRPr="00021944">
        <w:rPr>
          <w:szCs w:val="26"/>
        </w:rPr>
        <w:t xml:space="preserve">effective standard and support approval.  ITC Companies urge the Commission to clarify that the use of planned non-consequential load loss should be used rarely and should not be considered a </w:t>
      </w:r>
      <w:r w:rsidRPr="00021944">
        <w:rPr>
          <w:i/>
          <w:szCs w:val="26"/>
        </w:rPr>
        <w:t>de facto</w:t>
      </w:r>
      <w:r w:rsidRPr="00021944">
        <w:rPr>
          <w:szCs w:val="26"/>
        </w:rPr>
        <w:t xml:space="preserve"> planning solution.   </w:t>
      </w:r>
    </w:p>
    <w:p w:rsidR="00D52655" w:rsidRPr="00021944" w:rsidRDefault="009D2FC8" w:rsidP="00D52655">
      <w:pPr>
        <w:pStyle w:val="FERCparanumber"/>
        <w:rPr>
          <w:szCs w:val="26"/>
        </w:rPr>
      </w:pPr>
      <w:r w:rsidRPr="00021944">
        <w:rPr>
          <w:szCs w:val="26"/>
        </w:rPr>
        <w:t xml:space="preserve">MISO supports </w:t>
      </w:r>
      <w:r w:rsidR="00D16A65" w:rsidRPr="00021944">
        <w:rPr>
          <w:szCs w:val="26"/>
        </w:rPr>
        <w:t>Reliability</w:t>
      </w:r>
      <w:r w:rsidRPr="00021944">
        <w:rPr>
          <w:szCs w:val="26"/>
        </w:rPr>
        <w:t xml:space="preserve"> Standard TPL-001-4 as an improvement over the current standard but has two concer</w:t>
      </w:r>
      <w:r w:rsidR="00370582" w:rsidRPr="00021944">
        <w:rPr>
          <w:szCs w:val="26"/>
        </w:rPr>
        <w:t>n</w:t>
      </w:r>
      <w:r w:rsidRPr="00021944">
        <w:rPr>
          <w:szCs w:val="26"/>
        </w:rPr>
        <w:t>s regarding Attachment 1</w:t>
      </w:r>
      <w:r w:rsidR="00E84334">
        <w:rPr>
          <w:szCs w:val="26"/>
        </w:rPr>
        <w:t>, referenced in</w:t>
      </w:r>
      <w:r w:rsidRPr="00021944">
        <w:rPr>
          <w:szCs w:val="26"/>
        </w:rPr>
        <w:t xml:space="preserve"> </w:t>
      </w:r>
      <w:r w:rsidRPr="00021944">
        <w:rPr>
          <w:szCs w:val="26"/>
        </w:rPr>
        <w:lastRenderedPageBreak/>
        <w:t xml:space="preserve">footnote 12.  First, MISO argues that the </w:t>
      </w:r>
      <w:r w:rsidR="00D16A65" w:rsidRPr="00021944">
        <w:rPr>
          <w:szCs w:val="26"/>
        </w:rPr>
        <w:t>Commission</w:t>
      </w:r>
      <w:r w:rsidRPr="00021944">
        <w:rPr>
          <w:szCs w:val="26"/>
        </w:rPr>
        <w:t xml:space="preserve"> should direct NERC to </w:t>
      </w:r>
      <w:r w:rsidR="00370582" w:rsidRPr="00021944">
        <w:rPr>
          <w:szCs w:val="26"/>
        </w:rPr>
        <w:t>eliminate</w:t>
      </w:r>
      <w:r w:rsidRPr="00021944">
        <w:rPr>
          <w:szCs w:val="26"/>
        </w:rPr>
        <w:t xml:space="preserve"> or clari</w:t>
      </w:r>
      <w:r w:rsidR="00476934">
        <w:rPr>
          <w:szCs w:val="26"/>
        </w:rPr>
        <w:t>f</w:t>
      </w:r>
      <w:r w:rsidRPr="00021944">
        <w:rPr>
          <w:szCs w:val="26"/>
        </w:rPr>
        <w:t>y the requirement that requires interaction with and approval by applicable regulatory authorities or government bodies responsibl</w:t>
      </w:r>
      <w:r w:rsidR="00370582" w:rsidRPr="00021944">
        <w:rPr>
          <w:szCs w:val="26"/>
        </w:rPr>
        <w:t xml:space="preserve">e for retail electric service.  MISO </w:t>
      </w:r>
      <w:r w:rsidR="00E84334">
        <w:rPr>
          <w:szCs w:val="26"/>
        </w:rPr>
        <w:t>claims</w:t>
      </w:r>
      <w:r w:rsidR="00370582" w:rsidRPr="00021944">
        <w:rPr>
          <w:szCs w:val="26"/>
        </w:rPr>
        <w:t xml:space="preserve"> that such</w:t>
      </w:r>
      <w:r w:rsidR="00D16A65" w:rsidRPr="00021944">
        <w:rPr>
          <w:szCs w:val="26"/>
        </w:rPr>
        <w:t xml:space="preserve"> </w:t>
      </w:r>
      <w:r w:rsidR="00370582" w:rsidRPr="00021944">
        <w:rPr>
          <w:szCs w:val="26"/>
        </w:rPr>
        <w:t xml:space="preserve">a requirement </w:t>
      </w:r>
      <w:r w:rsidRPr="00021944">
        <w:rPr>
          <w:szCs w:val="26"/>
        </w:rPr>
        <w:t>adds an additional layer of complexity</w:t>
      </w:r>
      <w:r w:rsidR="00370582" w:rsidRPr="00021944">
        <w:rPr>
          <w:szCs w:val="26"/>
        </w:rPr>
        <w:t xml:space="preserve"> </w:t>
      </w:r>
      <w:r w:rsidRPr="00021944">
        <w:rPr>
          <w:szCs w:val="26"/>
        </w:rPr>
        <w:t xml:space="preserve">and administrative burden to compliance </w:t>
      </w:r>
      <w:r w:rsidR="00946002">
        <w:rPr>
          <w:szCs w:val="26"/>
        </w:rPr>
        <w:t>of</w:t>
      </w:r>
      <w:r w:rsidRPr="00021944">
        <w:rPr>
          <w:szCs w:val="26"/>
        </w:rPr>
        <w:t xml:space="preserve"> proposed Reliability Standard TPL-001-4</w:t>
      </w:r>
      <w:r w:rsidR="00370582" w:rsidRPr="00021944">
        <w:rPr>
          <w:szCs w:val="26"/>
        </w:rPr>
        <w:t xml:space="preserve"> without any attendant benefit.  </w:t>
      </w:r>
      <w:r w:rsidR="00E84334">
        <w:rPr>
          <w:szCs w:val="26"/>
        </w:rPr>
        <w:t xml:space="preserve">According to </w:t>
      </w:r>
      <w:r w:rsidRPr="00021944">
        <w:rPr>
          <w:szCs w:val="26"/>
        </w:rPr>
        <w:t>MISO</w:t>
      </w:r>
      <w:r w:rsidR="00E84334">
        <w:rPr>
          <w:szCs w:val="26"/>
        </w:rPr>
        <w:t>,</w:t>
      </w:r>
      <w:r w:rsidRPr="00021944">
        <w:rPr>
          <w:szCs w:val="26"/>
        </w:rPr>
        <w:t xml:space="preserve"> </w:t>
      </w:r>
      <w:r w:rsidR="00E84334">
        <w:rPr>
          <w:szCs w:val="26"/>
        </w:rPr>
        <w:t>the reference in Attachment 1 to</w:t>
      </w:r>
      <w:r w:rsidRPr="00021944">
        <w:rPr>
          <w:szCs w:val="26"/>
        </w:rPr>
        <w:t xml:space="preserve"> “applicable regulatory</w:t>
      </w:r>
      <w:r w:rsidR="00370582" w:rsidRPr="00021944">
        <w:rPr>
          <w:szCs w:val="26"/>
        </w:rPr>
        <w:t xml:space="preserve"> </w:t>
      </w:r>
      <w:r w:rsidRPr="00021944">
        <w:rPr>
          <w:szCs w:val="26"/>
        </w:rPr>
        <w:t>authorities or governing bodies”</w:t>
      </w:r>
      <w:r w:rsidR="00E84334">
        <w:rPr>
          <w:szCs w:val="26"/>
        </w:rPr>
        <w:t xml:space="preserve"> </w:t>
      </w:r>
      <w:r w:rsidR="00FF25F5">
        <w:rPr>
          <w:szCs w:val="26"/>
        </w:rPr>
        <w:t>i</w:t>
      </w:r>
      <w:r w:rsidR="00E84334">
        <w:rPr>
          <w:szCs w:val="26"/>
        </w:rPr>
        <w:t>s not clear.</w:t>
      </w:r>
      <w:r w:rsidR="00370582" w:rsidRPr="00021944">
        <w:rPr>
          <w:szCs w:val="26"/>
        </w:rPr>
        <w:t xml:space="preserve">  MISO states that</w:t>
      </w:r>
      <w:r w:rsidR="003D6AD3">
        <w:rPr>
          <w:szCs w:val="26"/>
        </w:rPr>
        <w:t>, while</w:t>
      </w:r>
      <w:r w:rsidR="00370582" w:rsidRPr="00021944">
        <w:rPr>
          <w:szCs w:val="26"/>
        </w:rPr>
        <w:t xml:space="preserve"> these terms could</w:t>
      </w:r>
      <w:r w:rsidRPr="00021944">
        <w:rPr>
          <w:szCs w:val="26"/>
        </w:rPr>
        <w:t xml:space="preserve"> encompass a state’s public service commission or public utility commission</w:t>
      </w:r>
      <w:r w:rsidR="003D6AD3">
        <w:rPr>
          <w:szCs w:val="26"/>
        </w:rPr>
        <w:t>, the terms</w:t>
      </w:r>
      <w:r w:rsidR="00370582" w:rsidRPr="00021944">
        <w:rPr>
          <w:szCs w:val="26"/>
        </w:rPr>
        <w:t xml:space="preserve"> could</w:t>
      </w:r>
      <w:r w:rsidR="003D6AD3">
        <w:rPr>
          <w:szCs w:val="26"/>
        </w:rPr>
        <w:t xml:space="preserve"> also</w:t>
      </w:r>
      <w:r w:rsidR="00370582" w:rsidRPr="00021944">
        <w:rPr>
          <w:szCs w:val="26"/>
        </w:rPr>
        <w:t xml:space="preserve"> </w:t>
      </w:r>
      <w:r w:rsidRPr="00021944">
        <w:rPr>
          <w:szCs w:val="26"/>
        </w:rPr>
        <w:t>potentially include other state bodies or</w:t>
      </w:r>
      <w:r w:rsidR="00370582" w:rsidRPr="00021944">
        <w:rPr>
          <w:szCs w:val="26"/>
        </w:rPr>
        <w:t xml:space="preserve"> </w:t>
      </w:r>
      <w:r w:rsidRPr="00021944">
        <w:rPr>
          <w:szCs w:val="26"/>
        </w:rPr>
        <w:t>agencies such as consumer advocacy and protection bodies, state legislatures, and city or</w:t>
      </w:r>
      <w:r w:rsidR="00370582" w:rsidRPr="00021944">
        <w:rPr>
          <w:szCs w:val="26"/>
        </w:rPr>
        <w:t xml:space="preserve"> </w:t>
      </w:r>
      <w:r w:rsidRPr="00021944">
        <w:rPr>
          <w:szCs w:val="26"/>
        </w:rPr>
        <w:t>municipal bodies.</w:t>
      </w:r>
      <w:r w:rsidR="00370582" w:rsidRPr="00021944">
        <w:rPr>
          <w:szCs w:val="26"/>
        </w:rPr>
        <w:t xml:space="preserve">  According to MISO, if these other entities would be considered “governing bodies responsible for retail electric issues</w:t>
      </w:r>
      <w:r w:rsidR="00E409E6">
        <w:rPr>
          <w:szCs w:val="26"/>
        </w:rPr>
        <w:t>,</w:t>
      </w:r>
      <w:r w:rsidR="00370582" w:rsidRPr="00021944">
        <w:rPr>
          <w:szCs w:val="26"/>
        </w:rPr>
        <w:t>” a transmission planner would need to seek and receive assurances from each of these bodies</w:t>
      </w:r>
      <w:r w:rsidR="00946002">
        <w:rPr>
          <w:szCs w:val="26"/>
        </w:rPr>
        <w:t>.</w:t>
      </w:r>
      <w:r w:rsidR="00370582" w:rsidRPr="00021944">
        <w:rPr>
          <w:szCs w:val="26"/>
        </w:rPr>
        <w:t xml:space="preserve"> </w:t>
      </w:r>
      <w:r w:rsidR="00946002">
        <w:rPr>
          <w:szCs w:val="26"/>
        </w:rPr>
        <w:t xml:space="preserve"> </w:t>
      </w:r>
      <w:r w:rsidR="00E409E6">
        <w:rPr>
          <w:szCs w:val="26"/>
        </w:rPr>
        <w:t>MISO</w:t>
      </w:r>
      <w:r w:rsidR="003D6AD3">
        <w:rPr>
          <w:szCs w:val="26"/>
        </w:rPr>
        <w:t xml:space="preserve"> also suggests that</w:t>
      </w:r>
      <w:r w:rsidR="00E409E6">
        <w:rPr>
          <w:szCs w:val="26"/>
        </w:rPr>
        <w:t xml:space="preserve">, </w:t>
      </w:r>
      <w:r w:rsidR="00370582" w:rsidRPr="00021944">
        <w:rPr>
          <w:szCs w:val="26"/>
        </w:rPr>
        <w:t>prior to finalization of its transmi</w:t>
      </w:r>
      <w:r w:rsidR="00D52655" w:rsidRPr="00021944">
        <w:rPr>
          <w:szCs w:val="26"/>
        </w:rPr>
        <w:t>ssion expansion plan each year</w:t>
      </w:r>
      <w:r w:rsidR="00FC4A75">
        <w:rPr>
          <w:szCs w:val="26"/>
        </w:rPr>
        <w:t>,</w:t>
      </w:r>
      <w:r w:rsidR="00D52655" w:rsidRPr="00021944">
        <w:rPr>
          <w:szCs w:val="26"/>
        </w:rPr>
        <w:t xml:space="preserve"> </w:t>
      </w:r>
      <w:r w:rsidR="00E409E6">
        <w:rPr>
          <w:szCs w:val="26"/>
        </w:rPr>
        <w:t xml:space="preserve">a planner </w:t>
      </w:r>
      <w:r w:rsidR="00370582" w:rsidRPr="00021944">
        <w:rPr>
          <w:szCs w:val="26"/>
        </w:rPr>
        <w:t xml:space="preserve">could obtain the assent of the applicable public utility </w:t>
      </w:r>
      <w:r w:rsidR="00D52655" w:rsidRPr="00021944">
        <w:rPr>
          <w:szCs w:val="26"/>
        </w:rPr>
        <w:t>c</w:t>
      </w:r>
      <w:r w:rsidR="00370582" w:rsidRPr="00021944">
        <w:rPr>
          <w:szCs w:val="26"/>
        </w:rPr>
        <w:t>ommission, and yet have its transmiss</w:t>
      </w:r>
      <w:r w:rsidR="00D52655" w:rsidRPr="00021944">
        <w:rPr>
          <w:szCs w:val="26"/>
        </w:rPr>
        <w:t xml:space="preserve">ion plans subsequently upended </w:t>
      </w:r>
      <w:r w:rsidR="00370582" w:rsidRPr="00021944">
        <w:rPr>
          <w:szCs w:val="26"/>
        </w:rPr>
        <w:t xml:space="preserve">because it did not obtain additional assent from a different state agency that has some involvement in retail electric matters. </w:t>
      </w:r>
    </w:p>
    <w:p w:rsidR="000E6A56" w:rsidRPr="00021944" w:rsidRDefault="00D52655" w:rsidP="00D52655">
      <w:pPr>
        <w:pStyle w:val="FERCparanumber"/>
        <w:rPr>
          <w:szCs w:val="26"/>
        </w:rPr>
      </w:pPr>
      <w:r w:rsidRPr="00021944">
        <w:rPr>
          <w:szCs w:val="26"/>
        </w:rPr>
        <w:t xml:space="preserve">MISO also questions </w:t>
      </w:r>
      <w:r w:rsidR="00370582" w:rsidRPr="00021944">
        <w:rPr>
          <w:szCs w:val="26"/>
        </w:rPr>
        <w:t xml:space="preserve">what it means to ensure that an applicable regulatory authority or governing body “does not object” to the inclusion of </w:t>
      </w:r>
      <w:r w:rsidR="004865B5">
        <w:rPr>
          <w:szCs w:val="26"/>
        </w:rPr>
        <w:t>n</w:t>
      </w:r>
      <w:r w:rsidR="00370582" w:rsidRPr="00021944">
        <w:rPr>
          <w:szCs w:val="26"/>
        </w:rPr>
        <w:t>on-</w:t>
      </w:r>
      <w:r w:rsidR="004865B5">
        <w:rPr>
          <w:szCs w:val="26"/>
        </w:rPr>
        <w:lastRenderedPageBreak/>
        <w:t>c</w:t>
      </w:r>
      <w:r w:rsidR="00370582" w:rsidRPr="00021944">
        <w:rPr>
          <w:szCs w:val="26"/>
        </w:rPr>
        <w:t xml:space="preserve">onsequential </w:t>
      </w:r>
      <w:r w:rsidR="004865B5">
        <w:rPr>
          <w:szCs w:val="26"/>
        </w:rPr>
        <w:t>l</w:t>
      </w:r>
      <w:r w:rsidR="00370582" w:rsidRPr="00021944">
        <w:rPr>
          <w:szCs w:val="26"/>
        </w:rPr>
        <w:t xml:space="preserve">oad </w:t>
      </w:r>
      <w:r w:rsidR="004865B5">
        <w:rPr>
          <w:szCs w:val="26"/>
        </w:rPr>
        <w:t>l</w:t>
      </w:r>
      <w:r w:rsidR="00370582" w:rsidRPr="00021944">
        <w:rPr>
          <w:szCs w:val="26"/>
        </w:rPr>
        <w:t xml:space="preserve">oss in the planning process. </w:t>
      </w:r>
      <w:r w:rsidR="00E409E6">
        <w:rPr>
          <w:szCs w:val="26"/>
        </w:rPr>
        <w:t xml:space="preserve"> </w:t>
      </w:r>
      <w:r w:rsidRPr="00021944">
        <w:rPr>
          <w:szCs w:val="26"/>
        </w:rPr>
        <w:t xml:space="preserve">MISO </w:t>
      </w:r>
      <w:r w:rsidR="00BC5362">
        <w:rPr>
          <w:szCs w:val="26"/>
        </w:rPr>
        <w:t>suggests</w:t>
      </w:r>
      <w:r w:rsidRPr="00021944">
        <w:rPr>
          <w:szCs w:val="26"/>
        </w:rPr>
        <w:t xml:space="preserve"> that it could mean </w:t>
      </w:r>
      <w:r w:rsidR="00370582" w:rsidRPr="00021944">
        <w:rPr>
          <w:szCs w:val="26"/>
        </w:rPr>
        <w:t xml:space="preserve">input of agency staff </w:t>
      </w:r>
      <w:r w:rsidRPr="00021944">
        <w:rPr>
          <w:szCs w:val="26"/>
        </w:rPr>
        <w:t xml:space="preserve">or </w:t>
      </w:r>
      <w:r w:rsidR="00370582" w:rsidRPr="00021944">
        <w:rPr>
          <w:szCs w:val="26"/>
        </w:rPr>
        <w:t>a more formal decision that is voted on by the agency’s commissioners</w:t>
      </w:r>
      <w:r w:rsidRPr="00021944">
        <w:rPr>
          <w:szCs w:val="26"/>
        </w:rPr>
        <w:t xml:space="preserve">.  MISO argues that </w:t>
      </w:r>
      <w:r w:rsidR="00370582" w:rsidRPr="00021944">
        <w:rPr>
          <w:szCs w:val="26"/>
        </w:rPr>
        <w:t xml:space="preserve">use </w:t>
      </w:r>
      <w:r w:rsidRPr="00021944">
        <w:rPr>
          <w:szCs w:val="26"/>
        </w:rPr>
        <w:t xml:space="preserve">of </w:t>
      </w:r>
      <w:r w:rsidR="00370582" w:rsidRPr="00021944">
        <w:rPr>
          <w:szCs w:val="26"/>
        </w:rPr>
        <w:t>an open stakeholder process that allows for robust input by any interested parties will ensure that all interested state agencies will have a say in the process, and that any objections of suc</w:t>
      </w:r>
      <w:r w:rsidR="00955E9C" w:rsidRPr="00021944">
        <w:rPr>
          <w:szCs w:val="26"/>
        </w:rPr>
        <w:t>h agencies to the inclusion of no</w:t>
      </w:r>
      <w:r w:rsidR="00370582" w:rsidRPr="00021944">
        <w:rPr>
          <w:szCs w:val="26"/>
        </w:rPr>
        <w:t>n-</w:t>
      </w:r>
      <w:r w:rsidR="00955E9C" w:rsidRPr="00021944">
        <w:rPr>
          <w:szCs w:val="26"/>
        </w:rPr>
        <w:t>c</w:t>
      </w:r>
      <w:r w:rsidR="00370582" w:rsidRPr="00021944">
        <w:rPr>
          <w:szCs w:val="26"/>
        </w:rPr>
        <w:t xml:space="preserve">onsequential </w:t>
      </w:r>
      <w:r w:rsidR="00955E9C" w:rsidRPr="00021944">
        <w:rPr>
          <w:szCs w:val="26"/>
        </w:rPr>
        <w:t>l</w:t>
      </w:r>
      <w:r w:rsidR="00370582" w:rsidRPr="00021944">
        <w:rPr>
          <w:szCs w:val="26"/>
        </w:rPr>
        <w:t xml:space="preserve">oad </w:t>
      </w:r>
      <w:r w:rsidR="00955E9C" w:rsidRPr="00021944">
        <w:rPr>
          <w:szCs w:val="26"/>
        </w:rPr>
        <w:t>l</w:t>
      </w:r>
      <w:r w:rsidR="00370582" w:rsidRPr="00021944">
        <w:rPr>
          <w:szCs w:val="26"/>
        </w:rPr>
        <w:t>oss will be incorporated into the relevant planning decisions.</w:t>
      </w:r>
      <w:r w:rsidRPr="00021944">
        <w:rPr>
          <w:szCs w:val="26"/>
        </w:rPr>
        <w:t xml:space="preserve">  </w:t>
      </w:r>
    </w:p>
    <w:p w:rsidR="000E6A56" w:rsidRPr="00021944" w:rsidRDefault="00D52655" w:rsidP="000E6A56">
      <w:pPr>
        <w:pStyle w:val="FERCparanumber"/>
        <w:rPr>
          <w:szCs w:val="26"/>
        </w:rPr>
      </w:pPr>
      <w:r w:rsidRPr="00021944">
        <w:rPr>
          <w:szCs w:val="26"/>
        </w:rPr>
        <w:t xml:space="preserve">Alternatively, </w:t>
      </w:r>
      <w:r w:rsidR="00370582" w:rsidRPr="00021944">
        <w:rPr>
          <w:szCs w:val="26"/>
        </w:rPr>
        <w:t>MISO requests that the Commission clarify or direct NERC to clarify</w:t>
      </w:r>
      <w:r w:rsidRPr="00021944">
        <w:rPr>
          <w:szCs w:val="26"/>
        </w:rPr>
        <w:t xml:space="preserve"> </w:t>
      </w:r>
      <w:r w:rsidR="00370582" w:rsidRPr="00021944">
        <w:rPr>
          <w:szCs w:val="26"/>
        </w:rPr>
        <w:t>the “do</w:t>
      </w:r>
      <w:r w:rsidR="003C2426">
        <w:rPr>
          <w:szCs w:val="26"/>
        </w:rPr>
        <w:t>es</w:t>
      </w:r>
      <w:r w:rsidR="00370582" w:rsidRPr="00021944">
        <w:rPr>
          <w:szCs w:val="26"/>
        </w:rPr>
        <w:t xml:space="preserve"> not object” language to mean that: </w:t>
      </w:r>
      <w:r w:rsidR="00970243">
        <w:rPr>
          <w:szCs w:val="26"/>
        </w:rPr>
        <w:t xml:space="preserve"> </w:t>
      </w:r>
      <w:r w:rsidR="00370582" w:rsidRPr="00021944">
        <w:rPr>
          <w:szCs w:val="26"/>
        </w:rPr>
        <w:t>(1) the phrase “applicable regulatory authorities or governing bodies” means only the public utility commission or public service commission in the affected states, and does not refer to any other state entity; and (2) comments or other input submitted by the affected state public service commission or public utility commission in the Attachment 1 stakeholder process indicating that th</w:t>
      </w:r>
      <w:r w:rsidR="00E01D09" w:rsidRPr="00021944">
        <w:rPr>
          <w:szCs w:val="26"/>
        </w:rPr>
        <w:t>e</w:t>
      </w:r>
      <w:r w:rsidR="00370582" w:rsidRPr="00021944">
        <w:rPr>
          <w:szCs w:val="26"/>
        </w:rPr>
        <w:t xml:space="preserve"> agency “does not object” to the inclusion of </w:t>
      </w:r>
      <w:r w:rsidR="00955E9C" w:rsidRPr="00021944">
        <w:rPr>
          <w:szCs w:val="26"/>
        </w:rPr>
        <w:t>n</w:t>
      </w:r>
      <w:r w:rsidR="00370582" w:rsidRPr="00021944">
        <w:rPr>
          <w:szCs w:val="26"/>
        </w:rPr>
        <w:t>on-</w:t>
      </w:r>
      <w:r w:rsidR="00955E9C" w:rsidRPr="00021944">
        <w:rPr>
          <w:szCs w:val="26"/>
        </w:rPr>
        <w:t>c</w:t>
      </w:r>
      <w:r w:rsidR="00370582" w:rsidRPr="00021944">
        <w:rPr>
          <w:szCs w:val="26"/>
        </w:rPr>
        <w:t xml:space="preserve">onsequential </w:t>
      </w:r>
      <w:r w:rsidR="00955E9C" w:rsidRPr="00021944">
        <w:rPr>
          <w:szCs w:val="26"/>
        </w:rPr>
        <w:t>l</w:t>
      </w:r>
      <w:r w:rsidR="00370582" w:rsidRPr="00021944">
        <w:rPr>
          <w:szCs w:val="26"/>
        </w:rPr>
        <w:t xml:space="preserve">oad </w:t>
      </w:r>
      <w:r w:rsidR="00955E9C" w:rsidRPr="00021944">
        <w:rPr>
          <w:szCs w:val="26"/>
        </w:rPr>
        <w:t>l</w:t>
      </w:r>
      <w:r w:rsidR="00370582" w:rsidRPr="00021944">
        <w:rPr>
          <w:szCs w:val="26"/>
        </w:rPr>
        <w:t>oss in the planning process are sufficient to satisfy th</w:t>
      </w:r>
      <w:r w:rsidRPr="00021944">
        <w:rPr>
          <w:szCs w:val="26"/>
        </w:rPr>
        <w:t xml:space="preserve">e “does not object” requirement.  </w:t>
      </w:r>
    </w:p>
    <w:p w:rsidR="00370582" w:rsidRPr="00021944" w:rsidRDefault="000E6A56" w:rsidP="000E6A56">
      <w:pPr>
        <w:pStyle w:val="FERCparanumber"/>
        <w:rPr>
          <w:szCs w:val="26"/>
        </w:rPr>
      </w:pPr>
      <w:r w:rsidRPr="00021944">
        <w:rPr>
          <w:szCs w:val="26"/>
        </w:rPr>
        <w:t xml:space="preserve">Further, </w:t>
      </w:r>
      <w:r w:rsidR="00370582" w:rsidRPr="00021944">
        <w:rPr>
          <w:szCs w:val="26"/>
        </w:rPr>
        <w:t>MISO reques</w:t>
      </w:r>
      <w:r w:rsidR="00E409E6">
        <w:rPr>
          <w:szCs w:val="26"/>
        </w:rPr>
        <w:t xml:space="preserve">ts that the Commission clarify, </w:t>
      </w:r>
      <w:r w:rsidR="00370582" w:rsidRPr="00021944">
        <w:rPr>
          <w:szCs w:val="26"/>
        </w:rPr>
        <w:t>or direct</w:t>
      </w:r>
      <w:r w:rsidR="00E409E6">
        <w:rPr>
          <w:szCs w:val="26"/>
        </w:rPr>
        <w:t xml:space="preserve"> NERC to clarify, </w:t>
      </w:r>
      <w:r w:rsidR="00370582" w:rsidRPr="00021944">
        <w:rPr>
          <w:szCs w:val="26"/>
        </w:rPr>
        <w:t xml:space="preserve">the language in </w:t>
      </w:r>
      <w:r w:rsidR="00955E9C" w:rsidRPr="00021944">
        <w:rPr>
          <w:szCs w:val="26"/>
        </w:rPr>
        <w:t>s</w:t>
      </w:r>
      <w:r w:rsidR="00370582" w:rsidRPr="00021944">
        <w:rPr>
          <w:szCs w:val="26"/>
        </w:rPr>
        <w:t xml:space="preserve">ection II of Attachment 1 that requires </w:t>
      </w:r>
      <w:r w:rsidR="00873A3D" w:rsidRPr="00021944">
        <w:rPr>
          <w:szCs w:val="26"/>
        </w:rPr>
        <w:t>p</w:t>
      </w:r>
      <w:r w:rsidR="00370582" w:rsidRPr="00021944">
        <w:rPr>
          <w:szCs w:val="26"/>
        </w:rPr>
        <w:t xml:space="preserve">lanning </w:t>
      </w:r>
      <w:r w:rsidR="00873A3D" w:rsidRPr="00021944">
        <w:rPr>
          <w:szCs w:val="26"/>
        </w:rPr>
        <w:t>c</w:t>
      </w:r>
      <w:r w:rsidR="00370582" w:rsidRPr="00021944">
        <w:rPr>
          <w:szCs w:val="26"/>
        </w:rPr>
        <w:t xml:space="preserve">oordinators and </w:t>
      </w:r>
      <w:r w:rsidR="00873A3D" w:rsidRPr="00021944">
        <w:rPr>
          <w:szCs w:val="26"/>
        </w:rPr>
        <w:t>t</w:t>
      </w:r>
      <w:r w:rsidR="00370582" w:rsidRPr="00021944">
        <w:rPr>
          <w:szCs w:val="26"/>
        </w:rPr>
        <w:t xml:space="preserve">ransmission </w:t>
      </w:r>
      <w:r w:rsidR="006B0190">
        <w:rPr>
          <w:szCs w:val="26"/>
        </w:rPr>
        <w:t>planners</w:t>
      </w:r>
      <w:r w:rsidR="00370582" w:rsidRPr="00021944">
        <w:rPr>
          <w:szCs w:val="26"/>
        </w:rPr>
        <w:t xml:space="preserve"> </w:t>
      </w:r>
      <w:r w:rsidR="00EF4E76" w:rsidRPr="00021944">
        <w:rPr>
          <w:szCs w:val="26"/>
        </w:rPr>
        <w:t xml:space="preserve">to </w:t>
      </w:r>
      <w:r w:rsidR="00370582" w:rsidRPr="00021944">
        <w:rPr>
          <w:szCs w:val="26"/>
        </w:rPr>
        <w:t xml:space="preserve">provide stakeholders all assessments of “potential overlapping uses of footnote 12 including overlaps with adjacent Transmission Planners and Planning Coordinators.” </w:t>
      </w:r>
      <w:r w:rsidR="00EF4E76" w:rsidRPr="00021944">
        <w:rPr>
          <w:szCs w:val="26"/>
        </w:rPr>
        <w:t xml:space="preserve"> MISO believes that </w:t>
      </w:r>
      <w:r w:rsidR="00370582" w:rsidRPr="00021944">
        <w:rPr>
          <w:szCs w:val="26"/>
        </w:rPr>
        <w:t xml:space="preserve">this </w:t>
      </w:r>
      <w:r w:rsidR="00370582" w:rsidRPr="00021944">
        <w:rPr>
          <w:szCs w:val="26"/>
        </w:rPr>
        <w:lastRenderedPageBreak/>
        <w:t xml:space="preserve">phrase suggests that there are other “potential overlapping uses” that are encompassed by the requirement. </w:t>
      </w:r>
      <w:r w:rsidR="00873A3D" w:rsidRPr="00021944">
        <w:rPr>
          <w:szCs w:val="26"/>
        </w:rPr>
        <w:t xml:space="preserve"> MISO states it </w:t>
      </w:r>
      <w:r w:rsidR="00370582" w:rsidRPr="00021944">
        <w:rPr>
          <w:szCs w:val="26"/>
        </w:rPr>
        <w:t>is not clear what these other overlapping uses might be or how they might be incorporated</w:t>
      </w:r>
      <w:r w:rsidR="00D52655" w:rsidRPr="00021944">
        <w:rPr>
          <w:szCs w:val="26"/>
        </w:rPr>
        <w:t xml:space="preserve"> </w:t>
      </w:r>
      <w:r w:rsidR="00370582" w:rsidRPr="00021944">
        <w:rPr>
          <w:szCs w:val="26"/>
        </w:rPr>
        <w:t>into the planning process.</w:t>
      </w:r>
    </w:p>
    <w:p w:rsidR="00F550C5" w:rsidRPr="00970243" w:rsidRDefault="00F550C5" w:rsidP="00F550C5">
      <w:pPr>
        <w:pStyle w:val="FERCparanumber"/>
        <w:numPr>
          <w:ilvl w:val="0"/>
          <w:numId w:val="0"/>
        </w:numPr>
        <w:ind w:firstLine="720"/>
        <w:rPr>
          <w:szCs w:val="26"/>
          <w:u w:val="single"/>
        </w:rPr>
      </w:pPr>
      <w:r w:rsidRPr="00970243">
        <w:rPr>
          <w:b/>
          <w:szCs w:val="26"/>
          <w:u w:val="single"/>
        </w:rPr>
        <w:t>Commission Determination</w:t>
      </w:r>
    </w:p>
    <w:p w:rsidR="009303B2" w:rsidRPr="00021944" w:rsidRDefault="005D4485" w:rsidP="00955E9C">
      <w:pPr>
        <w:pStyle w:val="FERCparanumber"/>
        <w:rPr>
          <w:b/>
          <w:szCs w:val="26"/>
        </w:rPr>
      </w:pPr>
      <w:r w:rsidRPr="00021944">
        <w:rPr>
          <w:szCs w:val="26"/>
        </w:rPr>
        <w:t xml:space="preserve">We approve </w:t>
      </w:r>
      <w:r w:rsidR="00564CA9">
        <w:rPr>
          <w:szCs w:val="26"/>
        </w:rPr>
        <w:t>R</w:t>
      </w:r>
      <w:r w:rsidR="00240A63">
        <w:rPr>
          <w:szCs w:val="26"/>
        </w:rPr>
        <w:t>eliability Standard, TPL-00</w:t>
      </w:r>
      <w:r w:rsidR="007320BD">
        <w:rPr>
          <w:szCs w:val="26"/>
        </w:rPr>
        <w:t>1</w:t>
      </w:r>
      <w:r w:rsidR="00240A63">
        <w:rPr>
          <w:szCs w:val="26"/>
        </w:rPr>
        <w:t>-</w:t>
      </w:r>
      <w:r w:rsidR="007320BD">
        <w:rPr>
          <w:szCs w:val="26"/>
        </w:rPr>
        <w:t>4</w:t>
      </w:r>
      <w:r w:rsidR="00240A63">
        <w:rPr>
          <w:szCs w:val="26"/>
        </w:rPr>
        <w:t xml:space="preserve"> with </w:t>
      </w:r>
      <w:r w:rsidRPr="00021944">
        <w:rPr>
          <w:szCs w:val="26"/>
        </w:rPr>
        <w:t>footnote 12</w:t>
      </w:r>
      <w:r w:rsidR="00240A63">
        <w:rPr>
          <w:szCs w:val="26"/>
        </w:rPr>
        <w:t xml:space="preserve"> because it satisfies the concerns raised in the </w:t>
      </w:r>
      <w:r w:rsidR="004B5394">
        <w:rPr>
          <w:szCs w:val="26"/>
        </w:rPr>
        <w:t>Supplemental</w:t>
      </w:r>
      <w:r w:rsidR="00240A63">
        <w:rPr>
          <w:szCs w:val="26"/>
        </w:rPr>
        <w:t xml:space="preserve"> NOPR</w:t>
      </w:r>
      <w:r w:rsidRPr="00021944">
        <w:rPr>
          <w:szCs w:val="26"/>
        </w:rPr>
        <w:t xml:space="preserve">.  </w:t>
      </w:r>
      <w:r w:rsidR="00240A63">
        <w:rPr>
          <w:szCs w:val="26"/>
        </w:rPr>
        <w:t>F</w:t>
      </w:r>
      <w:r w:rsidRPr="00021944">
        <w:rPr>
          <w:szCs w:val="26"/>
        </w:rPr>
        <w:t xml:space="preserve">ootnote 12 </w:t>
      </w:r>
      <w:r w:rsidR="00456DFB" w:rsidRPr="00021944">
        <w:rPr>
          <w:szCs w:val="26"/>
        </w:rPr>
        <w:t>provid</w:t>
      </w:r>
      <w:r w:rsidR="00240A63">
        <w:rPr>
          <w:szCs w:val="26"/>
        </w:rPr>
        <w:t xml:space="preserve">es </w:t>
      </w:r>
      <w:r w:rsidR="00456DFB" w:rsidRPr="00021944">
        <w:rPr>
          <w:szCs w:val="26"/>
        </w:rPr>
        <w:t xml:space="preserve">a blend of </w:t>
      </w:r>
      <w:r w:rsidRPr="00021944">
        <w:rPr>
          <w:szCs w:val="26"/>
        </w:rPr>
        <w:t>specific</w:t>
      </w:r>
      <w:r w:rsidR="00456DFB" w:rsidRPr="00021944">
        <w:rPr>
          <w:szCs w:val="26"/>
        </w:rPr>
        <w:t xml:space="preserve"> quantitative and qualitative </w:t>
      </w:r>
      <w:r w:rsidRPr="00021944">
        <w:rPr>
          <w:szCs w:val="26"/>
        </w:rPr>
        <w:t>parameters for the permissible use of planned non-consequential load loss to address bulk electric system</w:t>
      </w:r>
      <w:r w:rsidR="00955E9C" w:rsidRPr="00021944">
        <w:rPr>
          <w:szCs w:val="26"/>
        </w:rPr>
        <w:t xml:space="preserve"> performance issues, including </w:t>
      </w:r>
      <w:r w:rsidRPr="00021944">
        <w:rPr>
          <w:szCs w:val="26"/>
        </w:rPr>
        <w:t>firm limitations on the maximum amount of load t</w:t>
      </w:r>
      <w:r w:rsidR="00955E9C" w:rsidRPr="00021944">
        <w:rPr>
          <w:szCs w:val="26"/>
        </w:rPr>
        <w:t xml:space="preserve">hat an entity may plan to shed, </w:t>
      </w:r>
      <w:r w:rsidRPr="00021944">
        <w:rPr>
          <w:szCs w:val="26"/>
        </w:rPr>
        <w:t>safeguards to ensure against inconsistent results and arbitrary determinations that allow for the planned non-consequential load loss, and a more specifically defined, open and transparent, verifiable, and enforceable stakeholder process.</w:t>
      </w:r>
      <w:r w:rsidR="00955E9C" w:rsidRPr="00021944">
        <w:rPr>
          <w:b/>
          <w:szCs w:val="26"/>
        </w:rPr>
        <w:t xml:space="preserve">  </w:t>
      </w:r>
      <w:r w:rsidR="006B0190">
        <w:rPr>
          <w:szCs w:val="26"/>
        </w:rPr>
        <w:t>U</w:t>
      </w:r>
      <w:r w:rsidR="00F25EDD" w:rsidRPr="00021944">
        <w:rPr>
          <w:szCs w:val="26"/>
        </w:rPr>
        <w:t xml:space="preserve">se of planned non-consequential load loss should be rare and </w:t>
      </w:r>
      <w:r w:rsidR="006B0190">
        <w:rPr>
          <w:szCs w:val="26"/>
        </w:rPr>
        <w:t>must be used consistent with the process established here</w:t>
      </w:r>
      <w:r w:rsidR="000350B1" w:rsidRPr="00021944">
        <w:rPr>
          <w:szCs w:val="26"/>
        </w:rPr>
        <w:t>.</w:t>
      </w:r>
    </w:p>
    <w:p w:rsidR="009303B2" w:rsidRPr="00021944" w:rsidRDefault="00697F31" w:rsidP="009303B2">
      <w:pPr>
        <w:pStyle w:val="FERCparanumber"/>
        <w:rPr>
          <w:b/>
          <w:szCs w:val="26"/>
        </w:rPr>
      </w:pPr>
      <w:r w:rsidRPr="00021944">
        <w:rPr>
          <w:szCs w:val="26"/>
        </w:rPr>
        <w:t xml:space="preserve">We disagree with </w:t>
      </w:r>
      <w:r w:rsidR="000350B1" w:rsidRPr="00021944">
        <w:rPr>
          <w:szCs w:val="26"/>
        </w:rPr>
        <w:t>MISO</w:t>
      </w:r>
      <w:r w:rsidRPr="00021944">
        <w:rPr>
          <w:szCs w:val="26"/>
        </w:rPr>
        <w:t xml:space="preserve"> that Attachment 1 to footnote 12 adds an additional layer of complexity and administrative burden to compliance without an</w:t>
      </w:r>
      <w:r w:rsidR="004B5394">
        <w:rPr>
          <w:szCs w:val="26"/>
        </w:rPr>
        <w:t>y</w:t>
      </w:r>
      <w:r w:rsidRPr="00021944">
        <w:rPr>
          <w:szCs w:val="26"/>
        </w:rPr>
        <w:t xml:space="preserve"> attendant benefit.</w:t>
      </w:r>
      <w:r w:rsidR="00623D0F" w:rsidRPr="00021944">
        <w:rPr>
          <w:szCs w:val="26"/>
        </w:rPr>
        <w:t xml:space="preserve">  </w:t>
      </w:r>
      <w:r w:rsidR="007069FD" w:rsidRPr="00021944">
        <w:rPr>
          <w:szCs w:val="26"/>
        </w:rPr>
        <w:t xml:space="preserve">Commenters have stated in prior proceedings that a blend of quantitative and qualitative parameters “should not overly burden NERC or Regional Entity resources as utilization of the planned load shed exception is – </w:t>
      </w:r>
      <w:r w:rsidR="007069FD" w:rsidRPr="00021944">
        <w:rPr>
          <w:szCs w:val="26"/>
        </w:rPr>
        <w:lastRenderedPageBreak/>
        <w:t>and would be – rarely utilized.”</w:t>
      </w:r>
      <w:r w:rsidR="007069FD" w:rsidRPr="00021944">
        <w:rPr>
          <w:rStyle w:val="FootnoteReference"/>
        </w:rPr>
        <w:footnoteReference w:id="32"/>
      </w:r>
      <w:r w:rsidR="007069FD" w:rsidRPr="00021944">
        <w:rPr>
          <w:szCs w:val="26"/>
        </w:rPr>
        <w:t xml:space="preserve">  Further, the Commission </w:t>
      </w:r>
      <w:r w:rsidR="000E6A56" w:rsidRPr="00021944">
        <w:rPr>
          <w:szCs w:val="26"/>
        </w:rPr>
        <w:t xml:space="preserve">directs NERC </w:t>
      </w:r>
      <w:r w:rsidR="007069FD" w:rsidRPr="00021944">
        <w:rPr>
          <w:szCs w:val="26"/>
        </w:rPr>
        <w:t>to report</w:t>
      </w:r>
      <w:r w:rsidR="00A554D8" w:rsidRPr="00021944">
        <w:rPr>
          <w:szCs w:val="26"/>
        </w:rPr>
        <w:t xml:space="preserve"> on the use of footnote 12 including the use and effectiveness of the local re</w:t>
      </w:r>
      <w:r w:rsidR="007D4333" w:rsidRPr="00021944">
        <w:rPr>
          <w:szCs w:val="26"/>
        </w:rPr>
        <w:t xml:space="preserve">gulatory review and NERC review.  </w:t>
      </w:r>
      <w:r w:rsidR="00293B02">
        <w:rPr>
          <w:szCs w:val="26"/>
        </w:rPr>
        <w:t>T</w:t>
      </w:r>
      <w:r w:rsidR="007D4333" w:rsidRPr="00021944">
        <w:rPr>
          <w:szCs w:val="26"/>
        </w:rPr>
        <w:t xml:space="preserve">his report </w:t>
      </w:r>
      <w:r w:rsidR="00154229">
        <w:rPr>
          <w:szCs w:val="26"/>
        </w:rPr>
        <w:t xml:space="preserve">is important because it </w:t>
      </w:r>
      <w:r w:rsidR="007D4333" w:rsidRPr="00021944">
        <w:rPr>
          <w:szCs w:val="26"/>
        </w:rPr>
        <w:t xml:space="preserve">will </w:t>
      </w:r>
      <w:r w:rsidR="007B327A">
        <w:rPr>
          <w:szCs w:val="26"/>
        </w:rPr>
        <w:t xml:space="preserve">provide an analysis of the use of footnote 12, </w:t>
      </w:r>
      <w:r w:rsidR="007B327A" w:rsidRPr="00021944">
        <w:rPr>
          <w:szCs w:val="26"/>
        </w:rPr>
        <w:t>including but not limited to information on the duration, frequency and magnitude of planned non-consequential load loss, and typical (and if significant, atypical) scenarios where entities plan for non-consequential load loss</w:t>
      </w:r>
      <w:r w:rsidR="007B327A">
        <w:rPr>
          <w:szCs w:val="26"/>
        </w:rPr>
        <w:t xml:space="preserve">.  Further, the report will </w:t>
      </w:r>
      <w:r w:rsidR="007D4333" w:rsidRPr="00021944">
        <w:rPr>
          <w:szCs w:val="26"/>
        </w:rPr>
        <w:t xml:space="preserve">serve as a tool to evaluate </w:t>
      </w:r>
      <w:r w:rsidR="009B7B5F" w:rsidRPr="00021944">
        <w:rPr>
          <w:szCs w:val="26"/>
        </w:rPr>
        <w:t xml:space="preserve">the </w:t>
      </w:r>
      <w:r w:rsidR="007D4333" w:rsidRPr="00021944">
        <w:rPr>
          <w:szCs w:val="26"/>
        </w:rPr>
        <w:t>usefulness and effectiveness of local regulatory and ERO review</w:t>
      </w:r>
      <w:r w:rsidR="00154229">
        <w:rPr>
          <w:szCs w:val="26"/>
        </w:rPr>
        <w:t xml:space="preserve">, and identify whether </w:t>
      </w:r>
      <w:r w:rsidR="00CA4CF2" w:rsidRPr="00021944">
        <w:rPr>
          <w:szCs w:val="26"/>
        </w:rPr>
        <w:t>MISO’s concern</w:t>
      </w:r>
      <w:r w:rsidR="00154229">
        <w:rPr>
          <w:szCs w:val="26"/>
        </w:rPr>
        <w:t xml:space="preserve"> or other issues arise that need to be addressed</w:t>
      </w:r>
      <w:r w:rsidR="007D4333" w:rsidRPr="00021944">
        <w:rPr>
          <w:szCs w:val="26"/>
        </w:rPr>
        <w:t>.</w:t>
      </w:r>
    </w:p>
    <w:p w:rsidR="007069FD" w:rsidRPr="00C3776D" w:rsidRDefault="00020494" w:rsidP="00020494">
      <w:pPr>
        <w:pStyle w:val="FERCparanumber"/>
        <w:rPr>
          <w:b/>
          <w:szCs w:val="26"/>
        </w:rPr>
      </w:pPr>
      <w:r w:rsidRPr="00021944">
        <w:rPr>
          <w:szCs w:val="26"/>
        </w:rPr>
        <w:t xml:space="preserve">We decline to direct NERC to limit the meaning of the phrase “applicable regulatory authorities or governing bodies.”  Because each state and locality has different entities that are responsible for </w:t>
      </w:r>
      <w:r w:rsidR="00091522">
        <w:rPr>
          <w:szCs w:val="26"/>
        </w:rPr>
        <w:t xml:space="preserve">reliability of </w:t>
      </w:r>
      <w:r w:rsidRPr="00021944">
        <w:rPr>
          <w:szCs w:val="26"/>
        </w:rPr>
        <w:t>retail electric service</w:t>
      </w:r>
      <w:r w:rsidR="003C2426">
        <w:rPr>
          <w:szCs w:val="26"/>
        </w:rPr>
        <w:t>,</w:t>
      </w:r>
      <w:r w:rsidRPr="00021944">
        <w:rPr>
          <w:szCs w:val="26"/>
        </w:rPr>
        <w:t xml:space="preserve"> we are reluctant to </w:t>
      </w:r>
      <w:r w:rsidR="00823ED3">
        <w:rPr>
          <w:szCs w:val="26"/>
        </w:rPr>
        <w:t xml:space="preserve">further </w:t>
      </w:r>
      <w:r w:rsidRPr="00021944">
        <w:rPr>
          <w:szCs w:val="26"/>
        </w:rPr>
        <w:t xml:space="preserve">define who may participate.  </w:t>
      </w:r>
      <w:r w:rsidR="00154229">
        <w:rPr>
          <w:szCs w:val="26"/>
        </w:rPr>
        <w:t xml:space="preserve">NERC’s report should identify any issues with respect to how effective and efficient the review process is working.  </w:t>
      </w:r>
      <w:r w:rsidRPr="00021944">
        <w:rPr>
          <w:szCs w:val="26"/>
        </w:rPr>
        <w:t xml:space="preserve">With regard to MISO’s request that input by the affected regulatory </w:t>
      </w:r>
      <w:r w:rsidR="00154229">
        <w:rPr>
          <w:szCs w:val="26"/>
        </w:rPr>
        <w:t xml:space="preserve">body </w:t>
      </w:r>
      <w:r w:rsidRPr="00021944">
        <w:rPr>
          <w:szCs w:val="26"/>
        </w:rPr>
        <w:t xml:space="preserve">is sufficient to satisfy the language in the Attachment 1 stakeholder process indicating that the agency “does not object” to the inclusion of non-consequential load loss, we note that during the standard development process NERC “modified </w:t>
      </w:r>
      <w:r w:rsidRPr="00021944">
        <w:rPr>
          <w:szCs w:val="26"/>
        </w:rPr>
        <w:lastRenderedPageBreak/>
        <w:t>the footnote to require regulatory authority review rather than approval.”</w:t>
      </w:r>
      <w:r w:rsidR="007B4B4B">
        <w:rPr>
          <w:rStyle w:val="FootnoteReference"/>
        </w:rPr>
        <w:footnoteReference w:id="33"/>
      </w:r>
      <w:r w:rsidRPr="00021944">
        <w:rPr>
          <w:szCs w:val="26"/>
        </w:rPr>
        <w:t xml:space="preserve">  Use of an open stakeholder process that allows for robust input </w:t>
      </w:r>
      <w:r w:rsidR="00B02DD0">
        <w:rPr>
          <w:szCs w:val="26"/>
        </w:rPr>
        <w:t xml:space="preserve">and review </w:t>
      </w:r>
      <w:r w:rsidRPr="00021944">
        <w:rPr>
          <w:szCs w:val="26"/>
        </w:rPr>
        <w:t xml:space="preserve">will ensure that all interested state agencies will have a say in the process, and that any objections of such agencies to the inclusion of non-consequential load loss will be </w:t>
      </w:r>
      <w:r w:rsidR="00E409E6">
        <w:rPr>
          <w:szCs w:val="26"/>
        </w:rPr>
        <w:t xml:space="preserve">considered </w:t>
      </w:r>
      <w:r w:rsidRPr="00021944">
        <w:rPr>
          <w:szCs w:val="26"/>
        </w:rPr>
        <w:t>in</w:t>
      </w:r>
      <w:r w:rsidR="00E409E6">
        <w:rPr>
          <w:szCs w:val="26"/>
        </w:rPr>
        <w:t xml:space="preserve"> </w:t>
      </w:r>
      <w:r w:rsidRPr="00021944">
        <w:rPr>
          <w:szCs w:val="26"/>
        </w:rPr>
        <w:t xml:space="preserve">the relevant planning decisions.  </w:t>
      </w:r>
      <w:r w:rsidR="000E6A56" w:rsidRPr="00021944">
        <w:rPr>
          <w:szCs w:val="26"/>
        </w:rPr>
        <w:t xml:space="preserve">With regard to MISO’s requested clarification of </w:t>
      </w:r>
      <w:r w:rsidR="0097109A" w:rsidRPr="00021944">
        <w:rPr>
          <w:szCs w:val="26"/>
        </w:rPr>
        <w:t>the phrase “potential overlapping uses</w:t>
      </w:r>
      <w:r w:rsidR="000E6A56" w:rsidRPr="00021944">
        <w:rPr>
          <w:szCs w:val="26"/>
        </w:rPr>
        <w:t>,</w:t>
      </w:r>
      <w:r w:rsidR="0097109A" w:rsidRPr="00021944">
        <w:rPr>
          <w:szCs w:val="26"/>
        </w:rPr>
        <w:t>”</w:t>
      </w:r>
      <w:r w:rsidR="00F03B49" w:rsidRPr="00021944">
        <w:rPr>
          <w:szCs w:val="26"/>
        </w:rPr>
        <w:t xml:space="preserve"> </w:t>
      </w:r>
      <w:r w:rsidR="000E6A56" w:rsidRPr="00021944">
        <w:rPr>
          <w:szCs w:val="26"/>
        </w:rPr>
        <w:t xml:space="preserve">we note that </w:t>
      </w:r>
      <w:r w:rsidR="00F03B49" w:rsidRPr="00021944">
        <w:rPr>
          <w:szCs w:val="26"/>
        </w:rPr>
        <w:t>Attachment 1 section II</w:t>
      </w:r>
      <w:r w:rsidR="00785F14" w:rsidRPr="00021944">
        <w:rPr>
          <w:szCs w:val="26"/>
        </w:rPr>
        <w:t xml:space="preserve"> encompasses potential </w:t>
      </w:r>
      <w:r w:rsidR="00F03B49" w:rsidRPr="00021944">
        <w:rPr>
          <w:szCs w:val="26"/>
        </w:rPr>
        <w:t>overlapping uses</w:t>
      </w:r>
      <w:r w:rsidR="00785F14" w:rsidRPr="00021944">
        <w:rPr>
          <w:szCs w:val="26"/>
        </w:rPr>
        <w:t xml:space="preserve"> of footnote 12</w:t>
      </w:r>
      <w:r w:rsidR="000E6A56" w:rsidRPr="00021944">
        <w:rPr>
          <w:szCs w:val="26"/>
        </w:rPr>
        <w:t xml:space="preserve"> </w:t>
      </w:r>
      <w:r w:rsidR="00F03B49" w:rsidRPr="00021944">
        <w:rPr>
          <w:szCs w:val="26"/>
        </w:rPr>
        <w:t>either within the responsible entity or with adjacent transmission planners and planning coordinators.</w:t>
      </w:r>
      <w:r w:rsidR="00785F14" w:rsidRPr="00021944">
        <w:rPr>
          <w:rStyle w:val="FootnoteReference"/>
        </w:rPr>
        <w:footnoteReference w:id="34"/>
      </w:r>
      <w:r w:rsidR="007069FD" w:rsidRPr="00021944">
        <w:rPr>
          <w:szCs w:val="26"/>
        </w:rPr>
        <w:t xml:space="preserve"> </w:t>
      </w:r>
      <w:r w:rsidR="00140F7E">
        <w:rPr>
          <w:szCs w:val="26"/>
        </w:rPr>
        <w:t xml:space="preserve"> Accordingly, no </w:t>
      </w:r>
      <w:r w:rsidR="009048C4">
        <w:rPr>
          <w:szCs w:val="26"/>
        </w:rPr>
        <w:t xml:space="preserve">further </w:t>
      </w:r>
      <w:r w:rsidR="0086690D">
        <w:rPr>
          <w:szCs w:val="26"/>
        </w:rPr>
        <w:t>clarification</w:t>
      </w:r>
      <w:r w:rsidR="00140F7E">
        <w:rPr>
          <w:szCs w:val="26"/>
        </w:rPr>
        <w:t xml:space="preserve"> is required.</w:t>
      </w:r>
    </w:p>
    <w:p w:rsidR="00F550C5" w:rsidRPr="00021944" w:rsidRDefault="00240A63" w:rsidP="000350B1">
      <w:pPr>
        <w:pStyle w:val="Heading2"/>
        <w:rPr>
          <w:szCs w:val="26"/>
        </w:rPr>
      </w:pPr>
      <w:r>
        <w:rPr>
          <w:szCs w:val="26"/>
        </w:rPr>
        <w:t xml:space="preserve">Reliability Issues Raised in the </w:t>
      </w:r>
      <w:r w:rsidR="00F550C5" w:rsidRPr="00021944">
        <w:rPr>
          <w:szCs w:val="26"/>
        </w:rPr>
        <w:t>April 2012 NOPR</w:t>
      </w:r>
      <w:r w:rsidR="000350B1" w:rsidRPr="00021944">
        <w:rPr>
          <w:szCs w:val="26"/>
        </w:rPr>
        <w:t xml:space="preserve"> </w:t>
      </w:r>
    </w:p>
    <w:p w:rsidR="00C60279" w:rsidRPr="00E52FD9" w:rsidRDefault="00C60279" w:rsidP="000350B1">
      <w:pPr>
        <w:pStyle w:val="FERCparanumber"/>
        <w:rPr>
          <w:szCs w:val="26"/>
        </w:rPr>
      </w:pPr>
      <w:r w:rsidRPr="00E52FD9">
        <w:rPr>
          <w:szCs w:val="26"/>
        </w:rPr>
        <w:t>In the April 2012 NOPR</w:t>
      </w:r>
      <w:r w:rsidR="00E571AA" w:rsidRPr="00E52FD9">
        <w:rPr>
          <w:szCs w:val="26"/>
        </w:rPr>
        <w:t>,</w:t>
      </w:r>
      <w:r w:rsidRPr="00E52FD9">
        <w:rPr>
          <w:szCs w:val="26"/>
        </w:rPr>
        <w:t xml:space="preserve"> the Commission sought comments regarding the following issues </w:t>
      </w:r>
      <w:r w:rsidR="00E571AA" w:rsidRPr="00E52FD9">
        <w:rPr>
          <w:szCs w:val="26"/>
        </w:rPr>
        <w:t>regarding</w:t>
      </w:r>
      <w:r w:rsidRPr="00E52FD9">
        <w:rPr>
          <w:szCs w:val="26"/>
        </w:rPr>
        <w:t xml:space="preserve"> the proposed </w:t>
      </w:r>
      <w:r w:rsidR="00E571AA" w:rsidRPr="00E52FD9">
        <w:rPr>
          <w:szCs w:val="26"/>
        </w:rPr>
        <w:t xml:space="preserve">Version 2 </w:t>
      </w:r>
      <w:r w:rsidRPr="00E52FD9">
        <w:rPr>
          <w:szCs w:val="26"/>
        </w:rPr>
        <w:t xml:space="preserve">Reliability Standard: </w:t>
      </w:r>
      <w:r w:rsidR="00404F32">
        <w:rPr>
          <w:szCs w:val="26"/>
        </w:rPr>
        <w:t xml:space="preserve">             </w:t>
      </w:r>
      <w:r w:rsidRPr="00E52FD9">
        <w:rPr>
          <w:szCs w:val="26"/>
        </w:rPr>
        <w:t>(</w:t>
      </w:r>
      <w:r w:rsidR="00484CF8" w:rsidRPr="00E52FD9">
        <w:rPr>
          <w:szCs w:val="26"/>
        </w:rPr>
        <w:t>1</w:t>
      </w:r>
      <w:r w:rsidRPr="00E52FD9">
        <w:rPr>
          <w:szCs w:val="26"/>
        </w:rPr>
        <w:t xml:space="preserve">) </w:t>
      </w:r>
      <w:r w:rsidR="000350B1" w:rsidRPr="00E52FD9">
        <w:rPr>
          <w:szCs w:val="26"/>
        </w:rPr>
        <w:t>p</w:t>
      </w:r>
      <w:r w:rsidRPr="00E52FD9">
        <w:rPr>
          <w:szCs w:val="26"/>
        </w:rPr>
        <w:t xml:space="preserve">lanned </w:t>
      </w:r>
      <w:r w:rsidR="000350B1" w:rsidRPr="00E52FD9">
        <w:rPr>
          <w:szCs w:val="26"/>
        </w:rPr>
        <w:t>m</w:t>
      </w:r>
      <w:r w:rsidRPr="00E52FD9">
        <w:rPr>
          <w:szCs w:val="26"/>
        </w:rPr>
        <w:t xml:space="preserve">aintenance </w:t>
      </w:r>
      <w:r w:rsidR="000350B1" w:rsidRPr="00E52FD9">
        <w:rPr>
          <w:szCs w:val="26"/>
        </w:rPr>
        <w:t>o</w:t>
      </w:r>
      <w:r w:rsidRPr="00E52FD9">
        <w:rPr>
          <w:szCs w:val="26"/>
        </w:rPr>
        <w:t>utages, (</w:t>
      </w:r>
      <w:r w:rsidR="00484CF8" w:rsidRPr="00E52FD9">
        <w:rPr>
          <w:szCs w:val="26"/>
        </w:rPr>
        <w:t>2</w:t>
      </w:r>
      <w:r w:rsidRPr="00E52FD9">
        <w:rPr>
          <w:szCs w:val="26"/>
        </w:rPr>
        <w:t xml:space="preserve">) </w:t>
      </w:r>
      <w:r w:rsidR="000350B1" w:rsidRPr="00E52FD9">
        <w:rPr>
          <w:szCs w:val="26"/>
        </w:rPr>
        <w:t>v</w:t>
      </w:r>
      <w:r w:rsidRPr="00E52FD9">
        <w:rPr>
          <w:szCs w:val="26"/>
        </w:rPr>
        <w:t xml:space="preserve">iolation </w:t>
      </w:r>
      <w:r w:rsidR="000350B1" w:rsidRPr="00E52FD9">
        <w:rPr>
          <w:szCs w:val="26"/>
        </w:rPr>
        <w:t>r</w:t>
      </w:r>
      <w:r w:rsidRPr="00E52FD9">
        <w:rPr>
          <w:szCs w:val="26"/>
        </w:rPr>
        <w:t xml:space="preserve">isk </w:t>
      </w:r>
      <w:r w:rsidR="000350B1" w:rsidRPr="00E52FD9">
        <w:rPr>
          <w:szCs w:val="26"/>
        </w:rPr>
        <w:t>f</w:t>
      </w:r>
      <w:r w:rsidRPr="00E52FD9">
        <w:rPr>
          <w:szCs w:val="26"/>
        </w:rPr>
        <w:t>actors, (</w:t>
      </w:r>
      <w:r w:rsidR="00484CF8" w:rsidRPr="00E52FD9">
        <w:rPr>
          <w:szCs w:val="26"/>
        </w:rPr>
        <w:t>3</w:t>
      </w:r>
      <w:r w:rsidRPr="00E52FD9">
        <w:rPr>
          <w:szCs w:val="26"/>
        </w:rPr>
        <w:t xml:space="preserve">) </w:t>
      </w:r>
      <w:r w:rsidR="000350B1" w:rsidRPr="00E52FD9">
        <w:rPr>
          <w:szCs w:val="26"/>
        </w:rPr>
        <w:t>p</w:t>
      </w:r>
      <w:r w:rsidRPr="00E52FD9">
        <w:rPr>
          <w:szCs w:val="26"/>
        </w:rPr>
        <w:t xml:space="preserve">rotection </w:t>
      </w:r>
      <w:r w:rsidR="000350B1" w:rsidRPr="00E52FD9">
        <w:rPr>
          <w:szCs w:val="26"/>
        </w:rPr>
        <w:t>s</w:t>
      </w:r>
      <w:r w:rsidRPr="00E52FD9">
        <w:rPr>
          <w:szCs w:val="26"/>
        </w:rPr>
        <w:t xml:space="preserve">ystem </w:t>
      </w:r>
      <w:r w:rsidR="000350B1" w:rsidRPr="00E52FD9">
        <w:rPr>
          <w:szCs w:val="26"/>
        </w:rPr>
        <w:t>f</w:t>
      </w:r>
      <w:r w:rsidRPr="00E52FD9">
        <w:rPr>
          <w:szCs w:val="26"/>
        </w:rPr>
        <w:t xml:space="preserve">ailures versus </w:t>
      </w:r>
      <w:r w:rsidR="000350B1" w:rsidRPr="00E52FD9">
        <w:rPr>
          <w:szCs w:val="26"/>
        </w:rPr>
        <w:t>r</w:t>
      </w:r>
      <w:r w:rsidRPr="00E52FD9">
        <w:rPr>
          <w:szCs w:val="26"/>
        </w:rPr>
        <w:t xml:space="preserve">elay </w:t>
      </w:r>
      <w:r w:rsidR="000350B1" w:rsidRPr="00E52FD9">
        <w:rPr>
          <w:szCs w:val="26"/>
        </w:rPr>
        <w:t>f</w:t>
      </w:r>
      <w:r w:rsidRPr="00E52FD9">
        <w:rPr>
          <w:szCs w:val="26"/>
        </w:rPr>
        <w:t>ailures, (</w:t>
      </w:r>
      <w:r w:rsidR="00484CF8" w:rsidRPr="00E52FD9">
        <w:rPr>
          <w:szCs w:val="26"/>
        </w:rPr>
        <w:t>4</w:t>
      </w:r>
      <w:r w:rsidRPr="00E52FD9">
        <w:rPr>
          <w:szCs w:val="26"/>
        </w:rPr>
        <w:t xml:space="preserve">) </w:t>
      </w:r>
      <w:r w:rsidR="000350B1" w:rsidRPr="00E52FD9">
        <w:rPr>
          <w:szCs w:val="26"/>
        </w:rPr>
        <w:t>a</w:t>
      </w:r>
      <w:r w:rsidRPr="00E52FD9">
        <w:rPr>
          <w:szCs w:val="26"/>
        </w:rPr>
        <w:t xml:space="preserve">ssessment of </w:t>
      </w:r>
      <w:r w:rsidR="000350B1" w:rsidRPr="00E52FD9">
        <w:rPr>
          <w:szCs w:val="26"/>
        </w:rPr>
        <w:t>b</w:t>
      </w:r>
      <w:r w:rsidRPr="00E52FD9">
        <w:rPr>
          <w:szCs w:val="26"/>
        </w:rPr>
        <w:t xml:space="preserve">ackup or </w:t>
      </w:r>
      <w:r w:rsidR="000350B1" w:rsidRPr="00E52FD9">
        <w:rPr>
          <w:szCs w:val="26"/>
        </w:rPr>
        <w:t>r</w:t>
      </w:r>
      <w:r w:rsidRPr="00E52FD9">
        <w:rPr>
          <w:szCs w:val="26"/>
        </w:rPr>
        <w:t xml:space="preserve">edundant </w:t>
      </w:r>
      <w:r w:rsidR="000350B1" w:rsidRPr="00E52FD9">
        <w:rPr>
          <w:szCs w:val="26"/>
        </w:rPr>
        <w:t>p</w:t>
      </w:r>
      <w:r w:rsidRPr="00E52FD9">
        <w:rPr>
          <w:szCs w:val="26"/>
        </w:rPr>
        <w:t xml:space="preserve">rotection </w:t>
      </w:r>
      <w:r w:rsidR="000350B1" w:rsidRPr="00E52FD9">
        <w:rPr>
          <w:szCs w:val="26"/>
        </w:rPr>
        <w:t>s</w:t>
      </w:r>
      <w:r w:rsidRPr="00E52FD9">
        <w:rPr>
          <w:szCs w:val="26"/>
        </w:rPr>
        <w:t>ystems, (</w:t>
      </w:r>
      <w:r w:rsidR="00484CF8" w:rsidRPr="00E52FD9">
        <w:rPr>
          <w:szCs w:val="26"/>
        </w:rPr>
        <w:t>5</w:t>
      </w:r>
      <w:r w:rsidRPr="00E52FD9">
        <w:rPr>
          <w:szCs w:val="26"/>
        </w:rPr>
        <w:t xml:space="preserve">) </w:t>
      </w:r>
      <w:r w:rsidR="000350B1" w:rsidRPr="00E52FD9">
        <w:rPr>
          <w:szCs w:val="26"/>
        </w:rPr>
        <w:t>s</w:t>
      </w:r>
      <w:r w:rsidRPr="00E52FD9">
        <w:rPr>
          <w:szCs w:val="26"/>
        </w:rPr>
        <w:t xml:space="preserve">ingle </w:t>
      </w:r>
      <w:r w:rsidR="000350B1" w:rsidRPr="00E52FD9">
        <w:rPr>
          <w:szCs w:val="26"/>
        </w:rPr>
        <w:t>l</w:t>
      </w:r>
      <w:r w:rsidRPr="00E52FD9">
        <w:rPr>
          <w:szCs w:val="26"/>
        </w:rPr>
        <w:t xml:space="preserve">ine to </w:t>
      </w:r>
      <w:r w:rsidR="000350B1" w:rsidRPr="00E52FD9">
        <w:rPr>
          <w:szCs w:val="26"/>
        </w:rPr>
        <w:t>g</w:t>
      </w:r>
      <w:r w:rsidRPr="00E52FD9">
        <w:rPr>
          <w:szCs w:val="26"/>
        </w:rPr>
        <w:t xml:space="preserve">round </w:t>
      </w:r>
      <w:r w:rsidR="000350B1" w:rsidRPr="00E52FD9">
        <w:rPr>
          <w:szCs w:val="26"/>
        </w:rPr>
        <w:t>f</w:t>
      </w:r>
      <w:r w:rsidRPr="00E52FD9">
        <w:rPr>
          <w:szCs w:val="26"/>
        </w:rPr>
        <w:t>aults</w:t>
      </w:r>
      <w:r w:rsidR="00E543DB" w:rsidRPr="00E52FD9">
        <w:rPr>
          <w:szCs w:val="26"/>
        </w:rPr>
        <w:t xml:space="preserve"> and (</w:t>
      </w:r>
      <w:r w:rsidR="00484CF8" w:rsidRPr="00E52FD9">
        <w:rPr>
          <w:szCs w:val="26"/>
        </w:rPr>
        <w:t>6</w:t>
      </w:r>
      <w:r w:rsidR="00E543DB" w:rsidRPr="00E52FD9">
        <w:rPr>
          <w:szCs w:val="26"/>
        </w:rPr>
        <w:t>) Order No. 693 directives</w:t>
      </w:r>
      <w:r w:rsidRPr="00E52FD9">
        <w:rPr>
          <w:szCs w:val="26"/>
        </w:rPr>
        <w:t>.</w:t>
      </w:r>
      <w:r w:rsidR="00E409E6" w:rsidRPr="00E52FD9">
        <w:rPr>
          <w:szCs w:val="26"/>
        </w:rPr>
        <w:t xml:space="preserve">  </w:t>
      </w:r>
      <w:r w:rsidR="00E571AA" w:rsidRPr="00E52FD9">
        <w:rPr>
          <w:szCs w:val="26"/>
        </w:rPr>
        <w:t>The Version 4 TPL standard that we approve in this Final Rule contain</w:t>
      </w:r>
      <w:r w:rsidR="000552CA" w:rsidRPr="00E52FD9">
        <w:rPr>
          <w:szCs w:val="26"/>
        </w:rPr>
        <w:t>s</w:t>
      </w:r>
      <w:r w:rsidR="00E571AA" w:rsidRPr="00E52FD9">
        <w:rPr>
          <w:szCs w:val="26"/>
        </w:rPr>
        <w:t xml:space="preserve"> the same provisions as the Version 2 standard, with the exception of footnote 12</w:t>
      </w:r>
      <w:r w:rsidR="00F730EE" w:rsidRPr="00E52FD9">
        <w:rPr>
          <w:szCs w:val="26"/>
        </w:rPr>
        <w:t xml:space="preserve">, </w:t>
      </w:r>
      <w:r w:rsidR="00E571AA" w:rsidRPr="00E52FD9">
        <w:rPr>
          <w:szCs w:val="26"/>
        </w:rPr>
        <w:lastRenderedPageBreak/>
        <w:t>Attachment 1</w:t>
      </w:r>
      <w:r w:rsidR="00F730EE" w:rsidRPr="00E52FD9">
        <w:rPr>
          <w:szCs w:val="26"/>
        </w:rPr>
        <w:t xml:space="preserve"> and the VRF for Requirement R6.</w:t>
      </w:r>
      <w:r w:rsidR="00F730EE" w:rsidRPr="00E52FD9" w:rsidDel="00F730EE">
        <w:rPr>
          <w:szCs w:val="26"/>
        </w:rPr>
        <w:t xml:space="preserve"> </w:t>
      </w:r>
      <w:r w:rsidR="00E571AA" w:rsidRPr="00E52FD9">
        <w:rPr>
          <w:szCs w:val="26"/>
        </w:rPr>
        <w:t xml:space="preserve">  Accordingly, w</w:t>
      </w:r>
      <w:r w:rsidR="00E409E6" w:rsidRPr="00E52FD9">
        <w:rPr>
          <w:szCs w:val="26"/>
        </w:rPr>
        <w:t xml:space="preserve">e address </w:t>
      </w:r>
      <w:r w:rsidR="00E571AA" w:rsidRPr="00E52FD9">
        <w:rPr>
          <w:szCs w:val="26"/>
        </w:rPr>
        <w:t xml:space="preserve">below </w:t>
      </w:r>
      <w:r w:rsidR="00E409E6" w:rsidRPr="00E52FD9">
        <w:rPr>
          <w:szCs w:val="26"/>
        </w:rPr>
        <w:t xml:space="preserve">the issues </w:t>
      </w:r>
      <w:r w:rsidR="00E571AA" w:rsidRPr="00E52FD9">
        <w:rPr>
          <w:szCs w:val="26"/>
        </w:rPr>
        <w:t>raised in the April 2012 NOPR</w:t>
      </w:r>
      <w:r w:rsidR="00E409E6" w:rsidRPr="00E52FD9">
        <w:rPr>
          <w:szCs w:val="26"/>
        </w:rPr>
        <w:t xml:space="preserve">. </w:t>
      </w:r>
    </w:p>
    <w:p w:rsidR="00C60279" w:rsidRDefault="00C60279" w:rsidP="000350B1">
      <w:pPr>
        <w:pStyle w:val="Heading3"/>
      </w:pPr>
      <w:r w:rsidRPr="00021944">
        <w:t>Planned Maintenance Outages</w:t>
      </w:r>
    </w:p>
    <w:p w:rsidR="00A97CF3" w:rsidRPr="00404F32" w:rsidRDefault="00A97CF3" w:rsidP="00A97CF3">
      <w:pPr>
        <w:pStyle w:val="FERCparanumber"/>
        <w:numPr>
          <w:ilvl w:val="0"/>
          <w:numId w:val="0"/>
        </w:numPr>
        <w:ind w:left="720"/>
        <w:rPr>
          <w:b/>
          <w:u w:val="single"/>
        </w:rPr>
      </w:pPr>
      <w:r w:rsidRPr="00404F32">
        <w:rPr>
          <w:b/>
          <w:u w:val="single"/>
        </w:rPr>
        <w:t>NERC Petition</w:t>
      </w:r>
    </w:p>
    <w:p w:rsidR="00A97CF3" w:rsidRDefault="00A97CF3" w:rsidP="00A97CF3">
      <w:pPr>
        <w:pStyle w:val="FERCparanumber"/>
        <w:tabs>
          <w:tab w:val="clear" w:pos="720"/>
          <w:tab w:val="num" w:pos="650"/>
          <w:tab w:val="num" w:pos="1350"/>
        </w:tabs>
        <w:rPr>
          <w:szCs w:val="26"/>
        </w:rPr>
      </w:pPr>
      <w:r w:rsidRPr="00021944">
        <w:rPr>
          <w:szCs w:val="26"/>
        </w:rPr>
        <w:t xml:space="preserve">NERC proposed new language in TPL-001-2, Requirement R1 to remove an ambiguity in the current standard concerning what the planner needs to include in the specific studies.  </w:t>
      </w:r>
      <w:r>
        <w:rPr>
          <w:szCs w:val="26"/>
        </w:rPr>
        <w:t>Requirement R1</w:t>
      </w:r>
      <w:r w:rsidRPr="00021944">
        <w:rPr>
          <w:szCs w:val="26"/>
        </w:rPr>
        <w:t xml:space="preserve"> also requires the planner to evaluate six-month or longer duration </w:t>
      </w:r>
      <w:r>
        <w:rPr>
          <w:szCs w:val="26"/>
        </w:rPr>
        <w:t xml:space="preserve">planned </w:t>
      </w:r>
      <w:r w:rsidRPr="00021944">
        <w:rPr>
          <w:szCs w:val="26"/>
        </w:rPr>
        <w:t>outages within its system.  NERC states that</w:t>
      </w:r>
      <w:r>
        <w:rPr>
          <w:szCs w:val="26"/>
        </w:rPr>
        <w:t>,</w:t>
      </w:r>
      <w:r w:rsidRPr="00021944">
        <w:rPr>
          <w:szCs w:val="26"/>
        </w:rPr>
        <w:t xml:space="preserve"> while Requirement R1.3.12 of the currently-effective TPL-002-0b includes planned outages (including maintenance outages) in the planning studies and requires simulations at the demands levels for which the planned outages are performed, it is not appropriate to have the planner select specific planned outages for inclusion in their studies.</w:t>
      </w:r>
      <w:r>
        <w:rPr>
          <w:rStyle w:val="FootnoteReference"/>
        </w:rPr>
        <w:footnoteReference w:id="35"/>
      </w:r>
      <w:r w:rsidRPr="00021944">
        <w:rPr>
          <w:szCs w:val="26"/>
        </w:rPr>
        <w:t xml:space="preserve">  Consequently, NERC proposes a bright-line test to determine whether a</w:t>
      </w:r>
      <w:r>
        <w:rPr>
          <w:szCs w:val="26"/>
        </w:rPr>
        <w:t xml:space="preserve"> planned</w:t>
      </w:r>
      <w:r w:rsidRPr="00021944">
        <w:rPr>
          <w:szCs w:val="26"/>
        </w:rPr>
        <w:t xml:space="preserve"> outage should be included in the system models.    </w:t>
      </w:r>
    </w:p>
    <w:p w:rsidR="00A97CF3" w:rsidRPr="00404F32" w:rsidRDefault="00A97CF3" w:rsidP="00A97CF3">
      <w:pPr>
        <w:pStyle w:val="FERCparanumber"/>
        <w:numPr>
          <w:ilvl w:val="0"/>
          <w:numId w:val="0"/>
        </w:numPr>
        <w:ind w:left="720"/>
        <w:rPr>
          <w:b/>
          <w:u w:val="single"/>
        </w:rPr>
      </w:pPr>
      <w:r w:rsidRPr="00404F32">
        <w:rPr>
          <w:b/>
          <w:u w:val="single"/>
        </w:rPr>
        <w:t>NOPR</w:t>
      </w:r>
    </w:p>
    <w:p w:rsidR="00A97CF3" w:rsidRPr="00021944" w:rsidRDefault="00A97CF3" w:rsidP="00A97CF3">
      <w:pPr>
        <w:pStyle w:val="FERCparanumber"/>
        <w:tabs>
          <w:tab w:val="clear" w:pos="720"/>
          <w:tab w:val="num" w:pos="650"/>
          <w:tab w:val="num" w:pos="1350"/>
        </w:tabs>
        <w:rPr>
          <w:szCs w:val="26"/>
        </w:rPr>
      </w:pPr>
      <w:r w:rsidRPr="00021944">
        <w:rPr>
          <w:szCs w:val="26"/>
        </w:rPr>
        <w:t xml:space="preserve">In the </w:t>
      </w:r>
      <w:r>
        <w:rPr>
          <w:szCs w:val="26"/>
        </w:rPr>
        <w:t xml:space="preserve">April 2012 </w:t>
      </w:r>
      <w:r w:rsidRPr="00021944">
        <w:rPr>
          <w:szCs w:val="26"/>
        </w:rPr>
        <w:t>NOPR</w:t>
      </w:r>
      <w:r>
        <w:rPr>
          <w:szCs w:val="26"/>
        </w:rPr>
        <w:t>,</w:t>
      </w:r>
      <w:r w:rsidRPr="00021944">
        <w:rPr>
          <w:szCs w:val="26"/>
        </w:rPr>
        <w:t xml:space="preserve"> the Commission expressed concern that</w:t>
      </w:r>
      <w:r w:rsidR="003C2426">
        <w:rPr>
          <w:szCs w:val="26"/>
        </w:rPr>
        <w:t>,</w:t>
      </w:r>
      <w:r w:rsidRPr="00021944">
        <w:rPr>
          <w:szCs w:val="26"/>
        </w:rPr>
        <w:t xml:space="preserve"> </w:t>
      </w:r>
      <w:r>
        <w:rPr>
          <w:szCs w:val="26"/>
        </w:rPr>
        <w:t>under proposed Requirement R1</w:t>
      </w:r>
      <w:r w:rsidR="003C2426">
        <w:rPr>
          <w:szCs w:val="26"/>
        </w:rPr>
        <w:t>,</w:t>
      </w:r>
      <w:r>
        <w:rPr>
          <w:szCs w:val="26"/>
        </w:rPr>
        <w:t xml:space="preserve"> </w:t>
      </w:r>
      <w:r w:rsidRPr="00021944">
        <w:rPr>
          <w:szCs w:val="26"/>
        </w:rPr>
        <w:t>planned maintenance outage</w:t>
      </w:r>
      <w:r>
        <w:rPr>
          <w:szCs w:val="26"/>
        </w:rPr>
        <w:t>s with a duration of less than six months</w:t>
      </w:r>
      <w:r w:rsidRPr="00021944">
        <w:rPr>
          <w:szCs w:val="26"/>
        </w:rPr>
        <w:t xml:space="preserve"> would be excluded from future planning assessments</w:t>
      </w:r>
      <w:r>
        <w:rPr>
          <w:szCs w:val="26"/>
        </w:rPr>
        <w:t>.  As a result, any</w:t>
      </w:r>
      <w:r w:rsidRPr="00021944">
        <w:rPr>
          <w:szCs w:val="26"/>
        </w:rPr>
        <w:t xml:space="preserve"> potential impact to bulk electric system reliability</w:t>
      </w:r>
      <w:r>
        <w:rPr>
          <w:szCs w:val="26"/>
        </w:rPr>
        <w:t xml:space="preserve"> from these outages</w:t>
      </w:r>
      <w:r w:rsidRPr="00021944">
        <w:rPr>
          <w:szCs w:val="26"/>
        </w:rPr>
        <w:t xml:space="preserve"> would </w:t>
      </w:r>
      <w:r w:rsidRPr="00021944">
        <w:rPr>
          <w:szCs w:val="26"/>
        </w:rPr>
        <w:lastRenderedPageBreak/>
        <w:t>be unknown.</w:t>
      </w:r>
      <w:r>
        <w:rPr>
          <w:rStyle w:val="FootnoteReference"/>
        </w:rPr>
        <w:footnoteReference w:id="36"/>
      </w:r>
      <w:r w:rsidRPr="00021944">
        <w:rPr>
          <w:szCs w:val="26"/>
        </w:rPr>
        <w:t xml:space="preserve">  The Commission sought comment </w:t>
      </w:r>
      <w:r w:rsidR="003C2426">
        <w:rPr>
          <w:szCs w:val="26"/>
        </w:rPr>
        <w:t xml:space="preserve">on </w:t>
      </w:r>
      <w:r w:rsidRPr="00021944">
        <w:rPr>
          <w:szCs w:val="26"/>
        </w:rPr>
        <w:t xml:space="preserve">whether the </w:t>
      </w:r>
      <w:r>
        <w:rPr>
          <w:szCs w:val="26"/>
        </w:rPr>
        <w:t xml:space="preserve">proposed </w:t>
      </w:r>
      <w:r w:rsidRPr="00021944">
        <w:rPr>
          <w:szCs w:val="26"/>
        </w:rPr>
        <w:t xml:space="preserve">six month threshold would materially change the number of planned outages </w:t>
      </w:r>
      <w:r>
        <w:rPr>
          <w:szCs w:val="26"/>
        </w:rPr>
        <w:t xml:space="preserve">included in planning assessments </w:t>
      </w:r>
      <w:r w:rsidRPr="00021944">
        <w:rPr>
          <w:szCs w:val="26"/>
        </w:rPr>
        <w:t xml:space="preserve">compared to the </w:t>
      </w:r>
      <w:r>
        <w:rPr>
          <w:szCs w:val="26"/>
        </w:rPr>
        <w:t xml:space="preserve">number included in planning assessments under the </w:t>
      </w:r>
      <w:r w:rsidRPr="00021944">
        <w:rPr>
          <w:szCs w:val="26"/>
        </w:rPr>
        <w:t>current</w:t>
      </w:r>
      <w:r>
        <w:rPr>
          <w:szCs w:val="26"/>
        </w:rPr>
        <w:t>ly-effective</w:t>
      </w:r>
      <w:r w:rsidRPr="00021944">
        <w:rPr>
          <w:szCs w:val="26"/>
        </w:rPr>
        <w:t xml:space="preserve"> standard</w:t>
      </w:r>
      <w:r>
        <w:rPr>
          <w:szCs w:val="26"/>
        </w:rPr>
        <w:t>,</w:t>
      </w:r>
      <w:r w:rsidRPr="00021944">
        <w:rPr>
          <w:szCs w:val="26"/>
        </w:rPr>
        <w:t xml:space="preserve"> and whether the threshold would exclude nuclear plant refueling, large fossil and hydro generating station maintenance, </w:t>
      </w:r>
      <w:r>
        <w:rPr>
          <w:szCs w:val="26"/>
        </w:rPr>
        <w:t xml:space="preserve">and </w:t>
      </w:r>
      <w:r w:rsidRPr="00021944">
        <w:rPr>
          <w:szCs w:val="26"/>
        </w:rPr>
        <w:t xml:space="preserve">spring and fall transmission construction projects from future planning assessments.  The Commission also sought comment on </w:t>
      </w:r>
      <w:r>
        <w:rPr>
          <w:szCs w:val="26"/>
        </w:rPr>
        <w:t>possible</w:t>
      </w:r>
      <w:r w:rsidRPr="00021944">
        <w:rPr>
          <w:szCs w:val="26"/>
        </w:rPr>
        <w:t xml:space="preserve"> alternative</w:t>
      </w:r>
      <w:r>
        <w:rPr>
          <w:szCs w:val="26"/>
        </w:rPr>
        <w:t>s.</w:t>
      </w:r>
      <w:r w:rsidRPr="00021944">
        <w:rPr>
          <w:szCs w:val="26"/>
        </w:rPr>
        <w:t xml:space="preserve"> </w:t>
      </w:r>
    </w:p>
    <w:p w:rsidR="00A97CF3" w:rsidRPr="00021944" w:rsidRDefault="00A97CF3" w:rsidP="00A97CF3">
      <w:pPr>
        <w:pStyle w:val="FERCparanumber"/>
        <w:tabs>
          <w:tab w:val="clear" w:pos="720"/>
          <w:tab w:val="num" w:pos="650"/>
          <w:tab w:val="num" w:pos="1350"/>
        </w:tabs>
        <w:rPr>
          <w:szCs w:val="26"/>
        </w:rPr>
      </w:pPr>
      <w:r>
        <w:rPr>
          <w:szCs w:val="26"/>
        </w:rPr>
        <w:t>I</w:t>
      </w:r>
      <w:r w:rsidRPr="00021944">
        <w:rPr>
          <w:szCs w:val="26"/>
        </w:rPr>
        <w:t>n the NOPR</w:t>
      </w:r>
      <w:r>
        <w:rPr>
          <w:szCs w:val="26"/>
        </w:rPr>
        <w:t>,</w:t>
      </w:r>
      <w:r w:rsidRPr="00021944">
        <w:rPr>
          <w:szCs w:val="26"/>
        </w:rPr>
        <w:t xml:space="preserve"> the Commission noted that, with respect to protection system maintenance, currently-effective Reliability Standard TPL-002-0, Requirement R1.3.12 requires the planner to “[i]nclude the planned (including maintenance) outage of any bulk electric equipment (including protection systems or their components) at those demand levels for which planned (including maintenance) outages are performed.”</w:t>
      </w:r>
      <w:r w:rsidRPr="00021944">
        <w:rPr>
          <w:rStyle w:val="FootnoteReference"/>
        </w:rPr>
        <w:footnoteReference w:id="37"/>
      </w:r>
      <w:r w:rsidRPr="00021944">
        <w:rPr>
          <w:rStyle w:val="FootnoteReference"/>
        </w:rPr>
        <w:t xml:space="preserve"> </w:t>
      </w:r>
      <w:r w:rsidRPr="00021944">
        <w:rPr>
          <w:szCs w:val="26"/>
        </w:rPr>
        <w:t xml:space="preserve"> NERC </w:t>
      </w:r>
      <w:r>
        <w:rPr>
          <w:szCs w:val="26"/>
        </w:rPr>
        <w:t xml:space="preserve">explained in the petition that </w:t>
      </w:r>
      <w:r w:rsidRPr="00021944">
        <w:rPr>
          <w:szCs w:val="26"/>
        </w:rPr>
        <w:t xml:space="preserve">this language </w:t>
      </w:r>
      <w:r>
        <w:rPr>
          <w:szCs w:val="26"/>
        </w:rPr>
        <w:t xml:space="preserve">did not carry over </w:t>
      </w:r>
      <w:r w:rsidRPr="00021944">
        <w:rPr>
          <w:szCs w:val="26"/>
        </w:rPr>
        <w:t xml:space="preserve">because protection system maintenance or other outages are not anticipated to last six months.  The Commission </w:t>
      </w:r>
      <w:r>
        <w:rPr>
          <w:szCs w:val="26"/>
        </w:rPr>
        <w:t>indicated</w:t>
      </w:r>
      <w:r w:rsidRPr="00021944">
        <w:rPr>
          <w:szCs w:val="26"/>
        </w:rPr>
        <w:t xml:space="preserve"> </w:t>
      </w:r>
      <w:r>
        <w:rPr>
          <w:szCs w:val="26"/>
        </w:rPr>
        <w:t>in the NOPR</w:t>
      </w:r>
      <w:r w:rsidRPr="00021944">
        <w:rPr>
          <w:szCs w:val="26"/>
        </w:rPr>
        <w:t xml:space="preserve"> that it is critical to plan the system so that a protection system can be removed for maintenance and still be operated reliably and sought </w:t>
      </w:r>
      <w:r>
        <w:rPr>
          <w:szCs w:val="26"/>
        </w:rPr>
        <w:t>comment</w:t>
      </w:r>
      <w:r w:rsidRPr="00021944">
        <w:rPr>
          <w:szCs w:val="26"/>
        </w:rPr>
        <w:t xml:space="preserve"> on </w:t>
      </w:r>
      <w:r>
        <w:rPr>
          <w:szCs w:val="26"/>
        </w:rPr>
        <w:t xml:space="preserve">whether </w:t>
      </w:r>
      <w:r w:rsidRPr="00021944">
        <w:rPr>
          <w:szCs w:val="26"/>
        </w:rPr>
        <w:t xml:space="preserve">protection systems are necessary to be included as a type of planned outage. </w:t>
      </w:r>
    </w:p>
    <w:p w:rsidR="00A97CF3" w:rsidRPr="00856734" w:rsidRDefault="00A97CF3" w:rsidP="00A97CF3">
      <w:pPr>
        <w:pStyle w:val="FERCparanumber"/>
        <w:numPr>
          <w:ilvl w:val="0"/>
          <w:numId w:val="0"/>
        </w:numPr>
        <w:ind w:firstLine="720"/>
        <w:rPr>
          <w:b/>
          <w:szCs w:val="26"/>
          <w:u w:val="single"/>
        </w:rPr>
      </w:pPr>
      <w:r w:rsidRPr="00856734">
        <w:rPr>
          <w:b/>
          <w:szCs w:val="26"/>
          <w:u w:val="single"/>
        </w:rPr>
        <w:lastRenderedPageBreak/>
        <w:t>Comments</w:t>
      </w:r>
    </w:p>
    <w:p w:rsidR="00A97CF3" w:rsidRPr="00021944" w:rsidRDefault="00A97CF3" w:rsidP="00A97CF3">
      <w:pPr>
        <w:pStyle w:val="FERCparanumber"/>
        <w:rPr>
          <w:szCs w:val="26"/>
        </w:rPr>
      </w:pPr>
      <w:r w:rsidRPr="00021944">
        <w:rPr>
          <w:szCs w:val="26"/>
        </w:rPr>
        <w:t>NERC and EEI state that the proposed Reliability Standard will not materially change the number of planned outages that must be reflected in initial system conditions as compared to the existing standards.  NERC states that applying existing Requirement R1.3.12, planners have traditionally only included those planned outages in their category “P0 or N-0” system condition that resulted from catastrophic equipment failures or extended outage conditions associated with construction or maintenance projects that place their system in an abnormal starting condition.</w:t>
      </w:r>
      <w:r w:rsidR="00373B73">
        <w:rPr>
          <w:rStyle w:val="FootnoteReference"/>
        </w:rPr>
        <w:footnoteReference w:id="38"/>
      </w:r>
      <w:r w:rsidRPr="00021944">
        <w:rPr>
          <w:szCs w:val="26"/>
        </w:rPr>
        <w:t xml:space="preserve">  NERC believes that going beyond those scenarios would consider “hypothetical planned outages,” and doing so in a planning study horizon would introduce multiple contingency conditions within the existing standard.</w:t>
      </w:r>
      <w:r>
        <w:rPr>
          <w:szCs w:val="26"/>
        </w:rPr>
        <w:t xml:space="preserve">  Further, NERC states that</w:t>
      </w:r>
      <w:r w:rsidRPr="00CA3D82">
        <w:rPr>
          <w:szCs w:val="26"/>
        </w:rPr>
        <w:t xml:space="preserve"> planners will establish sensitivity cases around key generation unit outages, and when applying the category P3 planning event to those sensitivity cases, </w:t>
      </w:r>
      <w:r>
        <w:rPr>
          <w:szCs w:val="26"/>
        </w:rPr>
        <w:t xml:space="preserve">it </w:t>
      </w:r>
      <w:r w:rsidRPr="00CA3D82">
        <w:rPr>
          <w:szCs w:val="26"/>
        </w:rPr>
        <w:t>will further cover multiple generator unit outages.</w:t>
      </w:r>
      <w:r>
        <w:rPr>
          <w:szCs w:val="26"/>
        </w:rPr>
        <w:t xml:space="preserve">  </w:t>
      </w:r>
      <w:r w:rsidRPr="00CA3D82">
        <w:rPr>
          <w:szCs w:val="26"/>
        </w:rPr>
        <w:t>Similarly, transmission maintenance outages are covered in the planning events</w:t>
      </w:r>
      <w:r>
        <w:rPr>
          <w:szCs w:val="26"/>
        </w:rPr>
        <w:t xml:space="preserve"> when applying the category P6 planning events</w:t>
      </w:r>
      <w:r w:rsidRPr="00CA3D82">
        <w:rPr>
          <w:szCs w:val="26"/>
        </w:rPr>
        <w:t>.</w:t>
      </w:r>
    </w:p>
    <w:p w:rsidR="00A97CF3" w:rsidRPr="00021944" w:rsidRDefault="00A97CF3" w:rsidP="00A97CF3">
      <w:pPr>
        <w:pStyle w:val="FERCparanumber"/>
        <w:rPr>
          <w:szCs w:val="26"/>
        </w:rPr>
      </w:pPr>
      <w:r w:rsidRPr="00021944">
        <w:rPr>
          <w:szCs w:val="26"/>
        </w:rPr>
        <w:lastRenderedPageBreak/>
        <w:t>BPA believes the six-month planned outage window is workable but that it may be too short to consider in system planning models and suggests a one-year planned outage window.  BPA states that planned outages with duration of less than one year should be dealt with operationally by determining new operating limits and taking other actions to mitigate the planned outage.</w:t>
      </w:r>
      <w:r>
        <w:rPr>
          <w:szCs w:val="26"/>
        </w:rPr>
        <w:t xml:space="preserve">  According to Hydro One, </w:t>
      </w:r>
      <w:r w:rsidRPr="00021944">
        <w:rPr>
          <w:szCs w:val="26"/>
        </w:rPr>
        <w:t xml:space="preserve">it </w:t>
      </w:r>
      <w:r>
        <w:rPr>
          <w:szCs w:val="26"/>
        </w:rPr>
        <w:t>is</w:t>
      </w:r>
      <w:r w:rsidRPr="00021944">
        <w:rPr>
          <w:szCs w:val="26"/>
        </w:rPr>
        <w:t xml:space="preserve"> not necessary to include planned outage of less than six months </w:t>
      </w:r>
      <w:r>
        <w:rPr>
          <w:szCs w:val="26"/>
        </w:rPr>
        <w:t>since</w:t>
      </w:r>
      <w:r w:rsidRPr="00021944">
        <w:rPr>
          <w:szCs w:val="26"/>
        </w:rPr>
        <w:t xml:space="preserve"> long-term planning </w:t>
      </w:r>
      <w:r>
        <w:rPr>
          <w:szCs w:val="26"/>
        </w:rPr>
        <w:t xml:space="preserve">is </w:t>
      </w:r>
      <w:r w:rsidRPr="00021944">
        <w:rPr>
          <w:szCs w:val="26"/>
        </w:rPr>
        <w:t>intended to assess transmission expansion needs in the usual three to ten year timeframe</w:t>
      </w:r>
      <w:r>
        <w:rPr>
          <w:szCs w:val="26"/>
        </w:rPr>
        <w:t xml:space="preserve">.  Hydro One states that </w:t>
      </w:r>
      <w:r w:rsidRPr="00021944">
        <w:rPr>
          <w:szCs w:val="26"/>
        </w:rPr>
        <w:t>the inclusion of planned outages of less than six months will not increase the accuracy of the results as these are moving targets and there are operational planning measures to provide the required transmission transfer capability to meet forecast demand.</w:t>
      </w:r>
    </w:p>
    <w:p w:rsidR="00A97CF3" w:rsidRPr="00021944" w:rsidRDefault="00A97CF3" w:rsidP="00A97CF3">
      <w:pPr>
        <w:pStyle w:val="FERCparanumber"/>
        <w:tabs>
          <w:tab w:val="clear" w:pos="720"/>
          <w:tab w:val="num" w:pos="650"/>
          <w:tab w:val="num" w:pos="1350"/>
        </w:tabs>
        <w:rPr>
          <w:szCs w:val="26"/>
        </w:rPr>
      </w:pPr>
      <w:r w:rsidRPr="00021944">
        <w:rPr>
          <w:szCs w:val="26"/>
        </w:rPr>
        <w:t xml:space="preserve">On the other hand, ITC Companies, MISO and ATCLLC </w:t>
      </w:r>
      <w:r>
        <w:rPr>
          <w:szCs w:val="26"/>
        </w:rPr>
        <w:t>express</w:t>
      </w:r>
      <w:r w:rsidRPr="00021944">
        <w:rPr>
          <w:szCs w:val="26"/>
        </w:rPr>
        <w:t xml:space="preserve"> concern that some planned outages of less than six months are relevant and should not be eliminated from consideration in planning evaluations. </w:t>
      </w:r>
      <w:r w:rsidR="008A624C">
        <w:rPr>
          <w:szCs w:val="26"/>
        </w:rPr>
        <w:t xml:space="preserve"> </w:t>
      </w:r>
      <w:r w:rsidRPr="000C330C">
        <w:rPr>
          <w:szCs w:val="26"/>
        </w:rPr>
        <w:t>ATCLLC states that, although the number of planned outages may not materially</w:t>
      </w:r>
      <w:r w:rsidR="009A5789" w:rsidRPr="000C330C">
        <w:rPr>
          <w:szCs w:val="26"/>
        </w:rPr>
        <w:t xml:space="preserve"> change</w:t>
      </w:r>
      <w:r w:rsidRPr="000C330C">
        <w:rPr>
          <w:szCs w:val="26"/>
        </w:rPr>
        <w:t xml:space="preserve">, the impact of eliminating pertinent planned outages of less than six months </w:t>
      </w:r>
      <w:r w:rsidR="009A5789" w:rsidRPr="000C330C">
        <w:rPr>
          <w:szCs w:val="26"/>
        </w:rPr>
        <w:t xml:space="preserve">in </w:t>
      </w:r>
      <w:r w:rsidRPr="000C330C">
        <w:rPr>
          <w:szCs w:val="26"/>
        </w:rPr>
        <w:t xml:space="preserve">duration </w:t>
      </w:r>
      <w:r w:rsidR="009A5789" w:rsidRPr="000C330C">
        <w:rPr>
          <w:szCs w:val="26"/>
        </w:rPr>
        <w:t xml:space="preserve">is perhaps more </w:t>
      </w:r>
      <w:r w:rsidRPr="000C330C">
        <w:rPr>
          <w:szCs w:val="26"/>
        </w:rPr>
        <w:t xml:space="preserve">material than the impact of outages six months </w:t>
      </w:r>
      <w:r w:rsidR="009A5789" w:rsidRPr="000C330C">
        <w:rPr>
          <w:szCs w:val="26"/>
        </w:rPr>
        <w:t xml:space="preserve">in duration </w:t>
      </w:r>
      <w:r w:rsidRPr="000C330C">
        <w:rPr>
          <w:szCs w:val="26"/>
        </w:rPr>
        <w:t>or longer</w:t>
      </w:r>
      <w:r w:rsidRPr="00021944">
        <w:rPr>
          <w:szCs w:val="26"/>
        </w:rPr>
        <w:t xml:space="preserve">.  Some planned outages of less than six months in duration may also result in relevant impacts during one or both of the seasonal off-peak periods.  </w:t>
      </w:r>
      <w:r w:rsidRPr="000C330C">
        <w:rPr>
          <w:szCs w:val="26"/>
        </w:rPr>
        <w:t xml:space="preserve">ITC Companies state that, in some instances, certain transmission elements may be so critical that when taken out of service for system maintenance or to facilitate a </w:t>
      </w:r>
      <w:r w:rsidRPr="000C330C">
        <w:rPr>
          <w:szCs w:val="26"/>
        </w:rPr>
        <w:lastRenderedPageBreak/>
        <w:t xml:space="preserve">new capital project, a subsequent </w:t>
      </w:r>
      <w:r w:rsidR="009A5789" w:rsidRPr="000C330C">
        <w:rPr>
          <w:szCs w:val="26"/>
        </w:rPr>
        <w:t xml:space="preserve">single </w:t>
      </w:r>
      <w:r w:rsidRPr="000C330C">
        <w:rPr>
          <w:szCs w:val="26"/>
        </w:rPr>
        <w:t>unplanned transmission outage could result in the loss of firm system load</w:t>
      </w:r>
      <w:r w:rsidR="009A5789" w:rsidRPr="000C330C">
        <w:rPr>
          <w:szCs w:val="26"/>
        </w:rPr>
        <w:t xml:space="preserve">.  </w:t>
      </w:r>
      <w:r w:rsidR="000C330C">
        <w:rPr>
          <w:szCs w:val="26"/>
        </w:rPr>
        <w:t>ITC Companies adds that i</w:t>
      </w:r>
      <w:r w:rsidRPr="000C330C">
        <w:rPr>
          <w:szCs w:val="26"/>
        </w:rPr>
        <w:t xml:space="preserve">ncluding only known maintenance outages of six months or longer in the transmission models </w:t>
      </w:r>
      <w:r w:rsidR="000C330C">
        <w:rPr>
          <w:szCs w:val="26"/>
        </w:rPr>
        <w:t xml:space="preserve">could be a </w:t>
      </w:r>
      <w:r w:rsidRPr="000C330C">
        <w:rPr>
          <w:szCs w:val="26"/>
        </w:rPr>
        <w:t>step backwards from the current standard</w:t>
      </w:r>
      <w:r w:rsidR="000C330C">
        <w:rPr>
          <w:szCs w:val="26"/>
        </w:rPr>
        <w:t>.</w:t>
      </w:r>
      <w:r w:rsidRPr="00021944">
        <w:rPr>
          <w:szCs w:val="26"/>
        </w:rPr>
        <w:t xml:space="preserve">  Since these unplanned outages can have consequential impacts on transmission customers, prudent transmission planning should include providing an adequate transmission system to avoid these undesired outcomes.</w:t>
      </w:r>
    </w:p>
    <w:p w:rsidR="00A97CF3" w:rsidRPr="00021944" w:rsidRDefault="00A97CF3" w:rsidP="00A97CF3">
      <w:pPr>
        <w:pStyle w:val="FERCparanumber"/>
        <w:rPr>
          <w:szCs w:val="26"/>
        </w:rPr>
      </w:pPr>
      <w:r w:rsidRPr="00021944">
        <w:rPr>
          <w:szCs w:val="26"/>
        </w:rPr>
        <w:t xml:space="preserve">MISO </w:t>
      </w:r>
      <w:r>
        <w:rPr>
          <w:szCs w:val="26"/>
        </w:rPr>
        <w:t>suggests</w:t>
      </w:r>
      <w:r w:rsidRPr="00021944">
        <w:rPr>
          <w:szCs w:val="26"/>
        </w:rPr>
        <w:t xml:space="preserve"> that limiting planning studies to only include known outages of generation or transmission with duration of at least six months may have a detrimental impact to bulk electric system reliability.  </w:t>
      </w:r>
      <w:r>
        <w:rPr>
          <w:szCs w:val="26"/>
        </w:rPr>
        <w:t xml:space="preserve">According to </w:t>
      </w:r>
      <w:r w:rsidRPr="00021944">
        <w:rPr>
          <w:szCs w:val="26"/>
        </w:rPr>
        <w:t>MISO</w:t>
      </w:r>
      <w:r>
        <w:rPr>
          <w:szCs w:val="26"/>
        </w:rPr>
        <w:t>,</w:t>
      </w:r>
      <w:r w:rsidRPr="00021944">
        <w:rPr>
          <w:szCs w:val="26"/>
        </w:rPr>
        <w:t xml:space="preserve"> proper transmission system plann</w:t>
      </w:r>
      <w:r>
        <w:rPr>
          <w:szCs w:val="26"/>
        </w:rPr>
        <w:t>ing</w:t>
      </w:r>
      <w:r w:rsidRPr="00021944">
        <w:rPr>
          <w:szCs w:val="26"/>
        </w:rPr>
        <w:t xml:space="preserve"> </w:t>
      </w:r>
      <w:r>
        <w:rPr>
          <w:szCs w:val="26"/>
        </w:rPr>
        <w:t xml:space="preserve">should </w:t>
      </w:r>
      <w:r w:rsidRPr="00021944">
        <w:rPr>
          <w:szCs w:val="26"/>
        </w:rPr>
        <w:t xml:space="preserve">ensure that the removal of a facility for maintenance purposes can be accomplished without the need to deny or re-schedule such maintenance to prevent the loss of firm load resulting from </w:t>
      </w:r>
      <w:r>
        <w:rPr>
          <w:szCs w:val="26"/>
        </w:rPr>
        <w:t xml:space="preserve">the types of </w:t>
      </w:r>
      <w:r w:rsidRPr="00021944">
        <w:rPr>
          <w:szCs w:val="26"/>
        </w:rPr>
        <w:t>contingen</w:t>
      </w:r>
      <w:r>
        <w:rPr>
          <w:szCs w:val="26"/>
        </w:rPr>
        <w:t>cies</w:t>
      </w:r>
      <w:r w:rsidRPr="00021944">
        <w:rPr>
          <w:szCs w:val="26"/>
        </w:rPr>
        <w:t xml:space="preserve"> </w:t>
      </w:r>
      <w:r>
        <w:rPr>
          <w:szCs w:val="26"/>
        </w:rPr>
        <w:t xml:space="preserve">enumerated in </w:t>
      </w:r>
      <w:r w:rsidRPr="00021944">
        <w:rPr>
          <w:szCs w:val="26"/>
        </w:rPr>
        <w:t>the TPL Reliability Standards.</w:t>
      </w:r>
      <w:r>
        <w:rPr>
          <w:szCs w:val="26"/>
        </w:rPr>
        <w:t xml:space="preserve"> </w:t>
      </w:r>
      <w:r w:rsidRPr="00021944">
        <w:rPr>
          <w:szCs w:val="26"/>
        </w:rPr>
        <w:t xml:space="preserve"> MISO requests that the Commission direct NERC to further expand the base planning conditions and assumptions by requiring inclusion of unscheduled, planned outages of any element when applying at a minimum P0 and P1 events to the off-peak cases. </w:t>
      </w:r>
    </w:p>
    <w:p w:rsidR="00A97CF3" w:rsidRPr="008A624C" w:rsidRDefault="00A97CF3" w:rsidP="00A97CF3">
      <w:pPr>
        <w:ind w:firstLine="720"/>
        <w:rPr>
          <w:b/>
          <w:u w:val="single"/>
        </w:rPr>
      </w:pPr>
      <w:r w:rsidRPr="008A624C">
        <w:rPr>
          <w:b/>
          <w:u w:val="single"/>
        </w:rPr>
        <w:t>Commission Determination</w:t>
      </w:r>
    </w:p>
    <w:p w:rsidR="00A97CF3" w:rsidRDefault="00A97CF3" w:rsidP="00A97CF3"/>
    <w:p w:rsidR="00A97CF3" w:rsidRPr="00864718" w:rsidRDefault="00A97CF3" w:rsidP="00A97CF3">
      <w:pPr>
        <w:pStyle w:val="FERCparanumber"/>
      </w:pPr>
      <w:r>
        <w:rPr>
          <w:szCs w:val="26"/>
        </w:rPr>
        <w:t>Pursuant to section 215(d)(5) of the FPA, we</w:t>
      </w:r>
      <w:r w:rsidRPr="0076511D">
        <w:rPr>
          <w:szCs w:val="26"/>
        </w:rPr>
        <w:t xml:space="preserve"> direct NERC to modify Reliability Standard TPL-001-4 to address the concern that the six month </w:t>
      </w:r>
      <w:r w:rsidRPr="0076511D">
        <w:rPr>
          <w:szCs w:val="26"/>
        </w:rPr>
        <w:lastRenderedPageBreak/>
        <w:t xml:space="preserve">threshold could exclude planned maintenance outages of significant facilities from future planning assessments.  </w:t>
      </w:r>
    </w:p>
    <w:p w:rsidR="00A97CF3" w:rsidRPr="00864718" w:rsidRDefault="00A97CF3" w:rsidP="00A97CF3">
      <w:pPr>
        <w:pStyle w:val="FERCparanumber"/>
        <w:rPr>
          <w:szCs w:val="26"/>
        </w:rPr>
      </w:pPr>
      <w:r>
        <w:t>For the reasons discussed below, the Commission finds that</w:t>
      </w:r>
      <w:r w:rsidRPr="00864718">
        <w:rPr>
          <w:szCs w:val="26"/>
        </w:rPr>
        <w:t xml:space="preserve"> planned maintenance outages of less than six months in duration may result in relevant impacts during one or both of the seasonal off-peak periods.  </w:t>
      </w:r>
      <w:r w:rsidRPr="0070113D">
        <w:rPr>
          <w:szCs w:val="26"/>
        </w:rPr>
        <w:t>P</w:t>
      </w:r>
      <w:r>
        <w:t>rudent transmission planning should consider maintenance outages at those load levels when planned outages are performed to allow for a single element to be taken out of service for maintenance without compromising the ability of the system to meet demand without loss of load.</w:t>
      </w:r>
      <w:r>
        <w:rPr>
          <w:rStyle w:val="FootnoteReference"/>
        </w:rPr>
        <w:footnoteReference w:id="39"/>
      </w:r>
      <w:r>
        <w:t xml:space="preserve">  We agree with commenters such as MISO and ATCLLC</w:t>
      </w:r>
      <w:r w:rsidRPr="0070113D">
        <w:rPr>
          <w:szCs w:val="26"/>
        </w:rPr>
        <w:t xml:space="preserve"> that certain elements may be so critical that</w:t>
      </w:r>
      <w:r w:rsidRPr="00F53CFD">
        <w:rPr>
          <w:szCs w:val="26"/>
        </w:rPr>
        <w:t xml:space="preserve">, when taken out of service for system maintenance or to facilitate a new capital project, a subsequent unplanned outage initiated by a single-event could result in the loss of non-consequential load or may have a detrimental impact to the bulk electric system reliability.  </w:t>
      </w:r>
      <w:r w:rsidRPr="00864718">
        <w:rPr>
          <w:szCs w:val="26"/>
        </w:rPr>
        <w:t xml:space="preserve">A properly planned transmission system should ensure the </w:t>
      </w:r>
      <w:r w:rsidR="00C547B0">
        <w:rPr>
          <w:szCs w:val="26"/>
        </w:rPr>
        <w:t xml:space="preserve">known, planned </w:t>
      </w:r>
      <w:r w:rsidRPr="00864718">
        <w:rPr>
          <w:szCs w:val="26"/>
        </w:rPr>
        <w:t xml:space="preserve">removal of facilities (i.e., generation, transmission or protection system facilities) for maintenance purposes without the loss of non-consequential load or detrimental impacts to system reliability such as cascading, voltage instability or </w:t>
      </w:r>
      <w:r w:rsidR="00735C22">
        <w:rPr>
          <w:szCs w:val="26"/>
        </w:rPr>
        <w:t>un</w:t>
      </w:r>
      <w:r w:rsidRPr="00864718">
        <w:rPr>
          <w:szCs w:val="26"/>
        </w:rPr>
        <w:t xml:space="preserve">controlled islanding.  </w:t>
      </w:r>
    </w:p>
    <w:p w:rsidR="00A97CF3" w:rsidRDefault="00A97CF3" w:rsidP="00A97CF3">
      <w:pPr>
        <w:pStyle w:val="FERCparanumber"/>
        <w:rPr>
          <w:szCs w:val="26"/>
        </w:rPr>
      </w:pPr>
      <w:r>
        <w:rPr>
          <w:szCs w:val="26"/>
        </w:rPr>
        <w:lastRenderedPageBreak/>
        <w:t xml:space="preserve">We </w:t>
      </w:r>
      <w:r w:rsidR="00C547B0">
        <w:rPr>
          <w:szCs w:val="26"/>
        </w:rPr>
        <w:t xml:space="preserve">remain concerned </w:t>
      </w:r>
      <w:r w:rsidRPr="00D269AC">
        <w:rPr>
          <w:szCs w:val="26"/>
        </w:rPr>
        <w:t xml:space="preserve">that proposed Reliability Standard TPL-001-4 will materially change the number of planned outages that must be reflected in initial system conditions as compared to the existing standards.  </w:t>
      </w:r>
      <w:r w:rsidR="00C547B0">
        <w:rPr>
          <w:szCs w:val="26"/>
        </w:rPr>
        <w:t xml:space="preserve">Planned outages lasting less than six months are common, and yet could be overlooked for planning purposes under the proposal.  These planned outages are not </w:t>
      </w:r>
      <w:r w:rsidRPr="00D269AC">
        <w:rPr>
          <w:szCs w:val="26"/>
        </w:rPr>
        <w:t xml:space="preserve">“hypothetical planned outages,” and </w:t>
      </w:r>
      <w:r w:rsidR="00C547B0">
        <w:rPr>
          <w:szCs w:val="26"/>
        </w:rPr>
        <w:t xml:space="preserve">should not be treated as </w:t>
      </w:r>
      <w:r w:rsidRPr="00D269AC">
        <w:rPr>
          <w:szCs w:val="26"/>
        </w:rPr>
        <w:t xml:space="preserve">multiple contingency conditions within the planning </w:t>
      </w:r>
      <w:r>
        <w:rPr>
          <w:szCs w:val="26"/>
        </w:rPr>
        <w:t>s</w:t>
      </w:r>
      <w:r w:rsidRPr="00D269AC">
        <w:rPr>
          <w:szCs w:val="26"/>
        </w:rPr>
        <w:t xml:space="preserve">tandard. </w:t>
      </w:r>
      <w:r w:rsidRPr="00D269AC">
        <w:rPr>
          <w:b/>
          <w:szCs w:val="26"/>
        </w:rPr>
        <w:t xml:space="preserve"> </w:t>
      </w:r>
      <w:r w:rsidR="00520080">
        <w:rPr>
          <w:szCs w:val="26"/>
        </w:rPr>
        <w:t xml:space="preserve">The Commission’s </w:t>
      </w:r>
      <w:r w:rsidR="000C330C">
        <w:rPr>
          <w:szCs w:val="26"/>
        </w:rPr>
        <w:t xml:space="preserve">directive </w:t>
      </w:r>
      <w:r w:rsidR="00520080">
        <w:rPr>
          <w:szCs w:val="26"/>
        </w:rPr>
        <w:t xml:space="preserve">is to include known </w:t>
      </w:r>
      <w:r w:rsidR="007B1292">
        <w:rPr>
          <w:szCs w:val="26"/>
        </w:rPr>
        <w:t xml:space="preserve">generator and transmission </w:t>
      </w:r>
      <w:r w:rsidR="00520080">
        <w:rPr>
          <w:szCs w:val="26"/>
        </w:rPr>
        <w:t xml:space="preserve">planned maintenance outages in planning assessments, not hypothetical planned outages.  </w:t>
      </w:r>
      <w:r>
        <w:rPr>
          <w:szCs w:val="26"/>
        </w:rPr>
        <w:t xml:space="preserve">  </w:t>
      </w:r>
    </w:p>
    <w:p w:rsidR="00A97CF3" w:rsidRPr="00DF0075" w:rsidRDefault="00A97CF3" w:rsidP="00A97CF3">
      <w:pPr>
        <w:pStyle w:val="FERCparanumber"/>
        <w:rPr>
          <w:szCs w:val="26"/>
        </w:rPr>
      </w:pPr>
      <w:r w:rsidRPr="00DF0075">
        <w:rPr>
          <w:szCs w:val="26"/>
        </w:rPr>
        <w:t xml:space="preserve">While NERC </w:t>
      </w:r>
      <w:r>
        <w:rPr>
          <w:szCs w:val="26"/>
        </w:rPr>
        <w:t xml:space="preserve">has flexibility on how to </w:t>
      </w:r>
      <w:r w:rsidRPr="00DF0075">
        <w:rPr>
          <w:szCs w:val="26"/>
        </w:rPr>
        <w:t xml:space="preserve">address the </w:t>
      </w:r>
      <w:r>
        <w:rPr>
          <w:szCs w:val="26"/>
        </w:rPr>
        <w:t xml:space="preserve">identified </w:t>
      </w:r>
      <w:r w:rsidRPr="00DF0075">
        <w:rPr>
          <w:szCs w:val="26"/>
        </w:rPr>
        <w:t xml:space="preserve">concern, </w:t>
      </w:r>
      <w:r>
        <w:rPr>
          <w:szCs w:val="26"/>
        </w:rPr>
        <w:t>we believe that acceptable approaches include</w:t>
      </w:r>
      <w:r w:rsidRPr="00DF0075">
        <w:rPr>
          <w:szCs w:val="26"/>
        </w:rPr>
        <w:t xml:space="preserve"> eliminat</w:t>
      </w:r>
      <w:r>
        <w:rPr>
          <w:szCs w:val="26"/>
        </w:rPr>
        <w:t>ing</w:t>
      </w:r>
      <w:r w:rsidRPr="00DF0075">
        <w:rPr>
          <w:szCs w:val="26"/>
        </w:rPr>
        <w:t xml:space="preserve"> the six-month threshold altogether</w:t>
      </w:r>
      <w:r>
        <w:rPr>
          <w:szCs w:val="26"/>
        </w:rPr>
        <w:t>;</w:t>
      </w:r>
      <w:r w:rsidRPr="00DF0075">
        <w:rPr>
          <w:szCs w:val="26"/>
        </w:rPr>
        <w:t xml:space="preserve"> decreas</w:t>
      </w:r>
      <w:r>
        <w:rPr>
          <w:szCs w:val="26"/>
        </w:rPr>
        <w:t>ing</w:t>
      </w:r>
      <w:r w:rsidRPr="00DF0075">
        <w:rPr>
          <w:szCs w:val="26"/>
        </w:rPr>
        <w:t xml:space="preserve"> the threshold to fewer months to include additional significant </w:t>
      </w:r>
      <w:r w:rsidR="00D54184">
        <w:rPr>
          <w:szCs w:val="26"/>
        </w:rPr>
        <w:t xml:space="preserve">planned </w:t>
      </w:r>
      <w:r w:rsidRPr="00DF0075">
        <w:rPr>
          <w:szCs w:val="26"/>
        </w:rPr>
        <w:t>outages; or including parameters on what constitutes a significant planned outage based</w:t>
      </w:r>
      <w:r w:rsidR="003C2426">
        <w:rPr>
          <w:szCs w:val="26"/>
        </w:rPr>
        <w:t>,</w:t>
      </w:r>
      <w:r w:rsidRPr="00DF0075">
        <w:rPr>
          <w:szCs w:val="26"/>
        </w:rPr>
        <w:t xml:space="preserve"> </w:t>
      </w:r>
      <w:r>
        <w:rPr>
          <w:szCs w:val="26"/>
        </w:rPr>
        <w:t>for example</w:t>
      </w:r>
      <w:r w:rsidR="003C2426">
        <w:rPr>
          <w:szCs w:val="26"/>
        </w:rPr>
        <w:t>,</w:t>
      </w:r>
      <w:r>
        <w:rPr>
          <w:szCs w:val="26"/>
        </w:rPr>
        <w:t xml:space="preserve"> </w:t>
      </w:r>
      <w:r w:rsidRPr="00DF0075">
        <w:rPr>
          <w:szCs w:val="26"/>
        </w:rPr>
        <w:t>on MW or facility ratings.</w:t>
      </w:r>
    </w:p>
    <w:p w:rsidR="00A97CF3" w:rsidRDefault="00A97CF3" w:rsidP="00A97CF3">
      <w:pPr>
        <w:pStyle w:val="FERCparanumber"/>
        <w:rPr>
          <w:szCs w:val="26"/>
        </w:rPr>
      </w:pPr>
      <w:r>
        <w:rPr>
          <w:szCs w:val="26"/>
        </w:rPr>
        <w:t>Further, we</w:t>
      </w:r>
      <w:r w:rsidRPr="00182701">
        <w:rPr>
          <w:szCs w:val="26"/>
        </w:rPr>
        <w:t xml:space="preserve"> disagree </w:t>
      </w:r>
      <w:r>
        <w:rPr>
          <w:szCs w:val="26"/>
        </w:rPr>
        <w:t xml:space="preserve">with NERC’s position </w:t>
      </w:r>
      <w:r w:rsidRPr="00182701">
        <w:rPr>
          <w:szCs w:val="26"/>
        </w:rPr>
        <w:t>that category P3 contingencies cover generator maintenance outages and category P6 covers tra</w:t>
      </w:r>
      <w:r>
        <w:rPr>
          <w:szCs w:val="26"/>
        </w:rPr>
        <w:t xml:space="preserve">nsmission maintenance outages.  </w:t>
      </w:r>
      <w:r w:rsidR="00C547B0">
        <w:rPr>
          <w:szCs w:val="26"/>
        </w:rPr>
        <w:t xml:space="preserve">P3 and P6 both consist of multiple contingencies, e.g., loss of a generating unit or transmission circuit followed by system adjustments and then the loss of another generator or transmission circuit.  </w:t>
      </w:r>
      <w:r>
        <w:t xml:space="preserve">In approving NERC’s interpretation </w:t>
      </w:r>
      <w:r w:rsidRPr="006D206B">
        <w:t>of Requirement R1.3.</w:t>
      </w:r>
      <w:r>
        <w:t xml:space="preserve">12 of TPL-002-0 and TPL-003-0, the </w:t>
      </w:r>
      <w:r w:rsidRPr="00F6013A">
        <w:rPr>
          <w:szCs w:val="26"/>
        </w:rPr>
        <w:t xml:space="preserve">Commission stated that “planned (including maintenance) outages are not </w:t>
      </w:r>
      <w:r w:rsidRPr="00F6013A">
        <w:rPr>
          <w:szCs w:val="26"/>
        </w:rPr>
        <w:lastRenderedPageBreak/>
        <w:t>contingencies and are required to be addressed in transmission planning for any bulk electric equipment at demand levels for which the planned outages are performed.”</w:t>
      </w:r>
      <w:r>
        <w:rPr>
          <w:rStyle w:val="FootnoteReference"/>
        </w:rPr>
        <w:footnoteReference w:id="40"/>
      </w:r>
      <w:r w:rsidRPr="00F6013A">
        <w:rPr>
          <w:szCs w:val="26"/>
        </w:rPr>
        <w:t xml:space="preserve">  The Commission further stated that it “understands that planned maintenance outages tend to be for a relatively s</w:t>
      </w:r>
      <w:r>
        <w:rPr>
          <w:szCs w:val="26"/>
        </w:rPr>
        <w:t xml:space="preserve">hort duration and are routinely </w:t>
      </w:r>
      <w:r w:rsidRPr="00F6013A">
        <w:rPr>
          <w:szCs w:val="26"/>
        </w:rPr>
        <w:t>planned at a time that provides favorable system conditions, i.e., off-peak conditions.  Given that all transmission and generation facilities require maintenance at some point during their service lives, these ‘potential’ planned outages must be addressed, so long as their planned start times and durations may be anticipated as occurring for some period of time during the planning time</w:t>
      </w:r>
      <w:r w:rsidR="008B5B5D">
        <w:rPr>
          <w:szCs w:val="26"/>
        </w:rPr>
        <w:t xml:space="preserve"> [horizon]</w:t>
      </w:r>
      <w:r w:rsidRPr="00F6013A">
        <w:rPr>
          <w:szCs w:val="26"/>
        </w:rPr>
        <w:t>” required in the TPL Reliability Standards.</w:t>
      </w:r>
      <w:r>
        <w:rPr>
          <w:rStyle w:val="FootnoteReference"/>
        </w:rPr>
        <w:footnoteReference w:id="41"/>
      </w:r>
    </w:p>
    <w:p w:rsidR="00A97CF3" w:rsidRPr="0069638C" w:rsidRDefault="00A97CF3" w:rsidP="00A97CF3">
      <w:pPr>
        <w:pStyle w:val="FERCparanumber"/>
        <w:rPr>
          <w:b/>
          <w:szCs w:val="26"/>
        </w:rPr>
      </w:pPr>
      <w:r>
        <w:rPr>
          <w:szCs w:val="26"/>
        </w:rPr>
        <w:t xml:space="preserve">With regard to </w:t>
      </w:r>
      <w:r w:rsidRPr="00DF0075">
        <w:rPr>
          <w:szCs w:val="26"/>
        </w:rPr>
        <w:t>BPA</w:t>
      </w:r>
      <w:r>
        <w:rPr>
          <w:szCs w:val="26"/>
        </w:rPr>
        <w:t>’s comment, we disagree</w:t>
      </w:r>
      <w:r w:rsidRPr="00DF0075">
        <w:rPr>
          <w:szCs w:val="26"/>
        </w:rPr>
        <w:t xml:space="preserve"> that planned outages of less than one year in duration should be addressed operationally by determining new operating limits and taking other actions to mitigate the planned outage.  </w:t>
      </w:r>
      <w:r w:rsidR="00D60FBC">
        <w:rPr>
          <w:szCs w:val="26"/>
        </w:rPr>
        <w:t xml:space="preserve">The Commission </w:t>
      </w:r>
      <w:r w:rsidR="00B92DC9">
        <w:rPr>
          <w:szCs w:val="26"/>
        </w:rPr>
        <w:t>understands that some planned outages such as planned generation outages are know</w:t>
      </w:r>
      <w:r w:rsidR="008216DA">
        <w:rPr>
          <w:szCs w:val="26"/>
        </w:rPr>
        <w:t>n</w:t>
      </w:r>
      <w:r w:rsidR="00B92DC9">
        <w:rPr>
          <w:szCs w:val="26"/>
        </w:rPr>
        <w:t xml:space="preserve"> more than one year in advance.</w:t>
      </w:r>
      <w:r w:rsidR="00E13ABD">
        <w:rPr>
          <w:rStyle w:val="FootnoteReference"/>
        </w:rPr>
        <w:footnoteReference w:id="42"/>
      </w:r>
      <w:r w:rsidR="00E13ABD">
        <w:rPr>
          <w:szCs w:val="26"/>
        </w:rPr>
        <w:t xml:space="preserve">  </w:t>
      </w:r>
      <w:r w:rsidR="009F7DCA">
        <w:rPr>
          <w:szCs w:val="26"/>
        </w:rPr>
        <w:t>As a result, t</w:t>
      </w:r>
      <w:r w:rsidR="00D60FBC">
        <w:rPr>
          <w:szCs w:val="26"/>
        </w:rPr>
        <w:t xml:space="preserve">he Commission believes the planning time horizon </w:t>
      </w:r>
      <w:r w:rsidR="009F7DCA">
        <w:rPr>
          <w:szCs w:val="26"/>
        </w:rPr>
        <w:t xml:space="preserve">of the TPL </w:t>
      </w:r>
      <w:r w:rsidR="00B92DC9">
        <w:rPr>
          <w:szCs w:val="26"/>
        </w:rPr>
        <w:t xml:space="preserve">Reliability </w:t>
      </w:r>
      <w:r w:rsidR="009F7DCA">
        <w:rPr>
          <w:szCs w:val="26"/>
        </w:rPr>
        <w:t xml:space="preserve">Standards </w:t>
      </w:r>
      <w:r w:rsidR="00D60FBC">
        <w:rPr>
          <w:szCs w:val="26"/>
        </w:rPr>
        <w:t xml:space="preserve">offers more </w:t>
      </w:r>
      <w:r w:rsidR="00D60FBC">
        <w:rPr>
          <w:szCs w:val="26"/>
        </w:rPr>
        <w:lastRenderedPageBreak/>
        <w:t>flexibility</w:t>
      </w:r>
      <w:r w:rsidR="009F7DCA">
        <w:rPr>
          <w:szCs w:val="26"/>
        </w:rPr>
        <w:t xml:space="preserve"> to assess planned maintenance outages </w:t>
      </w:r>
      <w:r w:rsidR="00D60FBC">
        <w:rPr>
          <w:szCs w:val="26"/>
        </w:rPr>
        <w:t>than the operational time horizon</w:t>
      </w:r>
      <w:r w:rsidR="006D798D">
        <w:rPr>
          <w:szCs w:val="26"/>
        </w:rPr>
        <w:t xml:space="preserve">.  </w:t>
      </w:r>
      <w:r w:rsidRPr="00DF0075">
        <w:rPr>
          <w:szCs w:val="26"/>
        </w:rPr>
        <w:t xml:space="preserve">Further, </w:t>
      </w:r>
      <w:r>
        <w:rPr>
          <w:szCs w:val="26"/>
        </w:rPr>
        <w:t xml:space="preserve">we disagree with </w:t>
      </w:r>
      <w:r w:rsidRPr="00DF0075">
        <w:rPr>
          <w:szCs w:val="26"/>
        </w:rPr>
        <w:t>Hydro One</w:t>
      </w:r>
      <w:r>
        <w:rPr>
          <w:szCs w:val="26"/>
        </w:rPr>
        <w:t>’s comment</w:t>
      </w:r>
      <w:r w:rsidRPr="00DF0075">
        <w:rPr>
          <w:szCs w:val="26"/>
        </w:rPr>
        <w:t xml:space="preserve"> that </w:t>
      </w:r>
      <w:r>
        <w:rPr>
          <w:szCs w:val="26"/>
        </w:rPr>
        <w:t xml:space="preserve">including </w:t>
      </w:r>
      <w:r w:rsidRPr="00DF0075">
        <w:rPr>
          <w:szCs w:val="26"/>
        </w:rPr>
        <w:t xml:space="preserve">planned outages of less than six months </w:t>
      </w:r>
      <w:r>
        <w:rPr>
          <w:szCs w:val="26"/>
        </w:rPr>
        <w:t>is unnecessary since</w:t>
      </w:r>
      <w:r w:rsidRPr="00DF0075">
        <w:rPr>
          <w:szCs w:val="26"/>
        </w:rPr>
        <w:t xml:space="preserve"> long-term planning to assess transmission expansion </w:t>
      </w:r>
      <w:r>
        <w:rPr>
          <w:szCs w:val="26"/>
        </w:rPr>
        <w:t xml:space="preserve">occurs </w:t>
      </w:r>
      <w:r w:rsidRPr="00DF0075">
        <w:rPr>
          <w:szCs w:val="26"/>
        </w:rPr>
        <w:t xml:space="preserve">in the </w:t>
      </w:r>
      <w:r>
        <w:rPr>
          <w:szCs w:val="26"/>
        </w:rPr>
        <w:t>three to ten year timeframe</w:t>
      </w:r>
      <w:r w:rsidR="00346E5F">
        <w:rPr>
          <w:szCs w:val="26"/>
        </w:rPr>
        <w:t>.  The Commission recognizes that the TPL-001-4 Reliability Standard addresses near-term and long-term transmission planning horizons and</w:t>
      </w:r>
      <w:r w:rsidR="00C547B0">
        <w:rPr>
          <w:szCs w:val="26"/>
        </w:rPr>
        <w:t>, for the near-term horizon, requires annual assessments for years one through five.  Accordingly,</w:t>
      </w:r>
      <w:r w:rsidR="00346E5F">
        <w:rPr>
          <w:szCs w:val="26"/>
        </w:rPr>
        <w:t xml:space="preserve"> known </w:t>
      </w:r>
      <w:r w:rsidR="00DB4007">
        <w:rPr>
          <w:szCs w:val="26"/>
        </w:rPr>
        <w:t xml:space="preserve">planned facility outages (i.e. generation, transmission </w:t>
      </w:r>
      <w:r w:rsidR="00DB4007" w:rsidRPr="00864718">
        <w:rPr>
          <w:szCs w:val="26"/>
        </w:rPr>
        <w:t>or protection system facilities</w:t>
      </w:r>
      <w:r w:rsidR="00DB4007">
        <w:rPr>
          <w:szCs w:val="26"/>
        </w:rPr>
        <w:t xml:space="preserve">) </w:t>
      </w:r>
      <w:r w:rsidR="003C2426">
        <w:rPr>
          <w:szCs w:val="26"/>
        </w:rPr>
        <w:t xml:space="preserve">of less than six months </w:t>
      </w:r>
      <w:r w:rsidR="00C547B0">
        <w:rPr>
          <w:szCs w:val="26"/>
        </w:rPr>
        <w:t xml:space="preserve">should </w:t>
      </w:r>
      <w:r w:rsidR="00DB4007">
        <w:rPr>
          <w:szCs w:val="26"/>
        </w:rPr>
        <w:t>be addressed so long as their planned start times and durations may be anticipated as occurring for some period of time during the planning time horizon.</w:t>
      </w:r>
      <w:r w:rsidR="00DB4007" w:rsidRPr="00DF0075" w:rsidDel="00DB4007">
        <w:rPr>
          <w:szCs w:val="26"/>
        </w:rPr>
        <w:t xml:space="preserve"> </w:t>
      </w:r>
    </w:p>
    <w:p w:rsidR="00C60279" w:rsidRPr="00021944" w:rsidRDefault="00C60279" w:rsidP="000350B1">
      <w:pPr>
        <w:pStyle w:val="Heading3"/>
      </w:pPr>
      <w:r w:rsidRPr="00021944">
        <w:t xml:space="preserve">Violation Risk Factors </w:t>
      </w:r>
    </w:p>
    <w:p w:rsidR="00C60279" w:rsidRPr="00021944" w:rsidRDefault="00C60279" w:rsidP="000350B1">
      <w:pPr>
        <w:pStyle w:val="Heading4"/>
        <w:rPr>
          <w:szCs w:val="26"/>
        </w:rPr>
      </w:pPr>
      <w:r w:rsidRPr="00021944">
        <w:rPr>
          <w:szCs w:val="26"/>
        </w:rPr>
        <w:t xml:space="preserve">Requirement R1 </w:t>
      </w:r>
    </w:p>
    <w:p w:rsidR="00217F61" w:rsidRPr="00453F52" w:rsidRDefault="00217F61" w:rsidP="00217F61">
      <w:pPr>
        <w:pStyle w:val="FERCparanumber"/>
        <w:numPr>
          <w:ilvl w:val="0"/>
          <w:numId w:val="0"/>
        </w:numPr>
        <w:ind w:firstLine="720"/>
        <w:rPr>
          <w:b/>
          <w:szCs w:val="26"/>
          <w:u w:val="single"/>
        </w:rPr>
      </w:pPr>
      <w:r w:rsidRPr="00453F52">
        <w:rPr>
          <w:b/>
          <w:szCs w:val="26"/>
          <w:u w:val="single"/>
        </w:rPr>
        <w:t>N</w:t>
      </w:r>
      <w:r w:rsidR="00872038" w:rsidRPr="00453F52">
        <w:rPr>
          <w:b/>
          <w:szCs w:val="26"/>
          <w:u w:val="single"/>
        </w:rPr>
        <w:t>ERC Petition</w:t>
      </w:r>
    </w:p>
    <w:p w:rsidR="00C60279" w:rsidRDefault="00C60279" w:rsidP="00C60279">
      <w:pPr>
        <w:pStyle w:val="FERCparanumber"/>
        <w:tabs>
          <w:tab w:val="clear" w:pos="720"/>
          <w:tab w:val="num" w:pos="650"/>
          <w:tab w:val="num" w:pos="1350"/>
        </w:tabs>
        <w:rPr>
          <w:szCs w:val="26"/>
        </w:rPr>
      </w:pPr>
      <w:r w:rsidRPr="00021944">
        <w:rPr>
          <w:szCs w:val="26"/>
        </w:rPr>
        <w:t>NERC assigned a “</w:t>
      </w:r>
      <w:r w:rsidR="002D2186" w:rsidRPr="00021944">
        <w:rPr>
          <w:szCs w:val="26"/>
        </w:rPr>
        <w:t>m</w:t>
      </w:r>
      <w:r w:rsidRPr="00021944">
        <w:rPr>
          <w:szCs w:val="26"/>
        </w:rPr>
        <w:t xml:space="preserve">edium” </w:t>
      </w:r>
      <w:r w:rsidR="00013B51">
        <w:rPr>
          <w:szCs w:val="26"/>
        </w:rPr>
        <w:t>violation risk factor (</w:t>
      </w:r>
      <w:r w:rsidRPr="00021944">
        <w:rPr>
          <w:szCs w:val="26"/>
        </w:rPr>
        <w:t>VRF</w:t>
      </w:r>
      <w:r w:rsidR="00013B51">
        <w:rPr>
          <w:szCs w:val="26"/>
        </w:rPr>
        <w:t>)</w:t>
      </w:r>
      <w:r w:rsidRPr="00021944">
        <w:rPr>
          <w:szCs w:val="26"/>
        </w:rPr>
        <w:t xml:space="preserve"> for proposed Requirement R1.  NERC maintains that Requirements R1.3.5, R1.3.7, R1.3.8, and R1.3.9 of the currently-effective Reliability Standard carry a VRF of “</w:t>
      </w:r>
      <w:r w:rsidR="00024929" w:rsidRPr="00021944">
        <w:rPr>
          <w:szCs w:val="26"/>
        </w:rPr>
        <w:t>m</w:t>
      </w:r>
      <w:r w:rsidRPr="00021944">
        <w:rPr>
          <w:szCs w:val="26"/>
        </w:rPr>
        <w:t xml:space="preserve">edium” and are similar in purpose and effect to proposed Reliability Standard, </w:t>
      </w:r>
      <w:r w:rsidRPr="00021944">
        <w:rPr>
          <w:szCs w:val="26"/>
        </w:rPr>
        <w:lastRenderedPageBreak/>
        <w:t xml:space="preserve">Requirement R1 because they refer to </w:t>
      </w:r>
      <w:r w:rsidR="00013B51">
        <w:rPr>
          <w:szCs w:val="26"/>
        </w:rPr>
        <w:t xml:space="preserve">planning </w:t>
      </w:r>
      <w:r w:rsidRPr="00021944">
        <w:rPr>
          <w:szCs w:val="26"/>
        </w:rPr>
        <w:t>models that include firm transfers, existing and planned facilities, and reactive power requirements.</w:t>
      </w:r>
      <w:r w:rsidR="00013B51">
        <w:rPr>
          <w:rStyle w:val="FootnoteReference"/>
        </w:rPr>
        <w:footnoteReference w:id="43"/>
      </w:r>
      <w:r w:rsidRPr="00021944">
        <w:rPr>
          <w:szCs w:val="26"/>
        </w:rPr>
        <w:t xml:space="preserve">  </w:t>
      </w:r>
    </w:p>
    <w:p w:rsidR="00872038" w:rsidRPr="00453F52" w:rsidRDefault="00872038" w:rsidP="00872038">
      <w:pPr>
        <w:pStyle w:val="FERCparanumber"/>
        <w:numPr>
          <w:ilvl w:val="0"/>
          <w:numId w:val="0"/>
        </w:numPr>
        <w:ind w:firstLine="720"/>
        <w:rPr>
          <w:b/>
          <w:szCs w:val="26"/>
          <w:u w:val="single"/>
        </w:rPr>
      </w:pPr>
      <w:r w:rsidRPr="00453F52">
        <w:rPr>
          <w:b/>
          <w:szCs w:val="26"/>
          <w:u w:val="single"/>
        </w:rPr>
        <w:t>NOPR Proposal</w:t>
      </w:r>
    </w:p>
    <w:p w:rsidR="00217F61" w:rsidRPr="00021944" w:rsidRDefault="002D2186" w:rsidP="00C60279">
      <w:pPr>
        <w:pStyle w:val="FERCparanumber"/>
        <w:tabs>
          <w:tab w:val="clear" w:pos="720"/>
          <w:tab w:val="num" w:pos="650"/>
          <w:tab w:val="num" w:pos="1350"/>
        </w:tabs>
        <w:rPr>
          <w:szCs w:val="26"/>
        </w:rPr>
      </w:pPr>
      <w:r w:rsidRPr="00021944">
        <w:rPr>
          <w:szCs w:val="26"/>
        </w:rPr>
        <w:t xml:space="preserve">In the </w:t>
      </w:r>
      <w:r w:rsidR="007C5E14">
        <w:rPr>
          <w:szCs w:val="26"/>
        </w:rPr>
        <w:t xml:space="preserve">April 2012 </w:t>
      </w:r>
      <w:r w:rsidRPr="00021944">
        <w:rPr>
          <w:szCs w:val="26"/>
        </w:rPr>
        <w:t>NOPR</w:t>
      </w:r>
      <w:r w:rsidR="00CC3E47">
        <w:rPr>
          <w:szCs w:val="26"/>
        </w:rPr>
        <w:t>,</w:t>
      </w:r>
      <w:r w:rsidRPr="00021944">
        <w:rPr>
          <w:szCs w:val="26"/>
        </w:rPr>
        <w:t xml:space="preserve"> the </w:t>
      </w:r>
      <w:r w:rsidR="00C60279" w:rsidRPr="00021944">
        <w:rPr>
          <w:szCs w:val="26"/>
        </w:rPr>
        <w:t xml:space="preserve">Commission </w:t>
      </w:r>
      <w:r w:rsidRPr="00021944">
        <w:rPr>
          <w:szCs w:val="26"/>
        </w:rPr>
        <w:t xml:space="preserve">expressed </w:t>
      </w:r>
      <w:r w:rsidR="00C60279" w:rsidRPr="00021944">
        <w:rPr>
          <w:szCs w:val="26"/>
        </w:rPr>
        <w:t>that</w:t>
      </w:r>
      <w:r w:rsidR="000E6A56" w:rsidRPr="00021944">
        <w:rPr>
          <w:szCs w:val="26"/>
        </w:rPr>
        <w:t>,</w:t>
      </w:r>
      <w:r w:rsidR="00C60279" w:rsidRPr="00021944">
        <w:rPr>
          <w:szCs w:val="26"/>
        </w:rPr>
        <w:t xml:space="preserve"> if system models are not properly </w:t>
      </w:r>
      <w:r w:rsidR="00945428">
        <w:rPr>
          <w:szCs w:val="26"/>
        </w:rPr>
        <w:t xml:space="preserve">modeled or </w:t>
      </w:r>
      <w:r w:rsidR="00C60279" w:rsidRPr="00021944">
        <w:rPr>
          <w:szCs w:val="26"/>
        </w:rPr>
        <w:t>maintained</w:t>
      </w:r>
      <w:r w:rsidR="00477CCE">
        <w:rPr>
          <w:szCs w:val="26"/>
        </w:rPr>
        <w:t>,</w:t>
      </w:r>
      <w:r w:rsidR="00C60279" w:rsidRPr="00021944">
        <w:rPr>
          <w:szCs w:val="26"/>
        </w:rPr>
        <w:t xml:space="preserve"> the analysis required in the Reliability Standard </w:t>
      </w:r>
      <w:r w:rsidR="00945428">
        <w:rPr>
          <w:szCs w:val="26"/>
        </w:rPr>
        <w:t xml:space="preserve">that uses </w:t>
      </w:r>
      <w:r w:rsidRPr="00021944">
        <w:rPr>
          <w:szCs w:val="26"/>
        </w:rPr>
        <w:t>the models in Requirement R1 may</w:t>
      </w:r>
      <w:r w:rsidR="00945428">
        <w:rPr>
          <w:szCs w:val="26"/>
        </w:rPr>
        <w:t xml:space="preserve"> lose their validity and could</w:t>
      </w:r>
      <w:r w:rsidRPr="00021944">
        <w:rPr>
          <w:szCs w:val="26"/>
        </w:rPr>
        <w:t xml:space="preserve"> </w:t>
      </w:r>
      <w:r w:rsidR="00C60279" w:rsidRPr="00021944">
        <w:rPr>
          <w:szCs w:val="26"/>
        </w:rPr>
        <w:t>directly cause or contribute to Bulk-Power System instability, separation, or a</w:t>
      </w:r>
      <w:r w:rsidRPr="00021944">
        <w:rPr>
          <w:szCs w:val="26"/>
        </w:rPr>
        <w:t xml:space="preserve"> cascading sequence of failures</w:t>
      </w:r>
      <w:r w:rsidR="00945428">
        <w:rPr>
          <w:szCs w:val="26"/>
        </w:rPr>
        <w:t>, or could place the Bulk-Power System at an unacceptable risk of instability, separation, or cascading, or hinder restoration to a normal condition</w:t>
      </w:r>
      <w:r w:rsidR="00C60279" w:rsidRPr="00021944">
        <w:rPr>
          <w:szCs w:val="26"/>
        </w:rPr>
        <w:t>.</w:t>
      </w:r>
      <w:r w:rsidR="00CC3E47">
        <w:rPr>
          <w:rStyle w:val="FootnoteReference"/>
        </w:rPr>
        <w:footnoteReference w:id="44"/>
      </w:r>
      <w:r w:rsidRPr="00021944">
        <w:rPr>
          <w:szCs w:val="26"/>
        </w:rPr>
        <w:t xml:space="preserve">  The Commission noted that </w:t>
      </w:r>
      <w:r w:rsidR="00C60279" w:rsidRPr="00021944">
        <w:rPr>
          <w:szCs w:val="26"/>
        </w:rPr>
        <w:t xml:space="preserve">Requirement R1 of the </w:t>
      </w:r>
      <w:r w:rsidR="00CE3E71">
        <w:rPr>
          <w:szCs w:val="26"/>
        </w:rPr>
        <w:t>Version 0 TPL</w:t>
      </w:r>
      <w:r w:rsidR="00C60279" w:rsidRPr="00021944">
        <w:rPr>
          <w:szCs w:val="26"/>
        </w:rPr>
        <w:t xml:space="preserve"> Standard</w:t>
      </w:r>
      <w:r w:rsidR="00CE3E71">
        <w:rPr>
          <w:szCs w:val="26"/>
        </w:rPr>
        <w:t>,</w:t>
      </w:r>
      <w:r w:rsidR="00C60279" w:rsidRPr="00021944">
        <w:rPr>
          <w:szCs w:val="26"/>
        </w:rPr>
        <w:t xml:space="preserve"> which </w:t>
      </w:r>
      <w:r w:rsidR="00CE3E71">
        <w:rPr>
          <w:szCs w:val="26"/>
        </w:rPr>
        <w:t xml:space="preserve">is assigned </w:t>
      </w:r>
      <w:r w:rsidR="00C60279" w:rsidRPr="00021944">
        <w:rPr>
          <w:szCs w:val="26"/>
        </w:rPr>
        <w:t>a “</w:t>
      </w:r>
      <w:r w:rsidRPr="00021944">
        <w:rPr>
          <w:szCs w:val="26"/>
        </w:rPr>
        <w:t>h</w:t>
      </w:r>
      <w:r w:rsidR="00C60279" w:rsidRPr="00021944">
        <w:rPr>
          <w:szCs w:val="26"/>
        </w:rPr>
        <w:t>igh”</w:t>
      </w:r>
      <w:r w:rsidR="00CE3E71">
        <w:rPr>
          <w:szCs w:val="26"/>
        </w:rPr>
        <w:t xml:space="preserve"> VRF,</w:t>
      </w:r>
      <w:r w:rsidR="00C60279" w:rsidRPr="00021944">
        <w:rPr>
          <w:szCs w:val="26"/>
        </w:rPr>
        <w:t xml:space="preserve"> explicitly establishes Category A as the normal system in Table 1, which also creates the model of the normal </w:t>
      </w:r>
      <w:r w:rsidRPr="00021944">
        <w:rPr>
          <w:szCs w:val="26"/>
        </w:rPr>
        <w:t xml:space="preserve">system prior to any contingency and stated its belief that </w:t>
      </w:r>
      <w:r w:rsidR="00C60279" w:rsidRPr="00021944">
        <w:rPr>
          <w:szCs w:val="26"/>
        </w:rPr>
        <w:t xml:space="preserve">Requirement R1 of </w:t>
      </w:r>
      <w:r w:rsidRPr="00021944">
        <w:rPr>
          <w:szCs w:val="26"/>
        </w:rPr>
        <w:t xml:space="preserve">the </w:t>
      </w:r>
      <w:r w:rsidR="00C60279" w:rsidRPr="00021944">
        <w:rPr>
          <w:szCs w:val="26"/>
        </w:rPr>
        <w:t xml:space="preserve">proposed Reliability Standard and Requirement 1 of currently-effective </w:t>
      </w:r>
      <w:r w:rsidRPr="00021944">
        <w:rPr>
          <w:szCs w:val="26"/>
        </w:rPr>
        <w:t xml:space="preserve">standard </w:t>
      </w:r>
      <w:r w:rsidR="00C60279" w:rsidRPr="00021944">
        <w:rPr>
          <w:szCs w:val="26"/>
        </w:rPr>
        <w:t>both establish the normal system planning model that serves as the foundation for all other conditions and contingencies that are required to be studied and evaluated in a planning assessment.</w:t>
      </w:r>
      <w:r w:rsidR="001A59C6">
        <w:rPr>
          <w:szCs w:val="26"/>
        </w:rPr>
        <w:t xml:space="preserve"> </w:t>
      </w:r>
      <w:r w:rsidR="00C60279" w:rsidRPr="00021944">
        <w:rPr>
          <w:szCs w:val="26"/>
        </w:rPr>
        <w:t xml:space="preserve"> </w:t>
      </w:r>
      <w:r w:rsidRPr="00021944">
        <w:rPr>
          <w:szCs w:val="26"/>
        </w:rPr>
        <w:t>In the NOPR, t</w:t>
      </w:r>
      <w:r w:rsidR="00C60279" w:rsidRPr="00021944">
        <w:rPr>
          <w:szCs w:val="26"/>
        </w:rPr>
        <w:t>he Commission s</w:t>
      </w:r>
      <w:r w:rsidRPr="00021944">
        <w:rPr>
          <w:szCs w:val="26"/>
        </w:rPr>
        <w:t xml:space="preserve">ought </w:t>
      </w:r>
      <w:r w:rsidR="00C60279" w:rsidRPr="00021944">
        <w:rPr>
          <w:szCs w:val="26"/>
        </w:rPr>
        <w:t xml:space="preserve">comment on why </w:t>
      </w:r>
      <w:r w:rsidR="00C60279" w:rsidRPr="00021944">
        <w:rPr>
          <w:szCs w:val="26"/>
        </w:rPr>
        <w:lastRenderedPageBreak/>
        <w:t>Requirement R1 of proposed Reliability Standa</w:t>
      </w:r>
      <w:r w:rsidRPr="00021944">
        <w:rPr>
          <w:szCs w:val="26"/>
        </w:rPr>
        <w:t>rd carries a VRF of “m</w:t>
      </w:r>
      <w:r w:rsidR="00C60279" w:rsidRPr="00021944">
        <w:rPr>
          <w:szCs w:val="26"/>
        </w:rPr>
        <w:t xml:space="preserve">edium” while Requirement R1 of the currently-effective </w:t>
      </w:r>
      <w:r w:rsidRPr="00021944">
        <w:rPr>
          <w:szCs w:val="26"/>
        </w:rPr>
        <w:t>s</w:t>
      </w:r>
      <w:r w:rsidR="00C60279" w:rsidRPr="00021944">
        <w:rPr>
          <w:szCs w:val="26"/>
        </w:rPr>
        <w:t>tandard carries a VRF of “</w:t>
      </w:r>
      <w:r w:rsidR="000E6A56" w:rsidRPr="00021944">
        <w:rPr>
          <w:szCs w:val="26"/>
        </w:rPr>
        <w:t>h</w:t>
      </w:r>
      <w:r w:rsidR="00C60279" w:rsidRPr="00021944">
        <w:rPr>
          <w:szCs w:val="26"/>
        </w:rPr>
        <w:t xml:space="preserve">igh.” </w:t>
      </w:r>
    </w:p>
    <w:p w:rsidR="00217F61" w:rsidRPr="00453F52" w:rsidRDefault="00217F61" w:rsidP="00217F61">
      <w:pPr>
        <w:pStyle w:val="FERCparanumber"/>
        <w:numPr>
          <w:ilvl w:val="0"/>
          <w:numId w:val="0"/>
        </w:numPr>
        <w:ind w:firstLine="720"/>
        <w:rPr>
          <w:b/>
          <w:szCs w:val="26"/>
          <w:u w:val="single"/>
        </w:rPr>
      </w:pPr>
      <w:r w:rsidRPr="00453F52">
        <w:rPr>
          <w:b/>
          <w:szCs w:val="26"/>
          <w:u w:val="single"/>
        </w:rPr>
        <w:t>Comments</w:t>
      </w:r>
    </w:p>
    <w:p w:rsidR="004B5587" w:rsidRPr="00A62B68" w:rsidRDefault="00FE6F0E" w:rsidP="004B5587">
      <w:pPr>
        <w:pStyle w:val="FERCparanumber"/>
        <w:tabs>
          <w:tab w:val="clear" w:pos="720"/>
          <w:tab w:val="num" w:pos="650"/>
          <w:tab w:val="num" w:pos="1350"/>
        </w:tabs>
        <w:rPr>
          <w:szCs w:val="26"/>
        </w:rPr>
      </w:pPr>
      <w:r w:rsidRPr="00572DE7">
        <w:rPr>
          <w:szCs w:val="26"/>
        </w:rPr>
        <w:t xml:space="preserve">NERC states that </w:t>
      </w:r>
      <w:r w:rsidRPr="00B60984">
        <w:rPr>
          <w:szCs w:val="26"/>
        </w:rPr>
        <w:t>Requirement R1 of the currently</w:t>
      </w:r>
      <w:r>
        <w:rPr>
          <w:szCs w:val="26"/>
        </w:rPr>
        <w:t>-</w:t>
      </w:r>
      <w:r w:rsidRPr="00B60984">
        <w:rPr>
          <w:szCs w:val="26"/>
        </w:rPr>
        <w:t>effective standard directly relates to Requirement R2 of the proposed standard, which has a High VRF.  NERC states that Requirement R1 of the proposed standard is a new requirement that addresses the models needed for planning assessments and therefore can have a different VRF.</w:t>
      </w:r>
      <w:r w:rsidRPr="00572DE7">
        <w:rPr>
          <w:sz w:val="23"/>
          <w:szCs w:val="23"/>
        </w:rPr>
        <w:t xml:space="preserve">  </w:t>
      </w:r>
      <w:r w:rsidR="004B5587" w:rsidRPr="00572DE7">
        <w:rPr>
          <w:szCs w:val="26"/>
        </w:rPr>
        <w:t>NERC states that while the accuracy of the transmission system model plays a key role in the TPL Reliability Standards, it is “a model, an approximation constructed and built with multiple entity inputs within a controlled process (e.g., Multiregional Model Working Group).”</w:t>
      </w:r>
      <w:r w:rsidR="001A59C6">
        <w:rPr>
          <w:rStyle w:val="FootnoteReference"/>
        </w:rPr>
        <w:footnoteReference w:id="45"/>
      </w:r>
      <w:r w:rsidR="004B5587" w:rsidRPr="00572DE7">
        <w:rPr>
          <w:szCs w:val="26"/>
        </w:rPr>
        <w:t xml:space="preserve"> </w:t>
      </w:r>
      <w:r w:rsidR="001A59C6" w:rsidRPr="00572DE7">
        <w:rPr>
          <w:szCs w:val="26"/>
        </w:rPr>
        <w:t xml:space="preserve"> </w:t>
      </w:r>
      <w:r w:rsidR="004B5587" w:rsidRPr="00572DE7">
        <w:rPr>
          <w:szCs w:val="26"/>
        </w:rPr>
        <w:t xml:space="preserve">NERC states </w:t>
      </w:r>
      <w:r w:rsidR="004B5587" w:rsidRPr="00A62B68">
        <w:rPr>
          <w:szCs w:val="26"/>
        </w:rPr>
        <w:t xml:space="preserve">the base model in proposed Requirement R1 must be modified by adjusting load forecasts and generation dispatch to better assess the range of probable outcomes that the transmission system may experience for various contingency scenarios.  </w:t>
      </w:r>
    </w:p>
    <w:p w:rsidR="0028187E" w:rsidRPr="00021944" w:rsidRDefault="004B5587" w:rsidP="0028187E">
      <w:pPr>
        <w:pStyle w:val="FERCparanumber"/>
        <w:rPr>
          <w:szCs w:val="26"/>
        </w:rPr>
      </w:pPr>
      <w:r w:rsidRPr="00021944">
        <w:rPr>
          <w:szCs w:val="26"/>
        </w:rPr>
        <w:t xml:space="preserve">ISO/RTOs state that proposed Requirement R1 relates to model maintenance, a necessary condition to being able to perform an assessment, which is a different matter from the current Requirement R1.  According to ISO/RTOs Requirement R1 of the currently-effective standard, relating to performing an </w:t>
      </w:r>
      <w:r w:rsidRPr="00021944">
        <w:rPr>
          <w:szCs w:val="26"/>
        </w:rPr>
        <w:lastRenderedPageBreak/>
        <w:t xml:space="preserve">assessment, corresponds to Requirement R2 of the proposed standard, both of which carry a VRF of “high.”  </w:t>
      </w:r>
    </w:p>
    <w:p w:rsidR="004B5587" w:rsidRPr="00021944" w:rsidRDefault="004B5587" w:rsidP="00347795">
      <w:pPr>
        <w:pStyle w:val="FERCparanumber"/>
        <w:rPr>
          <w:szCs w:val="26"/>
        </w:rPr>
      </w:pPr>
      <w:r w:rsidRPr="00021944">
        <w:rPr>
          <w:szCs w:val="26"/>
        </w:rPr>
        <w:t>EEI does not believe that proposed Requirement R1 aligns with Requirement R1 of the currently-effective standard.  According to EEI, however, Requirement R1 does obligate “Transmission Planners and Planning Coordinators to maintain system models within their respective area for performing studies needed to complete its Planning Assessments.”</w:t>
      </w:r>
      <w:r w:rsidRPr="00021944">
        <w:rPr>
          <w:rStyle w:val="FootnoteReference"/>
        </w:rPr>
        <w:footnoteReference w:id="46"/>
      </w:r>
      <w:r w:rsidRPr="00021944">
        <w:rPr>
          <w:szCs w:val="26"/>
        </w:rPr>
        <w:t xml:space="preserve">   EEI further notes that these studies establish a baseline </w:t>
      </w:r>
      <w:r w:rsidR="00192010" w:rsidRPr="00790CC9">
        <w:rPr>
          <w:szCs w:val="26"/>
        </w:rPr>
        <w:t>(Category P0)</w:t>
      </w:r>
      <w:r w:rsidR="00192010">
        <w:rPr>
          <w:szCs w:val="26"/>
        </w:rPr>
        <w:t xml:space="preserve"> </w:t>
      </w:r>
      <w:r w:rsidRPr="00021944">
        <w:rPr>
          <w:szCs w:val="26"/>
        </w:rPr>
        <w:t xml:space="preserve">by which all other studies are based. </w:t>
      </w:r>
      <w:r w:rsidR="00F33279">
        <w:rPr>
          <w:szCs w:val="26"/>
        </w:rPr>
        <w:t xml:space="preserve"> </w:t>
      </w:r>
      <w:r w:rsidRPr="00021944">
        <w:rPr>
          <w:szCs w:val="26"/>
        </w:rPr>
        <w:t xml:space="preserve">EEI </w:t>
      </w:r>
      <w:r w:rsidR="00F33279">
        <w:rPr>
          <w:szCs w:val="26"/>
        </w:rPr>
        <w:t>advocates</w:t>
      </w:r>
      <w:r w:rsidRPr="00021944">
        <w:rPr>
          <w:szCs w:val="26"/>
        </w:rPr>
        <w:t xml:space="preserve"> that</w:t>
      </w:r>
      <w:r w:rsidR="00F33279">
        <w:rPr>
          <w:szCs w:val="26"/>
        </w:rPr>
        <w:t>,</w:t>
      </w:r>
      <w:r w:rsidRPr="00021944">
        <w:rPr>
          <w:szCs w:val="26"/>
        </w:rPr>
        <w:t xml:space="preserve"> if this requirement </w:t>
      </w:r>
      <w:r w:rsidR="00F33279">
        <w:rPr>
          <w:szCs w:val="26"/>
        </w:rPr>
        <w:t>is</w:t>
      </w:r>
      <w:r w:rsidRPr="00021944">
        <w:rPr>
          <w:szCs w:val="26"/>
        </w:rPr>
        <w:t xml:space="preserve"> not adhered to, faulty studies could result</w:t>
      </w:r>
      <w:r w:rsidR="00F33279">
        <w:rPr>
          <w:szCs w:val="26"/>
        </w:rPr>
        <w:t xml:space="preserve">, </w:t>
      </w:r>
      <w:r w:rsidR="00154229">
        <w:rPr>
          <w:szCs w:val="26"/>
        </w:rPr>
        <w:t xml:space="preserve">possibly leading to </w:t>
      </w:r>
      <w:r w:rsidRPr="00021944">
        <w:rPr>
          <w:szCs w:val="26"/>
        </w:rPr>
        <w:t xml:space="preserve">misoperation of the system.  </w:t>
      </w:r>
      <w:r w:rsidR="00A07379" w:rsidRPr="00021944">
        <w:rPr>
          <w:szCs w:val="26"/>
        </w:rPr>
        <w:t xml:space="preserve">For this reason, EEI believes the VRF was improperly categorized as a medium risk VRF and suggests consideration be given to increasing the VRF to “high.” </w:t>
      </w:r>
    </w:p>
    <w:p w:rsidR="00217F61" w:rsidRPr="00453F52" w:rsidRDefault="00217F61" w:rsidP="00217F61">
      <w:pPr>
        <w:pStyle w:val="FERCparanumber"/>
        <w:numPr>
          <w:ilvl w:val="0"/>
          <w:numId w:val="0"/>
        </w:numPr>
        <w:ind w:firstLine="720"/>
        <w:rPr>
          <w:szCs w:val="26"/>
          <w:u w:val="single"/>
        </w:rPr>
      </w:pPr>
      <w:r w:rsidRPr="00453F52">
        <w:rPr>
          <w:b/>
          <w:szCs w:val="26"/>
          <w:u w:val="single"/>
        </w:rPr>
        <w:t>Commission Determination</w:t>
      </w:r>
      <w:r w:rsidR="001D78BF" w:rsidRPr="00453F52">
        <w:rPr>
          <w:b/>
          <w:szCs w:val="26"/>
          <w:u w:val="single"/>
        </w:rPr>
        <w:t xml:space="preserve"> </w:t>
      </w:r>
    </w:p>
    <w:p w:rsidR="00B956A4" w:rsidRDefault="003A4A73" w:rsidP="00B60984">
      <w:pPr>
        <w:pStyle w:val="FERCparanumber"/>
      </w:pPr>
      <w:r>
        <w:t>W</w:t>
      </w:r>
      <w:r w:rsidR="00B956A4" w:rsidRPr="00DC701D">
        <w:t>e direct NERC to modify Reliability Standard TPL-001-4, Requirement R1 and change its VRF from medium to high.</w:t>
      </w:r>
      <w:r w:rsidR="00B956A4">
        <w:t xml:space="preserve">  </w:t>
      </w:r>
      <w:r w:rsidR="00B956A4" w:rsidRPr="00DC701D">
        <w:t xml:space="preserve">As discussed in the </w:t>
      </w:r>
      <w:r w:rsidR="00A62B68">
        <w:t xml:space="preserve">April 2012 </w:t>
      </w:r>
      <w:r w:rsidR="00B956A4" w:rsidRPr="00DC701D">
        <w:t>NOPR, Requirement R1 establishes the normal system planning model that serves as the foundation for all other conditions and contingencies that are required to be studied and evaluated in a planning assessment.</w:t>
      </w:r>
      <w:r w:rsidR="00B956A4">
        <w:t xml:space="preserve">  The </w:t>
      </w:r>
      <w:r w:rsidR="00B956A4" w:rsidRPr="00DC701D">
        <w:t xml:space="preserve">Commission agrees with EEI </w:t>
      </w:r>
      <w:r w:rsidR="00B956A4" w:rsidRPr="00DC701D">
        <w:lastRenderedPageBreak/>
        <w:t xml:space="preserve">that if the baseline studies established in Requirement R1 </w:t>
      </w:r>
      <w:r w:rsidR="00B956A4">
        <w:t>are</w:t>
      </w:r>
      <w:r w:rsidR="00B956A4" w:rsidRPr="00DC701D">
        <w:t xml:space="preserve"> not adhered to, faulty studies could result, possibly leading to misoperation of the system.</w:t>
      </w:r>
    </w:p>
    <w:p w:rsidR="00B60984" w:rsidRDefault="00B956A4" w:rsidP="00B60984">
      <w:pPr>
        <w:pStyle w:val="FERCparanumber"/>
        <w:tabs>
          <w:tab w:val="num" w:pos="1350"/>
        </w:tabs>
      </w:pPr>
      <w:r w:rsidRPr="00B956A4">
        <w:rPr>
          <w:szCs w:val="26"/>
        </w:rPr>
        <w:t xml:space="preserve">The Commission </w:t>
      </w:r>
      <w:r w:rsidR="003A4A73">
        <w:rPr>
          <w:szCs w:val="26"/>
        </w:rPr>
        <w:t xml:space="preserve">is not persuaded by </w:t>
      </w:r>
      <w:r w:rsidRPr="00B956A4">
        <w:rPr>
          <w:szCs w:val="26"/>
        </w:rPr>
        <w:t>NERC</w:t>
      </w:r>
      <w:r w:rsidR="003A4A73">
        <w:rPr>
          <w:szCs w:val="26"/>
        </w:rPr>
        <w:t xml:space="preserve">’s </w:t>
      </w:r>
      <w:r w:rsidR="00E6553A">
        <w:rPr>
          <w:szCs w:val="26"/>
        </w:rPr>
        <w:t>argument</w:t>
      </w:r>
      <w:r w:rsidRPr="00B956A4">
        <w:rPr>
          <w:szCs w:val="26"/>
        </w:rPr>
        <w:t xml:space="preserve"> that </w:t>
      </w:r>
      <w:r w:rsidR="003A4A73">
        <w:rPr>
          <w:szCs w:val="26"/>
        </w:rPr>
        <w:t xml:space="preserve">Reliability Standard </w:t>
      </w:r>
      <w:r w:rsidRPr="00B956A4">
        <w:rPr>
          <w:szCs w:val="26"/>
        </w:rPr>
        <w:t xml:space="preserve">TPL-001-4, Requirement R1 warrants a medium VRF because the base model in Requirement </w:t>
      </w:r>
      <w:r w:rsidR="00A62B68">
        <w:rPr>
          <w:szCs w:val="26"/>
        </w:rPr>
        <w:t>R</w:t>
      </w:r>
      <w:r w:rsidRPr="00B956A4">
        <w:rPr>
          <w:szCs w:val="26"/>
        </w:rPr>
        <w:t xml:space="preserve">1 must be modified by adjusting load forecasts and generation dispatch for various contingency scenarios.  </w:t>
      </w:r>
      <w:r w:rsidR="003A4A73">
        <w:rPr>
          <w:szCs w:val="26"/>
        </w:rPr>
        <w:t>Rather, t</w:t>
      </w:r>
      <w:r w:rsidRPr="00B956A4">
        <w:rPr>
          <w:szCs w:val="26"/>
        </w:rPr>
        <w:t xml:space="preserve">he Commission </w:t>
      </w:r>
      <w:r w:rsidR="00293B02">
        <w:rPr>
          <w:szCs w:val="26"/>
        </w:rPr>
        <w:t xml:space="preserve">finds </w:t>
      </w:r>
      <w:r w:rsidRPr="00B956A4">
        <w:rPr>
          <w:szCs w:val="26"/>
        </w:rPr>
        <w:t>that Requirement R1 and its sub-parts require system models to represent projected system conditions including items such as resources required for load, and real and reactive load forecasts, all of which “establishes Category P0 as the normal condition in Table</w:t>
      </w:r>
      <w:r w:rsidR="00D4309D">
        <w:rPr>
          <w:szCs w:val="26"/>
        </w:rPr>
        <w:t xml:space="preserve"> </w:t>
      </w:r>
      <w:r w:rsidRPr="00B956A4">
        <w:rPr>
          <w:szCs w:val="26"/>
        </w:rPr>
        <w:t>1.”</w:t>
      </w:r>
      <w:r>
        <w:rPr>
          <w:rStyle w:val="FootnoteReference"/>
        </w:rPr>
        <w:footnoteReference w:id="47"/>
      </w:r>
      <w:r w:rsidRPr="00B956A4">
        <w:rPr>
          <w:szCs w:val="26"/>
        </w:rPr>
        <w:t xml:space="preserve">  Although the Commission agrees with NERC that the accuracy of the system model plays a key role in the TPL Reliability Standards and that a system model is “a model, an approximation constructed and built with multiple entity inputs within a controlled process</w:t>
      </w:r>
      <w:r w:rsidR="00293B02">
        <w:rPr>
          <w:szCs w:val="26"/>
        </w:rPr>
        <w:t>,</w:t>
      </w:r>
      <w:r w:rsidRPr="00B956A4">
        <w:rPr>
          <w:szCs w:val="26"/>
        </w:rPr>
        <w:t xml:space="preserve">” the Commission </w:t>
      </w:r>
      <w:r w:rsidR="00293B02">
        <w:rPr>
          <w:szCs w:val="26"/>
        </w:rPr>
        <w:t xml:space="preserve">finds </w:t>
      </w:r>
      <w:r w:rsidRPr="00B956A4">
        <w:rPr>
          <w:szCs w:val="26"/>
        </w:rPr>
        <w:t>that the system model of Requirement R1</w:t>
      </w:r>
      <w:r w:rsidR="00293B02">
        <w:rPr>
          <w:szCs w:val="26"/>
        </w:rPr>
        <w:t xml:space="preserve"> </w:t>
      </w:r>
      <w:r w:rsidRPr="00B956A4">
        <w:rPr>
          <w:szCs w:val="26"/>
        </w:rPr>
        <w:t xml:space="preserve">establishes a baseline (Category P0) for which all other studies are based and if not </w:t>
      </w:r>
      <w:r w:rsidRPr="00DC701D">
        <w:t>adhered to, faulty studies could result, possibly leading to misoperation of the system.</w:t>
      </w:r>
      <w:r w:rsidRPr="00B956A4">
        <w:rPr>
          <w:szCs w:val="26"/>
        </w:rPr>
        <w:t xml:space="preserve">  </w:t>
      </w:r>
    </w:p>
    <w:p w:rsidR="00B956A4" w:rsidRPr="00B60984" w:rsidRDefault="00B956A4" w:rsidP="00B60984">
      <w:pPr>
        <w:pStyle w:val="FERCparanumber"/>
        <w:tabs>
          <w:tab w:val="num" w:pos="1350"/>
        </w:tabs>
      </w:pPr>
      <w:r w:rsidRPr="00B60984">
        <w:rPr>
          <w:szCs w:val="26"/>
        </w:rPr>
        <w:t xml:space="preserve">Further, the Commission disagrees with ISO/RTOs that proposed Requirement R1 is a different matter from the current Requirement R1.  The Commission stated in the </w:t>
      </w:r>
      <w:r w:rsidR="00A62B68" w:rsidRPr="00B60984">
        <w:rPr>
          <w:szCs w:val="26"/>
        </w:rPr>
        <w:t xml:space="preserve">April 2012 </w:t>
      </w:r>
      <w:r w:rsidRPr="00B60984">
        <w:rPr>
          <w:szCs w:val="26"/>
        </w:rPr>
        <w:t xml:space="preserve">NOPR that Requirement R1 of the Version 0 </w:t>
      </w:r>
      <w:r w:rsidRPr="00B60984">
        <w:rPr>
          <w:szCs w:val="26"/>
        </w:rPr>
        <w:lastRenderedPageBreak/>
        <w:t>TPL Standard, which is assigned a “high” VRF, explicitly establishes Category A as the normal system in Table 1 that serves as the foundation for all other conditions and contingencies that are required to be studied and evaluated in a planning assessment.  Accordingly, the Commission believes that TPL-001-4, Requirement R1 similarly establishes Category P0 as the normal system in Table 1 that serves as the foundation for all other conditions and contingencies that are required to be studied and evaluated in a planning assessment.  For these reasons, the Commission directs NERC to modify the VRF assigned to Requirement R1 from medium to high.</w:t>
      </w:r>
      <w:r>
        <w:t xml:space="preserve">  </w:t>
      </w:r>
    </w:p>
    <w:p w:rsidR="00C60279" w:rsidRPr="00021944" w:rsidRDefault="00C60279" w:rsidP="000350B1">
      <w:pPr>
        <w:pStyle w:val="Heading4"/>
        <w:rPr>
          <w:szCs w:val="26"/>
        </w:rPr>
      </w:pPr>
      <w:r w:rsidRPr="00021944">
        <w:rPr>
          <w:szCs w:val="26"/>
        </w:rPr>
        <w:t>VRF for Requirement R6</w:t>
      </w:r>
    </w:p>
    <w:p w:rsidR="00217F61" w:rsidRPr="00453F52" w:rsidRDefault="00217F61" w:rsidP="00217F61">
      <w:pPr>
        <w:pStyle w:val="FERCparanumber"/>
        <w:numPr>
          <w:ilvl w:val="0"/>
          <w:numId w:val="0"/>
        </w:numPr>
        <w:ind w:firstLine="720"/>
        <w:rPr>
          <w:b/>
          <w:szCs w:val="26"/>
          <w:u w:val="single"/>
        </w:rPr>
      </w:pPr>
      <w:r w:rsidRPr="00453F52">
        <w:rPr>
          <w:b/>
          <w:szCs w:val="26"/>
          <w:u w:val="single"/>
        </w:rPr>
        <w:t>N</w:t>
      </w:r>
      <w:r w:rsidR="00872038" w:rsidRPr="00453F52">
        <w:rPr>
          <w:b/>
          <w:szCs w:val="26"/>
          <w:u w:val="single"/>
        </w:rPr>
        <w:t xml:space="preserve">ERC Petition </w:t>
      </w:r>
    </w:p>
    <w:p w:rsidR="00872038" w:rsidRDefault="00C60279" w:rsidP="00217F61">
      <w:pPr>
        <w:pStyle w:val="FERCparanumber"/>
        <w:tabs>
          <w:tab w:val="clear" w:pos="720"/>
          <w:tab w:val="num" w:pos="650"/>
          <w:tab w:val="num" w:pos="1350"/>
        </w:tabs>
        <w:rPr>
          <w:szCs w:val="26"/>
        </w:rPr>
      </w:pPr>
      <w:r w:rsidRPr="00021944">
        <w:rPr>
          <w:szCs w:val="26"/>
        </w:rPr>
        <w:t>NERC propose</w:t>
      </w:r>
      <w:r w:rsidR="002D2186" w:rsidRPr="00021944">
        <w:rPr>
          <w:szCs w:val="26"/>
        </w:rPr>
        <w:t>d</w:t>
      </w:r>
      <w:r w:rsidRPr="00021944">
        <w:rPr>
          <w:szCs w:val="26"/>
        </w:rPr>
        <w:t xml:space="preserve"> to assign a “</w:t>
      </w:r>
      <w:r w:rsidR="00873A3D" w:rsidRPr="00021944">
        <w:rPr>
          <w:szCs w:val="26"/>
        </w:rPr>
        <w:t>l</w:t>
      </w:r>
      <w:r w:rsidRPr="00021944">
        <w:rPr>
          <w:szCs w:val="26"/>
        </w:rPr>
        <w:t>ow” VRF for Requirement R6</w:t>
      </w:r>
      <w:r w:rsidR="000148AC">
        <w:rPr>
          <w:rStyle w:val="FootnoteReference"/>
        </w:rPr>
        <w:footnoteReference w:id="48"/>
      </w:r>
      <w:r w:rsidRPr="00021944">
        <w:rPr>
          <w:szCs w:val="26"/>
        </w:rPr>
        <w:t xml:space="preserve"> </w:t>
      </w:r>
      <w:r w:rsidR="00C547B0">
        <w:rPr>
          <w:szCs w:val="26"/>
        </w:rPr>
        <w:t xml:space="preserve"> </w:t>
      </w:r>
      <w:r w:rsidRPr="00021944">
        <w:rPr>
          <w:szCs w:val="26"/>
        </w:rPr>
        <w:t>because “failure to have established criteria for determining System instability is an administrative requirement affecting a planning time frame.”</w:t>
      </w:r>
      <w:r w:rsidRPr="00021944">
        <w:rPr>
          <w:rStyle w:val="FootnoteReference"/>
        </w:rPr>
        <w:footnoteReference w:id="49"/>
      </w:r>
      <w:r w:rsidRPr="00021944">
        <w:rPr>
          <w:szCs w:val="26"/>
        </w:rPr>
        <w:t xml:space="preserve">  NERC explains that Requirement R6 is a new requirement and that violations would not be </w:t>
      </w:r>
      <w:r w:rsidRPr="00021944">
        <w:rPr>
          <w:szCs w:val="26"/>
        </w:rPr>
        <w:lastRenderedPageBreak/>
        <w:t>expected to adversely affect the electrical state or capabilit</w:t>
      </w:r>
      <w:r w:rsidR="002D2186" w:rsidRPr="00021944">
        <w:rPr>
          <w:szCs w:val="26"/>
        </w:rPr>
        <w:t xml:space="preserve">y of the bulk electric system.  </w:t>
      </w:r>
    </w:p>
    <w:p w:rsidR="00872038" w:rsidRPr="00453F52" w:rsidRDefault="00872038" w:rsidP="00C26256">
      <w:pPr>
        <w:pStyle w:val="FERCparanumber"/>
        <w:numPr>
          <w:ilvl w:val="0"/>
          <w:numId w:val="0"/>
        </w:numPr>
        <w:ind w:firstLine="720"/>
        <w:rPr>
          <w:szCs w:val="26"/>
          <w:u w:val="single"/>
        </w:rPr>
      </w:pPr>
      <w:r w:rsidRPr="00453F52">
        <w:rPr>
          <w:b/>
          <w:szCs w:val="26"/>
          <w:u w:val="single"/>
        </w:rPr>
        <w:t>NOPR Proposal</w:t>
      </w:r>
      <w:r w:rsidRPr="00453F52">
        <w:rPr>
          <w:szCs w:val="26"/>
          <w:u w:val="single"/>
        </w:rPr>
        <w:t xml:space="preserve"> </w:t>
      </w:r>
    </w:p>
    <w:p w:rsidR="00C60279" w:rsidRPr="00021944" w:rsidRDefault="002D2186" w:rsidP="00872038">
      <w:pPr>
        <w:pStyle w:val="FERCparanumber"/>
        <w:tabs>
          <w:tab w:val="num" w:pos="1350"/>
        </w:tabs>
        <w:rPr>
          <w:szCs w:val="26"/>
        </w:rPr>
      </w:pPr>
      <w:r w:rsidRPr="00021944">
        <w:rPr>
          <w:szCs w:val="26"/>
        </w:rPr>
        <w:t xml:space="preserve">In the NOPR, the Commission recognized </w:t>
      </w:r>
      <w:r w:rsidR="00C60279" w:rsidRPr="00021944">
        <w:rPr>
          <w:szCs w:val="26"/>
        </w:rPr>
        <w:t>that documenting criteria or methodo</w:t>
      </w:r>
      <w:r w:rsidRPr="00021944">
        <w:rPr>
          <w:szCs w:val="26"/>
        </w:rPr>
        <w:t xml:space="preserve">logy is an administrative act but stated that </w:t>
      </w:r>
      <w:r w:rsidR="00C60279" w:rsidRPr="00021944">
        <w:rPr>
          <w:szCs w:val="26"/>
        </w:rPr>
        <w:t>defining the criteria or methodology to be used is not an administrative act.  The Commission s</w:t>
      </w:r>
      <w:r w:rsidRPr="00021944">
        <w:rPr>
          <w:szCs w:val="26"/>
        </w:rPr>
        <w:t xml:space="preserve">ought </w:t>
      </w:r>
      <w:r w:rsidR="00C60279" w:rsidRPr="00021944">
        <w:rPr>
          <w:szCs w:val="26"/>
        </w:rPr>
        <w:t>clarification why the VRF level assigned to Requirement R6 is “</w:t>
      </w:r>
      <w:r w:rsidRPr="00021944">
        <w:rPr>
          <w:szCs w:val="26"/>
        </w:rPr>
        <w:t>l</w:t>
      </w:r>
      <w:r w:rsidR="00C60279" w:rsidRPr="00021944">
        <w:rPr>
          <w:szCs w:val="26"/>
        </w:rPr>
        <w:t xml:space="preserve">ow” since it appears that Requirement R6 requires more than a purely administrative task.  </w:t>
      </w:r>
    </w:p>
    <w:p w:rsidR="00217F61" w:rsidRPr="00453F52" w:rsidRDefault="00217F61" w:rsidP="00217F61">
      <w:pPr>
        <w:pStyle w:val="FERCparanumber"/>
        <w:numPr>
          <w:ilvl w:val="0"/>
          <w:numId w:val="0"/>
        </w:numPr>
        <w:ind w:firstLine="720"/>
        <w:rPr>
          <w:b/>
          <w:szCs w:val="26"/>
          <w:u w:val="single"/>
        </w:rPr>
      </w:pPr>
      <w:r w:rsidRPr="00453F52">
        <w:rPr>
          <w:b/>
          <w:szCs w:val="26"/>
          <w:u w:val="single"/>
        </w:rPr>
        <w:t>Comments</w:t>
      </w:r>
    </w:p>
    <w:p w:rsidR="00A90705" w:rsidRPr="00021944" w:rsidRDefault="000D5BE8" w:rsidP="004B5587">
      <w:pPr>
        <w:pStyle w:val="FERCparanumber"/>
        <w:rPr>
          <w:szCs w:val="26"/>
        </w:rPr>
      </w:pPr>
      <w:r w:rsidRPr="00021944">
        <w:rPr>
          <w:szCs w:val="26"/>
        </w:rPr>
        <w:t xml:space="preserve">NERC agrees that proposed TPL-001-2 Requirement R6 is not strictly an administrative task, and therefore the VRF should be adjusted to </w:t>
      </w:r>
      <w:r w:rsidR="00873A3D" w:rsidRPr="00021944">
        <w:rPr>
          <w:szCs w:val="26"/>
        </w:rPr>
        <w:t>m</w:t>
      </w:r>
      <w:r w:rsidRPr="00021944">
        <w:rPr>
          <w:szCs w:val="26"/>
        </w:rPr>
        <w:t>edium</w:t>
      </w:r>
      <w:r w:rsidR="00873A3D" w:rsidRPr="00021944">
        <w:rPr>
          <w:szCs w:val="26"/>
        </w:rPr>
        <w:t xml:space="preserve">.  </w:t>
      </w:r>
      <w:r w:rsidR="00A90705" w:rsidRPr="00021944">
        <w:rPr>
          <w:szCs w:val="26"/>
        </w:rPr>
        <w:t>In its February 28, 2013 Petition, NERC revised the VRF for Reliability Standard TPL-001-4, Requirement R6 from low to medium.</w:t>
      </w:r>
      <w:r w:rsidRPr="00021944">
        <w:rPr>
          <w:szCs w:val="26"/>
        </w:rPr>
        <w:t xml:space="preserve">  </w:t>
      </w:r>
    </w:p>
    <w:p w:rsidR="00217F61" w:rsidRPr="00B30F59" w:rsidRDefault="00C74415" w:rsidP="00B30F59">
      <w:pPr>
        <w:pStyle w:val="FERCparanumber"/>
        <w:tabs>
          <w:tab w:val="num" w:pos="1350"/>
        </w:tabs>
        <w:rPr>
          <w:szCs w:val="26"/>
        </w:rPr>
      </w:pPr>
      <w:r>
        <w:rPr>
          <w:szCs w:val="26"/>
        </w:rPr>
        <w:t xml:space="preserve">EEI and </w:t>
      </w:r>
      <w:r w:rsidR="00873A3D" w:rsidRPr="00021944">
        <w:rPr>
          <w:szCs w:val="26"/>
        </w:rPr>
        <w:t xml:space="preserve">ISO/RTOs contend that Requirement R6 </w:t>
      </w:r>
      <w:r>
        <w:rPr>
          <w:szCs w:val="26"/>
        </w:rPr>
        <w:t xml:space="preserve">was correctly assigned a “low” VRF because “defining and documenting” </w:t>
      </w:r>
      <w:r w:rsidR="00873A3D" w:rsidRPr="00021944">
        <w:rPr>
          <w:szCs w:val="26"/>
        </w:rPr>
        <w:t xml:space="preserve">is an administrative task. </w:t>
      </w:r>
      <w:r>
        <w:rPr>
          <w:szCs w:val="26"/>
        </w:rPr>
        <w:t xml:space="preserve"> According to EEI, </w:t>
      </w:r>
      <w:r w:rsidRPr="00021944">
        <w:rPr>
          <w:szCs w:val="26"/>
        </w:rPr>
        <w:t>the fact that the planner poorly documented the criteria and methodology does not mean that their assessment was not conducted appropriately or that it placed the bulk electric system at risk</w:t>
      </w:r>
      <w:r>
        <w:rPr>
          <w:szCs w:val="26"/>
        </w:rPr>
        <w:t>.</w:t>
      </w:r>
      <w:r w:rsidR="00873A3D" w:rsidRPr="00021944">
        <w:rPr>
          <w:szCs w:val="26"/>
        </w:rPr>
        <w:t xml:space="preserve">  </w:t>
      </w:r>
    </w:p>
    <w:p w:rsidR="00217F61" w:rsidRPr="00453F52" w:rsidRDefault="00217F61" w:rsidP="00217F61">
      <w:pPr>
        <w:pStyle w:val="FERCparanumber"/>
        <w:numPr>
          <w:ilvl w:val="0"/>
          <w:numId w:val="0"/>
        </w:numPr>
        <w:ind w:firstLine="720"/>
        <w:rPr>
          <w:b/>
          <w:szCs w:val="26"/>
          <w:u w:val="single"/>
        </w:rPr>
      </w:pPr>
      <w:r w:rsidRPr="00453F52">
        <w:rPr>
          <w:b/>
          <w:szCs w:val="26"/>
          <w:u w:val="single"/>
        </w:rPr>
        <w:t>Commission Determination</w:t>
      </w:r>
    </w:p>
    <w:p w:rsidR="00763C7B" w:rsidRPr="00021944" w:rsidRDefault="0004137F" w:rsidP="00A90705">
      <w:pPr>
        <w:pStyle w:val="FERCparanumber"/>
        <w:tabs>
          <w:tab w:val="num" w:pos="1350"/>
        </w:tabs>
        <w:rPr>
          <w:szCs w:val="26"/>
        </w:rPr>
      </w:pPr>
      <w:r w:rsidRPr="00021944">
        <w:rPr>
          <w:szCs w:val="26"/>
        </w:rPr>
        <w:t xml:space="preserve">The Commission agrees </w:t>
      </w:r>
      <w:r w:rsidR="00763C7B" w:rsidRPr="00021944">
        <w:rPr>
          <w:szCs w:val="26"/>
        </w:rPr>
        <w:t xml:space="preserve">with NERC that TPL-001-4, Requirement R6 is not strictly an administrative task and </w:t>
      </w:r>
      <w:r w:rsidR="00873A3D" w:rsidRPr="00021944">
        <w:rPr>
          <w:szCs w:val="26"/>
        </w:rPr>
        <w:t>approves the change from a l</w:t>
      </w:r>
      <w:r w:rsidR="00763C7B" w:rsidRPr="00021944">
        <w:rPr>
          <w:szCs w:val="26"/>
        </w:rPr>
        <w:t xml:space="preserve">ow VRF to a </w:t>
      </w:r>
      <w:r w:rsidR="00873A3D" w:rsidRPr="00021944">
        <w:rPr>
          <w:szCs w:val="26"/>
        </w:rPr>
        <w:lastRenderedPageBreak/>
        <w:t>m</w:t>
      </w:r>
      <w:r w:rsidR="00763C7B" w:rsidRPr="00021944">
        <w:rPr>
          <w:szCs w:val="26"/>
        </w:rPr>
        <w:t xml:space="preserve">edium VRF.  The Commission disagrees with commenters that TPL-001-4 Reliability Standard, Requirement R6 is purely an administrative task of documentation of criteria and methodologies.  Requirement R6 goes beyond documentation </w:t>
      </w:r>
      <w:r w:rsidR="00873A3D" w:rsidRPr="00021944">
        <w:rPr>
          <w:szCs w:val="26"/>
        </w:rPr>
        <w:t xml:space="preserve">by requiring </w:t>
      </w:r>
      <w:r w:rsidR="00763C7B" w:rsidRPr="00021944">
        <w:rPr>
          <w:szCs w:val="26"/>
        </w:rPr>
        <w:t xml:space="preserve">planners </w:t>
      </w:r>
      <w:r w:rsidR="00C547B0">
        <w:rPr>
          <w:szCs w:val="26"/>
        </w:rPr>
        <w:t xml:space="preserve">to apply engineering judgment and analysis </w:t>
      </w:r>
      <w:r w:rsidR="00763C7B" w:rsidRPr="00021944">
        <w:rPr>
          <w:szCs w:val="26"/>
        </w:rPr>
        <w:t xml:space="preserve">to “define…the criteria or methodology used in the analysis to identify system instability for conditions such as cascading, voltage instability or </w:t>
      </w:r>
      <w:r w:rsidR="00AE0F1E">
        <w:rPr>
          <w:szCs w:val="26"/>
        </w:rPr>
        <w:t>un</w:t>
      </w:r>
      <w:r w:rsidR="00763C7B" w:rsidRPr="00021944">
        <w:rPr>
          <w:szCs w:val="26"/>
        </w:rPr>
        <w:t>controlled islanding.”</w:t>
      </w:r>
      <w:r w:rsidR="00763C7B" w:rsidRPr="00021944">
        <w:rPr>
          <w:rStyle w:val="FootnoteReference"/>
        </w:rPr>
        <w:footnoteReference w:id="50"/>
      </w:r>
      <w:r w:rsidR="00763C7B" w:rsidRPr="00021944">
        <w:rPr>
          <w:szCs w:val="26"/>
        </w:rPr>
        <w:t xml:space="preserve">  </w:t>
      </w:r>
    </w:p>
    <w:p w:rsidR="00C60279" w:rsidRDefault="00C60279" w:rsidP="000350B1">
      <w:pPr>
        <w:pStyle w:val="Heading3"/>
      </w:pPr>
      <w:r w:rsidRPr="00021944">
        <w:t>Protection System Failures versus Relay Failures</w:t>
      </w:r>
    </w:p>
    <w:p w:rsidR="00A97CF3" w:rsidRPr="00453F52" w:rsidRDefault="00A97CF3" w:rsidP="00A97CF3">
      <w:pPr>
        <w:pStyle w:val="FERCparanumber"/>
        <w:numPr>
          <w:ilvl w:val="0"/>
          <w:numId w:val="0"/>
        </w:numPr>
        <w:ind w:firstLine="720"/>
        <w:rPr>
          <w:b/>
          <w:szCs w:val="26"/>
          <w:u w:val="single"/>
        </w:rPr>
      </w:pPr>
      <w:r w:rsidRPr="00453F52">
        <w:rPr>
          <w:b/>
          <w:szCs w:val="26"/>
          <w:u w:val="single"/>
        </w:rPr>
        <w:t>NERC Petition</w:t>
      </w:r>
    </w:p>
    <w:p w:rsidR="00A97CF3" w:rsidRDefault="00A97CF3" w:rsidP="00A97CF3">
      <w:pPr>
        <w:pStyle w:val="FERCparanumber"/>
        <w:tabs>
          <w:tab w:val="clear" w:pos="720"/>
          <w:tab w:val="num" w:pos="650"/>
          <w:tab w:val="num" w:pos="1350"/>
        </w:tabs>
        <w:rPr>
          <w:szCs w:val="26"/>
        </w:rPr>
      </w:pPr>
      <w:r w:rsidRPr="00021944">
        <w:rPr>
          <w:szCs w:val="26"/>
        </w:rPr>
        <w:t>NERC’s propos</w:t>
      </w:r>
      <w:r>
        <w:rPr>
          <w:szCs w:val="26"/>
        </w:rPr>
        <w:t>al includes</w:t>
      </w:r>
      <w:r w:rsidRPr="00021944">
        <w:rPr>
          <w:szCs w:val="26"/>
        </w:rPr>
        <w:t xml:space="preserve"> modification</w:t>
      </w:r>
      <w:r w:rsidR="00D475C3">
        <w:rPr>
          <w:szCs w:val="26"/>
        </w:rPr>
        <w:t>s</w:t>
      </w:r>
      <w:r w:rsidRPr="00021944">
        <w:rPr>
          <w:szCs w:val="26"/>
        </w:rPr>
        <w:t xml:space="preserve"> to the planning contingency categories in Table 1</w:t>
      </w:r>
      <w:r>
        <w:rPr>
          <w:szCs w:val="26"/>
        </w:rPr>
        <w:t>.  NERC explains that the modification</w:t>
      </w:r>
      <w:r w:rsidR="00D475C3">
        <w:rPr>
          <w:szCs w:val="26"/>
        </w:rPr>
        <w:t>s</w:t>
      </w:r>
      <w:r w:rsidRPr="00021944">
        <w:rPr>
          <w:szCs w:val="26"/>
        </w:rPr>
        <w:t xml:space="preserve"> </w:t>
      </w:r>
      <w:r w:rsidR="00D475C3">
        <w:rPr>
          <w:szCs w:val="26"/>
        </w:rPr>
        <w:t>are</w:t>
      </w:r>
      <w:r w:rsidRPr="00021944">
        <w:rPr>
          <w:szCs w:val="26"/>
        </w:rPr>
        <w:t xml:space="preserve"> intended to add clarity and consistency regarding </w:t>
      </w:r>
      <w:r>
        <w:rPr>
          <w:szCs w:val="26"/>
        </w:rPr>
        <w:t>the modeling of</w:t>
      </w:r>
      <w:r w:rsidRPr="00021944">
        <w:rPr>
          <w:szCs w:val="26"/>
        </w:rPr>
        <w:t xml:space="preserve"> a delayed fault clearing in </w:t>
      </w:r>
      <w:r>
        <w:rPr>
          <w:szCs w:val="26"/>
        </w:rPr>
        <w:t xml:space="preserve">a </w:t>
      </w:r>
      <w:r w:rsidRPr="00021944">
        <w:rPr>
          <w:szCs w:val="26"/>
        </w:rPr>
        <w:t>planning stud</w:t>
      </w:r>
      <w:r>
        <w:rPr>
          <w:szCs w:val="26"/>
        </w:rPr>
        <w:t>y</w:t>
      </w:r>
      <w:r w:rsidRPr="00021944">
        <w:rPr>
          <w:szCs w:val="26"/>
        </w:rPr>
        <w:t xml:space="preserve">.  NERC stated that the basic elements of any protection system design involve inputs to protective relays and outputs from protective relays and that reliability issues associated with improper clearing of a fault on the bulk electric system can result from the failure of hundreds of individual protection system components in a substation.  </w:t>
      </w:r>
      <w:r>
        <w:rPr>
          <w:szCs w:val="26"/>
        </w:rPr>
        <w:t>According to</w:t>
      </w:r>
      <w:r w:rsidRPr="00021944">
        <w:rPr>
          <w:szCs w:val="26"/>
        </w:rPr>
        <w:t xml:space="preserve"> NERC</w:t>
      </w:r>
      <w:r>
        <w:rPr>
          <w:szCs w:val="26"/>
        </w:rPr>
        <w:t>,</w:t>
      </w:r>
      <w:r w:rsidRPr="00021944">
        <w:rPr>
          <w:szCs w:val="26"/>
        </w:rPr>
        <w:t xml:space="preserve"> while the population of components that could fail and result in improper clearing is large, th</w:t>
      </w:r>
      <w:r>
        <w:rPr>
          <w:szCs w:val="26"/>
        </w:rPr>
        <w:t>e</w:t>
      </w:r>
      <w:r w:rsidRPr="00021944">
        <w:rPr>
          <w:szCs w:val="26"/>
        </w:rPr>
        <w:t xml:space="preserve"> population can be reduced dramatically by eliminating those components which share failure </w:t>
      </w:r>
      <w:r w:rsidRPr="00021944">
        <w:rPr>
          <w:szCs w:val="26"/>
        </w:rPr>
        <w:lastRenderedPageBreak/>
        <w:t>modes with other components.  NERC state</w:t>
      </w:r>
      <w:r>
        <w:rPr>
          <w:szCs w:val="26"/>
        </w:rPr>
        <w:t>d</w:t>
      </w:r>
      <w:r w:rsidRPr="00021944">
        <w:rPr>
          <w:szCs w:val="26"/>
        </w:rPr>
        <w:t xml:space="preserve"> that the critical components in protection systems are the protective relays themselves, and a failure of a non-redundant protective relay will often result in undesired consequences during a fault.  According to NERC, other protection system components related to the protective relay could fail and lead to a bulk electric system issue, but the event that would be studied is identical, from both transient and steady state perspectives, to the event resulting from a protective relay failure if an adequate population of protective relays is considered.</w:t>
      </w:r>
      <w:r w:rsidRPr="00021944">
        <w:rPr>
          <w:rStyle w:val="FootnoteReference"/>
        </w:rPr>
        <w:footnoteReference w:id="51"/>
      </w:r>
    </w:p>
    <w:p w:rsidR="00A97CF3" w:rsidRPr="00E64DA8" w:rsidRDefault="00A97CF3" w:rsidP="00A97CF3">
      <w:pPr>
        <w:pStyle w:val="FERCparanumber"/>
        <w:numPr>
          <w:ilvl w:val="0"/>
          <w:numId w:val="0"/>
        </w:numPr>
        <w:ind w:firstLine="720"/>
        <w:rPr>
          <w:b/>
          <w:u w:val="single"/>
        </w:rPr>
      </w:pPr>
      <w:r w:rsidRPr="00E64DA8">
        <w:rPr>
          <w:b/>
          <w:u w:val="single"/>
        </w:rPr>
        <w:t>NOPR Proposal</w:t>
      </w:r>
    </w:p>
    <w:p w:rsidR="00A97CF3" w:rsidRPr="00021944" w:rsidRDefault="00A97CF3" w:rsidP="00A97CF3">
      <w:pPr>
        <w:pStyle w:val="FERCparanumber"/>
        <w:tabs>
          <w:tab w:val="clear" w:pos="720"/>
          <w:tab w:val="num" w:pos="650"/>
          <w:tab w:val="num" w:pos="1350"/>
        </w:tabs>
        <w:rPr>
          <w:szCs w:val="26"/>
        </w:rPr>
      </w:pPr>
      <w:r w:rsidRPr="00021944">
        <w:rPr>
          <w:szCs w:val="26"/>
        </w:rPr>
        <w:t xml:space="preserve">In the </w:t>
      </w:r>
      <w:r w:rsidR="001C17DA">
        <w:rPr>
          <w:szCs w:val="26"/>
        </w:rPr>
        <w:t xml:space="preserve">April 2012 </w:t>
      </w:r>
      <w:r w:rsidRPr="00021944">
        <w:rPr>
          <w:szCs w:val="26"/>
        </w:rPr>
        <w:t>NOPR, the Commission expressed that</w:t>
      </w:r>
      <w:r>
        <w:rPr>
          <w:szCs w:val="26"/>
        </w:rPr>
        <w:t>,</w:t>
      </w:r>
      <w:r w:rsidRPr="00021944">
        <w:rPr>
          <w:szCs w:val="26"/>
        </w:rPr>
        <w:t xml:space="preserve"> based on various protection system designs, the planner will have to choose which protection system component failure would have the most significant impact on the Bulk-Power System because as-built designs are not standardized and the most critical component failure may not always be the relay.</w:t>
      </w:r>
      <w:r>
        <w:rPr>
          <w:rStyle w:val="FootnoteReference"/>
        </w:rPr>
        <w:footnoteReference w:id="52"/>
      </w:r>
      <w:r w:rsidRPr="00021944">
        <w:rPr>
          <w:szCs w:val="26"/>
        </w:rPr>
        <w:t xml:space="preserve">  The Commission sought comment on whether the proposed provisions pertaining to study of multiple contingencies limits the planners’ assessment of a protection system failure because </w:t>
      </w:r>
      <w:r>
        <w:rPr>
          <w:szCs w:val="26"/>
        </w:rPr>
        <w:t>the proposed provisions</w:t>
      </w:r>
      <w:r w:rsidRPr="00021944">
        <w:rPr>
          <w:szCs w:val="26"/>
        </w:rPr>
        <w:t xml:space="preserve"> only include the contingency of a faulty relay component.  The Commission also sought comment on whether the relay </w:t>
      </w:r>
      <w:r>
        <w:rPr>
          <w:szCs w:val="26"/>
        </w:rPr>
        <w:t>is</w:t>
      </w:r>
      <w:r w:rsidRPr="00021944">
        <w:rPr>
          <w:szCs w:val="26"/>
        </w:rPr>
        <w:t xml:space="preserve"> always </w:t>
      </w:r>
      <w:r w:rsidRPr="00021944">
        <w:rPr>
          <w:szCs w:val="26"/>
        </w:rPr>
        <w:lastRenderedPageBreak/>
        <w:t xml:space="preserve">the larger contingency and how the loss of protection system components that </w:t>
      </w:r>
      <w:r>
        <w:rPr>
          <w:szCs w:val="26"/>
        </w:rPr>
        <w:t>is</w:t>
      </w:r>
      <w:r w:rsidRPr="00021944">
        <w:rPr>
          <w:szCs w:val="26"/>
        </w:rPr>
        <w:t xml:space="preserve"> integral to multiple protection systems impacts reliability. </w:t>
      </w:r>
      <w:r w:rsidRPr="00021944">
        <w:rPr>
          <w:szCs w:val="26"/>
          <w:highlight w:val="cyan"/>
        </w:rPr>
        <w:t xml:space="preserve"> </w:t>
      </w:r>
    </w:p>
    <w:p w:rsidR="00A97CF3" w:rsidRPr="00E64DA8" w:rsidRDefault="00A97CF3" w:rsidP="00A97CF3">
      <w:pPr>
        <w:pStyle w:val="FERCparanumber"/>
        <w:numPr>
          <w:ilvl w:val="0"/>
          <w:numId w:val="0"/>
        </w:numPr>
        <w:ind w:firstLine="720"/>
        <w:rPr>
          <w:b/>
          <w:szCs w:val="26"/>
          <w:u w:val="single"/>
        </w:rPr>
      </w:pPr>
      <w:r w:rsidRPr="00E64DA8">
        <w:rPr>
          <w:b/>
          <w:szCs w:val="26"/>
          <w:u w:val="single"/>
        </w:rPr>
        <w:t>Comments</w:t>
      </w:r>
    </w:p>
    <w:p w:rsidR="00A97CF3" w:rsidRPr="00B82EC8" w:rsidRDefault="00A97CF3" w:rsidP="00A97CF3">
      <w:pPr>
        <w:pStyle w:val="FERCparanumber"/>
        <w:tabs>
          <w:tab w:val="clear" w:pos="720"/>
          <w:tab w:val="num" w:pos="650"/>
          <w:tab w:val="num" w:pos="1350"/>
        </w:tabs>
        <w:rPr>
          <w:szCs w:val="26"/>
        </w:rPr>
      </w:pPr>
      <w:r w:rsidRPr="00B82EC8">
        <w:rPr>
          <w:szCs w:val="26"/>
        </w:rPr>
        <w:t xml:space="preserve">NERC states that the proposed Reliability Standard addresses the existing ambiguity requiring a study of a stuck breaker or protection system failure by specifying that both a stuck breaker and protection system failure must be evaluated.  NERC states that its solution ensures that simulations of both categories are performed, reducing the probability of multiple contingency events leading to cascading and uncontrolled islanding.  </w:t>
      </w:r>
      <w:r>
        <w:rPr>
          <w:szCs w:val="26"/>
        </w:rPr>
        <w:t xml:space="preserve">Similarly, </w:t>
      </w:r>
      <w:r w:rsidRPr="00B82EC8">
        <w:rPr>
          <w:szCs w:val="26"/>
        </w:rPr>
        <w:t xml:space="preserve">Hydro One and EEI </w:t>
      </w:r>
      <w:r>
        <w:rPr>
          <w:szCs w:val="26"/>
        </w:rPr>
        <w:t>contend</w:t>
      </w:r>
      <w:r w:rsidRPr="00B82EC8">
        <w:rPr>
          <w:szCs w:val="26"/>
        </w:rPr>
        <w:t xml:space="preserve"> that a planner </w:t>
      </w:r>
      <w:r>
        <w:rPr>
          <w:szCs w:val="26"/>
        </w:rPr>
        <w:t xml:space="preserve">does not </w:t>
      </w:r>
      <w:r w:rsidRPr="00B82EC8">
        <w:rPr>
          <w:szCs w:val="26"/>
        </w:rPr>
        <w:t xml:space="preserve">need to choose which protection system component failure would have the most significant impact on the Bulk-Power System in the planning assessment.  According to Hydro One, the contingencies stipulated in Table 1, P5 of the </w:t>
      </w:r>
      <w:r>
        <w:rPr>
          <w:szCs w:val="26"/>
        </w:rPr>
        <w:t>proposed TPL</w:t>
      </w:r>
      <w:r w:rsidRPr="00B82EC8">
        <w:rPr>
          <w:szCs w:val="26"/>
        </w:rPr>
        <w:t xml:space="preserve"> Standard are appropriate for the conditions and events to be assessed in the P5 groups which focus on the combination of a single line to ground fault coupled with delayed clearing that may be caused by a protection system failing to open to clear the fault</w:t>
      </w:r>
      <w:r w:rsidR="000C330C">
        <w:rPr>
          <w:szCs w:val="26"/>
        </w:rPr>
        <w:t>.  Hydro One also states that w</w:t>
      </w:r>
      <w:r w:rsidR="00E45753">
        <w:rPr>
          <w:szCs w:val="26"/>
        </w:rPr>
        <w:t>hat causes the protection system to fail is irrelevant in the context of delayed clearing by the backup protection system to clear the fault.</w:t>
      </w:r>
      <w:r w:rsidR="00E45753" w:rsidRPr="00B82EC8" w:rsidDel="00E45753">
        <w:rPr>
          <w:szCs w:val="26"/>
        </w:rPr>
        <w:t xml:space="preserve">  </w:t>
      </w:r>
      <w:r w:rsidRPr="00B82EC8">
        <w:rPr>
          <w:szCs w:val="26"/>
        </w:rPr>
        <w:t xml:space="preserve">  EEI </w:t>
      </w:r>
      <w:r>
        <w:rPr>
          <w:szCs w:val="26"/>
        </w:rPr>
        <w:t>expresses</w:t>
      </w:r>
      <w:r w:rsidRPr="00B82EC8">
        <w:rPr>
          <w:szCs w:val="26"/>
        </w:rPr>
        <w:t xml:space="preserve"> concern that expanding planning studies to include all manner of protection system failures could create a scenario where planners </w:t>
      </w:r>
      <w:r>
        <w:rPr>
          <w:szCs w:val="26"/>
        </w:rPr>
        <w:t>would have</w:t>
      </w:r>
      <w:r w:rsidRPr="00B82EC8">
        <w:rPr>
          <w:szCs w:val="26"/>
        </w:rPr>
        <w:t xml:space="preserve"> to conduct unlimited and unbounded studies.</w:t>
      </w:r>
    </w:p>
    <w:p w:rsidR="00A97CF3" w:rsidRPr="00B82EC8" w:rsidRDefault="00A97CF3" w:rsidP="00A97CF3">
      <w:pPr>
        <w:pStyle w:val="FERCparanumber"/>
        <w:tabs>
          <w:tab w:val="clear" w:pos="720"/>
          <w:tab w:val="num" w:pos="650"/>
          <w:tab w:val="num" w:pos="1350"/>
        </w:tabs>
        <w:rPr>
          <w:szCs w:val="26"/>
        </w:rPr>
      </w:pPr>
      <w:r w:rsidRPr="000C330C">
        <w:rPr>
          <w:szCs w:val="26"/>
        </w:rPr>
        <w:lastRenderedPageBreak/>
        <w:t>In contrast</w:t>
      </w:r>
      <w:r w:rsidR="000C330C">
        <w:rPr>
          <w:szCs w:val="26"/>
        </w:rPr>
        <w:t>,</w:t>
      </w:r>
      <w:r w:rsidRPr="0069638C">
        <w:rPr>
          <w:b/>
          <w:szCs w:val="26"/>
        </w:rPr>
        <w:t xml:space="preserve"> </w:t>
      </w:r>
      <w:r w:rsidRPr="000C330C">
        <w:rPr>
          <w:szCs w:val="26"/>
        </w:rPr>
        <w:t>MISO</w:t>
      </w:r>
      <w:r w:rsidRPr="0069638C">
        <w:rPr>
          <w:b/>
          <w:szCs w:val="26"/>
        </w:rPr>
        <w:t xml:space="preserve"> </w:t>
      </w:r>
      <w:r w:rsidR="004604D2" w:rsidRPr="000C330C">
        <w:rPr>
          <w:szCs w:val="26"/>
        </w:rPr>
        <w:t>agrees</w:t>
      </w:r>
      <w:r w:rsidR="004604D2">
        <w:rPr>
          <w:b/>
          <w:szCs w:val="26"/>
        </w:rPr>
        <w:t xml:space="preserve"> </w:t>
      </w:r>
      <w:r w:rsidR="004604D2" w:rsidRPr="000C330C">
        <w:rPr>
          <w:szCs w:val="26"/>
        </w:rPr>
        <w:t xml:space="preserve">with the </w:t>
      </w:r>
      <w:r w:rsidR="008758B8">
        <w:rPr>
          <w:szCs w:val="26"/>
        </w:rPr>
        <w:t xml:space="preserve">NOPR </w:t>
      </w:r>
      <w:r w:rsidRPr="00B82EC8">
        <w:rPr>
          <w:szCs w:val="26"/>
        </w:rPr>
        <w:t xml:space="preserve">that the more severe or larger contingency may not be assessed because the proposed Reliability Standard limits the planners’ assessment of a protection system failure since it only includes the contingency of a faulty relay component.  MISO </w:t>
      </w:r>
      <w:r>
        <w:rPr>
          <w:szCs w:val="26"/>
        </w:rPr>
        <w:t xml:space="preserve">suggests expanding </w:t>
      </w:r>
      <w:r w:rsidRPr="00B82EC8">
        <w:rPr>
          <w:szCs w:val="26"/>
        </w:rPr>
        <w:t>the assessment of relay failures to include all components of a protection system, including instrument transformers, protective relays, auxiliary relays and communications systems.</w:t>
      </w:r>
    </w:p>
    <w:p w:rsidR="00A97CF3" w:rsidRPr="00B82EC8" w:rsidRDefault="00A97CF3" w:rsidP="00A97CF3">
      <w:pPr>
        <w:pStyle w:val="FERCparanumber"/>
        <w:rPr>
          <w:szCs w:val="26"/>
        </w:rPr>
      </w:pPr>
      <w:r w:rsidRPr="00B82EC8">
        <w:rPr>
          <w:szCs w:val="26"/>
        </w:rPr>
        <w:t xml:space="preserve">With regard to the Commission’s question whether, based on protection system as-built designs, the relay may not always be the larger contingency, NERC states that the proposed Table 1, category P5 (fault plus relay failure to operate) planning event requires evaluation of the failure of the protection system relays whose failure is most likely to cause cascading or uncontrolled islanding of the bulk electric system.  </w:t>
      </w:r>
    </w:p>
    <w:p w:rsidR="00A97CF3" w:rsidRPr="00B82EC8" w:rsidRDefault="00A97CF3" w:rsidP="00A97CF3">
      <w:pPr>
        <w:pStyle w:val="FERCparanumber"/>
        <w:rPr>
          <w:szCs w:val="26"/>
        </w:rPr>
      </w:pPr>
      <w:r w:rsidRPr="00B82EC8">
        <w:rPr>
          <w:szCs w:val="26"/>
        </w:rPr>
        <w:t>Hydro One recognizes that a number of components necessary to operate properly may fail to render a protection system failing to operate when needed, and that such component failures may result in disabling more than one protective relay and the impact of multiple relay failures may be more severe than the SLG fault on a bulk electric system facility with delayed clearing.  According to Hydro One, the more severe consequences of an initial bulk electric system facility contingency combined with multiple or more severe protection system failure</w:t>
      </w:r>
      <w:r w:rsidR="002B0142">
        <w:rPr>
          <w:szCs w:val="26"/>
        </w:rPr>
        <w:t>s</w:t>
      </w:r>
      <w:r w:rsidRPr="00B82EC8">
        <w:rPr>
          <w:szCs w:val="26"/>
        </w:rPr>
        <w:t xml:space="preserve"> </w:t>
      </w:r>
      <w:r w:rsidRPr="00B82EC8">
        <w:rPr>
          <w:szCs w:val="26"/>
        </w:rPr>
        <w:lastRenderedPageBreak/>
        <w:t>would more appropriately be considered or included in the extreme events category.</w:t>
      </w:r>
    </w:p>
    <w:p w:rsidR="00A97CF3" w:rsidRPr="00B82EC8" w:rsidRDefault="00A97CF3" w:rsidP="00A97CF3">
      <w:pPr>
        <w:pStyle w:val="FERCparanumber"/>
        <w:rPr>
          <w:szCs w:val="26"/>
        </w:rPr>
      </w:pPr>
      <w:r w:rsidRPr="00B82EC8">
        <w:rPr>
          <w:szCs w:val="26"/>
        </w:rPr>
        <w:t xml:space="preserve">ISO/RTOs agree that the range of potential assessments should be expanded to include all components of a protection system including instrument transformers, protective relays, auxiliary relays and communications systems for the purpose of category P-5 contingencies, but because these devices are often in series, consideration of all of these components will not necessarily have any significant impact on analyses. </w:t>
      </w:r>
    </w:p>
    <w:p w:rsidR="00A97CF3" w:rsidRDefault="00A97CF3" w:rsidP="00A97CF3">
      <w:pPr>
        <w:pStyle w:val="FERCparanumber"/>
        <w:tabs>
          <w:tab w:val="num" w:pos="1350"/>
        </w:tabs>
        <w:rPr>
          <w:szCs w:val="26"/>
        </w:rPr>
      </w:pPr>
      <w:r w:rsidRPr="00B82EC8">
        <w:rPr>
          <w:szCs w:val="26"/>
        </w:rPr>
        <w:t>With regard to the question of how does the loss of a protection system component integral to multiple protection systems impact reliability</w:t>
      </w:r>
      <w:r>
        <w:rPr>
          <w:szCs w:val="26"/>
        </w:rPr>
        <w:t xml:space="preserve">, </w:t>
      </w:r>
      <w:r w:rsidRPr="00B82EC8">
        <w:rPr>
          <w:szCs w:val="26"/>
        </w:rPr>
        <w:t xml:space="preserve">NERC states that the loss of a relay that is integral to multiple protection systems would require simulation of the full impact of that relay’s failure on the system for the event being studied under the category P5 planning event.  With respect to whether there is a reliability concern regarding single points of failure on protection systems, NERC </w:t>
      </w:r>
      <w:r>
        <w:rPr>
          <w:szCs w:val="26"/>
        </w:rPr>
        <w:t xml:space="preserve">indicates that it </w:t>
      </w:r>
      <w:r w:rsidRPr="00B82EC8">
        <w:rPr>
          <w:szCs w:val="26"/>
        </w:rPr>
        <w:t>has a</w:t>
      </w:r>
      <w:r>
        <w:rPr>
          <w:szCs w:val="26"/>
        </w:rPr>
        <w:t xml:space="preserve"> </w:t>
      </w:r>
      <w:r w:rsidRPr="00B82EC8">
        <w:rPr>
          <w:szCs w:val="26"/>
        </w:rPr>
        <w:t>project underway to assess that question.</w:t>
      </w:r>
      <w:r w:rsidRPr="00B82EC8">
        <w:rPr>
          <w:rStyle w:val="FootnoteReference"/>
        </w:rPr>
        <w:footnoteReference w:id="53"/>
      </w:r>
      <w:r w:rsidRPr="00021944">
        <w:rPr>
          <w:szCs w:val="26"/>
        </w:rPr>
        <w:t xml:space="preserve"> </w:t>
      </w:r>
    </w:p>
    <w:p w:rsidR="00A97CF3" w:rsidRPr="00DF0075" w:rsidRDefault="00A97CF3" w:rsidP="00A97CF3">
      <w:pPr>
        <w:pStyle w:val="FERCparanumber"/>
        <w:tabs>
          <w:tab w:val="num" w:pos="1350"/>
        </w:tabs>
        <w:rPr>
          <w:szCs w:val="26"/>
        </w:rPr>
      </w:pPr>
      <w:r w:rsidRPr="00DF0075">
        <w:rPr>
          <w:szCs w:val="26"/>
        </w:rPr>
        <w:t xml:space="preserve">Hydro One views the avoidance of having single component failure affecting more than one protection system as a protection system design issue.  Hydro One states that some regional reliability organizations have in place criteria </w:t>
      </w:r>
      <w:r w:rsidRPr="00DF0075">
        <w:rPr>
          <w:szCs w:val="26"/>
        </w:rPr>
        <w:lastRenderedPageBreak/>
        <w:t xml:space="preserve">to ensure protection systems operate properly and to avoid failure of a single component affecting multiple protection systems. </w:t>
      </w:r>
    </w:p>
    <w:p w:rsidR="00A97CF3" w:rsidRPr="00E64DA8" w:rsidRDefault="00A97CF3" w:rsidP="00A97CF3">
      <w:pPr>
        <w:pStyle w:val="FERCparanumber"/>
        <w:numPr>
          <w:ilvl w:val="0"/>
          <w:numId w:val="0"/>
        </w:numPr>
        <w:ind w:firstLine="720"/>
        <w:rPr>
          <w:b/>
          <w:u w:val="single"/>
        </w:rPr>
      </w:pPr>
      <w:r w:rsidRPr="00E64DA8">
        <w:rPr>
          <w:b/>
          <w:u w:val="single"/>
        </w:rPr>
        <w:t>Commission Determination</w:t>
      </w:r>
    </w:p>
    <w:p w:rsidR="00A97CF3" w:rsidRPr="00DF0075" w:rsidRDefault="001C261D" w:rsidP="00A97CF3">
      <w:pPr>
        <w:pStyle w:val="FERCparanumber"/>
        <w:tabs>
          <w:tab w:val="num" w:pos="1350"/>
        </w:tabs>
        <w:rPr>
          <w:szCs w:val="26"/>
        </w:rPr>
      </w:pPr>
      <w:r>
        <w:t xml:space="preserve">The Commission </w:t>
      </w:r>
      <w:r w:rsidR="00A97CF3">
        <w:t>agree</w:t>
      </w:r>
      <w:r w:rsidR="007B4DD8">
        <w:t>s</w:t>
      </w:r>
      <w:r w:rsidR="00A97CF3">
        <w:t xml:space="preserve"> with NERC’s statement that Reliability Standard-TPL-00</w:t>
      </w:r>
      <w:r w:rsidR="007B4DD8">
        <w:t>1</w:t>
      </w:r>
      <w:r w:rsidR="00A97CF3">
        <w:t>-</w:t>
      </w:r>
      <w:r w:rsidR="007B4DD8">
        <w:t>4</w:t>
      </w:r>
      <w:r w:rsidR="00A97CF3">
        <w:t xml:space="preserve"> </w:t>
      </w:r>
      <w:r w:rsidR="00A97CF3" w:rsidRPr="006E3C5E">
        <w:rPr>
          <w:szCs w:val="26"/>
        </w:rPr>
        <w:t xml:space="preserve">addresses the existing ambiguity </w:t>
      </w:r>
      <w:r w:rsidR="009C61BF">
        <w:rPr>
          <w:szCs w:val="26"/>
        </w:rPr>
        <w:t xml:space="preserve">of the currently-effective TPL Reliability Standards </w:t>
      </w:r>
      <w:r w:rsidR="00A97CF3" w:rsidRPr="006E3C5E">
        <w:rPr>
          <w:szCs w:val="26"/>
        </w:rPr>
        <w:t>requiring a study of a stuck breaker or protection system failure</w:t>
      </w:r>
      <w:r w:rsidR="009C61BF">
        <w:rPr>
          <w:szCs w:val="26"/>
        </w:rPr>
        <w:t>.  We find that Reliability Standard TPL-001-4,</w:t>
      </w:r>
      <w:r w:rsidR="00A97CF3" w:rsidRPr="006E3C5E">
        <w:rPr>
          <w:szCs w:val="26"/>
        </w:rPr>
        <w:t xml:space="preserve"> specifying that both a stuck breaker and </w:t>
      </w:r>
      <w:r w:rsidR="009C61BF">
        <w:rPr>
          <w:szCs w:val="26"/>
        </w:rPr>
        <w:t xml:space="preserve">a relay </w:t>
      </w:r>
      <w:r w:rsidR="00A97CF3" w:rsidRPr="006E3C5E">
        <w:rPr>
          <w:szCs w:val="26"/>
        </w:rPr>
        <w:t>failure must be evaluated</w:t>
      </w:r>
      <w:r w:rsidR="00A97CF3">
        <w:rPr>
          <w:szCs w:val="26"/>
        </w:rPr>
        <w:t>, is reasonable</w:t>
      </w:r>
      <w:r w:rsidR="004128BC">
        <w:rPr>
          <w:szCs w:val="26"/>
        </w:rPr>
        <w:t xml:space="preserve"> to remove the ambiguity</w:t>
      </w:r>
      <w:r w:rsidR="00A97CF3">
        <w:rPr>
          <w:szCs w:val="26"/>
        </w:rPr>
        <w:t>.  Further,</w:t>
      </w:r>
      <w:r w:rsidR="00A97CF3">
        <w:t xml:space="preserve"> as explained by </w:t>
      </w:r>
      <w:r w:rsidR="00A97CF3" w:rsidRPr="002D3F57">
        <w:t>NERC</w:t>
      </w:r>
      <w:r w:rsidR="00A97CF3">
        <w:t>,</w:t>
      </w:r>
      <w:r w:rsidR="00A97CF3" w:rsidRPr="002D3F57">
        <w:t xml:space="preserve"> the loss of a relay that is integral to multiple protection systems would require simulation of the full impact of that relay’s failure on the system for the event being studied under the category P5 planning event.  </w:t>
      </w:r>
      <w:r w:rsidR="00A97CF3">
        <w:rPr>
          <w:szCs w:val="26"/>
        </w:rPr>
        <w:t xml:space="preserve">In addition, </w:t>
      </w:r>
      <w:r w:rsidR="00A97CF3" w:rsidRPr="00DF0075">
        <w:rPr>
          <w:szCs w:val="26"/>
        </w:rPr>
        <w:t xml:space="preserve">Reliability Standard TPL-001-4 requires study and evaluation of both a stuck breaker (Table 1, Category P4) and </w:t>
      </w:r>
      <w:r w:rsidR="00810B3B">
        <w:rPr>
          <w:szCs w:val="26"/>
        </w:rPr>
        <w:t xml:space="preserve">a relay </w:t>
      </w:r>
      <w:r w:rsidR="00A97CF3" w:rsidRPr="00DF0075">
        <w:rPr>
          <w:szCs w:val="26"/>
        </w:rPr>
        <w:t>failure (Table 1, Category P5) and that simulations of both categories reduce the probability of multiple contingency events leading to cascadi</w:t>
      </w:r>
      <w:r w:rsidR="00A97CF3">
        <w:rPr>
          <w:szCs w:val="26"/>
        </w:rPr>
        <w:t>ng</w:t>
      </w:r>
      <w:r w:rsidR="00EB6C57">
        <w:rPr>
          <w:szCs w:val="26"/>
        </w:rPr>
        <w:t>, instability or</w:t>
      </w:r>
      <w:r w:rsidR="00A97CF3">
        <w:rPr>
          <w:szCs w:val="26"/>
        </w:rPr>
        <w:t xml:space="preserve"> uncontrolled islanding. </w:t>
      </w:r>
    </w:p>
    <w:p w:rsidR="00A97CF3" w:rsidRDefault="007B4DD8" w:rsidP="00A97CF3">
      <w:pPr>
        <w:pStyle w:val="FERCparanumber"/>
        <w:tabs>
          <w:tab w:val="num" w:pos="1350"/>
        </w:tabs>
        <w:rPr>
          <w:szCs w:val="26"/>
        </w:rPr>
      </w:pPr>
      <w:r>
        <w:rPr>
          <w:szCs w:val="26"/>
        </w:rPr>
        <w:t>Th</w:t>
      </w:r>
      <w:r w:rsidR="00A97CF3">
        <w:rPr>
          <w:szCs w:val="26"/>
        </w:rPr>
        <w:t>e</w:t>
      </w:r>
      <w:r>
        <w:rPr>
          <w:szCs w:val="26"/>
        </w:rPr>
        <w:t xml:space="preserve"> Commission</w:t>
      </w:r>
      <w:r w:rsidR="00A97CF3">
        <w:rPr>
          <w:szCs w:val="26"/>
        </w:rPr>
        <w:t xml:space="preserve"> do</w:t>
      </w:r>
      <w:r>
        <w:rPr>
          <w:szCs w:val="26"/>
        </w:rPr>
        <w:t>es</w:t>
      </w:r>
      <w:r w:rsidR="00A97CF3">
        <w:rPr>
          <w:szCs w:val="26"/>
        </w:rPr>
        <w:t xml:space="preserve"> not find the need to take any further action with regard to this issue.  We note, however, that </w:t>
      </w:r>
      <w:r w:rsidR="00A97CF3" w:rsidRPr="00F81FA0">
        <w:rPr>
          <w:szCs w:val="26"/>
        </w:rPr>
        <w:t>a</w:t>
      </w:r>
      <w:r w:rsidR="00A97CF3">
        <w:t xml:space="preserve">n assessment of a relay component failure may not necessarily </w:t>
      </w:r>
      <w:r w:rsidR="00A97CF3" w:rsidRPr="005642FC">
        <w:t>assess the mo</w:t>
      </w:r>
      <w:r w:rsidR="00A97CF3">
        <w:t>re severe or larger contingency</w:t>
      </w:r>
      <w:r w:rsidR="004128BC">
        <w:t>, compared to a protection system failure under the currently-effective TPL Standards</w:t>
      </w:r>
      <w:r w:rsidR="00A97CF3">
        <w:t>.  B</w:t>
      </w:r>
      <w:r w:rsidR="00A97CF3" w:rsidRPr="00F81FA0">
        <w:rPr>
          <w:szCs w:val="26"/>
        </w:rPr>
        <w:t xml:space="preserve">ased on various protection system as-built designs, </w:t>
      </w:r>
      <w:r w:rsidR="004E1BA3">
        <w:rPr>
          <w:szCs w:val="26"/>
        </w:rPr>
        <w:t xml:space="preserve">NERC has </w:t>
      </w:r>
      <w:r w:rsidR="004E1BA3">
        <w:rPr>
          <w:szCs w:val="26"/>
        </w:rPr>
        <w:lastRenderedPageBreak/>
        <w:t xml:space="preserve">indicated that </w:t>
      </w:r>
      <w:r w:rsidR="00A97CF3" w:rsidRPr="00F81FA0">
        <w:rPr>
          <w:szCs w:val="26"/>
        </w:rPr>
        <w:t xml:space="preserve">the planner should </w:t>
      </w:r>
      <w:r w:rsidR="00AA418A">
        <w:rPr>
          <w:szCs w:val="26"/>
        </w:rPr>
        <w:t>use “</w:t>
      </w:r>
      <w:r w:rsidR="00AA418A" w:rsidRPr="00CB7BDD">
        <w:rPr>
          <w:szCs w:val="26"/>
        </w:rPr>
        <w:t>engineering judgment in its</w:t>
      </w:r>
      <w:r w:rsidR="00AA418A">
        <w:rPr>
          <w:szCs w:val="26"/>
        </w:rPr>
        <w:t xml:space="preserve"> </w:t>
      </w:r>
      <w:r w:rsidR="00AA418A" w:rsidRPr="00CB7BDD">
        <w:rPr>
          <w:szCs w:val="26"/>
        </w:rPr>
        <w:t>selection of the protection system component failures for</w:t>
      </w:r>
      <w:r w:rsidR="00AA418A">
        <w:rPr>
          <w:szCs w:val="26"/>
        </w:rPr>
        <w:t xml:space="preserve"> </w:t>
      </w:r>
      <w:r w:rsidR="00AA418A" w:rsidRPr="00CB7BDD">
        <w:rPr>
          <w:szCs w:val="26"/>
        </w:rPr>
        <w:t>evaluation that would produce the more severe system results or</w:t>
      </w:r>
      <w:r w:rsidR="00AA418A">
        <w:rPr>
          <w:szCs w:val="26"/>
        </w:rPr>
        <w:t xml:space="preserve"> </w:t>
      </w:r>
      <w:r w:rsidR="00AA418A" w:rsidRPr="00CB7BDD">
        <w:rPr>
          <w:szCs w:val="26"/>
        </w:rPr>
        <w:t>impact</w:t>
      </w:r>
      <w:r w:rsidR="00AA418A">
        <w:rPr>
          <w:szCs w:val="26"/>
        </w:rPr>
        <w:t>..</w:t>
      </w:r>
      <w:r w:rsidR="00AA418A" w:rsidRPr="00CB7BDD">
        <w:rPr>
          <w:szCs w:val="26"/>
        </w:rPr>
        <w:t>.</w:t>
      </w:r>
      <w:r w:rsidR="00AA418A">
        <w:rPr>
          <w:szCs w:val="26"/>
        </w:rPr>
        <w:t>.</w:t>
      </w:r>
      <w:r w:rsidR="00AA418A" w:rsidRPr="00CB7BDD">
        <w:rPr>
          <w:szCs w:val="26"/>
        </w:rPr>
        <w:t xml:space="preserve"> </w:t>
      </w:r>
      <w:r w:rsidR="00AA418A">
        <w:rPr>
          <w:szCs w:val="26"/>
        </w:rPr>
        <w:t xml:space="preserve"> </w:t>
      </w:r>
      <w:r w:rsidR="00AA418A" w:rsidRPr="00CB7BDD">
        <w:rPr>
          <w:szCs w:val="26"/>
        </w:rPr>
        <w:t>The</w:t>
      </w:r>
      <w:r w:rsidR="00AA418A">
        <w:rPr>
          <w:szCs w:val="26"/>
        </w:rPr>
        <w:t xml:space="preserve"> </w:t>
      </w:r>
      <w:r w:rsidR="00AA418A" w:rsidRPr="00CB7BDD">
        <w:rPr>
          <w:szCs w:val="26"/>
        </w:rPr>
        <w:t>evaluation would include addressing all protection systems</w:t>
      </w:r>
      <w:r w:rsidR="00AA418A">
        <w:rPr>
          <w:szCs w:val="26"/>
        </w:rPr>
        <w:t xml:space="preserve"> </w:t>
      </w:r>
      <w:r w:rsidR="00AA418A" w:rsidRPr="00CB7BDD">
        <w:rPr>
          <w:szCs w:val="26"/>
        </w:rPr>
        <w:t>affected by the selected component.</w:t>
      </w:r>
      <w:r w:rsidR="00AA418A">
        <w:rPr>
          <w:szCs w:val="26"/>
        </w:rPr>
        <w:t xml:space="preserve"> </w:t>
      </w:r>
      <w:r w:rsidR="00AA418A" w:rsidRPr="00CB7BDD">
        <w:rPr>
          <w:szCs w:val="26"/>
        </w:rPr>
        <w:t xml:space="preserve"> A protection system</w:t>
      </w:r>
      <w:r w:rsidR="00AA418A">
        <w:rPr>
          <w:szCs w:val="26"/>
        </w:rPr>
        <w:t xml:space="preserve"> </w:t>
      </w:r>
      <w:r w:rsidR="00AA418A" w:rsidRPr="00CB7BDD">
        <w:rPr>
          <w:szCs w:val="26"/>
        </w:rPr>
        <w:t>component failure that impacts one or more protection systems and</w:t>
      </w:r>
      <w:r w:rsidR="00AA418A">
        <w:rPr>
          <w:szCs w:val="26"/>
        </w:rPr>
        <w:t xml:space="preserve"> </w:t>
      </w:r>
      <w:r w:rsidR="00AA418A" w:rsidRPr="00CB7BDD">
        <w:rPr>
          <w:szCs w:val="26"/>
        </w:rPr>
        <w:t xml:space="preserve">increases the total fault clearing time requires the </w:t>
      </w:r>
      <w:r w:rsidR="00AA418A">
        <w:rPr>
          <w:szCs w:val="26"/>
        </w:rPr>
        <w:t>[planner]</w:t>
      </w:r>
      <w:r w:rsidR="00AA418A" w:rsidRPr="00CB7BDD">
        <w:rPr>
          <w:szCs w:val="26"/>
        </w:rPr>
        <w:t xml:space="preserve"> to simulate the full impact</w:t>
      </w:r>
      <w:r w:rsidR="00AA418A">
        <w:rPr>
          <w:szCs w:val="26"/>
        </w:rPr>
        <w:t xml:space="preserve"> </w:t>
      </w:r>
      <w:r w:rsidR="00AA418A" w:rsidRPr="00CB7BDD">
        <w:rPr>
          <w:szCs w:val="26"/>
        </w:rPr>
        <w:t>(clearing time and facilities removed) on the Bulk Electric System</w:t>
      </w:r>
      <w:r w:rsidR="00AA418A">
        <w:rPr>
          <w:szCs w:val="26"/>
        </w:rPr>
        <w:t xml:space="preserve"> </w:t>
      </w:r>
      <w:r w:rsidR="00AA418A" w:rsidRPr="00CB7BDD">
        <w:rPr>
          <w:szCs w:val="26"/>
        </w:rPr>
        <w:t>performance.</w:t>
      </w:r>
      <w:r w:rsidR="00AA418A">
        <w:rPr>
          <w:szCs w:val="26"/>
        </w:rPr>
        <w:t>”</w:t>
      </w:r>
      <w:r w:rsidR="00AA418A">
        <w:rPr>
          <w:rStyle w:val="FootnoteReference"/>
        </w:rPr>
        <w:footnoteReference w:id="54"/>
      </w:r>
      <w:r w:rsidR="00AA418A">
        <w:rPr>
          <w:szCs w:val="26"/>
        </w:rPr>
        <w:t xml:space="preserve">  </w:t>
      </w:r>
      <w:r w:rsidR="00A97CF3" w:rsidRPr="00F81FA0">
        <w:rPr>
          <w:szCs w:val="26"/>
        </w:rPr>
        <w:t>However, the Commission will not direct NERC to modify the standard</w:t>
      </w:r>
      <w:r w:rsidR="00DE1AFC">
        <w:rPr>
          <w:szCs w:val="26"/>
        </w:rPr>
        <w:t xml:space="preserve"> at this time</w:t>
      </w:r>
      <w:r w:rsidR="008758B8">
        <w:rPr>
          <w:szCs w:val="26"/>
        </w:rPr>
        <w:t>, pending completion of NERC’s work on single points of failure on protection systems</w:t>
      </w:r>
      <w:r w:rsidR="0068258D">
        <w:rPr>
          <w:szCs w:val="26"/>
        </w:rPr>
        <w:t>.</w:t>
      </w:r>
      <w:r>
        <w:rPr>
          <w:rStyle w:val="FootnoteReference"/>
        </w:rPr>
        <w:footnoteReference w:id="55"/>
      </w:r>
    </w:p>
    <w:p w:rsidR="00C60279" w:rsidRPr="00021944" w:rsidRDefault="00C60279" w:rsidP="000350B1">
      <w:pPr>
        <w:pStyle w:val="Heading3"/>
      </w:pPr>
      <w:r w:rsidRPr="00021944">
        <w:t xml:space="preserve">Assessment of Backup or Redundant Protection Systems </w:t>
      </w:r>
    </w:p>
    <w:p w:rsidR="00217F61" w:rsidRPr="00E64DA8" w:rsidRDefault="00217F61" w:rsidP="00217F61">
      <w:pPr>
        <w:pStyle w:val="FERCparanumber"/>
        <w:numPr>
          <w:ilvl w:val="0"/>
          <w:numId w:val="0"/>
        </w:numPr>
        <w:ind w:firstLine="720"/>
        <w:rPr>
          <w:b/>
          <w:szCs w:val="26"/>
          <w:u w:val="single"/>
        </w:rPr>
      </w:pPr>
      <w:r w:rsidRPr="00E64DA8">
        <w:rPr>
          <w:b/>
          <w:szCs w:val="26"/>
          <w:u w:val="single"/>
        </w:rPr>
        <w:t xml:space="preserve">NOPR Proposal </w:t>
      </w:r>
    </w:p>
    <w:p w:rsidR="00C60279" w:rsidRPr="00021944" w:rsidRDefault="00C60279" w:rsidP="007133DA">
      <w:pPr>
        <w:pStyle w:val="FERCparanumber"/>
        <w:tabs>
          <w:tab w:val="clear" w:pos="720"/>
          <w:tab w:val="num" w:pos="650"/>
          <w:tab w:val="num" w:pos="1350"/>
        </w:tabs>
        <w:rPr>
          <w:szCs w:val="26"/>
        </w:rPr>
      </w:pPr>
      <w:r w:rsidRPr="00021944">
        <w:rPr>
          <w:szCs w:val="26"/>
        </w:rPr>
        <w:t xml:space="preserve">Requirement R3, Part 3.3.1 and Requirement R4, Part 4.3.1 </w:t>
      </w:r>
      <w:r w:rsidR="00E629D8">
        <w:rPr>
          <w:szCs w:val="26"/>
        </w:rPr>
        <w:t>of Reliability Standard TPL-001-4</w:t>
      </w:r>
      <w:r w:rsidR="007133DA" w:rsidRPr="00021944">
        <w:rPr>
          <w:szCs w:val="26"/>
        </w:rPr>
        <w:t xml:space="preserve"> </w:t>
      </w:r>
      <w:r w:rsidRPr="00021944">
        <w:rPr>
          <w:szCs w:val="26"/>
        </w:rPr>
        <w:t xml:space="preserve">require that simulations duplicate what will happen in an actual power system based on the expected performance of the protection </w:t>
      </w:r>
      <w:r w:rsidRPr="00021944">
        <w:rPr>
          <w:szCs w:val="26"/>
        </w:rPr>
        <w:lastRenderedPageBreak/>
        <w:t>systems.</w:t>
      </w:r>
      <w:r w:rsidRPr="00021944">
        <w:rPr>
          <w:rStyle w:val="FootnoteReference"/>
        </w:rPr>
        <w:footnoteReference w:id="56"/>
      </w:r>
      <w:r w:rsidRPr="00021944">
        <w:rPr>
          <w:szCs w:val="26"/>
        </w:rPr>
        <w:t xml:space="preserve">  According to NERC, these requirements ensure that</w:t>
      </w:r>
      <w:r w:rsidR="00E629D8">
        <w:rPr>
          <w:szCs w:val="26"/>
        </w:rPr>
        <w:t>,</w:t>
      </w:r>
      <w:r w:rsidRPr="00021944">
        <w:rPr>
          <w:szCs w:val="26"/>
        </w:rPr>
        <w:t xml:space="preserve"> </w:t>
      </w:r>
      <w:r w:rsidR="00E629D8">
        <w:rPr>
          <w:szCs w:val="26"/>
        </w:rPr>
        <w:t>for</w:t>
      </w:r>
      <w:r w:rsidRPr="00021944">
        <w:rPr>
          <w:szCs w:val="26"/>
        </w:rPr>
        <w:t xml:space="preserve"> a protection system designed “to remove multiple Elements from service for an event that the simulation will be run with all of those Elements removed from service.”</w:t>
      </w:r>
      <w:r w:rsidRPr="00021944">
        <w:rPr>
          <w:rStyle w:val="FootnoteReference"/>
        </w:rPr>
        <w:footnoteReference w:id="57"/>
      </w:r>
      <w:r w:rsidR="007133DA" w:rsidRPr="00021944">
        <w:rPr>
          <w:szCs w:val="26"/>
        </w:rPr>
        <w:t xml:space="preserve">  In the NOPR</w:t>
      </w:r>
      <w:r w:rsidR="00E629D8">
        <w:rPr>
          <w:szCs w:val="26"/>
        </w:rPr>
        <w:t>,</w:t>
      </w:r>
      <w:r w:rsidR="007133DA" w:rsidRPr="00021944">
        <w:rPr>
          <w:szCs w:val="26"/>
        </w:rPr>
        <w:t xml:space="preserve"> the Commission observed that t</w:t>
      </w:r>
      <w:r w:rsidRPr="00021944">
        <w:rPr>
          <w:szCs w:val="26"/>
        </w:rPr>
        <w:t>he</w:t>
      </w:r>
      <w:r w:rsidR="004B6BB4" w:rsidRPr="00021944">
        <w:rPr>
          <w:szCs w:val="26"/>
        </w:rPr>
        <w:t xml:space="preserve">se </w:t>
      </w:r>
      <w:r w:rsidRPr="00021944">
        <w:rPr>
          <w:szCs w:val="26"/>
        </w:rPr>
        <w:t>provision</w:t>
      </w:r>
      <w:r w:rsidR="004B6BB4" w:rsidRPr="00021944">
        <w:rPr>
          <w:szCs w:val="26"/>
        </w:rPr>
        <w:t xml:space="preserve">s do </w:t>
      </w:r>
      <w:r w:rsidRPr="00021944">
        <w:rPr>
          <w:szCs w:val="26"/>
        </w:rPr>
        <w:t>not explicitly refer to “backup or redundant systems” as in the currently</w:t>
      </w:r>
      <w:r w:rsidR="004B6BB4" w:rsidRPr="00021944">
        <w:rPr>
          <w:szCs w:val="26"/>
        </w:rPr>
        <w:t>-</w:t>
      </w:r>
      <w:r w:rsidRPr="00021944">
        <w:rPr>
          <w:szCs w:val="26"/>
        </w:rPr>
        <w:t xml:space="preserve">effective </w:t>
      </w:r>
      <w:r w:rsidR="007133DA" w:rsidRPr="00021944">
        <w:rPr>
          <w:szCs w:val="26"/>
        </w:rPr>
        <w:t>Reliability Standards and sought</w:t>
      </w:r>
      <w:r w:rsidRPr="00021944">
        <w:rPr>
          <w:szCs w:val="26"/>
        </w:rPr>
        <w:t xml:space="preserve"> clarification whether the propos</w:t>
      </w:r>
      <w:r w:rsidR="004B6BB4" w:rsidRPr="00021944">
        <w:rPr>
          <w:szCs w:val="26"/>
        </w:rPr>
        <w:t>al includes</w:t>
      </w:r>
      <w:r w:rsidRPr="00021944">
        <w:rPr>
          <w:szCs w:val="26"/>
        </w:rPr>
        <w:t xml:space="preserve"> backup and redundant protection systems. </w:t>
      </w:r>
    </w:p>
    <w:p w:rsidR="00217F61" w:rsidRPr="00E64DA8" w:rsidRDefault="00217F61" w:rsidP="00217F61">
      <w:pPr>
        <w:pStyle w:val="FERCparanumber"/>
        <w:numPr>
          <w:ilvl w:val="0"/>
          <w:numId w:val="0"/>
        </w:numPr>
        <w:ind w:firstLine="720"/>
        <w:rPr>
          <w:b/>
          <w:szCs w:val="26"/>
          <w:u w:val="single"/>
        </w:rPr>
      </w:pPr>
      <w:r w:rsidRPr="00E64DA8">
        <w:rPr>
          <w:b/>
          <w:szCs w:val="26"/>
          <w:u w:val="single"/>
        </w:rPr>
        <w:t>Comments</w:t>
      </w:r>
    </w:p>
    <w:p w:rsidR="00B57286" w:rsidRPr="00B57286" w:rsidRDefault="007133DA" w:rsidP="00B57286">
      <w:pPr>
        <w:pStyle w:val="FERCparanumber"/>
        <w:tabs>
          <w:tab w:val="clear" w:pos="720"/>
          <w:tab w:val="num" w:pos="650"/>
          <w:tab w:val="num" w:pos="1350"/>
        </w:tabs>
        <w:rPr>
          <w:szCs w:val="26"/>
        </w:rPr>
      </w:pPr>
      <w:r w:rsidRPr="00021944">
        <w:rPr>
          <w:szCs w:val="26"/>
        </w:rPr>
        <w:t xml:space="preserve">NERC </w:t>
      </w:r>
      <w:r w:rsidR="004733B0">
        <w:rPr>
          <w:szCs w:val="26"/>
        </w:rPr>
        <w:t xml:space="preserve">clarifies </w:t>
      </w:r>
      <w:r w:rsidRPr="00021944">
        <w:rPr>
          <w:szCs w:val="26"/>
        </w:rPr>
        <w:t xml:space="preserve">that proposed Requirement R3, Part 3.3.1 and Requirement R4, Part 4.3.1 </w:t>
      </w:r>
      <w:r w:rsidR="00C26256">
        <w:rPr>
          <w:szCs w:val="26"/>
        </w:rPr>
        <w:t>“</w:t>
      </w:r>
      <w:r w:rsidRPr="00021944">
        <w:rPr>
          <w:szCs w:val="26"/>
        </w:rPr>
        <w:t>require the consideration of all protection systems that are relevant to the contingency studied</w:t>
      </w:r>
      <w:r w:rsidR="00E629D8">
        <w:rPr>
          <w:szCs w:val="26"/>
        </w:rPr>
        <w:t>,</w:t>
      </w:r>
      <w:r w:rsidR="00C26256">
        <w:rPr>
          <w:szCs w:val="26"/>
        </w:rPr>
        <w:t>”</w:t>
      </w:r>
      <w:r w:rsidRPr="00021944">
        <w:rPr>
          <w:szCs w:val="26"/>
        </w:rPr>
        <w:t xml:space="preserve"> which includes </w:t>
      </w:r>
      <w:r w:rsidR="00C26256">
        <w:rPr>
          <w:szCs w:val="26"/>
        </w:rPr>
        <w:t>“</w:t>
      </w:r>
      <w:r w:rsidRPr="00021944">
        <w:rPr>
          <w:szCs w:val="26"/>
        </w:rPr>
        <w:t>backup and redundant systems.</w:t>
      </w:r>
      <w:r w:rsidR="00C26256">
        <w:rPr>
          <w:szCs w:val="26"/>
        </w:rPr>
        <w:t>”</w:t>
      </w:r>
      <w:r w:rsidR="00C26256">
        <w:rPr>
          <w:rStyle w:val="FootnoteReference"/>
        </w:rPr>
        <w:footnoteReference w:id="58"/>
      </w:r>
      <w:r w:rsidRPr="00021944">
        <w:rPr>
          <w:szCs w:val="26"/>
        </w:rPr>
        <w:t xml:space="preserve"> </w:t>
      </w:r>
      <w:r w:rsidR="00DB6F80" w:rsidRPr="00021944">
        <w:rPr>
          <w:szCs w:val="26"/>
        </w:rPr>
        <w:t xml:space="preserve"> </w:t>
      </w:r>
      <w:r w:rsidR="00765B98" w:rsidRPr="00021944">
        <w:rPr>
          <w:szCs w:val="26"/>
        </w:rPr>
        <w:t xml:space="preserve">EEI believes that the language is sufficiently clear to ensure a common understanding that backup and redundant protection system impacts needed to be studied regardless of whether the specific words as found in the currently active standard were used.  </w:t>
      </w:r>
      <w:r w:rsidRPr="00021944">
        <w:rPr>
          <w:szCs w:val="26"/>
        </w:rPr>
        <w:t xml:space="preserve">ISO/RTOs </w:t>
      </w:r>
      <w:r w:rsidR="00B57286">
        <w:rPr>
          <w:szCs w:val="26"/>
        </w:rPr>
        <w:t xml:space="preserve">and MISO </w:t>
      </w:r>
      <w:r w:rsidRPr="00021944">
        <w:rPr>
          <w:szCs w:val="26"/>
        </w:rPr>
        <w:t xml:space="preserve">believe that if a protection system is not fully redundant, contingencies should be studied to simulate both delayed clearing and operation of remote backup protection to trip additional facilities </w:t>
      </w:r>
      <w:r w:rsidRPr="00021944">
        <w:rPr>
          <w:szCs w:val="26"/>
        </w:rPr>
        <w:lastRenderedPageBreak/>
        <w:t xml:space="preserve">when required. </w:t>
      </w:r>
      <w:r w:rsidR="00E64DA8">
        <w:rPr>
          <w:szCs w:val="26"/>
        </w:rPr>
        <w:t xml:space="preserve"> </w:t>
      </w:r>
      <w:r w:rsidRPr="000C330C">
        <w:rPr>
          <w:szCs w:val="26"/>
        </w:rPr>
        <w:t>MISO states that i</w:t>
      </w:r>
      <w:r w:rsidR="00024A14" w:rsidRPr="000C330C">
        <w:rPr>
          <w:szCs w:val="26"/>
        </w:rPr>
        <w:t xml:space="preserve">f </w:t>
      </w:r>
      <w:r w:rsidR="00B57286" w:rsidRPr="000C330C">
        <w:rPr>
          <w:szCs w:val="26"/>
        </w:rPr>
        <w:t xml:space="preserve">a protection system is fully redundant, that is, if </w:t>
      </w:r>
      <w:r w:rsidRPr="000C330C">
        <w:rPr>
          <w:szCs w:val="26"/>
        </w:rPr>
        <w:t xml:space="preserve">a single failure of any component in the protection system </w:t>
      </w:r>
      <w:r w:rsidR="00B57286" w:rsidRPr="000C330C">
        <w:rPr>
          <w:szCs w:val="26"/>
        </w:rPr>
        <w:t xml:space="preserve">(other than monitored DC voltage) </w:t>
      </w:r>
      <w:r w:rsidRPr="000C330C">
        <w:rPr>
          <w:szCs w:val="26"/>
        </w:rPr>
        <w:t xml:space="preserve">would not result in delayed </w:t>
      </w:r>
      <w:r w:rsidR="00024A14" w:rsidRPr="000C330C">
        <w:rPr>
          <w:szCs w:val="26"/>
        </w:rPr>
        <w:t xml:space="preserve">or failed </w:t>
      </w:r>
      <w:r w:rsidRPr="000C330C">
        <w:rPr>
          <w:szCs w:val="26"/>
        </w:rPr>
        <w:t xml:space="preserve">tripping it should not be necessary to analyze </w:t>
      </w:r>
      <w:r w:rsidR="00246531" w:rsidRPr="000C330C">
        <w:rPr>
          <w:szCs w:val="26"/>
        </w:rPr>
        <w:t xml:space="preserve">the redundant </w:t>
      </w:r>
      <w:r w:rsidRPr="000C330C">
        <w:rPr>
          <w:szCs w:val="26"/>
        </w:rPr>
        <w:t>protection system failure</w:t>
      </w:r>
      <w:r w:rsidR="000C330C">
        <w:rPr>
          <w:szCs w:val="26"/>
        </w:rPr>
        <w:t>.</w:t>
      </w:r>
    </w:p>
    <w:p w:rsidR="00217F61" w:rsidRPr="004D0157" w:rsidRDefault="00217F61" w:rsidP="00217F61">
      <w:pPr>
        <w:pStyle w:val="FERCparanumber"/>
        <w:numPr>
          <w:ilvl w:val="0"/>
          <w:numId w:val="0"/>
        </w:numPr>
        <w:ind w:firstLine="720"/>
        <w:rPr>
          <w:b/>
          <w:szCs w:val="26"/>
          <w:u w:val="single"/>
        </w:rPr>
      </w:pPr>
      <w:r w:rsidRPr="004D0157">
        <w:rPr>
          <w:b/>
          <w:szCs w:val="26"/>
          <w:u w:val="single"/>
        </w:rPr>
        <w:t>Commission Determination</w:t>
      </w:r>
    </w:p>
    <w:p w:rsidR="00217F61" w:rsidRPr="00021944" w:rsidRDefault="00217F61" w:rsidP="0095411F">
      <w:pPr>
        <w:pStyle w:val="FERCparanumber"/>
        <w:tabs>
          <w:tab w:val="clear" w:pos="720"/>
          <w:tab w:val="num" w:pos="650"/>
          <w:tab w:val="num" w:pos="1350"/>
        </w:tabs>
        <w:rPr>
          <w:szCs w:val="26"/>
        </w:rPr>
      </w:pPr>
      <w:r w:rsidRPr="00021944">
        <w:rPr>
          <w:szCs w:val="26"/>
        </w:rPr>
        <w:t xml:space="preserve">  </w:t>
      </w:r>
      <w:r w:rsidR="0095411F" w:rsidRPr="00021944">
        <w:rPr>
          <w:szCs w:val="26"/>
        </w:rPr>
        <w:t>The Commission</w:t>
      </w:r>
      <w:r w:rsidR="00873A3D" w:rsidRPr="00021944">
        <w:rPr>
          <w:szCs w:val="26"/>
        </w:rPr>
        <w:t xml:space="preserve"> </w:t>
      </w:r>
      <w:r w:rsidR="004733B0">
        <w:rPr>
          <w:szCs w:val="26"/>
        </w:rPr>
        <w:t xml:space="preserve">agrees with NERC and </w:t>
      </w:r>
      <w:r w:rsidR="00FB03C8">
        <w:rPr>
          <w:szCs w:val="26"/>
        </w:rPr>
        <w:t xml:space="preserve">finds that </w:t>
      </w:r>
      <w:r w:rsidR="0095411F" w:rsidRPr="00021944">
        <w:rPr>
          <w:szCs w:val="26"/>
        </w:rPr>
        <w:t xml:space="preserve">Requirement R3, Part 3.3.1 and Requirement R4, Part 4.3.1 include the assessments of backup protection systems.  The Commission agrees </w:t>
      </w:r>
      <w:r w:rsidR="00F16C0B">
        <w:rPr>
          <w:szCs w:val="26"/>
        </w:rPr>
        <w:t xml:space="preserve">with ISOs/RTOs and MISO </w:t>
      </w:r>
      <w:r w:rsidR="0095411F" w:rsidRPr="00021944">
        <w:rPr>
          <w:szCs w:val="26"/>
        </w:rPr>
        <w:t>that if a primary protection system has a fully redundant backup protection system, assessments of the primary protection system is required, but not of the fully redundant backup protection system since the assessment results will be identical</w:t>
      </w:r>
      <w:r w:rsidR="00B70FE6" w:rsidRPr="00021944">
        <w:rPr>
          <w:szCs w:val="26"/>
        </w:rPr>
        <w:t xml:space="preserve">.  Further, we agree that if a protection system is not fully redundant, contingencies are studied to simulate both delayed clearing and operation of remote backup protection </w:t>
      </w:r>
      <w:r w:rsidR="00FB0793">
        <w:rPr>
          <w:szCs w:val="26"/>
        </w:rPr>
        <w:t>which may</w:t>
      </w:r>
      <w:r w:rsidR="00B70FE6" w:rsidRPr="00021944">
        <w:rPr>
          <w:szCs w:val="26"/>
        </w:rPr>
        <w:t xml:space="preserve"> trip additional facilities when required. </w:t>
      </w:r>
      <w:r w:rsidR="0095411F" w:rsidRPr="00021944">
        <w:rPr>
          <w:szCs w:val="26"/>
        </w:rPr>
        <w:t xml:space="preserve"> </w:t>
      </w:r>
    </w:p>
    <w:p w:rsidR="00C60279" w:rsidRPr="00021944" w:rsidRDefault="00C60279" w:rsidP="000350B1">
      <w:pPr>
        <w:pStyle w:val="Heading3"/>
      </w:pPr>
      <w:r w:rsidRPr="00021944">
        <w:t xml:space="preserve">P5 Single Line to Ground Faults </w:t>
      </w:r>
    </w:p>
    <w:p w:rsidR="00217F61" w:rsidRPr="004D0157" w:rsidRDefault="00217F61" w:rsidP="00217F61">
      <w:pPr>
        <w:pStyle w:val="FERCparanumber"/>
        <w:numPr>
          <w:ilvl w:val="0"/>
          <w:numId w:val="0"/>
        </w:numPr>
        <w:ind w:firstLine="720"/>
        <w:rPr>
          <w:b/>
          <w:szCs w:val="26"/>
          <w:u w:val="single"/>
        </w:rPr>
      </w:pPr>
      <w:r w:rsidRPr="004D0157">
        <w:rPr>
          <w:b/>
          <w:szCs w:val="26"/>
          <w:u w:val="single"/>
        </w:rPr>
        <w:t>NOPR Proposal</w:t>
      </w:r>
    </w:p>
    <w:p w:rsidR="00C60279" w:rsidRPr="00021944" w:rsidRDefault="00765B98" w:rsidP="00C60279">
      <w:pPr>
        <w:pStyle w:val="FERCparanumber"/>
        <w:tabs>
          <w:tab w:val="clear" w:pos="720"/>
          <w:tab w:val="num" w:pos="650"/>
          <w:tab w:val="num" w:pos="1350"/>
        </w:tabs>
        <w:rPr>
          <w:szCs w:val="26"/>
        </w:rPr>
      </w:pPr>
      <w:r w:rsidRPr="00021944">
        <w:rPr>
          <w:szCs w:val="26"/>
        </w:rPr>
        <w:t xml:space="preserve">In the </w:t>
      </w:r>
      <w:r w:rsidR="001C17DA">
        <w:rPr>
          <w:szCs w:val="26"/>
        </w:rPr>
        <w:t xml:space="preserve">April 2012 </w:t>
      </w:r>
      <w:r w:rsidRPr="00021944">
        <w:rPr>
          <w:szCs w:val="26"/>
        </w:rPr>
        <w:t>NOPR</w:t>
      </w:r>
      <w:r w:rsidR="00732AB2">
        <w:rPr>
          <w:szCs w:val="26"/>
        </w:rPr>
        <w:t>,</w:t>
      </w:r>
      <w:r w:rsidRPr="00021944">
        <w:rPr>
          <w:szCs w:val="26"/>
        </w:rPr>
        <w:t xml:space="preserve"> the </w:t>
      </w:r>
      <w:r w:rsidR="00C60279" w:rsidRPr="00021944">
        <w:rPr>
          <w:szCs w:val="26"/>
        </w:rPr>
        <w:t>Commission s</w:t>
      </w:r>
      <w:r w:rsidRPr="00021944">
        <w:rPr>
          <w:szCs w:val="26"/>
        </w:rPr>
        <w:t xml:space="preserve">ought </w:t>
      </w:r>
      <w:r w:rsidR="00C60279" w:rsidRPr="00021944">
        <w:rPr>
          <w:szCs w:val="26"/>
        </w:rPr>
        <w:t>clarification whether “fault types” in Table 1 refers to the initiating event.</w:t>
      </w:r>
      <w:r w:rsidR="007D3D3F">
        <w:rPr>
          <w:rStyle w:val="FootnoteReference"/>
        </w:rPr>
        <w:footnoteReference w:id="59"/>
      </w:r>
      <w:r w:rsidR="00C60279" w:rsidRPr="00021944">
        <w:rPr>
          <w:szCs w:val="26"/>
        </w:rPr>
        <w:t xml:space="preserve">         </w:t>
      </w:r>
    </w:p>
    <w:p w:rsidR="004D0157" w:rsidRDefault="004D0157" w:rsidP="00217F61">
      <w:pPr>
        <w:pStyle w:val="FERCparanumber"/>
        <w:numPr>
          <w:ilvl w:val="0"/>
          <w:numId w:val="0"/>
        </w:numPr>
        <w:ind w:firstLine="720"/>
        <w:rPr>
          <w:b/>
          <w:szCs w:val="26"/>
        </w:rPr>
      </w:pPr>
    </w:p>
    <w:p w:rsidR="00217F61" w:rsidRPr="004D0157" w:rsidRDefault="00217F61" w:rsidP="00217F61">
      <w:pPr>
        <w:pStyle w:val="FERCparanumber"/>
        <w:numPr>
          <w:ilvl w:val="0"/>
          <w:numId w:val="0"/>
        </w:numPr>
        <w:ind w:firstLine="720"/>
        <w:rPr>
          <w:b/>
          <w:szCs w:val="26"/>
          <w:u w:val="single"/>
        </w:rPr>
      </w:pPr>
      <w:r w:rsidRPr="004D0157">
        <w:rPr>
          <w:b/>
          <w:szCs w:val="26"/>
          <w:u w:val="single"/>
        </w:rPr>
        <w:lastRenderedPageBreak/>
        <w:t>Comments</w:t>
      </w:r>
    </w:p>
    <w:p w:rsidR="006079FB" w:rsidRDefault="0092272C" w:rsidP="004B6BB4">
      <w:pPr>
        <w:pStyle w:val="FERCparanumber"/>
        <w:tabs>
          <w:tab w:val="clear" w:pos="720"/>
          <w:tab w:val="num" w:pos="650"/>
          <w:tab w:val="num" w:pos="1350"/>
        </w:tabs>
        <w:rPr>
          <w:szCs w:val="26"/>
        </w:rPr>
      </w:pPr>
      <w:r w:rsidRPr="00021944">
        <w:rPr>
          <w:szCs w:val="26"/>
        </w:rPr>
        <w:t>NERC</w:t>
      </w:r>
      <w:r w:rsidR="007D3D3F">
        <w:rPr>
          <w:szCs w:val="26"/>
        </w:rPr>
        <w:t>,</w:t>
      </w:r>
      <w:r w:rsidRPr="00021944">
        <w:rPr>
          <w:szCs w:val="26"/>
        </w:rPr>
        <w:t xml:space="preserve"> </w:t>
      </w:r>
      <w:r w:rsidR="00DA2AE4" w:rsidRPr="00021944">
        <w:rPr>
          <w:szCs w:val="26"/>
        </w:rPr>
        <w:t>EEI</w:t>
      </w:r>
      <w:r w:rsidR="007D3D3F">
        <w:rPr>
          <w:szCs w:val="26"/>
        </w:rPr>
        <w:t>, BPA and ISO/RTOs</w:t>
      </w:r>
      <w:r w:rsidR="00DA2AE4" w:rsidRPr="00021944">
        <w:rPr>
          <w:szCs w:val="26"/>
        </w:rPr>
        <w:t xml:space="preserve"> </w:t>
      </w:r>
      <w:r w:rsidR="007D3D3F">
        <w:rPr>
          <w:szCs w:val="26"/>
        </w:rPr>
        <w:t>all concur</w:t>
      </w:r>
      <w:r w:rsidRPr="00021944">
        <w:rPr>
          <w:szCs w:val="26"/>
        </w:rPr>
        <w:t xml:space="preserve"> that “fault types” refer to the initiating fault to be studied, not to what the fault may evolve into as a result of the simulated conditions.  </w:t>
      </w:r>
      <w:r w:rsidR="007D3D3F">
        <w:rPr>
          <w:szCs w:val="26"/>
        </w:rPr>
        <w:t xml:space="preserve">According to </w:t>
      </w:r>
      <w:r w:rsidRPr="00021944">
        <w:rPr>
          <w:szCs w:val="26"/>
        </w:rPr>
        <w:t>NERC</w:t>
      </w:r>
      <w:r w:rsidR="007D3D3F">
        <w:rPr>
          <w:szCs w:val="26"/>
        </w:rPr>
        <w:t>,</w:t>
      </w:r>
      <w:r w:rsidRPr="00021944">
        <w:rPr>
          <w:szCs w:val="26"/>
        </w:rPr>
        <w:t xml:space="preserve"> the possibility of a single-line-to-ground fault evolving into a three-phase fault is addressed by requiring the study of a three-phase fault as the initial fault.  </w:t>
      </w:r>
      <w:r w:rsidR="00765B98" w:rsidRPr="00021944">
        <w:rPr>
          <w:szCs w:val="26"/>
        </w:rPr>
        <w:t xml:space="preserve"> </w:t>
      </w:r>
    </w:p>
    <w:p w:rsidR="006079FB" w:rsidRPr="004D0157" w:rsidRDefault="006079FB" w:rsidP="006079FB">
      <w:pPr>
        <w:pStyle w:val="FERCparanumber"/>
        <w:numPr>
          <w:ilvl w:val="0"/>
          <w:numId w:val="0"/>
        </w:numPr>
        <w:ind w:firstLine="720"/>
        <w:rPr>
          <w:b/>
          <w:u w:val="single"/>
        </w:rPr>
      </w:pPr>
      <w:r w:rsidRPr="004D0157">
        <w:rPr>
          <w:b/>
          <w:u w:val="single"/>
        </w:rPr>
        <w:t>Commission Determination</w:t>
      </w:r>
    </w:p>
    <w:p w:rsidR="00450BC0" w:rsidRDefault="00765B98" w:rsidP="006079FB">
      <w:pPr>
        <w:pStyle w:val="FERCparanumber"/>
        <w:tabs>
          <w:tab w:val="clear" w:pos="720"/>
          <w:tab w:val="num" w:pos="650"/>
          <w:tab w:val="num" w:pos="1350"/>
        </w:tabs>
        <w:rPr>
          <w:szCs w:val="26"/>
        </w:rPr>
      </w:pPr>
      <w:r w:rsidRPr="00021944">
        <w:rPr>
          <w:szCs w:val="26"/>
        </w:rPr>
        <w:t xml:space="preserve"> </w:t>
      </w:r>
      <w:r w:rsidR="0095411F" w:rsidRPr="006079FB">
        <w:rPr>
          <w:szCs w:val="26"/>
        </w:rPr>
        <w:t xml:space="preserve">The Commission </w:t>
      </w:r>
      <w:r w:rsidR="007418B9">
        <w:rPr>
          <w:szCs w:val="26"/>
        </w:rPr>
        <w:t>finds that</w:t>
      </w:r>
      <w:r w:rsidR="005045BF">
        <w:rPr>
          <w:szCs w:val="26"/>
        </w:rPr>
        <w:t xml:space="preserve"> the explanation of</w:t>
      </w:r>
      <w:r w:rsidR="007418B9">
        <w:rPr>
          <w:szCs w:val="26"/>
        </w:rPr>
        <w:t xml:space="preserve"> </w:t>
      </w:r>
      <w:r w:rsidR="0095411F" w:rsidRPr="006079FB">
        <w:rPr>
          <w:szCs w:val="26"/>
        </w:rPr>
        <w:t xml:space="preserve">NERC and </w:t>
      </w:r>
      <w:r w:rsidR="005045BF">
        <w:rPr>
          <w:szCs w:val="26"/>
        </w:rPr>
        <w:t>others</w:t>
      </w:r>
      <w:r w:rsidR="004733B0">
        <w:rPr>
          <w:szCs w:val="26"/>
        </w:rPr>
        <w:t>,</w:t>
      </w:r>
      <w:r w:rsidR="007418B9">
        <w:rPr>
          <w:szCs w:val="26"/>
        </w:rPr>
        <w:t xml:space="preserve"> </w:t>
      </w:r>
      <w:r w:rsidR="005045BF">
        <w:rPr>
          <w:szCs w:val="26"/>
        </w:rPr>
        <w:t>i.e.,</w:t>
      </w:r>
      <w:r w:rsidR="0095411F" w:rsidRPr="006079FB">
        <w:rPr>
          <w:szCs w:val="26"/>
        </w:rPr>
        <w:t xml:space="preserve"> “fault types” </w:t>
      </w:r>
      <w:r w:rsidR="00863D5D" w:rsidRPr="006079FB">
        <w:rPr>
          <w:szCs w:val="26"/>
        </w:rPr>
        <w:t xml:space="preserve">in </w:t>
      </w:r>
      <w:r w:rsidR="00D838EE" w:rsidRPr="006079FB">
        <w:rPr>
          <w:szCs w:val="26"/>
        </w:rPr>
        <w:t xml:space="preserve">Reliability Standard </w:t>
      </w:r>
      <w:r w:rsidR="00863D5D" w:rsidRPr="006079FB">
        <w:rPr>
          <w:szCs w:val="26"/>
        </w:rPr>
        <w:t xml:space="preserve">TPL-001-4, Table 1 – Steady State &amp; Stability Performance Planning Events </w:t>
      </w:r>
      <w:r w:rsidR="0095411F" w:rsidRPr="006079FB">
        <w:rPr>
          <w:szCs w:val="26"/>
        </w:rPr>
        <w:t>mean</w:t>
      </w:r>
      <w:r w:rsidR="00FB03C8">
        <w:rPr>
          <w:szCs w:val="26"/>
        </w:rPr>
        <w:t>s</w:t>
      </w:r>
      <w:r w:rsidR="0095411F" w:rsidRPr="006079FB">
        <w:rPr>
          <w:szCs w:val="26"/>
        </w:rPr>
        <w:t xml:space="preserve"> the type of fault that initiated the event</w:t>
      </w:r>
      <w:r w:rsidR="004733B0">
        <w:rPr>
          <w:szCs w:val="26"/>
        </w:rPr>
        <w:t>,</w:t>
      </w:r>
      <w:r w:rsidR="00FB03C8">
        <w:rPr>
          <w:szCs w:val="26"/>
        </w:rPr>
        <w:t xml:space="preserve"> is reasonable</w:t>
      </w:r>
      <w:r w:rsidR="0095411F" w:rsidRPr="006079FB">
        <w:rPr>
          <w:szCs w:val="26"/>
        </w:rPr>
        <w:t xml:space="preserve">.  For example, if </w:t>
      </w:r>
      <w:r w:rsidR="00863D5D" w:rsidRPr="006079FB">
        <w:rPr>
          <w:szCs w:val="26"/>
        </w:rPr>
        <w:t xml:space="preserve">the </w:t>
      </w:r>
      <w:r w:rsidR="00BE4983" w:rsidRPr="006079FB">
        <w:rPr>
          <w:szCs w:val="26"/>
        </w:rPr>
        <w:t xml:space="preserve">initiating fault </w:t>
      </w:r>
      <w:r w:rsidR="00863D5D" w:rsidRPr="006079FB">
        <w:rPr>
          <w:szCs w:val="26"/>
        </w:rPr>
        <w:t xml:space="preserve">type </w:t>
      </w:r>
      <w:r w:rsidR="00BE4983" w:rsidRPr="006079FB">
        <w:rPr>
          <w:szCs w:val="26"/>
        </w:rPr>
        <w:t xml:space="preserve">is </w:t>
      </w:r>
      <w:r w:rsidR="0095411F" w:rsidRPr="006079FB">
        <w:rPr>
          <w:szCs w:val="26"/>
        </w:rPr>
        <w:t xml:space="preserve">a </w:t>
      </w:r>
      <w:r w:rsidR="00BE4983" w:rsidRPr="006079FB">
        <w:rPr>
          <w:szCs w:val="26"/>
        </w:rPr>
        <w:t xml:space="preserve">single-line-to-ground </w:t>
      </w:r>
      <w:r w:rsidR="0095411F" w:rsidRPr="006079FB">
        <w:rPr>
          <w:szCs w:val="26"/>
        </w:rPr>
        <w:t xml:space="preserve">fault </w:t>
      </w:r>
      <w:r w:rsidR="00BE4983" w:rsidRPr="006079FB">
        <w:rPr>
          <w:szCs w:val="26"/>
        </w:rPr>
        <w:t xml:space="preserve">and it </w:t>
      </w:r>
      <w:r w:rsidR="0095411F" w:rsidRPr="006079FB">
        <w:rPr>
          <w:szCs w:val="26"/>
        </w:rPr>
        <w:t xml:space="preserve">evolves into a three-phase fault, the </w:t>
      </w:r>
      <w:r w:rsidR="00D15641" w:rsidRPr="006079FB">
        <w:rPr>
          <w:szCs w:val="26"/>
        </w:rPr>
        <w:t>single</w:t>
      </w:r>
      <w:r w:rsidR="001744AB" w:rsidRPr="006079FB">
        <w:rPr>
          <w:szCs w:val="26"/>
        </w:rPr>
        <w:t>-</w:t>
      </w:r>
      <w:r w:rsidR="00D15641" w:rsidRPr="006079FB">
        <w:rPr>
          <w:szCs w:val="26"/>
        </w:rPr>
        <w:t>line</w:t>
      </w:r>
      <w:r w:rsidR="001744AB" w:rsidRPr="006079FB">
        <w:rPr>
          <w:szCs w:val="26"/>
        </w:rPr>
        <w:t>-</w:t>
      </w:r>
      <w:r w:rsidR="00D15641" w:rsidRPr="006079FB">
        <w:rPr>
          <w:szCs w:val="26"/>
        </w:rPr>
        <w:t>to</w:t>
      </w:r>
      <w:r w:rsidR="001744AB" w:rsidRPr="006079FB">
        <w:rPr>
          <w:szCs w:val="26"/>
        </w:rPr>
        <w:t>-</w:t>
      </w:r>
      <w:r w:rsidR="00D15641" w:rsidRPr="006079FB">
        <w:rPr>
          <w:szCs w:val="26"/>
        </w:rPr>
        <w:t xml:space="preserve">ground </w:t>
      </w:r>
      <w:r w:rsidR="0095411F" w:rsidRPr="006079FB">
        <w:rPr>
          <w:szCs w:val="26"/>
        </w:rPr>
        <w:t>fault is still evaluated as the initiating fault type.  If a</w:t>
      </w:r>
      <w:r w:rsidR="00863D5D" w:rsidRPr="006079FB">
        <w:rPr>
          <w:szCs w:val="26"/>
        </w:rPr>
        <w:t xml:space="preserve"> three-</w:t>
      </w:r>
      <w:r w:rsidR="0095411F" w:rsidRPr="006079FB">
        <w:rPr>
          <w:szCs w:val="26"/>
        </w:rPr>
        <w:t xml:space="preserve">phase fault occurs as the initiating event, the fault is assessed as a three phase fault.  Regardless of what the initiating fault type becomes, it does not change the initiating fault type.    </w:t>
      </w:r>
    </w:p>
    <w:p w:rsidR="008127B2" w:rsidRDefault="008127B2" w:rsidP="00957A92">
      <w:pPr>
        <w:pStyle w:val="Heading3"/>
      </w:pPr>
      <w:r>
        <w:t>Order No. 693 Directives</w:t>
      </w:r>
    </w:p>
    <w:p w:rsidR="008758B8" w:rsidRPr="00B20D70" w:rsidRDefault="008127B2" w:rsidP="00E33298">
      <w:pPr>
        <w:pStyle w:val="FERCparanumber"/>
        <w:rPr>
          <w:szCs w:val="26"/>
        </w:rPr>
      </w:pPr>
      <w:r w:rsidRPr="00E33298">
        <w:rPr>
          <w:szCs w:val="26"/>
        </w:rPr>
        <w:t xml:space="preserve">In the April 2012 NOPR, the Commission </w:t>
      </w:r>
      <w:r w:rsidR="00E37BBB" w:rsidRPr="00E33298">
        <w:rPr>
          <w:szCs w:val="26"/>
        </w:rPr>
        <w:t xml:space="preserve">indicated </w:t>
      </w:r>
      <w:r w:rsidRPr="00E33298">
        <w:rPr>
          <w:szCs w:val="26"/>
        </w:rPr>
        <w:t xml:space="preserve">that </w:t>
      </w:r>
      <w:r w:rsidR="00E37BBB" w:rsidRPr="00A110CF">
        <w:rPr>
          <w:szCs w:val="26"/>
        </w:rPr>
        <w:t>the Version 4 TPL</w:t>
      </w:r>
      <w:r w:rsidRPr="00633247">
        <w:rPr>
          <w:szCs w:val="26"/>
        </w:rPr>
        <w:t xml:space="preserve"> Standard appeared responsive to the Order No. 693 directives regarding the TPL Reliability Standards.  However</w:t>
      </w:r>
      <w:r w:rsidR="00E37BBB" w:rsidRPr="001A6A79">
        <w:rPr>
          <w:szCs w:val="26"/>
        </w:rPr>
        <w:t>,</w:t>
      </w:r>
      <w:r w:rsidRPr="001A6A79">
        <w:rPr>
          <w:szCs w:val="26"/>
        </w:rPr>
        <w:t xml:space="preserve"> t</w:t>
      </w:r>
      <w:r>
        <w:t>he Commission sought clarification and comment on the following</w:t>
      </w:r>
      <w:r w:rsidR="009D1646">
        <w:t xml:space="preserve"> issues</w:t>
      </w:r>
      <w:r>
        <w:t>:</w:t>
      </w:r>
      <w:r w:rsidR="009D1646">
        <w:t xml:space="preserve"> </w:t>
      </w:r>
      <w:r>
        <w:t xml:space="preserve"> (a) peer review of planning assessments, </w:t>
      </w:r>
      <w:r w:rsidR="004D0157">
        <w:t xml:space="preserve">       </w:t>
      </w:r>
      <w:r>
        <w:t>(b) spare equipment strategy, (</w:t>
      </w:r>
      <w:r w:rsidR="00683857">
        <w:t>c</w:t>
      </w:r>
      <w:r>
        <w:t>) range of extreme events</w:t>
      </w:r>
      <w:r w:rsidR="00F72B2F">
        <w:t xml:space="preserve">, </w:t>
      </w:r>
      <w:r>
        <w:t>(</w:t>
      </w:r>
      <w:r w:rsidR="00683857">
        <w:t>d</w:t>
      </w:r>
      <w:r>
        <w:t xml:space="preserve">) </w:t>
      </w:r>
      <w:r w:rsidR="00F72B2F">
        <w:t xml:space="preserve">footnote ‘a’ and </w:t>
      </w:r>
      <w:r w:rsidR="004D0157">
        <w:t xml:space="preserve">   </w:t>
      </w:r>
      <w:r w:rsidR="00F72B2F">
        <w:lastRenderedPageBreak/>
        <w:t xml:space="preserve">(e) </w:t>
      </w:r>
      <w:r w:rsidR="00683857">
        <w:t xml:space="preserve">controlled load interruption, </w:t>
      </w:r>
      <w:r w:rsidR="00F72B2F">
        <w:t xml:space="preserve">dynamic </w:t>
      </w:r>
      <w:r w:rsidR="006C4118">
        <w:t>load models</w:t>
      </w:r>
      <w:r w:rsidR="00F72B2F">
        <w:t xml:space="preserve"> and </w:t>
      </w:r>
      <w:r w:rsidR="006C4118">
        <w:t>proxies to simulate cascade</w:t>
      </w:r>
      <w:r w:rsidR="00F72B2F">
        <w:t>.</w:t>
      </w:r>
      <w:r w:rsidR="00E37BBB">
        <w:rPr>
          <w:rStyle w:val="FootnoteReference"/>
        </w:rPr>
        <w:footnoteReference w:id="60"/>
      </w:r>
      <w:r w:rsidR="00AE67E9">
        <w:t xml:space="preserve">  </w:t>
      </w:r>
    </w:p>
    <w:p w:rsidR="008127B2" w:rsidRPr="00E33298" w:rsidRDefault="008758B8" w:rsidP="00E33298">
      <w:pPr>
        <w:pStyle w:val="FERCparanumber"/>
        <w:rPr>
          <w:szCs w:val="26"/>
        </w:rPr>
      </w:pPr>
      <w:r>
        <w:t>T</w:t>
      </w:r>
      <w:r w:rsidR="00AE67E9">
        <w:t xml:space="preserve">he Commission </w:t>
      </w:r>
      <w:r w:rsidR="009D1646">
        <w:t xml:space="preserve">is satisfied and </w:t>
      </w:r>
      <w:r w:rsidR="00AE67E9">
        <w:t xml:space="preserve">agrees with the comments submitted by NERC, EEI and ISO/RTO </w:t>
      </w:r>
      <w:r w:rsidR="007C5012">
        <w:t xml:space="preserve">on issues </w:t>
      </w:r>
      <w:r w:rsidR="007418B9">
        <w:t>re</w:t>
      </w:r>
      <w:r w:rsidR="009D1646">
        <w:t>garding</w:t>
      </w:r>
      <w:r w:rsidR="007418B9">
        <w:t xml:space="preserve"> </w:t>
      </w:r>
      <w:r w:rsidR="00AE67E9">
        <w:t>controlled load interruption</w:t>
      </w:r>
      <w:r w:rsidR="007C5012">
        <w:t xml:space="preserve"> (i.e., </w:t>
      </w:r>
      <w:r w:rsidR="007C5012" w:rsidRPr="005642FC">
        <w:t>third parties must have the same non-consequential load loss options as available to the planner</w:t>
      </w:r>
      <w:r w:rsidR="007C5012">
        <w:t>)</w:t>
      </w:r>
      <w:r w:rsidR="00AE67E9">
        <w:t>, dynamic load models</w:t>
      </w:r>
      <w:r w:rsidR="007C5012">
        <w:t xml:space="preserve"> (i.e., </w:t>
      </w:r>
      <w:r w:rsidR="00970105" w:rsidRPr="005642FC">
        <w:t xml:space="preserve">documentation of dynamic load models used in system studies and the </w:t>
      </w:r>
      <w:r w:rsidR="00970105" w:rsidRPr="00970105">
        <w:t>supporting rationale</w:t>
      </w:r>
      <w:r w:rsidR="00970105" w:rsidRPr="005642FC">
        <w:t xml:space="preserve"> for their use is required</w:t>
      </w:r>
      <w:r w:rsidR="00970105">
        <w:t>)</w:t>
      </w:r>
      <w:r w:rsidR="00AE67E9">
        <w:t xml:space="preserve"> and proxies to simulate cascade</w:t>
      </w:r>
      <w:r w:rsidR="00A11039">
        <w:t xml:space="preserve"> </w:t>
      </w:r>
      <w:r w:rsidR="007C5012">
        <w:t>(</w:t>
      </w:r>
      <w:r w:rsidR="00A11039">
        <w:t>i.e.,</w:t>
      </w:r>
      <w:r w:rsidR="00E33298">
        <w:t xml:space="preserve"> </w:t>
      </w:r>
      <w:r w:rsidR="00E33298" w:rsidRPr="005642FC">
        <w:t>planner</w:t>
      </w:r>
      <w:r w:rsidR="00E33298">
        <w:t>s</w:t>
      </w:r>
      <w:r w:rsidR="00E33298" w:rsidRPr="005642FC">
        <w:t xml:space="preserve"> must define and document their criteria or methodology </w:t>
      </w:r>
      <w:r w:rsidR="00E33298" w:rsidRPr="00E33298">
        <w:t>including proxies</w:t>
      </w:r>
      <w:r w:rsidR="00E33298">
        <w:t xml:space="preserve"> that are</w:t>
      </w:r>
      <w:r w:rsidR="00E33298" w:rsidRPr="005642FC">
        <w:t xml:space="preserve"> used in planning assessment</w:t>
      </w:r>
      <w:r w:rsidR="00E33298">
        <w:t>s</w:t>
      </w:r>
      <w:r w:rsidR="00E33298" w:rsidRPr="005642FC">
        <w:t xml:space="preserve"> due to modeling and simulation limitations</w:t>
      </w:r>
      <w:r w:rsidR="00E33298">
        <w:t xml:space="preserve">).  </w:t>
      </w:r>
      <w:r w:rsidR="009D1646">
        <w:t>Below, we</w:t>
      </w:r>
      <w:r w:rsidR="00EA7430">
        <w:t xml:space="preserve"> address</w:t>
      </w:r>
      <w:r w:rsidR="009D1646">
        <w:t xml:space="preserve"> in greater detail the</w:t>
      </w:r>
      <w:r w:rsidR="00EA7430">
        <w:t xml:space="preserve"> comments on peer review of planning assessments, spare equipment strategy, range of extreme events, and footnote ‘a.’</w:t>
      </w:r>
      <w:r w:rsidR="00AE67E9" w:rsidRPr="00E33298">
        <w:rPr>
          <w:szCs w:val="26"/>
        </w:rPr>
        <w:t xml:space="preserve"> </w:t>
      </w:r>
    </w:p>
    <w:p w:rsidR="00E761C5" w:rsidRDefault="00E761C5" w:rsidP="00E761C5">
      <w:pPr>
        <w:pStyle w:val="Heading4"/>
      </w:pPr>
      <w:r>
        <w:rPr>
          <w:noProof/>
        </w:rPr>
        <w:t>Peer Review of Planning Assessments</w:t>
      </w:r>
    </w:p>
    <w:p w:rsidR="00E761C5" w:rsidRPr="004D0157" w:rsidRDefault="00E761C5" w:rsidP="00E761C5">
      <w:pPr>
        <w:pStyle w:val="FERCparanumber"/>
        <w:numPr>
          <w:ilvl w:val="0"/>
          <w:numId w:val="0"/>
        </w:numPr>
        <w:ind w:firstLine="720"/>
        <w:rPr>
          <w:b/>
          <w:szCs w:val="26"/>
          <w:u w:val="single"/>
        </w:rPr>
      </w:pPr>
      <w:r w:rsidRPr="004D0157">
        <w:rPr>
          <w:b/>
          <w:szCs w:val="26"/>
          <w:u w:val="single"/>
        </w:rPr>
        <w:t>NOPR Proposal</w:t>
      </w:r>
    </w:p>
    <w:p w:rsidR="00286574" w:rsidRDefault="00E761C5" w:rsidP="00286574">
      <w:pPr>
        <w:pStyle w:val="FERCparanumber"/>
        <w:tabs>
          <w:tab w:val="clear" w:pos="720"/>
          <w:tab w:val="num" w:pos="650"/>
          <w:tab w:val="num" w:pos="1350"/>
        </w:tabs>
      </w:pPr>
      <w:r w:rsidRPr="005D7E73">
        <w:t xml:space="preserve">The Commission stated in Order </w:t>
      </w:r>
      <w:r>
        <w:t xml:space="preserve">No. </w:t>
      </w:r>
      <w:r w:rsidRPr="005D7E73">
        <w:t>693 that</w:t>
      </w:r>
      <w:r w:rsidR="003E6D1A">
        <w:t>,</w:t>
      </w:r>
      <w:r w:rsidRPr="005D7E73">
        <w:t xml:space="preserve"> because neighboring systems may </w:t>
      </w:r>
      <w:r w:rsidR="00964613">
        <w:t>adversely impact one another</w:t>
      </w:r>
      <w:r w:rsidRPr="005D7E73">
        <w:t xml:space="preserve">, such systems should be involved in determining and reviewing system conditions and contingencies to be assessed under the currently-effective TPL </w:t>
      </w:r>
      <w:r>
        <w:t xml:space="preserve">Reliability </w:t>
      </w:r>
      <w:r w:rsidRPr="005D7E73">
        <w:t>Standards.</w:t>
      </w:r>
      <w:r w:rsidR="003E6D1A">
        <w:rPr>
          <w:rStyle w:val="FootnoteReference"/>
        </w:rPr>
        <w:footnoteReference w:id="61"/>
      </w:r>
      <w:r>
        <w:t xml:space="preserve">  In its petition, NERC </w:t>
      </w:r>
      <w:r>
        <w:lastRenderedPageBreak/>
        <w:t>stated the proposed Reliability Standard does not include a “peer review” of planning assessments but instead includes an equally effective and efficient manner to provide for the appropriate sharing of information with neighboring systems in proposed Requirement R3, Part 3.4.1, Requirement R4, Part 4.4.1, and Requirement R8.</w:t>
      </w:r>
      <w:r>
        <w:rPr>
          <w:rStyle w:val="FootnoteReference"/>
        </w:rPr>
        <w:footnoteReference w:id="62"/>
      </w:r>
      <w:r>
        <w:t xml:space="preserve"> </w:t>
      </w:r>
    </w:p>
    <w:p w:rsidR="00E761C5" w:rsidRPr="00286574" w:rsidRDefault="00E761C5" w:rsidP="00286574">
      <w:pPr>
        <w:pStyle w:val="FERCparanumber"/>
        <w:tabs>
          <w:tab w:val="clear" w:pos="720"/>
          <w:tab w:val="num" w:pos="650"/>
          <w:tab w:val="num" w:pos="1350"/>
        </w:tabs>
      </w:pPr>
      <w:r>
        <w:t xml:space="preserve">In the April 2012 NOPR, the Commission sought clarification on how the NERC proposal ensures the early input of peers into the planning assessments or any type of coordination among peers will occur.  </w:t>
      </w:r>
      <w:r w:rsidRPr="00286574">
        <w:rPr>
          <w:szCs w:val="26"/>
        </w:rPr>
        <w:t>The Commission also sought comment on whether and how neighboring systems can sufficiently evaluate and provide feedback to the planners on the developm</w:t>
      </w:r>
      <w:r w:rsidR="00A20840">
        <w:rPr>
          <w:szCs w:val="26"/>
        </w:rPr>
        <w:t xml:space="preserve">ent and result of assessments and </w:t>
      </w:r>
      <w:r w:rsidRPr="00286574">
        <w:rPr>
          <w:szCs w:val="26"/>
        </w:rPr>
        <w:t>whether it requires input on the comments to be included in the results or the development of the planning assessments.</w:t>
      </w:r>
    </w:p>
    <w:p w:rsidR="00E761C5" w:rsidRPr="004D0157" w:rsidRDefault="00E761C5" w:rsidP="00E761C5">
      <w:pPr>
        <w:pStyle w:val="FERCparanumber"/>
        <w:numPr>
          <w:ilvl w:val="0"/>
          <w:numId w:val="0"/>
        </w:numPr>
        <w:ind w:firstLine="720"/>
        <w:rPr>
          <w:b/>
          <w:u w:val="single"/>
        </w:rPr>
      </w:pPr>
      <w:r w:rsidRPr="004D0157">
        <w:rPr>
          <w:b/>
          <w:u w:val="single"/>
        </w:rPr>
        <w:t>Comments</w:t>
      </w:r>
    </w:p>
    <w:p w:rsidR="007647D7" w:rsidRDefault="00E761C5" w:rsidP="00212B73">
      <w:pPr>
        <w:pStyle w:val="FERCparanumber"/>
        <w:tabs>
          <w:tab w:val="num" w:pos="1350"/>
        </w:tabs>
      </w:pPr>
      <w:r w:rsidRPr="005642FC">
        <w:t>NERC</w:t>
      </w:r>
      <w:r>
        <w:t xml:space="preserve"> and EEI state that</w:t>
      </w:r>
      <w:r w:rsidR="00204861">
        <w:t>,</w:t>
      </w:r>
      <w:r>
        <w:t xml:space="preserve"> p</w:t>
      </w:r>
      <w:r w:rsidRPr="005642FC">
        <w:t xml:space="preserve">rior to </w:t>
      </w:r>
      <w:r w:rsidR="00F16C0B">
        <w:t xml:space="preserve">sharing planning </w:t>
      </w:r>
      <w:r w:rsidRPr="005642FC">
        <w:t>assessment</w:t>
      </w:r>
      <w:r w:rsidR="00F16C0B">
        <w:t xml:space="preserve"> </w:t>
      </w:r>
      <w:r w:rsidRPr="005642FC">
        <w:t>results in Requirement R8, Requirement R3, Part 3.4.1 and Requirement R4, Part 4.4.1</w:t>
      </w:r>
      <w:r w:rsidR="00F16C0B">
        <w:t xml:space="preserve"> </w:t>
      </w:r>
      <w:r w:rsidRPr="005642FC">
        <w:t xml:space="preserve">require planners to coordinate </w:t>
      </w:r>
      <w:r w:rsidR="005C5B5A">
        <w:t xml:space="preserve">with adjacent planners to develop </w:t>
      </w:r>
      <w:r w:rsidRPr="005642FC">
        <w:t>contingency lists for steady state and stability analysis</w:t>
      </w:r>
      <w:r>
        <w:t>.  EEI states it is most beneficial to planners if coordination occurs earlier in the planning assessment process</w:t>
      </w:r>
      <w:r w:rsidR="00204861">
        <w:t>.</w:t>
      </w:r>
      <w:r w:rsidRPr="005642FC">
        <w:t xml:space="preserve"> </w:t>
      </w:r>
      <w:r>
        <w:t xml:space="preserve"> </w:t>
      </w:r>
    </w:p>
    <w:p w:rsidR="00E761C5" w:rsidRPr="005642FC" w:rsidRDefault="00E761C5" w:rsidP="00E761C5">
      <w:pPr>
        <w:pStyle w:val="FERCparanumber"/>
        <w:tabs>
          <w:tab w:val="clear" w:pos="720"/>
          <w:tab w:val="num" w:pos="650"/>
          <w:tab w:val="num" w:pos="1350"/>
        </w:tabs>
      </w:pPr>
      <w:r w:rsidRPr="005642FC">
        <w:lastRenderedPageBreak/>
        <w:t xml:space="preserve">NERC </w:t>
      </w:r>
      <w:r w:rsidR="00204861">
        <w:t xml:space="preserve">and EEI </w:t>
      </w:r>
      <w:r>
        <w:t xml:space="preserve">also </w:t>
      </w:r>
      <w:r w:rsidR="00204861">
        <w:t>explain</w:t>
      </w:r>
      <w:r>
        <w:t xml:space="preserve"> that </w:t>
      </w:r>
      <w:r w:rsidRPr="005642FC">
        <w:t>Requirement</w:t>
      </w:r>
      <w:r w:rsidR="00204861">
        <w:t>s</w:t>
      </w:r>
      <w:r w:rsidRPr="005642FC">
        <w:t xml:space="preserve"> R2</w:t>
      </w:r>
      <w:r>
        <w:t xml:space="preserve"> through R6 </w:t>
      </w:r>
      <w:r w:rsidRPr="003F4583">
        <w:t>provide adjacent entities sufficient information on how the assessment was performed</w:t>
      </w:r>
      <w:r w:rsidRPr="005642FC">
        <w:t xml:space="preserve"> and expected system performance to effectively evaluate the assessment results and to provide feedback.</w:t>
      </w:r>
      <w:r>
        <w:t xml:space="preserve">  </w:t>
      </w:r>
      <w:r w:rsidR="00204861">
        <w:t xml:space="preserve">Further, </w:t>
      </w:r>
      <w:r w:rsidRPr="005642FC">
        <w:t xml:space="preserve">Requirement R8 requires that each </w:t>
      </w:r>
      <w:r>
        <w:t>p</w:t>
      </w:r>
      <w:r w:rsidRPr="005642FC">
        <w:t xml:space="preserve">lanner must distribute its planning assessment results to adjacent </w:t>
      </w:r>
      <w:r w:rsidR="00A20840">
        <w:t>p</w:t>
      </w:r>
      <w:r w:rsidRPr="005642FC">
        <w:t>lanners within 90 calendar days of completing its assessment</w:t>
      </w:r>
      <w:r>
        <w:t xml:space="preserve">. </w:t>
      </w:r>
    </w:p>
    <w:p w:rsidR="00E761C5" w:rsidRDefault="00E761C5" w:rsidP="00E761C5">
      <w:pPr>
        <w:pStyle w:val="FERCparanumber"/>
      </w:pPr>
      <w:r w:rsidRPr="005642FC">
        <w:t xml:space="preserve">BPA </w:t>
      </w:r>
      <w:r>
        <w:t>states that, w</w:t>
      </w:r>
      <w:r w:rsidRPr="005642FC">
        <w:t xml:space="preserve">hile adjacent </w:t>
      </w:r>
      <w:r>
        <w:t>p</w:t>
      </w:r>
      <w:r w:rsidRPr="005642FC">
        <w:t xml:space="preserve">lanners and </w:t>
      </w:r>
      <w:r>
        <w:t>c</w:t>
      </w:r>
      <w:r w:rsidRPr="005642FC">
        <w:t xml:space="preserve">oordinators should have a stake in the results of </w:t>
      </w:r>
      <w:r>
        <w:t xml:space="preserve">an affected planning assessment, they </w:t>
      </w:r>
      <w:r w:rsidRPr="005642FC">
        <w:t xml:space="preserve">should not be allowed to second guess the </w:t>
      </w:r>
      <w:r>
        <w:t>t</w:t>
      </w:r>
      <w:r w:rsidRPr="005642FC">
        <w:t xml:space="preserve">ransmission </w:t>
      </w:r>
      <w:r>
        <w:t>p</w:t>
      </w:r>
      <w:r w:rsidRPr="005642FC">
        <w:t xml:space="preserve">lanner’s or </w:t>
      </w:r>
      <w:r>
        <w:t>p</w:t>
      </w:r>
      <w:r w:rsidRPr="005642FC">
        <w:t xml:space="preserve">lanning </w:t>
      </w:r>
      <w:r>
        <w:t>c</w:t>
      </w:r>
      <w:r w:rsidRPr="005642FC">
        <w:t>oordinat</w:t>
      </w:r>
      <w:r>
        <w:t xml:space="preserve">or’s studies and methodologies.  </w:t>
      </w:r>
      <w:r w:rsidRPr="005642FC">
        <w:t xml:space="preserve">BPA </w:t>
      </w:r>
      <w:r>
        <w:t>adds that i</w:t>
      </w:r>
      <w:r w:rsidRPr="005642FC">
        <w:t xml:space="preserve">t is important for adjacent </w:t>
      </w:r>
      <w:r>
        <w:t>p</w:t>
      </w:r>
      <w:r w:rsidRPr="005642FC">
        <w:t xml:space="preserve">lanners to have input on how other </w:t>
      </w:r>
      <w:r>
        <w:t>p</w:t>
      </w:r>
      <w:r w:rsidRPr="005642FC">
        <w:t xml:space="preserve">lanning </w:t>
      </w:r>
      <w:r>
        <w:t>a</w:t>
      </w:r>
      <w:r w:rsidRPr="005642FC">
        <w:t xml:space="preserve">ssessments will affect them, and </w:t>
      </w:r>
      <w:r>
        <w:t xml:space="preserve">the </w:t>
      </w:r>
      <w:r w:rsidRPr="005642FC">
        <w:t xml:space="preserve">proposed </w:t>
      </w:r>
      <w:r>
        <w:t xml:space="preserve">Reliability Standards </w:t>
      </w:r>
      <w:r w:rsidRPr="005642FC">
        <w:t>allows such input</w:t>
      </w:r>
      <w:r>
        <w:t xml:space="preserve">.  </w:t>
      </w:r>
      <w:r w:rsidRPr="005642FC">
        <w:t xml:space="preserve">  </w:t>
      </w:r>
    </w:p>
    <w:p w:rsidR="00E761C5" w:rsidRPr="004D0157" w:rsidRDefault="00E761C5" w:rsidP="00E761C5">
      <w:pPr>
        <w:pStyle w:val="FERCparanumber"/>
        <w:numPr>
          <w:ilvl w:val="0"/>
          <w:numId w:val="0"/>
        </w:numPr>
        <w:ind w:firstLine="720"/>
        <w:rPr>
          <w:b/>
          <w:u w:val="single"/>
        </w:rPr>
      </w:pPr>
      <w:r w:rsidRPr="004D0157">
        <w:rPr>
          <w:b/>
          <w:u w:val="single"/>
        </w:rPr>
        <w:t>Commission Determination</w:t>
      </w:r>
    </w:p>
    <w:p w:rsidR="004D0157" w:rsidRDefault="00E761C5" w:rsidP="00E761C5">
      <w:pPr>
        <w:pStyle w:val="FERCparanumber"/>
        <w:tabs>
          <w:tab w:val="num" w:pos="1350"/>
        </w:tabs>
      </w:pPr>
      <w:r>
        <w:t xml:space="preserve">The Commission </w:t>
      </w:r>
      <w:r w:rsidRPr="005642FC">
        <w:t xml:space="preserve">agrees with NERC </w:t>
      </w:r>
      <w:r w:rsidR="00F71E93">
        <w:t xml:space="preserve">and EEI </w:t>
      </w:r>
      <w:r w:rsidRPr="005642FC">
        <w:t>that coordination of</w:t>
      </w:r>
      <w:r w:rsidR="0087028C">
        <w:t xml:space="preserve"> </w:t>
      </w:r>
      <w:r w:rsidRPr="005642FC">
        <w:t xml:space="preserve">contingency lists </w:t>
      </w:r>
      <w:r>
        <w:t xml:space="preserve">with adjacent planners </w:t>
      </w:r>
      <w:r w:rsidRPr="005642FC">
        <w:t xml:space="preserve">under </w:t>
      </w:r>
      <w:r>
        <w:t xml:space="preserve">TPL-001-4 Reliability Standard, </w:t>
      </w:r>
      <w:r w:rsidRPr="005642FC">
        <w:t>Requirement R3, Part 3.4.1 and Requirement R4, Part 4.4.1 ensure</w:t>
      </w:r>
      <w:r>
        <w:t>s</w:t>
      </w:r>
      <w:r w:rsidRPr="005642FC">
        <w:t xml:space="preserve"> that contingencies on adjacent systems that impact </w:t>
      </w:r>
      <w:r>
        <w:t xml:space="preserve">other </w:t>
      </w:r>
      <w:r w:rsidRPr="005642FC">
        <w:t>system</w:t>
      </w:r>
      <w:r>
        <w:t>s</w:t>
      </w:r>
      <w:r w:rsidRPr="005642FC">
        <w:t xml:space="preserve"> are </w:t>
      </w:r>
      <w:r w:rsidR="006D0542">
        <w:t xml:space="preserve">developed and </w:t>
      </w:r>
    </w:p>
    <w:p w:rsidR="00E761C5" w:rsidRDefault="006D0542" w:rsidP="004D0157">
      <w:pPr>
        <w:pStyle w:val="FERCparanumber"/>
        <w:numPr>
          <w:ilvl w:val="0"/>
          <w:numId w:val="0"/>
        </w:numPr>
        <w:tabs>
          <w:tab w:val="num" w:pos="1350"/>
        </w:tabs>
      </w:pPr>
      <w:r>
        <w:lastRenderedPageBreak/>
        <w:t>i</w:t>
      </w:r>
      <w:r w:rsidR="00E761C5" w:rsidRPr="005642FC">
        <w:t xml:space="preserve">ncluded </w:t>
      </w:r>
      <w:r w:rsidR="00E761C5">
        <w:t xml:space="preserve">in the planners’ </w:t>
      </w:r>
      <w:r w:rsidR="00E761C5" w:rsidRPr="005642FC">
        <w:t>steady state and stability analysis</w:t>
      </w:r>
      <w:r w:rsidR="00E761C5">
        <w:t xml:space="preserve"> planning assessments</w:t>
      </w:r>
      <w:r w:rsidR="00E761C5" w:rsidRPr="005642FC">
        <w:t>.</w:t>
      </w:r>
      <w:r w:rsidR="007647D7">
        <w:rPr>
          <w:rStyle w:val="FootnoteReference"/>
        </w:rPr>
        <w:footnoteReference w:id="63"/>
      </w:r>
      <w:r w:rsidR="00E761C5">
        <w:t xml:space="preserve">  </w:t>
      </w:r>
      <w:r w:rsidR="000D793D">
        <w:t>C</w:t>
      </w:r>
      <w:r w:rsidR="00E761C5">
        <w:t xml:space="preserve">oordination of contingency lists provides one aspect of early coordination among planners.  </w:t>
      </w:r>
    </w:p>
    <w:p w:rsidR="00E761C5" w:rsidRDefault="000D793D" w:rsidP="00A20840">
      <w:pPr>
        <w:pStyle w:val="FERCparanumber"/>
        <w:tabs>
          <w:tab w:val="num" w:pos="1350"/>
        </w:tabs>
      </w:pPr>
      <w:r>
        <w:t>We are satisfied with the explanation of</w:t>
      </w:r>
      <w:r w:rsidR="00E761C5">
        <w:t xml:space="preserve"> </w:t>
      </w:r>
      <w:r w:rsidR="00E761C5" w:rsidRPr="005642FC">
        <w:t xml:space="preserve">NERC </w:t>
      </w:r>
      <w:r w:rsidR="00E761C5">
        <w:t>and EEI that TPL-001-4 Reliability Standard</w:t>
      </w:r>
      <w:r w:rsidR="0087028C">
        <w:t>,</w:t>
      </w:r>
      <w:r w:rsidR="00E761C5">
        <w:t xml:space="preserve"> </w:t>
      </w:r>
      <w:r w:rsidR="00E761C5" w:rsidRPr="005642FC">
        <w:t>Requirement R8 allows planners to</w:t>
      </w:r>
      <w:r w:rsidR="00E761C5">
        <w:t xml:space="preserve"> </w:t>
      </w:r>
      <w:r w:rsidR="00E761C5" w:rsidRPr="005642FC">
        <w:t>coordinate</w:t>
      </w:r>
      <w:r w:rsidR="00E761C5">
        <w:t xml:space="preserve"> and distribute</w:t>
      </w:r>
      <w:r w:rsidR="00A64E2F">
        <w:t xml:space="preserve"> </w:t>
      </w:r>
      <w:r w:rsidR="0087028C">
        <w:t xml:space="preserve">conditions </w:t>
      </w:r>
      <w:r w:rsidR="00E761C5">
        <w:t>to adjacent planners as part of their planning assessment and to provide feedback to other planners</w:t>
      </w:r>
      <w:r w:rsidR="00E761C5" w:rsidRPr="005642FC">
        <w:t>.</w:t>
      </w:r>
      <w:r w:rsidR="00E761C5">
        <w:t xml:space="preserve"> </w:t>
      </w:r>
      <w:r w:rsidR="00E761C5" w:rsidRPr="005642FC">
        <w:t xml:space="preserve"> </w:t>
      </w:r>
      <w:r w:rsidR="00A20840">
        <w:t>While w</w:t>
      </w:r>
      <w:r w:rsidR="00E761C5">
        <w:t xml:space="preserve">e </w:t>
      </w:r>
      <w:r w:rsidR="00A20840">
        <w:t xml:space="preserve">also </w:t>
      </w:r>
      <w:r w:rsidR="00E761C5">
        <w:t xml:space="preserve">agree with BPA that </w:t>
      </w:r>
      <w:r w:rsidR="00E761C5" w:rsidRPr="005642FC">
        <w:t>adjacent</w:t>
      </w:r>
      <w:r w:rsidR="00E761C5">
        <w:t xml:space="preserve"> planners </w:t>
      </w:r>
      <w:r w:rsidR="00E761C5" w:rsidRPr="005642FC">
        <w:t xml:space="preserve">should be informed of and have a stake in the results of another </w:t>
      </w:r>
      <w:r w:rsidR="00E761C5">
        <w:t>planner’s a</w:t>
      </w:r>
      <w:r w:rsidR="00E761C5" w:rsidRPr="005642FC">
        <w:t>ssessment</w:t>
      </w:r>
      <w:r w:rsidR="00A20840">
        <w:t xml:space="preserve">, </w:t>
      </w:r>
      <w:r w:rsidR="00E761C5">
        <w:t>we disagree with BPA</w:t>
      </w:r>
      <w:r>
        <w:t>’s characterization</w:t>
      </w:r>
      <w:r w:rsidR="00E761C5">
        <w:t xml:space="preserve"> that a planner “</w:t>
      </w:r>
      <w:r w:rsidR="00E761C5" w:rsidRPr="005642FC">
        <w:t>should not be allowed to second guess</w:t>
      </w:r>
      <w:r w:rsidR="00E761C5">
        <w:t>” a</w:t>
      </w:r>
      <w:r w:rsidR="00A20840">
        <w:t>nother</w:t>
      </w:r>
      <w:r w:rsidR="00E761C5">
        <w:t xml:space="preserve"> planner’s studies or methodologies.  </w:t>
      </w:r>
      <w:r>
        <w:t>Rather, e</w:t>
      </w:r>
      <w:r w:rsidR="00E761C5">
        <w:t xml:space="preserve">arly </w:t>
      </w:r>
      <w:r w:rsidR="003A428C">
        <w:t xml:space="preserve">peer </w:t>
      </w:r>
      <w:r w:rsidR="00E761C5">
        <w:t>input in the planning assessments and coordination among peers to identify possible interdependent or adverse impacts on neighboring systems are essential to the reliable operation of the bulk electric system.</w:t>
      </w:r>
      <w:r w:rsidR="00E761C5">
        <w:rPr>
          <w:rStyle w:val="FootnoteReference"/>
        </w:rPr>
        <w:footnoteReference w:id="64"/>
      </w:r>
      <w:r w:rsidR="00E761C5">
        <w:t xml:space="preserve"> </w:t>
      </w:r>
    </w:p>
    <w:p w:rsidR="004D0157" w:rsidRDefault="004D0157" w:rsidP="004D0157">
      <w:pPr>
        <w:pStyle w:val="FERCparanumber"/>
        <w:numPr>
          <w:ilvl w:val="0"/>
          <w:numId w:val="0"/>
        </w:numPr>
        <w:tabs>
          <w:tab w:val="num" w:pos="1350"/>
        </w:tabs>
      </w:pPr>
    </w:p>
    <w:p w:rsidR="00AC22F9" w:rsidRDefault="00AC22F9" w:rsidP="00AC22F9">
      <w:pPr>
        <w:pStyle w:val="Heading4"/>
      </w:pPr>
      <w:r>
        <w:rPr>
          <w:noProof/>
        </w:rPr>
        <w:lastRenderedPageBreak/>
        <w:t>Spare Equipment Strategy</w:t>
      </w:r>
    </w:p>
    <w:p w:rsidR="00AC22F9" w:rsidRPr="00102CDF" w:rsidRDefault="00AC22F9" w:rsidP="00AC22F9">
      <w:pPr>
        <w:pStyle w:val="FERCparanumber"/>
        <w:numPr>
          <w:ilvl w:val="0"/>
          <w:numId w:val="0"/>
        </w:numPr>
        <w:ind w:firstLine="720"/>
        <w:rPr>
          <w:b/>
          <w:u w:val="single"/>
        </w:rPr>
      </w:pPr>
      <w:r w:rsidRPr="00102CDF">
        <w:rPr>
          <w:b/>
          <w:u w:val="single"/>
        </w:rPr>
        <w:t>NOPR Proposal</w:t>
      </w:r>
    </w:p>
    <w:p w:rsidR="00950B7C" w:rsidRPr="00950B7C" w:rsidRDefault="00AC22F9" w:rsidP="00AC22F9">
      <w:pPr>
        <w:pStyle w:val="FERCparanumber"/>
        <w:tabs>
          <w:tab w:val="clear" w:pos="720"/>
          <w:tab w:val="num" w:pos="650"/>
          <w:tab w:val="num" w:pos="1350"/>
        </w:tabs>
        <w:rPr>
          <w:szCs w:val="26"/>
        </w:rPr>
      </w:pPr>
      <w:r>
        <w:t>In Order No. 693</w:t>
      </w:r>
      <w:r w:rsidR="00950B7C">
        <w:t>,</w:t>
      </w:r>
      <w:r>
        <w:t xml:space="preserve"> the Commission directed NERC to develop a modification “to require assessments of outages of critical long lead-time equipment, consistent with the entity’s spare equipment strategy.”</w:t>
      </w:r>
      <w:r>
        <w:rPr>
          <w:rStyle w:val="FootnoteReference"/>
        </w:rPr>
        <w:footnoteReference w:id="65"/>
      </w:r>
      <w:r>
        <w:t xml:space="preserve">  In response, NERC developed proposed Requirement 2, Part 2.1.5 which addresses steady state conditions to determine system response when equipment is unavailable for prolonged periods of time.  </w:t>
      </w:r>
    </w:p>
    <w:p w:rsidR="00AC22F9" w:rsidRPr="00D23F20" w:rsidRDefault="00AC22F9" w:rsidP="00AC22F9">
      <w:pPr>
        <w:pStyle w:val="FERCparanumber"/>
        <w:tabs>
          <w:tab w:val="clear" w:pos="720"/>
          <w:tab w:val="num" w:pos="650"/>
          <w:tab w:val="num" w:pos="1350"/>
        </w:tabs>
        <w:rPr>
          <w:szCs w:val="26"/>
        </w:rPr>
      </w:pPr>
      <w:r>
        <w:t xml:space="preserve">In the NOPR, the Commission </w:t>
      </w:r>
      <w:r w:rsidR="00950B7C">
        <w:t>raised the concern</w:t>
      </w:r>
      <w:r>
        <w:t xml:space="preserve"> that the </w:t>
      </w:r>
      <w:r w:rsidR="00950B7C">
        <w:t xml:space="preserve">proposed </w:t>
      </w:r>
      <w:r>
        <w:rPr>
          <w:noProof/>
        </w:rPr>
        <w:t xml:space="preserve">spare equipment strategy appears to </w:t>
      </w:r>
      <w:r w:rsidR="00950B7C">
        <w:rPr>
          <w:noProof/>
        </w:rPr>
        <w:t>be</w:t>
      </w:r>
      <w:r>
        <w:rPr>
          <w:noProof/>
        </w:rPr>
        <w:t xml:space="preserve"> limited to </w:t>
      </w:r>
      <w:r w:rsidR="00950B7C">
        <w:rPr>
          <w:noProof/>
        </w:rPr>
        <w:t>“</w:t>
      </w:r>
      <w:r>
        <w:rPr>
          <w:noProof/>
        </w:rPr>
        <w:t>steady state analysis</w:t>
      </w:r>
      <w:r w:rsidR="00950B7C">
        <w:rPr>
          <w:noProof/>
        </w:rPr>
        <w:t>”</w:t>
      </w:r>
      <w:r>
        <w:rPr>
          <w:noProof/>
        </w:rPr>
        <w:t xml:space="preserve"> and </w:t>
      </w:r>
      <w:r w:rsidRPr="00D23F20">
        <w:rPr>
          <w:szCs w:val="26"/>
        </w:rPr>
        <w:t xml:space="preserve">sought clarification </w:t>
      </w:r>
      <w:r w:rsidRPr="00D23F20">
        <w:rPr>
          <w:noProof/>
          <w:color w:val="000000"/>
          <w:szCs w:val="26"/>
        </w:rPr>
        <w:t xml:space="preserve">why </w:t>
      </w:r>
      <w:r w:rsidR="00950B7C">
        <w:rPr>
          <w:noProof/>
          <w:color w:val="000000"/>
          <w:szCs w:val="26"/>
        </w:rPr>
        <w:t>“</w:t>
      </w:r>
      <w:r w:rsidRPr="00D23F20">
        <w:rPr>
          <w:noProof/>
          <w:color w:val="000000"/>
          <w:szCs w:val="26"/>
        </w:rPr>
        <w:t>stability analysis</w:t>
      </w:r>
      <w:r w:rsidR="00950B7C">
        <w:rPr>
          <w:noProof/>
          <w:color w:val="000000"/>
          <w:szCs w:val="26"/>
        </w:rPr>
        <w:t>”</w:t>
      </w:r>
      <w:r w:rsidRPr="00D23F20">
        <w:rPr>
          <w:noProof/>
          <w:color w:val="000000"/>
          <w:szCs w:val="26"/>
        </w:rPr>
        <w:t xml:space="preserve"> conditions </w:t>
      </w:r>
      <w:r w:rsidR="00950B7C">
        <w:rPr>
          <w:noProof/>
          <w:color w:val="000000"/>
          <w:szCs w:val="26"/>
        </w:rPr>
        <w:t>are not mentioned</w:t>
      </w:r>
      <w:r w:rsidRPr="00D23F20">
        <w:rPr>
          <w:noProof/>
          <w:color w:val="000000"/>
          <w:szCs w:val="26"/>
        </w:rPr>
        <w:t>.</w:t>
      </w:r>
    </w:p>
    <w:p w:rsidR="00AC22F9" w:rsidRPr="00BB457D" w:rsidRDefault="00AC22F9" w:rsidP="00AC22F9">
      <w:pPr>
        <w:pStyle w:val="FERCparanumber"/>
        <w:numPr>
          <w:ilvl w:val="0"/>
          <w:numId w:val="0"/>
        </w:numPr>
        <w:ind w:firstLine="720"/>
        <w:rPr>
          <w:b/>
          <w:u w:val="single"/>
        </w:rPr>
      </w:pPr>
      <w:r w:rsidRPr="00BB457D">
        <w:rPr>
          <w:b/>
          <w:u w:val="single"/>
        </w:rPr>
        <w:t>Comments</w:t>
      </w:r>
    </w:p>
    <w:p w:rsidR="00AC22F9" w:rsidRPr="005642FC" w:rsidRDefault="00AC22F9" w:rsidP="00AC22F9">
      <w:pPr>
        <w:pStyle w:val="FERCparanumber"/>
        <w:tabs>
          <w:tab w:val="num" w:pos="1350"/>
        </w:tabs>
      </w:pPr>
      <w:r w:rsidRPr="005642FC">
        <w:t>NERC</w:t>
      </w:r>
      <w:r w:rsidR="00B83EDA">
        <w:t>, ISOs/RTOs,</w:t>
      </w:r>
      <w:r w:rsidRPr="005642FC">
        <w:t xml:space="preserve"> </w:t>
      </w:r>
      <w:r>
        <w:t xml:space="preserve">and EEI comment that </w:t>
      </w:r>
      <w:r w:rsidRPr="005642FC">
        <w:t>the burden of additional stability analyses would not provide si</w:t>
      </w:r>
      <w:r>
        <w:t>gnificant reliability benefits</w:t>
      </w:r>
      <w:r w:rsidR="00B83EDA" w:rsidRPr="00B83EDA">
        <w:t xml:space="preserve"> </w:t>
      </w:r>
      <w:r w:rsidR="00B83EDA" w:rsidRPr="005642FC">
        <w:t xml:space="preserve">because stability analysis already required under </w:t>
      </w:r>
      <w:r w:rsidR="00B83EDA">
        <w:t>“c</w:t>
      </w:r>
      <w:r w:rsidR="00B83EDA" w:rsidRPr="005642FC">
        <w:t>ategory P6</w:t>
      </w:r>
      <w:r w:rsidR="00B83EDA">
        <w:t>”</w:t>
      </w:r>
      <w:r w:rsidR="00B83EDA" w:rsidRPr="005642FC">
        <w:t xml:space="preserve"> will produce more definitive tests of longer-term </w:t>
      </w:r>
      <w:r w:rsidR="00B83EDA">
        <w:t>equipment unavailability</w:t>
      </w:r>
      <w:r w:rsidR="00230E0B">
        <w:t xml:space="preserve">.  They </w:t>
      </w:r>
      <w:r w:rsidR="00B83EDA">
        <w:t xml:space="preserve">also </w:t>
      </w:r>
      <w:r w:rsidR="00230E0B">
        <w:t xml:space="preserve">claim </w:t>
      </w:r>
      <w:r>
        <w:t>that a</w:t>
      </w:r>
      <w:r w:rsidRPr="005642FC">
        <w:t>ny potential stability impacts related to an entity’s spare equipment strategy will be observed in the normal planning proces</w:t>
      </w:r>
      <w:r>
        <w:t>s driven by other requirements.</w:t>
      </w:r>
    </w:p>
    <w:p w:rsidR="00BB457D" w:rsidRDefault="00BB457D" w:rsidP="00AC22F9">
      <w:pPr>
        <w:pStyle w:val="FERCparanumber"/>
        <w:numPr>
          <w:ilvl w:val="0"/>
          <w:numId w:val="0"/>
        </w:numPr>
        <w:ind w:firstLine="720"/>
        <w:rPr>
          <w:b/>
        </w:rPr>
      </w:pPr>
    </w:p>
    <w:p w:rsidR="00AC22F9" w:rsidRPr="00BB457D" w:rsidRDefault="00AC22F9" w:rsidP="00AC22F9">
      <w:pPr>
        <w:pStyle w:val="FERCparanumber"/>
        <w:numPr>
          <w:ilvl w:val="0"/>
          <w:numId w:val="0"/>
        </w:numPr>
        <w:ind w:firstLine="720"/>
        <w:rPr>
          <w:b/>
          <w:u w:val="single"/>
        </w:rPr>
      </w:pPr>
      <w:r w:rsidRPr="00BB457D">
        <w:rPr>
          <w:b/>
          <w:u w:val="single"/>
        </w:rPr>
        <w:lastRenderedPageBreak/>
        <w:t xml:space="preserve">Commission Determination </w:t>
      </w:r>
    </w:p>
    <w:p w:rsidR="0054741E" w:rsidRDefault="00AC22F9" w:rsidP="00230E0B">
      <w:pPr>
        <w:pStyle w:val="FERCparanumber"/>
        <w:tabs>
          <w:tab w:val="clear" w:pos="720"/>
          <w:tab w:val="num" w:pos="650"/>
          <w:tab w:val="num" w:pos="1350"/>
        </w:tabs>
      </w:pPr>
      <w:r>
        <w:t xml:space="preserve">The Commission </w:t>
      </w:r>
      <w:r w:rsidR="007647D7">
        <w:t xml:space="preserve">agrees </w:t>
      </w:r>
      <w:r>
        <w:t>that NERC has met the spare equipment strategy directive for steady state analysis</w:t>
      </w:r>
      <w:r w:rsidR="000161B0">
        <w:t xml:space="preserve"> under Reliability Standard TPL-001-4, Requirement </w:t>
      </w:r>
      <w:r w:rsidR="000161B0" w:rsidRPr="005642FC">
        <w:t>R2, Part 2.1.5</w:t>
      </w:r>
      <w:r>
        <w:t xml:space="preserve">.  However, the Commission </w:t>
      </w:r>
      <w:r w:rsidR="007647D7">
        <w:t xml:space="preserve">finds that </w:t>
      </w:r>
      <w:r>
        <w:t xml:space="preserve">a spare equipment strategy for stability analysis is </w:t>
      </w:r>
      <w:r w:rsidR="007647D7">
        <w:t xml:space="preserve">not </w:t>
      </w:r>
      <w:r w:rsidR="000161B0">
        <w:t xml:space="preserve">addressed </w:t>
      </w:r>
      <w:r w:rsidRPr="005642FC">
        <w:t>under</w:t>
      </w:r>
      <w:r w:rsidR="00230E0B">
        <w:t xml:space="preserve"> c</w:t>
      </w:r>
      <w:r w:rsidRPr="005642FC">
        <w:t>ategory P6</w:t>
      </w:r>
      <w:r w:rsidR="0054741E">
        <w:t xml:space="preserve">.  </w:t>
      </w:r>
      <w:r w:rsidR="00230E0B">
        <w:t xml:space="preserve">  </w:t>
      </w:r>
    </w:p>
    <w:p w:rsidR="00AC22F9" w:rsidRDefault="005163C5" w:rsidP="00230E0B">
      <w:pPr>
        <w:pStyle w:val="FERCparanumber"/>
        <w:tabs>
          <w:tab w:val="clear" w:pos="720"/>
          <w:tab w:val="num" w:pos="650"/>
          <w:tab w:val="num" w:pos="1350"/>
        </w:tabs>
      </w:pPr>
      <w:r>
        <w:t>T</w:t>
      </w:r>
      <w:r w:rsidR="00273323">
        <w:t xml:space="preserve">he spare equipment strategy for steady state analysis under </w:t>
      </w:r>
      <w:r w:rsidR="00C55C97">
        <w:t xml:space="preserve">Reliability Standard </w:t>
      </w:r>
      <w:r w:rsidR="00AC22F9">
        <w:t xml:space="preserve">TPL-001-4, Requirement R2, Part 2.1.5 </w:t>
      </w:r>
      <w:r w:rsidR="00C55C97">
        <w:t xml:space="preserve">requires </w:t>
      </w:r>
      <w:r w:rsidR="00631406">
        <w:t xml:space="preserve">that </w:t>
      </w:r>
      <w:r w:rsidR="00273323">
        <w:t xml:space="preserve">steady state </w:t>
      </w:r>
      <w:r w:rsidR="00AC22F9">
        <w:t xml:space="preserve">studies be performed for the P0, P1 and P2 categories identified in Table 1 with the conditions that the </w:t>
      </w:r>
      <w:r w:rsidR="009B66F5">
        <w:t>s</w:t>
      </w:r>
      <w:r w:rsidR="00AC22F9">
        <w:t>ystem is expected to experience during the</w:t>
      </w:r>
      <w:r w:rsidR="00631406">
        <w:t xml:space="preserve"> </w:t>
      </w:r>
      <w:r w:rsidR="00AC22F9">
        <w:t>possible unavailability of the long lead time equipment.</w:t>
      </w:r>
      <w:r w:rsidR="0016132B">
        <w:t xml:space="preserve">  The Commission believes that a similar spare equipment strategy for stability analysis should exist that requires studies to be performed for </w:t>
      </w:r>
      <w:r w:rsidR="00E227FA">
        <w:t xml:space="preserve">P0, P1 and P2 categories with the </w:t>
      </w:r>
      <w:r w:rsidR="0016132B">
        <w:t xml:space="preserve">conditions that the system is expected to experience during the possible unavailability of the long lead time equipment.  </w:t>
      </w:r>
      <w:r w:rsidR="00A9038E">
        <w:t xml:space="preserve">Further, we are not persuaded by the explanation of NERC and others that a similar spare equipment strategy for stability analysis would cause unjustified </w:t>
      </w:r>
      <w:r w:rsidR="00BC3F56">
        <w:t xml:space="preserve">burden </w:t>
      </w:r>
      <w:r w:rsidR="00B921BE" w:rsidRPr="005642FC">
        <w:t>because stability analysis</w:t>
      </w:r>
      <w:r w:rsidR="00B921BE">
        <w:t xml:space="preserve"> is</w:t>
      </w:r>
      <w:r w:rsidR="00B921BE" w:rsidRPr="005642FC">
        <w:t xml:space="preserve"> already required under </w:t>
      </w:r>
      <w:r w:rsidR="00B921BE">
        <w:t>c</w:t>
      </w:r>
      <w:r w:rsidR="00B921BE" w:rsidRPr="005642FC">
        <w:t>ategory P6</w:t>
      </w:r>
      <w:r w:rsidR="00121298">
        <w:t xml:space="preserve">.  </w:t>
      </w:r>
      <w:r w:rsidR="00BC3F56">
        <w:t>The Commission notes that</w:t>
      </w:r>
      <w:r w:rsidR="00121298">
        <w:t xml:space="preserve"> </w:t>
      </w:r>
      <w:r w:rsidR="00633247">
        <w:t>the category P2 contingencies studied under the spare equipment strategy for steady state analysis are different than the contingencies studied under category P6.</w:t>
      </w:r>
      <w:r w:rsidR="00965D9B">
        <w:t xml:space="preserve">  For example, under the spare equipment strategy for steady state, a planner would study a long lead-time piece of equipment out of service (e.g., a transformer) along with a </w:t>
      </w:r>
      <w:r w:rsidR="00995306">
        <w:t>b</w:t>
      </w:r>
      <w:r w:rsidR="00965D9B">
        <w:t xml:space="preserve">us section fault contingency (i.e., </w:t>
      </w:r>
      <w:r w:rsidR="00965D9B">
        <w:lastRenderedPageBreak/>
        <w:t>category P</w:t>
      </w:r>
      <w:r w:rsidR="006D3399">
        <w:t>2, event 2</w:t>
      </w:r>
      <w:r w:rsidR="00965D9B">
        <w:t>).</w:t>
      </w:r>
      <w:r w:rsidR="006D3399">
        <w:t xml:space="preserve">  The study of this same condition for stability analysis under category P6 is not addressed.</w:t>
      </w:r>
      <w:r w:rsidR="006D3399" w:rsidDel="00121298">
        <w:t xml:space="preserve"> </w:t>
      </w:r>
      <w:r w:rsidR="006D3399">
        <w:t xml:space="preserve">  </w:t>
      </w:r>
      <w:r w:rsidR="00230E0B">
        <w:t xml:space="preserve">However, the Commission will not direct a change and </w:t>
      </w:r>
      <w:r w:rsidR="008758B8">
        <w:t xml:space="preserve">instead </w:t>
      </w:r>
      <w:r w:rsidR="00C70933">
        <w:t>directs</w:t>
      </w:r>
      <w:r w:rsidR="00572DE7">
        <w:t xml:space="preserve"> </w:t>
      </w:r>
      <w:r w:rsidR="00AC22F9">
        <w:t xml:space="preserve">NERC </w:t>
      </w:r>
      <w:r w:rsidR="00C70933">
        <w:t xml:space="preserve">to </w:t>
      </w:r>
      <w:r w:rsidR="00AC22F9">
        <w:t xml:space="preserve">consider a similar spare equipment strategy for stability analysis upon the next review cycle of </w:t>
      </w:r>
      <w:r w:rsidR="000916A1">
        <w:t xml:space="preserve">Reliability Standard </w:t>
      </w:r>
      <w:r w:rsidR="00AC22F9">
        <w:t xml:space="preserve">TPL-001-4.    </w:t>
      </w:r>
    </w:p>
    <w:p w:rsidR="00957A92" w:rsidRDefault="00957A92" w:rsidP="00957A92">
      <w:pPr>
        <w:pStyle w:val="Heading4"/>
        <w:rPr>
          <w:noProof/>
        </w:rPr>
      </w:pPr>
      <w:r>
        <w:rPr>
          <w:noProof/>
        </w:rPr>
        <w:t xml:space="preserve">Range of Extreme Events </w:t>
      </w:r>
    </w:p>
    <w:p w:rsidR="00957A92" w:rsidRPr="004E53D5" w:rsidRDefault="00957A92" w:rsidP="00957A92">
      <w:pPr>
        <w:pStyle w:val="FERCparanumber"/>
        <w:numPr>
          <w:ilvl w:val="0"/>
          <w:numId w:val="0"/>
        </w:numPr>
        <w:ind w:firstLine="720"/>
        <w:rPr>
          <w:b/>
          <w:noProof/>
          <w:u w:val="single"/>
        </w:rPr>
      </w:pPr>
      <w:r w:rsidRPr="004E53D5">
        <w:rPr>
          <w:b/>
          <w:noProof/>
          <w:u w:val="single"/>
        </w:rPr>
        <w:t>NOPR Proposal</w:t>
      </w:r>
    </w:p>
    <w:p w:rsidR="00957A92" w:rsidRDefault="00957A92" w:rsidP="00957A92">
      <w:pPr>
        <w:pStyle w:val="FERCparanumber"/>
        <w:tabs>
          <w:tab w:val="clear" w:pos="720"/>
          <w:tab w:val="num" w:pos="650"/>
          <w:tab w:val="num" w:pos="1350"/>
        </w:tabs>
        <w:rPr>
          <w:noProof/>
        </w:rPr>
      </w:pPr>
      <w:r>
        <w:rPr>
          <w:noProof/>
        </w:rPr>
        <w:t>In Order No. 693</w:t>
      </w:r>
      <w:r w:rsidR="00080029">
        <w:rPr>
          <w:noProof/>
        </w:rPr>
        <w:t>,</w:t>
      </w:r>
      <w:r>
        <w:rPr>
          <w:noProof/>
        </w:rPr>
        <w:t xml:space="preserve"> the Commission directed NERC to </w:t>
      </w:r>
      <w:r>
        <w:t xml:space="preserve">modify </w:t>
      </w:r>
      <w:r w:rsidR="00200611">
        <w:t xml:space="preserve">the Version 0 </w:t>
      </w:r>
      <w:r>
        <w:t>Reliability Standard</w:t>
      </w:r>
      <w:r w:rsidR="00200611">
        <w:t>,</w:t>
      </w:r>
      <w:r>
        <w:t xml:space="preserve"> TPL-004-0</w:t>
      </w:r>
      <w:r w:rsidR="00200611">
        <w:t>,</w:t>
      </w:r>
      <w:r>
        <w:t xml:space="preserve"> to require that, in determining the range of the extreme events to be assessed, the contingency list of </w:t>
      </w:r>
      <w:r w:rsidR="00080029">
        <w:t>c</w:t>
      </w:r>
      <w:r>
        <w:t>ategory D would be expanded to include recent events such as hurricanes and ice storms.</w:t>
      </w:r>
      <w:r w:rsidR="00200611">
        <w:rPr>
          <w:rStyle w:val="FootnoteReference"/>
        </w:rPr>
        <w:footnoteReference w:id="66"/>
      </w:r>
      <w:r>
        <w:t xml:space="preserve">  In the </w:t>
      </w:r>
      <w:r w:rsidR="004E53D5">
        <w:t xml:space="preserve"> </w:t>
      </w:r>
      <w:r w:rsidR="007C5E14">
        <w:t>Apri</w:t>
      </w:r>
      <w:r w:rsidR="005B3538">
        <w:t>l</w:t>
      </w:r>
      <w:r w:rsidR="007C5E14">
        <w:t xml:space="preserve"> 2012 </w:t>
      </w:r>
      <w:r>
        <w:t xml:space="preserve">NOPR, the Commission </w:t>
      </w:r>
      <w:r w:rsidR="00BF6D3F">
        <w:t>indicated</w:t>
      </w:r>
      <w:r>
        <w:t xml:space="preserve"> that</w:t>
      </w:r>
      <w:r w:rsidR="00BF6D3F">
        <w:t>, while</w:t>
      </w:r>
      <w:r w:rsidR="00BF6D3F">
        <w:rPr>
          <w:noProof/>
        </w:rPr>
        <w:t xml:space="preserve"> the </w:t>
      </w:r>
      <w:r w:rsidR="00080029">
        <w:rPr>
          <w:noProof/>
        </w:rPr>
        <w:t xml:space="preserve">proposed </w:t>
      </w:r>
      <w:r w:rsidR="00BF6D3F">
        <w:rPr>
          <w:noProof/>
        </w:rPr>
        <w:t xml:space="preserve">Version 4 </w:t>
      </w:r>
      <w:r w:rsidR="00080029">
        <w:rPr>
          <w:noProof/>
        </w:rPr>
        <w:t>TPL Standard</w:t>
      </w:r>
      <w:r>
        <w:rPr>
          <w:noProof/>
        </w:rPr>
        <w:t xml:space="preserve"> appropriately expands the list of extreme event examples in Table 1, the list limits these items to the loss of two generating stations under Item No. 3a.  The Commission sought </w:t>
      </w:r>
      <w:r>
        <w:t xml:space="preserve">clarification on conditioning </w:t>
      </w:r>
      <w:r>
        <w:rPr>
          <w:noProof/>
        </w:rPr>
        <w:t>extreme events on the loss of two generating stations.</w:t>
      </w:r>
      <w:r>
        <w:rPr>
          <w:rStyle w:val="FootnoteReference"/>
          <w:noProof/>
        </w:rPr>
        <w:footnoteReference w:id="67"/>
      </w:r>
      <w:r>
        <w:rPr>
          <w:noProof/>
        </w:rPr>
        <w:t xml:space="preserve">  The Commission also sought clarification regarding whether</w:t>
      </w:r>
      <w:r w:rsidR="001641E1">
        <w:rPr>
          <w:noProof/>
        </w:rPr>
        <w:t xml:space="preserve"> </w:t>
      </w:r>
      <w:r>
        <w:rPr>
          <w:noProof/>
        </w:rPr>
        <w:t xml:space="preserve">the “two generation stations” </w:t>
      </w:r>
      <w:r w:rsidR="00EE3841">
        <w:rPr>
          <w:noProof/>
        </w:rPr>
        <w:t>limitation would adequately capture a scenario where an extreme event can impact more than two generation stations</w:t>
      </w:r>
      <w:r>
        <w:rPr>
          <w:noProof/>
        </w:rPr>
        <w:t xml:space="preserve">. </w:t>
      </w:r>
    </w:p>
    <w:p w:rsidR="004E53D5" w:rsidRDefault="004E53D5" w:rsidP="00957A92">
      <w:pPr>
        <w:pStyle w:val="FERCparanumber"/>
        <w:numPr>
          <w:ilvl w:val="0"/>
          <w:numId w:val="0"/>
        </w:numPr>
        <w:tabs>
          <w:tab w:val="num" w:pos="650"/>
          <w:tab w:val="num" w:pos="1350"/>
        </w:tabs>
        <w:ind w:firstLine="720"/>
        <w:rPr>
          <w:b/>
        </w:rPr>
      </w:pPr>
    </w:p>
    <w:p w:rsidR="004E53D5" w:rsidRDefault="004E53D5" w:rsidP="00957A92">
      <w:pPr>
        <w:pStyle w:val="FERCparanumber"/>
        <w:numPr>
          <w:ilvl w:val="0"/>
          <w:numId w:val="0"/>
        </w:numPr>
        <w:tabs>
          <w:tab w:val="num" w:pos="650"/>
          <w:tab w:val="num" w:pos="1350"/>
        </w:tabs>
        <w:ind w:firstLine="720"/>
        <w:rPr>
          <w:b/>
        </w:rPr>
      </w:pPr>
    </w:p>
    <w:p w:rsidR="00957A92" w:rsidRPr="004E53D5" w:rsidRDefault="00957A92" w:rsidP="00957A92">
      <w:pPr>
        <w:pStyle w:val="FERCparanumber"/>
        <w:numPr>
          <w:ilvl w:val="0"/>
          <w:numId w:val="0"/>
        </w:numPr>
        <w:tabs>
          <w:tab w:val="num" w:pos="650"/>
          <w:tab w:val="num" w:pos="1350"/>
        </w:tabs>
        <w:ind w:firstLine="720"/>
        <w:rPr>
          <w:b/>
          <w:u w:val="single"/>
        </w:rPr>
      </w:pPr>
      <w:r w:rsidRPr="004E53D5">
        <w:rPr>
          <w:b/>
          <w:u w:val="single"/>
        </w:rPr>
        <w:lastRenderedPageBreak/>
        <w:t>Comments</w:t>
      </w:r>
    </w:p>
    <w:p w:rsidR="00957A92" w:rsidRDefault="00957A92" w:rsidP="00957A92">
      <w:pPr>
        <w:pStyle w:val="FERCparanumber"/>
        <w:tabs>
          <w:tab w:val="clear" w:pos="720"/>
          <w:tab w:val="num" w:pos="650"/>
          <w:tab w:val="num" w:pos="1350"/>
        </w:tabs>
        <w:rPr>
          <w:color w:val="0000FF"/>
        </w:rPr>
      </w:pPr>
      <w:r w:rsidRPr="005642FC">
        <w:t>NERC</w:t>
      </w:r>
      <w:r>
        <w:t xml:space="preserve"> assert</w:t>
      </w:r>
      <w:r w:rsidR="00EE3841">
        <w:t>s</w:t>
      </w:r>
      <w:r>
        <w:t xml:space="preserve"> that </w:t>
      </w:r>
      <w:r w:rsidR="00DD3BAD">
        <w:t xml:space="preserve">it </w:t>
      </w:r>
      <w:r w:rsidRPr="005642FC">
        <w:t>addressed the</w:t>
      </w:r>
      <w:r w:rsidR="00E47E9D">
        <w:t xml:space="preserve"> Order No. 693</w:t>
      </w:r>
      <w:r w:rsidRPr="005642FC">
        <w:t xml:space="preserve"> directive to expand the range of events considered in the planning assessment by adding a new category “wide area events</w:t>
      </w:r>
      <w:r w:rsidR="00080029">
        <w:t>”</w:t>
      </w:r>
      <w:r w:rsidRPr="005642FC">
        <w:t xml:space="preserve"> as extreme events.</w:t>
      </w:r>
      <w:r>
        <w:t xml:space="preserve">  NERC contends that </w:t>
      </w:r>
      <w:r w:rsidRPr="005642FC">
        <w:t>it is raising the bar concerning extreme events by requiring the planners to evaluate the loss of two generating stations for a wide range of external events that could cause the loss of all generating un</w:t>
      </w:r>
      <w:r>
        <w:t xml:space="preserve">its at two generating stations.  NERC adds that extreme events </w:t>
      </w:r>
      <w:r w:rsidR="00080029">
        <w:t xml:space="preserve">in item 3b of Table 1 </w:t>
      </w:r>
      <w:r>
        <w:t xml:space="preserve">means </w:t>
      </w:r>
      <w:r w:rsidRPr="005642FC">
        <w:t>that the planner will consider even more extreme events (</w:t>
      </w:r>
      <w:r w:rsidRPr="0077145A">
        <w:rPr>
          <w:iCs/>
        </w:rPr>
        <w:t>i.e.</w:t>
      </w:r>
      <w:r w:rsidRPr="005642FC">
        <w:t>, the loss of more facilities than the loss of two generating stations) based upon operating experien</w:t>
      </w:r>
      <w:r>
        <w:t>ce and knowledge of its system.</w:t>
      </w:r>
    </w:p>
    <w:p w:rsidR="00957A92" w:rsidRPr="00080029" w:rsidRDefault="00957A92" w:rsidP="00957A92">
      <w:pPr>
        <w:pStyle w:val="FERCparanumber"/>
        <w:tabs>
          <w:tab w:val="clear" w:pos="720"/>
          <w:tab w:val="num" w:pos="650"/>
          <w:tab w:val="num" w:pos="1350"/>
        </w:tabs>
        <w:rPr>
          <w:color w:val="0000FF"/>
          <w:szCs w:val="26"/>
        </w:rPr>
      </w:pPr>
      <w:r>
        <w:t>EEI agrees with the Commission that there are conditions that provide far more serious impacts to the grid t</w:t>
      </w:r>
      <w:r w:rsidR="00080029">
        <w:t>han that which is described in i</w:t>
      </w:r>
      <w:r>
        <w:t xml:space="preserve">tem 3a of Table 1 of the proposed standard.  However, those conditions are largely area specific thereby making it impossible to describe or address all possibilities in a Standard.  </w:t>
      </w:r>
      <w:r w:rsidR="00E47E9D">
        <w:t>EEI, t</w:t>
      </w:r>
      <w:r>
        <w:t xml:space="preserve">herefore, </w:t>
      </w:r>
      <w:r w:rsidR="00080029">
        <w:t xml:space="preserve">supports NERC’s </w:t>
      </w:r>
      <w:r>
        <w:t>approach which obligates planners to consider</w:t>
      </w:r>
      <w:r w:rsidR="00E47E9D">
        <w:t>,</w:t>
      </w:r>
      <w:r>
        <w:t xml:space="preserve"> as stated in Item 3b, “[o]ther events based upon operating experience that may result in wide area disturbances</w:t>
      </w:r>
      <w:r w:rsidRPr="00080029">
        <w:rPr>
          <w:szCs w:val="26"/>
        </w:rPr>
        <w:t xml:space="preserve">.” </w:t>
      </w:r>
      <w:r w:rsidR="00080029">
        <w:rPr>
          <w:szCs w:val="26"/>
        </w:rPr>
        <w:t xml:space="preserve"> </w:t>
      </w:r>
      <w:r w:rsidRPr="00080029">
        <w:rPr>
          <w:szCs w:val="26"/>
        </w:rPr>
        <w:t>EEI believes that Table 1, Item No</w:t>
      </w:r>
      <w:r w:rsidR="0077145A">
        <w:rPr>
          <w:szCs w:val="26"/>
        </w:rPr>
        <w:t>.</w:t>
      </w:r>
      <w:r w:rsidRPr="00080029">
        <w:rPr>
          <w:szCs w:val="26"/>
        </w:rPr>
        <w:t xml:space="preserve"> 3b provides the necessary backstop to ensure that extreme events are fully captured from a planning standpoint.</w:t>
      </w:r>
      <w:r w:rsidRPr="00080029">
        <w:rPr>
          <w:rStyle w:val="FootnoteReference"/>
        </w:rPr>
        <w:footnoteReference w:id="68"/>
      </w:r>
    </w:p>
    <w:p w:rsidR="00957A92" w:rsidRPr="0077145A" w:rsidRDefault="00957A92" w:rsidP="00957A92">
      <w:pPr>
        <w:pStyle w:val="FERCparanumber"/>
        <w:numPr>
          <w:ilvl w:val="0"/>
          <w:numId w:val="0"/>
        </w:numPr>
        <w:ind w:firstLine="720"/>
        <w:rPr>
          <w:b/>
          <w:u w:val="single"/>
        </w:rPr>
      </w:pPr>
      <w:r w:rsidRPr="0077145A">
        <w:rPr>
          <w:b/>
          <w:u w:val="single"/>
        </w:rPr>
        <w:lastRenderedPageBreak/>
        <w:t>Commission Determination</w:t>
      </w:r>
    </w:p>
    <w:p w:rsidR="00957A92" w:rsidRPr="00254D39" w:rsidRDefault="00957A92" w:rsidP="007418B9">
      <w:pPr>
        <w:pStyle w:val="FERCparanumber"/>
        <w:tabs>
          <w:tab w:val="clear" w:pos="720"/>
          <w:tab w:val="num" w:pos="650"/>
          <w:tab w:val="num" w:pos="1350"/>
        </w:tabs>
      </w:pPr>
      <w:r>
        <w:t xml:space="preserve">The Commission </w:t>
      </w:r>
      <w:r w:rsidR="00E47E9D">
        <w:t>is satisfied with the explanation of NERC and</w:t>
      </w:r>
      <w:r>
        <w:t xml:space="preserve"> EEI that Table 1, </w:t>
      </w:r>
      <w:r w:rsidR="00080029">
        <w:t>i</w:t>
      </w:r>
      <w:r>
        <w:t xml:space="preserve">tem No. 3b </w:t>
      </w:r>
      <w:r w:rsidRPr="00286574">
        <w:t>provides the necessary backstop to ensure that extreme events are fully captured from a planning standpoint</w:t>
      </w:r>
      <w:r>
        <w:t xml:space="preserve"> </w:t>
      </w:r>
      <w:r w:rsidR="00964613">
        <w:t xml:space="preserve">including </w:t>
      </w:r>
      <w:r>
        <w:t>extreme event</w:t>
      </w:r>
      <w:r w:rsidR="00964613">
        <w:t xml:space="preserve">s that </w:t>
      </w:r>
      <w:r>
        <w:t>can</w:t>
      </w:r>
      <w:r w:rsidR="00964613">
        <w:t xml:space="preserve"> impact more than two generating</w:t>
      </w:r>
      <w:r>
        <w:t xml:space="preserve"> stations</w:t>
      </w:r>
      <w:r w:rsidR="00A748A2">
        <w:t xml:space="preserve"> and that a planner will consider even more extreme events based on operating experience and knowledge of its system</w:t>
      </w:r>
      <w:r w:rsidRPr="00254D39">
        <w:rPr>
          <w:sz w:val="24"/>
        </w:rPr>
        <w:t>.</w:t>
      </w:r>
      <w:r w:rsidR="007418B9">
        <w:rPr>
          <w:sz w:val="24"/>
        </w:rPr>
        <w:t xml:space="preserve">  </w:t>
      </w:r>
    </w:p>
    <w:p w:rsidR="00C413AC" w:rsidRDefault="00C413AC" w:rsidP="00EA7430">
      <w:pPr>
        <w:pStyle w:val="Heading4"/>
        <w:rPr>
          <w:noProof/>
          <w:color w:val="000000"/>
          <w:szCs w:val="26"/>
        </w:rPr>
      </w:pPr>
      <w:r>
        <w:rPr>
          <w:noProof/>
          <w:color w:val="000000"/>
          <w:szCs w:val="26"/>
        </w:rPr>
        <w:t>Footnote ‘a’</w:t>
      </w:r>
    </w:p>
    <w:p w:rsidR="00C413AC" w:rsidRPr="0077145A" w:rsidRDefault="00C413AC" w:rsidP="00C413AC">
      <w:pPr>
        <w:pStyle w:val="FERCparanumber"/>
        <w:numPr>
          <w:ilvl w:val="0"/>
          <w:numId w:val="0"/>
        </w:numPr>
        <w:tabs>
          <w:tab w:val="left" w:pos="720"/>
        </w:tabs>
        <w:ind w:left="720"/>
        <w:rPr>
          <w:b/>
          <w:u w:val="single"/>
        </w:rPr>
      </w:pPr>
      <w:r w:rsidRPr="0077145A">
        <w:rPr>
          <w:b/>
          <w:u w:val="single"/>
        </w:rPr>
        <w:t>NOPR Proposal</w:t>
      </w:r>
    </w:p>
    <w:p w:rsidR="00C413AC" w:rsidRDefault="00C413AC" w:rsidP="00C413AC">
      <w:pPr>
        <w:pStyle w:val="FERCparanumber"/>
        <w:tabs>
          <w:tab w:val="clear" w:pos="720"/>
          <w:tab w:val="num" w:pos="650"/>
          <w:tab w:val="num" w:pos="1350"/>
        </w:tabs>
        <w:rPr>
          <w:szCs w:val="26"/>
        </w:rPr>
      </w:pPr>
      <w:r>
        <w:t xml:space="preserve">In Order No. 693, the Commission directed NERC to modify footnote ‘a’ of Table 1 with regard to </w:t>
      </w:r>
      <w:r w:rsidR="0086305C">
        <w:t>“</w:t>
      </w:r>
      <w:r>
        <w:t>applicability of emergency rating</w:t>
      </w:r>
      <w:r w:rsidR="0086305C">
        <w:t>s</w:t>
      </w:r>
      <w:r>
        <w:t xml:space="preserve"> and consistency of normal ratings and voltages with values obtained from other reliability standards.”</w:t>
      </w:r>
      <w:r>
        <w:rPr>
          <w:rStyle w:val="FootnoteReference"/>
        </w:rPr>
        <w:footnoteReference w:id="69"/>
      </w:r>
      <w:r>
        <w:t xml:space="preserve">  In its petition, NERC note</w:t>
      </w:r>
      <w:r w:rsidR="00BC5DD0">
        <w:t>d</w:t>
      </w:r>
      <w:r>
        <w:t xml:space="preserve"> that proposed Table 1, header note ‘e,’ which </w:t>
      </w:r>
      <w:r w:rsidR="00BC5DD0">
        <w:t>provides that</w:t>
      </w:r>
      <w:r>
        <w:t xml:space="preserve"> planned system adjustments must be executable within the time duration applicable to facility ratings</w:t>
      </w:r>
      <w:r w:rsidR="00BC5DD0">
        <w:t>.  Further</w:t>
      </w:r>
      <w:r>
        <w:t>,</w:t>
      </w:r>
      <w:r w:rsidR="00BC5DD0">
        <w:t xml:space="preserve"> according to NERC,</w:t>
      </w:r>
      <w:r>
        <w:t xml:space="preserve"> header note ‘f,’ which states applicable facility ratings shall not be exceeded, meets th</w:t>
      </w:r>
      <w:r w:rsidR="00BC5DD0">
        <w:t>e Order No. 693</w:t>
      </w:r>
      <w:r>
        <w:t xml:space="preserve"> directive </w:t>
      </w:r>
      <w:r w:rsidR="00BC5DD0">
        <w:t xml:space="preserve">pertaining to </w:t>
      </w:r>
      <w:r>
        <w:t xml:space="preserve">footnote ‘a’ in the current standard. </w:t>
      </w:r>
    </w:p>
    <w:p w:rsidR="00C413AC" w:rsidRPr="00C413AC" w:rsidRDefault="00C413AC" w:rsidP="00C413AC">
      <w:pPr>
        <w:pStyle w:val="FERCparanumber"/>
        <w:tabs>
          <w:tab w:val="clear" w:pos="720"/>
          <w:tab w:val="num" w:pos="650"/>
          <w:tab w:val="num" w:pos="1350"/>
        </w:tabs>
        <w:rPr>
          <w:szCs w:val="26"/>
        </w:rPr>
      </w:pPr>
      <w:r w:rsidRPr="00C413AC">
        <w:rPr>
          <w:szCs w:val="26"/>
        </w:rPr>
        <w:t xml:space="preserve">In the NOPR the </w:t>
      </w:r>
      <w:r>
        <w:rPr>
          <w:noProof/>
        </w:rPr>
        <w:t>Commission observed that the proposed standard applies header note ‘e’ to “Steady State and Stability</w:t>
      </w:r>
      <w:r w:rsidR="001A6039">
        <w:rPr>
          <w:noProof/>
        </w:rPr>
        <w:t>,</w:t>
      </w:r>
      <w:r>
        <w:rPr>
          <w:noProof/>
        </w:rPr>
        <w:t xml:space="preserve">” while header note ‘f’ is excluded from “Stability” and only applies to “Steady State” studies.  Accordingly, the </w:t>
      </w:r>
      <w:r>
        <w:rPr>
          <w:noProof/>
        </w:rPr>
        <w:lastRenderedPageBreak/>
        <w:t xml:space="preserve">Commission sought clarification regarding the rationale for excluding  header note ‘f’ from “Stability” studies.  In addition, </w:t>
      </w:r>
      <w:r>
        <w:t>for</w:t>
      </w:r>
      <w:r>
        <w:rPr>
          <w:noProof/>
        </w:rPr>
        <w:t xml:space="preserve"> </w:t>
      </w:r>
      <w:r>
        <w:t>Table 1, header notes ‘e’ and ‘f,’ the Commission sought comment on whether the norm</w:t>
      </w:r>
      <w:r w:rsidR="007418B9">
        <w:t xml:space="preserve">al facility ratings align with </w:t>
      </w:r>
      <w:r>
        <w:t xml:space="preserve">Reliability Standard FAC-008-1 and </w:t>
      </w:r>
      <w:r w:rsidR="004D5276">
        <w:t>normal voltage ratings align with Reliability Standard VAR-001-1.</w:t>
      </w:r>
      <w:r w:rsidR="0027263C">
        <w:t xml:space="preserve">  Furthermore, the Commission sought clarification whether facility ratings used in planning assessments align with other reliability standards such as Reliability Standards NUC-001-2, BAL-001-0.1a and </w:t>
      </w:r>
      <w:r w:rsidR="007418B9">
        <w:t xml:space="preserve">the </w:t>
      </w:r>
      <w:r w:rsidR="0027263C">
        <w:t>PRC Reliability Standards for UFLS and UVLS.</w:t>
      </w:r>
      <w:r>
        <w:t xml:space="preserve">  </w:t>
      </w:r>
    </w:p>
    <w:p w:rsidR="00C413AC" w:rsidRPr="0077145A" w:rsidRDefault="00C413AC" w:rsidP="00C413AC">
      <w:pPr>
        <w:pStyle w:val="FERCparanumber"/>
        <w:numPr>
          <w:ilvl w:val="0"/>
          <w:numId w:val="0"/>
        </w:numPr>
        <w:tabs>
          <w:tab w:val="left" w:pos="720"/>
        </w:tabs>
        <w:ind w:firstLine="720"/>
        <w:rPr>
          <w:b/>
          <w:u w:val="single"/>
        </w:rPr>
      </w:pPr>
      <w:r w:rsidRPr="0077145A">
        <w:rPr>
          <w:b/>
          <w:u w:val="single"/>
        </w:rPr>
        <w:t>Comments</w:t>
      </w:r>
    </w:p>
    <w:p w:rsidR="00E06772" w:rsidRDefault="00C413AC" w:rsidP="00E06772">
      <w:pPr>
        <w:pStyle w:val="FERCparanumber"/>
        <w:tabs>
          <w:tab w:val="clear" w:pos="720"/>
          <w:tab w:val="num" w:pos="650"/>
          <w:tab w:val="num" w:pos="1350"/>
        </w:tabs>
      </w:pPr>
      <w:r>
        <w:t>NERC states that it excluded header note ‘f’ from stability studies because facility ratings are defined for a finite period which may be between a few minutes and several hours, or longer.  According to NERC, in stability studies the analysis is conducted over a few seconds and because facility ratings are established based on the overheating of elements, the few seconds in the stability timeframe is not significant to the overheating of elements.</w:t>
      </w:r>
      <w:r w:rsidRPr="00B17AA4">
        <w:rPr>
          <w:rStyle w:val="FootnoteReference"/>
        </w:rPr>
        <w:footnoteReference w:id="70"/>
      </w:r>
      <w:r w:rsidRPr="00B17AA4">
        <w:rPr>
          <w:rStyle w:val="FootnoteReference"/>
        </w:rPr>
        <w:t xml:space="preserve"> </w:t>
      </w:r>
    </w:p>
    <w:p w:rsidR="00E06772" w:rsidRDefault="00C413AC" w:rsidP="00E06772">
      <w:pPr>
        <w:pStyle w:val="FERCparanumber"/>
        <w:tabs>
          <w:tab w:val="clear" w:pos="720"/>
          <w:tab w:val="num" w:pos="650"/>
          <w:tab w:val="num" w:pos="1350"/>
        </w:tabs>
      </w:pPr>
      <w:r>
        <w:t>ISO/RTO states that the observation of facility trip ratings (i.e., relay trip ratings</w:t>
      </w:r>
      <w:r w:rsidR="004E1BA3">
        <w:t>)</w:t>
      </w:r>
      <w:r w:rsidR="00934D59">
        <w:t xml:space="preserve"> </w:t>
      </w:r>
      <w:r>
        <w:t xml:space="preserve">are valid in the stability simulation time frame, and should be considered if associated protective relay schemes are sensitive to power swings (e.g., impedance relays with no out-of step trip blocking for stable swings, etc.).  </w:t>
      </w:r>
      <w:r>
        <w:lastRenderedPageBreak/>
        <w:t>Further, ISO/RTO believes that there is no reason to include a requirement to observe thermal facility ratings in stability studies, but also believes that facility trip ratings should be observed in stability studies.</w:t>
      </w:r>
    </w:p>
    <w:p w:rsidR="004D5276" w:rsidRDefault="00C413AC" w:rsidP="00E06772">
      <w:pPr>
        <w:pStyle w:val="FERCparanumber"/>
        <w:tabs>
          <w:tab w:val="clear" w:pos="720"/>
          <w:tab w:val="num" w:pos="650"/>
          <w:tab w:val="num" w:pos="1350"/>
        </w:tabs>
      </w:pPr>
      <w:r>
        <w:t xml:space="preserve">NERC and EEI </w:t>
      </w:r>
      <w:r w:rsidR="00750B10">
        <w:t>also explain</w:t>
      </w:r>
      <w:r>
        <w:t xml:space="preserve"> that the values used for facility ratings within transmission planning models are developed in accordance with standard FAC-008-1 “Facility Ratings Methodology” and communicated to other functional entities as required by FAC-009-1 “Establish and Communicate Facility Ratings</w:t>
      </w:r>
      <w:r w:rsidR="00286574">
        <w:t>.</w:t>
      </w:r>
      <w:r>
        <w:t>”</w:t>
      </w:r>
      <w:r w:rsidR="00637B78">
        <w:t xml:space="preserve">  </w:t>
      </w:r>
    </w:p>
    <w:p w:rsidR="00C413AC" w:rsidRDefault="007A4B6E" w:rsidP="003F5F82">
      <w:pPr>
        <w:pStyle w:val="FERCparanumber"/>
        <w:tabs>
          <w:tab w:val="clear" w:pos="720"/>
          <w:tab w:val="num" w:pos="650"/>
          <w:tab w:val="num" w:pos="1350"/>
        </w:tabs>
      </w:pPr>
      <w:r>
        <w:t xml:space="preserve">In response to the Commission’s request for clarification whether facility ratings used in planning assessments align with other </w:t>
      </w:r>
      <w:r w:rsidR="00750B10">
        <w:t>R</w:t>
      </w:r>
      <w:r>
        <w:t xml:space="preserve">eliability </w:t>
      </w:r>
      <w:r w:rsidR="00750B10">
        <w:t>S</w:t>
      </w:r>
      <w:r>
        <w:t xml:space="preserve">tandards, commenters </w:t>
      </w:r>
      <w:r w:rsidR="00C71424">
        <w:t xml:space="preserve">generally </w:t>
      </w:r>
      <w:r>
        <w:t xml:space="preserve">stated that </w:t>
      </w:r>
      <w:r w:rsidR="006D3885" w:rsidRPr="005642FC">
        <w:t xml:space="preserve">facility ratings used in </w:t>
      </w:r>
      <w:r w:rsidR="006D3885">
        <w:t xml:space="preserve">the TPL </w:t>
      </w:r>
      <w:r w:rsidR="00750B10">
        <w:t>s</w:t>
      </w:r>
      <w:r w:rsidR="006D3885">
        <w:t xml:space="preserve">tandard </w:t>
      </w:r>
      <w:r w:rsidR="006D3885" w:rsidRPr="005642FC">
        <w:t xml:space="preserve">are consistent throughout the NERC </w:t>
      </w:r>
      <w:r w:rsidR="00750B10">
        <w:t>s</w:t>
      </w:r>
      <w:r w:rsidR="006D3885" w:rsidRPr="005642FC">
        <w:t>tandards</w:t>
      </w:r>
      <w:r w:rsidR="005B3933">
        <w:t>.  Further, commenters stated that Reliability Standard VAR-001-2 is not a ratings standard but an operational (real-time) standard to ensure voltage levels, reactive flows and reactive resources are monitored, controlled and maintained within the limits of the equipment.</w:t>
      </w:r>
      <w:r w:rsidR="00831E8F">
        <w:rPr>
          <w:rStyle w:val="FootnoteReference"/>
        </w:rPr>
        <w:footnoteReference w:id="71"/>
      </w:r>
      <w:r w:rsidR="005B3933">
        <w:t xml:space="preserve"> </w:t>
      </w:r>
    </w:p>
    <w:p w:rsidR="00C413AC" w:rsidRPr="0077145A" w:rsidRDefault="00C413AC" w:rsidP="00C413AC">
      <w:pPr>
        <w:pStyle w:val="FERCparanumber"/>
        <w:numPr>
          <w:ilvl w:val="0"/>
          <w:numId w:val="0"/>
        </w:numPr>
        <w:tabs>
          <w:tab w:val="left" w:pos="720"/>
        </w:tabs>
        <w:ind w:firstLine="720"/>
        <w:rPr>
          <w:b/>
          <w:u w:val="single"/>
        </w:rPr>
      </w:pPr>
      <w:r w:rsidRPr="0077145A">
        <w:rPr>
          <w:b/>
          <w:u w:val="single"/>
        </w:rPr>
        <w:t>Commission Determination</w:t>
      </w:r>
    </w:p>
    <w:p w:rsidR="00C413AC" w:rsidRPr="007D2244" w:rsidRDefault="00C413AC" w:rsidP="007D2244">
      <w:pPr>
        <w:pStyle w:val="FERCparanumber"/>
        <w:tabs>
          <w:tab w:val="clear" w:pos="720"/>
          <w:tab w:val="num" w:pos="650"/>
          <w:tab w:val="num" w:pos="1350"/>
        </w:tabs>
        <w:rPr>
          <w:b/>
        </w:rPr>
      </w:pPr>
      <w:r>
        <w:t xml:space="preserve">The Commission </w:t>
      </w:r>
      <w:r w:rsidR="009207F3">
        <w:t>is satisfied</w:t>
      </w:r>
      <w:r>
        <w:t xml:space="preserve"> with commenters</w:t>
      </w:r>
      <w:r w:rsidR="009207F3">
        <w:t>’ explanation and agrees</w:t>
      </w:r>
      <w:r>
        <w:t xml:space="preserve"> that </w:t>
      </w:r>
      <w:r w:rsidR="009207F3">
        <w:t xml:space="preserve">it </w:t>
      </w:r>
      <w:r>
        <w:t>is no</w:t>
      </w:r>
      <w:r w:rsidR="009207F3">
        <w:t xml:space="preserve">t necessary </w:t>
      </w:r>
      <w:r>
        <w:t xml:space="preserve">to include a requirement to observe thermal facility ratings in stability studies.  </w:t>
      </w:r>
      <w:r w:rsidR="009207F3">
        <w:t>T</w:t>
      </w:r>
      <w:r>
        <w:t xml:space="preserve">he Commission agrees with ISO/RTO that facility trip ratings (i.e., relay trip ratings) are valid ratings in the stability simulation time frame, and </w:t>
      </w:r>
      <w:r>
        <w:lastRenderedPageBreak/>
        <w:t>should be considered in the planning assessment if associated protective relay schemes are sensitive to power swings (e.g., impedance relays with no out-of step t</w:t>
      </w:r>
      <w:r w:rsidR="00731265">
        <w:t>rip blocking for stable swings</w:t>
      </w:r>
      <w:r w:rsidR="007D2244">
        <w:t xml:space="preserve">).  </w:t>
      </w:r>
      <w:r>
        <w:t xml:space="preserve">Further, the Commission </w:t>
      </w:r>
      <w:r w:rsidR="009207F3">
        <w:t>accepts the explanation of NERC and others</w:t>
      </w:r>
      <w:r w:rsidR="00164A5E">
        <w:t xml:space="preserve"> </w:t>
      </w:r>
      <w:r>
        <w:t xml:space="preserve">that facility ratings </w:t>
      </w:r>
      <w:r w:rsidR="008D368B">
        <w:t xml:space="preserve">used in planning </w:t>
      </w:r>
      <w:r w:rsidR="005B6F8B">
        <w:t xml:space="preserve">assessments </w:t>
      </w:r>
      <w:r>
        <w:t xml:space="preserve">are </w:t>
      </w:r>
      <w:r w:rsidR="008D368B">
        <w:t>determined</w:t>
      </w:r>
      <w:r>
        <w:t xml:space="preserve"> in accordance with </w:t>
      </w:r>
      <w:r w:rsidR="00E7412F">
        <w:t>Reliability S</w:t>
      </w:r>
      <w:r>
        <w:t>tandard FAC-008-</w:t>
      </w:r>
      <w:r w:rsidR="00831E8F">
        <w:t>3</w:t>
      </w:r>
      <w:r w:rsidR="00D15FE3">
        <w:t>,</w:t>
      </w:r>
      <w:r>
        <w:rPr>
          <w:rStyle w:val="FootnoteReference"/>
        </w:rPr>
        <w:footnoteReference w:id="72"/>
      </w:r>
      <w:r w:rsidR="00E844E0">
        <w:t xml:space="preserve"> which states that </w:t>
      </w:r>
      <w:r>
        <w:t xml:space="preserve">a </w:t>
      </w:r>
      <w:r w:rsidR="00E844E0">
        <w:t>“</w:t>
      </w:r>
      <w:r>
        <w:t>Facility Rating</w:t>
      </w:r>
      <w:r w:rsidR="00E844E0">
        <w:t xml:space="preserve"> </w:t>
      </w:r>
      <w:r>
        <w:t xml:space="preserve">shall respect the most limiting applicable Equipment Rating of the individual equipment that comprises that </w:t>
      </w:r>
      <w:r w:rsidR="00E844E0">
        <w:t>F</w:t>
      </w:r>
      <w:r>
        <w:t>acility.</w:t>
      </w:r>
      <w:r w:rsidR="00E844E0">
        <w:t>”</w:t>
      </w:r>
    </w:p>
    <w:p w:rsidR="00C3776D" w:rsidRDefault="00C3776D" w:rsidP="00286574">
      <w:pPr>
        <w:pStyle w:val="Heading2"/>
      </w:pPr>
      <w:r>
        <w:t>Other Matters Raised by Commenters</w:t>
      </w:r>
    </w:p>
    <w:p w:rsidR="00BD2C69" w:rsidRPr="00BD2C69" w:rsidRDefault="00C3776D" w:rsidP="00351DCA">
      <w:pPr>
        <w:pStyle w:val="FERCparanumber"/>
      </w:pPr>
      <w:r>
        <w:t xml:space="preserve">Powerex </w:t>
      </w:r>
      <w:r w:rsidR="00BD2C69">
        <w:t xml:space="preserve">states that </w:t>
      </w:r>
      <w:r>
        <w:t>additional clarification is needed with respect to Footnote 9</w:t>
      </w:r>
      <w:r w:rsidR="00BD2C69">
        <w:t xml:space="preserve"> </w:t>
      </w:r>
      <w:r>
        <w:t>to Table 1 in order to provide clarity</w:t>
      </w:r>
      <w:r w:rsidR="00BD2C69">
        <w:t xml:space="preserve"> </w:t>
      </w:r>
      <w:r>
        <w:t xml:space="preserve">and ensure consistent interpretation as to when </w:t>
      </w:r>
      <w:r w:rsidR="00BD2C69">
        <w:t>t</w:t>
      </w:r>
      <w:r>
        <w:t xml:space="preserve">ransmission </w:t>
      </w:r>
      <w:r w:rsidR="00BD2C69">
        <w:t>p</w:t>
      </w:r>
      <w:r>
        <w:t>lanners may plan to</w:t>
      </w:r>
      <w:r w:rsidR="00BD2C69">
        <w:t xml:space="preserve"> </w:t>
      </w:r>
      <w:r>
        <w:t xml:space="preserve">curtail </w:t>
      </w:r>
      <w:r w:rsidR="00BD2C69">
        <w:t>f</w:t>
      </w:r>
      <w:r>
        <w:t xml:space="preserve">irm </w:t>
      </w:r>
      <w:r w:rsidR="00BD2C69">
        <w:t>t</w:t>
      </w:r>
      <w:r>
        <w:t xml:space="preserve">ransmission </w:t>
      </w:r>
      <w:r w:rsidR="00BD2C69">
        <w:t>s</w:t>
      </w:r>
      <w:r>
        <w:t>ervice.</w:t>
      </w:r>
      <w:r w:rsidR="00BD2C69">
        <w:t xml:space="preserve">  Powerex is </w:t>
      </w:r>
      <w:r>
        <w:t>concerned that</w:t>
      </w:r>
      <w:r w:rsidR="00351DCA">
        <w:t xml:space="preserve"> t</w:t>
      </w:r>
      <w:r w:rsidR="00BD2C69">
        <w:t xml:space="preserve">he revised </w:t>
      </w:r>
      <w:r>
        <w:t>TPL</w:t>
      </w:r>
      <w:r w:rsidR="00BD2C69">
        <w:t xml:space="preserve"> </w:t>
      </w:r>
      <w:r>
        <w:t xml:space="preserve">Standard may provide </w:t>
      </w:r>
      <w:r w:rsidR="00BD2C69">
        <w:t>t</w:t>
      </w:r>
      <w:r>
        <w:t xml:space="preserve">ransmission </w:t>
      </w:r>
      <w:r w:rsidR="00BD2C69">
        <w:t>p</w:t>
      </w:r>
      <w:r>
        <w:t>lanners</w:t>
      </w:r>
      <w:r w:rsidR="00BD2C69">
        <w:t xml:space="preserve"> </w:t>
      </w:r>
      <w:r>
        <w:t xml:space="preserve">with broad discretion to plan for the curtailment of </w:t>
      </w:r>
      <w:r w:rsidR="00BD2C69">
        <w:t>f</w:t>
      </w:r>
      <w:r>
        <w:t xml:space="preserve">irm </w:t>
      </w:r>
      <w:r w:rsidR="00BD2C69">
        <w:t>t</w:t>
      </w:r>
      <w:r>
        <w:t xml:space="preserve">ransmission </w:t>
      </w:r>
      <w:r w:rsidR="00BD2C69">
        <w:t>s</w:t>
      </w:r>
      <w:r>
        <w:t>ervice without</w:t>
      </w:r>
      <w:r w:rsidR="00BD2C69">
        <w:t xml:space="preserve"> </w:t>
      </w:r>
      <w:r>
        <w:t xml:space="preserve">providing </w:t>
      </w:r>
      <w:r w:rsidR="00BD2C69">
        <w:t>purchase</w:t>
      </w:r>
      <w:r w:rsidR="009207F3">
        <w:t>-</w:t>
      </w:r>
      <w:r w:rsidR="00BD2C69">
        <w:t xml:space="preserve">selling entities </w:t>
      </w:r>
      <w:r>
        <w:t>with the notice and certainty they need to make appropriate alternate</w:t>
      </w:r>
      <w:r w:rsidR="00BD2C69">
        <w:t xml:space="preserve"> </w:t>
      </w:r>
      <w:r>
        <w:t xml:space="preserve">arrangements. </w:t>
      </w:r>
      <w:r w:rsidR="009207F3">
        <w:t xml:space="preserve"> </w:t>
      </w:r>
      <w:r w:rsidR="00BD2C69">
        <w:t xml:space="preserve">Powerex believes </w:t>
      </w:r>
      <w:r w:rsidR="009207F3">
        <w:t>t</w:t>
      </w:r>
      <w:r w:rsidR="00BD2C69" w:rsidRPr="00BD2C69">
        <w:t xml:space="preserve">hat </w:t>
      </w:r>
      <w:r w:rsidR="009207F3">
        <w:t xml:space="preserve">the phrase in </w:t>
      </w:r>
      <w:r w:rsidR="00351DCA">
        <w:t>f</w:t>
      </w:r>
      <w:r w:rsidR="00BD2C69" w:rsidRPr="00BD2C69">
        <w:t xml:space="preserve">ootnote 9  “resources obligated to re-dispatch” should be clarified </w:t>
      </w:r>
      <w:r w:rsidR="009207F3">
        <w:t xml:space="preserve">as referring </w:t>
      </w:r>
      <w:r w:rsidR="00BD2C69" w:rsidRPr="00BD2C69">
        <w:t xml:space="preserve">to a formal agreement between the </w:t>
      </w:r>
      <w:r w:rsidR="00BD2C69">
        <w:t>t</w:t>
      </w:r>
      <w:r w:rsidR="00BD2C69" w:rsidRPr="00BD2C69">
        <w:t xml:space="preserve">ransmission </w:t>
      </w:r>
      <w:r w:rsidR="00BD2C69">
        <w:t>p</w:t>
      </w:r>
      <w:r w:rsidR="00BD2C69" w:rsidRPr="00BD2C69">
        <w:t xml:space="preserve">rovider and a </w:t>
      </w:r>
      <w:r w:rsidR="00BD2C69">
        <w:t>g</w:t>
      </w:r>
      <w:r w:rsidR="00BD2C69" w:rsidRPr="00BD2C69">
        <w:t xml:space="preserve">eneration </w:t>
      </w:r>
      <w:r w:rsidR="00BD2C69">
        <w:t>o</w:t>
      </w:r>
      <w:r w:rsidR="00BD2C69" w:rsidRPr="00BD2C69">
        <w:t xml:space="preserve">wner, located on the load side of a </w:t>
      </w:r>
      <w:r w:rsidR="00BD2C69" w:rsidRPr="00BD2C69">
        <w:lastRenderedPageBreak/>
        <w:t>transmission constraint, to resupply the load that had been receiving energy f</w:t>
      </w:r>
      <w:r w:rsidR="00BD2C69">
        <w:t>rom a remote source before the f</w:t>
      </w:r>
      <w:r w:rsidR="00BD2C69" w:rsidRPr="00BD2C69">
        <w:t xml:space="preserve">irm </w:t>
      </w:r>
      <w:r w:rsidR="00BD2C69">
        <w:t>t</w:t>
      </w:r>
      <w:r w:rsidR="00BD2C69" w:rsidRPr="00BD2C69">
        <w:t xml:space="preserve">ransmission </w:t>
      </w:r>
      <w:r w:rsidR="00BD2C69">
        <w:t>s</w:t>
      </w:r>
      <w:r w:rsidR="00BD2C69" w:rsidRPr="00BD2C69">
        <w:t xml:space="preserve">ervice was curtailed. </w:t>
      </w:r>
    </w:p>
    <w:p w:rsidR="00C3776D" w:rsidRPr="00E53016" w:rsidRDefault="00C3776D" w:rsidP="00C3776D">
      <w:pPr>
        <w:pStyle w:val="FERCparanumber"/>
        <w:numPr>
          <w:ilvl w:val="0"/>
          <w:numId w:val="0"/>
        </w:numPr>
        <w:ind w:firstLine="720"/>
        <w:rPr>
          <w:b/>
          <w:szCs w:val="26"/>
          <w:u w:val="single"/>
        </w:rPr>
      </w:pPr>
      <w:r w:rsidRPr="00E53016">
        <w:rPr>
          <w:b/>
          <w:szCs w:val="26"/>
          <w:u w:val="single"/>
        </w:rPr>
        <w:t>Commission Determination</w:t>
      </w:r>
    </w:p>
    <w:p w:rsidR="00C3776D" w:rsidRPr="00DB1FB6" w:rsidRDefault="00BD2C69" w:rsidP="00706FC4">
      <w:pPr>
        <w:pStyle w:val="FERCparanumber"/>
        <w:rPr>
          <w:szCs w:val="26"/>
        </w:rPr>
      </w:pPr>
      <w:r w:rsidRPr="00DB1FB6">
        <w:rPr>
          <w:szCs w:val="26"/>
        </w:rPr>
        <w:t xml:space="preserve">We will not direct NERC to modify footnote 9.  </w:t>
      </w:r>
      <w:r w:rsidR="0069432D">
        <w:t xml:space="preserve">We </w:t>
      </w:r>
      <w:r>
        <w:t xml:space="preserve">find </w:t>
      </w:r>
      <w:r w:rsidR="00C3776D">
        <w:t xml:space="preserve">NERC’s explanation </w:t>
      </w:r>
      <w:r w:rsidR="0069432D">
        <w:t xml:space="preserve">satisfactory </w:t>
      </w:r>
      <w:r w:rsidR="00C3776D">
        <w:t>that “the planner must be able to show that the curtailment is supported by a valid re-dispatch of generation that would be ‘obligated to redispatch’…[t]herefore, the planner cannot simply re-dispatch units outside the area of control for the transmission system for which it is reviewing – the re-dispa</w:t>
      </w:r>
      <w:r>
        <w:t>tch must be valid and realistic</w:t>
      </w:r>
      <w:r w:rsidR="0069432D">
        <w:t>.</w:t>
      </w:r>
      <w:r w:rsidR="00C3776D">
        <w:t>”</w:t>
      </w:r>
      <w:r w:rsidR="00C3776D">
        <w:rPr>
          <w:rStyle w:val="FootnoteReference"/>
        </w:rPr>
        <w:footnoteReference w:id="73"/>
      </w:r>
      <w:r w:rsidR="00C3776D" w:rsidRPr="00DB1FB6">
        <w:rPr>
          <w:color w:val="000000"/>
          <w:szCs w:val="26"/>
        </w:rPr>
        <w:t xml:space="preserve"> </w:t>
      </w:r>
    </w:p>
    <w:p w:rsidR="008125BD" w:rsidRPr="00021944" w:rsidRDefault="00450BC0" w:rsidP="00450BC0">
      <w:pPr>
        <w:pStyle w:val="Heading1"/>
        <w:rPr>
          <w:szCs w:val="26"/>
        </w:rPr>
      </w:pPr>
      <w:r w:rsidRPr="00021944">
        <w:rPr>
          <w:szCs w:val="26"/>
        </w:rPr>
        <w:lastRenderedPageBreak/>
        <w:t xml:space="preserve"> </w:t>
      </w:r>
      <w:r w:rsidR="008125BD" w:rsidRPr="00021944">
        <w:rPr>
          <w:szCs w:val="26"/>
        </w:rPr>
        <w:t>I</w:t>
      </w:r>
      <w:bookmarkEnd w:id="6"/>
      <w:r w:rsidR="008125BD" w:rsidRPr="00021944">
        <w:rPr>
          <w:szCs w:val="26"/>
        </w:rPr>
        <w:t>nformation Collection Statement</w:t>
      </w:r>
      <w:bookmarkEnd w:id="4"/>
      <w:bookmarkEnd w:id="5"/>
    </w:p>
    <w:p w:rsidR="009863F2" w:rsidRPr="00021944" w:rsidRDefault="009863F2" w:rsidP="009863F2">
      <w:pPr>
        <w:pStyle w:val="FERCparanumber"/>
        <w:keepNext/>
        <w:rPr>
          <w:szCs w:val="26"/>
        </w:rPr>
      </w:pPr>
      <w:r w:rsidRPr="00021944">
        <w:rPr>
          <w:szCs w:val="26"/>
        </w:rPr>
        <w:t>The Office of Management and Budget (OMB) regulations require that OMB approve certain reporting and recordkeeping (collections of information) imposed by an agency.</w:t>
      </w:r>
      <w:r w:rsidRPr="00021944">
        <w:rPr>
          <w:b/>
          <w:szCs w:val="26"/>
          <w:vertAlign w:val="superscript"/>
        </w:rPr>
        <w:footnoteReference w:id="74"/>
      </w:r>
      <w:r w:rsidRPr="00021944">
        <w:rPr>
          <w:szCs w:val="26"/>
        </w:rPr>
        <w:t xml:space="preserve">  Upon approval of a collection(s) of 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 </w:t>
      </w:r>
    </w:p>
    <w:p w:rsidR="005836A7" w:rsidRPr="00021944" w:rsidRDefault="005836A7" w:rsidP="00C655A6">
      <w:pPr>
        <w:pStyle w:val="FERCparanumber"/>
        <w:tabs>
          <w:tab w:val="clear" w:pos="720"/>
        </w:tabs>
        <w:rPr>
          <w:szCs w:val="26"/>
        </w:rPr>
      </w:pPr>
      <w:r w:rsidRPr="00021944">
        <w:rPr>
          <w:szCs w:val="26"/>
        </w:rPr>
        <w:t xml:space="preserve">The Commission is submitting these reporting and recordkeeping requirements to OMB for its review and approval under section 3507(d) of Paperwork Reduction Act of 1995. </w:t>
      </w:r>
      <w:r w:rsidR="00C655A6" w:rsidRPr="00021944">
        <w:rPr>
          <w:szCs w:val="26"/>
        </w:rPr>
        <w:t xml:space="preserve"> </w:t>
      </w:r>
      <w:r w:rsidRPr="00021944">
        <w:rPr>
          <w:szCs w:val="26"/>
        </w:rPr>
        <w:t xml:space="preserve">The Commission solicited comments on the need for and the purpose of the information contained in Reliability Standard TPL-001-4 and the corresponding burden to implement the Reliability Standard. </w:t>
      </w:r>
      <w:r w:rsidR="00E53016">
        <w:rPr>
          <w:szCs w:val="26"/>
        </w:rPr>
        <w:t xml:space="preserve"> </w:t>
      </w:r>
      <w:r w:rsidRPr="00021944">
        <w:rPr>
          <w:szCs w:val="26"/>
        </w:rPr>
        <w:t>The Commission received comments on specific requirements in the Reliability Standard, which we address in this Final Rule.  However, the Commission did not receive any comments on our reporting burden estimates.  The Final Rule approves Reliability Standard TPL-00</w:t>
      </w:r>
      <w:r w:rsidR="007320BD">
        <w:rPr>
          <w:szCs w:val="26"/>
        </w:rPr>
        <w:t>1</w:t>
      </w:r>
      <w:r w:rsidRPr="00021944">
        <w:rPr>
          <w:szCs w:val="26"/>
        </w:rPr>
        <w:t>-</w:t>
      </w:r>
      <w:r w:rsidR="007320BD">
        <w:rPr>
          <w:szCs w:val="26"/>
        </w:rPr>
        <w:t>4</w:t>
      </w:r>
      <w:r w:rsidR="008E6F4A">
        <w:rPr>
          <w:szCs w:val="26"/>
        </w:rPr>
        <w:t>.</w:t>
      </w:r>
    </w:p>
    <w:p w:rsidR="004069EF" w:rsidRPr="00021944" w:rsidRDefault="004069EF" w:rsidP="007C51A7">
      <w:pPr>
        <w:pStyle w:val="FERCparanumber"/>
        <w:rPr>
          <w:szCs w:val="26"/>
        </w:rPr>
      </w:pPr>
      <w:r w:rsidRPr="00021944">
        <w:rPr>
          <w:szCs w:val="26"/>
          <w:u w:val="single"/>
        </w:rPr>
        <w:t>Public Reporting Burden</w:t>
      </w:r>
      <w:r w:rsidRPr="00021944">
        <w:rPr>
          <w:szCs w:val="26"/>
        </w:rPr>
        <w:t xml:space="preserve">:  </w:t>
      </w:r>
      <w:r w:rsidR="007C51A7" w:rsidRPr="00021944">
        <w:rPr>
          <w:szCs w:val="26"/>
        </w:rPr>
        <w:t xml:space="preserve">The burden and cost estimates below are based on the increase in the reporting and recordkeeping burden imposed by the </w:t>
      </w:r>
      <w:r w:rsidR="007C51A7" w:rsidRPr="00021944">
        <w:rPr>
          <w:szCs w:val="26"/>
        </w:rPr>
        <w:lastRenderedPageBreak/>
        <w:t>proposed Reliability Standards.  Our estimate</w:t>
      </w:r>
      <w:r w:rsidR="002268CB" w:rsidRPr="00021944">
        <w:rPr>
          <w:szCs w:val="26"/>
        </w:rPr>
        <w:t>s</w:t>
      </w:r>
      <w:r w:rsidR="007C51A7" w:rsidRPr="00021944">
        <w:rPr>
          <w:szCs w:val="26"/>
        </w:rPr>
        <w:t xml:space="preserve"> </w:t>
      </w:r>
      <w:r w:rsidR="002268CB" w:rsidRPr="00021944">
        <w:rPr>
          <w:color w:val="000000"/>
          <w:szCs w:val="26"/>
        </w:rPr>
        <w:t>are</w:t>
      </w:r>
      <w:r w:rsidR="007C51A7" w:rsidRPr="00021944">
        <w:rPr>
          <w:color w:val="000000"/>
          <w:szCs w:val="26"/>
        </w:rPr>
        <w:t xml:space="preserve"> based on the NERC Compliance Registry as of</w:t>
      </w:r>
      <w:r w:rsidR="00E0459C" w:rsidRPr="00021944">
        <w:rPr>
          <w:color w:val="000000"/>
          <w:szCs w:val="26"/>
        </w:rPr>
        <w:t xml:space="preserve"> </w:t>
      </w:r>
      <w:r w:rsidR="00B1433E" w:rsidRPr="008E6F4A">
        <w:t>February 28</w:t>
      </w:r>
      <w:r w:rsidR="007C51A7" w:rsidRPr="008E6F4A">
        <w:t>, 2013</w:t>
      </w:r>
      <w:r w:rsidR="002268CB" w:rsidRPr="00021944">
        <w:rPr>
          <w:color w:val="000000"/>
          <w:szCs w:val="26"/>
        </w:rPr>
        <w:t xml:space="preserve">, which indicate that NERC has registered </w:t>
      </w:r>
      <w:r w:rsidR="007E7E1A" w:rsidRPr="00021944">
        <w:rPr>
          <w:color w:val="000000"/>
          <w:szCs w:val="26"/>
        </w:rPr>
        <w:t>183</w:t>
      </w:r>
      <w:r w:rsidR="002268CB" w:rsidRPr="00021944">
        <w:rPr>
          <w:color w:val="000000"/>
          <w:szCs w:val="26"/>
        </w:rPr>
        <w:t xml:space="preserve"> transmission planners and planning coordinators</w:t>
      </w:r>
      <w:r w:rsidR="007C51A7" w:rsidRPr="00021944">
        <w:rPr>
          <w:color w:val="000000"/>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815"/>
        <w:gridCol w:w="1652"/>
        <w:gridCol w:w="1429"/>
        <w:gridCol w:w="1468"/>
        <w:gridCol w:w="1401"/>
      </w:tblGrid>
      <w:tr w:rsidR="002268CB" w:rsidRPr="00021944" w:rsidTr="002268CB">
        <w:tc>
          <w:tcPr>
            <w:tcW w:w="2098" w:type="dxa"/>
            <w:shd w:val="clear" w:color="auto" w:fill="D9D9D9"/>
            <w:vAlign w:val="bottom"/>
          </w:tcPr>
          <w:p w:rsidR="002268CB" w:rsidRPr="00021944" w:rsidRDefault="002268CB" w:rsidP="004069EF">
            <w:pPr>
              <w:pStyle w:val="FERCparanumber"/>
              <w:numPr>
                <w:ilvl w:val="0"/>
                <w:numId w:val="0"/>
              </w:numPr>
              <w:spacing w:line="240" w:lineRule="auto"/>
              <w:jc w:val="center"/>
              <w:rPr>
                <w:b/>
                <w:szCs w:val="26"/>
              </w:rPr>
            </w:pPr>
            <w:r w:rsidRPr="00021944">
              <w:rPr>
                <w:b/>
                <w:szCs w:val="26"/>
              </w:rPr>
              <w:t>Improved Requirement</w:t>
            </w:r>
            <w:r w:rsidRPr="00021944">
              <w:rPr>
                <w:rStyle w:val="FootnoteReference"/>
              </w:rPr>
              <w:footnoteReference w:id="75"/>
            </w:r>
          </w:p>
        </w:tc>
        <w:tc>
          <w:tcPr>
            <w:tcW w:w="1143" w:type="dxa"/>
            <w:shd w:val="clear" w:color="auto" w:fill="D9D9D9"/>
            <w:vAlign w:val="bottom"/>
          </w:tcPr>
          <w:p w:rsidR="002268CB" w:rsidRPr="00021944" w:rsidRDefault="002268CB" w:rsidP="002268CB">
            <w:pPr>
              <w:pStyle w:val="FERCparanumber"/>
              <w:numPr>
                <w:ilvl w:val="0"/>
                <w:numId w:val="0"/>
              </w:numPr>
              <w:spacing w:line="240" w:lineRule="auto"/>
              <w:jc w:val="center"/>
              <w:rPr>
                <w:b/>
                <w:szCs w:val="26"/>
              </w:rPr>
            </w:pPr>
            <w:r w:rsidRPr="00021944">
              <w:rPr>
                <w:b/>
                <w:szCs w:val="26"/>
              </w:rPr>
              <w:t>Year</w:t>
            </w:r>
          </w:p>
        </w:tc>
        <w:tc>
          <w:tcPr>
            <w:tcW w:w="1874" w:type="dxa"/>
            <w:shd w:val="clear" w:color="auto" w:fill="D9D9D9"/>
            <w:vAlign w:val="bottom"/>
          </w:tcPr>
          <w:p w:rsidR="002268CB" w:rsidRPr="00021944" w:rsidRDefault="002268CB" w:rsidP="004069EF">
            <w:pPr>
              <w:pStyle w:val="FERCparanumber"/>
              <w:numPr>
                <w:ilvl w:val="0"/>
                <w:numId w:val="0"/>
              </w:numPr>
              <w:spacing w:line="240" w:lineRule="auto"/>
              <w:jc w:val="center"/>
              <w:rPr>
                <w:b/>
                <w:szCs w:val="26"/>
              </w:rPr>
            </w:pPr>
            <w:r w:rsidRPr="00021944">
              <w:rPr>
                <w:b/>
                <w:szCs w:val="26"/>
              </w:rPr>
              <w:t>Number and Type of Entity</w:t>
            </w:r>
            <w:r w:rsidRPr="00021944">
              <w:rPr>
                <w:rStyle w:val="FootnoteReference"/>
              </w:rPr>
              <w:footnoteReference w:id="76"/>
            </w:r>
          </w:p>
          <w:p w:rsidR="002268CB" w:rsidRPr="00021944" w:rsidRDefault="002268CB" w:rsidP="004069EF">
            <w:pPr>
              <w:pStyle w:val="FERCparanumber"/>
              <w:numPr>
                <w:ilvl w:val="0"/>
                <w:numId w:val="0"/>
              </w:numPr>
              <w:spacing w:line="240" w:lineRule="auto"/>
              <w:jc w:val="center"/>
              <w:rPr>
                <w:b/>
                <w:szCs w:val="26"/>
              </w:rPr>
            </w:pPr>
            <w:r w:rsidRPr="00021944">
              <w:rPr>
                <w:b/>
                <w:szCs w:val="26"/>
              </w:rPr>
              <w:t>(1)</w:t>
            </w:r>
          </w:p>
        </w:tc>
        <w:tc>
          <w:tcPr>
            <w:tcW w:w="1429" w:type="dxa"/>
            <w:shd w:val="clear" w:color="auto" w:fill="D9D9D9"/>
            <w:vAlign w:val="bottom"/>
          </w:tcPr>
          <w:p w:rsidR="002268CB" w:rsidRPr="00021944" w:rsidRDefault="002268CB" w:rsidP="004069EF">
            <w:pPr>
              <w:pStyle w:val="FERCparanumber"/>
              <w:numPr>
                <w:ilvl w:val="0"/>
                <w:numId w:val="0"/>
              </w:numPr>
              <w:spacing w:line="240" w:lineRule="auto"/>
              <w:jc w:val="center"/>
              <w:rPr>
                <w:b/>
                <w:szCs w:val="26"/>
              </w:rPr>
            </w:pPr>
            <w:r w:rsidRPr="00021944">
              <w:rPr>
                <w:b/>
                <w:szCs w:val="26"/>
              </w:rPr>
              <w:t xml:space="preserve">Number of Annual Responses  Per Entity </w:t>
            </w:r>
          </w:p>
          <w:p w:rsidR="002268CB" w:rsidRPr="00021944" w:rsidRDefault="002268CB" w:rsidP="004069EF">
            <w:pPr>
              <w:pStyle w:val="FERCparanumber"/>
              <w:numPr>
                <w:ilvl w:val="0"/>
                <w:numId w:val="0"/>
              </w:numPr>
              <w:spacing w:line="240" w:lineRule="auto"/>
              <w:jc w:val="center"/>
              <w:rPr>
                <w:b/>
                <w:szCs w:val="26"/>
              </w:rPr>
            </w:pPr>
            <w:r w:rsidRPr="00021944">
              <w:rPr>
                <w:b/>
                <w:szCs w:val="26"/>
              </w:rPr>
              <w:t>(2)</w:t>
            </w:r>
          </w:p>
        </w:tc>
        <w:tc>
          <w:tcPr>
            <w:tcW w:w="1535" w:type="dxa"/>
            <w:shd w:val="clear" w:color="auto" w:fill="D9D9D9"/>
            <w:vAlign w:val="bottom"/>
          </w:tcPr>
          <w:p w:rsidR="002268CB" w:rsidRPr="00021944" w:rsidRDefault="002268CB" w:rsidP="004069EF">
            <w:pPr>
              <w:pStyle w:val="FERCparanumber"/>
              <w:numPr>
                <w:ilvl w:val="0"/>
                <w:numId w:val="0"/>
              </w:numPr>
              <w:spacing w:line="240" w:lineRule="auto"/>
              <w:jc w:val="center"/>
              <w:rPr>
                <w:b/>
                <w:szCs w:val="26"/>
              </w:rPr>
            </w:pPr>
            <w:r w:rsidRPr="00021944">
              <w:rPr>
                <w:b/>
                <w:szCs w:val="26"/>
              </w:rPr>
              <w:t>Average</w:t>
            </w:r>
          </w:p>
          <w:p w:rsidR="002268CB" w:rsidRPr="00021944" w:rsidRDefault="002268CB" w:rsidP="004069EF">
            <w:pPr>
              <w:pStyle w:val="FERCparanumber"/>
              <w:numPr>
                <w:ilvl w:val="0"/>
                <w:numId w:val="0"/>
              </w:numPr>
              <w:spacing w:line="240" w:lineRule="auto"/>
              <w:jc w:val="center"/>
              <w:rPr>
                <w:b/>
                <w:szCs w:val="26"/>
              </w:rPr>
            </w:pPr>
            <w:r w:rsidRPr="00021944">
              <w:rPr>
                <w:b/>
                <w:szCs w:val="26"/>
              </w:rPr>
              <w:t>Number of Paperwork Hours per Response</w:t>
            </w:r>
          </w:p>
          <w:p w:rsidR="002268CB" w:rsidRPr="00021944" w:rsidRDefault="002268CB" w:rsidP="004069EF">
            <w:pPr>
              <w:pStyle w:val="FERCparanumber"/>
              <w:numPr>
                <w:ilvl w:val="0"/>
                <w:numId w:val="0"/>
              </w:numPr>
              <w:spacing w:line="240" w:lineRule="auto"/>
              <w:jc w:val="center"/>
              <w:rPr>
                <w:b/>
                <w:szCs w:val="26"/>
              </w:rPr>
            </w:pPr>
            <w:r w:rsidRPr="00021944">
              <w:rPr>
                <w:b/>
                <w:szCs w:val="26"/>
              </w:rPr>
              <w:t>(3)</w:t>
            </w:r>
          </w:p>
        </w:tc>
        <w:tc>
          <w:tcPr>
            <w:tcW w:w="1497" w:type="dxa"/>
            <w:shd w:val="clear" w:color="auto" w:fill="D9D9D9"/>
            <w:vAlign w:val="bottom"/>
          </w:tcPr>
          <w:p w:rsidR="002268CB" w:rsidRPr="00021944" w:rsidRDefault="002268CB" w:rsidP="004069EF">
            <w:pPr>
              <w:pStyle w:val="FERCparanumber"/>
              <w:numPr>
                <w:ilvl w:val="0"/>
                <w:numId w:val="0"/>
              </w:numPr>
              <w:spacing w:line="240" w:lineRule="auto"/>
              <w:jc w:val="center"/>
              <w:rPr>
                <w:b/>
                <w:szCs w:val="26"/>
              </w:rPr>
            </w:pPr>
            <w:r w:rsidRPr="00021944">
              <w:rPr>
                <w:b/>
                <w:szCs w:val="26"/>
              </w:rPr>
              <w:t>Total Burden Hours</w:t>
            </w:r>
          </w:p>
          <w:p w:rsidR="002268CB" w:rsidRPr="00021944" w:rsidRDefault="002268CB" w:rsidP="004069EF">
            <w:pPr>
              <w:pStyle w:val="FERCparanumber"/>
              <w:numPr>
                <w:ilvl w:val="0"/>
                <w:numId w:val="0"/>
              </w:numPr>
              <w:spacing w:line="240" w:lineRule="auto"/>
              <w:jc w:val="center"/>
              <w:rPr>
                <w:b/>
                <w:szCs w:val="26"/>
              </w:rPr>
            </w:pPr>
            <w:r w:rsidRPr="00021944">
              <w:rPr>
                <w:b/>
                <w:szCs w:val="26"/>
              </w:rPr>
              <w:t>(1)*(2)*(3)</w:t>
            </w:r>
          </w:p>
        </w:tc>
      </w:tr>
      <w:tr w:rsidR="002268CB" w:rsidRPr="00021944" w:rsidTr="002268CB">
        <w:tc>
          <w:tcPr>
            <w:tcW w:w="2098" w:type="dxa"/>
            <w:vMerge w:val="restart"/>
            <w:vAlign w:val="center"/>
          </w:tcPr>
          <w:p w:rsidR="002268CB" w:rsidRPr="00021944" w:rsidRDefault="002268CB" w:rsidP="004069EF">
            <w:pPr>
              <w:pStyle w:val="FERCparanumber"/>
              <w:numPr>
                <w:ilvl w:val="0"/>
                <w:numId w:val="0"/>
              </w:numPr>
              <w:spacing w:line="240" w:lineRule="auto"/>
              <w:rPr>
                <w:b/>
                <w:szCs w:val="26"/>
              </w:rPr>
            </w:pPr>
            <w:r w:rsidRPr="00021944">
              <w:rPr>
                <w:b/>
                <w:szCs w:val="26"/>
              </w:rPr>
              <w:t>Identification of Joint Responsibilities and System Modeling Enhancements</w:t>
            </w:r>
            <w:r w:rsidRPr="00021944">
              <w:rPr>
                <w:rStyle w:val="FootnoteReference"/>
              </w:rPr>
              <w:footnoteReference w:id="77"/>
            </w:r>
          </w:p>
        </w:tc>
        <w:tc>
          <w:tcPr>
            <w:tcW w:w="1143" w:type="dxa"/>
          </w:tcPr>
          <w:p w:rsidR="002268CB" w:rsidRPr="00021944" w:rsidRDefault="002268CB" w:rsidP="004069EF">
            <w:pPr>
              <w:pStyle w:val="FERCparanumber"/>
              <w:numPr>
                <w:ilvl w:val="0"/>
                <w:numId w:val="0"/>
              </w:numPr>
              <w:spacing w:line="240" w:lineRule="auto"/>
              <w:rPr>
                <w:szCs w:val="26"/>
              </w:rPr>
            </w:pPr>
            <w:r w:rsidRPr="00021944">
              <w:rPr>
                <w:szCs w:val="26"/>
              </w:rPr>
              <w:t>Year 1</w:t>
            </w:r>
          </w:p>
        </w:tc>
        <w:tc>
          <w:tcPr>
            <w:tcW w:w="1874" w:type="dxa"/>
          </w:tcPr>
          <w:p w:rsidR="002268CB" w:rsidRPr="00021944" w:rsidRDefault="002D09EF" w:rsidP="004069EF">
            <w:pPr>
              <w:pStyle w:val="FERCparanumber"/>
              <w:numPr>
                <w:ilvl w:val="0"/>
                <w:numId w:val="0"/>
              </w:numPr>
              <w:spacing w:line="240" w:lineRule="auto"/>
              <w:rPr>
                <w:szCs w:val="26"/>
              </w:rPr>
            </w:pPr>
            <w:r w:rsidRPr="00021944">
              <w:rPr>
                <w:szCs w:val="26"/>
              </w:rPr>
              <w:t>183</w:t>
            </w:r>
            <w:r w:rsidR="002268CB" w:rsidRPr="00021944">
              <w:rPr>
                <w:szCs w:val="26"/>
              </w:rPr>
              <w:t xml:space="preserve"> Transmission Planners and Planning Coordinators</w:t>
            </w:r>
          </w:p>
        </w:tc>
        <w:tc>
          <w:tcPr>
            <w:tcW w:w="1429" w:type="dxa"/>
          </w:tcPr>
          <w:p w:rsidR="002268CB" w:rsidRPr="00021944" w:rsidRDefault="002268CB" w:rsidP="002268CB">
            <w:pPr>
              <w:pStyle w:val="FERCparanumber"/>
              <w:numPr>
                <w:ilvl w:val="0"/>
                <w:numId w:val="0"/>
              </w:numPr>
              <w:spacing w:line="240" w:lineRule="auto"/>
              <w:rPr>
                <w:szCs w:val="26"/>
              </w:rPr>
            </w:pPr>
            <w:r w:rsidRPr="00021944">
              <w:rPr>
                <w:szCs w:val="26"/>
              </w:rPr>
              <w:t xml:space="preserve">1 response </w:t>
            </w:r>
          </w:p>
        </w:tc>
        <w:tc>
          <w:tcPr>
            <w:tcW w:w="1535" w:type="dxa"/>
            <w:shd w:val="clear" w:color="auto" w:fill="auto"/>
          </w:tcPr>
          <w:p w:rsidR="002268CB" w:rsidRPr="00021944" w:rsidRDefault="002268CB" w:rsidP="00030252">
            <w:pPr>
              <w:pStyle w:val="FERCparanumber"/>
              <w:numPr>
                <w:ilvl w:val="0"/>
                <w:numId w:val="0"/>
              </w:numPr>
              <w:spacing w:line="240" w:lineRule="auto"/>
              <w:rPr>
                <w:szCs w:val="26"/>
              </w:rPr>
            </w:pPr>
            <w:r w:rsidRPr="00021944">
              <w:rPr>
                <w:szCs w:val="26"/>
              </w:rPr>
              <w:t xml:space="preserve">9 (5 engineer hours and 4 record keeping hours) </w:t>
            </w:r>
          </w:p>
        </w:tc>
        <w:tc>
          <w:tcPr>
            <w:tcW w:w="1497" w:type="dxa"/>
          </w:tcPr>
          <w:p w:rsidR="002268CB" w:rsidRPr="00021944" w:rsidRDefault="002268CB" w:rsidP="00030252">
            <w:pPr>
              <w:pStyle w:val="FERCparanumber"/>
              <w:numPr>
                <w:ilvl w:val="0"/>
                <w:numId w:val="0"/>
              </w:numPr>
              <w:spacing w:line="240" w:lineRule="auto"/>
              <w:rPr>
                <w:szCs w:val="26"/>
              </w:rPr>
            </w:pPr>
            <w:r w:rsidRPr="00021944">
              <w:rPr>
                <w:szCs w:val="26"/>
              </w:rPr>
              <w:t>1,</w:t>
            </w:r>
            <w:r w:rsidR="002D09EF" w:rsidRPr="00021944">
              <w:rPr>
                <w:szCs w:val="26"/>
              </w:rPr>
              <w:t>647</w:t>
            </w:r>
            <w:r w:rsidRPr="00021944">
              <w:rPr>
                <w:szCs w:val="26"/>
              </w:rPr>
              <w:t xml:space="preserve"> hours </w:t>
            </w:r>
          </w:p>
        </w:tc>
      </w:tr>
      <w:tr w:rsidR="002268CB" w:rsidRPr="00021944" w:rsidTr="002268CB">
        <w:trPr>
          <w:trHeight w:val="1400"/>
        </w:trPr>
        <w:tc>
          <w:tcPr>
            <w:tcW w:w="2098" w:type="dxa"/>
            <w:vMerge/>
            <w:vAlign w:val="center"/>
          </w:tcPr>
          <w:p w:rsidR="002268CB" w:rsidRPr="00021944" w:rsidRDefault="002268CB" w:rsidP="004069EF">
            <w:pPr>
              <w:pStyle w:val="FERCparanumber"/>
              <w:numPr>
                <w:ilvl w:val="0"/>
                <w:numId w:val="0"/>
              </w:numPr>
              <w:spacing w:line="240" w:lineRule="auto"/>
              <w:rPr>
                <w:b/>
                <w:szCs w:val="26"/>
              </w:rPr>
            </w:pPr>
          </w:p>
        </w:tc>
        <w:tc>
          <w:tcPr>
            <w:tcW w:w="1143" w:type="dxa"/>
          </w:tcPr>
          <w:p w:rsidR="002268CB" w:rsidRPr="00021944" w:rsidRDefault="002268CB" w:rsidP="004069EF">
            <w:pPr>
              <w:pStyle w:val="FERCparanumber"/>
              <w:numPr>
                <w:ilvl w:val="0"/>
                <w:numId w:val="0"/>
              </w:numPr>
              <w:spacing w:line="240" w:lineRule="auto"/>
              <w:rPr>
                <w:szCs w:val="26"/>
              </w:rPr>
            </w:pPr>
            <w:r w:rsidRPr="00021944">
              <w:rPr>
                <w:szCs w:val="26"/>
              </w:rPr>
              <w:t>Year 2 and Year 3</w:t>
            </w:r>
          </w:p>
        </w:tc>
        <w:tc>
          <w:tcPr>
            <w:tcW w:w="1874" w:type="dxa"/>
          </w:tcPr>
          <w:p w:rsidR="002268CB" w:rsidRPr="00021944" w:rsidRDefault="002D09EF" w:rsidP="004069EF">
            <w:pPr>
              <w:pStyle w:val="FERCparanumber"/>
              <w:numPr>
                <w:ilvl w:val="0"/>
                <w:numId w:val="0"/>
              </w:numPr>
              <w:spacing w:line="240" w:lineRule="auto"/>
              <w:rPr>
                <w:szCs w:val="26"/>
              </w:rPr>
            </w:pPr>
            <w:r w:rsidRPr="00021944">
              <w:rPr>
                <w:szCs w:val="26"/>
              </w:rPr>
              <w:t>183</w:t>
            </w:r>
            <w:r w:rsidR="002268CB" w:rsidRPr="00021944">
              <w:rPr>
                <w:szCs w:val="26"/>
              </w:rPr>
              <w:t xml:space="preserve"> Transmission Planners and Planning Coordinators</w:t>
            </w:r>
          </w:p>
        </w:tc>
        <w:tc>
          <w:tcPr>
            <w:tcW w:w="1429" w:type="dxa"/>
          </w:tcPr>
          <w:p w:rsidR="002268CB" w:rsidRPr="00021944" w:rsidRDefault="002268CB" w:rsidP="002268CB">
            <w:pPr>
              <w:pStyle w:val="FERCparanumber"/>
              <w:numPr>
                <w:ilvl w:val="0"/>
                <w:numId w:val="0"/>
              </w:numPr>
              <w:spacing w:line="240" w:lineRule="auto"/>
              <w:rPr>
                <w:szCs w:val="26"/>
              </w:rPr>
            </w:pPr>
            <w:r w:rsidRPr="00021944">
              <w:rPr>
                <w:szCs w:val="26"/>
              </w:rPr>
              <w:t xml:space="preserve">1 response </w:t>
            </w:r>
          </w:p>
        </w:tc>
        <w:tc>
          <w:tcPr>
            <w:tcW w:w="1535" w:type="dxa"/>
            <w:shd w:val="clear" w:color="auto" w:fill="auto"/>
          </w:tcPr>
          <w:p w:rsidR="002268CB" w:rsidRPr="00021944" w:rsidRDefault="002268CB" w:rsidP="00030252">
            <w:pPr>
              <w:pStyle w:val="FERCparanumber"/>
              <w:numPr>
                <w:ilvl w:val="0"/>
                <w:numId w:val="0"/>
              </w:numPr>
              <w:spacing w:line="240" w:lineRule="auto"/>
              <w:rPr>
                <w:szCs w:val="26"/>
              </w:rPr>
            </w:pPr>
            <w:r w:rsidRPr="00021944">
              <w:rPr>
                <w:szCs w:val="26"/>
              </w:rPr>
              <w:t>5 (</w:t>
            </w:r>
            <w:r w:rsidR="002D09EF" w:rsidRPr="00021944">
              <w:rPr>
                <w:szCs w:val="26"/>
              </w:rPr>
              <w:t>3</w:t>
            </w:r>
            <w:r w:rsidRPr="00021944">
              <w:rPr>
                <w:szCs w:val="26"/>
              </w:rPr>
              <w:t xml:space="preserve"> engineer hours and 2 record keeping hours) </w:t>
            </w:r>
          </w:p>
        </w:tc>
        <w:tc>
          <w:tcPr>
            <w:tcW w:w="1497" w:type="dxa"/>
          </w:tcPr>
          <w:p w:rsidR="002268CB" w:rsidRPr="00021944" w:rsidRDefault="002D09EF" w:rsidP="004069EF">
            <w:pPr>
              <w:pStyle w:val="FERCparanumber"/>
              <w:numPr>
                <w:ilvl w:val="0"/>
                <w:numId w:val="0"/>
              </w:numPr>
              <w:spacing w:line="240" w:lineRule="auto"/>
              <w:rPr>
                <w:szCs w:val="26"/>
              </w:rPr>
            </w:pPr>
            <w:r w:rsidRPr="00021944">
              <w:rPr>
                <w:szCs w:val="26"/>
              </w:rPr>
              <w:t>915</w:t>
            </w:r>
            <w:r w:rsidR="002268CB" w:rsidRPr="00021944">
              <w:rPr>
                <w:szCs w:val="26"/>
              </w:rPr>
              <w:t xml:space="preserve"> hours </w:t>
            </w:r>
          </w:p>
          <w:p w:rsidR="002268CB" w:rsidRPr="00021944" w:rsidRDefault="002268CB" w:rsidP="004069EF">
            <w:pPr>
              <w:pStyle w:val="FERCparanumber"/>
              <w:numPr>
                <w:ilvl w:val="0"/>
                <w:numId w:val="0"/>
              </w:numPr>
              <w:spacing w:line="240" w:lineRule="auto"/>
              <w:rPr>
                <w:szCs w:val="26"/>
              </w:rPr>
            </w:pPr>
          </w:p>
          <w:p w:rsidR="002268CB" w:rsidRPr="00021944" w:rsidRDefault="002268CB" w:rsidP="004069EF">
            <w:pPr>
              <w:pStyle w:val="FERCparanumber"/>
              <w:numPr>
                <w:ilvl w:val="0"/>
                <w:numId w:val="0"/>
              </w:numPr>
              <w:spacing w:line="240" w:lineRule="auto"/>
              <w:rPr>
                <w:szCs w:val="26"/>
              </w:rPr>
            </w:pPr>
          </w:p>
        </w:tc>
      </w:tr>
      <w:tr w:rsidR="002268CB" w:rsidRPr="00021944" w:rsidTr="002268CB">
        <w:trPr>
          <w:trHeight w:val="918"/>
        </w:trPr>
        <w:tc>
          <w:tcPr>
            <w:tcW w:w="2098" w:type="dxa"/>
            <w:vMerge w:val="restart"/>
            <w:vAlign w:val="center"/>
          </w:tcPr>
          <w:p w:rsidR="002268CB" w:rsidRPr="00021944" w:rsidRDefault="002268CB" w:rsidP="00DB4FF2">
            <w:pPr>
              <w:pStyle w:val="FERCparanumber"/>
              <w:numPr>
                <w:ilvl w:val="0"/>
                <w:numId w:val="0"/>
              </w:numPr>
              <w:spacing w:line="240" w:lineRule="auto"/>
              <w:rPr>
                <w:b/>
                <w:szCs w:val="26"/>
              </w:rPr>
            </w:pPr>
            <w:r w:rsidRPr="00021944">
              <w:rPr>
                <w:b/>
                <w:szCs w:val="26"/>
              </w:rPr>
              <w:t xml:space="preserve">New Assessments, Simulations, Studies, </w:t>
            </w:r>
            <w:r w:rsidRPr="00021944">
              <w:rPr>
                <w:b/>
                <w:szCs w:val="26"/>
              </w:rPr>
              <w:lastRenderedPageBreak/>
              <w:t>Modeling Enhancements and associate</w:t>
            </w:r>
            <w:r w:rsidR="00DB4FF2">
              <w:rPr>
                <w:b/>
                <w:szCs w:val="26"/>
              </w:rPr>
              <w:t xml:space="preserve">d </w:t>
            </w:r>
            <w:r w:rsidRPr="00021944">
              <w:rPr>
                <w:b/>
                <w:szCs w:val="26"/>
              </w:rPr>
              <w:t>Documentation</w:t>
            </w:r>
            <w:r w:rsidRPr="00021944">
              <w:rPr>
                <w:rStyle w:val="FootnoteReference"/>
              </w:rPr>
              <w:footnoteReference w:id="78"/>
            </w:r>
          </w:p>
        </w:tc>
        <w:tc>
          <w:tcPr>
            <w:tcW w:w="1143" w:type="dxa"/>
          </w:tcPr>
          <w:p w:rsidR="002268CB" w:rsidRPr="00021944" w:rsidRDefault="002268CB" w:rsidP="00030252">
            <w:pPr>
              <w:pStyle w:val="FERCparanumber"/>
              <w:numPr>
                <w:ilvl w:val="0"/>
                <w:numId w:val="0"/>
              </w:numPr>
              <w:spacing w:line="240" w:lineRule="auto"/>
              <w:rPr>
                <w:szCs w:val="26"/>
              </w:rPr>
            </w:pPr>
            <w:r w:rsidRPr="00021944">
              <w:rPr>
                <w:szCs w:val="26"/>
              </w:rPr>
              <w:lastRenderedPageBreak/>
              <w:t xml:space="preserve">Year 2 </w:t>
            </w:r>
          </w:p>
        </w:tc>
        <w:tc>
          <w:tcPr>
            <w:tcW w:w="1874" w:type="dxa"/>
          </w:tcPr>
          <w:p w:rsidR="002268CB" w:rsidRPr="00021944" w:rsidRDefault="002D09EF" w:rsidP="004069EF">
            <w:pPr>
              <w:pStyle w:val="FERCparanumber"/>
              <w:numPr>
                <w:ilvl w:val="0"/>
                <w:numId w:val="0"/>
              </w:numPr>
              <w:spacing w:line="240" w:lineRule="auto"/>
              <w:rPr>
                <w:szCs w:val="26"/>
              </w:rPr>
            </w:pPr>
            <w:r w:rsidRPr="00021944">
              <w:rPr>
                <w:szCs w:val="26"/>
              </w:rPr>
              <w:t>183</w:t>
            </w:r>
            <w:r w:rsidR="002268CB" w:rsidRPr="00021944">
              <w:rPr>
                <w:szCs w:val="26"/>
              </w:rPr>
              <w:t xml:space="preserve"> Transmission Planners and Planning </w:t>
            </w:r>
            <w:r w:rsidR="002268CB" w:rsidRPr="00021944">
              <w:rPr>
                <w:szCs w:val="26"/>
              </w:rPr>
              <w:lastRenderedPageBreak/>
              <w:t>Coordinators</w:t>
            </w:r>
          </w:p>
        </w:tc>
        <w:tc>
          <w:tcPr>
            <w:tcW w:w="1429" w:type="dxa"/>
          </w:tcPr>
          <w:p w:rsidR="002268CB" w:rsidRPr="00021944" w:rsidRDefault="002268CB" w:rsidP="00030252">
            <w:pPr>
              <w:pStyle w:val="FERCparanumber"/>
              <w:numPr>
                <w:ilvl w:val="0"/>
                <w:numId w:val="0"/>
              </w:numPr>
              <w:spacing w:line="240" w:lineRule="auto"/>
              <w:rPr>
                <w:szCs w:val="26"/>
              </w:rPr>
            </w:pPr>
            <w:r w:rsidRPr="00021944">
              <w:rPr>
                <w:szCs w:val="26"/>
              </w:rPr>
              <w:lastRenderedPageBreak/>
              <w:t xml:space="preserve">1 response </w:t>
            </w:r>
          </w:p>
        </w:tc>
        <w:tc>
          <w:tcPr>
            <w:tcW w:w="1535" w:type="dxa"/>
            <w:shd w:val="clear" w:color="auto" w:fill="auto"/>
          </w:tcPr>
          <w:p w:rsidR="002268CB" w:rsidRPr="00021944" w:rsidRDefault="002268CB" w:rsidP="00030252">
            <w:pPr>
              <w:pStyle w:val="FERCparanumber"/>
              <w:numPr>
                <w:ilvl w:val="0"/>
                <w:numId w:val="0"/>
              </w:numPr>
              <w:spacing w:line="240" w:lineRule="auto"/>
              <w:rPr>
                <w:szCs w:val="26"/>
              </w:rPr>
            </w:pPr>
            <w:r w:rsidRPr="00021944">
              <w:rPr>
                <w:szCs w:val="26"/>
              </w:rPr>
              <w:t xml:space="preserve">145 (84 engineer hours, 61 record </w:t>
            </w:r>
            <w:r w:rsidRPr="00021944">
              <w:rPr>
                <w:szCs w:val="26"/>
              </w:rPr>
              <w:lastRenderedPageBreak/>
              <w:t xml:space="preserve">keeping hours) </w:t>
            </w:r>
          </w:p>
        </w:tc>
        <w:tc>
          <w:tcPr>
            <w:tcW w:w="1497" w:type="dxa"/>
          </w:tcPr>
          <w:p w:rsidR="002268CB" w:rsidRPr="00021944" w:rsidRDefault="002268CB" w:rsidP="00030252">
            <w:pPr>
              <w:pStyle w:val="FERCparanumber"/>
              <w:numPr>
                <w:ilvl w:val="0"/>
                <w:numId w:val="0"/>
              </w:numPr>
              <w:spacing w:line="240" w:lineRule="auto"/>
              <w:rPr>
                <w:szCs w:val="26"/>
              </w:rPr>
            </w:pPr>
            <w:r w:rsidRPr="00021944">
              <w:rPr>
                <w:szCs w:val="26"/>
              </w:rPr>
              <w:lastRenderedPageBreak/>
              <w:t>2</w:t>
            </w:r>
            <w:r w:rsidR="002D09EF" w:rsidRPr="00021944">
              <w:rPr>
                <w:szCs w:val="26"/>
              </w:rPr>
              <w:t>6,535</w:t>
            </w:r>
            <w:r w:rsidRPr="00021944">
              <w:rPr>
                <w:szCs w:val="26"/>
              </w:rPr>
              <w:t xml:space="preserve"> hours</w:t>
            </w:r>
          </w:p>
        </w:tc>
      </w:tr>
      <w:tr w:rsidR="002268CB" w:rsidRPr="00021944" w:rsidTr="002268CB">
        <w:trPr>
          <w:trHeight w:val="918"/>
        </w:trPr>
        <w:tc>
          <w:tcPr>
            <w:tcW w:w="2098" w:type="dxa"/>
            <w:vMerge/>
            <w:vAlign w:val="center"/>
          </w:tcPr>
          <w:p w:rsidR="002268CB" w:rsidRPr="00021944" w:rsidRDefault="002268CB">
            <w:pPr>
              <w:pStyle w:val="FERCparanumber"/>
              <w:numPr>
                <w:ilvl w:val="0"/>
                <w:numId w:val="0"/>
              </w:numPr>
              <w:spacing w:line="240" w:lineRule="auto"/>
              <w:rPr>
                <w:b/>
                <w:szCs w:val="26"/>
              </w:rPr>
            </w:pPr>
          </w:p>
        </w:tc>
        <w:tc>
          <w:tcPr>
            <w:tcW w:w="1143" w:type="dxa"/>
          </w:tcPr>
          <w:p w:rsidR="002268CB" w:rsidRPr="00021944" w:rsidRDefault="002268CB">
            <w:pPr>
              <w:pStyle w:val="FERCparanumber"/>
              <w:numPr>
                <w:ilvl w:val="0"/>
                <w:numId w:val="0"/>
              </w:numPr>
              <w:spacing w:line="240" w:lineRule="auto"/>
              <w:rPr>
                <w:szCs w:val="26"/>
              </w:rPr>
            </w:pPr>
            <w:r w:rsidRPr="00021944">
              <w:rPr>
                <w:szCs w:val="26"/>
              </w:rPr>
              <w:t>Year 3</w:t>
            </w:r>
          </w:p>
        </w:tc>
        <w:tc>
          <w:tcPr>
            <w:tcW w:w="1874" w:type="dxa"/>
          </w:tcPr>
          <w:p w:rsidR="002268CB" w:rsidRPr="00021944" w:rsidRDefault="002D09EF">
            <w:pPr>
              <w:pStyle w:val="FERCparanumber"/>
              <w:numPr>
                <w:ilvl w:val="0"/>
                <w:numId w:val="0"/>
              </w:numPr>
              <w:spacing w:line="240" w:lineRule="auto"/>
              <w:rPr>
                <w:szCs w:val="26"/>
              </w:rPr>
            </w:pPr>
            <w:r w:rsidRPr="00021944">
              <w:rPr>
                <w:szCs w:val="26"/>
              </w:rPr>
              <w:t>183</w:t>
            </w:r>
            <w:r w:rsidR="002268CB" w:rsidRPr="00021944">
              <w:rPr>
                <w:szCs w:val="26"/>
              </w:rPr>
              <w:t xml:space="preserve"> Transmission Planners and Planning Coordinators</w:t>
            </w:r>
          </w:p>
        </w:tc>
        <w:tc>
          <w:tcPr>
            <w:tcW w:w="1429" w:type="dxa"/>
          </w:tcPr>
          <w:p w:rsidR="002268CB" w:rsidRPr="00021944" w:rsidRDefault="002268CB" w:rsidP="00030252">
            <w:pPr>
              <w:pStyle w:val="FERCparanumber"/>
              <w:numPr>
                <w:ilvl w:val="0"/>
                <w:numId w:val="0"/>
              </w:numPr>
              <w:spacing w:line="240" w:lineRule="auto"/>
              <w:rPr>
                <w:szCs w:val="26"/>
              </w:rPr>
            </w:pPr>
            <w:r w:rsidRPr="00021944">
              <w:rPr>
                <w:szCs w:val="26"/>
              </w:rPr>
              <w:t xml:space="preserve">1 response </w:t>
            </w:r>
          </w:p>
        </w:tc>
        <w:tc>
          <w:tcPr>
            <w:tcW w:w="1535" w:type="dxa"/>
            <w:shd w:val="clear" w:color="auto" w:fill="auto"/>
          </w:tcPr>
          <w:p w:rsidR="002268CB" w:rsidRPr="00021944" w:rsidRDefault="002268CB" w:rsidP="00030252">
            <w:pPr>
              <w:pStyle w:val="FERCparanumber"/>
              <w:numPr>
                <w:ilvl w:val="0"/>
                <w:numId w:val="0"/>
              </w:numPr>
              <w:spacing w:line="240" w:lineRule="auto"/>
              <w:rPr>
                <w:szCs w:val="26"/>
              </w:rPr>
            </w:pPr>
            <w:r w:rsidRPr="00021944">
              <w:rPr>
                <w:szCs w:val="26"/>
              </w:rPr>
              <w:t>8</w:t>
            </w:r>
            <w:r w:rsidR="002D09EF" w:rsidRPr="00021944">
              <w:rPr>
                <w:szCs w:val="26"/>
              </w:rPr>
              <w:t>4</w:t>
            </w:r>
            <w:r w:rsidRPr="00021944">
              <w:rPr>
                <w:szCs w:val="26"/>
              </w:rPr>
              <w:t xml:space="preserve"> (45 engineer hours, 3</w:t>
            </w:r>
            <w:r w:rsidR="002D09EF" w:rsidRPr="00021944">
              <w:rPr>
                <w:szCs w:val="26"/>
              </w:rPr>
              <w:t>9</w:t>
            </w:r>
            <w:r w:rsidRPr="00021944">
              <w:rPr>
                <w:szCs w:val="26"/>
              </w:rPr>
              <w:t xml:space="preserve"> record keeping hours) </w:t>
            </w:r>
          </w:p>
        </w:tc>
        <w:tc>
          <w:tcPr>
            <w:tcW w:w="1497" w:type="dxa"/>
          </w:tcPr>
          <w:p w:rsidR="002268CB" w:rsidRPr="00021944" w:rsidRDefault="002268CB" w:rsidP="002268CB">
            <w:pPr>
              <w:pStyle w:val="FERCparanumber"/>
              <w:numPr>
                <w:ilvl w:val="0"/>
                <w:numId w:val="0"/>
              </w:numPr>
              <w:spacing w:line="240" w:lineRule="auto"/>
              <w:rPr>
                <w:szCs w:val="26"/>
              </w:rPr>
            </w:pPr>
            <w:r w:rsidRPr="00021944">
              <w:rPr>
                <w:szCs w:val="26"/>
              </w:rPr>
              <w:t>15,</w:t>
            </w:r>
            <w:r w:rsidR="002D09EF" w:rsidRPr="00021944">
              <w:rPr>
                <w:szCs w:val="26"/>
              </w:rPr>
              <w:t>372</w:t>
            </w:r>
            <w:r w:rsidRPr="00021944">
              <w:rPr>
                <w:szCs w:val="26"/>
              </w:rPr>
              <w:t xml:space="preserve"> hours </w:t>
            </w:r>
          </w:p>
        </w:tc>
      </w:tr>
      <w:tr w:rsidR="002268CB" w:rsidRPr="00021944" w:rsidTr="002268CB">
        <w:trPr>
          <w:trHeight w:val="750"/>
        </w:trPr>
        <w:tc>
          <w:tcPr>
            <w:tcW w:w="2098" w:type="dxa"/>
            <w:vMerge w:val="restart"/>
            <w:vAlign w:val="center"/>
          </w:tcPr>
          <w:p w:rsidR="002268CB" w:rsidRPr="00021944" w:rsidRDefault="002268CB" w:rsidP="004069EF">
            <w:pPr>
              <w:pStyle w:val="FERCparanumber"/>
              <w:numPr>
                <w:ilvl w:val="0"/>
                <w:numId w:val="0"/>
              </w:numPr>
              <w:spacing w:line="240" w:lineRule="auto"/>
              <w:rPr>
                <w:b/>
                <w:szCs w:val="26"/>
              </w:rPr>
            </w:pPr>
            <w:r w:rsidRPr="00021944">
              <w:rPr>
                <w:b/>
                <w:szCs w:val="26"/>
              </w:rPr>
              <w:t xml:space="preserve">Attachment 1 stakeholder process </w:t>
            </w:r>
          </w:p>
        </w:tc>
        <w:tc>
          <w:tcPr>
            <w:tcW w:w="1143" w:type="dxa"/>
          </w:tcPr>
          <w:p w:rsidR="002268CB" w:rsidRPr="00021944" w:rsidRDefault="002268CB" w:rsidP="004069EF">
            <w:pPr>
              <w:pStyle w:val="FERCparanumber"/>
              <w:numPr>
                <w:ilvl w:val="0"/>
                <w:numId w:val="0"/>
              </w:numPr>
              <w:spacing w:line="240" w:lineRule="auto"/>
              <w:rPr>
                <w:szCs w:val="26"/>
              </w:rPr>
            </w:pPr>
            <w:r w:rsidRPr="00021944">
              <w:rPr>
                <w:szCs w:val="26"/>
              </w:rPr>
              <w:t>Year 3</w:t>
            </w:r>
          </w:p>
        </w:tc>
        <w:tc>
          <w:tcPr>
            <w:tcW w:w="1874" w:type="dxa"/>
            <w:shd w:val="clear" w:color="auto" w:fill="auto"/>
          </w:tcPr>
          <w:p w:rsidR="002268CB" w:rsidRPr="00021944" w:rsidRDefault="002268CB" w:rsidP="004069EF">
            <w:pPr>
              <w:pStyle w:val="FERCparanumber"/>
              <w:numPr>
                <w:ilvl w:val="0"/>
                <w:numId w:val="0"/>
              </w:numPr>
              <w:spacing w:line="240" w:lineRule="auto"/>
              <w:rPr>
                <w:szCs w:val="26"/>
              </w:rPr>
            </w:pPr>
            <w:r w:rsidRPr="00021944">
              <w:rPr>
                <w:szCs w:val="26"/>
              </w:rPr>
              <w:t>1 Transmission Planner and Planning Coordinator</w:t>
            </w:r>
          </w:p>
        </w:tc>
        <w:tc>
          <w:tcPr>
            <w:tcW w:w="1429" w:type="dxa"/>
          </w:tcPr>
          <w:p w:rsidR="002268CB" w:rsidRPr="00021944" w:rsidRDefault="002268CB" w:rsidP="00030252">
            <w:pPr>
              <w:pStyle w:val="FERCparanumber"/>
              <w:numPr>
                <w:ilvl w:val="0"/>
                <w:numId w:val="0"/>
              </w:numPr>
              <w:spacing w:line="240" w:lineRule="auto"/>
              <w:rPr>
                <w:szCs w:val="26"/>
              </w:rPr>
            </w:pPr>
            <w:r w:rsidRPr="00021944">
              <w:rPr>
                <w:szCs w:val="26"/>
              </w:rPr>
              <w:t xml:space="preserve">12 responses to Attachment  1, sections I and II </w:t>
            </w:r>
          </w:p>
        </w:tc>
        <w:tc>
          <w:tcPr>
            <w:tcW w:w="1535" w:type="dxa"/>
            <w:shd w:val="clear" w:color="auto" w:fill="auto"/>
          </w:tcPr>
          <w:p w:rsidR="002268CB" w:rsidRPr="00021944" w:rsidRDefault="002268CB" w:rsidP="004069EF">
            <w:pPr>
              <w:pStyle w:val="FERCparanumber"/>
              <w:numPr>
                <w:ilvl w:val="0"/>
                <w:numId w:val="0"/>
              </w:numPr>
              <w:spacing w:line="240" w:lineRule="auto"/>
              <w:rPr>
                <w:szCs w:val="26"/>
              </w:rPr>
            </w:pPr>
            <w:r w:rsidRPr="00021944">
              <w:rPr>
                <w:szCs w:val="26"/>
              </w:rPr>
              <w:t>63 (40 engineer hours, 17 record keeping hours, 6 legal hours)</w:t>
            </w:r>
          </w:p>
        </w:tc>
        <w:tc>
          <w:tcPr>
            <w:tcW w:w="1497" w:type="dxa"/>
            <w:shd w:val="clear" w:color="auto" w:fill="auto"/>
          </w:tcPr>
          <w:p w:rsidR="002268CB" w:rsidRPr="00021944" w:rsidRDefault="002268CB" w:rsidP="002268CB">
            <w:pPr>
              <w:pStyle w:val="FERCparanumber"/>
              <w:numPr>
                <w:ilvl w:val="0"/>
                <w:numId w:val="0"/>
              </w:numPr>
              <w:spacing w:line="240" w:lineRule="auto"/>
              <w:rPr>
                <w:szCs w:val="26"/>
              </w:rPr>
            </w:pPr>
            <w:r w:rsidRPr="00021944">
              <w:rPr>
                <w:szCs w:val="26"/>
              </w:rPr>
              <w:t xml:space="preserve">756 hours </w:t>
            </w:r>
          </w:p>
        </w:tc>
      </w:tr>
      <w:tr w:rsidR="002268CB" w:rsidRPr="00021944" w:rsidTr="002268CB">
        <w:trPr>
          <w:trHeight w:val="350"/>
        </w:trPr>
        <w:tc>
          <w:tcPr>
            <w:tcW w:w="2098" w:type="dxa"/>
            <w:vMerge/>
            <w:vAlign w:val="center"/>
          </w:tcPr>
          <w:p w:rsidR="002268CB" w:rsidRPr="00021944" w:rsidRDefault="002268CB">
            <w:pPr>
              <w:pStyle w:val="FERCparanumber"/>
              <w:numPr>
                <w:ilvl w:val="0"/>
                <w:numId w:val="0"/>
              </w:numPr>
              <w:spacing w:line="240" w:lineRule="auto"/>
              <w:rPr>
                <w:b/>
                <w:szCs w:val="26"/>
              </w:rPr>
            </w:pPr>
          </w:p>
        </w:tc>
        <w:tc>
          <w:tcPr>
            <w:tcW w:w="1143" w:type="dxa"/>
          </w:tcPr>
          <w:p w:rsidR="002268CB" w:rsidRPr="00021944" w:rsidRDefault="002268CB">
            <w:pPr>
              <w:pStyle w:val="FERCparanumber"/>
              <w:numPr>
                <w:ilvl w:val="0"/>
                <w:numId w:val="0"/>
              </w:numPr>
              <w:spacing w:line="240" w:lineRule="auto"/>
              <w:rPr>
                <w:szCs w:val="26"/>
              </w:rPr>
            </w:pPr>
            <w:r w:rsidRPr="00021944">
              <w:rPr>
                <w:szCs w:val="26"/>
              </w:rPr>
              <w:t>Year 3</w:t>
            </w:r>
          </w:p>
        </w:tc>
        <w:tc>
          <w:tcPr>
            <w:tcW w:w="1874" w:type="dxa"/>
            <w:shd w:val="clear" w:color="auto" w:fill="auto"/>
          </w:tcPr>
          <w:p w:rsidR="002268CB" w:rsidRPr="00021944" w:rsidRDefault="002268CB">
            <w:pPr>
              <w:pStyle w:val="FERCparanumber"/>
              <w:numPr>
                <w:ilvl w:val="0"/>
                <w:numId w:val="0"/>
              </w:numPr>
              <w:spacing w:line="240" w:lineRule="auto"/>
              <w:rPr>
                <w:szCs w:val="26"/>
              </w:rPr>
            </w:pPr>
            <w:r w:rsidRPr="00021944">
              <w:rPr>
                <w:szCs w:val="26"/>
              </w:rPr>
              <w:t>1 Transmission Planner and Planning Coordinator</w:t>
            </w:r>
          </w:p>
        </w:tc>
        <w:tc>
          <w:tcPr>
            <w:tcW w:w="1429" w:type="dxa"/>
          </w:tcPr>
          <w:p w:rsidR="002268CB" w:rsidRPr="00021944" w:rsidRDefault="002268CB" w:rsidP="002268CB">
            <w:pPr>
              <w:pStyle w:val="FERCparanumber"/>
              <w:numPr>
                <w:ilvl w:val="0"/>
                <w:numId w:val="0"/>
              </w:numPr>
              <w:spacing w:line="240" w:lineRule="auto"/>
              <w:rPr>
                <w:szCs w:val="26"/>
              </w:rPr>
            </w:pPr>
            <w:r w:rsidRPr="00021944">
              <w:rPr>
                <w:szCs w:val="26"/>
              </w:rPr>
              <w:t xml:space="preserve">4 responses to Attachment  1, Sections I, II, and III </w:t>
            </w:r>
          </w:p>
        </w:tc>
        <w:tc>
          <w:tcPr>
            <w:tcW w:w="1535" w:type="dxa"/>
            <w:shd w:val="clear" w:color="auto" w:fill="auto"/>
          </w:tcPr>
          <w:p w:rsidR="002268CB" w:rsidRPr="00021944" w:rsidRDefault="002268CB" w:rsidP="00BE5E3A">
            <w:pPr>
              <w:pStyle w:val="FERCparanumber"/>
              <w:numPr>
                <w:ilvl w:val="0"/>
                <w:numId w:val="0"/>
              </w:numPr>
              <w:spacing w:line="240" w:lineRule="auto"/>
              <w:rPr>
                <w:szCs w:val="26"/>
              </w:rPr>
            </w:pPr>
            <w:r w:rsidRPr="00021944">
              <w:rPr>
                <w:szCs w:val="26"/>
              </w:rPr>
              <w:t>68 (40 engineer hours, 20 record keeping hours, 8 legal hours)</w:t>
            </w:r>
          </w:p>
        </w:tc>
        <w:tc>
          <w:tcPr>
            <w:tcW w:w="1497" w:type="dxa"/>
            <w:shd w:val="clear" w:color="auto" w:fill="auto"/>
          </w:tcPr>
          <w:p w:rsidR="002268CB" w:rsidRPr="00021944" w:rsidRDefault="002268CB" w:rsidP="002268CB">
            <w:pPr>
              <w:pStyle w:val="FERCparanumber"/>
              <w:numPr>
                <w:ilvl w:val="0"/>
                <w:numId w:val="0"/>
              </w:numPr>
              <w:spacing w:line="240" w:lineRule="auto"/>
              <w:rPr>
                <w:szCs w:val="26"/>
              </w:rPr>
            </w:pPr>
            <w:r w:rsidRPr="00021944">
              <w:rPr>
                <w:szCs w:val="26"/>
              </w:rPr>
              <w:t xml:space="preserve">272 hours </w:t>
            </w:r>
          </w:p>
        </w:tc>
      </w:tr>
    </w:tbl>
    <w:p w:rsidR="000B45F9" w:rsidRPr="00021944" w:rsidRDefault="000B45F9" w:rsidP="000B45F9">
      <w:pPr>
        <w:pStyle w:val="FERCparanumber"/>
        <w:numPr>
          <w:ilvl w:val="0"/>
          <w:numId w:val="0"/>
        </w:numPr>
        <w:ind w:left="130"/>
        <w:rPr>
          <w:szCs w:val="26"/>
        </w:rPr>
      </w:pPr>
    </w:p>
    <w:p w:rsidR="00923B3F" w:rsidRPr="00021944" w:rsidRDefault="00923B3F" w:rsidP="00923B3F">
      <w:pPr>
        <w:pStyle w:val="FERCparanumber"/>
        <w:numPr>
          <w:ilvl w:val="0"/>
          <w:numId w:val="0"/>
        </w:numPr>
        <w:rPr>
          <w:szCs w:val="26"/>
        </w:rPr>
      </w:pPr>
      <w:r w:rsidRPr="00021944">
        <w:rPr>
          <w:szCs w:val="26"/>
          <w:u w:val="single"/>
        </w:rPr>
        <w:t>Costs to Comply with Paperwork Requirements</w:t>
      </w:r>
      <w:r w:rsidRPr="00021944">
        <w:rPr>
          <w:szCs w:val="26"/>
        </w:rPr>
        <w:t>:</w:t>
      </w:r>
    </w:p>
    <w:p w:rsidR="00923B3F" w:rsidRPr="00021944" w:rsidRDefault="00923B3F" w:rsidP="008D678D">
      <w:pPr>
        <w:pStyle w:val="FERCparanumber"/>
        <w:numPr>
          <w:ilvl w:val="0"/>
          <w:numId w:val="12"/>
        </w:numPr>
        <w:rPr>
          <w:szCs w:val="26"/>
        </w:rPr>
      </w:pPr>
      <w:r w:rsidRPr="00021944">
        <w:rPr>
          <w:szCs w:val="26"/>
        </w:rPr>
        <w:t>Year 1:</w:t>
      </w:r>
      <w:r w:rsidRPr="00021944">
        <w:rPr>
          <w:b/>
          <w:szCs w:val="26"/>
        </w:rPr>
        <w:t xml:space="preserve"> </w:t>
      </w:r>
      <w:r w:rsidR="00D03EBD" w:rsidRPr="00021944">
        <w:rPr>
          <w:b/>
          <w:szCs w:val="26"/>
        </w:rPr>
        <w:t xml:space="preserve"> </w:t>
      </w:r>
      <w:r w:rsidRPr="00021944">
        <w:rPr>
          <w:b/>
          <w:szCs w:val="26"/>
        </w:rPr>
        <w:t>$</w:t>
      </w:r>
      <w:r w:rsidR="007C1579" w:rsidRPr="00021944">
        <w:rPr>
          <w:b/>
          <w:szCs w:val="26"/>
        </w:rPr>
        <w:t>77,592.</w:t>
      </w:r>
      <w:r w:rsidR="001C53A3" w:rsidRPr="00021944">
        <w:rPr>
          <w:b/>
          <w:szCs w:val="26"/>
        </w:rPr>
        <w:t xml:space="preserve"> </w:t>
      </w:r>
    </w:p>
    <w:p w:rsidR="00923B3F" w:rsidRPr="00021944" w:rsidRDefault="00923B3F" w:rsidP="008D678D">
      <w:pPr>
        <w:pStyle w:val="FERCparanumber"/>
        <w:numPr>
          <w:ilvl w:val="0"/>
          <w:numId w:val="12"/>
        </w:numPr>
        <w:rPr>
          <w:szCs w:val="26"/>
        </w:rPr>
      </w:pPr>
      <w:r w:rsidRPr="00021944">
        <w:rPr>
          <w:szCs w:val="26"/>
        </w:rPr>
        <w:t>Year 2:</w:t>
      </w:r>
      <w:r w:rsidR="00D03EBD" w:rsidRPr="00021944">
        <w:rPr>
          <w:szCs w:val="26"/>
        </w:rPr>
        <w:t xml:space="preserve"> </w:t>
      </w:r>
      <w:r w:rsidRPr="00021944">
        <w:rPr>
          <w:szCs w:val="26"/>
        </w:rPr>
        <w:t xml:space="preserve"> </w:t>
      </w:r>
      <w:r w:rsidRPr="00021944">
        <w:rPr>
          <w:b/>
          <w:szCs w:val="26"/>
        </w:rPr>
        <w:t>$1,</w:t>
      </w:r>
      <w:r w:rsidR="007C1579" w:rsidRPr="00021944">
        <w:rPr>
          <w:b/>
          <w:szCs w:val="26"/>
        </w:rPr>
        <w:t>312,659</w:t>
      </w:r>
      <w:r w:rsidRPr="00021944">
        <w:rPr>
          <w:b/>
          <w:szCs w:val="26"/>
        </w:rPr>
        <w:t xml:space="preserve">.  </w:t>
      </w:r>
    </w:p>
    <w:p w:rsidR="00923B3F" w:rsidRPr="00021944" w:rsidRDefault="00923B3F" w:rsidP="008D678D">
      <w:pPr>
        <w:pStyle w:val="FERCparanumber"/>
        <w:numPr>
          <w:ilvl w:val="0"/>
          <w:numId w:val="12"/>
        </w:numPr>
        <w:rPr>
          <w:szCs w:val="26"/>
        </w:rPr>
      </w:pPr>
      <w:r w:rsidRPr="00021944">
        <w:rPr>
          <w:szCs w:val="26"/>
        </w:rPr>
        <w:t xml:space="preserve">Year 3 and ongoing: </w:t>
      </w:r>
      <w:r w:rsidR="00D03EBD" w:rsidRPr="00021944">
        <w:rPr>
          <w:szCs w:val="26"/>
        </w:rPr>
        <w:t xml:space="preserve"> </w:t>
      </w:r>
      <w:r w:rsidRPr="00021944">
        <w:rPr>
          <w:b/>
          <w:szCs w:val="26"/>
        </w:rPr>
        <w:t>$</w:t>
      </w:r>
      <w:r w:rsidR="007C1579" w:rsidRPr="00021944">
        <w:rPr>
          <w:b/>
          <w:szCs w:val="26"/>
        </w:rPr>
        <w:t>82</w:t>
      </w:r>
      <w:r w:rsidR="00E72133" w:rsidRPr="00021944">
        <w:rPr>
          <w:b/>
          <w:szCs w:val="26"/>
        </w:rPr>
        <w:t>0</w:t>
      </w:r>
      <w:r w:rsidR="007C1579" w:rsidRPr="00021944">
        <w:rPr>
          <w:b/>
          <w:szCs w:val="26"/>
        </w:rPr>
        <w:t>,1</w:t>
      </w:r>
      <w:r w:rsidR="00E72133" w:rsidRPr="00021944">
        <w:rPr>
          <w:b/>
          <w:szCs w:val="26"/>
        </w:rPr>
        <w:t>49</w:t>
      </w:r>
      <w:r w:rsidRPr="00021944">
        <w:rPr>
          <w:b/>
          <w:szCs w:val="26"/>
        </w:rPr>
        <w:t>.</w:t>
      </w:r>
    </w:p>
    <w:p w:rsidR="000069BD" w:rsidRPr="00021944" w:rsidRDefault="000069BD" w:rsidP="000069BD">
      <w:pPr>
        <w:pStyle w:val="FERCparanumber"/>
        <w:rPr>
          <w:szCs w:val="26"/>
        </w:rPr>
      </w:pPr>
      <w:r w:rsidRPr="00021944">
        <w:rPr>
          <w:szCs w:val="26"/>
        </w:rPr>
        <w:lastRenderedPageBreak/>
        <w:t>Year 1 costs include the implementation of those improved requirements that become effective on the first day of the first calendar quarter, 12 months after applicable regulatory approval</w:t>
      </w:r>
      <w:r w:rsidR="009C436B" w:rsidRPr="00021944">
        <w:rPr>
          <w:szCs w:val="26"/>
        </w:rPr>
        <w:t>,</w:t>
      </w:r>
      <w:r w:rsidRPr="00021944">
        <w:rPr>
          <w:szCs w:val="26"/>
        </w:rPr>
        <w:t xml:space="preserve"> which include requirements such as coordination between entities and incremental system modeling enhancements.  Year 2 costs include a portion of year 1 reoccurring costs plus the implementation of the remaining improved requirements that become effective on the first day of the first calendar quarter, 24 months after applicable regulatory approval</w:t>
      </w:r>
      <w:r w:rsidR="009C436B" w:rsidRPr="00021944">
        <w:rPr>
          <w:szCs w:val="26"/>
        </w:rPr>
        <w:t>,</w:t>
      </w:r>
      <w:r w:rsidRPr="00021944">
        <w:rPr>
          <w:szCs w:val="26"/>
        </w:rPr>
        <w:t xml:space="preserve"> which include requirements such as sensitivity studies for steady state and stability analysis, implementation of a spare equipment strategy, short circuit studies, an expansion of contingencies and extreme events</w:t>
      </w:r>
      <w:r w:rsidR="00030252" w:rsidRPr="00021944">
        <w:rPr>
          <w:szCs w:val="26"/>
        </w:rPr>
        <w:t>,</w:t>
      </w:r>
      <w:r w:rsidRPr="00021944">
        <w:rPr>
          <w:szCs w:val="26"/>
        </w:rPr>
        <w:t xml:space="preserve"> and all associated system modeling enhancements and documentation.  Year 3 costs include a portion of year 2 reoccurring costs plus an estimated </w:t>
      </w:r>
      <w:r w:rsidR="00090647" w:rsidRPr="00021944">
        <w:rPr>
          <w:szCs w:val="26"/>
        </w:rPr>
        <w:t xml:space="preserve">cost for </w:t>
      </w:r>
      <w:r w:rsidRPr="00021944">
        <w:rPr>
          <w:szCs w:val="26"/>
        </w:rPr>
        <w:t>Attachment 1 stakeholder process</w:t>
      </w:r>
      <w:r w:rsidR="002669B5" w:rsidRPr="00021944">
        <w:rPr>
          <w:szCs w:val="26"/>
        </w:rPr>
        <w:t>, if needed</w:t>
      </w:r>
      <w:r w:rsidRPr="00021944">
        <w:rPr>
          <w:szCs w:val="26"/>
        </w:rPr>
        <w:t xml:space="preserve">.  </w:t>
      </w:r>
    </w:p>
    <w:p w:rsidR="004069EF" w:rsidRPr="00021944" w:rsidRDefault="004069EF" w:rsidP="004069EF">
      <w:pPr>
        <w:pStyle w:val="FERCparanumber"/>
        <w:rPr>
          <w:szCs w:val="26"/>
        </w:rPr>
      </w:pPr>
      <w:r w:rsidRPr="00021944">
        <w:rPr>
          <w:szCs w:val="26"/>
        </w:rPr>
        <w:t>For the burden categories above, the loaded (salary plus benefits) costs are: $</w:t>
      </w:r>
      <w:r w:rsidR="00CA23ED" w:rsidRPr="00021944">
        <w:rPr>
          <w:szCs w:val="26"/>
        </w:rPr>
        <w:t>60</w:t>
      </w:r>
      <w:r w:rsidRPr="00021944">
        <w:rPr>
          <w:szCs w:val="26"/>
        </w:rPr>
        <w:t>/hour for an engineer; $3</w:t>
      </w:r>
      <w:r w:rsidR="00CA23ED" w:rsidRPr="00021944">
        <w:rPr>
          <w:szCs w:val="26"/>
        </w:rPr>
        <w:t>1</w:t>
      </w:r>
      <w:r w:rsidRPr="00021944">
        <w:rPr>
          <w:szCs w:val="26"/>
        </w:rPr>
        <w:t xml:space="preserve">/hour for recordkeeping; </w:t>
      </w:r>
      <w:r w:rsidR="00A25B48" w:rsidRPr="00021944">
        <w:rPr>
          <w:szCs w:val="26"/>
        </w:rPr>
        <w:t xml:space="preserve">and </w:t>
      </w:r>
      <w:r w:rsidRPr="00021944">
        <w:rPr>
          <w:szCs w:val="26"/>
        </w:rPr>
        <w:t>$128/hour for legal.</w:t>
      </w:r>
      <w:r w:rsidR="009D6B81" w:rsidRPr="00021944">
        <w:rPr>
          <w:rStyle w:val="FootnoteReference"/>
        </w:rPr>
        <w:footnoteReference w:id="79"/>
      </w:r>
      <w:r w:rsidRPr="00021944">
        <w:rPr>
          <w:szCs w:val="26"/>
        </w:rPr>
        <w:t xml:space="preserve">  The estimated breakdown of annual cost is as follows:</w:t>
      </w:r>
    </w:p>
    <w:p w:rsidR="00DB4FF2" w:rsidRDefault="00DB4FF2" w:rsidP="00DB4FF2">
      <w:pPr>
        <w:pStyle w:val="FERCparanumber"/>
        <w:numPr>
          <w:ilvl w:val="0"/>
          <w:numId w:val="0"/>
        </w:numPr>
        <w:ind w:left="720"/>
        <w:rPr>
          <w:b/>
          <w:szCs w:val="26"/>
        </w:rPr>
      </w:pPr>
    </w:p>
    <w:p w:rsidR="004069EF" w:rsidRPr="00021944" w:rsidRDefault="004069EF" w:rsidP="008D678D">
      <w:pPr>
        <w:pStyle w:val="FERCparanumber"/>
        <w:numPr>
          <w:ilvl w:val="0"/>
          <w:numId w:val="13"/>
        </w:numPr>
        <w:rPr>
          <w:b/>
          <w:szCs w:val="26"/>
        </w:rPr>
      </w:pPr>
      <w:r w:rsidRPr="00021944">
        <w:rPr>
          <w:b/>
          <w:szCs w:val="26"/>
        </w:rPr>
        <w:lastRenderedPageBreak/>
        <w:t>Year 1</w:t>
      </w:r>
    </w:p>
    <w:p w:rsidR="00987AD8" w:rsidRPr="00021944" w:rsidRDefault="004069EF" w:rsidP="008D678D">
      <w:pPr>
        <w:pStyle w:val="FERCparanumber"/>
        <w:numPr>
          <w:ilvl w:val="1"/>
          <w:numId w:val="13"/>
        </w:numPr>
        <w:spacing w:line="240" w:lineRule="auto"/>
        <w:rPr>
          <w:szCs w:val="26"/>
        </w:rPr>
      </w:pPr>
      <w:r w:rsidRPr="00021944">
        <w:rPr>
          <w:b/>
          <w:szCs w:val="26"/>
        </w:rPr>
        <w:t>Identification of Joint Responsibilities and System Modeling Enhancements</w:t>
      </w:r>
      <w:r w:rsidRPr="00021944">
        <w:rPr>
          <w:szCs w:val="26"/>
        </w:rPr>
        <w:t xml:space="preserve">:  </w:t>
      </w:r>
      <w:r w:rsidR="00CA23ED" w:rsidRPr="00021944">
        <w:rPr>
          <w:szCs w:val="26"/>
        </w:rPr>
        <w:t>183</w:t>
      </w:r>
      <w:r w:rsidRPr="00021944">
        <w:rPr>
          <w:szCs w:val="26"/>
        </w:rPr>
        <w:t xml:space="preserve"> entities * [(5 h</w:t>
      </w:r>
      <w:r w:rsidR="00367A13" w:rsidRPr="00021944">
        <w:rPr>
          <w:szCs w:val="26"/>
        </w:rPr>
        <w:t>ou</w:t>
      </w:r>
      <w:r w:rsidRPr="00021944">
        <w:rPr>
          <w:szCs w:val="26"/>
        </w:rPr>
        <w:t>rs/response * $</w:t>
      </w:r>
      <w:r w:rsidR="00CA23ED" w:rsidRPr="00021944">
        <w:rPr>
          <w:szCs w:val="26"/>
        </w:rPr>
        <w:t>60</w:t>
      </w:r>
      <w:r w:rsidRPr="00021944">
        <w:rPr>
          <w:szCs w:val="26"/>
        </w:rPr>
        <w:t>/h</w:t>
      </w:r>
      <w:r w:rsidR="00DF2411" w:rsidRPr="00021944">
        <w:rPr>
          <w:szCs w:val="26"/>
        </w:rPr>
        <w:t>ou</w:t>
      </w:r>
      <w:r w:rsidRPr="00021944">
        <w:rPr>
          <w:szCs w:val="26"/>
        </w:rPr>
        <w:t xml:space="preserve">r) + </w:t>
      </w:r>
      <w:r w:rsidR="00DC4657" w:rsidRPr="00021944">
        <w:rPr>
          <w:szCs w:val="26"/>
        </w:rPr>
        <w:t xml:space="preserve">                </w:t>
      </w:r>
      <w:r w:rsidRPr="00021944">
        <w:rPr>
          <w:szCs w:val="26"/>
        </w:rPr>
        <w:t>(4 h</w:t>
      </w:r>
      <w:r w:rsidR="000F54D6" w:rsidRPr="00021944">
        <w:rPr>
          <w:szCs w:val="26"/>
        </w:rPr>
        <w:t>ou</w:t>
      </w:r>
      <w:r w:rsidRPr="00021944">
        <w:rPr>
          <w:szCs w:val="26"/>
        </w:rPr>
        <w:t>rs/response * $</w:t>
      </w:r>
      <w:r w:rsidR="00CA23ED" w:rsidRPr="00021944">
        <w:rPr>
          <w:szCs w:val="26"/>
        </w:rPr>
        <w:t>31</w:t>
      </w:r>
      <w:r w:rsidRPr="00021944">
        <w:rPr>
          <w:szCs w:val="26"/>
        </w:rPr>
        <w:t>/h</w:t>
      </w:r>
      <w:r w:rsidR="00DF2411" w:rsidRPr="00021944">
        <w:rPr>
          <w:szCs w:val="26"/>
        </w:rPr>
        <w:t>ou</w:t>
      </w:r>
      <w:r w:rsidRPr="00021944">
        <w:rPr>
          <w:szCs w:val="26"/>
        </w:rPr>
        <w:t>r)]</w:t>
      </w:r>
      <w:bookmarkStart w:id="7" w:name="OLE_LINK1"/>
      <w:bookmarkStart w:id="8" w:name="OLE_LINK2"/>
      <w:r w:rsidRPr="00021944">
        <w:rPr>
          <w:szCs w:val="26"/>
        </w:rPr>
        <w:t xml:space="preserve"> </w:t>
      </w:r>
      <w:bookmarkEnd w:id="7"/>
      <w:bookmarkEnd w:id="8"/>
      <w:r w:rsidRPr="00021944">
        <w:rPr>
          <w:szCs w:val="26"/>
        </w:rPr>
        <w:t>= $</w:t>
      </w:r>
      <w:r w:rsidR="00CA23ED" w:rsidRPr="00021944">
        <w:rPr>
          <w:szCs w:val="26"/>
        </w:rPr>
        <w:t>77,592</w:t>
      </w:r>
      <w:r w:rsidRPr="00021944">
        <w:rPr>
          <w:szCs w:val="26"/>
        </w:rPr>
        <w:t>.</w:t>
      </w:r>
    </w:p>
    <w:p w:rsidR="00DC4657" w:rsidRPr="00021944" w:rsidRDefault="00DC4657" w:rsidP="00987AD8">
      <w:pPr>
        <w:pStyle w:val="FERCparanumber"/>
        <w:numPr>
          <w:ilvl w:val="0"/>
          <w:numId w:val="0"/>
        </w:numPr>
        <w:spacing w:line="240" w:lineRule="auto"/>
        <w:ind w:left="1080"/>
        <w:rPr>
          <w:szCs w:val="26"/>
        </w:rPr>
      </w:pPr>
    </w:p>
    <w:p w:rsidR="004069EF" w:rsidRPr="00021944" w:rsidRDefault="004069EF" w:rsidP="008D678D">
      <w:pPr>
        <w:pStyle w:val="FERCparanumber"/>
        <w:numPr>
          <w:ilvl w:val="0"/>
          <w:numId w:val="13"/>
        </w:numPr>
        <w:rPr>
          <w:b/>
          <w:szCs w:val="26"/>
        </w:rPr>
      </w:pPr>
      <w:r w:rsidRPr="00021944">
        <w:rPr>
          <w:b/>
          <w:szCs w:val="26"/>
        </w:rPr>
        <w:t>Year 2</w:t>
      </w:r>
    </w:p>
    <w:p w:rsidR="00DC4657" w:rsidRPr="00021944" w:rsidRDefault="004069EF" w:rsidP="008D678D">
      <w:pPr>
        <w:pStyle w:val="FERCparanumber"/>
        <w:numPr>
          <w:ilvl w:val="1"/>
          <w:numId w:val="13"/>
        </w:numPr>
        <w:spacing w:line="240" w:lineRule="auto"/>
        <w:rPr>
          <w:szCs w:val="26"/>
        </w:rPr>
      </w:pPr>
      <w:r w:rsidRPr="00021944">
        <w:rPr>
          <w:b/>
          <w:szCs w:val="26"/>
        </w:rPr>
        <w:t>Identification of Joint Responsibilities and System Modeling Enhancements</w:t>
      </w:r>
      <w:r w:rsidRPr="00021944">
        <w:rPr>
          <w:szCs w:val="26"/>
        </w:rPr>
        <w:t xml:space="preserve">:  </w:t>
      </w:r>
      <w:r w:rsidR="00CA23ED" w:rsidRPr="00021944">
        <w:rPr>
          <w:szCs w:val="26"/>
        </w:rPr>
        <w:t>183</w:t>
      </w:r>
      <w:r w:rsidRPr="00021944">
        <w:rPr>
          <w:szCs w:val="26"/>
        </w:rPr>
        <w:t xml:space="preserve"> entities * [(</w:t>
      </w:r>
      <w:r w:rsidR="008B0C77" w:rsidRPr="00021944">
        <w:rPr>
          <w:szCs w:val="26"/>
        </w:rPr>
        <w:t>3</w:t>
      </w:r>
      <w:r w:rsidRPr="00021944">
        <w:rPr>
          <w:szCs w:val="26"/>
        </w:rPr>
        <w:t xml:space="preserve"> h</w:t>
      </w:r>
      <w:r w:rsidR="000F54D6" w:rsidRPr="00021944">
        <w:rPr>
          <w:szCs w:val="26"/>
        </w:rPr>
        <w:t>ou</w:t>
      </w:r>
      <w:r w:rsidRPr="00021944">
        <w:rPr>
          <w:szCs w:val="26"/>
        </w:rPr>
        <w:t>rs/response * $</w:t>
      </w:r>
      <w:r w:rsidR="00CA23ED" w:rsidRPr="00021944">
        <w:rPr>
          <w:szCs w:val="26"/>
        </w:rPr>
        <w:t>60</w:t>
      </w:r>
      <w:r w:rsidRPr="00021944">
        <w:rPr>
          <w:szCs w:val="26"/>
        </w:rPr>
        <w:t>/h</w:t>
      </w:r>
      <w:r w:rsidR="00DF2411" w:rsidRPr="00021944">
        <w:rPr>
          <w:szCs w:val="26"/>
        </w:rPr>
        <w:t>ou</w:t>
      </w:r>
      <w:r w:rsidRPr="00021944">
        <w:rPr>
          <w:szCs w:val="26"/>
        </w:rPr>
        <w:t xml:space="preserve">r) + </w:t>
      </w:r>
    </w:p>
    <w:p w:rsidR="004069EF" w:rsidRPr="00021944" w:rsidRDefault="004069EF" w:rsidP="008D678D">
      <w:pPr>
        <w:pStyle w:val="FERCparanumber"/>
        <w:numPr>
          <w:ilvl w:val="1"/>
          <w:numId w:val="13"/>
        </w:numPr>
        <w:spacing w:line="240" w:lineRule="auto"/>
        <w:rPr>
          <w:szCs w:val="26"/>
        </w:rPr>
      </w:pPr>
      <w:r w:rsidRPr="00021944">
        <w:rPr>
          <w:szCs w:val="26"/>
        </w:rPr>
        <w:t>(2 h</w:t>
      </w:r>
      <w:r w:rsidR="000F54D6" w:rsidRPr="00021944">
        <w:rPr>
          <w:szCs w:val="26"/>
        </w:rPr>
        <w:t>ou</w:t>
      </w:r>
      <w:r w:rsidRPr="00021944">
        <w:rPr>
          <w:szCs w:val="26"/>
        </w:rPr>
        <w:t>rs/response * $</w:t>
      </w:r>
      <w:r w:rsidR="00CA23ED" w:rsidRPr="00021944">
        <w:rPr>
          <w:szCs w:val="26"/>
        </w:rPr>
        <w:t>31</w:t>
      </w:r>
      <w:r w:rsidRPr="00021944">
        <w:rPr>
          <w:szCs w:val="26"/>
        </w:rPr>
        <w:t>/hour)] = $</w:t>
      </w:r>
      <w:r w:rsidR="00D16A0A" w:rsidRPr="00021944">
        <w:rPr>
          <w:szCs w:val="26"/>
        </w:rPr>
        <w:t>44,286</w:t>
      </w:r>
      <w:r w:rsidRPr="00021944">
        <w:rPr>
          <w:szCs w:val="26"/>
        </w:rPr>
        <w:t xml:space="preserve">. </w:t>
      </w:r>
    </w:p>
    <w:p w:rsidR="00987AD8" w:rsidRPr="00021944" w:rsidRDefault="00987AD8" w:rsidP="00987AD8">
      <w:pPr>
        <w:pStyle w:val="FERCparanumber"/>
        <w:numPr>
          <w:ilvl w:val="0"/>
          <w:numId w:val="0"/>
        </w:numPr>
        <w:spacing w:line="240" w:lineRule="auto"/>
        <w:ind w:left="1080"/>
        <w:rPr>
          <w:szCs w:val="26"/>
        </w:rPr>
      </w:pPr>
    </w:p>
    <w:p w:rsidR="004069EF" w:rsidRPr="00021944" w:rsidRDefault="004069EF" w:rsidP="008D678D">
      <w:pPr>
        <w:pStyle w:val="FERCparanumber"/>
        <w:numPr>
          <w:ilvl w:val="1"/>
          <w:numId w:val="13"/>
        </w:numPr>
        <w:spacing w:line="240" w:lineRule="auto"/>
        <w:rPr>
          <w:szCs w:val="26"/>
        </w:rPr>
      </w:pPr>
      <w:r w:rsidRPr="00021944">
        <w:rPr>
          <w:b/>
          <w:szCs w:val="26"/>
        </w:rPr>
        <w:t>New Assessments, Simulations, Studies, Modeling Enhancements and associated Documentation</w:t>
      </w:r>
      <w:r w:rsidRPr="00021944">
        <w:rPr>
          <w:szCs w:val="26"/>
        </w:rPr>
        <w:t xml:space="preserve">:  </w:t>
      </w:r>
      <w:r w:rsidR="00CA23ED" w:rsidRPr="00021944">
        <w:rPr>
          <w:szCs w:val="26"/>
        </w:rPr>
        <w:t>183</w:t>
      </w:r>
      <w:r w:rsidRPr="00021944">
        <w:rPr>
          <w:szCs w:val="26"/>
        </w:rPr>
        <w:t xml:space="preserve"> entities * [(</w:t>
      </w:r>
      <w:r w:rsidR="00C51B2D" w:rsidRPr="00021944">
        <w:rPr>
          <w:szCs w:val="26"/>
        </w:rPr>
        <w:t>84</w:t>
      </w:r>
      <w:r w:rsidRPr="00021944">
        <w:rPr>
          <w:szCs w:val="26"/>
        </w:rPr>
        <w:t xml:space="preserve"> h</w:t>
      </w:r>
      <w:r w:rsidR="000F54D6" w:rsidRPr="00021944">
        <w:rPr>
          <w:szCs w:val="26"/>
        </w:rPr>
        <w:t>ou</w:t>
      </w:r>
      <w:r w:rsidRPr="00021944">
        <w:rPr>
          <w:szCs w:val="26"/>
        </w:rPr>
        <w:t>rs/response * $</w:t>
      </w:r>
      <w:r w:rsidR="00CA23ED" w:rsidRPr="00021944">
        <w:rPr>
          <w:szCs w:val="26"/>
        </w:rPr>
        <w:t>60</w:t>
      </w:r>
      <w:r w:rsidRPr="00021944">
        <w:rPr>
          <w:szCs w:val="26"/>
        </w:rPr>
        <w:t>/h</w:t>
      </w:r>
      <w:r w:rsidR="00DF2411" w:rsidRPr="00021944">
        <w:rPr>
          <w:szCs w:val="26"/>
        </w:rPr>
        <w:t>ou</w:t>
      </w:r>
      <w:r w:rsidRPr="00021944">
        <w:rPr>
          <w:szCs w:val="26"/>
        </w:rPr>
        <w:t>r) + (61 h</w:t>
      </w:r>
      <w:r w:rsidR="000F54D6" w:rsidRPr="00021944">
        <w:rPr>
          <w:szCs w:val="26"/>
        </w:rPr>
        <w:t>ou</w:t>
      </w:r>
      <w:r w:rsidRPr="00021944">
        <w:rPr>
          <w:szCs w:val="26"/>
        </w:rPr>
        <w:t>rs/response * $</w:t>
      </w:r>
      <w:r w:rsidR="00CA23ED" w:rsidRPr="00021944">
        <w:rPr>
          <w:szCs w:val="26"/>
        </w:rPr>
        <w:t>31</w:t>
      </w:r>
      <w:r w:rsidRPr="00021944">
        <w:rPr>
          <w:szCs w:val="26"/>
        </w:rPr>
        <w:t>/hour)] = $1,</w:t>
      </w:r>
      <w:r w:rsidR="00D16A0A" w:rsidRPr="00021944">
        <w:rPr>
          <w:szCs w:val="26"/>
        </w:rPr>
        <w:t>268,373</w:t>
      </w:r>
      <w:r w:rsidRPr="00021944">
        <w:rPr>
          <w:szCs w:val="26"/>
        </w:rPr>
        <w:t>.</w:t>
      </w:r>
    </w:p>
    <w:p w:rsidR="00987AD8" w:rsidRPr="00021944" w:rsidRDefault="00987AD8" w:rsidP="00987AD8">
      <w:pPr>
        <w:pStyle w:val="FERCparanumber"/>
        <w:numPr>
          <w:ilvl w:val="0"/>
          <w:numId w:val="0"/>
        </w:numPr>
        <w:spacing w:line="240" w:lineRule="auto"/>
        <w:rPr>
          <w:szCs w:val="26"/>
        </w:rPr>
      </w:pPr>
    </w:p>
    <w:p w:rsidR="004069EF" w:rsidRPr="00021944" w:rsidRDefault="004069EF" w:rsidP="008D678D">
      <w:pPr>
        <w:pStyle w:val="FERCparanumber"/>
        <w:numPr>
          <w:ilvl w:val="0"/>
          <w:numId w:val="13"/>
        </w:numPr>
        <w:rPr>
          <w:b/>
          <w:szCs w:val="26"/>
        </w:rPr>
      </w:pPr>
      <w:r w:rsidRPr="00021944">
        <w:rPr>
          <w:b/>
          <w:szCs w:val="26"/>
        </w:rPr>
        <w:t>Year 3</w:t>
      </w:r>
    </w:p>
    <w:p w:rsidR="00DC4657" w:rsidRPr="00021944" w:rsidRDefault="004069EF" w:rsidP="008D678D">
      <w:pPr>
        <w:pStyle w:val="FERCparanumber"/>
        <w:numPr>
          <w:ilvl w:val="1"/>
          <w:numId w:val="13"/>
        </w:numPr>
        <w:spacing w:line="240" w:lineRule="auto"/>
        <w:rPr>
          <w:szCs w:val="26"/>
        </w:rPr>
      </w:pPr>
      <w:r w:rsidRPr="00021944">
        <w:rPr>
          <w:b/>
          <w:szCs w:val="26"/>
        </w:rPr>
        <w:t>Identification of Joint Responsibilities and System Modeling Enhancements</w:t>
      </w:r>
      <w:r w:rsidRPr="00021944">
        <w:rPr>
          <w:szCs w:val="26"/>
        </w:rPr>
        <w:t xml:space="preserve">:  </w:t>
      </w:r>
      <w:r w:rsidR="00CA23ED" w:rsidRPr="00021944">
        <w:rPr>
          <w:szCs w:val="26"/>
        </w:rPr>
        <w:t>183</w:t>
      </w:r>
      <w:r w:rsidRPr="00021944">
        <w:rPr>
          <w:szCs w:val="26"/>
        </w:rPr>
        <w:t xml:space="preserve"> entities * [(</w:t>
      </w:r>
      <w:r w:rsidR="008B0C77" w:rsidRPr="00021944">
        <w:rPr>
          <w:szCs w:val="26"/>
        </w:rPr>
        <w:t>3</w:t>
      </w:r>
      <w:r w:rsidRPr="00021944">
        <w:rPr>
          <w:szCs w:val="26"/>
        </w:rPr>
        <w:t xml:space="preserve"> h</w:t>
      </w:r>
      <w:r w:rsidR="000F54D6" w:rsidRPr="00021944">
        <w:rPr>
          <w:szCs w:val="26"/>
        </w:rPr>
        <w:t>ou</w:t>
      </w:r>
      <w:r w:rsidRPr="00021944">
        <w:rPr>
          <w:szCs w:val="26"/>
        </w:rPr>
        <w:t>rs/response * $</w:t>
      </w:r>
      <w:r w:rsidR="00CA23ED" w:rsidRPr="00021944">
        <w:rPr>
          <w:szCs w:val="26"/>
        </w:rPr>
        <w:t>60</w:t>
      </w:r>
      <w:r w:rsidRPr="00021944">
        <w:rPr>
          <w:szCs w:val="26"/>
        </w:rPr>
        <w:t>/h</w:t>
      </w:r>
      <w:r w:rsidR="00DF2411" w:rsidRPr="00021944">
        <w:rPr>
          <w:szCs w:val="26"/>
        </w:rPr>
        <w:t>ou</w:t>
      </w:r>
      <w:r w:rsidRPr="00021944">
        <w:rPr>
          <w:szCs w:val="26"/>
        </w:rPr>
        <w:t xml:space="preserve">r) + </w:t>
      </w:r>
    </w:p>
    <w:p w:rsidR="004069EF" w:rsidRPr="00021944" w:rsidRDefault="004069EF" w:rsidP="008D678D">
      <w:pPr>
        <w:pStyle w:val="FERCparanumber"/>
        <w:numPr>
          <w:ilvl w:val="1"/>
          <w:numId w:val="13"/>
        </w:numPr>
        <w:spacing w:line="240" w:lineRule="auto"/>
        <w:rPr>
          <w:szCs w:val="26"/>
        </w:rPr>
      </w:pPr>
      <w:r w:rsidRPr="00021944">
        <w:rPr>
          <w:szCs w:val="26"/>
        </w:rPr>
        <w:t>(2 h</w:t>
      </w:r>
      <w:r w:rsidR="000F54D6" w:rsidRPr="00021944">
        <w:rPr>
          <w:szCs w:val="26"/>
        </w:rPr>
        <w:t>ou</w:t>
      </w:r>
      <w:r w:rsidRPr="00021944">
        <w:rPr>
          <w:szCs w:val="26"/>
        </w:rPr>
        <w:t>rs/response * $</w:t>
      </w:r>
      <w:r w:rsidR="00CA23ED" w:rsidRPr="00021944">
        <w:rPr>
          <w:szCs w:val="26"/>
        </w:rPr>
        <w:t>31</w:t>
      </w:r>
      <w:r w:rsidRPr="00021944">
        <w:rPr>
          <w:szCs w:val="26"/>
        </w:rPr>
        <w:t>/hour)] = $</w:t>
      </w:r>
      <w:r w:rsidR="006A20EF" w:rsidRPr="00021944">
        <w:rPr>
          <w:szCs w:val="26"/>
        </w:rPr>
        <w:t>44,286</w:t>
      </w:r>
      <w:r w:rsidRPr="00021944">
        <w:rPr>
          <w:szCs w:val="26"/>
        </w:rPr>
        <w:t>.</w:t>
      </w:r>
    </w:p>
    <w:p w:rsidR="00987AD8" w:rsidRPr="00021944" w:rsidRDefault="00987AD8" w:rsidP="00987AD8">
      <w:pPr>
        <w:pStyle w:val="FERCparanumber"/>
        <w:numPr>
          <w:ilvl w:val="0"/>
          <w:numId w:val="0"/>
        </w:numPr>
        <w:spacing w:line="240" w:lineRule="auto"/>
        <w:ind w:left="1080"/>
        <w:rPr>
          <w:szCs w:val="26"/>
        </w:rPr>
      </w:pPr>
    </w:p>
    <w:p w:rsidR="004069EF" w:rsidRPr="00021944" w:rsidRDefault="004069EF" w:rsidP="008D678D">
      <w:pPr>
        <w:pStyle w:val="FERCparanumber"/>
        <w:numPr>
          <w:ilvl w:val="1"/>
          <w:numId w:val="13"/>
        </w:numPr>
        <w:spacing w:line="240" w:lineRule="auto"/>
        <w:rPr>
          <w:szCs w:val="26"/>
          <w:u w:val="single"/>
        </w:rPr>
      </w:pPr>
      <w:r w:rsidRPr="00021944">
        <w:rPr>
          <w:b/>
          <w:szCs w:val="26"/>
        </w:rPr>
        <w:t>New Assessments, Simulations, Studies, Modeling Enhancements and associated Documentation</w:t>
      </w:r>
      <w:r w:rsidRPr="00021944">
        <w:rPr>
          <w:szCs w:val="26"/>
        </w:rPr>
        <w:t xml:space="preserve">:  </w:t>
      </w:r>
      <w:r w:rsidR="00CA23ED" w:rsidRPr="00021944">
        <w:rPr>
          <w:szCs w:val="26"/>
        </w:rPr>
        <w:t>183</w:t>
      </w:r>
      <w:r w:rsidRPr="00021944">
        <w:rPr>
          <w:szCs w:val="26"/>
        </w:rPr>
        <w:t xml:space="preserve"> entities * [(4</w:t>
      </w:r>
      <w:r w:rsidR="00C51B2D" w:rsidRPr="00021944">
        <w:rPr>
          <w:szCs w:val="26"/>
        </w:rPr>
        <w:t>5</w:t>
      </w:r>
      <w:r w:rsidRPr="00021944">
        <w:rPr>
          <w:szCs w:val="26"/>
        </w:rPr>
        <w:t xml:space="preserve"> h</w:t>
      </w:r>
      <w:r w:rsidR="000F54D6" w:rsidRPr="00021944">
        <w:rPr>
          <w:szCs w:val="26"/>
        </w:rPr>
        <w:t>ou</w:t>
      </w:r>
      <w:r w:rsidRPr="00021944">
        <w:rPr>
          <w:szCs w:val="26"/>
        </w:rPr>
        <w:t>rs/response * $</w:t>
      </w:r>
      <w:r w:rsidR="00CA23ED" w:rsidRPr="00021944">
        <w:rPr>
          <w:szCs w:val="26"/>
        </w:rPr>
        <w:t>60</w:t>
      </w:r>
      <w:r w:rsidRPr="00021944">
        <w:rPr>
          <w:szCs w:val="26"/>
        </w:rPr>
        <w:t>/h</w:t>
      </w:r>
      <w:r w:rsidR="00DF2411" w:rsidRPr="00021944">
        <w:rPr>
          <w:szCs w:val="26"/>
        </w:rPr>
        <w:t>ou</w:t>
      </w:r>
      <w:r w:rsidRPr="00021944">
        <w:rPr>
          <w:szCs w:val="26"/>
        </w:rPr>
        <w:t>r) + (3</w:t>
      </w:r>
      <w:r w:rsidR="00FF0064" w:rsidRPr="00021944">
        <w:rPr>
          <w:szCs w:val="26"/>
        </w:rPr>
        <w:t>9</w:t>
      </w:r>
      <w:r w:rsidRPr="00021944">
        <w:rPr>
          <w:szCs w:val="26"/>
        </w:rPr>
        <w:t xml:space="preserve"> h</w:t>
      </w:r>
      <w:r w:rsidR="000F54D6" w:rsidRPr="00021944">
        <w:rPr>
          <w:szCs w:val="26"/>
        </w:rPr>
        <w:t>ou</w:t>
      </w:r>
      <w:r w:rsidRPr="00021944">
        <w:rPr>
          <w:szCs w:val="26"/>
        </w:rPr>
        <w:t>rs/response * $</w:t>
      </w:r>
      <w:r w:rsidR="00CA23ED" w:rsidRPr="00021944">
        <w:rPr>
          <w:szCs w:val="26"/>
        </w:rPr>
        <w:t>31</w:t>
      </w:r>
      <w:r w:rsidRPr="00021944">
        <w:rPr>
          <w:szCs w:val="26"/>
        </w:rPr>
        <w:t>/hour)] = $</w:t>
      </w:r>
      <w:r w:rsidR="006A20EF" w:rsidRPr="00021944">
        <w:rPr>
          <w:szCs w:val="26"/>
        </w:rPr>
        <w:t>715,347</w:t>
      </w:r>
      <w:r w:rsidRPr="00021944">
        <w:rPr>
          <w:szCs w:val="26"/>
        </w:rPr>
        <w:t>.</w:t>
      </w:r>
    </w:p>
    <w:p w:rsidR="00987AD8" w:rsidRPr="00021944" w:rsidRDefault="00987AD8" w:rsidP="00987AD8">
      <w:pPr>
        <w:pStyle w:val="FERCparanumber"/>
        <w:numPr>
          <w:ilvl w:val="0"/>
          <w:numId w:val="0"/>
        </w:numPr>
        <w:spacing w:line="240" w:lineRule="auto"/>
        <w:rPr>
          <w:szCs w:val="26"/>
          <w:u w:val="single"/>
        </w:rPr>
      </w:pPr>
    </w:p>
    <w:p w:rsidR="004069EF" w:rsidRPr="00021944" w:rsidRDefault="004069EF" w:rsidP="008D678D">
      <w:pPr>
        <w:pStyle w:val="FERCparanumber"/>
        <w:numPr>
          <w:ilvl w:val="1"/>
          <w:numId w:val="13"/>
        </w:numPr>
        <w:spacing w:line="240" w:lineRule="auto"/>
        <w:rPr>
          <w:szCs w:val="26"/>
          <w:u w:val="single"/>
        </w:rPr>
      </w:pPr>
      <w:r w:rsidRPr="00021944">
        <w:rPr>
          <w:b/>
          <w:szCs w:val="26"/>
        </w:rPr>
        <w:t>Implementation of footnote 12 and the stakeholder process</w:t>
      </w:r>
      <w:r w:rsidRPr="00021944">
        <w:rPr>
          <w:szCs w:val="26"/>
        </w:rPr>
        <w:t xml:space="preserve">: </w:t>
      </w:r>
      <w:r w:rsidR="00DC4657" w:rsidRPr="00021944">
        <w:rPr>
          <w:szCs w:val="26"/>
        </w:rPr>
        <w:t xml:space="preserve">              </w:t>
      </w:r>
      <w:r w:rsidRPr="00021944">
        <w:rPr>
          <w:szCs w:val="26"/>
        </w:rPr>
        <w:t>{12 response</w:t>
      </w:r>
      <w:r w:rsidR="000F54D6" w:rsidRPr="00021944">
        <w:rPr>
          <w:szCs w:val="26"/>
        </w:rPr>
        <w:t>s</w:t>
      </w:r>
      <w:r w:rsidRPr="00021944">
        <w:rPr>
          <w:szCs w:val="26"/>
        </w:rPr>
        <w:t xml:space="preserve"> * [(40 h</w:t>
      </w:r>
      <w:r w:rsidR="000F54D6" w:rsidRPr="00021944">
        <w:rPr>
          <w:szCs w:val="26"/>
        </w:rPr>
        <w:t>ou</w:t>
      </w:r>
      <w:r w:rsidRPr="00021944">
        <w:rPr>
          <w:szCs w:val="26"/>
        </w:rPr>
        <w:t>rs/response * $</w:t>
      </w:r>
      <w:r w:rsidR="00CA23ED" w:rsidRPr="00021944">
        <w:rPr>
          <w:szCs w:val="26"/>
        </w:rPr>
        <w:t>60</w:t>
      </w:r>
      <w:r w:rsidRPr="00021944">
        <w:rPr>
          <w:szCs w:val="26"/>
        </w:rPr>
        <w:t>/h</w:t>
      </w:r>
      <w:r w:rsidR="00B0432F" w:rsidRPr="00021944">
        <w:rPr>
          <w:szCs w:val="26"/>
        </w:rPr>
        <w:t>ou</w:t>
      </w:r>
      <w:r w:rsidRPr="00021944">
        <w:rPr>
          <w:szCs w:val="26"/>
        </w:rPr>
        <w:t>r) + (17 h</w:t>
      </w:r>
      <w:r w:rsidR="000F54D6" w:rsidRPr="00021944">
        <w:rPr>
          <w:szCs w:val="26"/>
        </w:rPr>
        <w:t>ou</w:t>
      </w:r>
      <w:r w:rsidRPr="00021944">
        <w:rPr>
          <w:szCs w:val="26"/>
        </w:rPr>
        <w:t>rs/response * $</w:t>
      </w:r>
      <w:r w:rsidR="00CA23ED" w:rsidRPr="00021944">
        <w:rPr>
          <w:szCs w:val="26"/>
        </w:rPr>
        <w:t>31</w:t>
      </w:r>
      <w:r w:rsidRPr="00021944">
        <w:rPr>
          <w:szCs w:val="26"/>
        </w:rPr>
        <w:t>/hour) + (6 h</w:t>
      </w:r>
      <w:r w:rsidR="000F54D6" w:rsidRPr="00021944">
        <w:rPr>
          <w:szCs w:val="26"/>
        </w:rPr>
        <w:t>ou</w:t>
      </w:r>
      <w:r w:rsidRPr="00021944">
        <w:rPr>
          <w:szCs w:val="26"/>
        </w:rPr>
        <w:t>rs/response * $128/hour)]} + {4 response</w:t>
      </w:r>
      <w:r w:rsidR="000F54D6" w:rsidRPr="00021944">
        <w:rPr>
          <w:szCs w:val="26"/>
        </w:rPr>
        <w:t>s</w:t>
      </w:r>
      <w:r w:rsidRPr="00021944">
        <w:rPr>
          <w:szCs w:val="26"/>
        </w:rPr>
        <w:t xml:space="preserve"> * [(40 h</w:t>
      </w:r>
      <w:r w:rsidR="000F54D6" w:rsidRPr="00021944">
        <w:rPr>
          <w:szCs w:val="26"/>
        </w:rPr>
        <w:t>ou</w:t>
      </w:r>
      <w:r w:rsidRPr="00021944">
        <w:rPr>
          <w:szCs w:val="26"/>
        </w:rPr>
        <w:t>rs/response * $</w:t>
      </w:r>
      <w:r w:rsidR="00CA23ED" w:rsidRPr="00021944">
        <w:rPr>
          <w:szCs w:val="26"/>
        </w:rPr>
        <w:t>60</w:t>
      </w:r>
      <w:r w:rsidRPr="00021944">
        <w:rPr>
          <w:szCs w:val="26"/>
        </w:rPr>
        <w:t>/hr) + (20 h</w:t>
      </w:r>
      <w:r w:rsidR="000F54D6" w:rsidRPr="00021944">
        <w:rPr>
          <w:szCs w:val="26"/>
        </w:rPr>
        <w:t>ou</w:t>
      </w:r>
      <w:r w:rsidRPr="00021944">
        <w:rPr>
          <w:szCs w:val="26"/>
        </w:rPr>
        <w:t>rs/response * $</w:t>
      </w:r>
      <w:r w:rsidR="00CA23ED" w:rsidRPr="00021944">
        <w:rPr>
          <w:szCs w:val="26"/>
        </w:rPr>
        <w:t>31</w:t>
      </w:r>
      <w:r w:rsidRPr="00021944">
        <w:rPr>
          <w:szCs w:val="26"/>
        </w:rPr>
        <w:t>/hour) + (8 h</w:t>
      </w:r>
      <w:r w:rsidR="000F54D6" w:rsidRPr="00021944">
        <w:rPr>
          <w:szCs w:val="26"/>
        </w:rPr>
        <w:t>ou</w:t>
      </w:r>
      <w:r w:rsidRPr="00021944">
        <w:rPr>
          <w:szCs w:val="26"/>
        </w:rPr>
        <w:t>rs/response * $128/hour)]}</w:t>
      </w:r>
      <w:r w:rsidR="006A20EF" w:rsidRPr="00021944" w:rsidDel="00CA23ED">
        <w:rPr>
          <w:szCs w:val="26"/>
        </w:rPr>
        <w:t xml:space="preserve"> </w:t>
      </w:r>
      <w:r w:rsidRPr="00021944">
        <w:rPr>
          <w:szCs w:val="26"/>
        </w:rPr>
        <w:t>= $6</w:t>
      </w:r>
      <w:r w:rsidR="00A1583B" w:rsidRPr="00021944">
        <w:rPr>
          <w:szCs w:val="26"/>
        </w:rPr>
        <w:t>0,516</w:t>
      </w:r>
      <w:r w:rsidRPr="00021944">
        <w:rPr>
          <w:szCs w:val="26"/>
        </w:rPr>
        <w:t>.</w:t>
      </w:r>
    </w:p>
    <w:p w:rsidR="00987AD8" w:rsidRPr="00021944" w:rsidRDefault="00987AD8" w:rsidP="00987AD8">
      <w:pPr>
        <w:pStyle w:val="FERCparanumber"/>
        <w:numPr>
          <w:ilvl w:val="0"/>
          <w:numId w:val="0"/>
        </w:numPr>
        <w:spacing w:line="240" w:lineRule="auto"/>
        <w:rPr>
          <w:szCs w:val="26"/>
          <w:u w:val="single"/>
        </w:rPr>
      </w:pPr>
    </w:p>
    <w:p w:rsidR="00DB4FF2" w:rsidRDefault="00DB4FF2" w:rsidP="004069EF">
      <w:pPr>
        <w:pStyle w:val="LegalFormat"/>
        <w:tabs>
          <w:tab w:val="clear" w:pos="360"/>
        </w:tabs>
        <w:spacing w:after="0" w:line="480" w:lineRule="auto"/>
        <w:rPr>
          <w:u w:val="single"/>
        </w:rPr>
      </w:pPr>
    </w:p>
    <w:p w:rsidR="00DB4FF2" w:rsidRDefault="00DB4FF2" w:rsidP="004069EF">
      <w:pPr>
        <w:pStyle w:val="LegalFormat"/>
        <w:tabs>
          <w:tab w:val="clear" w:pos="360"/>
        </w:tabs>
        <w:spacing w:after="0" w:line="480" w:lineRule="auto"/>
        <w:rPr>
          <w:u w:val="single"/>
        </w:rPr>
      </w:pPr>
    </w:p>
    <w:p w:rsidR="00DB4FF2" w:rsidRDefault="00DB4FF2" w:rsidP="004069EF">
      <w:pPr>
        <w:pStyle w:val="LegalFormat"/>
        <w:tabs>
          <w:tab w:val="clear" w:pos="360"/>
        </w:tabs>
        <w:spacing w:after="0" w:line="480" w:lineRule="auto"/>
        <w:rPr>
          <w:u w:val="single"/>
        </w:rPr>
      </w:pPr>
    </w:p>
    <w:p w:rsidR="008E6F4A" w:rsidRDefault="004069EF" w:rsidP="004069EF">
      <w:pPr>
        <w:pStyle w:val="LegalFormat"/>
        <w:tabs>
          <w:tab w:val="clear" w:pos="360"/>
        </w:tabs>
        <w:spacing w:after="0" w:line="480" w:lineRule="auto"/>
      </w:pPr>
      <w:r w:rsidRPr="00021944">
        <w:rPr>
          <w:u w:val="single"/>
        </w:rPr>
        <w:lastRenderedPageBreak/>
        <w:t>Title</w:t>
      </w:r>
      <w:r w:rsidRPr="00021944">
        <w:t xml:space="preserve">: </w:t>
      </w:r>
      <w:r w:rsidR="00D2040E" w:rsidRPr="00021944">
        <w:t xml:space="preserve"> </w:t>
      </w:r>
      <w:r w:rsidR="008E6F4A">
        <w:t>725N, Mandatory Reliability Standards: Reliability Standard TPL-001-4</w:t>
      </w:r>
      <w:r w:rsidR="00625E09">
        <w:t>.</w:t>
      </w:r>
      <w:r w:rsidR="005C5B5A">
        <w:rPr>
          <w:rStyle w:val="FootnoteReference"/>
        </w:rPr>
        <w:footnoteReference w:id="80"/>
      </w:r>
    </w:p>
    <w:p w:rsidR="004069EF" w:rsidRPr="00021944" w:rsidRDefault="004069EF" w:rsidP="004069EF">
      <w:pPr>
        <w:pStyle w:val="LegalFormat"/>
        <w:tabs>
          <w:tab w:val="clear" w:pos="360"/>
        </w:tabs>
        <w:spacing w:after="0" w:line="480" w:lineRule="auto"/>
        <w:ind w:left="0" w:firstLine="0"/>
      </w:pPr>
      <w:r w:rsidRPr="00021944">
        <w:rPr>
          <w:u w:val="single"/>
        </w:rPr>
        <w:t>Action</w:t>
      </w:r>
      <w:r w:rsidRPr="00021944">
        <w:t>:</w:t>
      </w:r>
      <w:r w:rsidRPr="00021944">
        <w:rPr>
          <w:i/>
        </w:rPr>
        <w:t xml:space="preserve"> </w:t>
      </w:r>
      <w:r w:rsidRPr="00021944">
        <w:t xml:space="preserve"> Proposed Collection</w:t>
      </w:r>
      <w:r w:rsidR="008E6F4A">
        <w:t xml:space="preserve"> FERC-725N</w:t>
      </w:r>
      <w:r w:rsidR="00625E09">
        <w:t>.</w:t>
      </w:r>
    </w:p>
    <w:p w:rsidR="004069EF" w:rsidRPr="00021944" w:rsidRDefault="004069EF" w:rsidP="004069EF">
      <w:pPr>
        <w:pStyle w:val="LegalFormat"/>
        <w:tabs>
          <w:tab w:val="clear" w:pos="360"/>
        </w:tabs>
        <w:spacing w:after="0" w:line="480" w:lineRule="auto"/>
        <w:ind w:left="0" w:firstLine="0"/>
      </w:pPr>
      <w:r w:rsidRPr="00021944">
        <w:rPr>
          <w:u w:val="single"/>
        </w:rPr>
        <w:t>OMB Control No</w:t>
      </w:r>
      <w:r w:rsidR="008E6F4A">
        <w:t>:  1902-0264</w:t>
      </w:r>
      <w:r w:rsidR="00625E09">
        <w:t>.</w:t>
      </w:r>
    </w:p>
    <w:p w:rsidR="004069EF" w:rsidRPr="00021944" w:rsidRDefault="004069EF" w:rsidP="004069EF">
      <w:pPr>
        <w:pStyle w:val="LegalFormat"/>
        <w:tabs>
          <w:tab w:val="clear" w:pos="360"/>
        </w:tabs>
        <w:spacing w:after="0" w:line="480" w:lineRule="auto"/>
        <w:ind w:left="0" w:firstLine="0"/>
      </w:pPr>
      <w:r w:rsidRPr="00021944">
        <w:rPr>
          <w:u w:val="single"/>
        </w:rPr>
        <w:t>Respondents</w:t>
      </w:r>
      <w:r w:rsidRPr="00021944">
        <w:t>:</w:t>
      </w:r>
      <w:r w:rsidRPr="00021944">
        <w:rPr>
          <w:i/>
        </w:rPr>
        <w:t xml:space="preserve">  </w:t>
      </w:r>
      <w:r w:rsidRPr="00021944">
        <w:t>Business or other for profit, and not for profit institutions.</w:t>
      </w:r>
    </w:p>
    <w:p w:rsidR="004069EF" w:rsidRPr="00021944" w:rsidRDefault="004069EF" w:rsidP="004069EF">
      <w:pPr>
        <w:pStyle w:val="LegalFormat"/>
        <w:tabs>
          <w:tab w:val="clear" w:pos="360"/>
        </w:tabs>
        <w:spacing w:after="0" w:line="480" w:lineRule="auto"/>
        <w:ind w:left="0" w:firstLine="0"/>
      </w:pPr>
      <w:r w:rsidRPr="00021944">
        <w:rPr>
          <w:u w:val="single"/>
        </w:rPr>
        <w:t>Frequency of Responses</w:t>
      </w:r>
      <w:r w:rsidRPr="00021944">
        <w:t xml:space="preserve">:  </w:t>
      </w:r>
      <w:r w:rsidR="00E52FCE" w:rsidRPr="00021944">
        <w:t>Annually and one-time.</w:t>
      </w:r>
      <w:r w:rsidRPr="00021944">
        <w:t xml:space="preserve"> </w:t>
      </w:r>
    </w:p>
    <w:p w:rsidR="00085D90" w:rsidRPr="00021944" w:rsidRDefault="004069EF" w:rsidP="004069EF">
      <w:pPr>
        <w:pStyle w:val="LegalFormat"/>
        <w:tabs>
          <w:tab w:val="clear" w:pos="360"/>
        </w:tabs>
        <w:spacing w:after="0" w:line="480" w:lineRule="auto"/>
        <w:ind w:left="0" w:firstLine="0"/>
      </w:pPr>
      <w:r w:rsidRPr="00021944">
        <w:rPr>
          <w:u w:val="single"/>
        </w:rPr>
        <w:t>Necessity of the Information</w:t>
      </w:r>
      <w:r w:rsidRPr="00021944">
        <w:t>:</w:t>
      </w:r>
      <w:r w:rsidRPr="00021944">
        <w:rPr>
          <w:i/>
        </w:rPr>
        <w:t xml:space="preserve">  </w:t>
      </w:r>
      <w:r w:rsidRPr="00021944">
        <w:t xml:space="preserve">The </w:t>
      </w:r>
      <w:r w:rsidR="00E0459C" w:rsidRPr="00021944">
        <w:t xml:space="preserve">approved </w:t>
      </w:r>
      <w:r w:rsidRPr="00021944">
        <w:t>Reliability Standard</w:t>
      </w:r>
      <w:r w:rsidR="00085D90" w:rsidRPr="00021944">
        <w:t xml:space="preserve"> TPL-001-4</w:t>
      </w:r>
      <w:r w:rsidR="00E0459C" w:rsidRPr="00021944">
        <w:t xml:space="preserve"> </w:t>
      </w:r>
      <w:r w:rsidRPr="00021944">
        <w:t>implement</w:t>
      </w:r>
      <w:r w:rsidR="00E0459C" w:rsidRPr="00021944">
        <w:t>s</w:t>
      </w:r>
      <w:r w:rsidRPr="00021944">
        <w:t xml:space="preserve"> the Congressional mandate of the Energy Policy Act of 2005 to develop mandatory and enforceable Reliability Standards to better ensure the reliability of the nation’s Bulk-Power System.  Specifically, the </w:t>
      </w:r>
      <w:r w:rsidR="00E0459C" w:rsidRPr="00021944">
        <w:t xml:space="preserve">Reliability Standard </w:t>
      </w:r>
      <w:r w:rsidRPr="00021944">
        <w:t>ensure</w:t>
      </w:r>
      <w:r w:rsidR="00E0459C" w:rsidRPr="00021944">
        <w:t>s</w:t>
      </w:r>
      <w:r w:rsidRPr="00021944">
        <w:t xml:space="preserve"> that planning coordinators and transmission planners establish transmission system planning performance requirements within the planning horizon to </w:t>
      </w:r>
      <w:r w:rsidR="00085D90" w:rsidRPr="00021944">
        <w:t>develop a bulk electric system that will operate reliability and meet specified performance requirements over a broad spectrum of system conditions to meet present and future system needs.</w:t>
      </w:r>
      <w:r w:rsidR="00630FE6" w:rsidRPr="00021944">
        <w:t xml:space="preserve">  </w:t>
      </w:r>
    </w:p>
    <w:p w:rsidR="00056976" w:rsidRPr="00021944" w:rsidRDefault="004069EF" w:rsidP="00056976">
      <w:pPr>
        <w:pStyle w:val="LegalFormat"/>
        <w:tabs>
          <w:tab w:val="clear" w:pos="360"/>
        </w:tabs>
        <w:spacing w:after="0" w:line="480" w:lineRule="auto"/>
        <w:ind w:left="0" w:firstLine="0"/>
      </w:pPr>
      <w:r w:rsidRPr="00021944">
        <w:rPr>
          <w:u w:val="single"/>
        </w:rPr>
        <w:t>Internal review</w:t>
      </w:r>
      <w:r w:rsidRPr="00021944">
        <w:t>:</w:t>
      </w:r>
      <w:r w:rsidRPr="00021944">
        <w:rPr>
          <w:i/>
        </w:rPr>
        <w:t xml:space="preserve">  </w:t>
      </w:r>
      <w:r w:rsidRPr="00021944">
        <w:t xml:space="preserve">The Commission has reviewed the revised Reliability Standard </w:t>
      </w:r>
      <w:r w:rsidR="00D2040E" w:rsidRPr="00021944">
        <w:t xml:space="preserve">       </w:t>
      </w:r>
      <w:r w:rsidRPr="00021944">
        <w:t xml:space="preserve">TPL-001-4 and made a determination that its action is necessary to implement </w:t>
      </w:r>
      <w:r w:rsidR="00D2040E" w:rsidRPr="00021944">
        <w:t xml:space="preserve">       </w:t>
      </w:r>
      <w:r w:rsidRPr="00021944">
        <w:t xml:space="preserve">section 215 of the FPA.  The Commission has assured itself, by means of its </w:t>
      </w:r>
      <w:r w:rsidRPr="00021944">
        <w:lastRenderedPageBreak/>
        <w:t>internal review, that there is specific, objective support for the burden estimate</w:t>
      </w:r>
      <w:r w:rsidR="00030252" w:rsidRPr="00021944">
        <w:t>s</w:t>
      </w:r>
      <w:r w:rsidRPr="00021944">
        <w:t xml:space="preserve"> associated with the information requirements.</w:t>
      </w:r>
    </w:p>
    <w:p w:rsidR="00056976" w:rsidRPr="00021944" w:rsidRDefault="00056976" w:rsidP="00056976">
      <w:pPr>
        <w:pStyle w:val="LegalFormat"/>
        <w:tabs>
          <w:tab w:val="clear" w:pos="360"/>
        </w:tabs>
        <w:spacing w:after="0" w:line="480" w:lineRule="auto"/>
        <w:ind w:left="0" w:firstLine="0"/>
      </w:pPr>
      <w:r w:rsidRPr="00021944">
        <w:rPr>
          <w:color w:val="000000"/>
        </w:rPr>
        <w:t xml:space="preserve">Interested persons may obtain information on the reporting requirements by contacting the following: </w:t>
      </w:r>
      <w:r w:rsidR="00625E09">
        <w:rPr>
          <w:color w:val="000000"/>
        </w:rPr>
        <w:t xml:space="preserve"> </w:t>
      </w:r>
      <w:r w:rsidRPr="00021944">
        <w:rPr>
          <w:color w:val="000000"/>
        </w:rPr>
        <w:t>Federal Energy Regulatory Commission, 888 First Street, NE</w:t>
      </w:r>
      <w:r w:rsidR="00625E09">
        <w:rPr>
          <w:color w:val="000000"/>
        </w:rPr>
        <w:t>,</w:t>
      </w:r>
      <w:r w:rsidRPr="00021944">
        <w:rPr>
          <w:color w:val="000000"/>
        </w:rPr>
        <w:t xml:space="preserve"> Washington, DC 20426 [Attention: </w:t>
      </w:r>
      <w:r w:rsidR="00625E09">
        <w:rPr>
          <w:color w:val="000000"/>
        </w:rPr>
        <w:t xml:space="preserve"> </w:t>
      </w:r>
      <w:r w:rsidRPr="00021944">
        <w:rPr>
          <w:color w:val="000000"/>
        </w:rPr>
        <w:t xml:space="preserve">Ellen Brown, Office of the Executive Director, e-mail: </w:t>
      </w:r>
      <w:r w:rsidR="00625E09">
        <w:rPr>
          <w:color w:val="000000"/>
        </w:rPr>
        <w:t xml:space="preserve"> </w:t>
      </w:r>
      <w:r w:rsidRPr="00021944">
        <w:rPr>
          <w:color w:val="000000"/>
        </w:rPr>
        <w:t xml:space="preserve">DataClearance@ferc.gov, phone: </w:t>
      </w:r>
      <w:r w:rsidR="00625E09">
        <w:rPr>
          <w:color w:val="000000"/>
        </w:rPr>
        <w:t xml:space="preserve"> </w:t>
      </w:r>
      <w:r w:rsidRPr="00021944">
        <w:rPr>
          <w:color w:val="000000"/>
        </w:rPr>
        <w:t>202-502-8663, fax: 202-273-0873].  For submitting comments concerning the collection(s) of information and the associated burden estimate(s), please send your comments to the Commission and to the Office of Management and Budget, Office of Information and Regulatory Affairs, Washington</w:t>
      </w:r>
      <w:r w:rsidR="00625E09">
        <w:rPr>
          <w:color w:val="000000"/>
        </w:rPr>
        <w:t>,</w:t>
      </w:r>
      <w:r w:rsidRPr="00021944">
        <w:rPr>
          <w:color w:val="000000"/>
        </w:rPr>
        <w:t xml:space="preserve"> </w:t>
      </w:r>
      <w:r w:rsidRPr="00021944">
        <w:t xml:space="preserve">DC 20503 [Attention: </w:t>
      </w:r>
      <w:r w:rsidR="00625E09">
        <w:t xml:space="preserve"> </w:t>
      </w:r>
      <w:r w:rsidRPr="00021944">
        <w:t xml:space="preserve">Desk Officer for the Federal Energy Regulatory Commission, phone: 202-395-4638, fax: 202-395-7285]. </w:t>
      </w:r>
      <w:r w:rsidR="00625E09">
        <w:t xml:space="preserve"> </w:t>
      </w:r>
      <w:r w:rsidRPr="00021944">
        <w:t xml:space="preserve">For security reasons, comments to OMB should be submitted by e-mail to: oira_submission@omb.eop.gov. </w:t>
      </w:r>
      <w:r w:rsidR="00625E09">
        <w:t xml:space="preserve"> </w:t>
      </w:r>
      <w:r w:rsidRPr="00021944">
        <w:t>Comments submitted to OMB should include FERC-</w:t>
      </w:r>
      <w:r w:rsidR="008E6F4A">
        <w:t xml:space="preserve">725N </w:t>
      </w:r>
      <w:r w:rsidRPr="00021944">
        <w:t>and Docket N</w:t>
      </w:r>
      <w:r w:rsidR="00625E09">
        <w:t>o</w:t>
      </w:r>
      <w:r w:rsidRPr="00021944">
        <w:t>s</w:t>
      </w:r>
      <w:r w:rsidR="00625E09">
        <w:t>.</w:t>
      </w:r>
      <w:r w:rsidRPr="00021944">
        <w:t xml:space="preserve"> RM12-1-000 and RM13-9-000.</w:t>
      </w:r>
    </w:p>
    <w:p w:rsidR="004069EF" w:rsidRPr="00021944" w:rsidRDefault="004069EF" w:rsidP="004069EF">
      <w:pPr>
        <w:pStyle w:val="Heading1"/>
        <w:rPr>
          <w:szCs w:val="26"/>
        </w:rPr>
      </w:pPr>
      <w:bookmarkStart w:id="9" w:name="_bmk38"/>
      <w:bookmarkStart w:id="10" w:name="_Toc194894800"/>
      <w:r w:rsidRPr="00021944">
        <w:rPr>
          <w:szCs w:val="26"/>
        </w:rPr>
        <w:t>E</w:t>
      </w:r>
      <w:bookmarkEnd w:id="9"/>
      <w:r w:rsidRPr="00021944">
        <w:rPr>
          <w:szCs w:val="26"/>
        </w:rPr>
        <w:t>nvironmental Analysis</w:t>
      </w:r>
      <w:bookmarkEnd w:id="10"/>
    </w:p>
    <w:p w:rsidR="004069EF" w:rsidRPr="00021944" w:rsidRDefault="004069EF" w:rsidP="004069EF">
      <w:pPr>
        <w:pStyle w:val="FERCparanumber"/>
        <w:rPr>
          <w:b/>
          <w:szCs w:val="26"/>
          <w:u w:val="single"/>
        </w:rPr>
      </w:pPr>
      <w:r w:rsidRPr="00021944">
        <w:rPr>
          <w:szCs w:val="26"/>
        </w:rPr>
        <w:t>The Commission is required to prepare an Environmental Assessment or an Environmental Impact Statement for any action that may have a significant adverse effect on the human environment.</w:t>
      </w:r>
      <w:r w:rsidRPr="00021944">
        <w:rPr>
          <w:rStyle w:val="FootnoteReference"/>
        </w:rPr>
        <w:footnoteReference w:id="81"/>
      </w:r>
      <w:r w:rsidRPr="00021944">
        <w:rPr>
          <w:szCs w:val="26"/>
        </w:rPr>
        <w:t xml:space="preserve">  The Commission has categorically excluded certain actions from this requirement as not having a significant effect on </w:t>
      </w:r>
      <w:r w:rsidRPr="00021944">
        <w:rPr>
          <w:szCs w:val="26"/>
        </w:rPr>
        <w:lastRenderedPageBreak/>
        <w:t>the human environment.  Included in the exclusion are rules that are clarifying, corrective, or procedural or that do not substantially change the effect of the regulations being amended.</w:t>
      </w:r>
      <w:r w:rsidRPr="00021944">
        <w:rPr>
          <w:rStyle w:val="FootnoteReference"/>
        </w:rPr>
        <w:footnoteReference w:id="82"/>
      </w:r>
      <w:r w:rsidRPr="00021944">
        <w:rPr>
          <w:szCs w:val="26"/>
        </w:rPr>
        <w:t xml:space="preserve">  The actions proposed herein fall within this categorical exclusion in the Commission’s regulations.</w:t>
      </w:r>
    </w:p>
    <w:p w:rsidR="004069EF" w:rsidRPr="00021944" w:rsidRDefault="004069EF" w:rsidP="004069EF">
      <w:pPr>
        <w:pStyle w:val="Heading1"/>
        <w:rPr>
          <w:szCs w:val="26"/>
        </w:rPr>
      </w:pPr>
      <w:bookmarkStart w:id="11" w:name="_bmk39"/>
      <w:bookmarkStart w:id="12" w:name="_Toc194894801"/>
      <w:r w:rsidRPr="00021944">
        <w:rPr>
          <w:szCs w:val="26"/>
        </w:rPr>
        <w:t>R</w:t>
      </w:r>
      <w:bookmarkEnd w:id="11"/>
      <w:r w:rsidRPr="00021944">
        <w:rPr>
          <w:szCs w:val="26"/>
        </w:rPr>
        <w:t>egulatory Flexibility Act Analysis</w:t>
      </w:r>
      <w:bookmarkEnd w:id="12"/>
    </w:p>
    <w:p w:rsidR="00E0459C" w:rsidRPr="00021944" w:rsidRDefault="004069EF" w:rsidP="004069EF">
      <w:pPr>
        <w:pStyle w:val="FERCparanumber"/>
        <w:rPr>
          <w:szCs w:val="26"/>
        </w:rPr>
      </w:pPr>
      <w:r w:rsidRPr="00021944">
        <w:rPr>
          <w:szCs w:val="26"/>
        </w:rPr>
        <w:t>The Regulatory Flexibility Act of 1980 (RFA)</w:t>
      </w:r>
      <w:r w:rsidRPr="00021944">
        <w:rPr>
          <w:rStyle w:val="FootnoteReference"/>
        </w:rPr>
        <w:footnoteReference w:id="83"/>
      </w:r>
      <w:r w:rsidRPr="00021944">
        <w:rPr>
          <w:szCs w:val="26"/>
        </w:rPr>
        <w:t xml:space="preserve"> generally requires a description and analysis of </w:t>
      </w:r>
      <w:r w:rsidR="00E0459C" w:rsidRPr="00021944">
        <w:rPr>
          <w:szCs w:val="26"/>
        </w:rPr>
        <w:t>final rules</w:t>
      </w:r>
      <w:r w:rsidRPr="00021944">
        <w:rPr>
          <w:szCs w:val="26"/>
        </w:rPr>
        <w:t xml:space="preserve"> that will have significant economic impact on a substantial number of small entities. </w:t>
      </w:r>
      <w:r w:rsidR="00E0459C" w:rsidRPr="00021944">
        <w:rPr>
          <w:szCs w:val="26"/>
        </w:rPr>
        <w:t xml:space="preserve"> The RFA mandates consideration of regulatory alternatives that accomplish the stated objectives of a proposed rule and that minimize any significant economic impact on a substantial number of small entities.  The Small Business Administration’s (SBA) Office of Size Standards develops the numerical definition of a small business.</w:t>
      </w:r>
      <w:r w:rsidR="00E0459C" w:rsidRPr="00021944">
        <w:rPr>
          <w:rStyle w:val="FootnoteReference"/>
        </w:rPr>
        <w:footnoteReference w:id="84"/>
      </w:r>
      <w:r w:rsidR="00E0459C" w:rsidRPr="00021944">
        <w:rPr>
          <w:szCs w:val="26"/>
        </w:rPr>
        <w:t xml:space="preserve">  The SBA has established a size standard for electric utilities, stating that a firm is small if, including its affiliates, it is primarily engaged in the transmission, generation and/or distribution of electric energy for sale and its total electric output for the preceding twelve months did not exceed four million megawatt hours.</w:t>
      </w:r>
      <w:r w:rsidR="00CF27AC" w:rsidRPr="00021944">
        <w:rPr>
          <w:rStyle w:val="FootnoteReference"/>
        </w:rPr>
        <w:footnoteReference w:id="85"/>
      </w:r>
      <w:r w:rsidR="00E0459C" w:rsidRPr="00021944">
        <w:rPr>
          <w:szCs w:val="26"/>
        </w:rPr>
        <w:t xml:space="preserve">  </w:t>
      </w:r>
    </w:p>
    <w:p w:rsidR="001513CC" w:rsidRPr="00021944" w:rsidRDefault="004069EF" w:rsidP="004069EF">
      <w:pPr>
        <w:pStyle w:val="FERCparanumber"/>
        <w:rPr>
          <w:rStyle w:val="CommentReference"/>
          <w:sz w:val="26"/>
          <w:szCs w:val="26"/>
        </w:rPr>
      </w:pPr>
      <w:r w:rsidRPr="00021944">
        <w:rPr>
          <w:szCs w:val="26"/>
        </w:rPr>
        <w:lastRenderedPageBreak/>
        <w:t xml:space="preserve"> As discussed above, Reliability Standard TPL-001-4 </w:t>
      </w:r>
      <w:r w:rsidR="002E00AF" w:rsidRPr="00021944">
        <w:rPr>
          <w:szCs w:val="26"/>
        </w:rPr>
        <w:t xml:space="preserve">would apply to </w:t>
      </w:r>
      <w:r w:rsidR="00625E09">
        <w:rPr>
          <w:szCs w:val="26"/>
        </w:rPr>
        <w:t xml:space="preserve">     </w:t>
      </w:r>
      <w:r w:rsidR="00CA23ED" w:rsidRPr="00021944">
        <w:rPr>
          <w:szCs w:val="26"/>
        </w:rPr>
        <w:t>183</w:t>
      </w:r>
      <w:r w:rsidRPr="00021944">
        <w:rPr>
          <w:szCs w:val="26"/>
        </w:rPr>
        <w:t xml:space="preserve"> transmission planners and planning coordinators</w:t>
      </w:r>
      <w:r w:rsidR="002E00AF" w:rsidRPr="00021944">
        <w:rPr>
          <w:szCs w:val="26"/>
        </w:rPr>
        <w:t xml:space="preserve"> identified in the NERC Compliance Registry</w:t>
      </w:r>
      <w:r w:rsidRPr="00021944">
        <w:rPr>
          <w:szCs w:val="26"/>
        </w:rPr>
        <w:t xml:space="preserve">. </w:t>
      </w:r>
      <w:r w:rsidR="00D9056E" w:rsidRPr="00021944">
        <w:rPr>
          <w:szCs w:val="26"/>
        </w:rPr>
        <w:t xml:space="preserve"> </w:t>
      </w:r>
      <w:r w:rsidR="00837572" w:rsidRPr="00021944">
        <w:rPr>
          <w:color w:val="000000"/>
          <w:szCs w:val="26"/>
        </w:rPr>
        <w:t xml:space="preserve">Comparison of the NERC Compliance Registry with data submitted to the Energy Information Administration on Form EIA-861 indicates that, of the </w:t>
      </w:r>
      <w:r w:rsidR="00CA23ED" w:rsidRPr="00021944">
        <w:rPr>
          <w:color w:val="000000"/>
          <w:szCs w:val="26"/>
        </w:rPr>
        <w:t>183</w:t>
      </w:r>
      <w:r w:rsidR="00837572" w:rsidRPr="00021944">
        <w:rPr>
          <w:color w:val="000000"/>
          <w:szCs w:val="26"/>
        </w:rPr>
        <w:t xml:space="preserve"> registered transmission planners and planning coordinators registered by NERC, 41 </w:t>
      </w:r>
      <w:r w:rsidR="00D745D9" w:rsidRPr="00021944">
        <w:rPr>
          <w:color w:val="000000"/>
          <w:szCs w:val="26"/>
        </w:rPr>
        <w:t xml:space="preserve">may </w:t>
      </w:r>
      <w:r w:rsidR="00837572" w:rsidRPr="00021944">
        <w:rPr>
          <w:color w:val="000000"/>
          <w:szCs w:val="26"/>
        </w:rPr>
        <w:t xml:space="preserve">qualify as small </w:t>
      </w:r>
      <w:r w:rsidR="00D745D9" w:rsidRPr="00021944">
        <w:rPr>
          <w:color w:val="000000"/>
          <w:szCs w:val="26"/>
        </w:rPr>
        <w:t>entities</w:t>
      </w:r>
      <w:r w:rsidRPr="00021944">
        <w:rPr>
          <w:szCs w:val="26"/>
        </w:rPr>
        <w:t>.</w:t>
      </w:r>
    </w:p>
    <w:p w:rsidR="00E0459C" w:rsidRPr="00021944" w:rsidRDefault="0089469F" w:rsidP="00E0459C">
      <w:pPr>
        <w:pStyle w:val="FERCparanumber"/>
        <w:rPr>
          <w:szCs w:val="26"/>
        </w:rPr>
      </w:pPr>
      <w:r w:rsidRPr="00021944">
        <w:rPr>
          <w:szCs w:val="26"/>
        </w:rPr>
        <w:t>The C</w:t>
      </w:r>
      <w:r w:rsidR="004069EF" w:rsidRPr="00021944">
        <w:rPr>
          <w:szCs w:val="26"/>
        </w:rPr>
        <w:t>ommission estimates that</w:t>
      </w:r>
      <w:r w:rsidR="006B241F" w:rsidRPr="00021944">
        <w:rPr>
          <w:szCs w:val="26"/>
        </w:rPr>
        <w:t>,</w:t>
      </w:r>
      <w:r w:rsidR="004069EF" w:rsidRPr="00021944">
        <w:rPr>
          <w:szCs w:val="26"/>
        </w:rPr>
        <w:t xml:space="preserve"> </w:t>
      </w:r>
      <w:r w:rsidR="00030252" w:rsidRPr="00021944">
        <w:rPr>
          <w:szCs w:val="26"/>
        </w:rPr>
        <w:t xml:space="preserve">on average, </w:t>
      </w:r>
      <w:r w:rsidR="004069EF" w:rsidRPr="00021944">
        <w:rPr>
          <w:szCs w:val="26"/>
        </w:rPr>
        <w:t>each</w:t>
      </w:r>
      <w:r w:rsidR="00030252" w:rsidRPr="00021944">
        <w:rPr>
          <w:szCs w:val="26"/>
        </w:rPr>
        <w:t xml:space="preserve"> of the 41</w:t>
      </w:r>
      <w:r w:rsidR="004069EF" w:rsidRPr="00021944">
        <w:rPr>
          <w:szCs w:val="26"/>
        </w:rPr>
        <w:t xml:space="preserve"> small entit</w:t>
      </w:r>
      <w:r w:rsidR="00030252" w:rsidRPr="00021944">
        <w:rPr>
          <w:szCs w:val="26"/>
        </w:rPr>
        <w:t>ies</w:t>
      </w:r>
      <w:r w:rsidR="004069EF" w:rsidRPr="00021944">
        <w:rPr>
          <w:szCs w:val="26"/>
        </w:rPr>
        <w:t xml:space="preserve"> affected will have an estimated cost of $1,3</w:t>
      </w:r>
      <w:r w:rsidR="00885666" w:rsidRPr="00021944">
        <w:rPr>
          <w:szCs w:val="26"/>
        </w:rPr>
        <w:t>24</w:t>
      </w:r>
      <w:r w:rsidR="004069EF" w:rsidRPr="00021944">
        <w:rPr>
          <w:szCs w:val="26"/>
        </w:rPr>
        <w:t xml:space="preserve"> in Y</w:t>
      </w:r>
      <w:r w:rsidR="00FD251C" w:rsidRPr="00021944">
        <w:rPr>
          <w:szCs w:val="26"/>
        </w:rPr>
        <w:t>ea</w:t>
      </w:r>
      <w:r w:rsidR="004069EF" w:rsidRPr="00021944">
        <w:rPr>
          <w:szCs w:val="26"/>
        </w:rPr>
        <w:t>r 1, $16,</w:t>
      </w:r>
      <w:r w:rsidR="00885666" w:rsidRPr="00021944">
        <w:rPr>
          <w:szCs w:val="26"/>
        </w:rPr>
        <w:t>953</w:t>
      </w:r>
      <w:r w:rsidR="004069EF" w:rsidRPr="00021944">
        <w:rPr>
          <w:szCs w:val="26"/>
        </w:rPr>
        <w:t xml:space="preserve"> in Y</w:t>
      </w:r>
      <w:r w:rsidR="00FD251C" w:rsidRPr="00021944">
        <w:rPr>
          <w:szCs w:val="26"/>
        </w:rPr>
        <w:t>ea</w:t>
      </w:r>
      <w:r w:rsidR="004069EF" w:rsidRPr="00021944">
        <w:rPr>
          <w:szCs w:val="26"/>
        </w:rPr>
        <w:t>r 2</w:t>
      </w:r>
      <w:r w:rsidR="00964613">
        <w:rPr>
          <w:rStyle w:val="FootnoteReference"/>
        </w:rPr>
        <w:footnoteReference w:id="86"/>
      </w:r>
      <w:r w:rsidR="004069EF" w:rsidRPr="00021944">
        <w:rPr>
          <w:szCs w:val="26"/>
        </w:rPr>
        <w:t xml:space="preserve"> and $11,</w:t>
      </w:r>
      <w:r w:rsidR="00885666" w:rsidRPr="00021944">
        <w:rPr>
          <w:szCs w:val="26"/>
        </w:rPr>
        <w:t>471</w:t>
      </w:r>
      <w:r w:rsidR="004069EF" w:rsidRPr="00021944">
        <w:rPr>
          <w:szCs w:val="26"/>
        </w:rPr>
        <w:t xml:space="preserve"> in Y</w:t>
      </w:r>
      <w:r w:rsidR="00FD251C" w:rsidRPr="00021944">
        <w:rPr>
          <w:szCs w:val="26"/>
        </w:rPr>
        <w:t>ea</w:t>
      </w:r>
      <w:r w:rsidR="004069EF" w:rsidRPr="00021944">
        <w:rPr>
          <w:szCs w:val="26"/>
        </w:rPr>
        <w:t>r 3</w:t>
      </w:r>
      <w:r w:rsidR="002A5D9C" w:rsidRPr="00021944">
        <w:rPr>
          <w:szCs w:val="26"/>
        </w:rPr>
        <w:t xml:space="preserve"> (without Attachment 1</w:t>
      </w:r>
      <w:r w:rsidR="006B241F" w:rsidRPr="00021944">
        <w:rPr>
          <w:szCs w:val="26"/>
        </w:rPr>
        <w:t>)</w:t>
      </w:r>
      <w:r w:rsidR="004069EF" w:rsidRPr="00021944">
        <w:rPr>
          <w:szCs w:val="26"/>
        </w:rPr>
        <w:t xml:space="preserve">.  </w:t>
      </w:r>
      <w:r w:rsidR="00740D18" w:rsidRPr="00021944">
        <w:rPr>
          <w:szCs w:val="26"/>
        </w:rPr>
        <w:t>In addition, b</w:t>
      </w:r>
      <w:r w:rsidR="00333808" w:rsidRPr="00021944">
        <w:rPr>
          <w:szCs w:val="26"/>
        </w:rPr>
        <w:t>ased on the results of NERC’s data request approximately 10</w:t>
      </w:r>
      <w:r w:rsidR="006466AC" w:rsidRPr="00021944">
        <w:rPr>
          <w:szCs w:val="26"/>
        </w:rPr>
        <w:t xml:space="preserve"> percent </w:t>
      </w:r>
      <w:r w:rsidR="00333808" w:rsidRPr="00021944">
        <w:rPr>
          <w:szCs w:val="26"/>
        </w:rPr>
        <w:t xml:space="preserve">of all registered transmission planners and planning coordinators used planned </w:t>
      </w:r>
      <w:r w:rsidR="00F96CBD" w:rsidRPr="00021944">
        <w:rPr>
          <w:szCs w:val="26"/>
        </w:rPr>
        <w:t xml:space="preserve">non-consequential </w:t>
      </w:r>
      <w:r w:rsidR="00333808" w:rsidRPr="00021944">
        <w:rPr>
          <w:szCs w:val="26"/>
        </w:rPr>
        <w:t xml:space="preserve">load </w:t>
      </w:r>
      <w:r w:rsidR="00F96CBD" w:rsidRPr="00021944">
        <w:rPr>
          <w:szCs w:val="26"/>
        </w:rPr>
        <w:t>loss</w:t>
      </w:r>
      <w:r w:rsidR="00333808" w:rsidRPr="00021944">
        <w:rPr>
          <w:szCs w:val="26"/>
        </w:rPr>
        <w:t xml:space="preserve"> under the currently-effective TPL </w:t>
      </w:r>
      <w:r w:rsidR="00E0459C" w:rsidRPr="00021944">
        <w:rPr>
          <w:szCs w:val="26"/>
        </w:rPr>
        <w:t xml:space="preserve">Reliability </w:t>
      </w:r>
      <w:r w:rsidR="00333808" w:rsidRPr="00021944">
        <w:rPr>
          <w:szCs w:val="26"/>
        </w:rPr>
        <w:t xml:space="preserve">Standards.  The Commission estimates that approximately 4 of the 41 small entities would use </w:t>
      </w:r>
      <w:r w:rsidR="001513CC" w:rsidRPr="00021944">
        <w:rPr>
          <w:szCs w:val="26"/>
        </w:rPr>
        <w:t xml:space="preserve">the stakeholder process set forth in </w:t>
      </w:r>
      <w:r w:rsidR="00333808" w:rsidRPr="00021944">
        <w:rPr>
          <w:szCs w:val="26"/>
        </w:rPr>
        <w:t>Attachment 1.</w:t>
      </w:r>
      <w:r w:rsidR="00BC79B4" w:rsidRPr="00021944">
        <w:rPr>
          <w:szCs w:val="26"/>
        </w:rPr>
        <w:t xml:space="preserve">  </w:t>
      </w:r>
      <w:r w:rsidR="004448DA" w:rsidRPr="00021944">
        <w:rPr>
          <w:szCs w:val="26"/>
        </w:rPr>
        <w:t xml:space="preserve">The </w:t>
      </w:r>
      <w:r w:rsidR="004069EF" w:rsidRPr="00021944">
        <w:rPr>
          <w:szCs w:val="26"/>
        </w:rPr>
        <w:t xml:space="preserve">total estimated cost </w:t>
      </w:r>
      <w:r w:rsidR="0081332F" w:rsidRPr="00021944">
        <w:rPr>
          <w:szCs w:val="26"/>
        </w:rPr>
        <w:t xml:space="preserve">per response </w:t>
      </w:r>
      <w:r w:rsidR="004069EF" w:rsidRPr="00021944">
        <w:rPr>
          <w:szCs w:val="26"/>
        </w:rPr>
        <w:t xml:space="preserve">for </w:t>
      </w:r>
      <w:r w:rsidR="0081332F" w:rsidRPr="00021944">
        <w:rPr>
          <w:szCs w:val="26"/>
        </w:rPr>
        <w:t xml:space="preserve">each of these 4 small entities </w:t>
      </w:r>
      <w:r w:rsidR="004069EF" w:rsidRPr="00021944">
        <w:rPr>
          <w:szCs w:val="26"/>
        </w:rPr>
        <w:t>in Y</w:t>
      </w:r>
      <w:r w:rsidR="00FD251C" w:rsidRPr="00021944">
        <w:rPr>
          <w:szCs w:val="26"/>
        </w:rPr>
        <w:t>ea</w:t>
      </w:r>
      <w:r w:rsidR="004069EF" w:rsidRPr="00021944">
        <w:rPr>
          <w:szCs w:val="26"/>
        </w:rPr>
        <w:t xml:space="preserve">r 3 is </w:t>
      </w:r>
      <w:r w:rsidR="001513CC" w:rsidRPr="00021944">
        <w:rPr>
          <w:szCs w:val="26"/>
        </w:rPr>
        <w:t xml:space="preserve">approximately </w:t>
      </w:r>
      <w:r w:rsidR="004069EF" w:rsidRPr="00021944">
        <w:rPr>
          <w:szCs w:val="26"/>
        </w:rPr>
        <w:t>$19,</w:t>
      </w:r>
      <w:r w:rsidR="00AB27D5" w:rsidRPr="00021944">
        <w:rPr>
          <w:szCs w:val="26"/>
        </w:rPr>
        <w:t>500</w:t>
      </w:r>
      <w:r w:rsidR="004069EF" w:rsidRPr="00021944">
        <w:rPr>
          <w:szCs w:val="26"/>
        </w:rPr>
        <w:t xml:space="preserve"> if Attachment 1, sections I and II are used</w:t>
      </w:r>
      <w:r w:rsidR="00030252" w:rsidRPr="00021944">
        <w:rPr>
          <w:szCs w:val="26"/>
        </w:rPr>
        <w:t>,</w:t>
      </w:r>
      <w:r w:rsidR="004069EF" w:rsidRPr="00021944">
        <w:rPr>
          <w:szCs w:val="26"/>
        </w:rPr>
        <w:t xml:space="preserve"> or $</w:t>
      </w:r>
      <w:r w:rsidR="00AB27D5" w:rsidRPr="00021944">
        <w:rPr>
          <w:szCs w:val="26"/>
        </w:rPr>
        <w:t>20,000 if</w:t>
      </w:r>
      <w:r w:rsidR="004069EF" w:rsidRPr="00021944">
        <w:rPr>
          <w:szCs w:val="26"/>
        </w:rPr>
        <w:t xml:space="preserve"> Attachment 1, sections I, II and III are used.  These figures are based on information collection costs plus ad</w:t>
      </w:r>
      <w:r w:rsidR="00E0459C" w:rsidRPr="00021944">
        <w:rPr>
          <w:szCs w:val="26"/>
        </w:rPr>
        <w:t xml:space="preserve">ditional costs for compliance.  Based on this estimate, the Commission certifies that Reliability </w:t>
      </w:r>
      <w:r w:rsidR="00E0459C" w:rsidRPr="00021944">
        <w:rPr>
          <w:szCs w:val="26"/>
        </w:rPr>
        <w:lastRenderedPageBreak/>
        <w:t xml:space="preserve">Standard TPL-001-4 will not have a significant economic impact on a substantial number of small entities.  Accordingly, no regulatory flexibility analysis is required.  </w:t>
      </w:r>
    </w:p>
    <w:p w:rsidR="00831080" w:rsidRPr="00021944" w:rsidRDefault="00831080" w:rsidP="00831080">
      <w:pPr>
        <w:pStyle w:val="Heading1"/>
        <w:ind w:left="0" w:firstLine="0"/>
        <w:rPr>
          <w:szCs w:val="26"/>
        </w:rPr>
      </w:pPr>
      <w:r w:rsidRPr="00021944">
        <w:rPr>
          <w:szCs w:val="26"/>
        </w:rPr>
        <w:t>Document Availability</w:t>
      </w:r>
    </w:p>
    <w:p w:rsidR="00283C61" w:rsidRPr="00021944" w:rsidRDefault="00283C61" w:rsidP="00283C61">
      <w:pPr>
        <w:pStyle w:val="FERCparanumber"/>
        <w:rPr>
          <w:szCs w:val="26"/>
        </w:rPr>
      </w:pPr>
      <w:r w:rsidRPr="00021944">
        <w:rPr>
          <w:szCs w:val="26"/>
        </w:rPr>
        <w:t>In addition to publishing the full text of this document in the Federal Register, the Commission provides all interested persons an opportunity to view and/or print the contents of this document via the Internet through FERC's Home Page (</w:t>
      </w:r>
      <w:hyperlink r:id="rId13" w:history="1">
        <w:r w:rsidRPr="00021944">
          <w:rPr>
            <w:rStyle w:val="Hyperlink"/>
            <w:szCs w:val="26"/>
          </w:rPr>
          <w:t>http://www.ferc.gov</w:t>
        </w:r>
      </w:hyperlink>
      <w:r w:rsidRPr="00021944">
        <w:rPr>
          <w:szCs w:val="26"/>
        </w:rPr>
        <w:t>) and in FERC's Public Reference Room during normal business hours (8:30 a.m. to 5:00 p.m. Easte</w:t>
      </w:r>
      <w:r w:rsidR="00625E09">
        <w:rPr>
          <w:szCs w:val="26"/>
        </w:rPr>
        <w:t>rn time) at 888 First Street, N</w:t>
      </w:r>
      <w:r w:rsidRPr="00021944">
        <w:rPr>
          <w:szCs w:val="26"/>
        </w:rPr>
        <w:t>E, Room 2A, Washington</w:t>
      </w:r>
      <w:r w:rsidR="00625E09">
        <w:rPr>
          <w:szCs w:val="26"/>
        </w:rPr>
        <w:t>,</w:t>
      </w:r>
      <w:r w:rsidRPr="00021944">
        <w:rPr>
          <w:szCs w:val="26"/>
        </w:rPr>
        <w:t xml:space="preserve"> DC 20426.</w:t>
      </w:r>
    </w:p>
    <w:p w:rsidR="00283C61" w:rsidRPr="00021944" w:rsidRDefault="00283C61" w:rsidP="00283C61">
      <w:pPr>
        <w:pStyle w:val="FERCparanumber"/>
        <w:rPr>
          <w:szCs w:val="26"/>
        </w:rPr>
      </w:pPr>
      <w:r w:rsidRPr="00021944">
        <w:rPr>
          <w:szCs w:val="26"/>
        </w:rPr>
        <w:t xml:space="preserve">From FERC's Home Page on the Internet, this information is available on eLibrary.  The full text of this document is available on eLibrary in PDF and Microsoft Word format for viewing, printing, and/or downloading. </w:t>
      </w:r>
      <w:r w:rsidR="00625E09">
        <w:rPr>
          <w:szCs w:val="26"/>
        </w:rPr>
        <w:t xml:space="preserve"> </w:t>
      </w:r>
      <w:r w:rsidRPr="00021944">
        <w:rPr>
          <w:szCs w:val="26"/>
        </w:rPr>
        <w:t>To access this document in eLibrary, type the docket number excluding the last three digits of this document in the docket number field.</w:t>
      </w:r>
    </w:p>
    <w:p w:rsidR="00283C61" w:rsidRPr="00021944" w:rsidRDefault="00283C61" w:rsidP="00283C61">
      <w:pPr>
        <w:pStyle w:val="FERCparanumber"/>
        <w:rPr>
          <w:szCs w:val="26"/>
        </w:rPr>
      </w:pPr>
      <w:r w:rsidRPr="00021944">
        <w:rPr>
          <w:szCs w:val="26"/>
        </w:rPr>
        <w:t xml:space="preserve">User assistance is available for eLibrary and the FERC’s website during normal business hours from FERC Online Support at 202-502-6652 (toll free at 1-866-208-3676) or email at </w:t>
      </w:r>
      <w:hyperlink r:id="rId14" w:history="1">
        <w:r w:rsidRPr="00021944">
          <w:rPr>
            <w:rStyle w:val="Hyperlink"/>
            <w:szCs w:val="26"/>
          </w:rPr>
          <w:t>ferconlinesupport@ferc.gov</w:t>
        </w:r>
      </w:hyperlink>
      <w:r w:rsidRPr="00021944">
        <w:rPr>
          <w:szCs w:val="26"/>
        </w:rPr>
        <w:t>, or the Public Reference Room at (202) 502-8371, TTY (202)</w:t>
      </w:r>
      <w:r w:rsidR="00625E09">
        <w:rPr>
          <w:szCs w:val="26"/>
        </w:rPr>
        <w:t xml:space="preserve"> </w:t>
      </w:r>
      <w:r w:rsidRPr="00021944">
        <w:rPr>
          <w:szCs w:val="26"/>
        </w:rPr>
        <w:t xml:space="preserve">502-8659.  E-mail the Public Reference </w:t>
      </w:r>
      <w:bookmarkStart w:id="13" w:name="_GoBack"/>
      <w:bookmarkEnd w:id="13"/>
      <w:r w:rsidRPr="00021944">
        <w:rPr>
          <w:szCs w:val="26"/>
        </w:rPr>
        <w:t xml:space="preserve">Room at </w:t>
      </w:r>
      <w:hyperlink r:id="rId15" w:history="1">
        <w:r w:rsidRPr="00021944">
          <w:rPr>
            <w:rStyle w:val="Hyperlink"/>
            <w:szCs w:val="26"/>
          </w:rPr>
          <w:t>public.referenceroom@ferc.gov</w:t>
        </w:r>
      </w:hyperlink>
      <w:r w:rsidRPr="00021944">
        <w:rPr>
          <w:szCs w:val="26"/>
        </w:rPr>
        <w:t>.</w:t>
      </w:r>
    </w:p>
    <w:p w:rsidR="00283C61" w:rsidRPr="00021944" w:rsidRDefault="00283C61" w:rsidP="00283C61">
      <w:pPr>
        <w:pStyle w:val="Heading1"/>
        <w:rPr>
          <w:szCs w:val="26"/>
        </w:rPr>
      </w:pPr>
      <w:r w:rsidRPr="00021944">
        <w:rPr>
          <w:szCs w:val="26"/>
        </w:rPr>
        <w:lastRenderedPageBreak/>
        <w:t>Effective Date and Congressional Notification</w:t>
      </w:r>
    </w:p>
    <w:p w:rsidR="00283C61" w:rsidRPr="00021944" w:rsidRDefault="00283C61" w:rsidP="00283C61">
      <w:pPr>
        <w:pStyle w:val="FERCparanumber"/>
        <w:rPr>
          <w:szCs w:val="26"/>
        </w:rPr>
      </w:pPr>
      <w:r w:rsidRPr="00021944">
        <w:rPr>
          <w:szCs w:val="26"/>
        </w:rPr>
        <w:t xml:space="preserve">These regulations are effective [insert date </w:t>
      </w:r>
      <w:r w:rsidR="00CF27AC" w:rsidRPr="00021944">
        <w:rPr>
          <w:szCs w:val="26"/>
        </w:rPr>
        <w:t>6</w:t>
      </w:r>
      <w:r w:rsidRPr="00021944">
        <w:rPr>
          <w:szCs w:val="26"/>
        </w:rPr>
        <w:t xml:space="preserve">0 days from publication in Federal Register]. </w:t>
      </w:r>
      <w:r w:rsidR="001B35F9">
        <w:rPr>
          <w:szCs w:val="26"/>
        </w:rPr>
        <w:t xml:space="preserve"> </w:t>
      </w:r>
      <w:r w:rsidRPr="00021944">
        <w:rPr>
          <w:szCs w:val="26"/>
        </w:rPr>
        <w:t>The Commission has determined</w:t>
      </w:r>
      <w:r w:rsidR="001B35F9">
        <w:rPr>
          <w:szCs w:val="26"/>
        </w:rPr>
        <w:t xml:space="preserve"> </w:t>
      </w:r>
      <w:r w:rsidRPr="00021944">
        <w:rPr>
          <w:szCs w:val="26"/>
        </w:rPr>
        <w:t>that this rule is not a “major rule” as defined in section 351 of the Small Business Regulatory Enforcement Fairness Act of 1996.</w:t>
      </w:r>
    </w:p>
    <w:p w:rsidR="00C655A6" w:rsidRPr="00021944" w:rsidRDefault="00C655A6" w:rsidP="00283C61">
      <w:pPr>
        <w:rPr>
          <w:szCs w:val="26"/>
        </w:rPr>
      </w:pPr>
    </w:p>
    <w:p w:rsidR="00283C61" w:rsidRDefault="00283C61" w:rsidP="00283C61">
      <w:pPr>
        <w:rPr>
          <w:szCs w:val="26"/>
        </w:rPr>
      </w:pPr>
      <w:r w:rsidRPr="00021944">
        <w:rPr>
          <w:szCs w:val="26"/>
        </w:rPr>
        <w:t>By the Commission.</w:t>
      </w:r>
    </w:p>
    <w:p w:rsidR="00625E09" w:rsidRDefault="00625E09" w:rsidP="00283C61">
      <w:pPr>
        <w:rPr>
          <w:szCs w:val="26"/>
        </w:rPr>
      </w:pPr>
    </w:p>
    <w:p w:rsidR="00625E09" w:rsidRDefault="00625E09" w:rsidP="00625E09">
      <w:pPr>
        <w:widowControl/>
        <w:rPr>
          <w:szCs w:val="26"/>
        </w:rPr>
      </w:pPr>
      <w:r w:rsidRPr="00625E09">
        <w:rPr>
          <w:szCs w:val="26"/>
        </w:rPr>
        <w:t>( S E A L )</w:t>
      </w:r>
    </w:p>
    <w:p w:rsidR="00625E09" w:rsidRDefault="00625E09" w:rsidP="00625E09">
      <w:pPr>
        <w:widowControl/>
        <w:rPr>
          <w:szCs w:val="26"/>
        </w:rPr>
      </w:pPr>
    </w:p>
    <w:p w:rsidR="00625E09" w:rsidRDefault="00625E09" w:rsidP="00625E09">
      <w:pPr>
        <w:widowControl/>
        <w:rPr>
          <w:szCs w:val="26"/>
        </w:rPr>
      </w:pPr>
    </w:p>
    <w:p w:rsidR="00625E09" w:rsidRDefault="00625E09" w:rsidP="00625E09">
      <w:pPr>
        <w:widowControl/>
        <w:rPr>
          <w:szCs w:val="26"/>
        </w:rPr>
      </w:pPr>
    </w:p>
    <w:p w:rsidR="00625E09" w:rsidRPr="00625E09" w:rsidRDefault="00625E09" w:rsidP="00625E09">
      <w:pPr>
        <w:widowControl/>
        <w:ind w:firstLine="2606"/>
        <w:jc w:val="center"/>
      </w:pPr>
      <w:r w:rsidRPr="00625E09">
        <w:t>Nathaniel J. Davis, Sr.,</w:t>
      </w:r>
    </w:p>
    <w:p w:rsidR="00625E09" w:rsidRPr="00625E09" w:rsidRDefault="00625E09" w:rsidP="00625E09">
      <w:pPr>
        <w:widowControl/>
        <w:ind w:firstLine="2606"/>
        <w:jc w:val="center"/>
      </w:pPr>
      <w:r w:rsidRPr="00625E09">
        <w:t>Deputy Secretary.</w:t>
      </w:r>
    </w:p>
    <w:p w:rsidR="00625E09" w:rsidRPr="00625E09" w:rsidRDefault="00625E09" w:rsidP="00625E09">
      <w:pPr>
        <w:widowControl/>
        <w:rPr>
          <w:szCs w:val="26"/>
        </w:rPr>
      </w:pPr>
    </w:p>
    <w:p w:rsidR="00283C61" w:rsidRPr="00021944" w:rsidRDefault="00283C61" w:rsidP="00283C61">
      <w:pPr>
        <w:jc w:val="center"/>
        <w:rPr>
          <w:szCs w:val="26"/>
        </w:rPr>
      </w:pPr>
    </w:p>
    <w:p w:rsidR="005133FF" w:rsidRPr="00021944" w:rsidRDefault="005133FF" w:rsidP="005133FF">
      <w:pPr>
        <w:rPr>
          <w:szCs w:val="26"/>
        </w:rPr>
      </w:pPr>
    </w:p>
    <w:p w:rsidR="005133FF" w:rsidRPr="00021944" w:rsidRDefault="005133FF" w:rsidP="005133FF">
      <w:pPr>
        <w:rPr>
          <w:szCs w:val="26"/>
        </w:rPr>
      </w:pPr>
    </w:p>
    <w:p w:rsidR="000B45F9" w:rsidRPr="00021944" w:rsidRDefault="000B45F9" w:rsidP="00F27E84">
      <w:pPr>
        <w:rPr>
          <w:szCs w:val="26"/>
        </w:rPr>
      </w:pPr>
    </w:p>
    <w:sectPr w:rsidR="000B45F9" w:rsidRPr="00021944" w:rsidSect="00437205">
      <w:headerReference w:type="default" r:id="rId16"/>
      <w:footerReference w:type="even" r:id="rId17"/>
      <w:footerReference w:type="default" r:id="rId18"/>
      <w:headerReference w:type="first" r:id="rId19"/>
      <w:pgSz w:w="12240" w:h="15840" w:code="1"/>
      <w:pgMar w:top="1296"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52" w:rsidRDefault="00453F52">
      <w:r>
        <w:separator/>
      </w:r>
    </w:p>
  </w:endnote>
  <w:endnote w:type="continuationSeparator" w:id="0">
    <w:p w:rsidR="00453F52" w:rsidRDefault="00453F52">
      <w:r>
        <w:continuationSeparator/>
      </w:r>
    </w:p>
  </w:endnote>
  <w:endnote w:type="continuationNotice" w:id="1">
    <w:p w:rsidR="00453F52" w:rsidRDefault="0045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52" w:rsidRDefault="00453F52" w:rsidP="005133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3F52" w:rsidRDefault="00453F52" w:rsidP="00513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52" w:rsidRDefault="00453F52" w:rsidP="005133FF">
    <w:pPr>
      <w:pStyle w:val="Footer"/>
      <w:framePr w:wrap="around" w:vAnchor="text" w:hAnchor="page" w:x="10441" w:y="-57"/>
      <w:rPr>
        <w:rStyle w:val="PageNumber"/>
      </w:rPr>
    </w:pPr>
  </w:p>
  <w:p w:rsidR="00453F52" w:rsidRDefault="00453F52" w:rsidP="00513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52" w:rsidRDefault="00453F52">
      <w:r>
        <w:separator/>
      </w:r>
    </w:p>
  </w:footnote>
  <w:footnote w:type="continuationSeparator" w:id="0">
    <w:p w:rsidR="00453F52" w:rsidRDefault="00453F52">
      <w:r>
        <w:continuationSeparator/>
      </w:r>
    </w:p>
  </w:footnote>
  <w:footnote w:type="continuationNotice" w:id="1">
    <w:p w:rsidR="00453F52" w:rsidRDefault="00453F52"/>
    <w:p w:rsidR="00453F52" w:rsidRDefault="00453F52" w:rsidP="000A0212">
      <w:pPr>
        <w:jc w:val="right"/>
      </w:pPr>
      <w:r>
        <w:t>(continued…)</w:t>
      </w:r>
    </w:p>
  </w:footnote>
  <w:footnote w:id="2">
    <w:p w:rsidR="00453F52" w:rsidRDefault="00453F52">
      <w:pPr>
        <w:pStyle w:val="FootnoteText"/>
      </w:pPr>
      <w:r>
        <w:rPr>
          <w:rStyle w:val="FootnoteReference"/>
        </w:rPr>
        <w:footnoteRef/>
      </w:r>
      <w:r>
        <w:t xml:space="preserve"> 16 U.S.C. 824o(d) (2006).</w:t>
      </w:r>
    </w:p>
  </w:footnote>
  <w:footnote w:id="3">
    <w:p w:rsidR="00453F52" w:rsidRDefault="00453F52" w:rsidP="00BE38E9">
      <w:pPr>
        <w:pStyle w:val="FootnoteText"/>
      </w:pPr>
      <w:r>
        <w:rPr>
          <w:rStyle w:val="FootnoteReference"/>
        </w:rPr>
        <w:footnoteRef/>
      </w:r>
      <w:r>
        <w:t xml:space="preserve"> </w:t>
      </w:r>
      <w:r>
        <w:rPr>
          <w:i/>
        </w:rPr>
        <w:t>Mandatory Reliability Standards for the Bulk-Power System</w:t>
      </w:r>
      <w:r>
        <w:t xml:space="preserve">, Order      No. 693, FERC Stats. &amp; Regs. ¶ 31,242, </w:t>
      </w:r>
      <w:r>
        <w:rPr>
          <w:i/>
        </w:rPr>
        <w:t>order on reh’g</w:t>
      </w:r>
      <w:r>
        <w:t>, Order No. 693-A,        120 FERC ¶ 61,053 (2007).</w:t>
      </w:r>
    </w:p>
  </w:footnote>
  <w:footnote w:id="4">
    <w:p w:rsidR="00453F52" w:rsidRDefault="00453F52">
      <w:pPr>
        <w:pStyle w:val="FootnoteText"/>
      </w:pPr>
      <w:r>
        <w:rPr>
          <w:rStyle w:val="FootnoteReference"/>
        </w:rPr>
        <w:footnoteRef/>
      </w:r>
      <w:r>
        <w:t xml:space="preserve"> </w:t>
      </w:r>
      <w:r w:rsidRPr="008C7BDD">
        <w:rPr>
          <w:i/>
        </w:rPr>
        <w:t>Transmission Planning Reliability Standards</w:t>
      </w:r>
      <w:r>
        <w:t xml:space="preserve">, Order No. 762, 139 FERC   ¶ 61,060 (2012) </w:t>
      </w:r>
      <w:r w:rsidRPr="008C7BDD">
        <w:t xml:space="preserve">(Order No. 762), </w:t>
      </w:r>
      <w:r w:rsidRPr="008C7BDD">
        <w:rPr>
          <w:i/>
        </w:rPr>
        <w:t>order on reconsideration</w:t>
      </w:r>
      <w:r w:rsidRPr="008C7BDD">
        <w:t>, 140 FERC ¶ 61,101 (2012).</w:t>
      </w:r>
      <w:r>
        <w:t xml:space="preserve">  </w:t>
      </w:r>
      <w:r w:rsidRPr="008C7BDD">
        <w:rPr>
          <w:i/>
        </w:rPr>
        <w:t>See also</w:t>
      </w:r>
      <w:r>
        <w:t xml:space="preserve"> </w:t>
      </w:r>
      <w:r w:rsidRPr="008C7BDD">
        <w:rPr>
          <w:i/>
        </w:rPr>
        <w:t>Transmission Planning Reliability Standards</w:t>
      </w:r>
      <w:r w:rsidRPr="008C7BDD">
        <w:t xml:space="preserve">, 139 FERC </w:t>
      </w:r>
      <w:r>
        <w:t xml:space="preserve">            </w:t>
      </w:r>
      <w:r w:rsidRPr="008C7BDD">
        <w:t>¶ 61,059 (2012) (</w:t>
      </w:r>
      <w:r>
        <w:t>April 2012 NOPR</w:t>
      </w:r>
      <w:r w:rsidRPr="008C7BDD">
        <w:t>).</w:t>
      </w:r>
      <w:r>
        <w:t xml:space="preserve"> </w:t>
      </w:r>
    </w:p>
  </w:footnote>
  <w:footnote w:id="5">
    <w:p w:rsidR="00453F52" w:rsidRDefault="00453F52">
      <w:pPr>
        <w:pStyle w:val="FootnoteText"/>
      </w:pPr>
      <w:r>
        <w:rPr>
          <w:rStyle w:val="FootnoteReference"/>
        </w:rPr>
        <w:footnoteRef/>
      </w:r>
      <w:r>
        <w:t xml:space="preserve"> Reliability Standard TPL-001-4, Table I (Steady State and Stability Performance Extreme Events), n.12.</w:t>
      </w:r>
    </w:p>
  </w:footnote>
  <w:footnote w:id="6">
    <w:p w:rsidR="00453F52" w:rsidRPr="00335A9B" w:rsidRDefault="00453F52" w:rsidP="000375F8">
      <w:pPr>
        <w:pStyle w:val="FootnoteText"/>
        <w:spacing w:after="120"/>
        <w:rPr>
          <w:szCs w:val="26"/>
        </w:rPr>
      </w:pPr>
      <w:r w:rsidRPr="00335A9B">
        <w:rPr>
          <w:rStyle w:val="FootnoteReference"/>
        </w:rPr>
        <w:footnoteRef/>
      </w:r>
      <w:r w:rsidRPr="00335A9B">
        <w:rPr>
          <w:szCs w:val="26"/>
        </w:rPr>
        <w:t xml:space="preserve"> Order No. 693, FERC Stats. &amp; Regs. ¶ 31,242 at PP 1840, 1845.  The currently-effective versions of the TPL Reliability Standards are as follows:  TPL-001-0.1, TPL-002-0b, TPL-003-0a, and TPL-004-0.   </w:t>
      </w:r>
    </w:p>
  </w:footnote>
  <w:footnote w:id="7">
    <w:p w:rsidR="00453F52" w:rsidRPr="00335A9B" w:rsidRDefault="00453F52">
      <w:pPr>
        <w:pStyle w:val="FootnoteText"/>
        <w:rPr>
          <w:szCs w:val="26"/>
        </w:rPr>
      </w:pPr>
      <w:r w:rsidRPr="00335A9B">
        <w:rPr>
          <w:rStyle w:val="FootnoteReference"/>
        </w:rPr>
        <w:footnoteRef/>
      </w:r>
      <w:r>
        <w:rPr>
          <w:szCs w:val="26"/>
        </w:rPr>
        <w:t xml:space="preserve"> </w:t>
      </w:r>
      <w:r w:rsidRPr="00335A9B">
        <w:rPr>
          <w:szCs w:val="26"/>
        </w:rPr>
        <w:t>Order No. 693, FERC Stats. &amp; Regs. ¶ 31,242 at P 1792.</w:t>
      </w:r>
    </w:p>
  </w:footnote>
  <w:footnote w:id="8">
    <w:p w:rsidR="00453F52" w:rsidRPr="00335A9B" w:rsidRDefault="00453F52" w:rsidP="002B580C">
      <w:pPr>
        <w:pStyle w:val="FootnoteText"/>
        <w:rPr>
          <w:szCs w:val="26"/>
        </w:rPr>
      </w:pPr>
      <w:r w:rsidRPr="00335A9B">
        <w:rPr>
          <w:rStyle w:val="FootnoteReference"/>
        </w:rPr>
        <w:footnoteRef/>
      </w:r>
      <w:r w:rsidRPr="00335A9B">
        <w:rPr>
          <w:szCs w:val="26"/>
        </w:rPr>
        <w:t xml:space="preserve"> </w:t>
      </w:r>
      <w:r w:rsidRPr="00335A9B">
        <w:rPr>
          <w:i/>
          <w:szCs w:val="26"/>
        </w:rPr>
        <w:t>Mandatory Reliability Standards for the Bulk Power System</w:t>
      </w:r>
      <w:r w:rsidRPr="00335A9B">
        <w:rPr>
          <w:szCs w:val="26"/>
        </w:rPr>
        <w:t xml:space="preserve">, 130 FERC </w:t>
      </w:r>
      <w:r>
        <w:rPr>
          <w:szCs w:val="26"/>
        </w:rPr>
        <w:t xml:space="preserve">  </w:t>
      </w:r>
      <w:r w:rsidRPr="00335A9B">
        <w:rPr>
          <w:szCs w:val="26"/>
        </w:rPr>
        <w:t>¶ 61,200 (2010).</w:t>
      </w:r>
    </w:p>
  </w:footnote>
  <w:footnote w:id="9">
    <w:p w:rsidR="00453F52" w:rsidRPr="00335A9B" w:rsidRDefault="00453F52" w:rsidP="002B580C">
      <w:pPr>
        <w:pStyle w:val="FootnoteText"/>
        <w:rPr>
          <w:szCs w:val="26"/>
        </w:rPr>
      </w:pPr>
      <w:r w:rsidRPr="00335A9B">
        <w:rPr>
          <w:rStyle w:val="FootnoteReference"/>
        </w:rPr>
        <w:footnoteRef/>
      </w:r>
      <w:r w:rsidRPr="00335A9B">
        <w:rPr>
          <w:szCs w:val="26"/>
        </w:rPr>
        <w:t xml:space="preserve"> </w:t>
      </w:r>
      <w:r w:rsidRPr="00335A9B">
        <w:rPr>
          <w:i/>
          <w:szCs w:val="26"/>
        </w:rPr>
        <w:t>Mandatory Reliability Standards for the Bulk Power System</w:t>
      </w:r>
      <w:r w:rsidRPr="00335A9B">
        <w:rPr>
          <w:szCs w:val="26"/>
        </w:rPr>
        <w:t xml:space="preserve">, 131 FERC </w:t>
      </w:r>
      <w:r>
        <w:rPr>
          <w:szCs w:val="26"/>
        </w:rPr>
        <w:t xml:space="preserve">  </w:t>
      </w:r>
      <w:r w:rsidRPr="00335A9B">
        <w:rPr>
          <w:szCs w:val="26"/>
        </w:rPr>
        <w:t>¶ 61,231 (2010).</w:t>
      </w:r>
    </w:p>
  </w:footnote>
  <w:footnote w:id="10">
    <w:p w:rsidR="00453F52" w:rsidRPr="00335A9B" w:rsidRDefault="00453F52">
      <w:pPr>
        <w:pStyle w:val="FootnoteText"/>
        <w:rPr>
          <w:szCs w:val="26"/>
        </w:rPr>
      </w:pPr>
      <w:r w:rsidRPr="00335A9B">
        <w:rPr>
          <w:rStyle w:val="FootnoteReference"/>
        </w:rPr>
        <w:footnoteRef/>
      </w:r>
      <w:r w:rsidRPr="00335A9B">
        <w:rPr>
          <w:szCs w:val="26"/>
        </w:rPr>
        <w:t xml:space="preserve"> </w:t>
      </w:r>
      <w:r w:rsidRPr="00335A9B">
        <w:rPr>
          <w:i/>
          <w:szCs w:val="26"/>
        </w:rPr>
        <w:t>See</w:t>
      </w:r>
      <w:r w:rsidRPr="00335A9B">
        <w:rPr>
          <w:szCs w:val="26"/>
        </w:rPr>
        <w:t xml:space="preserve"> Order No. 693, FERC Stats. &amp; Regs. ¶ 31,242 at P 1794.  Non-consequential load loss includes the removal, by any means, of any planned firm load that is not directly served by the elements that are removed from service as a result of the contingency.  Currently-effective footnote ‘b’ deals with both consequential load loss and non-consequential load loss.  NERC’s proposed footnote ‘b’ characterized both types </w:t>
      </w:r>
      <w:r>
        <w:rPr>
          <w:szCs w:val="26"/>
        </w:rPr>
        <w:t>of load loss as “firm demand.”</w:t>
      </w:r>
    </w:p>
  </w:footnote>
  <w:footnote w:id="11">
    <w:p w:rsidR="00453F52" w:rsidRPr="00335A9B" w:rsidRDefault="00453F52">
      <w:pPr>
        <w:pStyle w:val="FootnoteText"/>
        <w:rPr>
          <w:szCs w:val="26"/>
        </w:rPr>
      </w:pPr>
      <w:r w:rsidRPr="00335A9B">
        <w:rPr>
          <w:rStyle w:val="FootnoteReference"/>
        </w:rPr>
        <w:footnoteRef/>
      </w:r>
      <w:r>
        <w:rPr>
          <w:szCs w:val="26"/>
        </w:rPr>
        <w:t xml:space="preserve"> </w:t>
      </w:r>
      <w:r w:rsidRPr="00335A9B">
        <w:rPr>
          <w:szCs w:val="26"/>
        </w:rPr>
        <w:t>Order No. 762, 139 FERC ¶ 61,060.</w:t>
      </w:r>
      <w:r>
        <w:rPr>
          <w:szCs w:val="26"/>
        </w:rPr>
        <w:t xml:space="preserve"> </w:t>
      </w:r>
    </w:p>
  </w:footnote>
  <w:footnote w:id="12">
    <w:p w:rsidR="00453F52" w:rsidRPr="00335A9B" w:rsidRDefault="00453F52">
      <w:pPr>
        <w:pStyle w:val="FootnoteText"/>
        <w:rPr>
          <w:szCs w:val="26"/>
        </w:rPr>
      </w:pPr>
      <w:r w:rsidRPr="00335A9B">
        <w:rPr>
          <w:rStyle w:val="FootnoteReference"/>
        </w:rPr>
        <w:footnoteRef/>
      </w:r>
      <w:r>
        <w:rPr>
          <w:szCs w:val="26"/>
        </w:rPr>
        <w:t xml:space="preserve"> </w:t>
      </w:r>
      <w:r w:rsidRPr="00A4138F">
        <w:rPr>
          <w:i/>
          <w:szCs w:val="26"/>
        </w:rPr>
        <w:t>Id</w:t>
      </w:r>
      <w:r>
        <w:rPr>
          <w:szCs w:val="26"/>
        </w:rPr>
        <w:t>.</w:t>
      </w:r>
      <w:r w:rsidRPr="00335A9B">
        <w:rPr>
          <w:szCs w:val="26"/>
        </w:rPr>
        <w:t xml:space="preserve"> P 20.</w:t>
      </w:r>
    </w:p>
  </w:footnote>
  <w:footnote w:id="13">
    <w:p w:rsidR="00453F52" w:rsidRPr="00335A9B" w:rsidRDefault="00453F52">
      <w:pPr>
        <w:pStyle w:val="FootnoteText"/>
        <w:rPr>
          <w:szCs w:val="26"/>
        </w:rPr>
      </w:pPr>
      <w:r w:rsidRPr="00335A9B">
        <w:rPr>
          <w:rStyle w:val="FootnoteReference"/>
        </w:rPr>
        <w:footnoteRef/>
      </w:r>
      <w:r>
        <w:rPr>
          <w:szCs w:val="26"/>
        </w:rPr>
        <w:t xml:space="preserve"> </w:t>
      </w:r>
      <w:r w:rsidRPr="00335A9B">
        <w:rPr>
          <w:szCs w:val="26"/>
        </w:rPr>
        <w:t xml:space="preserve">NERC’s October 2011 petition sought approval of Reliability Standard </w:t>
      </w:r>
      <w:r>
        <w:rPr>
          <w:szCs w:val="26"/>
        </w:rPr>
        <w:t xml:space="preserve">        </w:t>
      </w:r>
      <w:r w:rsidRPr="00335A9B">
        <w:rPr>
          <w:szCs w:val="26"/>
        </w:rPr>
        <w:t>TPL-001-2, the associated implementation plan and Violation Risk Factors (VRFs) and Violation Severity Levels (VSLs), as well as five new definitions to be adde</w:t>
      </w:r>
      <w:r>
        <w:rPr>
          <w:szCs w:val="26"/>
        </w:rPr>
        <w:t>d to the NERC Glossary of Terms</w:t>
      </w:r>
      <w:r w:rsidRPr="00335A9B">
        <w:rPr>
          <w:szCs w:val="26"/>
        </w:rPr>
        <w:t>.  NERC al</w:t>
      </w:r>
      <w:r>
        <w:rPr>
          <w:szCs w:val="26"/>
        </w:rPr>
        <w:t xml:space="preserve">so requested approval to retire </w:t>
      </w:r>
      <w:r w:rsidRPr="00335A9B">
        <w:rPr>
          <w:szCs w:val="26"/>
        </w:rPr>
        <w:t xml:space="preserve">four currently-effective TPL Reliability Standards:  TPL-001-1, TPL-002-1b, TPL-003-1a; and TPL-004-1.  In addition, NERC requested to withdraw two pending Reliability Standards:  TPL-005-0 and TPL-006-0.1.  </w:t>
      </w:r>
    </w:p>
  </w:footnote>
  <w:footnote w:id="14">
    <w:p w:rsidR="00453F52" w:rsidRPr="00335A9B" w:rsidRDefault="00453F52">
      <w:pPr>
        <w:pStyle w:val="FootnoteText"/>
        <w:rPr>
          <w:szCs w:val="26"/>
        </w:rPr>
      </w:pPr>
      <w:r w:rsidRPr="00335A9B">
        <w:rPr>
          <w:rStyle w:val="FootnoteReference"/>
        </w:rPr>
        <w:footnoteRef/>
      </w:r>
      <w:r w:rsidRPr="00335A9B">
        <w:rPr>
          <w:szCs w:val="26"/>
        </w:rPr>
        <w:t xml:space="preserve"> </w:t>
      </w:r>
      <w:r>
        <w:rPr>
          <w:szCs w:val="26"/>
        </w:rPr>
        <w:t xml:space="preserve">NERC’s October 2011 Petition at 12.  </w:t>
      </w:r>
      <w:r w:rsidRPr="00335A9B">
        <w:rPr>
          <w:szCs w:val="26"/>
        </w:rPr>
        <w:t xml:space="preserve">NERC’s proposal in Docket </w:t>
      </w:r>
      <w:r>
        <w:rPr>
          <w:szCs w:val="26"/>
        </w:rPr>
        <w:t xml:space="preserve">     </w:t>
      </w:r>
      <w:r w:rsidRPr="00335A9B">
        <w:rPr>
          <w:szCs w:val="26"/>
        </w:rPr>
        <w:t xml:space="preserve">No. RM11-18-000, Table 1, footnote ‘b’ </w:t>
      </w:r>
      <w:r>
        <w:rPr>
          <w:szCs w:val="26"/>
        </w:rPr>
        <w:t xml:space="preserve">referred to </w:t>
      </w:r>
      <w:r w:rsidRPr="00335A9B">
        <w:rPr>
          <w:szCs w:val="26"/>
        </w:rPr>
        <w:t xml:space="preserve">planned load shed </w:t>
      </w:r>
      <w:r>
        <w:rPr>
          <w:szCs w:val="26"/>
        </w:rPr>
        <w:t xml:space="preserve">as </w:t>
      </w:r>
      <w:r w:rsidRPr="00335A9B">
        <w:rPr>
          <w:szCs w:val="26"/>
        </w:rPr>
        <w:t xml:space="preserve">planned “interruption of Firm Demand.” </w:t>
      </w:r>
      <w:r>
        <w:rPr>
          <w:szCs w:val="26"/>
        </w:rPr>
        <w:t xml:space="preserve"> </w:t>
      </w:r>
      <w:r w:rsidRPr="00335A9B">
        <w:rPr>
          <w:szCs w:val="26"/>
        </w:rPr>
        <w:t>In footnote 12</w:t>
      </w:r>
      <w:r>
        <w:rPr>
          <w:szCs w:val="26"/>
        </w:rPr>
        <w:t>, proposed to replace footnote ‘b,’</w:t>
      </w:r>
      <w:r w:rsidRPr="00335A9B">
        <w:rPr>
          <w:szCs w:val="26"/>
        </w:rPr>
        <w:t xml:space="preserve"> NERC changed the term from “interruption of Firm Demand” to utilization of “Non-Consequential Load Loss.”</w:t>
      </w:r>
    </w:p>
  </w:footnote>
  <w:footnote w:id="15">
    <w:p w:rsidR="00453F52" w:rsidRPr="00335A9B" w:rsidRDefault="00453F52">
      <w:pPr>
        <w:pStyle w:val="FootnoteText"/>
        <w:rPr>
          <w:szCs w:val="26"/>
        </w:rPr>
      </w:pPr>
      <w:r w:rsidRPr="00335A9B">
        <w:rPr>
          <w:rStyle w:val="FootnoteReference"/>
        </w:rPr>
        <w:footnoteRef/>
      </w:r>
      <w:r>
        <w:rPr>
          <w:szCs w:val="26"/>
        </w:rPr>
        <w:t xml:space="preserve"> April 2012 </w:t>
      </w:r>
      <w:r w:rsidRPr="00335A9B">
        <w:rPr>
          <w:szCs w:val="26"/>
        </w:rPr>
        <w:t xml:space="preserve">NOPR, 139 FERC ¶ 61,059 at P 55. </w:t>
      </w:r>
    </w:p>
  </w:footnote>
  <w:footnote w:id="16">
    <w:p w:rsidR="00453F52" w:rsidRPr="00335A9B" w:rsidRDefault="00453F52">
      <w:pPr>
        <w:pStyle w:val="FootnoteText"/>
        <w:rPr>
          <w:szCs w:val="26"/>
        </w:rPr>
      </w:pPr>
      <w:r w:rsidRPr="00335A9B">
        <w:rPr>
          <w:rStyle w:val="FootnoteReference"/>
        </w:rPr>
        <w:footnoteRef/>
      </w:r>
      <w:r w:rsidRPr="00335A9B">
        <w:rPr>
          <w:szCs w:val="26"/>
        </w:rPr>
        <w:t xml:space="preserve"> </w:t>
      </w:r>
      <w:r w:rsidRPr="00335A9B">
        <w:rPr>
          <w:i/>
          <w:szCs w:val="26"/>
        </w:rPr>
        <w:t>Id.</w:t>
      </w:r>
      <w:r w:rsidRPr="00335A9B">
        <w:rPr>
          <w:szCs w:val="26"/>
        </w:rPr>
        <w:t xml:space="preserve"> P 3. </w:t>
      </w:r>
    </w:p>
  </w:footnote>
  <w:footnote w:id="17">
    <w:p w:rsidR="00453F52" w:rsidRDefault="00453F52">
      <w:pPr>
        <w:pStyle w:val="FootnoteText"/>
      </w:pPr>
      <w:r>
        <w:rPr>
          <w:rStyle w:val="FootnoteReference"/>
        </w:rPr>
        <w:footnoteRef/>
      </w:r>
      <w:r>
        <w:t xml:space="preserve"> The ISO/RTOs consist of Electric Reliability Council of Texas, Inc., ISO New England, Inc., Midcontinent Independent Transmission System Operator Inc., New York Independent System Operator, Inc., PJM Interconnection L.L.C., and Southwest Power Pool, </w:t>
      </w:r>
      <w:r w:rsidRPr="00C42DB5">
        <w:t>Inc.</w:t>
      </w:r>
    </w:p>
  </w:footnote>
  <w:footnote w:id="18">
    <w:p w:rsidR="00453F52" w:rsidRDefault="00453F52">
      <w:pPr>
        <w:pStyle w:val="FootnoteText"/>
      </w:pPr>
      <w:r>
        <w:rPr>
          <w:rStyle w:val="FootnoteReference"/>
        </w:rPr>
        <w:footnoteRef/>
      </w:r>
      <w:r>
        <w:t xml:space="preserve"> ITC Companies consist of ITC</w:t>
      </w:r>
      <w:r w:rsidRPr="00D11FF5">
        <w:rPr>
          <w:i/>
        </w:rPr>
        <w:t>Transmission</w:t>
      </w:r>
      <w:r>
        <w:t xml:space="preserve">, Michigan Electric Transmission Company LLC, ITC Midwest LLC, and ITC Great Plains.  </w:t>
      </w:r>
    </w:p>
  </w:footnote>
  <w:footnote w:id="19">
    <w:p w:rsidR="00453F52" w:rsidRDefault="00453F52">
      <w:pPr>
        <w:pStyle w:val="FootnoteText"/>
      </w:pPr>
      <w:r>
        <w:rPr>
          <w:rStyle w:val="FootnoteReference"/>
        </w:rPr>
        <w:footnoteRef/>
      </w:r>
      <w:r>
        <w:t xml:space="preserve"> </w:t>
      </w:r>
      <w:r w:rsidRPr="0014732F">
        <w:t>Effective April 26, 2013, MISO changed its name from “Midwest Independent Transmission System Operator, Inc.” to “Midcontinent Independent System Operator, Inc.”</w:t>
      </w:r>
    </w:p>
  </w:footnote>
  <w:footnote w:id="20">
    <w:p w:rsidR="00453F52" w:rsidRDefault="00453F52" w:rsidP="007F22A3">
      <w:pPr>
        <w:pStyle w:val="FootnoteText"/>
      </w:pPr>
      <w:r>
        <w:rPr>
          <w:rStyle w:val="FootnoteReference"/>
        </w:rPr>
        <w:footnoteRef/>
      </w:r>
      <w:r>
        <w:t xml:space="preserve"> </w:t>
      </w:r>
      <w:r>
        <w:rPr>
          <w:szCs w:val="26"/>
        </w:rPr>
        <w:t>In its filing, NERC stated</w:t>
      </w:r>
      <w:r w:rsidRPr="00335A9B">
        <w:rPr>
          <w:szCs w:val="26"/>
        </w:rPr>
        <w:t xml:space="preserve"> that the Version 4 standard, i.e., TPL-001-4, modifies the pending </w:t>
      </w:r>
      <w:r>
        <w:rPr>
          <w:szCs w:val="26"/>
        </w:rPr>
        <w:t xml:space="preserve">Version 2 </w:t>
      </w:r>
      <w:r w:rsidRPr="00335A9B">
        <w:rPr>
          <w:szCs w:val="26"/>
        </w:rPr>
        <w:t>consolidated standard, TPL-001-2.  NERC also submitted, alternatively, a group of</w:t>
      </w:r>
      <w:r>
        <w:rPr>
          <w:szCs w:val="26"/>
        </w:rPr>
        <w:t xml:space="preserve"> </w:t>
      </w:r>
      <w:r w:rsidRPr="00335A9B">
        <w:rPr>
          <w:szCs w:val="26"/>
        </w:rPr>
        <w:t>four TPL standards (TPL-001-3, TPL-002-2b, TPL-003-2a, and TPL-004-2, collectively, the Version 3 TPL standards) that would modify “footnote b” of the currently-effective TPL standards, “[i]n the event the Commission does not approve the Consolidated TPL Standards</w:t>
      </w:r>
      <w:r>
        <w:rPr>
          <w:szCs w:val="26"/>
        </w:rPr>
        <w:t xml:space="preserve"> [Version 4]</w:t>
      </w:r>
      <w:r w:rsidRPr="00335A9B">
        <w:rPr>
          <w:szCs w:val="26"/>
        </w:rPr>
        <w:t xml:space="preserve">.”  NERC Petition at 4.  Because we approve TPL-001-4, references throughout this </w:t>
      </w:r>
      <w:r>
        <w:rPr>
          <w:szCs w:val="26"/>
        </w:rPr>
        <w:t xml:space="preserve">Final Rule </w:t>
      </w:r>
      <w:r w:rsidRPr="00335A9B">
        <w:rPr>
          <w:szCs w:val="26"/>
        </w:rPr>
        <w:t>are to the Version 4 standard.</w:t>
      </w:r>
    </w:p>
  </w:footnote>
  <w:footnote w:id="21">
    <w:p w:rsidR="00453F52" w:rsidRDefault="00453F52" w:rsidP="007F22A3">
      <w:pPr>
        <w:pStyle w:val="FootnoteText"/>
      </w:pPr>
      <w:r>
        <w:rPr>
          <w:rStyle w:val="FootnoteReference"/>
        </w:rPr>
        <w:footnoteRef/>
      </w:r>
      <w:r>
        <w:t xml:space="preserve">  </w:t>
      </w:r>
      <w:r>
        <w:rPr>
          <w:szCs w:val="26"/>
        </w:rPr>
        <w:t xml:space="preserve">The filed proposed Reliability Standard is not attached to the Final Rule but is available on the Commission’s eLibrary document retrieval system in Docket Nos. RM12-1-000 and RM13-9-000 and are available on NERC’s website, </w:t>
      </w:r>
      <w:hyperlink r:id="rId1" w:history="1">
        <w:r w:rsidRPr="00A94C80">
          <w:rPr>
            <w:rStyle w:val="Hyperlink"/>
          </w:rPr>
          <w:t>http://www.nerc.com</w:t>
        </w:r>
      </w:hyperlink>
      <w:r>
        <w:t>.</w:t>
      </w:r>
    </w:p>
  </w:footnote>
  <w:footnote w:id="22">
    <w:p w:rsidR="00453F52" w:rsidRPr="00335A9B" w:rsidRDefault="00453F52">
      <w:pPr>
        <w:pStyle w:val="FootnoteText"/>
        <w:rPr>
          <w:szCs w:val="26"/>
        </w:rPr>
      </w:pPr>
      <w:r w:rsidRPr="00335A9B">
        <w:rPr>
          <w:rStyle w:val="FootnoteReference"/>
        </w:rPr>
        <w:footnoteRef/>
      </w:r>
      <w:r w:rsidRPr="00335A9B">
        <w:rPr>
          <w:szCs w:val="26"/>
        </w:rPr>
        <w:t xml:space="preserve"> NERC Petition, Exhibit A, proposed Reliability Standard TPL-001-4, Attachment I, section 3. </w:t>
      </w:r>
    </w:p>
  </w:footnote>
  <w:footnote w:id="23">
    <w:p w:rsidR="00453F52" w:rsidRPr="00335A9B" w:rsidRDefault="00453F52" w:rsidP="00CD4B0A">
      <w:pPr>
        <w:pStyle w:val="Default"/>
        <w:ind w:firstLine="720"/>
        <w:rPr>
          <w:rFonts w:ascii="Times New Roman" w:hAnsi="Times New Roman" w:cs="Times New Roman"/>
          <w:sz w:val="26"/>
          <w:szCs w:val="26"/>
        </w:rPr>
      </w:pPr>
      <w:r w:rsidRPr="00335A9B">
        <w:rPr>
          <w:rStyle w:val="FootnoteReference"/>
          <w:rFonts w:cs="Times New Roman"/>
        </w:rPr>
        <w:footnoteRef/>
      </w:r>
      <w:r w:rsidRPr="00335A9B">
        <w:rPr>
          <w:rFonts w:ascii="Times New Roman" w:hAnsi="Times New Roman" w:cs="Times New Roman"/>
          <w:sz w:val="26"/>
          <w:szCs w:val="26"/>
        </w:rPr>
        <w:t xml:space="preserve"> </w:t>
      </w:r>
      <w:r w:rsidRPr="00335A9B">
        <w:rPr>
          <w:rFonts w:ascii="Times New Roman" w:hAnsi="Times New Roman" w:cs="Times New Roman"/>
          <w:color w:val="auto"/>
          <w:sz w:val="26"/>
          <w:szCs w:val="26"/>
        </w:rPr>
        <w:t>NERC Petition, Exhibit A, proposed Reliability Standard TPL-001-4, Attachment I, section 3.</w:t>
      </w:r>
      <w:r w:rsidRPr="00335A9B">
        <w:rPr>
          <w:sz w:val="26"/>
          <w:szCs w:val="26"/>
        </w:rPr>
        <w:t xml:space="preserve"> </w:t>
      </w:r>
      <w:r>
        <w:rPr>
          <w:sz w:val="26"/>
          <w:szCs w:val="26"/>
        </w:rPr>
        <w:t xml:space="preserve"> </w:t>
      </w:r>
      <w:r w:rsidRPr="00335A9B">
        <w:rPr>
          <w:rFonts w:ascii="Times New Roman" w:hAnsi="Times New Roman" w:cs="Times New Roman"/>
          <w:sz w:val="26"/>
          <w:szCs w:val="26"/>
        </w:rPr>
        <w:t xml:space="preserve">NERC defines “Adverse Reliability Impact” as “[t]he impact of an event that results in frequency-related instability; unplanned tripping of load or generation; or uncontrolled separation or cascading outages that affects a widespread area of the Interconnection.” </w:t>
      </w:r>
      <w:r>
        <w:rPr>
          <w:rFonts w:ascii="Times New Roman" w:hAnsi="Times New Roman" w:cs="Times New Roman"/>
          <w:sz w:val="26"/>
          <w:szCs w:val="26"/>
        </w:rPr>
        <w:t xml:space="preserve"> NERC Glossary at 4. </w:t>
      </w:r>
    </w:p>
    <w:p w:rsidR="00453F52" w:rsidRPr="00335A9B" w:rsidRDefault="00453F52" w:rsidP="00CD4B0A">
      <w:pPr>
        <w:pStyle w:val="Default"/>
        <w:ind w:firstLine="720"/>
        <w:rPr>
          <w:rFonts w:ascii="Times New Roman" w:hAnsi="Times New Roman" w:cs="Times New Roman"/>
          <w:sz w:val="26"/>
          <w:szCs w:val="26"/>
        </w:rPr>
      </w:pPr>
    </w:p>
  </w:footnote>
  <w:footnote w:id="24">
    <w:p w:rsidR="00453F52" w:rsidRPr="00335A9B" w:rsidRDefault="00453F52">
      <w:pPr>
        <w:pStyle w:val="FootnoteText"/>
        <w:rPr>
          <w:szCs w:val="26"/>
        </w:rPr>
      </w:pPr>
      <w:r w:rsidRPr="00335A9B">
        <w:rPr>
          <w:rStyle w:val="FootnoteReference"/>
        </w:rPr>
        <w:footnoteRef/>
      </w:r>
      <w:r w:rsidRPr="00335A9B">
        <w:rPr>
          <w:szCs w:val="26"/>
        </w:rPr>
        <w:t xml:space="preserve"> NERC </w:t>
      </w:r>
      <w:r>
        <w:rPr>
          <w:szCs w:val="26"/>
        </w:rPr>
        <w:t xml:space="preserve">February 2013 </w:t>
      </w:r>
      <w:r w:rsidRPr="00335A9B">
        <w:rPr>
          <w:szCs w:val="26"/>
        </w:rPr>
        <w:t>Petition at 19.</w:t>
      </w:r>
    </w:p>
  </w:footnote>
  <w:footnote w:id="25">
    <w:p w:rsidR="00453F52" w:rsidRDefault="00453F52">
      <w:pPr>
        <w:pStyle w:val="FootnoteText"/>
      </w:pPr>
      <w:r>
        <w:rPr>
          <w:rStyle w:val="FootnoteReference"/>
        </w:rPr>
        <w:footnoteRef/>
      </w:r>
      <w:r>
        <w:t xml:space="preserve"> NERC’s February 2013 Petition at 11.</w:t>
      </w:r>
      <w:r w:rsidDel="00A6677B">
        <w:t xml:space="preserve"> </w:t>
      </w:r>
    </w:p>
  </w:footnote>
  <w:footnote w:id="26">
    <w:p w:rsidR="00453F52" w:rsidRDefault="00453F52">
      <w:pPr>
        <w:pStyle w:val="FootnoteText"/>
      </w:pPr>
      <w:r>
        <w:rPr>
          <w:rStyle w:val="FootnoteReference"/>
        </w:rPr>
        <w:footnoteRef/>
      </w:r>
      <w:r>
        <w:t xml:space="preserve"> </w:t>
      </w:r>
      <w:r w:rsidRPr="0012476A">
        <w:rPr>
          <w:i/>
          <w:szCs w:val="26"/>
        </w:rPr>
        <w:t>Transmission Planning Reliability Standards</w:t>
      </w:r>
      <w:r>
        <w:rPr>
          <w:szCs w:val="26"/>
        </w:rPr>
        <w:t xml:space="preserve">, Notice of Proposed Rulemaking, 143 FERC ¶ 61,136 (2013) (Supplemental NOPR). </w:t>
      </w:r>
    </w:p>
  </w:footnote>
  <w:footnote w:id="27">
    <w:p w:rsidR="00453F52" w:rsidRDefault="00453F52">
      <w:pPr>
        <w:pStyle w:val="FootnoteText"/>
      </w:pPr>
      <w:r>
        <w:rPr>
          <w:rStyle w:val="FootnoteReference"/>
        </w:rPr>
        <w:footnoteRef/>
      </w:r>
      <w:r>
        <w:t xml:space="preserve"> Supplemental NOPR, </w:t>
      </w:r>
      <w:r>
        <w:rPr>
          <w:szCs w:val="26"/>
        </w:rPr>
        <w:t xml:space="preserve">143 FERC ¶ 61,136 at P 18. </w:t>
      </w:r>
    </w:p>
  </w:footnote>
  <w:footnote w:id="28">
    <w:p w:rsidR="00453F52" w:rsidRDefault="00453F52">
      <w:pPr>
        <w:pStyle w:val="FootnoteText"/>
      </w:pPr>
      <w:r>
        <w:rPr>
          <w:rStyle w:val="FootnoteReference"/>
        </w:rPr>
        <w:footnoteRef/>
      </w:r>
      <w:r>
        <w:t xml:space="preserve"> </w:t>
      </w:r>
      <w:r w:rsidRPr="0012476A">
        <w:rPr>
          <w:i/>
        </w:rPr>
        <w:t>Id.</w:t>
      </w:r>
      <w:r>
        <w:t xml:space="preserve"> P 19. </w:t>
      </w:r>
    </w:p>
  </w:footnote>
  <w:footnote w:id="29">
    <w:p w:rsidR="00453F52" w:rsidRDefault="00453F52" w:rsidP="0012476A">
      <w:pPr>
        <w:pStyle w:val="FootnoteText"/>
      </w:pPr>
      <w:r>
        <w:rPr>
          <w:rStyle w:val="FootnoteReference"/>
        </w:rPr>
        <w:footnoteRef/>
      </w:r>
      <w:r>
        <w:t xml:space="preserve"> </w:t>
      </w:r>
      <w:r w:rsidRPr="0012476A">
        <w:rPr>
          <w:i/>
        </w:rPr>
        <w:t>Id.</w:t>
      </w:r>
      <w:r>
        <w:t xml:space="preserve"> P 20. </w:t>
      </w:r>
    </w:p>
  </w:footnote>
  <w:footnote w:id="30">
    <w:p w:rsidR="00453F52" w:rsidRDefault="00453F52" w:rsidP="00564CA9">
      <w:pPr>
        <w:pStyle w:val="FootnoteText"/>
        <w:rPr>
          <w:szCs w:val="26"/>
        </w:rPr>
      </w:pPr>
      <w:r>
        <w:rPr>
          <w:rStyle w:val="FootnoteReference"/>
        </w:rPr>
        <w:footnoteRef/>
      </w:r>
      <w:r>
        <w:rPr>
          <w:szCs w:val="26"/>
        </w:rPr>
        <w:t xml:space="preserve"> </w:t>
      </w:r>
      <w:r>
        <w:rPr>
          <w:i/>
          <w:szCs w:val="26"/>
        </w:rPr>
        <w:t>See</w:t>
      </w:r>
      <w:r>
        <w:rPr>
          <w:szCs w:val="26"/>
        </w:rPr>
        <w:t xml:space="preserve"> Order No. 693, FERC Stats. &amp; Regs. ¶ 31,242 at P 1792.</w:t>
      </w:r>
    </w:p>
  </w:footnote>
  <w:footnote w:id="31">
    <w:p w:rsidR="00453F52" w:rsidRDefault="00453F52" w:rsidP="00C851C5">
      <w:pPr>
        <w:widowControl/>
        <w:ind w:firstLine="720"/>
        <w:rPr>
          <w:i/>
          <w:iCs/>
          <w:szCs w:val="26"/>
        </w:rPr>
      </w:pPr>
      <w:r>
        <w:rPr>
          <w:rStyle w:val="FootnoteReference"/>
        </w:rPr>
        <w:footnoteRef/>
      </w:r>
      <w:r>
        <w:t xml:space="preserve"> </w:t>
      </w:r>
      <w:r>
        <w:rPr>
          <w:i/>
          <w:iCs/>
          <w:szCs w:val="26"/>
        </w:rPr>
        <w:t xml:space="preserve">See </w:t>
      </w:r>
      <w:r>
        <w:rPr>
          <w:szCs w:val="26"/>
        </w:rPr>
        <w:t xml:space="preserve">Order No. 693, FERC Stats. &amp; Regs. ¶ 31,242 at P 1792; </w:t>
      </w:r>
      <w:r>
        <w:rPr>
          <w:i/>
          <w:iCs/>
          <w:szCs w:val="26"/>
        </w:rPr>
        <w:t>Mandatory</w:t>
      </w:r>
    </w:p>
    <w:p w:rsidR="00453F52" w:rsidRDefault="00453F52" w:rsidP="00B60984">
      <w:pPr>
        <w:pStyle w:val="FootnoteText"/>
        <w:ind w:firstLine="0"/>
      </w:pPr>
      <w:r>
        <w:rPr>
          <w:i/>
          <w:iCs/>
          <w:szCs w:val="26"/>
        </w:rPr>
        <w:t>Reliability Standards for the Bulk Power System</w:t>
      </w:r>
      <w:r>
        <w:rPr>
          <w:szCs w:val="26"/>
        </w:rPr>
        <w:t>, 131 FERC ¶ 61,231 at P 21.</w:t>
      </w:r>
    </w:p>
  </w:footnote>
  <w:footnote w:id="32">
    <w:p w:rsidR="00453F52" w:rsidRDefault="00453F52">
      <w:pPr>
        <w:pStyle w:val="FootnoteText"/>
      </w:pPr>
      <w:r>
        <w:rPr>
          <w:rStyle w:val="FootnoteReference"/>
        </w:rPr>
        <w:footnoteRef/>
      </w:r>
      <w:r>
        <w:t xml:space="preserve"> Order No. 762, 139 FERC ¶ 61,060 at P 55.</w:t>
      </w:r>
    </w:p>
  </w:footnote>
  <w:footnote w:id="33">
    <w:p w:rsidR="00453F52" w:rsidRDefault="00453F52">
      <w:pPr>
        <w:pStyle w:val="FootnoteText"/>
      </w:pPr>
      <w:r>
        <w:rPr>
          <w:rStyle w:val="FootnoteReference"/>
        </w:rPr>
        <w:footnoteRef/>
      </w:r>
      <w:r>
        <w:t xml:space="preserve"> NERC’s Petition, Exhibit H, Consideration of Comments, </w:t>
      </w:r>
      <w:r w:rsidRPr="00453798">
        <w:t>period from July 31, 2012 through August 29, 2012 at 73.</w:t>
      </w:r>
    </w:p>
  </w:footnote>
  <w:footnote w:id="34">
    <w:p w:rsidR="00453F52" w:rsidRDefault="00453F52">
      <w:pPr>
        <w:pStyle w:val="FootnoteText"/>
      </w:pPr>
      <w:r>
        <w:rPr>
          <w:rStyle w:val="FootnoteReference"/>
        </w:rPr>
        <w:footnoteRef/>
      </w:r>
      <w:r>
        <w:t xml:space="preserve"> Proposed TPL-001-4 Reliability Standard, Attachment 1, section II, category 8: “Assessment of potential overlapping uses of footnote 12 including overlaps with adjacent Transmission Planners and Planning Coordinators.”</w:t>
      </w:r>
    </w:p>
  </w:footnote>
  <w:footnote w:id="35">
    <w:p w:rsidR="00453F52" w:rsidRDefault="00453F52">
      <w:pPr>
        <w:pStyle w:val="FootnoteText"/>
      </w:pPr>
      <w:r>
        <w:rPr>
          <w:rStyle w:val="FootnoteReference"/>
        </w:rPr>
        <w:footnoteRef/>
      </w:r>
      <w:r>
        <w:t xml:space="preserve"> NERC’s October 2011 Petition at 35.</w:t>
      </w:r>
    </w:p>
  </w:footnote>
  <w:footnote w:id="36">
    <w:p w:rsidR="00453F52" w:rsidRDefault="00453F52" w:rsidP="00A97CF3">
      <w:pPr>
        <w:pStyle w:val="FootnoteText"/>
      </w:pPr>
      <w:r>
        <w:rPr>
          <w:rStyle w:val="FootnoteReference"/>
        </w:rPr>
        <w:footnoteRef/>
      </w:r>
      <w:r>
        <w:t xml:space="preserve"> April 2012 </w:t>
      </w:r>
      <w:r w:rsidRPr="003B6D58">
        <w:t>NOPR</w:t>
      </w:r>
      <w:r>
        <w:t>, 139 FERC ¶ 61,059</w:t>
      </w:r>
      <w:r w:rsidRPr="003B6D58">
        <w:t xml:space="preserve"> at P 18</w:t>
      </w:r>
      <w:r w:rsidRPr="0069638C">
        <w:rPr>
          <w:b/>
        </w:rPr>
        <w:t>.</w:t>
      </w:r>
    </w:p>
  </w:footnote>
  <w:footnote w:id="37">
    <w:p w:rsidR="00453F52" w:rsidRDefault="00453F52" w:rsidP="00A97CF3">
      <w:pPr>
        <w:pStyle w:val="FootnoteText"/>
      </w:pPr>
      <w:r>
        <w:rPr>
          <w:rStyle w:val="FootnoteReference"/>
        </w:rPr>
        <w:footnoteRef/>
      </w:r>
      <w:r>
        <w:t xml:space="preserve"> Reliability Standard </w:t>
      </w:r>
      <w:r>
        <w:rPr>
          <w:szCs w:val="26"/>
        </w:rPr>
        <w:t>TPL-002-0, Requirement R1.3.12</w:t>
      </w:r>
      <w:r>
        <w:rPr>
          <w:sz w:val="22"/>
          <w:szCs w:val="22"/>
        </w:rPr>
        <w:t>.</w:t>
      </w:r>
    </w:p>
  </w:footnote>
  <w:footnote w:id="38">
    <w:p w:rsidR="00453F52" w:rsidRPr="003A7CB5" w:rsidRDefault="00453F52" w:rsidP="00FD558E">
      <w:pPr>
        <w:pStyle w:val="FootnoteText"/>
      </w:pPr>
      <w:r>
        <w:rPr>
          <w:rStyle w:val="FootnoteReference"/>
        </w:rPr>
        <w:footnoteRef/>
      </w:r>
      <w:r>
        <w:t xml:space="preserve"> Table 1 of the TPL Reliability Standard contains a series of planning events and describes system performance requirements and </w:t>
      </w:r>
      <w:r>
        <w:rPr>
          <w:szCs w:val="26"/>
        </w:rPr>
        <w:t>lists seven categories of contingency planning events, identified as P0 through P6.  P0 is the “No Contingency,” normal system condition.  Reliability Standard TPL-001-4, Table 1.</w:t>
      </w:r>
    </w:p>
    <w:p w:rsidR="00453F52" w:rsidRDefault="00453F52">
      <w:pPr>
        <w:pStyle w:val="FootnoteText"/>
      </w:pPr>
    </w:p>
  </w:footnote>
  <w:footnote w:id="39">
    <w:p w:rsidR="00453F52" w:rsidRPr="00F33965" w:rsidRDefault="00453F52" w:rsidP="00A97CF3">
      <w:pPr>
        <w:pStyle w:val="FootnoteText"/>
        <w:rPr>
          <w:b/>
        </w:rPr>
      </w:pPr>
      <w:r w:rsidRPr="00F33965">
        <w:rPr>
          <w:rStyle w:val="FootnoteReference"/>
          <w:b w:val="0"/>
        </w:rPr>
        <w:footnoteRef/>
      </w:r>
      <w:r w:rsidRPr="00F33965">
        <w:rPr>
          <w:b/>
        </w:rPr>
        <w:t xml:space="preserve"> </w:t>
      </w:r>
      <w:r w:rsidRPr="00DD1443">
        <w:t>ITC Companies Comments at 5.</w:t>
      </w:r>
    </w:p>
  </w:footnote>
  <w:footnote w:id="40">
    <w:p w:rsidR="00453F52" w:rsidRPr="0076511D" w:rsidRDefault="00453F52" w:rsidP="00A97CF3">
      <w:pPr>
        <w:pStyle w:val="FootnoteText"/>
        <w:rPr>
          <w:szCs w:val="26"/>
        </w:rPr>
      </w:pPr>
      <w:r>
        <w:rPr>
          <w:rStyle w:val="FootnoteReference"/>
        </w:rPr>
        <w:footnoteRef/>
      </w:r>
      <w:r>
        <w:t xml:space="preserve"> </w:t>
      </w:r>
      <w:r>
        <w:rPr>
          <w:i/>
          <w:szCs w:val="26"/>
        </w:rPr>
        <w:t>North American Electric Reliability Corp.</w:t>
      </w:r>
      <w:r>
        <w:rPr>
          <w:szCs w:val="26"/>
        </w:rPr>
        <w:t xml:space="preserve">, </w:t>
      </w:r>
      <w:r>
        <w:t xml:space="preserve">131 FERC ¶ 61,068, </w:t>
      </w:r>
      <w:r>
        <w:rPr>
          <w:szCs w:val="26"/>
        </w:rPr>
        <w:t>at P 39</w:t>
      </w:r>
      <w:r>
        <w:t xml:space="preserve"> (</w:t>
      </w:r>
      <w:r>
        <w:rPr>
          <w:szCs w:val="26"/>
        </w:rPr>
        <w:t>2010) (approving interpretation of Reliability Standards TPL-002-0 and TPL-003-0).</w:t>
      </w:r>
    </w:p>
  </w:footnote>
  <w:footnote w:id="41">
    <w:p w:rsidR="00453F52" w:rsidRDefault="00453F52" w:rsidP="00A97CF3">
      <w:pPr>
        <w:pStyle w:val="FootnoteText"/>
      </w:pPr>
      <w:r>
        <w:rPr>
          <w:rStyle w:val="FootnoteReference"/>
        </w:rPr>
        <w:footnoteRef/>
      </w:r>
      <w:r>
        <w:t xml:space="preserve"> </w:t>
      </w:r>
      <w:r w:rsidRPr="00335A9B">
        <w:rPr>
          <w:i/>
          <w:szCs w:val="26"/>
        </w:rPr>
        <w:t>Id.</w:t>
      </w:r>
      <w:r>
        <w:rPr>
          <w:i/>
          <w:szCs w:val="26"/>
        </w:rPr>
        <w:t xml:space="preserve"> </w:t>
      </w:r>
      <w:r w:rsidRPr="00335A9B">
        <w:rPr>
          <w:szCs w:val="26"/>
        </w:rPr>
        <w:t>P 3</w:t>
      </w:r>
      <w:r>
        <w:rPr>
          <w:szCs w:val="26"/>
        </w:rPr>
        <w:t>9</w:t>
      </w:r>
      <w:r w:rsidRPr="00335A9B">
        <w:rPr>
          <w:szCs w:val="26"/>
        </w:rPr>
        <w:t>.</w:t>
      </w:r>
    </w:p>
  </w:footnote>
  <w:footnote w:id="42">
    <w:p w:rsidR="00453F52" w:rsidRDefault="00453F52">
      <w:pPr>
        <w:pStyle w:val="FootnoteText"/>
      </w:pPr>
      <w:r>
        <w:rPr>
          <w:rStyle w:val="FootnoteReference"/>
        </w:rPr>
        <w:footnoteRef/>
      </w:r>
      <w:r>
        <w:t xml:space="preserve"> </w:t>
      </w:r>
      <w:r w:rsidRPr="004218D2">
        <w:rPr>
          <w:i/>
        </w:rPr>
        <w:t>See, e.g.</w:t>
      </w:r>
      <w:r>
        <w:t xml:space="preserve">, Commissioner-Led Reliability Technical Conference, Docket Nos. AD13-6-000, RC11-6-004, RR13-2-000, July 9, 2013, Volume I at 242. </w:t>
      </w:r>
    </w:p>
  </w:footnote>
  <w:footnote w:id="43">
    <w:p w:rsidR="00453F52" w:rsidRDefault="00453F52">
      <w:pPr>
        <w:pStyle w:val="FootnoteText"/>
      </w:pPr>
      <w:r>
        <w:rPr>
          <w:rStyle w:val="FootnoteReference"/>
        </w:rPr>
        <w:footnoteRef/>
      </w:r>
      <w:r>
        <w:t xml:space="preserve"> NERC October 2011 Petition at Exhibit C, Table 1. </w:t>
      </w:r>
    </w:p>
  </w:footnote>
  <w:footnote w:id="44">
    <w:p w:rsidR="00453F52" w:rsidRDefault="00453F52">
      <w:pPr>
        <w:pStyle w:val="FootnoteText"/>
      </w:pPr>
      <w:r>
        <w:rPr>
          <w:rStyle w:val="FootnoteReference"/>
        </w:rPr>
        <w:footnoteRef/>
      </w:r>
      <w:r>
        <w:t xml:space="preserve"> April 2012 NOPR, 139 FERC ¶ 61,059 at P 21.</w:t>
      </w:r>
    </w:p>
  </w:footnote>
  <w:footnote w:id="45">
    <w:p w:rsidR="00453F52" w:rsidRDefault="00453F52">
      <w:pPr>
        <w:pStyle w:val="FootnoteText"/>
      </w:pPr>
      <w:r>
        <w:rPr>
          <w:rStyle w:val="FootnoteReference"/>
        </w:rPr>
        <w:footnoteRef/>
      </w:r>
      <w:r>
        <w:t xml:space="preserve"> NERC Comments at 8.</w:t>
      </w:r>
    </w:p>
  </w:footnote>
  <w:footnote w:id="46">
    <w:p w:rsidR="00453F52" w:rsidRDefault="00453F52">
      <w:pPr>
        <w:pStyle w:val="FootnoteText"/>
      </w:pPr>
      <w:r>
        <w:rPr>
          <w:rStyle w:val="FootnoteReference"/>
        </w:rPr>
        <w:footnoteRef/>
      </w:r>
      <w:r>
        <w:t xml:space="preserve"> EEI Comments at 5. </w:t>
      </w:r>
    </w:p>
  </w:footnote>
  <w:footnote w:id="47">
    <w:p w:rsidR="00453F52" w:rsidRDefault="00453F52" w:rsidP="00B956A4">
      <w:pPr>
        <w:pStyle w:val="FootnoteText"/>
      </w:pPr>
      <w:r>
        <w:rPr>
          <w:rStyle w:val="FootnoteReference"/>
        </w:rPr>
        <w:footnoteRef/>
      </w:r>
      <w:r>
        <w:t xml:space="preserve"> NERC’s February 2013 Petition, Exhibit A, TPL-001-4, Requirement R1.</w:t>
      </w:r>
    </w:p>
  </w:footnote>
  <w:footnote w:id="48">
    <w:p w:rsidR="00453F52" w:rsidRDefault="00453F52" w:rsidP="00222588">
      <w:pPr>
        <w:pStyle w:val="FootnoteText"/>
      </w:pPr>
      <w:r>
        <w:rPr>
          <w:rStyle w:val="FootnoteReference"/>
        </w:rPr>
        <w:footnoteRef/>
      </w:r>
      <w:r>
        <w:t xml:space="preserve"> NERC’s February 2013 Petition, Exhibit A, TPL-001-4, Requirement R6 states “[e]ach Transmission Planner and Planning Coordinator shall define and document, within their Planning Assessment, the criteria or methodology used in the analysis to identify System instability for conditions such as Cascading, voltage instability, or uncontrolled islanding.”</w:t>
      </w:r>
    </w:p>
  </w:footnote>
  <w:footnote w:id="49">
    <w:p w:rsidR="00453F52" w:rsidRDefault="00453F52" w:rsidP="00C60279">
      <w:pPr>
        <w:pStyle w:val="FootnoteText"/>
        <w:spacing w:after="0"/>
      </w:pPr>
      <w:r>
        <w:rPr>
          <w:rStyle w:val="FootnoteReference"/>
        </w:rPr>
        <w:footnoteRef/>
      </w:r>
      <w:r>
        <w:t xml:space="preserve"> NERC’s October 2011 Petition, Exhibit C, at 110.  </w:t>
      </w:r>
    </w:p>
    <w:p w:rsidR="00453F52" w:rsidRDefault="00453F52" w:rsidP="00C60279">
      <w:pPr>
        <w:pStyle w:val="FootnoteText"/>
        <w:spacing w:after="0"/>
        <w:rPr>
          <w:rStyle w:val="FootnoteReference"/>
        </w:rPr>
      </w:pPr>
    </w:p>
  </w:footnote>
  <w:footnote w:id="50">
    <w:p w:rsidR="00453F52" w:rsidRDefault="00453F52" w:rsidP="00763C7B">
      <w:pPr>
        <w:pStyle w:val="FootnoteText"/>
      </w:pPr>
      <w:r>
        <w:rPr>
          <w:rStyle w:val="FootnoteReference"/>
        </w:rPr>
        <w:footnoteRef/>
      </w:r>
      <w:r>
        <w:t xml:space="preserve"> Proposed TPL-001-4 Reliability Standard, Requirement R6.</w:t>
      </w:r>
    </w:p>
  </w:footnote>
  <w:footnote w:id="51">
    <w:p w:rsidR="00453F52" w:rsidRDefault="00453F52" w:rsidP="00A97CF3">
      <w:pPr>
        <w:pStyle w:val="FootnoteText"/>
      </w:pPr>
      <w:r>
        <w:rPr>
          <w:rStyle w:val="FootnoteReference"/>
        </w:rPr>
        <w:footnoteRef/>
      </w:r>
      <w:r>
        <w:t xml:space="preserve"> </w:t>
      </w:r>
      <w:r>
        <w:rPr>
          <w:szCs w:val="26"/>
        </w:rPr>
        <w:t>NERC’s October 2011 Petition at 48.</w:t>
      </w:r>
    </w:p>
  </w:footnote>
  <w:footnote w:id="52">
    <w:p w:rsidR="00453F52" w:rsidRPr="0069638C" w:rsidRDefault="00453F52" w:rsidP="00A97CF3">
      <w:pPr>
        <w:pStyle w:val="FootnoteText"/>
        <w:rPr>
          <w:b/>
        </w:rPr>
      </w:pPr>
      <w:r>
        <w:rPr>
          <w:rStyle w:val="FootnoteReference"/>
        </w:rPr>
        <w:footnoteRef/>
      </w:r>
      <w:r>
        <w:t xml:space="preserve"> April 2012 </w:t>
      </w:r>
      <w:r w:rsidRPr="00BA1641">
        <w:t>NOPR</w:t>
      </w:r>
      <w:r>
        <w:t>, 139 FERC ¶ 61,059</w:t>
      </w:r>
      <w:r w:rsidRPr="00BA1641">
        <w:t xml:space="preserve"> at P 31</w:t>
      </w:r>
      <w:r w:rsidRPr="0069638C">
        <w:rPr>
          <w:b/>
        </w:rPr>
        <w:t>.</w:t>
      </w:r>
    </w:p>
  </w:footnote>
  <w:footnote w:id="53">
    <w:p w:rsidR="00453F52" w:rsidRDefault="00453F52" w:rsidP="00A97CF3">
      <w:pPr>
        <w:pStyle w:val="FootnoteText"/>
      </w:pPr>
      <w:r>
        <w:rPr>
          <w:rStyle w:val="FootnoteReference"/>
        </w:rPr>
        <w:footnoteRef/>
      </w:r>
      <w:r>
        <w:t xml:space="preserve"> NERC Comments at 10.  </w:t>
      </w:r>
    </w:p>
  </w:footnote>
  <w:footnote w:id="54">
    <w:p w:rsidR="00453F52" w:rsidRDefault="00453F52" w:rsidP="00DD59C3">
      <w:pPr>
        <w:widowControl/>
        <w:ind w:firstLine="720"/>
        <w:rPr>
          <w:szCs w:val="26"/>
        </w:rPr>
      </w:pPr>
      <w:r>
        <w:rPr>
          <w:rStyle w:val="FootnoteReference"/>
        </w:rPr>
        <w:footnoteRef/>
      </w:r>
      <w:r>
        <w:t xml:space="preserve"> </w:t>
      </w:r>
      <w:r>
        <w:rPr>
          <w:szCs w:val="26"/>
        </w:rPr>
        <w:t xml:space="preserve">NERC Petition For The Approval Of An </w:t>
      </w:r>
      <w:r w:rsidRPr="00CB7BDD">
        <w:rPr>
          <w:szCs w:val="26"/>
        </w:rPr>
        <w:t>I</w:t>
      </w:r>
      <w:r>
        <w:rPr>
          <w:szCs w:val="26"/>
        </w:rPr>
        <w:t>nterpretation To Reliability Standards</w:t>
      </w:r>
      <w:r w:rsidRPr="00CB7BDD">
        <w:rPr>
          <w:szCs w:val="26"/>
        </w:rPr>
        <w:t xml:space="preserve"> TPL-003-0a </w:t>
      </w:r>
      <w:r>
        <w:rPr>
          <w:szCs w:val="26"/>
        </w:rPr>
        <w:t xml:space="preserve">and </w:t>
      </w:r>
      <w:r w:rsidRPr="00CB7BDD">
        <w:rPr>
          <w:szCs w:val="26"/>
        </w:rPr>
        <w:t>TPL-004-0</w:t>
      </w:r>
      <w:r>
        <w:rPr>
          <w:szCs w:val="26"/>
        </w:rPr>
        <w:t xml:space="preserve">, </w:t>
      </w:r>
      <w:r w:rsidRPr="00CB7BDD">
        <w:rPr>
          <w:szCs w:val="26"/>
        </w:rPr>
        <w:t>April 12, 2013 at 13</w:t>
      </w:r>
      <w:r>
        <w:rPr>
          <w:szCs w:val="26"/>
        </w:rPr>
        <w:t xml:space="preserve">, Docket No. RD13-8-000, approved by unpublished letter order June 20, 3013.     </w:t>
      </w:r>
    </w:p>
    <w:p w:rsidR="00453F52" w:rsidRDefault="00453F52" w:rsidP="00DD59C3">
      <w:pPr>
        <w:widowControl/>
        <w:ind w:firstLine="720"/>
      </w:pPr>
    </w:p>
  </w:footnote>
  <w:footnote w:id="55">
    <w:p w:rsidR="00453F52" w:rsidRDefault="00453F52">
      <w:pPr>
        <w:pStyle w:val="FootnoteText"/>
      </w:pPr>
      <w:r>
        <w:rPr>
          <w:rStyle w:val="FootnoteReference"/>
        </w:rPr>
        <w:footnoteRef/>
      </w:r>
      <w:r>
        <w:t xml:space="preserve"> </w:t>
      </w:r>
      <w:r w:rsidRPr="007B4DD8">
        <w:t>March 15, 2012 NERC Informational Filing in Docket No. RM10-6-000 at 5, 7, stating that NERC has initiated a data request to evaluate potential exposure to types of protection system failures.</w:t>
      </w:r>
    </w:p>
  </w:footnote>
  <w:footnote w:id="56">
    <w:p w:rsidR="00453F52" w:rsidRDefault="00453F52" w:rsidP="00C60279">
      <w:pPr>
        <w:pStyle w:val="FootnoteText"/>
      </w:pPr>
      <w:r>
        <w:rPr>
          <w:rStyle w:val="FootnoteReference"/>
        </w:rPr>
        <w:footnoteRef/>
      </w:r>
      <w:r>
        <w:t xml:space="preserve"> NERC’s October 2011 Petition at 20.</w:t>
      </w:r>
    </w:p>
  </w:footnote>
  <w:footnote w:id="57">
    <w:p w:rsidR="00453F52" w:rsidRDefault="00453F52" w:rsidP="00C60279">
      <w:pPr>
        <w:pStyle w:val="FootnoteText"/>
      </w:pPr>
      <w:r>
        <w:rPr>
          <w:rStyle w:val="FootnoteReference"/>
        </w:rPr>
        <w:footnoteRef/>
      </w:r>
      <w:r>
        <w:t xml:space="preserve"> </w:t>
      </w:r>
      <w:r>
        <w:rPr>
          <w:i/>
        </w:rPr>
        <w:t>Id.</w:t>
      </w:r>
      <w:r>
        <w:t xml:space="preserve"> </w:t>
      </w:r>
    </w:p>
  </w:footnote>
  <w:footnote w:id="58">
    <w:p w:rsidR="00453F52" w:rsidRDefault="00453F52">
      <w:pPr>
        <w:pStyle w:val="FootnoteText"/>
      </w:pPr>
      <w:r>
        <w:rPr>
          <w:rStyle w:val="FootnoteReference"/>
        </w:rPr>
        <w:footnoteRef/>
      </w:r>
      <w:r>
        <w:t xml:space="preserve"> NERC Comments at 11. </w:t>
      </w:r>
    </w:p>
  </w:footnote>
  <w:footnote w:id="59">
    <w:p w:rsidR="00453F52" w:rsidRDefault="00453F52">
      <w:pPr>
        <w:pStyle w:val="FootnoteText"/>
      </w:pPr>
      <w:r>
        <w:rPr>
          <w:rStyle w:val="FootnoteReference"/>
        </w:rPr>
        <w:footnoteRef/>
      </w:r>
      <w:r>
        <w:t xml:space="preserve"> April 2012 NOPR, 139 FERC ¶ 61,059 at P 38.</w:t>
      </w:r>
    </w:p>
  </w:footnote>
  <w:footnote w:id="60">
    <w:p w:rsidR="00453F52" w:rsidRDefault="00453F52">
      <w:pPr>
        <w:pStyle w:val="FootnoteText"/>
      </w:pPr>
      <w:r>
        <w:rPr>
          <w:rStyle w:val="FootnoteReference"/>
        </w:rPr>
        <w:footnoteRef/>
      </w:r>
      <w:r>
        <w:t xml:space="preserve"> April 2012 NOPR, 139 FERC ¶ 61,059 at PP 39-54.</w:t>
      </w:r>
    </w:p>
  </w:footnote>
  <w:footnote w:id="61">
    <w:p w:rsidR="00453F52" w:rsidRDefault="00453F52">
      <w:pPr>
        <w:pStyle w:val="FootnoteText"/>
      </w:pPr>
      <w:r>
        <w:rPr>
          <w:rStyle w:val="FootnoteReference"/>
        </w:rPr>
        <w:footnoteRef/>
      </w:r>
      <w:r>
        <w:t xml:space="preserve"> Order No. 693, FERC Stats. &amp; Regs. ¶ 31,242 at P 1750.</w:t>
      </w:r>
    </w:p>
  </w:footnote>
  <w:footnote w:id="62">
    <w:p w:rsidR="00453F52" w:rsidRDefault="00453F52" w:rsidP="00E761C5">
      <w:pPr>
        <w:pStyle w:val="FootnoteText"/>
        <w:spacing w:after="0"/>
      </w:pPr>
      <w:r>
        <w:rPr>
          <w:rStyle w:val="FootnoteReference"/>
        </w:rPr>
        <w:footnoteRef/>
      </w:r>
      <w:r>
        <w:t xml:space="preserve"> NERC’s October 2011 Petition at 21.</w:t>
      </w:r>
    </w:p>
    <w:p w:rsidR="00453F52" w:rsidRDefault="00453F52" w:rsidP="00E761C5">
      <w:pPr>
        <w:pStyle w:val="FootnoteText"/>
        <w:spacing w:after="0"/>
      </w:pPr>
      <w:r>
        <w:t xml:space="preserve">  </w:t>
      </w:r>
    </w:p>
  </w:footnote>
  <w:footnote w:id="63">
    <w:p w:rsidR="00453F52" w:rsidRDefault="00453F52" w:rsidP="004D0157">
      <w:pPr>
        <w:pStyle w:val="FootnoteText"/>
      </w:pPr>
      <w:r>
        <w:rPr>
          <w:rStyle w:val="FootnoteReference"/>
        </w:rPr>
        <w:footnoteRef/>
      </w:r>
      <w:r>
        <w:t xml:space="preserve"> Because neighboring systems may be adversely impacted by other systems, such systems should be involved early in determining and reviewing conditions and contingencies in planning assessments.  Order No. 693,</w:t>
      </w:r>
      <w:r w:rsidRPr="001C17DA">
        <w:t xml:space="preserve"> </w:t>
      </w:r>
      <w:r>
        <w:t xml:space="preserve">FERC Stats. &amp; Regs. ¶ 31,242 at PP 1750, 1754.  </w:t>
      </w:r>
    </w:p>
  </w:footnote>
  <w:footnote w:id="64">
    <w:p w:rsidR="00453F52" w:rsidRDefault="00453F52" w:rsidP="00E761C5">
      <w:pPr>
        <w:pStyle w:val="FootnoteText"/>
      </w:pPr>
      <w:r>
        <w:rPr>
          <w:rStyle w:val="FootnoteReference"/>
        </w:rPr>
        <w:footnoteRef/>
      </w:r>
      <w:r>
        <w:t xml:space="preserve"> Order No. 693, FERC Stats. &amp; Regs. ¶ 31,242 at P 1754: “</w:t>
      </w:r>
      <w:r w:rsidRPr="004179B3">
        <w:t>Given that neighboring systems</w:t>
      </w:r>
      <w:r>
        <w:t xml:space="preserve"> </w:t>
      </w:r>
      <w:r w:rsidRPr="004179B3">
        <w:t>assessments by o</w:t>
      </w:r>
      <w:r>
        <w:t xml:space="preserve">ne entity may identify possible </w:t>
      </w:r>
      <w:r w:rsidRPr="004179B3">
        <w:t>interdependant or adverse impacts on its</w:t>
      </w:r>
      <w:r>
        <w:t xml:space="preserve"> </w:t>
      </w:r>
      <w:r w:rsidRPr="004179B3">
        <w:t>neighboring systems, this peer review will provide an early opportunity to provide input</w:t>
      </w:r>
      <w:r>
        <w:t xml:space="preserve"> </w:t>
      </w:r>
      <w:r w:rsidRPr="004179B3">
        <w:t>and coordinate plans.</w:t>
      </w:r>
      <w:r>
        <w:t>”</w:t>
      </w:r>
    </w:p>
  </w:footnote>
  <w:footnote w:id="65">
    <w:p w:rsidR="00453F52" w:rsidRDefault="00453F52" w:rsidP="00AC22F9">
      <w:pPr>
        <w:pStyle w:val="FootnoteText"/>
      </w:pPr>
      <w:r>
        <w:rPr>
          <w:rStyle w:val="FootnoteReference"/>
        </w:rPr>
        <w:footnoteRef/>
      </w:r>
      <w:r>
        <w:t xml:space="preserve"> </w:t>
      </w:r>
      <w:r>
        <w:rPr>
          <w:szCs w:val="26"/>
        </w:rPr>
        <w:t>Order No. 693</w:t>
      </w:r>
      <w:r>
        <w:t xml:space="preserve">, FERC Stats. &amp; Regs. ¶ 31,242 at </w:t>
      </w:r>
      <w:r>
        <w:rPr>
          <w:szCs w:val="26"/>
        </w:rPr>
        <w:t>P 1786.</w:t>
      </w:r>
    </w:p>
  </w:footnote>
  <w:footnote w:id="66">
    <w:p w:rsidR="00453F52" w:rsidRDefault="00453F52">
      <w:pPr>
        <w:pStyle w:val="FootnoteText"/>
      </w:pPr>
      <w:r>
        <w:rPr>
          <w:rStyle w:val="FootnoteReference"/>
        </w:rPr>
        <w:footnoteRef/>
      </w:r>
      <w:r>
        <w:t xml:space="preserve"> Order No. 693</w:t>
      </w:r>
      <w:r w:rsidR="004E53D5">
        <w:t>,</w:t>
      </w:r>
      <w:r w:rsidR="004E53D5" w:rsidRPr="004E53D5">
        <w:t xml:space="preserve"> </w:t>
      </w:r>
      <w:r w:rsidR="004E53D5">
        <w:t>FERC Stats. &amp; Regs. ¶ 31,242</w:t>
      </w:r>
      <w:r>
        <w:t xml:space="preserve"> at P 1834.</w:t>
      </w:r>
    </w:p>
  </w:footnote>
  <w:footnote w:id="67">
    <w:p w:rsidR="00453F52" w:rsidRDefault="00453F52" w:rsidP="00957A92">
      <w:pPr>
        <w:pStyle w:val="FootnoteText"/>
        <w:spacing w:after="0"/>
      </w:pPr>
      <w:r>
        <w:rPr>
          <w:rStyle w:val="FootnoteReference"/>
        </w:rPr>
        <w:footnoteRef/>
      </w:r>
      <w:r>
        <w:t xml:space="preserve"> April 2012 NOPR</w:t>
      </w:r>
      <w:r w:rsidR="004E53D5">
        <w:t xml:space="preserve">, 139 </w:t>
      </w:r>
      <w:r w:rsidR="004E53D5">
        <w:t>FERC</w:t>
      </w:r>
      <w:r w:rsidR="004E53D5">
        <w:t xml:space="preserve"> </w:t>
      </w:r>
      <w:r w:rsidR="004E53D5">
        <w:t>¶</w:t>
      </w:r>
      <w:r>
        <w:t xml:space="preserve"> </w:t>
      </w:r>
      <w:r w:rsidR="004E53D5">
        <w:t xml:space="preserve">61,059 </w:t>
      </w:r>
      <w:r>
        <w:t>at P 48.</w:t>
      </w:r>
    </w:p>
  </w:footnote>
  <w:footnote w:id="68">
    <w:p w:rsidR="00453F52" w:rsidRDefault="00453F52" w:rsidP="00957A92">
      <w:pPr>
        <w:pStyle w:val="FootnoteText"/>
      </w:pPr>
      <w:r>
        <w:rPr>
          <w:rStyle w:val="FootnoteReference"/>
        </w:rPr>
        <w:footnoteRef/>
      </w:r>
      <w:r>
        <w:t xml:space="preserve"> EEI Comments at 14-15.</w:t>
      </w:r>
    </w:p>
  </w:footnote>
  <w:footnote w:id="69">
    <w:p w:rsidR="00453F52" w:rsidRDefault="00453F52" w:rsidP="00C413AC">
      <w:pPr>
        <w:pStyle w:val="FootnoteText"/>
      </w:pPr>
      <w:r>
        <w:rPr>
          <w:rStyle w:val="FootnoteReference"/>
        </w:rPr>
        <w:footnoteRef/>
      </w:r>
      <w:r>
        <w:rPr>
          <w:rStyle w:val="FootnoteReference"/>
        </w:rPr>
        <w:t xml:space="preserve"> </w:t>
      </w:r>
      <w:r>
        <w:t>Order No. 693, FERC Stats. &amp; Regs. ¶ 31,242 at P 1770.</w:t>
      </w:r>
    </w:p>
  </w:footnote>
  <w:footnote w:id="70">
    <w:p w:rsidR="00453F52" w:rsidRDefault="00453F52" w:rsidP="00C413AC">
      <w:pPr>
        <w:pStyle w:val="FootnoteText"/>
      </w:pPr>
      <w:r>
        <w:rPr>
          <w:rStyle w:val="FootnoteReference"/>
        </w:rPr>
        <w:footnoteRef/>
      </w:r>
      <w:r>
        <w:t xml:space="preserve"> </w:t>
      </w:r>
      <w:r w:rsidRPr="007418B9">
        <w:rPr>
          <w:i/>
        </w:rPr>
        <w:t>See also</w:t>
      </w:r>
      <w:r>
        <w:t xml:space="preserve"> BPA Comments at 5, EEI Comments at 15 and ISO/RTOs Comments at 11.  </w:t>
      </w:r>
    </w:p>
  </w:footnote>
  <w:footnote w:id="71">
    <w:p w:rsidR="00453F52" w:rsidRDefault="00453F52">
      <w:pPr>
        <w:pStyle w:val="FootnoteText"/>
      </w:pPr>
      <w:r>
        <w:rPr>
          <w:rStyle w:val="FootnoteReference"/>
        </w:rPr>
        <w:footnoteRef/>
      </w:r>
      <w:r>
        <w:t xml:space="preserve"> </w:t>
      </w:r>
      <w:r w:rsidRPr="007418B9">
        <w:rPr>
          <w:i/>
        </w:rPr>
        <w:t xml:space="preserve">See </w:t>
      </w:r>
      <w:r>
        <w:t>NERC Comments at 16 and EEI Comments at 15.</w:t>
      </w:r>
    </w:p>
  </w:footnote>
  <w:footnote w:id="72">
    <w:p w:rsidR="00453F52" w:rsidRDefault="00453F52" w:rsidP="00C413AC">
      <w:pPr>
        <w:pStyle w:val="FootnoteText"/>
      </w:pPr>
      <w:r>
        <w:rPr>
          <w:rStyle w:val="FootnoteReference"/>
        </w:rPr>
        <w:footnoteRef/>
      </w:r>
      <w:r>
        <w:t xml:space="preserve"> In “Order Approving Reliability Standard” issued November 17, 2011 (Docket No. RD11-10-000), the Commission approved FAC-008-3 Reliability Standard and the retirement of FAC-008-1 and FAC-009-1 Reliability Standards. </w:t>
      </w:r>
    </w:p>
  </w:footnote>
  <w:footnote w:id="73">
    <w:p w:rsidR="00453F52" w:rsidRDefault="00453F52" w:rsidP="00C3776D">
      <w:r>
        <w:rPr>
          <w:rStyle w:val="FootnoteReference"/>
        </w:rPr>
        <w:footnoteRef/>
      </w:r>
      <w:r>
        <w:t xml:space="preserve"> NERC Petition, Consideration of Comments on Assess Transmission Future Needs and Develop Transmission Plans — Project 2006-02, draft 6, pp. 78-79.</w:t>
      </w:r>
    </w:p>
    <w:p w:rsidR="00453F52" w:rsidRDefault="00453F52" w:rsidP="00C3776D"/>
  </w:footnote>
  <w:footnote w:id="74">
    <w:p w:rsidR="00453F52" w:rsidRDefault="00453F52" w:rsidP="009863F2">
      <w:pPr>
        <w:pStyle w:val="FootnoteText"/>
      </w:pPr>
      <w:r>
        <w:rPr>
          <w:b/>
          <w:vertAlign w:val="superscript"/>
        </w:rPr>
        <w:footnoteRef/>
      </w:r>
      <w:r>
        <w:t xml:space="preserve"> 5 CFR 1320.11.</w:t>
      </w:r>
    </w:p>
  </w:footnote>
  <w:footnote w:id="75">
    <w:p w:rsidR="00453F52" w:rsidRPr="00335A9B" w:rsidRDefault="00453F52">
      <w:pPr>
        <w:pStyle w:val="FootnoteText"/>
        <w:rPr>
          <w:szCs w:val="26"/>
        </w:rPr>
      </w:pPr>
      <w:r w:rsidRPr="00335A9B">
        <w:rPr>
          <w:rStyle w:val="FootnoteReference"/>
        </w:rPr>
        <w:footnoteRef/>
      </w:r>
      <w:r w:rsidRPr="00335A9B">
        <w:rPr>
          <w:szCs w:val="26"/>
        </w:rPr>
        <w:t xml:space="preserve"> Each requirement identifies a reliability improvement by proposed Reliability Standard TPL-001-4. </w:t>
      </w:r>
    </w:p>
  </w:footnote>
  <w:footnote w:id="76">
    <w:p w:rsidR="00453F52" w:rsidRPr="00335A9B" w:rsidRDefault="00453F52" w:rsidP="004069EF">
      <w:pPr>
        <w:pStyle w:val="FootnoteText"/>
        <w:rPr>
          <w:szCs w:val="26"/>
        </w:rPr>
      </w:pPr>
      <w:r w:rsidRPr="00335A9B">
        <w:rPr>
          <w:rStyle w:val="FootnoteReference"/>
        </w:rPr>
        <w:footnoteRef/>
      </w:r>
      <w:r w:rsidRPr="00335A9B">
        <w:rPr>
          <w:szCs w:val="26"/>
        </w:rPr>
        <w:t xml:space="preserve"> NERC registered transmission planners and planning coordinators responsible for the improved requirement.  Further, if a single entity is registered as both a transmission planner and planning coordinator, that entity is counted as one unique entity.</w:t>
      </w:r>
    </w:p>
  </w:footnote>
  <w:footnote w:id="77">
    <w:p w:rsidR="00453F52" w:rsidRPr="00335A9B" w:rsidRDefault="00453F52">
      <w:pPr>
        <w:pStyle w:val="FootnoteText"/>
        <w:rPr>
          <w:szCs w:val="26"/>
        </w:rPr>
      </w:pPr>
      <w:r w:rsidRPr="00335A9B">
        <w:rPr>
          <w:rStyle w:val="FootnoteReference"/>
        </w:rPr>
        <w:footnoteRef/>
      </w:r>
      <w:r w:rsidRPr="00335A9B">
        <w:rPr>
          <w:szCs w:val="26"/>
        </w:rPr>
        <w:t xml:space="preserve"> The Commission estimates a reduction in burden hours from year 1 to year 2 because year 1 represents a portion of one-time tasks not repeated in subsequent years.</w:t>
      </w:r>
    </w:p>
  </w:footnote>
  <w:footnote w:id="78">
    <w:p w:rsidR="00453F52" w:rsidRPr="00335A9B" w:rsidRDefault="00453F52" w:rsidP="004069EF">
      <w:pPr>
        <w:pStyle w:val="FootnoteText"/>
        <w:rPr>
          <w:szCs w:val="26"/>
        </w:rPr>
      </w:pPr>
      <w:r w:rsidRPr="00335A9B">
        <w:rPr>
          <w:rStyle w:val="FootnoteReference"/>
        </w:rPr>
        <w:footnoteRef/>
      </w:r>
      <w:r w:rsidRPr="00335A9B">
        <w:rPr>
          <w:szCs w:val="26"/>
        </w:rPr>
        <w:t xml:space="preserve"> The Commission estimates a reduction in burden hours from year 2 to year 3 because year 2 represents a portion of one-time tasks not repeated in subsequent years.</w:t>
      </w:r>
    </w:p>
  </w:footnote>
  <w:footnote w:id="79">
    <w:p w:rsidR="00453F52" w:rsidRDefault="00453F52" w:rsidP="00596DC0">
      <w:pPr>
        <w:ind w:firstLine="720"/>
        <w:rPr>
          <w:rFonts w:ascii="Arial" w:hAnsi="Arial" w:cs="Arial"/>
          <w:sz w:val="20"/>
          <w:szCs w:val="20"/>
        </w:rPr>
      </w:pPr>
      <w:r>
        <w:rPr>
          <w:rStyle w:val="FootnoteReference"/>
        </w:rPr>
        <w:footnoteRef/>
      </w:r>
      <w:r>
        <w:t xml:space="preserve"> </w:t>
      </w:r>
      <w:r w:rsidRPr="00596DC0">
        <w:rPr>
          <w:szCs w:val="26"/>
        </w:rPr>
        <w:t xml:space="preserve">Labor rates from Bureau of Labor Statistics (BLS) (http://bls.gov/oes/current/naics2_22.htm).  Loaded costs are BLS rates divided by 0.703 and rounded to the nearest dollar </w:t>
      </w:r>
      <w:r>
        <w:rPr>
          <w:szCs w:val="26"/>
        </w:rPr>
        <w:t>(</w:t>
      </w:r>
      <w:r w:rsidRPr="00596DC0">
        <w:rPr>
          <w:szCs w:val="26"/>
        </w:rPr>
        <w:t>http://www.bls.gov/news.release/ecec.nr0.htm).</w:t>
      </w:r>
    </w:p>
    <w:p w:rsidR="00453F52" w:rsidRDefault="00453F52">
      <w:pPr>
        <w:pStyle w:val="FootnoteText"/>
      </w:pPr>
    </w:p>
  </w:footnote>
  <w:footnote w:id="80">
    <w:p w:rsidR="00453F52" w:rsidRDefault="00453F52">
      <w:pPr>
        <w:pStyle w:val="FootnoteText"/>
      </w:pPr>
      <w:r>
        <w:rPr>
          <w:rStyle w:val="FootnoteReference"/>
        </w:rPr>
        <w:footnoteRef/>
      </w:r>
      <w:r>
        <w:t xml:space="preserve"> </w:t>
      </w:r>
      <w:r>
        <w:rPr>
          <w:szCs w:val="26"/>
        </w:rPr>
        <w:t xml:space="preserve">The Supplemental NOPR used the identifier FERC-725A (OMB Control No. 1902-0244). </w:t>
      </w:r>
      <w:r w:rsidR="00625E09">
        <w:rPr>
          <w:szCs w:val="26"/>
        </w:rPr>
        <w:t xml:space="preserve"> </w:t>
      </w:r>
      <w:r>
        <w:rPr>
          <w:szCs w:val="26"/>
        </w:rPr>
        <w:t>However, for administrative purposes and to submit the information collection requirements to OMB timely, the requirements were labeled FERC-725N (OMB Control No. 1902-0264) in the submittal to OMB associated with the NOPR. We are using FERC-725N in this Final Rule and in the associated submittal to OMB.</w:t>
      </w:r>
    </w:p>
  </w:footnote>
  <w:footnote w:id="81">
    <w:p w:rsidR="00453F52" w:rsidRPr="00335A9B" w:rsidRDefault="00453F52" w:rsidP="004069EF">
      <w:pPr>
        <w:spacing w:before="120" w:after="120"/>
        <w:ind w:firstLine="720"/>
        <w:rPr>
          <w:szCs w:val="26"/>
        </w:rPr>
      </w:pPr>
      <w:r w:rsidRPr="00335A9B">
        <w:rPr>
          <w:rStyle w:val="FootnoteReference"/>
        </w:rPr>
        <w:footnoteRef/>
      </w:r>
      <w:r w:rsidRPr="00335A9B">
        <w:rPr>
          <w:szCs w:val="26"/>
        </w:rPr>
        <w:t xml:space="preserve"> </w:t>
      </w:r>
      <w:r w:rsidRPr="006424F1">
        <w:rPr>
          <w:i/>
          <w:szCs w:val="26"/>
        </w:rPr>
        <w:t>Regulations Implementing the National Environmental Policy Act</w:t>
      </w:r>
      <w:r>
        <w:rPr>
          <w:i/>
          <w:szCs w:val="26"/>
        </w:rPr>
        <w:t xml:space="preserve"> of 1969</w:t>
      </w:r>
      <w:r w:rsidRPr="00335A9B">
        <w:rPr>
          <w:szCs w:val="26"/>
        </w:rPr>
        <w:t>, Order No. 486, FERC Stats. &amp; Regs. ¶ 30,783 (1987).</w:t>
      </w:r>
    </w:p>
  </w:footnote>
  <w:footnote w:id="82">
    <w:p w:rsidR="00453F52" w:rsidRPr="00335A9B" w:rsidRDefault="00453F52" w:rsidP="004069EF">
      <w:pPr>
        <w:pStyle w:val="FootnoteText"/>
        <w:spacing w:before="120" w:after="120"/>
        <w:rPr>
          <w:szCs w:val="26"/>
        </w:rPr>
      </w:pPr>
      <w:r w:rsidRPr="00335A9B">
        <w:rPr>
          <w:rStyle w:val="FootnoteReference"/>
        </w:rPr>
        <w:footnoteRef/>
      </w:r>
      <w:r w:rsidRPr="00335A9B">
        <w:rPr>
          <w:szCs w:val="26"/>
        </w:rPr>
        <w:t xml:space="preserve"> </w:t>
      </w:r>
      <w:r>
        <w:rPr>
          <w:szCs w:val="26"/>
        </w:rPr>
        <w:t xml:space="preserve"> </w:t>
      </w:r>
      <w:r w:rsidRPr="00335A9B">
        <w:rPr>
          <w:szCs w:val="26"/>
        </w:rPr>
        <w:t>18 CFR 380.4(a)(2)(ii).</w:t>
      </w:r>
    </w:p>
  </w:footnote>
  <w:footnote w:id="83">
    <w:p w:rsidR="00453F52" w:rsidRPr="00335A9B" w:rsidRDefault="00453F52" w:rsidP="004069EF">
      <w:pPr>
        <w:pStyle w:val="FootnoteText"/>
        <w:spacing w:before="120" w:after="120"/>
        <w:rPr>
          <w:szCs w:val="26"/>
        </w:rPr>
      </w:pPr>
      <w:r w:rsidRPr="00335A9B">
        <w:rPr>
          <w:rStyle w:val="FootnoteReference"/>
        </w:rPr>
        <w:footnoteRef/>
      </w:r>
      <w:r w:rsidRPr="00335A9B">
        <w:rPr>
          <w:szCs w:val="26"/>
        </w:rPr>
        <w:t xml:space="preserve"> </w:t>
      </w:r>
      <w:r>
        <w:rPr>
          <w:szCs w:val="26"/>
        </w:rPr>
        <w:t xml:space="preserve"> </w:t>
      </w:r>
      <w:r w:rsidRPr="00335A9B">
        <w:rPr>
          <w:szCs w:val="26"/>
        </w:rPr>
        <w:t>5 U.S.C. 601-12.</w:t>
      </w:r>
    </w:p>
  </w:footnote>
  <w:footnote w:id="84">
    <w:p w:rsidR="00453F52" w:rsidRDefault="00453F52" w:rsidP="00E0459C">
      <w:pPr>
        <w:pStyle w:val="FootnoteText"/>
      </w:pPr>
      <w:r>
        <w:rPr>
          <w:rStyle w:val="FootnoteReference"/>
        </w:rPr>
        <w:footnoteRef/>
      </w:r>
      <w:r>
        <w:t xml:space="preserve">  </w:t>
      </w:r>
      <w:r w:rsidRPr="004F0CDB">
        <w:t>13 CFR 121.</w:t>
      </w:r>
      <w:r>
        <w:t>1</w:t>
      </w:r>
      <w:r w:rsidRPr="004F0CDB">
        <w:t>01</w:t>
      </w:r>
      <w:r>
        <w:t>.</w:t>
      </w:r>
    </w:p>
  </w:footnote>
  <w:footnote w:id="85">
    <w:p w:rsidR="00453F52" w:rsidRDefault="00453F52">
      <w:pPr>
        <w:pStyle w:val="FootnoteText"/>
      </w:pPr>
      <w:r>
        <w:rPr>
          <w:rStyle w:val="FootnoteReference"/>
        </w:rPr>
        <w:footnoteRef/>
      </w:r>
      <w:r>
        <w:t xml:space="preserve">  13 CFR 121.201, Sector 22, Utilities &amp; n.1.  </w:t>
      </w:r>
    </w:p>
  </w:footnote>
  <w:footnote w:id="86">
    <w:p w:rsidR="00453F52" w:rsidRDefault="00453F52" w:rsidP="00964613">
      <w:pPr>
        <w:pStyle w:val="FootnoteText"/>
      </w:pPr>
      <w:r>
        <w:rPr>
          <w:rStyle w:val="FootnoteReference"/>
        </w:rPr>
        <w:footnoteRef/>
      </w:r>
      <w:r>
        <w:t xml:space="preserve"> The increase in Year 2 costs include a portion of year 1 recurring costs plus the implementation of the remaining improved requirements that become effective on the first day of the first calendar quarter, 24 months after applicable regulatory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52" w:rsidRDefault="00453F52" w:rsidP="008D36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53F52" w:rsidRDefault="00453F52" w:rsidP="008D36C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52" w:rsidRDefault="00453F52">
    <w:pPr>
      <w:pStyle w:val="Header"/>
    </w:pPr>
    <w:r>
      <w:t>Docket Nos. RM12-1-000 and RM13-9-000</w:t>
    </w:r>
    <w:r>
      <w:tab/>
    </w:r>
    <w:r>
      <w:fldChar w:fldCharType="begin"/>
    </w:r>
    <w:r>
      <w:instrText xml:space="preserve"> PAGE  \* MERGEFORMAT </w:instrText>
    </w:r>
    <w:r>
      <w:fldChar w:fldCharType="separate"/>
    </w:r>
    <w:r w:rsidR="00843A0C">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52" w:rsidRDefault="00453F52" w:rsidP="00B30F59">
    <w:pPr>
      <w:pStyle w:val="Header"/>
    </w:pPr>
    <w:r>
      <w:t xml:space="preserve">Docket Nos. RM12-1-000 and RM13-9-000 </w:t>
    </w:r>
    <w:r>
      <w:tab/>
    </w:r>
    <w:r>
      <w:fldChar w:fldCharType="begin"/>
    </w:r>
    <w:r>
      <w:instrText xml:space="preserve"> PAGE   \* MERGEFORMAT </w:instrText>
    </w:r>
    <w:r>
      <w:fldChar w:fldCharType="separate"/>
    </w:r>
    <w:r w:rsidR="00843A0C">
      <w:rPr>
        <w:noProof/>
      </w:rPr>
      <w:t>74</w:t>
    </w:r>
    <w:r>
      <w:rPr>
        <w:noProof/>
      </w:rPr>
      <w:fldChar w:fldCharType="end"/>
    </w:r>
  </w:p>
  <w:p w:rsidR="00453F52" w:rsidRDefault="00453F52" w:rsidP="005133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52" w:rsidRPr="00CF27AC" w:rsidRDefault="00453F52" w:rsidP="00CF2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2B4B8B"/>
    <w:multiLevelType w:val="hybridMultilevel"/>
    <w:tmpl w:val="F51A88CE"/>
    <w:lvl w:ilvl="0" w:tplc="F3FA579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nsid w:val="1555133B"/>
    <w:multiLevelType w:val="hybridMultilevel"/>
    <w:tmpl w:val="0DC23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4">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4E4DD3"/>
    <w:multiLevelType w:val="hybridMultilevel"/>
    <w:tmpl w:val="986E3396"/>
    <w:lvl w:ilvl="0" w:tplc="74B0FED0">
      <w:start w:val="1"/>
      <w:numFmt w:val="decimal"/>
      <w:pStyle w:val="FERCparanumber"/>
      <w:lvlText w:val="%1."/>
      <w:lvlJc w:val="left"/>
      <w:pPr>
        <w:tabs>
          <w:tab w:val="num" w:pos="720"/>
        </w:tabs>
        <w:ind w:left="0" w:firstLine="0"/>
      </w:pPr>
      <w:rPr>
        <w:rFonts w:hint="default"/>
        <w:b w:val="0"/>
        <w:color w:val="auto"/>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6"/>
  </w:num>
  <w:num w:numId="15">
    <w:abstractNumId w:val="16"/>
    <w:lvlOverride w:ilvl="0">
      <w:startOverride w:val="1"/>
    </w:lvlOverride>
  </w:num>
  <w:num w:numId="16">
    <w:abstractNumId w:val="12"/>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0"/>
  </w:num>
  <w:num w:numId="30">
    <w:abstractNumId w:val="16"/>
  </w:num>
  <w:num w:numId="31">
    <w:abstractNumId w:val="16"/>
  </w:num>
  <w:num w:numId="32">
    <w:abstractNumId w:val="16"/>
  </w:num>
  <w:num w:numId="33">
    <w:abstractNumId w:val="16"/>
  </w:num>
  <w:num w:numId="34">
    <w:abstractNumId w:val="13"/>
  </w:num>
  <w:num w:numId="35">
    <w:abstractNumId w:val="16"/>
  </w:num>
  <w:num w:numId="36">
    <w:abstractNumId w:val="16"/>
  </w:num>
  <w:num w:numId="37">
    <w:abstractNumId w:val="1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3"/>
  </w:num>
  <w:num w:numId="48">
    <w:abstractNumId w:val="13"/>
  </w:num>
  <w:num w:numId="49">
    <w:abstractNumId w:val="15"/>
  </w:num>
  <w:num w:numId="5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AE"/>
    <w:rsid w:val="00000FB5"/>
    <w:rsid w:val="000010EB"/>
    <w:rsid w:val="000011AD"/>
    <w:rsid w:val="00001DFC"/>
    <w:rsid w:val="00002D30"/>
    <w:rsid w:val="00002D41"/>
    <w:rsid w:val="00002F5E"/>
    <w:rsid w:val="00002FEF"/>
    <w:rsid w:val="00003B46"/>
    <w:rsid w:val="000045B0"/>
    <w:rsid w:val="00004BFE"/>
    <w:rsid w:val="00004F41"/>
    <w:rsid w:val="0000522A"/>
    <w:rsid w:val="00005747"/>
    <w:rsid w:val="00005932"/>
    <w:rsid w:val="00005EAE"/>
    <w:rsid w:val="00006425"/>
    <w:rsid w:val="000069BD"/>
    <w:rsid w:val="000101F7"/>
    <w:rsid w:val="000105CA"/>
    <w:rsid w:val="000109C8"/>
    <w:rsid w:val="00010FF7"/>
    <w:rsid w:val="00011057"/>
    <w:rsid w:val="00011068"/>
    <w:rsid w:val="000114AA"/>
    <w:rsid w:val="00011DB6"/>
    <w:rsid w:val="00012161"/>
    <w:rsid w:val="00012611"/>
    <w:rsid w:val="00012A73"/>
    <w:rsid w:val="00012FDA"/>
    <w:rsid w:val="00013250"/>
    <w:rsid w:val="00013B51"/>
    <w:rsid w:val="00013BEF"/>
    <w:rsid w:val="0001450C"/>
    <w:rsid w:val="00014737"/>
    <w:rsid w:val="000148AC"/>
    <w:rsid w:val="00014ABB"/>
    <w:rsid w:val="00014DA2"/>
    <w:rsid w:val="00014F68"/>
    <w:rsid w:val="00015211"/>
    <w:rsid w:val="00015BAD"/>
    <w:rsid w:val="000161B0"/>
    <w:rsid w:val="000161E5"/>
    <w:rsid w:val="00016E78"/>
    <w:rsid w:val="00017510"/>
    <w:rsid w:val="00017847"/>
    <w:rsid w:val="00017C18"/>
    <w:rsid w:val="00020494"/>
    <w:rsid w:val="000207AE"/>
    <w:rsid w:val="00021944"/>
    <w:rsid w:val="000222C4"/>
    <w:rsid w:val="00022A1A"/>
    <w:rsid w:val="000233CE"/>
    <w:rsid w:val="00023479"/>
    <w:rsid w:val="00023688"/>
    <w:rsid w:val="00023906"/>
    <w:rsid w:val="00023B75"/>
    <w:rsid w:val="00023C3E"/>
    <w:rsid w:val="00023D16"/>
    <w:rsid w:val="000243FC"/>
    <w:rsid w:val="00024929"/>
    <w:rsid w:val="00024A14"/>
    <w:rsid w:val="00024B8C"/>
    <w:rsid w:val="000256DC"/>
    <w:rsid w:val="00025C0D"/>
    <w:rsid w:val="00025E7B"/>
    <w:rsid w:val="00026244"/>
    <w:rsid w:val="000263B0"/>
    <w:rsid w:val="000265B0"/>
    <w:rsid w:val="00026683"/>
    <w:rsid w:val="000269D9"/>
    <w:rsid w:val="00027086"/>
    <w:rsid w:val="000301B9"/>
    <w:rsid w:val="00030252"/>
    <w:rsid w:val="00030817"/>
    <w:rsid w:val="00030FE6"/>
    <w:rsid w:val="0003183D"/>
    <w:rsid w:val="000319FC"/>
    <w:rsid w:val="00031EC0"/>
    <w:rsid w:val="00032792"/>
    <w:rsid w:val="0003374C"/>
    <w:rsid w:val="00034214"/>
    <w:rsid w:val="00034242"/>
    <w:rsid w:val="00034465"/>
    <w:rsid w:val="000350B1"/>
    <w:rsid w:val="00035FBC"/>
    <w:rsid w:val="000368C8"/>
    <w:rsid w:val="0003737E"/>
    <w:rsid w:val="000375F8"/>
    <w:rsid w:val="00037BF7"/>
    <w:rsid w:val="00037F6B"/>
    <w:rsid w:val="000402EA"/>
    <w:rsid w:val="00040747"/>
    <w:rsid w:val="00040AB8"/>
    <w:rsid w:val="00041240"/>
    <w:rsid w:val="0004137F"/>
    <w:rsid w:val="000413A3"/>
    <w:rsid w:val="000416C4"/>
    <w:rsid w:val="00041AC3"/>
    <w:rsid w:val="00041CCF"/>
    <w:rsid w:val="0004294A"/>
    <w:rsid w:val="0004315A"/>
    <w:rsid w:val="00043F63"/>
    <w:rsid w:val="00044427"/>
    <w:rsid w:val="000444C2"/>
    <w:rsid w:val="00044C62"/>
    <w:rsid w:val="00044FFC"/>
    <w:rsid w:val="000454E2"/>
    <w:rsid w:val="0004590B"/>
    <w:rsid w:val="00045DCC"/>
    <w:rsid w:val="0004638B"/>
    <w:rsid w:val="0004656E"/>
    <w:rsid w:val="000475BD"/>
    <w:rsid w:val="000477AE"/>
    <w:rsid w:val="00050DA1"/>
    <w:rsid w:val="00051612"/>
    <w:rsid w:val="00051B9E"/>
    <w:rsid w:val="00051E68"/>
    <w:rsid w:val="00052711"/>
    <w:rsid w:val="000527A6"/>
    <w:rsid w:val="00052CBF"/>
    <w:rsid w:val="00052EEA"/>
    <w:rsid w:val="0005424C"/>
    <w:rsid w:val="000546A5"/>
    <w:rsid w:val="00054B6D"/>
    <w:rsid w:val="00054EBB"/>
    <w:rsid w:val="00054FAD"/>
    <w:rsid w:val="000552CA"/>
    <w:rsid w:val="00055581"/>
    <w:rsid w:val="00055898"/>
    <w:rsid w:val="00055D41"/>
    <w:rsid w:val="00056976"/>
    <w:rsid w:val="00056B76"/>
    <w:rsid w:val="00056C0C"/>
    <w:rsid w:val="00057529"/>
    <w:rsid w:val="000578FF"/>
    <w:rsid w:val="00057942"/>
    <w:rsid w:val="00057F71"/>
    <w:rsid w:val="00060CCD"/>
    <w:rsid w:val="00061145"/>
    <w:rsid w:val="000612B4"/>
    <w:rsid w:val="000612C8"/>
    <w:rsid w:val="00061480"/>
    <w:rsid w:val="000617C8"/>
    <w:rsid w:val="00061ED4"/>
    <w:rsid w:val="000620B0"/>
    <w:rsid w:val="0006243B"/>
    <w:rsid w:val="00062C1B"/>
    <w:rsid w:val="000643D7"/>
    <w:rsid w:val="000649D2"/>
    <w:rsid w:val="00065B81"/>
    <w:rsid w:val="00065DC9"/>
    <w:rsid w:val="00065E33"/>
    <w:rsid w:val="00066CB6"/>
    <w:rsid w:val="00066EA6"/>
    <w:rsid w:val="00067459"/>
    <w:rsid w:val="0006749E"/>
    <w:rsid w:val="00070355"/>
    <w:rsid w:val="00070979"/>
    <w:rsid w:val="00070D8A"/>
    <w:rsid w:val="00071358"/>
    <w:rsid w:val="000715A1"/>
    <w:rsid w:val="00071973"/>
    <w:rsid w:val="00071A16"/>
    <w:rsid w:val="00071EC3"/>
    <w:rsid w:val="00071EE7"/>
    <w:rsid w:val="00071FF6"/>
    <w:rsid w:val="00072066"/>
    <w:rsid w:val="00072BE3"/>
    <w:rsid w:val="00072F74"/>
    <w:rsid w:val="00072F99"/>
    <w:rsid w:val="0007350A"/>
    <w:rsid w:val="00073970"/>
    <w:rsid w:val="000745B5"/>
    <w:rsid w:val="00074871"/>
    <w:rsid w:val="00075810"/>
    <w:rsid w:val="00075F1B"/>
    <w:rsid w:val="00076640"/>
    <w:rsid w:val="00077610"/>
    <w:rsid w:val="00080029"/>
    <w:rsid w:val="00080073"/>
    <w:rsid w:val="00080096"/>
    <w:rsid w:val="0008057A"/>
    <w:rsid w:val="00080BFA"/>
    <w:rsid w:val="000812B4"/>
    <w:rsid w:val="00082DA3"/>
    <w:rsid w:val="00084ECD"/>
    <w:rsid w:val="00085CB4"/>
    <w:rsid w:val="00085D90"/>
    <w:rsid w:val="00087415"/>
    <w:rsid w:val="00087A24"/>
    <w:rsid w:val="000904C6"/>
    <w:rsid w:val="00090647"/>
    <w:rsid w:val="00091497"/>
    <w:rsid w:val="00091522"/>
    <w:rsid w:val="000916A1"/>
    <w:rsid w:val="00091937"/>
    <w:rsid w:val="0009199F"/>
    <w:rsid w:val="000919DE"/>
    <w:rsid w:val="00091A24"/>
    <w:rsid w:val="00091BB9"/>
    <w:rsid w:val="00093146"/>
    <w:rsid w:val="000934EB"/>
    <w:rsid w:val="00093D68"/>
    <w:rsid w:val="00093E0D"/>
    <w:rsid w:val="00093FA1"/>
    <w:rsid w:val="00094F95"/>
    <w:rsid w:val="00094FDC"/>
    <w:rsid w:val="00095263"/>
    <w:rsid w:val="00095AB4"/>
    <w:rsid w:val="00095FC3"/>
    <w:rsid w:val="0009620D"/>
    <w:rsid w:val="0009649B"/>
    <w:rsid w:val="000967BD"/>
    <w:rsid w:val="00096AE4"/>
    <w:rsid w:val="00097F97"/>
    <w:rsid w:val="000A0212"/>
    <w:rsid w:val="000A07B8"/>
    <w:rsid w:val="000A0A2F"/>
    <w:rsid w:val="000A0AAD"/>
    <w:rsid w:val="000A12C2"/>
    <w:rsid w:val="000A1C7E"/>
    <w:rsid w:val="000A1DB8"/>
    <w:rsid w:val="000A1E7C"/>
    <w:rsid w:val="000A220B"/>
    <w:rsid w:val="000A2F60"/>
    <w:rsid w:val="000A3446"/>
    <w:rsid w:val="000A352F"/>
    <w:rsid w:val="000A37EB"/>
    <w:rsid w:val="000A39C3"/>
    <w:rsid w:val="000A54E2"/>
    <w:rsid w:val="000A5F87"/>
    <w:rsid w:val="000A61C4"/>
    <w:rsid w:val="000A67BB"/>
    <w:rsid w:val="000A698B"/>
    <w:rsid w:val="000A6C3F"/>
    <w:rsid w:val="000A701D"/>
    <w:rsid w:val="000A7365"/>
    <w:rsid w:val="000A7774"/>
    <w:rsid w:val="000A77B9"/>
    <w:rsid w:val="000A7CBA"/>
    <w:rsid w:val="000B0467"/>
    <w:rsid w:val="000B10A3"/>
    <w:rsid w:val="000B141F"/>
    <w:rsid w:val="000B1CE0"/>
    <w:rsid w:val="000B251B"/>
    <w:rsid w:val="000B3510"/>
    <w:rsid w:val="000B4505"/>
    <w:rsid w:val="000B45F9"/>
    <w:rsid w:val="000B4749"/>
    <w:rsid w:val="000B52D5"/>
    <w:rsid w:val="000B5A5C"/>
    <w:rsid w:val="000B5E0C"/>
    <w:rsid w:val="000B5F0D"/>
    <w:rsid w:val="000B6B97"/>
    <w:rsid w:val="000B7438"/>
    <w:rsid w:val="000B7733"/>
    <w:rsid w:val="000C00E7"/>
    <w:rsid w:val="000C018D"/>
    <w:rsid w:val="000C0658"/>
    <w:rsid w:val="000C09E3"/>
    <w:rsid w:val="000C2E9E"/>
    <w:rsid w:val="000C330C"/>
    <w:rsid w:val="000C36B7"/>
    <w:rsid w:val="000C392B"/>
    <w:rsid w:val="000C3EAB"/>
    <w:rsid w:val="000C46E7"/>
    <w:rsid w:val="000C49A5"/>
    <w:rsid w:val="000C5211"/>
    <w:rsid w:val="000C534E"/>
    <w:rsid w:val="000C5524"/>
    <w:rsid w:val="000C597D"/>
    <w:rsid w:val="000C5E8B"/>
    <w:rsid w:val="000C60DB"/>
    <w:rsid w:val="000C6C30"/>
    <w:rsid w:val="000C78D8"/>
    <w:rsid w:val="000C7BBD"/>
    <w:rsid w:val="000C7D66"/>
    <w:rsid w:val="000D04F1"/>
    <w:rsid w:val="000D050C"/>
    <w:rsid w:val="000D0512"/>
    <w:rsid w:val="000D0521"/>
    <w:rsid w:val="000D1457"/>
    <w:rsid w:val="000D181A"/>
    <w:rsid w:val="000D1EDA"/>
    <w:rsid w:val="000D299B"/>
    <w:rsid w:val="000D3798"/>
    <w:rsid w:val="000D37A1"/>
    <w:rsid w:val="000D38B8"/>
    <w:rsid w:val="000D4DAC"/>
    <w:rsid w:val="000D5BE8"/>
    <w:rsid w:val="000D5E88"/>
    <w:rsid w:val="000D6576"/>
    <w:rsid w:val="000D6EE3"/>
    <w:rsid w:val="000D7049"/>
    <w:rsid w:val="000D73CA"/>
    <w:rsid w:val="000D793D"/>
    <w:rsid w:val="000D7C9B"/>
    <w:rsid w:val="000E05C6"/>
    <w:rsid w:val="000E0D0E"/>
    <w:rsid w:val="000E0FF2"/>
    <w:rsid w:val="000E115B"/>
    <w:rsid w:val="000E26D0"/>
    <w:rsid w:val="000E3AFE"/>
    <w:rsid w:val="000E510E"/>
    <w:rsid w:val="000E5565"/>
    <w:rsid w:val="000E595C"/>
    <w:rsid w:val="000E68DC"/>
    <w:rsid w:val="000E6A56"/>
    <w:rsid w:val="000E6A8D"/>
    <w:rsid w:val="000E6DFA"/>
    <w:rsid w:val="000E7599"/>
    <w:rsid w:val="000E796A"/>
    <w:rsid w:val="000E7E7B"/>
    <w:rsid w:val="000F021B"/>
    <w:rsid w:val="000F0294"/>
    <w:rsid w:val="000F1143"/>
    <w:rsid w:val="000F1445"/>
    <w:rsid w:val="000F18FD"/>
    <w:rsid w:val="000F1BEB"/>
    <w:rsid w:val="000F1F7C"/>
    <w:rsid w:val="000F208B"/>
    <w:rsid w:val="000F457E"/>
    <w:rsid w:val="000F4926"/>
    <w:rsid w:val="000F4DC3"/>
    <w:rsid w:val="000F4F12"/>
    <w:rsid w:val="000F54D6"/>
    <w:rsid w:val="000F5B44"/>
    <w:rsid w:val="000F5E60"/>
    <w:rsid w:val="000F5E8E"/>
    <w:rsid w:val="000F6139"/>
    <w:rsid w:val="000F64CA"/>
    <w:rsid w:val="0010012E"/>
    <w:rsid w:val="001008E1"/>
    <w:rsid w:val="00100918"/>
    <w:rsid w:val="00100E79"/>
    <w:rsid w:val="0010129C"/>
    <w:rsid w:val="00101B46"/>
    <w:rsid w:val="00101E69"/>
    <w:rsid w:val="001023B0"/>
    <w:rsid w:val="00102CDF"/>
    <w:rsid w:val="00102DFB"/>
    <w:rsid w:val="00103349"/>
    <w:rsid w:val="00103496"/>
    <w:rsid w:val="00103D06"/>
    <w:rsid w:val="001040E4"/>
    <w:rsid w:val="001049B5"/>
    <w:rsid w:val="00104CC1"/>
    <w:rsid w:val="001051F3"/>
    <w:rsid w:val="00105299"/>
    <w:rsid w:val="001055B9"/>
    <w:rsid w:val="00105E77"/>
    <w:rsid w:val="00106928"/>
    <w:rsid w:val="00106D49"/>
    <w:rsid w:val="0010766E"/>
    <w:rsid w:val="00107D6A"/>
    <w:rsid w:val="0011045D"/>
    <w:rsid w:val="001104AE"/>
    <w:rsid w:val="00110D77"/>
    <w:rsid w:val="00111544"/>
    <w:rsid w:val="001118F5"/>
    <w:rsid w:val="00111967"/>
    <w:rsid w:val="00111A6B"/>
    <w:rsid w:val="0011254E"/>
    <w:rsid w:val="00112DE8"/>
    <w:rsid w:val="00113016"/>
    <w:rsid w:val="00113105"/>
    <w:rsid w:val="00113587"/>
    <w:rsid w:val="001135B0"/>
    <w:rsid w:val="00113979"/>
    <w:rsid w:val="001139D7"/>
    <w:rsid w:val="00113E79"/>
    <w:rsid w:val="00113F3A"/>
    <w:rsid w:val="001140DE"/>
    <w:rsid w:val="00114AD5"/>
    <w:rsid w:val="00115FD8"/>
    <w:rsid w:val="00116183"/>
    <w:rsid w:val="001161FA"/>
    <w:rsid w:val="001163EF"/>
    <w:rsid w:val="00116586"/>
    <w:rsid w:val="001165CF"/>
    <w:rsid w:val="0011670D"/>
    <w:rsid w:val="00116888"/>
    <w:rsid w:val="00116A70"/>
    <w:rsid w:val="001176CD"/>
    <w:rsid w:val="00117C8D"/>
    <w:rsid w:val="0012040C"/>
    <w:rsid w:val="001205CE"/>
    <w:rsid w:val="0012084C"/>
    <w:rsid w:val="00120A60"/>
    <w:rsid w:val="00120BBC"/>
    <w:rsid w:val="001211F6"/>
    <w:rsid w:val="00121298"/>
    <w:rsid w:val="00121AF0"/>
    <w:rsid w:val="00123360"/>
    <w:rsid w:val="00123BD3"/>
    <w:rsid w:val="00123D91"/>
    <w:rsid w:val="00124356"/>
    <w:rsid w:val="00124562"/>
    <w:rsid w:val="0012476A"/>
    <w:rsid w:val="00124DE6"/>
    <w:rsid w:val="00124DEE"/>
    <w:rsid w:val="00125553"/>
    <w:rsid w:val="0012588C"/>
    <w:rsid w:val="00125DB7"/>
    <w:rsid w:val="0012605A"/>
    <w:rsid w:val="00126435"/>
    <w:rsid w:val="001272A7"/>
    <w:rsid w:val="0012734D"/>
    <w:rsid w:val="001273DB"/>
    <w:rsid w:val="00130AC6"/>
    <w:rsid w:val="00131EF4"/>
    <w:rsid w:val="00131F24"/>
    <w:rsid w:val="0013214A"/>
    <w:rsid w:val="001327A9"/>
    <w:rsid w:val="001329BB"/>
    <w:rsid w:val="0013300E"/>
    <w:rsid w:val="001332A3"/>
    <w:rsid w:val="0013428E"/>
    <w:rsid w:val="001343B4"/>
    <w:rsid w:val="00135A56"/>
    <w:rsid w:val="0013642F"/>
    <w:rsid w:val="0013647F"/>
    <w:rsid w:val="001370FD"/>
    <w:rsid w:val="00137DE6"/>
    <w:rsid w:val="00140C4C"/>
    <w:rsid w:val="00140F3B"/>
    <w:rsid w:val="00140F7E"/>
    <w:rsid w:val="001419AE"/>
    <w:rsid w:val="00141FF4"/>
    <w:rsid w:val="001427E3"/>
    <w:rsid w:val="00142B38"/>
    <w:rsid w:val="00142C06"/>
    <w:rsid w:val="0014304E"/>
    <w:rsid w:val="001434D8"/>
    <w:rsid w:val="00143B58"/>
    <w:rsid w:val="00143F14"/>
    <w:rsid w:val="001440AB"/>
    <w:rsid w:val="001442BA"/>
    <w:rsid w:val="00144D8A"/>
    <w:rsid w:val="00145517"/>
    <w:rsid w:val="001460D1"/>
    <w:rsid w:val="0014732F"/>
    <w:rsid w:val="00147EFF"/>
    <w:rsid w:val="00150189"/>
    <w:rsid w:val="00150821"/>
    <w:rsid w:val="001509CC"/>
    <w:rsid w:val="001513CC"/>
    <w:rsid w:val="00151574"/>
    <w:rsid w:val="001515FC"/>
    <w:rsid w:val="00151776"/>
    <w:rsid w:val="00151829"/>
    <w:rsid w:val="00152036"/>
    <w:rsid w:val="00152ACC"/>
    <w:rsid w:val="00152D27"/>
    <w:rsid w:val="001537E2"/>
    <w:rsid w:val="00153876"/>
    <w:rsid w:val="00154229"/>
    <w:rsid w:val="0015440E"/>
    <w:rsid w:val="0015443A"/>
    <w:rsid w:val="00155364"/>
    <w:rsid w:val="00155B51"/>
    <w:rsid w:val="00156559"/>
    <w:rsid w:val="00156979"/>
    <w:rsid w:val="00157423"/>
    <w:rsid w:val="0015792D"/>
    <w:rsid w:val="00157933"/>
    <w:rsid w:val="00157AFB"/>
    <w:rsid w:val="00157D20"/>
    <w:rsid w:val="0016038E"/>
    <w:rsid w:val="0016067B"/>
    <w:rsid w:val="0016132B"/>
    <w:rsid w:val="001614BD"/>
    <w:rsid w:val="00161694"/>
    <w:rsid w:val="0016186D"/>
    <w:rsid w:val="00161D84"/>
    <w:rsid w:val="001621BE"/>
    <w:rsid w:val="0016223C"/>
    <w:rsid w:val="00162291"/>
    <w:rsid w:val="00162B0F"/>
    <w:rsid w:val="00162B38"/>
    <w:rsid w:val="001636B0"/>
    <w:rsid w:val="00163C46"/>
    <w:rsid w:val="001641E1"/>
    <w:rsid w:val="0016447C"/>
    <w:rsid w:val="001647B9"/>
    <w:rsid w:val="00164A5E"/>
    <w:rsid w:val="00164AA6"/>
    <w:rsid w:val="0016526B"/>
    <w:rsid w:val="00165F11"/>
    <w:rsid w:val="00166A42"/>
    <w:rsid w:val="00166F0D"/>
    <w:rsid w:val="00166FF2"/>
    <w:rsid w:val="001673DA"/>
    <w:rsid w:val="00170394"/>
    <w:rsid w:val="0017050E"/>
    <w:rsid w:val="001707EC"/>
    <w:rsid w:val="00170890"/>
    <w:rsid w:val="0017113C"/>
    <w:rsid w:val="00171221"/>
    <w:rsid w:val="0017169D"/>
    <w:rsid w:val="00172BB2"/>
    <w:rsid w:val="001744AB"/>
    <w:rsid w:val="001748CB"/>
    <w:rsid w:val="0017503A"/>
    <w:rsid w:val="001752D6"/>
    <w:rsid w:val="00175676"/>
    <w:rsid w:val="00175C81"/>
    <w:rsid w:val="00175E6D"/>
    <w:rsid w:val="00177427"/>
    <w:rsid w:val="00177693"/>
    <w:rsid w:val="0017789F"/>
    <w:rsid w:val="00177AB3"/>
    <w:rsid w:val="001809CB"/>
    <w:rsid w:val="00182209"/>
    <w:rsid w:val="00182751"/>
    <w:rsid w:val="0018294E"/>
    <w:rsid w:val="0018297E"/>
    <w:rsid w:val="00182D1B"/>
    <w:rsid w:val="00182D3F"/>
    <w:rsid w:val="00182FC0"/>
    <w:rsid w:val="0018319A"/>
    <w:rsid w:val="00183C34"/>
    <w:rsid w:val="00183FF4"/>
    <w:rsid w:val="0018537A"/>
    <w:rsid w:val="001855C1"/>
    <w:rsid w:val="00185C75"/>
    <w:rsid w:val="00185CB6"/>
    <w:rsid w:val="00186CC3"/>
    <w:rsid w:val="00187594"/>
    <w:rsid w:val="00187CC3"/>
    <w:rsid w:val="0019011E"/>
    <w:rsid w:val="00190185"/>
    <w:rsid w:val="00190863"/>
    <w:rsid w:val="0019119D"/>
    <w:rsid w:val="00191931"/>
    <w:rsid w:val="00192010"/>
    <w:rsid w:val="00192607"/>
    <w:rsid w:val="00192D60"/>
    <w:rsid w:val="001933D4"/>
    <w:rsid w:val="00193579"/>
    <w:rsid w:val="0019395F"/>
    <w:rsid w:val="00194395"/>
    <w:rsid w:val="00194D13"/>
    <w:rsid w:val="00194D2C"/>
    <w:rsid w:val="001959DA"/>
    <w:rsid w:val="0019608F"/>
    <w:rsid w:val="00196301"/>
    <w:rsid w:val="001967AF"/>
    <w:rsid w:val="00196D8F"/>
    <w:rsid w:val="00196FCC"/>
    <w:rsid w:val="0019760D"/>
    <w:rsid w:val="001A170B"/>
    <w:rsid w:val="001A1DE3"/>
    <w:rsid w:val="001A2394"/>
    <w:rsid w:val="001A2694"/>
    <w:rsid w:val="001A2D6E"/>
    <w:rsid w:val="001A2EE4"/>
    <w:rsid w:val="001A322C"/>
    <w:rsid w:val="001A43E7"/>
    <w:rsid w:val="001A4790"/>
    <w:rsid w:val="001A4B0D"/>
    <w:rsid w:val="001A4C76"/>
    <w:rsid w:val="001A4EB7"/>
    <w:rsid w:val="001A4F92"/>
    <w:rsid w:val="001A5962"/>
    <w:rsid w:val="001A59C6"/>
    <w:rsid w:val="001A6039"/>
    <w:rsid w:val="001A60FD"/>
    <w:rsid w:val="001A64DB"/>
    <w:rsid w:val="001A6A79"/>
    <w:rsid w:val="001A6B17"/>
    <w:rsid w:val="001A6B20"/>
    <w:rsid w:val="001A72C3"/>
    <w:rsid w:val="001A7CDF"/>
    <w:rsid w:val="001A7D56"/>
    <w:rsid w:val="001A7F99"/>
    <w:rsid w:val="001B0FBA"/>
    <w:rsid w:val="001B132F"/>
    <w:rsid w:val="001B14E4"/>
    <w:rsid w:val="001B1587"/>
    <w:rsid w:val="001B1896"/>
    <w:rsid w:val="001B26E9"/>
    <w:rsid w:val="001B35F9"/>
    <w:rsid w:val="001B3979"/>
    <w:rsid w:val="001B3FA5"/>
    <w:rsid w:val="001B4A92"/>
    <w:rsid w:val="001B4B9A"/>
    <w:rsid w:val="001B4E37"/>
    <w:rsid w:val="001B59A4"/>
    <w:rsid w:val="001B5D17"/>
    <w:rsid w:val="001B5D79"/>
    <w:rsid w:val="001B5E2F"/>
    <w:rsid w:val="001B5E52"/>
    <w:rsid w:val="001B6325"/>
    <w:rsid w:val="001B6A60"/>
    <w:rsid w:val="001B6B53"/>
    <w:rsid w:val="001B782F"/>
    <w:rsid w:val="001C033F"/>
    <w:rsid w:val="001C101D"/>
    <w:rsid w:val="001C17DA"/>
    <w:rsid w:val="001C261D"/>
    <w:rsid w:val="001C27CE"/>
    <w:rsid w:val="001C27D6"/>
    <w:rsid w:val="001C2EEE"/>
    <w:rsid w:val="001C4BBA"/>
    <w:rsid w:val="001C5037"/>
    <w:rsid w:val="001C5329"/>
    <w:rsid w:val="001C53A3"/>
    <w:rsid w:val="001C58E4"/>
    <w:rsid w:val="001C5E3D"/>
    <w:rsid w:val="001C6829"/>
    <w:rsid w:val="001C6C60"/>
    <w:rsid w:val="001C7881"/>
    <w:rsid w:val="001C7BC9"/>
    <w:rsid w:val="001C7BD3"/>
    <w:rsid w:val="001C7CA0"/>
    <w:rsid w:val="001D00EF"/>
    <w:rsid w:val="001D059A"/>
    <w:rsid w:val="001D0EB9"/>
    <w:rsid w:val="001D1775"/>
    <w:rsid w:val="001D2733"/>
    <w:rsid w:val="001D27E9"/>
    <w:rsid w:val="001D2BD8"/>
    <w:rsid w:val="001D355E"/>
    <w:rsid w:val="001D39BD"/>
    <w:rsid w:val="001D4367"/>
    <w:rsid w:val="001D64CC"/>
    <w:rsid w:val="001D671E"/>
    <w:rsid w:val="001D695D"/>
    <w:rsid w:val="001D7737"/>
    <w:rsid w:val="001D78BF"/>
    <w:rsid w:val="001D7F1E"/>
    <w:rsid w:val="001E0154"/>
    <w:rsid w:val="001E078A"/>
    <w:rsid w:val="001E09F2"/>
    <w:rsid w:val="001E1451"/>
    <w:rsid w:val="001E1AF1"/>
    <w:rsid w:val="001E2575"/>
    <w:rsid w:val="001E26E4"/>
    <w:rsid w:val="001E27BD"/>
    <w:rsid w:val="001E34A3"/>
    <w:rsid w:val="001E350C"/>
    <w:rsid w:val="001E3D95"/>
    <w:rsid w:val="001E3DE0"/>
    <w:rsid w:val="001E48DF"/>
    <w:rsid w:val="001E499C"/>
    <w:rsid w:val="001E4EE2"/>
    <w:rsid w:val="001E567D"/>
    <w:rsid w:val="001E5DD2"/>
    <w:rsid w:val="001E636D"/>
    <w:rsid w:val="001E6A42"/>
    <w:rsid w:val="001E6F83"/>
    <w:rsid w:val="001E74E1"/>
    <w:rsid w:val="001E776F"/>
    <w:rsid w:val="001E784B"/>
    <w:rsid w:val="001F03B5"/>
    <w:rsid w:val="001F119B"/>
    <w:rsid w:val="001F175C"/>
    <w:rsid w:val="001F226E"/>
    <w:rsid w:val="001F2666"/>
    <w:rsid w:val="001F2EFF"/>
    <w:rsid w:val="001F3061"/>
    <w:rsid w:val="001F4A16"/>
    <w:rsid w:val="001F54C3"/>
    <w:rsid w:val="001F6228"/>
    <w:rsid w:val="001F6AF2"/>
    <w:rsid w:val="001F6F67"/>
    <w:rsid w:val="001F7409"/>
    <w:rsid w:val="001F7EFB"/>
    <w:rsid w:val="00200176"/>
    <w:rsid w:val="00200265"/>
    <w:rsid w:val="00200611"/>
    <w:rsid w:val="002006BC"/>
    <w:rsid w:val="00200941"/>
    <w:rsid w:val="00200F91"/>
    <w:rsid w:val="00203226"/>
    <w:rsid w:val="00204764"/>
    <w:rsid w:val="00204861"/>
    <w:rsid w:val="00204A2F"/>
    <w:rsid w:val="00204A5A"/>
    <w:rsid w:val="00204B66"/>
    <w:rsid w:val="00204D8B"/>
    <w:rsid w:val="00204D8E"/>
    <w:rsid w:val="00205AB3"/>
    <w:rsid w:val="00205B52"/>
    <w:rsid w:val="00205EAE"/>
    <w:rsid w:val="0020636C"/>
    <w:rsid w:val="00207C96"/>
    <w:rsid w:val="00210087"/>
    <w:rsid w:val="00210150"/>
    <w:rsid w:val="00210376"/>
    <w:rsid w:val="002105CC"/>
    <w:rsid w:val="0021077D"/>
    <w:rsid w:val="002108F8"/>
    <w:rsid w:val="002113E6"/>
    <w:rsid w:val="00211C1A"/>
    <w:rsid w:val="00212644"/>
    <w:rsid w:val="00212726"/>
    <w:rsid w:val="00212B73"/>
    <w:rsid w:val="00212F58"/>
    <w:rsid w:val="00213621"/>
    <w:rsid w:val="00213851"/>
    <w:rsid w:val="00214C70"/>
    <w:rsid w:val="00214EBC"/>
    <w:rsid w:val="0021554E"/>
    <w:rsid w:val="0021679D"/>
    <w:rsid w:val="002169AF"/>
    <w:rsid w:val="00216C86"/>
    <w:rsid w:val="002175EF"/>
    <w:rsid w:val="002179AE"/>
    <w:rsid w:val="00217D9C"/>
    <w:rsid w:val="00217F61"/>
    <w:rsid w:val="00217FEF"/>
    <w:rsid w:val="0022014C"/>
    <w:rsid w:val="002207FB"/>
    <w:rsid w:val="00220CCD"/>
    <w:rsid w:val="00220DFA"/>
    <w:rsid w:val="00221688"/>
    <w:rsid w:val="00221BD8"/>
    <w:rsid w:val="00222588"/>
    <w:rsid w:val="002228C9"/>
    <w:rsid w:val="00222BA2"/>
    <w:rsid w:val="00222D2A"/>
    <w:rsid w:val="00222E63"/>
    <w:rsid w:val="002249D1"/>
    <w:rsid w:val="00225423"/>
    <w:rsid w:val="00225776"/>
    <w:rsid w:val="0022590E"/>
    <w:rsid w:val="0022594F"/>
    <w:rsid w:val="00225DA0"/>
    <w:rsid w:val="0022684C"/>
    <w:rsid w:val="0022687E"/>
    <w:rsid w:val="002268CB"/>
    <w:rsid w:val="002270FC"/>
    <w:rsid w:val="00227799"/>
    <w:rsid w:val="002302E6"/>
    <w:rsid w:val="002304D2"/>
    <w:rsid w:val="00230556"/>
    <w:rsid w:val="00230E0B"/>
    <w:rsid w:val="00232475"/>
    <w:rsid w:val="0023307F"/>
    <w:rsid w:val="002331EB"/>
    <w:rsid w:val="0023372B"/>
    <w:rsid w:val="00233CFB"/>
    <w:rsid w:val="00233DBC"/>
    <w:rsid w:val="00234292"/>
    <w:rsid w:val="002343E1"/>
    <w:rsid w:val="0023449A"/>
    <w:rsid w:val="002348F5"/>
    <w:rsid w:val="00234B50"/>
    <w:rsid w:val="00234BB3"/>
    <w:rsid w:val="00234DA3"/>
    <w:rsid w:val="002351F7"/>
    <w:rsid w:val="002352FF"/>
    <w:rsid w:val="0023591A"/>
    <w:rsid w:val="00235BE7"/>
    <w:rsid w:val="002360E9"/>
    <w:rsid w:val="002367FE"/>
    <w:rsid w:val="0023681C"/>
    <w:rsid w:val="002369FC"/>
    <w:rsid w:val="00240480"/>
    <w:rsid w:val="002404F4"/>
    <w:rsid w:val="002407E0"/>
    <w:rsid w:val="00240A63"/>
    <w:rsid w:val="00240E28"/>
    <w:rsid w:val="00241169"/>
    <w:rsid w:val="00241690"/>
    <w:rsid w:val="00241A66"/>
    <w:rsid w:val="00241AA5"/>
    <w:rsid w:val="00241C3F"/>
    <w:rsid w:val="002422FB"/>
    <w:rsid w:val="0024237F"/>
    <w:rsid w:val="002423FB"/>
    <w:rsid w:val="00242DF9"/>
    <w:rsid w:val="0024369A"/>
    <w:rsid w:val="00243975"/>
    <w:rsid w:val="00244802"/>
    <w:rsid w:val="00244A9F"/>
    <w:rsid w:val="00244B0D"/>
    <w:rsid w:val="00244BA8"/>
    <w:rsid w:val="00245171"/>
    <w:rsid w:val="00245948"/>
    <w:rsid w:val="00245BF8"/>
    <w:rsid w:val="00245F46"/>
    <w:rsid w:val="00246002"/>
    <w:rsid w:val="0024600C"/>
    <w:rsid w:val="00246031"/>
    <w:rsid w:val="00246034"/>
    <w:rsid w:val="0024612A"/>
    <w:rsid w:val="00246531"/>
    <w:rsid w:val="0024675A"/>
    <w:rsid w:val="0025020F"/>
    <w:rsid w:val="002505D2"/>
    <w:rsid w:val="00250B1E"/>
    <w:rsid w:val="00250D55"/>
    <w:rsid w:val="00250E22"/>
    <w:rsid w:val="00250F04"/>
    <w:rsid w:val="002514BD"/>
    <w:rsid w:val="002524B6"/>
    <w:rsid w:val="00252C21"/>
    <w:rsid w:val="0025323C"/>
    <w:rsid w:val="00253D65"/>
    <w:rsid w:val="00253DF3"/>
    <w:rsid w:val="002543BE"/>
    <w:rsid w:val="002543C0"/>
    <w:rsid w:val="002547AE"/>
    <w:rsid w:val="00254A43"/>
    <w:rsid w:val="00254D39"/>
    <w:rsid w:val="002552C2"/>
    <w:rsid w:val="00256A79"/>
    <w:rsid w:val="00256FDF"/>
    <w:rsid w:val="002571DF"/>
    <w:rsid w:val="00257A38"/>
    <w:rsid w:val="00257C00"/>
    <w:rsid w:val="00260115"/>
    <w:rsid w:val="002603E5"/>
    <w:rsid w:val="002605CD"/>
    <w:rsid w:val="002605E5"/>
    <w:rsid w:val="00260728"/>
    <w:rsid w:val="002608F0"/>
    <w:rsid w:val="002615AB"/>
    <w:rsid w:val="0026183C"/>
    <w:rsid w:val="00261C3B"/>
    <w:rsid w:val="00262804"/>
    <w:rsid w:val="0026352B"/>
    <w:rsid w:val="00263671"/>
    <w:rsid w:val="0026395F"/>
    <w:rsid w:val="00264A92"/>
    <w:rsid w:val="00265839"/>
    <w:rsid w:val="002661A6"/>
    <w:rsid w:val="00266931"/>
    <w:rsid w:val="002669B5"/>
    <w:rsid w:val="00267245"/>
    <w:rsid w:val="00267923"/>
    <w:rsid w:val="00267EFA"/>
    <w:rsid w:val="002701D7"/>
    <w:rsid w:val="002712D4"/>
    <w:rsid w:val="002716EA"/>
    <w:rsid w:val="00271BC5"/>
    <w:rsid w:val="002722BC"/>
    <w:rsid w:val="0027250A"/>
    <w:rsid w:val="002725AC"/>
    <w:rsid w:val="0027263C"/>
    <w:rsid w:val="00273323"/>
    <w:rsid w:val="002733FB"/>
    <w:rsid w:val="002736BB"/>
    <w:rsid w:val="00273AA2"/>
    <w:rsid w:val="00273F23"/>
    <w:rsid w:val="002748D4"/>
    <w:rsid w:val="00274AA1"/>
    <w:rsid w:val="00274B80"/>
    <w:rsid w:val="00275D06"/>
    <w:rsid w:val="00277535"/>
    <w:rsid w:val="00277581"/>
    <w:rsid w:val="002779DE"/>
    <w:rsid w:val="00280468"/>
    <w:rsid w:val="0028187E"/>
    <w:rsid w:val="00281C9D"/>
    <w:rsid w:val="00281DC3"/>
    <w:rsid w:val="00282449"/>
    <w:rsid w:val="002824E3"/>
    <w:rsid w:val="00282DF4"/>
    <w:rsid w:val="002836A1"/>
    <w:rsid w:val="0028376B"/>
    <w:rsid w:val="00283C61"/>
    <w:rsid w:val="00284599"/>
    <w:rsid w:val="0028482F"/>
    <w:rsid w:val="00284A09"/>
    <w:rsid w:val="00284AC1"/>
    <w:rsid w:val="00284F6D"/>
    <w:rsid w:val="00286574"/>
    <w:rsid w:val="00286646"/>
    <w:rsid w:val="00286A69"/>
    <w:rsid w:val="00286C0A"/>
    <w:rsid w:val="00287E8B"/>
    <w:rsid w:val="00290838"/>
    <w:rsid w:val="00290C17"/>
    <w:rsid w:val="00292034"/>
    <w:rsid w:val="0029266C"/>
    <w:rsid w:val="0029275F"/>
    <w:rsid w:val="0029295B"/>
    <w:rsid w:val="00292D27"/>
    <w:rsid w:val="00293342"/>
    <w:rsid w:val="0029369D"/>
    <w:rsid w:val="00293AEF"/>
    <w:rsid w:val="00293B02"/>
    <w:rsid w:val="00293B4D"/>
    <w:rsid w:val="00293FAC"/>
    <w:rsid w:val="00296283"/>
    <w:rsid w:val="00296BCC"/>
    <w:rsid w:val="0029785D"/>
    <w:rsid w:val="002A0441"/>
    <w:rsid w:val="002A077A"/>
    <w:rsid w:val="002A102F"/>
    <w:rsid w:val="002A1073"/>
    <w:rsid w:val="002A18C2"/>
    <w:rsid w:val="002A2043"/>
    <w:rsid w:val="002A2CE3"/>
    <w:rsid w:val="002A2DD7"/>
    <w:rsid w:val="002A38A3"/>
    <w:rsid w:val="002A3A2C"/>
    <w:rsid w:val="002A3BD9"/>
    <w:rsid w:val="002A3C7E"/>
    <w:rsid w:val="002A46A2"/>
    <w:rsid w:val="002A4B1A"/>
    <w:rsid w:val="002A4EA7"/>
    <w:rsid w:val="002A4F48"/>
    <w:rsid w:val="002A540E"/>
    <w:rsid w:val="002A5D9C"/>
    <w:rsid w:val="002A648A"/>
    <w:rsid w:val="002A68DA"/>
    <w:rsid w:val="002A6E18"/>
    <w:rsid w:val="002A7372"/>
    <w:rsid w:val="002A7959"/>
    <w:rsid w:val="002A7C05"/>
    <w:rsid w:val="002A7E1D"/>
    <w:rsid w:val="002B0142"/>
    <w:rsid w:val="002B02E7"/>
    <w:rsid w:val="002B0428"/>
    <w:rsid w:val="002B04D3"/>
    <w:rsid w:val="002B2110"/>
    <w:rsid w:val="002B2267"/>
    <w:rsid w:val="002B23AA"/>
    <w:rsid w:val="002B27CF"/>
    <w:rsid w:val="002B39EB"/>
    <w:rsid w:val="002B41DA"/>
    <w:rsid w:val="002B4B22"/>
    <w:rsid w:val="002B532E"/>
    <w:rsid w:val="002B539D"/>
    <w:rsid w:val="002B54D7"/>
    <w:rsid w:val="002B5531"/>
    <w:rsid w:val="002B580C"/>
    <w:rsid w:val="002B66AB"/>
    <w:rsid w:val="002B6CFB"/>
    <w:rsid w:val="002B7599"/>
    <w:rsid w:val="002B79CC"/>
    <w:rsid w:val="002C0769"/>
    <w:rsid w:val="002C0C87"/>
    <w:rsid w:val="002C0FE6"/>
    <w:rsid w:val="002C1277"/>
    <w:rsid w:val="002C2212"/>
    <w:rsid w:val="002C2571"/>
    <w:rsid w:val="002C34C5"/>
    <w:rsid w:val="002C3855"/>
    <w:rsid w:val="002C4531"/>
    <w:rsid w:val="002C4559"/>
    <w:rsid w:val="002C4682"/>
    <w:rsid w:val="002C4883"/>
    <w:rsid w:val="002C49D1"/>
    <w:rsid w:val="002C5957"/>
    <w:rsid w:val="002C5ECD"/>
    <w:rsid w:val="002C6750"/>
    <w:rsid w:val="002C6E6F"/>
    <w:rsid w:val="002C706A"/>
    <w:rsid w:val="002C7764"/>
    <w:rsid w:val="002C7E22"/>
    <w:rsid w:val="002C7E6C"/>
    <w:rsid w:val="002C7EED"/>
    <w:rsid w:val="002D06BA"/>
    <w:rsid w:val="002D09EF"/>
    <w:rsid w:val="002D1716"/>
    <w:rsid w:val="002D2186"/>
    <w:rsid w:val="002D26CE"/>
    <w:rsid w:val="002D34CD"/>
    <w:rsid w:val="002D3F0C"/>
    <w:rsid w:val="002D3F0F"/>
    <w:rsid w:val="002D53DC"/>
    <w:rsid w:val="002D60C8"/>
    <w:rsid w:val="002D6FBF"/>
    <w:rsid w:val="002D7160"/>
    <w:rsid w:val="002D7705"/>
    <w:rsid w:val="002D776B"/>
    <w:rsid w:val="002E00AF"/>
    <w:rsid w:val="002E08E5"/>
    <w:rsid w:val="002E0E8B"/>
    <w:rsid w:val="002E10FF"/>
    <w:rsid w:val="002E1268"/>
    <w:rsid w:val="002E15A1"/>
    <w:rsid w:val="002E1AAD"/>
    <w:rsid w:val="002E1ABC"/>
    <w:rsid w:val="002E1BAC"/>
    <w:rsid w:val="002E2024"/>
    <w:rsid w:val="002E364A"/>
    <w:rsid w:val="002E531E"/>
    <w:rsid w:val="002E5AEC"/>
    <w:rsid w:val="002E5E74"/>
    <w:rsid w:val="002E7271"/>
    <w:rsid w:val="002F0922"/>
    <w:rsid w:val="002F0975"/>
    <w:rsid w:val="002F09ED"/>
    <w:rsid w:val="002F0AE6"/>
    <w:rsid w:val="002F0B94"/>
    <w:rsid w:val="002F0C72"/>
    <w:rsid w:val="002F0E7B"/>
    <w:rsid w:val="002F110E"/>
    <w:rsid w:val="002F1E7B"/>
    <w:rsid w:val="002F2172"/>
    <w:rsid w:val="002F23DE"/>
    <w:rsid w:val="002F24A7"/>
    <w:rsid w:val="002F2690"/>
    <w:rsid w:val="002F273B"/>
    <w:rsid w:val="002F2EFC"/>
    <w:rsid w:val="002F42BE"/>
    <w:rsid w:val="002F46B4"/>
    <w:rsid w:val="002F47A3"/>
    <w:rsid w:val="002F4C31"/>
    <w:rsid w:val="002F4FA8"/>
    <w:rsid w:val="002F5603"/>
    <w:rsid w:val="002F561A"/>
    <w:rsid w:val="002F5F2A"/>
    <w:rsid w:val="002F69D3"/>
    <w:rsid w:val="002F75CA"/>
    <w:rsid w:val="002F7788"/>
    <w:rsid w:val="002F7B34"/>
    <w:rsid w:val="0030067E"/>
    <w:rsid w:val="00300B8B"/>
    <w:rsid w:val="00300C72"/>
    <w:rsid w:val="003021CD"/>
    <w:rsid w:val="00302DA2"/>
    <w:rsid w:val="00303130"/>
    <w:rsid w:val="003036B6"/>
    <w:rsid w:val="00303E02"/>
    <w:rsid w:val="00304FB3"/>
    <w:rsid w:val="003054D3"/>
    <w:rsid w:val="00305500"/>
    <w:rsid w:val="00305DF7"/>
    <w:rsid w:val="003066A2"/>
    <w:rsid w:val="003066FF"/>
    <w:rsid w:val="003068B7"/>
    <w:rsid w:val="00306FF3"/>
    <w:rsid w:val="003108F0"/>
    <w:rsid w:val="00310E7A"/>
    <w:rsid w:val="00311079"/>
    <w:rsid w:val="003118B5"/>
    <w:rsid w:val="00311F18"/>
    <w:rsid w:val="0031206E"/>
    <w:rsid w:val="00312451"/>
    <w:rsid w:val="00312592"/>
    <w:rsid w:val="003127CF"/>
    <w:rsid w:val="00312D97"/>
    <w:rsid w:val="0031323D"/>
    <w:rsid w:val="003137B9"/>
    <w:rsid w:val="003140F0"/>
    <w:rsid w:val="003143D9"/>
    <w:rsid w:val="00314689"/>
    <w:rsid w:val="003146F0"/>
    <w:rsid w:val="00314737"/>
    <w:rsid w:val="003153E4"/>
    <w:rsid w:val="0031563F"/>
    <w:rsid w:val="003158C7"/>
    <w:rsid w:val="00315BB1"/>
    <w:rsid w:val="00315EB0"/>
    <w:rsid w:val="00315EC3"/>
    <w:rsid w:val="00316155"/>
    <w:rsid w:val="003202A6"/>
    <w:rsid w:val="00320969"/>
    <w:rsid w:val="00320A7B"/>
    <w:rsid w:val="00320F9A"/>
    <w:rsid w:val="003216A5"/>
    <w:rsid w:val="003216FB"/>
    <w:rsid w:val="00321E3B"/>
    <w:rsid w:val="00322093"/>
    <w:rsid w:val="0032258C"/>
    <w:rsid w:val="003225D6"/>
    <w:rsid w:val="00322705"/>
    <w:rsid w:val="00322A89"/>
    <w:rsid w:val="00323268"/>
    <w:rsid w:val="0032379B"/>
    <w:rsid w:val="00323EB9"/>
    <w:rsid w:val="0032488A"/>
    <w:rsid w:val="003249DB"/>
    <w:rsid w:val="00325217"/>
    <w:rsid w:val="0032567B"/>
    <w:rsid w:val="003256C4"/>
    <w:rsid w:val="0032587A"/>
    <w:rsid w:val="00325A2B"/>
    <w:rsid w:val="00325AA3"/>
    <w:rsid w:val="00325EC6"/>
    <w:rsid w:val="00326284"/>
    <w:rsid w:val="0032680F"/>
    <w:rsid w:val="00326EC3"/>
    <w:rsid w:val="00327322"/>
    <w:rsid w:val="00327408"/>
    <w:rsid w:val="00327866"/>
    <w:rsid w:val="003300A3"/>
    <w:rsid w:val="003307B7"/>
    <w:rsid w:val="00330EB9"/>
    <w:rsid w:val="00331452"/>
    <w:rsid w:val="00331FB5"/>
    <w:rsid w:val="0033296E"/>
    <w:rsid w:val="00333062"/>
    <w:rsid w:val="0033325B"/>
    <w:rsid w:val="00333808"/>
    <w:rsid w:val="00334042"/>
    <w:rsid w:val="0033417F"/>
    <w:rsid w:val="00335178"/>
    <w:rsid w:val="003351A3"/>
    <w:rsid w:val="00335A9B"/>
    <w:rsid w:val="00335F85"/>
    <w:rsid w:val="00336056"/>
    <w:rsid w:val="00336165"/>
    <w:rsid w:val="00336F0F"/>
    <w:rsid w:val="0033759A"/>
    <w:rsid w:val="00337D41"/>
    <w:rsid w:val="00337F4B"/>
    <w:rsid w:val="00340B6D"/>
    <w:rsid w:val="00340C43"/>
    <w:rsid w:val="00340C62"/>
    <w:rsid w:val="003410D3"/>
    <w:rsid w:val="0034142B"/>
    <w:rsid w:val="0034241A"/>
    <w:rsid w:val="003424B2"/>
    <w:rsid w:val="00342B03"/>
    <w:rsid w:val="00342FD4"/>
    <w:rsid w:val="003448B4"/>
    <w:rsid w:val="003453DA"/>
    <w:rsid w:val="00345616"/>
    <w:rsid w:val="00345DBC"/>
    <w:rsid w:val="00345FF2"/>
    <w:rsid w:val="00346298"/>
    <w:rsid w:val="00346419"/>
    <w:rsid w:val="00346553"/>
    <w:rsid w:val="003466F2"/>
    <w:rsid w:val="00346E5F"/>
    <w:rsid w:val="00346F2C"/>
    <w:rsid w:val="003471D1"/>
    <w:rsid w:val="00347210"/>
    <w:rsid w:val="003473BA"/>
    <w:rsid w:val="003473F2"/>
    <w:rsid w:val="00347795"/>
    <w:rsid w:val="003477D0"/>
    <w:rsid w:val="00347C86"/>
    <w:rsid w:val="00347D6D"/>
    <w:rsid w:val="00350ADA"/>
    <w:rsid w:val="00350EEA"/>
    <w:rsid w:val="003516CB"/>
    <w:rsid w:val="00351DCA"/>
    <w:rsid w:val="0035298D"/>
    <w:rsid w:val="00352A56"/>
    <w:rsid w:val="00352C59"/>
    <w:rsid w:val="0035379A"/>
    <w:rsid w:val="0035413B"/>
    <w:rsid w:val="003555AE"/>
    <w:rsid w:val="00356282"/>
    <w:rsid w:val="0035688F"/>
    <w:rsid w:val="003569E5"/>
    <w:rsid w:val="00356C3F"/>
    <w:rsid w:val="00356CA8"/>
    <w:rsid w:val="00356EDF"/>
    <w:rsid w:val="003579A1"/>
    <w:rsid w:val="00360117"/>
    <w:rsid w:val="003605EB"/>
    <w:rsid w:val="003614BE"/>
    <w:rsid w:val="003615D2"/>
    <w:rsid w:val="003620D3"/>
    <w:rsid w:val="00362711"/>
    <w:rsid w:val="00363C6D"/>
    <w:rsid w:val="003649B3"/>
    <w:rsid w:val="003651B6"/>
    <w:rsid w:val="00365529"/>
    <w:rsid w:val="0036553E"/>
    <w:rsid w:val="003657A9"/>
    <w:rsid w:val="003657B0"/>
    <w:rsid w:val="00365863"/>
    <w:rsid w:val="0036644F"/>
    <w:rsid w:val="003668F2"/>
    <w:rsid w:val="0036772B"/>
    <w:rsid w:val="00367A13"/>
    <w:rsid w:val="003703B5"/>
    <w:rsid w:val="00370499"/>
    <w:rsid w:val="00370582"/>
    <w:rsid w:val="00370876"/>
    <w:rsid w:val="003709AA"/>
    <w:rsid w:val="003713A1"/>
    <w:rsid w:val="00371650"/>
    <w:rsid w:val="0037174D"/>
    <w:rsid w:val="00371C78"/>
    <w:rsid w:val="00372684"/>
    <w:rsid w:val="0037272B"/>
    <w:rsid w:val="00372ADA"/>
    <w:rsid w:val="00372BA8"/>
    <w:rsid w:val="00372F4C"/>
    <w:rsid w:val="003738D8"/>
    <w:rsid w:val="00373931"/>
    <w:rsid w:val="00373B73"/>
    <w:rsid w:val="00373B79"/>
    <w:rsid w:val="00373CC8"/>
    <w:rsid w:val="00374D24"/>
    <w:rsid w:val="00374FEF"/>
    <w:rsid w:val="00375744"/>
    <w:rsid w:val="00375C9C"/>
    <w:rsid w:val="00375DE6"/>
    <w:rsid w:val="0037608C"/>
    <w:rsid w:val="00376224"/>
    <w:rsid w:val="0037626B"/>
    <w:rsid w:val="003770E3"/>
    <w:rsid w:val="00377595"/>
    <w:rsid w:val="00377817"/>
    <w:rsid w:val="003808CE"/>
    <w:rsid w:val="00380D6C"/>
    <w:rsid w:val="003815E0"/>
    <w:rsid w:val="00381EF0"/>
    <w:rsid w:val="0038202D"/>
    <w:rsid w:val="00382FD1"/>
    <w:rsid w:val="00383105"/>
    <w:rsid w:val="00383803"/>
    <w:rsid w:val="00383AEB"/>
    <w:rsid w:val="00384A10"/>
    <w:rsid w:val="00385EDA"/>
    <w:rsid w:val="00386753"/>
    <w:rsid w:val="00386B6D"/>
    <w:rsid w:val="00386FE9"/>
    <w:rsid w:val="00387481"/>
    <w:rsid w:val="00390131"/>
    <w:rsid w:val="00390854"/>
    <w:rsid w:val="00390AE9"/>
    <w:rsid w:val="00390BBB"/>
    <w:rsid w:val="00390C2B"/>
    <w:rsid w:val="00390DFD"/>
    <w:rsid w:val="00391BBE"/>
    <w:rsid w:val="00392EF1"/>
    <w:rsid w:val="003936AD"/>
    <w:rsid w:val="00393BB4"/>
    <w:rsid w:val="00393CDC"/>
    <w:rsid w:val="003942E5"/>
    <w:rsid w:val="0039453A"/>
    <w:rsid w:val="0039487F"/>
    <w:rsid w:val="003958F1"/>
    <w:rsid w:val="00397206"/>
    <w:rsid w:val="003974B3"/>
    <w:rsid w:val="00397BF3"/>
    <w:rsid w:val="003A13A1"/>
    <w:rsid w:val="003A13AE"/>
    <w:rsid w:val="003A13B9"/>
    <w:rsid w:val="003A1509"/>
    <w:rsid w:val="003A190B"/>
    <w:rsid w:val="003A1A14"/>
    <w:rsid w:val="003A1A6E"/>
    <w:rsid w:val="003A1DCC"/>
    <w:rsid w:val="003A2EC4"/>
    <w:rsid w:val="003A2FDC"/>
    <w:rsid w:val="003A30AD"/>
    <w:rsid w:val="003A33AD"/>
    <w:rsid w:val="003A428C"/>
    <w:rsid w:val="003A4416"/>
    <w:rsid w:val="003A4A73"/>
    <w:rsid w:val="003A4C6B"/>
    <w:rsid w:val="003A4F1E"/>
    <w:rsid w:val="003A5E03"/>
    <w:rsid w:val="003A5E99"/>
    <w:rsid w:val="003A5F32"/>
    <w:rsid w:val="003A62DD"/>
    <w:rsid w:val="003A6581"/>
    <w:rsid w:val="003A7CB0"/>
    <w:rsid w:val="003A7CB5"/>
    <w:rsid w:val="003B0121"/>
    <w:rsid w:val="003B025C"/>
    <w:rsid w:val="003B11F3"/>
    <w:rsid w:val="003B177C"/>
    <w:rsid w:val="003B1789"/>
    <w:rsid w:val="003B3715"/>
    <w:rsid w:val="003B3BBB"/>
    <w:rsid w:val="003B4871"/>
    <w:rsid w:val="003B4918"/>
    <w:rsid w:val="003B55A9"/>
    <w:rsid w:val="003B56CB"/>
    <w:rsid w:val="003B5BD3"/>
    <w:rsid w:val="003B5C1D"/>
    <w:rsid w:val="003B68AC"/>
    <w:rsid w:val="003B6D58"/>
    <w:rsid w:val="003B735C"/>
    <w:rsid w:val="003B78A9"/>
    <w:rsid w:val="003B7B77"/>
    <w:rsid w:val="003C03CB"/>
    <w:rsid w:val="003C0CDD"/>
    <w:rsid w:val="003C1657"/>
    <w:rsid w:val="003C1C1D"/>
    <w:rsid w:val="003C1C7A"/>
    <w:rsid w:val="003C1C81"/>
    <w:rsid w:val="003C2173"/>
    <w:rsid w:val="003C2426"/>
    <w:rsid w:val="003C333E"/>
    <w:rsid w:val="003C3634"/>
    <w:rsid w:val="003C39ED"/>
    <w:rsid w:val="003C3CC3"/>
    <w:rsid w:val="003C3F14"/>
    <w:rsid w:val="003C4CD9"/>
    <w:rsid w:val="003C4E40"/>
    <w:rsid w:val="003C5395"/>
    <w:rsid w:val="003C5BF1"/>
    <w:rsid w:val="003C61A8"/>
    <w:rsid w:val="003C62B9"/>
    <w:rsid w:val="003C6463"/>
    <w:rsid w:val="003C6951"/>
    <w:rsid w:val="003C6993"/>
    <w:rsid w:val="003C70A2"/>
    <w:rsid w:val="003D13EC"/>
    <w:rsid w:val="003D1662"/>
    <w:rsid w:val="003D171A"/>
    <w:rsid w:val="003D183A"/>
    <w:rsid w:val="003D1BB5"/>
    <w:rsid w:val="003D1E34"/>
    <w:rsid w:val="003D2602"/>
    <w:rsid w:val="003D2E46"/>
    <w:rsid w:val="003D3021"/>
    <w:rsid w:val="003D3329"/>
    <w:rsid w:val="003D3676"/>
    <w:rsid w:val="003D3DDF"/>
    <w:rsid w:val="003D3EE8"/>
    <w:rsid w:val="003D3F1B"/>
    <w:rsid w:val="003D4ED8"/>
    <w:rsid w:val="003D4F7F"/>
    <w:rsid w:val="003D5B2D"/>
    <w:rsid w:val="003D6573"/>
    <w:rsid w:val="003D6AD3"/>
    <w:rsid w:val="003E05FF"/>
    <w:rsid w:val="003E1112"/>
    <w:rsid w:val="003E16F4"/>
    <w:rsid w:val="003E18F4"/>
    <w:rsid w:val="003E2615"/>
    <w:rsid w:val="003E2E8E"/>
    <w:rsid w:val="003E2FA6"/>
    <w:rsid w:val="003E2FC8"/>
    <w:rsid w:val="003E3548"/>
    <w:rsid w:val="003E39EC"/>
    <w:rsid w:val="003E39F9"/>
    <w:rsid w:val="003E3B9F"/>
    <w:rsid w:val="003E435B"/>
    <w:rsid w:val="003E4944"/>
    <w:rsid w:val="003E4D2E"/>
    <w:rsid w:val="003E4DC5"/>
    <w:rsid w:val="003E513B"/>
    <w:rsid w:val="003E5523"/>
    <w:rsid w:val="003E5BC8"/>
    <w:rsid w:val="003E61C3"/>
    <w:rsid w:val="003E6CB4"/>
    <w:rsid w:val="003E6D1A"/>
    <w:rsid w:val="003E743B"/>
    <w:rsid w:val="003E754F"/>
    <w:rsid w:val="003E7C61"/>
    <w:rsid w:val="003E7D63"/>
    <w:rsid w:val="003E7FB7"/>
    <w:rsid w:val="003F0058"/>
    <w:rsid w:val="003F098D"/>
    <w:rsid w:val="003F0F02"/>
    <w:rsid w:val="003F1173"/>
    <w:rsid w:val="003F18CC"/>
    <w:rsid w:val="003F1CCC"/>
    <w:rsid w:val="003F1E39"/>
    <w:rsid w:val="003F24A1"/>
    <w:rsid w:val="003F297B"/>
    <w:rsid w:val="003F2BF9"/>
    <w:rsid w:val="003F2D23"/>
    <w:rsid w:val="003F3238"/>
    <w:rsid w:val="003F3797"/>
    <w:rsid w:val="003F3F0B"/>
    <w:rsid w:val="003F4068"/>
    <w:rsid w:val="003F4583"/>
    <w:rsid w:val="003F5687"/>
    <w:rsid w:val="003F57DA"/>
    <w:rsid w:val="003F583E"/>
    <w:rsid w:val="003F5977"/>
    <w:rsid w:val="003F5F82"/>
    <w:rsid w:val="003F6A9C"/>
    <w:rsid w:val="003F6BC7"/>
    <w:rsid w:val="003F6CBF"/>
    <w:rsid w:val="003F6F24"/>
    <w:rsid w:val="003F7001"/>
    <w:rsid w:val="003F7259"/>
    <w:rsid w:val="003F72D3"/>
    <w:rsid w:val="003F7E7A"/>
    <w:rsid w:val="004003EE"/>
    <w:rsid w:val="00400803"/>
    <w:rsid w:val="00400CB9"/>
    <w:rsid w:val="00400DB1"/>
    <w:rsid w:val="00401D58"/>
    <w:rsid w:val="004024A7"/>
    <w:rsid w:val="00402501"/>
    <w:rsid w:val="004028FE"/>
    <w:rsid w:val="004045B8"/>
    <w:rsid w:val="00404625"/>
    <w:rsid w:val="004047D0"/>
    <w:rsid w:val="00404922"/>
    <w:rsid w:val="00404997"/>
    <w:rsid w:val="00404F32"/>
    <w:rsid w:val="00405B07"/>
    <w:rsid w:val="00406191"/>
    <w:rsid w:val="004069EF"/>
    <w:rsid w:val="00407C6C"/>
    <w:rsid w:val="00410173"/>
    <w:rsid w:val="00410C13"/>
    <w:rsid w:val="0041191C"/>
    <w:rsid w:val="00412677"/>
    <w:rsid w:val="004128BC"/>
    <w:rsid w:val="004129E0"/>
    <w:rsid w:val="00412A13"/>
    <w:rsid w:val="00412CE3"/>
    <w:rsid w:val="00412DF2"/>
    <w:rsid w:val="0041343C"/>
    <w:rsid w:val="00414AA8"/>
    <w:rsid w:val="00415422"/>
    <w:rsid w:val="004154EC"/>
    <w:rsid w:val="00415A6D"/>
    <w:rsid w:val="0041638D"/>
    <w:rsid w:val="00416BFE"/>
    <w:rsid w:val="004179B3"/>
    <w:rsid w:val="004218D2"/>
    <w:rsid w:val="00421A6F"/>
    <w:rsid w:val="0042231F"/>
    <w:rsid w:val="004227EB"/>
    <w:rsid w:val="0042289D"/>
    <w:rsid w:val="00422EF8"/>
    <w:rsid w:val="00424666"/>
    <w:rsid w:val="004249EE"/>
    <w:rsid w:val="004258D2"/>
    <w:rsid w:val="004264F8"/>
    <w:rsid w:val="00426699"/>
    <w:rsid w:val="00426C7F"/>
    <w:rsid w:val="00426D23"/>
    <w:rsid w:val="00426FC7"/>
    <w:rsid w:val="00427871"/>
    <w:rsid w:val="004306F1"/>
    <w:rsid w:val="00430B9F"/>
    <w:rsid w:val="0043160E"/>
    <w:rsid w:val="00431858"/>
    <w:rsid w:val="00432863"/>
    <w:rsid w:val="004331E9"/>
    <w:rsid w:val="004334C7"/>
    <w:rsid w:val="00433C9E"/>
    <w:rsid w:val="0043405C"/>
    <w:rsid w:val="00434121"/>
    <w:rsid w:val="00434EF0"/>
    <w:rsid w:val="00435463"/>
    <w:rsid w:val="004358B1"/>
    <w:rsid w:val="0043669D"/>
    <w:rsid w:val="00436B1B"/>
    <w:rsid w:val="00437205"/>
    <w:rsid w:val="00437795"/>
    <w:rsid w:val="00437E9B"/>
    <w:rsid w:val="00437E9D"/>
    <w:rsid w:val="00437F9A"/>
    <w:rsid w:val="00440314"/>
    <w:rsid w:val="004403BB"/>
    <w:rsid w:val="004406B5"/>
    <w:rsid w:val="00440CA7"/>
    <w:rsid w:val="00440E7A"/>
    <w:rsid w:val="00442014"/>
    <w:rsid w:val="00442210"/>
    <w:rsid w:val="00442616"/>
    <w:rsid w:val="00443311"/>
    <w:rsid w:val="004437E3"/>
    <w:rsid w:val="004439BD"/>
    <w:rsid w:val="00443B1B"/>
    <w:rsid w:val="004448A0"/>
    <w:rsid w:val="004448DA"/>
    <w:rsid w:val="00444B37"/>
    <w:rsid w:val="00444E0E"/>
    <w:rsid w:val="00444FC8"/>
    <w:rsid w:val="004455D2"/>
    <w:rsid w:val="004458D5"/>
    <w:rsid w:val="00446702"/>
    <w:rsid w:val="00446A10"/>
    <w:rsid w:val="004473ED"/>
    <w:rsid w:val="00447C88"/>
    <w:rsid w:val="00450479"/>
    <w:rsid w:val="0045047F"/>
    <w:rsid w:val="0045098D"/>
    <w:rsid w:val="00450BC0"/>
    <w:rsid w:val="00452666"/>
    <w:rsid w:val="00452CF8"/>
    <w:rsid w:val="00453137"/>
    <w:rsid w:val="004533CB"/>
    <w:rsid w:val="004533D8"/>
    <w:rsid w:val="00453798"/>
    <w:rsid w:val="004539FE"/>
    <w:rsid w:val="00453F52"/>
    <w:rsid w:val="00454926"/>
    <w:rsid w:val="0045494E"/>
    <w:rsid w:val="00454C9C"/>
    <w:rsid w:val="0045502F"/>
    <w:rsid w:val="0045553A"/>
    <w:rsid w:val="00455879"/>
    <w:rsid w:val="0045593C"/>
    <w:rsid w:val="004566C1"/>
    <w:rsid w:val="00456DFB"/>
    <w:rsid w:val="00460051"/>
    <w:rsid w:val="004604D2"/>
    <w:rsid w:val="00460D99"/>
    <w:rsid w:val="00461719"/>
    <w:rsid w:val="00462480"/>
    <w:rsid w:val="004629D8"/>
    <w:rsid w:val="00462D41"/>
    <w:rsid w:val="004630C0"/>
    <w:rsid w:val="0046316F"/>
    <w:rsid w:val="004634F7"/>
    <w:rsid w:val="00463A18"/>
    <w:rsid w:val="00463C10"/>
    <w:rsid w:val="00463C25"/>
    <w:rsid w:val="00463CD4"/>
    <w:rsid w:val="00463DCA"/>
    <w:rsid w:val="0046401E"/>
    <w:rsid w:val="0046433E"/>
    <w:rsid w:val="00464A6F"/>
    <w:rsid w:val="004650BD"/>
    <w:rsid w:val="00465161"/>
    <w:rsid w:val="00465457"/>
    <w:rsid w:val="004667BD"/>
    <w:rsid w:val="00466A4B"/>
    <w:rsid w:val="00467497"/>
    <w:rsid w:val="004700C3"/>
    <w:rsid w:val="0047036E"/>
    <w:rsid w:val="00470BEB"/>
    <w:rsid w:val="00470CA2"/>
    <w:rsid w:val="00471007"/>
    <w:rsid w:val="00471345"/>
    <w:rsid w:val="00471791"/>
    <w:rsid w:val="00472BFA"/>
    <w:rsid w:val="004733B0"/>
    <w:rsid w:val="004737A3"/>
    <w:rsid w:val="00473FB8"/>
    <w:rsid w:val="00473FCA"/>
    <w:rsid w:val="004740C3"/>
    <w:rsid w:val="00474711"/>
    <w:rsid w:val="00474A30"/>
    <w:rsid w:val="00474A71"/>
    <w:rsid w:val="00474AC8"/>
    <w:rsid w:val="00475466"/>
    <w:rsid w:val="004755E6"/>
    <w:rsid w:val="0047588F"/>
    <w:rsid w:val="00475939"/>
    <w:rsid w:val="004761D2"/>
    <w:rsid w:val="00476262"/>
    <w:rsid w:val="0047633E"/>
    <w:rsid w:val="0047638B"/>
    <w:rsid w:val="00476934"/>
    <w:rsid w:val="00476B11"/>
    <w:rsid w:val="00476C56"/>
    <w:rsid w:val="00476FC9"/>
    <w:rsid w:val="004773D1"/>
    <w:rsid w:val="00477A72"/>
    <w:rsid w:val="00477C9E"/>
    <w:rsid w:val="00477CCE"/>
    <w:rsid w:val="00480D77"/>
    <w:rsid w:val="00480DA1"/>
    <w:rsid w:val="00481936"/>
    <w:rsid w:val="004819FF"/>
    <w:rsid w:val="00481C88"/>
    <w:rsid w:val="00481DFB"/>
    <w:rsid w:val="00482A4E"/>
    <w:rsid w:val="00482C4B"/>
    <w:rsid w:val="00483340"/>
    <w:rsid w:val="00483CD5"/>
    <w:rsid w:val="0048410F"/>
    <w:rsid w:val="004845BB"/>
    <w:rsid w:val="00484CF8"/>
    <w:rsid w:val="00484E5D"/>
    <w:rsid w:val="00485FB3"/>
    <w:rsid w:val="0048601B"/>
    <w:rsid w:val="004865B5"/>
    <w:rsid w:val="004866EC"/>
    <w:rsid w:val="004866ED"/>
    <w:rsid w:val="00487041"/>
    <w:rsid w:val="00487546"/>
    <w:rsid w:val="00487960"/>
    <w:rsid w:val="00487B50"/>
    <w:rsid w:val="00490DBE"/>
    <w:rsid w:val="0049204F"/>
    <w:rsid w:val="004923D9"/>
    <w:rsid w:val="00492962"/>
    <w:rsid w:val="00493A04"/>
    <w:rsid w:val="004944BF"/>
    <w:rsid w:val="00494564"/>
    <w:rsid w:val="00494A26"/>
    <w:rsid w:val="00494E49"/>
    <w:rsid w:val="00495019"/>
    <w:rsid w:val="0049593F"/>
    <w:rsid w:val="00495E7A"/>
    <w:rsid w:val="004962FE"/>
    <w:rsid w:val="004968C0"/>
    <w:rsid w:val="00497339"/>
    <w:rsid w:val="004973E8"/>
    <w:rsid w:val="004A02F8"/>
    <w:rsid w:val="004A03F1"/>
    <w:rsid w:val="004A0C84"/>
    <w:rsid w:val="004A1A99"/>
    <w:rsid w:val="004A1D10"/>
    <w:rsid w:val="004A21FC"/>
    <w:rsid w:val="004A2271"/>
    <w:rsid w:val="004A2301"/>
    <w:rsid w:val="004A282D"/>
    <w:rsid w:val="004A2ACD"/>
    <w:rsid w:val="004A2C05"/>
    <w:rsid w:val="004A3282"/>
    <w:rsid w:val="004A3471"/>
    <w:rsid w:val="004A422A"/>
    <w:rsid w:val="004A436C"/>
    <w:rsid w:val="004A4B5C"/>
    <w:rsid w:val="004A54AC"/>
    <w:rsid w:val="004A54CC"/>
    <w:rsid w:val="004A6777"/>
    <w:rsid w:val="004A701C"/>
    <w:rsid w:val="004A7A67"/>
    <w:rsid w:val="004A7C33"/>
    <w:rsid w:val="004A7CFB"/>
    <w:rsid w:val="004A7F9A"/>
    <w:rsid w:val="004B0A12"/>
    <w:rsid w:val="004B10C5"/>
    <w:rsid w:val="004B1238"/>
    <w:rsid w:val="004B171D"/>
    <w:rsid w:val="004B378D"/>
    <w:rsid w:val="004B3A0D"/>
    <w:rsid w:val="004B3E3F"/>
    <w:rsid w:val="004B410E"/>
    <w:rsid w:val="004B44A3"/>
    <w:rsid w:val="004B4D51"/>
    <w:rsid w:val="004B5200"/>
    <w:rsid w:val="004B5394"/>
    <w:rsid w:val="004B5587"/>
    <w:rsid w:val="004B55D6"/>
    <w:rsid w:val="004B5B5E"/>
    <w:rsid w:val="004B6661"/>
    <w:rsid w:val="004B6BB4"/>
    <w:rsid w:val="004C016C"/>
    <w:rsid w:val="004C06F9"/>
    <w:rsid w:val="004C0EEC"/>
    <w:rsid w:val="004C144B"/>
    <w:rsid w:val="004C15E8"/>
    <w:rsid w:val="004C168B"/>
    <w:rsid w:val="004C21FE"/>
    <w:rsid w:val="004C2761"/>
    <w:rsid w:val="004C2E0D"/>
    <w:rsid w:val="004C475F"/>
    <w:rsid w:val="004C4A1A"/>
    <w:rsid w:val="004C4E30"/>
    <w:rsid w:val="004C50E7"/>
    <w:rsid w:val="004C5118"/>
    <w:rsid w:val="004C5163"/>
    <w:rsid w:val="004C5212"/>
    <w:rsid w:val="004C52D3"/>
    <w:rsid w:val="004C54D2"/>
    <w:rsid w:val="004C6016"/>
    <w:rsid w:val="004C60C0"/>
    <w:rsid w:val="004C66C0"/>
    <w:rsid w:val="004C6760"/>
    <w:rsid w:val="004C6BAF"/>
    <w:rsid w:val="004C72D6"/>
    <w:rsid w:val="004C7731"/>
    <w:rsid w:val="004D0157"/>
    <w:rsid w:val="004D0572"/>
    <w:rsid w:val="004D08C2"/>
    <w:rsid w:val="004D0CD8"/>
    <w:rsid w:val="004D1A09"/>
    <w:rsid w:val="004D1C0B"/>
    <w:rsid w:val="004D20E7"/>
    <w:rsid w:val="004D2AC5"/>
    <w:rsid w:val="004D2B08"/>
    <w:rsid w:val="004D2D01"/>
    <w:rsid w:val="004D2E61"/>
    <w:rsid w:val="004D3EB5"/>
    <w:rsid w:val="004D41C6"/>
    <w:rsid w:val="004D442F"/>
    <w:rsid w:val="004D4810"/>
    <w:rsid w:val="004D48C6"/>
    <w:rsid w:val="004D4A41"/>
    <w:rsid w:val="004D4B60"/>
    <w:rsid w:val="004D4B9E"/>
    <w:rsid w:val="004D4CAB"/>
    <w:rsid w:val="004D5276"/>
    <w:rsid w:val="004D5357"/>
    <w:rsid w:val="004D5BCB"/>
    <w:rsid w:val="004D5F7B"/>
    <w:rsid w:val="004D6EB5"/>
    <w:rsid w:val="004D71EA"/>
    <w:rsid w:val="004E0099"/>
    <w:rsid w:val="004E00EE"/>
    <w:rsid w:val="004E0557"/>
    <w:rsid w:val="004E149F"/>
    <w:rsid w:val="004E150E"/>
    <w:rsid w:val="004E1BA3"/>
    <w:rsid w:val="004E1EEB"/>
    <w:rsid w:val="004E2F2C"/>
    <w:rsid w:val="004E301C"/>
    <w:rsid w:val="004E4096"/>
    <w:rsid w:val="004E43F1"/>
    <w:rsid w:val="004E53D5"/>
    <w:rsid w:val="004E672C"/>
    <w:rsid w:val="004E6A96"/>
    <w:rsid w:val="004E6EAD"/>
    <w:rsid w:val="004E71F3"/>
    <w:rsid w:val="004E724A"/>
    <w:rsid w:val="004E7468"/>
    <w:rsid w:val="004E75AF"/>
    <w:rsid w:val="004F0275"/>
    <w:rsid w:val="004F0362"/>
    <w:rsid w:val="004F076E"/>
    <w:rsid w:val="004F1144"/>
    <w:rsid w:val="004F2C3A"/>
    <w:rsid w:val="004F3356"/>
    <w:rsid w:val="004F3439"/>
    <w:rsid w:val="004F373F"/>
    <w:rsid w:val="004F39D0"/>
    <w:rsid w:val="004F3B5D"/>
    <w:rsid w:val="004F466A"/>
    <w:rsid w:val="004F4DDC"/>
    <w:rsid w:val="004F5566"/>
    <w:rsid w:val="004F5739"/>
    <w:rsid w:val="004F599B"/>
    <w:rsid w:val="004F6512"/>
    <w:rsid w:val="004F77FB"/>
    <w:rsid w:val="004F7A73"/>
    <w:rsid w:val="004F7EC9"/>
    <w:rsid w:val="00501044"/>
    <w:rsid w:val="00501516"/>
    <w:rsid w:val="00501A1B"/>
    <w:rsid w:val="00502308"/>
    <w:rsid w:val="005024D6"/>
    <w:rsid w:val="00502894"/>
    <w:rsid w:val="0050352C"/>
    <w:rsid w:val="00503784"/>
    <w:rsid w:val="00503ABD"/>
    <w:rsid w:val="00503AD7"/>
    <w:rsid w:val="00503BBA"/>
    <w:rsid w:val="00503BD7"/>
    <w:rsid w:val="00503C61"/>
    <w:rsid w:val="005045BF"/>
    <w:rsid w:val="0050556E"/>
    <w:rsid w:val="0050563D"/>
    <w:rsid w:val="005058F3"/>
    <w:rsid w:val="00505EE3"/>
    <w:rsid w:val="0050641B"/>
    <w:rsid w:val="00506799"/>
    <w:rsid w:val="005067C3"/>
    <w:rsid w:val="00506E14"/>
    <w:rsid w:val="0050708D"/>
    <w:rsid w:val="00507B74"/>
    <w:rsid w:val="00510666"/>
    <w:rsid w:val="00510F39"/>
    <w:rsid w:val="0051135B"/>
    <w:rsid w:val="005116CE"/>
    <w:rsid w:val="005118F1"/>
    <w:rsid w:val="00511909"/>
    <w:rsid w:val="00511AD8"/>
    <w:rsid w:val="00511D8B"/>
    <w:rsid w:val="00511EE6"/>
    <w:rsid w:val="0051248E"/>
    <w:rsid w:val="005125AD"/>
    <w:rsid w:val="005126A4"/>
    <w:rsid w:val="005127C6"/>
    <w:rsid w:val="005133FF"/>
    <w:rsid w:val="0051391C"/>
    <w:rsid w:val="00513C28"/>
    <w:rsid w:val="00513E2A"/>
    <w:rsid w:val="005140D6"/>
    <w:rsid w:val="00514397"/>
    <w:rsid w:val="00514A76"/>
    <w:rsid w:val="00515179"/>
    <w:rsid w:val="0051554B"/>
    <w:rsid w:val="00515952"/>
    <w:rsid w:val="005159BC"/>
    <w:rsid w:val="00515A6E"/>
    <w:rsid w:val="00515BFA"/>
    <w:rsid w:val="00516297"/>
    <w:rsid w:val="005163C5"/>
    <w:rsid w:val="005164FD"/>
    <w:rsid w:val="005166D3"/>
    <w:rsid w:val="00520064"/>
    <w:rsid w:val="00520080"/>
    <w:rsid w:val="00520293"/>
    <w:rsid w:val="00520D50"/>
    <w:rsid w:val="005219FF"/>
    <w:rsid w:val="00521EE0"/>
    <w:rsid w:val="0052219A"/>
    <w:rsid w:val="00522D38"/>
    <w:rsid w:val="00522E24"/>
    <w:rsid w:val="00523AA6"/>
    <w:rsid w:val="00523C99"/>
    <w:rsid w:val="005246E1"/>
    <w:rsid w:val="00524CF7"/>
    <w:rsid w:val="00525103"/>
    <w:rsid w:val="005258FB"/>
    <w:rsid w:val="00526ABA"/>
    <w:rsid w:val="00526E45"/>
    <w:rsid w:val="00526EC3"/>
    <w:rsid w:val="00526FFE"/>
    <w:rsid w:val="005277D3"/>
    <w:rsid w:val="00531359"/>
    <w:rsid w:val="00531A76"/>
    <w:rsid w:val="00532CC9"/>
    <w:rsid w:val="00533761"/>
    <w:rsid w:val="00533B8E"/>
    <w:rsid w:val="00533E1E"/>
    <w:rsid w:val="00535A38"/>
    <w:rsid w:val="0053636D"/>
    <w:rsid w:val="0053662F"/>
    <w:rsid w:val="005368C8"/>
    <w:rsid w:val="00536FFA"/>
    <w:rsid w:val="005401F8"/>
    <w:rsid w:val="005408D9"/>
    <w:rsid w:val="00540E87"/>
    <w:rsid w:val="00541071"/>
    <w:rsid w:val="005410CC"/>
    <w:rsid w:val="00541A80"/>
    <w:rsid w:val="00541B30"/>
    <w:rsid w:val="00541D6E"/>
    <w:rsid w:val="005421C7"/>
    <w:rsid w:val="005422AC"/>
    <w:rsid w:val="005423B8"/>
    <w:rsid w:val="0054264E"/>
    <w:rsid w:val="00543541"/>
    <w:rsid w:val="0054368A"/>
    <w:rsid w:val="0054394E"/>
    <w:rsid w:val="00543E61"/>
    <w:rsid w:val="0054425D"/>
    <w:rsid w:val="005450F0"/>
    <w:rsid w:val="00545598"/>
    <w:rsid w:val="00545C45"/>
    <w:rsid w:val="00546726"/>
    <w:rsid w:val="00546A65"/>
    <w:rsid w:val="005470B3"/>
    <w:rsid w:val="005472A4"/>
    <w:rsid w:val="0054741E"/>
    <w:rsid w:val="005475CE"/>
    <w:rsid w:val="00547DC2"/>
    <w:rsid w:val="00550597"/>
    <w:rsid w:val="005510CC"/>
    <w:rsid w:val="005512C3"/>
    <w:rsid w:val="0055164B"/>
    <w:rsid w:val="00551A7C"/>
    <w:rsid w:val="00551F9D"/>
    <w:rsid w:val="005534E1"/>
    <w:rsid w:val="00553527"/>
    <w:rsid w:val="00553749"/>
    <w:rsid w:val="00553817"/>
    <w:rsid w:val="00554BBD"/>
    <w:rsid w:val="00555084"/>
    <w:rsid w:val="00555361"/>
    <w:rsid w:val="0055538A"/>
    <w:rsid w:val="005555CB"/>
    <w:rsid w:val="005558CC"/>
    <w:rsid w:val="00556127"/>
    <w:rsid w:val="005561B3"/>
    <w:rsid w:val="00556642"/>
    <w:rsid w:val="00556FA7"/>
    <w:rsid w:val="005600E5"/>
    <w:rsid w:val="00560492"/>
    <w:rsid w:val="0056057B"/>
    <w:rsid w:val="00560669"/>
    <w:rsid w:val="00560BB1"/>
    <w:rsid w:val="00560E8F"/>
    <w:rsid w:val="0056142A"/>
    <w:rsid w:val="0056180E"/>
    <w:rsid w:val="00561A01"/>
    <w:rsid w:val="005620C3"/>
    <w:rsid w:val="00562B9C"/>
    <w:rsid w:val="0056449C"/>
    <w:rsid w:val="00564CA9"/>
    <w:rsid w:val="00564E4C"/>
    <w:rsid w:val="005652B1"/>
    <w:rsid w:val="005652C3"/>
    <w:rsid w:val="00565387"/>
    <w:rsid w:val="00565964"/>
    <w:rsid w:val="00565AE6"/>
    <w:rsid w:val="00565B89"/>
    <w:rsid w:val="00565D20"/>
    <w:rsid w:val="005671B1"/>
    <w:rsid w:val="005674BB"/>
    <w:rsid w:val="0056798A"/>
    <w:rsid w:val="00567D72"/>
    <w:rsid w:val="00570131"/>
    <w:rsid w:val="005702C9"/>
    <w:rsid w:val="005703CC"/>
    <w:rsid w:val="005707C1"/>
    <w:rsid w:val="00570867"/>
    <w:rsid w:val="00570B90"/>
    <w:rsid w:val="00570D97"/>
    <w:rsid w:val="00572075"/>
    <w:rsid w:val="00572784"/>
    <w:rsid w:val="00572DE7"/>
    <w:rsid w:val="00572E02"/>
    <w:rsid w:val="00572E0C"/>
    <w:rsid w:val="00572EF3"/>
    <w:rsid w:val="00573B95"/>
    <w:rsid w:val="00573E08"/>
    <w:rsid w:val="00574448"/>
    <w:rsid w:val="005749AC"/>
    <w:rsid w:val="00574A30"/>
    <w:rsid w:val="00574EF7"/>
    <w:rsid w:val="00575E48"/>
    <w:rsid w:val="00576059"/>
    <w:rsid w:val="005760D9"/>
    <w:rsid w:val="005762FE"/>
    <w:rsid w:val="00576775"/>
    <w:rsid w:val="00576F54"/>
    <w:rsid w:val="00577BEE"/>
    <w:rsid w:val="005803F9"/>
    <w:rsid w:val="0058086F"/>
    <w:rsid w:val="005809EF"/>
    <w:rsid w:val="00581615"/>
    <w:rsid w:val="00581F17"/>
    <w:rsid w:val="00582089"/>
    <w:rsid w:val="005823F6"/>
    <w:rsid w:val="005824BA"/>
    <w:rsid w:val="00582BFE"/>
    <w:rsid w:val="00582D77"/>
    <w:rsid w:val="00582DEE"/>
    <w:rsid w:val="00582F57"/>
    <w:rsid w:val="005832A5"/>
    <w:rsid w:val="005836A7"/>
    <w:rsid w:val="005851E3"/>
    <w:rsid w:val="00585847"/>
    <w:rsid w:val="005858CA"/>
    <w:rsid w:val="00586F62"/>
    <w:rsid w:val="00587903"/>
    <w:rsid w:val="00590611"/>
    <w:rsid w:val="0059111C"/>
    <w:rsid w:val="005913C5"/>
    <w:rsid w:val="005921A3"/>
    <w:rsid w:val="0059249B"/>
    <w:rsid w:val="00592B86"/>
    <w:rsid w:val="00593674"/>
    <w:rsid w:val="00593F24"/>
    <w:rsid w:val="00594225"/>
    <w:rsid w:val="005948E7"/>
    <w:rsid w:val="005949FE"/>
    <w:rsid w:val="00594B4F"/>
    <w:rsid w:val="00595E56"/>
    <w:rsid w:val="005963FE"/>
    <w:rsid w:val="005965B1"/>
    <w:rsid w:val="00596725"/>
    <w:rsid w:val="00596CC8"/>
    <w:rsid w:val="00596DC0"/>
    <w:rsid w:val="00596E23"/>
    <w:rsid w:val="00597056"/>
    <w:rsid w:val="00597762"/>
    <w:rsid w:val="005977A3"/>
    <w:rsid w:val="005A085F"/>
    <w:rsid w:val="005A0B4A"/>
    <w:rsid w:val="005A135D"/>
    <w:rsid w:val="005A1429"/>
    <w:rsid w:val="005A19B3"/>
    <w:rsid w:val="005A1DDE"/>
    <w:rsid w:val="005A264A"/>
    <w:rsid w:val="005A3DD1"/>
    <w:rsid w:val="005A41F2"/>
    <w:rsid w:val="005A55F2"/>
    <w:rsid w:val="005A5702"/>
    <w:rsid w:val="005A622A"/>
    <w:rsid w:val="005A65F8"/>
    <w:rsid w:val="005B08DB"/>
    <w:rsid w:val="005B1169"/>
    <w:rsid w:val="005B154A"/>
    <w:rsid w:val="005B1635"/>
    <w:rsid w:val="005B1BA8"/>
    <w:rsid w:val="005B26F4"/>
    <w:rsid w:val="005B2B31"/>
    <w:rsid w:val="005B3538"/>
    <w:rsid w:val="005B3933"/>
    <w:rsid w:val="005B3936"/>
    <w:rsid w:val="005B4795"/>
    <w:rsid w:val="005B4966"/>
    <w:rsid w:val="005B4A30"/>
    <w:rsid w:val="005B4BA5"/>
    <w:rsid w:val="005B4C6A"/>
    <w:rsid w:val="005B5076"/>
    <w:rsid w:val="005B5161"/>
    <w:rsid w:val="005B56EA"/>
    <w:rsid w:val="005B5885"/>
    <w:rsid w:val="005B5A6E"/>
    <w:rsid w:val="005B5E98"/>
    <w:rsid w:val="005B634E"/>
    <w:rsid w:val="005B6473"/>
    <w:rsid w:val="005B6F8B"/>
    <w:rsid w:val="005B7203"/>
    <w:rsid w:val="005B73FB"/>
    <w:rsid w:val="005C01F8"/>
    <w:rsid w:val="005C02DA"/>
    <w:rsid w:val="005C121E"/>
    <w:rsid w:val="005C14DC"/>
    <w:rsid w:val="005C1B2D"/>
    <w:rsid w:val="005C272A"/>
    <w:rsid w:val="005C2A98"/>
    <w:rsid w:val="005C38B4"/>
    <w:rsid w:val="005C4124"/>
    <w:rsid w:val="005C4481"/>
    <w:rsid w:val="005C453A"/>
    <w:rsid w:val="005C5356"/>
    <w:rsid w:val="005C56A4"/>
    <w:rsid w:val="005C5B5A"/>
    <w:rsid w:val="005C61B4"/>
    <w:rsid w:val="005C64AE"/>
    <w:rsid w:val="005C686E"/>
    <w:rsid w:val="005C6EFC"/>
    <w:rsid w:val="005D03E3"/>
    <w:rsid w:val="005D0A93"/>
    <w:rsid w:val="005D141F"/>
    <w:rsid w:val="005D18D0"/>
    <w:rsid w:val="005D2066"/>
    <w:rsid w:val="005D246F"/>
    <w:rsid w:val="005D270D"/>
    <w:rsid w:val="005D289B"/>
    <w:rsid w:val="005D28B6"/>
    <w:rsid w:val="005D28ED"/>
    <w:rsid w:val="005D368E"/>
    <w:rsid w:val="005D38F5"/>
    <w:rsid w:val="005D3B44"/>
    <w:rsid w:val="005D3F89"/>
    <w:rsid w:val="005D4262"/>
    <w:rsid w:val="005D4485"/>
    <w:rsid w:val="005D4C67"/>
    <w:rsid w:val="005D58E6"/>
    <w:rsid w:val="005D5A56"/>
    <w:rsid w:val="005D5EB0"/>
    <w:rsid w:val="005D6B86"/>
    <w:rsid w:val="005D6EDC"/>
    <w:rsid w:val="005D7E73"/>
    <w:rsid w:val="005E03E0"/>
    <w:rsid w:val="005E099A"/>
    <w:rsid w:val="005E09CF"/>
    <w:rsid w:val="005E0F08"/>
    <w:rsid w:val="005E26D9"/>
    <w:rsid w:val="005E28DD"/>
    <w:rsid w:val="005E2A36"/>
    <w:rsid w:val="005E30E2"/>
    <w:rsid w:val="005E43AC"/>
    <w:rsid w:val="005E527A"/>
    <w:rsid w:val="005E5312"/>
    <w:rsid w:val="005E5824"/>
    <w:rsid w:val="005E5CE3"/>
    <w:rsid w:val="005E621B"/>
    <w:rsid w:val="005E6AEE"/>
    <w:rsid w:val="005E7739"/>
    <w:rsid w:val="005E776C"/>
    <w:rsid w:val="005E793D"/>
    <w:rsid w:val="005E7C36"/>
    <w:rsid w:val="005E7EDB"/>
    <w:rsid w:val="005F02A3"/>
    <w:rsid w:val="005F03AC"/>
    <w:rsid w:val="005F07A2"/>
    <w:rsid w:val="005F0B47"/>
    <w:rsid w:val="005F0DEA"/>
    <w:rsid w:val="005F228E"/>
    <w:rsid w:val="005F240C"/>
    <w:rsid w:val="005F2440"/>
    <w:rsid w:val="005F3573"/>
    <w:rsid w:val="005F3CB8"/>
    <w:rsid w:val="005F506B"/>
    <w:rsid w:val="005F5D07"/>
    <w:rsid w:val="005F5F79"/>
    <w:rsid w:val="005F67C7"/>
    <w:rsid w:val="005F712F"/>
    <w:rsid w:val="005F74FF"/>
    <w:rsid w:val="00600B60"/>
    <w:rsid w:val="00600DF5"/>
    <w:rsid w:val="00600EC9"/>
    <w:rsid w:val="0060264D"/>
    <w:rsid w:val="00602B75"/>
    <w:rsid w:val="00603B16"/>
    <w:rsid w:val="00603F6A"/>
    <w:rsid w:val="00604414"/>
    <w:rsid w:val="006055F6"/>
    <w:rsid w:val="00605DDE"/>
    <w:rsid w:val="00605FB5"/>
    <w:rsid w:val="0060618A"/>
    <w:rsid w:val="0060619A"/>
    <w:rsid w:val="006063C3"/>
    <w:rsid w:val="00606439"/>
    <w:rsid w:val="0060676E"/>
    <w:rsid w:val="00606881"/>
    <w:rsid w:val="00606B2C"/>
    <w:rsid w:val="006079FB"/>
    <w:rsid w:val="00610074"/>
    <w:rsid w:val="006105B6"/>
    <w:rsid w:val="00611F2C"/>
    <w:rsid w:val="00612A94"/>
    <w:rsid w:val="00612AFB"/>
    <w:rsid w:val="00613335"/>
    <w:rsid w:val="006145AE"/>
    <w:rsid w:val="00615ED0"/>
    <w:rsid w:val="00616329"/>
    <w:rsid w:val="0061684F"/>
    <w:rsid w:val="00616A37"/>
    <w:rsid w:val="00616C84"/>
    <w:rsid w:val="00616DBA"/>
    <w:rsid w:val="00617C3E"/>
    <w:rsid w:val="00617E2D"/>
    <w:rsid w:val="00620683"/>
    <w:rsid w:val="00620FC6"/>
    <w:rsid w:val="00621B26"/>
    <w:rsid w:val="00621BAB"/>
    <w:rsid w:val="006228F4"/>
    <w:rsid w:val="00622EB5"/>
    <w:rsid w:val="00623568"/>
    <w:rsid w:val="00623A99"/>
    <w:rsid w:val="00623D00"/>
    <w:rsid w:val="00623D0F"/>
    <w:rsid w:val="00623F05"/>
    <w:rsid w:val="0062402A"/>
    <w:rsid w:val="006244FF"/>
    <w:rsid w:val="00624504"/>
    <w:rsid w:val="00624A1C"/>
    <w:rsid w:val="00624DBF"/>
    <w:rsid w:val="00625540"/>
    <w:rsid w:val="00625B44"/>
    <w:rsid w:val="00625E09"/>
    <w:rsid w:val="00626B5E"/>
    <w:rsid w:val="00626BC2"/>
    <w:rsid w:val="006270E9"/>
    <w:rsid w:val="006277B8"/>
    <w:rsid w:val="00627C40"/>
    <w:rsid w:val="00627D09"/>
    <w:rsid w:val="00630053"/>
    <w:rsid w:val="00630149"/>
    <w:rsid w:val="006308EB"/>
    <w:rsid w:val="006309D9"/>
    <w:rsid w:val="00630FE6"/>
    <w:rsid w:val="00631406"/>
    <w:rsid w:val="00631BFC"/>
    <w:rsid w:val="00631DBC"/>
    <w:rsid w:val="0063214C"/>
    <w:rsid w:val="006325C8"/>
    <w:rsid w:val="00632623"/>
    <w:rsid w:val="00632675"/>
    <w:rsid w:val="00632CA1"/>
    <w:rsid w:val="00633247"/>
    <w:rsid w:val="006338B5"/>
    <w:rsid w:val="006346A6"/>
    <w:rsid w:val="006348FC"/>
    <w:rsid w:val="00635F8B"/>
    <w:rsid w:val="00635FC4"/>
    <w:rsid w:val="0063704C"/>
    <w:rsid w:val="00637B78"/>
    <w:rsid w:val="00640014"/>
    <w:rsid w:val="00640477"/>
    <w:rsid w:val="006406E1"/>
    <w:rsid w:val="00640A7C"/>
    <w:rsid w:val="00640D16"/>
    <w:rsid w:val="006418A4"/>
    <w:rsid w:val="00641BB4"/>
    <w:rsid w:val="00641E7B"/>
    <w:rsid w:val="006424F1"/>
    <w:rsid w:val="00643072"/>
    <w:rsid w:val="0064366E"/>
    <w:rsid w:val="00643A93"/>
    <w:rsid w:val="0064419A"/>
    <w:rsid w:val="006441C9"/>
    <w:rsid w:val="00644341"/>
    <w:rsid w:val="00644617"/>
    <w:rsid w:val="0064481C"/>
    <w:rsid w:val="00644B24"/>
    <w:rsid w:val="00644D22"/>
    <w:rsid w:val="00644E38"/>
    <w:rsid w:val="00645409"/>
    <w:rsid w:val="0064575F"/>
    <w:rsid w:val="00645994"/>
    <w:rsid w:val="006466AC"/>
    <w:rsid w:val="006467D8"/>
    <w:rsid w:val="006467EE"/>
    <w:rsid w:val="006475D9"/>
    <w:rsid w:val="0064762C"/>
    <w:rsid w:val="0065039A"/>
    <w:rsid w:val="00650E6E"/>
    <w:rsid w:val="00651B89"/>
    <w:rsid w:val="00651CDB"/>
    <w:rsid w:val="0065253D"/>
    <w:rsid w:val="006529F0"/>
    <w:rsid w:val="00653026"/>
    <w:rsid w:val="0065331B"/>
    <w:rsid w:val="00653C03"/>
    <w:rsid w:val="00654655"/>
    <w:rsid w:val="0065476C"/>
    <w:rsid w:val="0065501B"/>
    <w:rsid w:val="00655587"/>
    <w:rsid w:val="00655F79"/>
    <w:rsid w:val="006562F1"/>
    <w:rsid w:val="00656B67"/>
    <w:rsid w:val="0065723B"/>
    <w:rsid w:val="00657441"/>
    <w:rsid w:val="0065764E"/>
    <w:rsid w:val="006576BD"/>
    <w:rsid w:val="006578A8"/>
    <w:rsid w:val="00657B39"/>
    <w:rsid w:val="00657BF9"/>
    <w:rsid w:val="0066015E"/>
    <w:rsid w:val="00660934"/>
    <w:rsid w:val="00660C04"/>
    <w:rsid w:val="00662BF0"/>
    <w:rsid w:val="00662E61"/>
    <w:rsid w:val="00662EE8"/>
    <w:rsid w:val="00663451"/>
    <w:rsid w:val="00663850"/>
    <w:rsid w:val="00663C65"/>
    <w:rsid w:val="00664128"/>
    <w:rsid w:val="0066414B"/>
    <w:rsid w:val="006646E3"/>
    <w:rsid w:val="0066474A"/>
    <w:rsid w:val="00664B9B"/>
    <w:rsid w:val="00664DE6"/>
    <w:rsid w:val="006651AF"/>
    <w:rsid w:val="006651D6"/>
    <w:rsid w:val="0066633F"/>
    <w:rsid w:val="00666758"/>
    <w:rsid w:val="00666AA2"/>
    <w:rsid w:val="00666B36"/>
    <w:rsid w:val="00666C6A"/>
    <w:rsid w:val="00666D5B"/>
    <w:rsid w:val="00666F54"/>
    <w:rsid w:val="0066715C"/>
    <w:rsid w:val="00667282"/>
    <w:rsid w:val="006673E3"/>
    <w:rsid w:val="006679D4"/>
    <w:rsid w:val="00667B1F"/>
    <w:rsid w:val="00670A17"/>
    <w:rsid w:val="00670B50"/>
    <w:rsid w:val="006712B5"/>
    <w:rsid w:val="006717D3"/>
    <w:rsid w:val="00671BFD"/>
    <w:rsid w:val="00671D1D"/>
    <w:rsid w:val="006724A7"/>
    <w:rsid w:val="0067254C"/>
    <w:rsid w:val="00672860"/>
    <w:rsid w:val="00673063"/>
    <w:rsid w:val="00673912"/>
    <w:rsid w:val="0067415F"/>
    <w:rsid w:val="00675196"/>
    <w:rsid w:val="00675708"/>
    <w:rsid w:val="00675B96"/>
    <w:rsid w:val="00675CF1"/>
    <w:rsid w:val="0067600E"/>
    <w:rsid w:val="006762F6"/>
    <w:rsid w:val="00676CA2"/>
    <w:rsid w:val="0067762F"/>
    <w:rsid w:val="00677CA6"/>
    <w:rsid w:val="0068049E"/>
    <w:rsid w:val="0068112B"/>
    <w:rsid w:val="00681D4F"/>
    <w:rsid w:val="0068258D"/>
    <w:rsid w:val="00682649"/>
    <w:rsid w:val="0068275C"/>
    <w:rsid w:val="00682A7D"/>
    <w:rsid w:val="00682F68"/>
    <w:rsid w:val="00683706"/>
    <w:rsid w:val="00683857"/>
    <w:rsid w:val="006838F1"/>
    <w:rsid w:val="00684C8F"/>
    <w:rsid w:val="00684D20"/>
    <w:rsid w:val="00685895"/>
    <w:rsid w:val="00685912"/>
    <w:rsid w:val="00686114"/>
    <w:rsid w:val="006861E9"/>
    <w:rsid w:val="00686775"/>
    <w:rsid w:val="0068719B"/>
    <w:rsid w:val="0068749F"/>
    <w:rsid w:val="0068776A"/>
    <w:rsid w:val="0069010E"/>
    <w:rsid w:val="00690FB4"/>
    <w:rsid w:val="006922EC"/>
    <w:rsid w:val="00692B48"/>
    <w:rsid w:val="00692B8C"/>
    <w:rsid w:val="00692C37"/>
    <w:rsid w:val="0069329A"/>
    <w:rsid w:val="006932C3"/>
    <w:rsid w:val="00693610"/>
    <w:rsid w:val="00693994"/>
    <w:rsid w:val="00693F7A"/>
    <w:rsid w:val="0069432D"/>
    <w:rsid w:val="0069494F"/>
    <w:rsid w:val="00694DAD"/>
    <w:rsid w:val="00695769"/>
    <w:rsid w:val="006957FE"/>
    <w:rsid w:val="006969C2"/>
    <w:rsid w:val="00696D15"/>
    <w:rsid w:val="00696EED"/>
    <w:rsid w:val="00697F31"/>
    <w:rsid w:val="006A00E4"/>
    <w:rsid w:val="006A1E2C"/>
    <w:rsid w:val="006A20EF"/>
    <w:rsid w:val="006A2134"/>
    <w:rsid w:val="006A36B3"/>
    <w:rsid w:val="006A3D65"/>
    <w:rsid w:val="006A4026"/>
    <w:rsid w:val="006A4207"/>
    <w:rsid w:val="006A453B"/>
    <w:rsid w:val="006A5311"/>
    <w:rsid w:val="006A5D78"/>
    <w:rsid w:val="006A68C8"/>
    <w:rsid w:val="006A69AB"/>
    <w:rsid w:val="006A6FAC"/>
    <w:rsid w:val="006A705D"/>
    <w:rsid w:val="006A7DF2"/>
    <w:rsid w:val="006B0190"/>
    <w:rsid w:val="006B0360"/>
    <w:rsid w:val="006B0B97"/>
    <w:rsid w:val="006B19B8"/>
    <w:rsid w:val="006B1B5C"/>
    <w:rsid w:val="006B1BA5"/>
    <w:rsid w:val="006B1FF5"/>
    <w:rsid w:val="006B21B8"/>
    <w:rsid w:val="006B241F"/>
    <w:rsid w:val="006B2557"/>
    <w:rsid w:val="006B29D9"/>
    <w:rsid w:val="006B364A"/>
    <w:rsid w:val="006B37E0"/>
    <w:rsid w:val="006B38CE"/>
    <w:rsid w:val="006B5359"/>
    <w:rsid w:val="006B5526"/>
    <w:rsid w:val="006B55E9"/>
    <w:rsid w:val="006B569E"/>
    <w:rsid w:val="006B6ACC"/>
    <w:rsid w:val="006B7F10"/>
    <w:rsid w:val="006C0E0F"/>
    <w:rsid w:val="006C2297"/>
    <w:rsid w:val="006C26E4"/>
    <w:rsid w:val="006C32EB"/>
    <w:rsid w:val="006C3376"/>
    <w:rsid w:val="006C3652"/>
    <w:rsid w:val="006C37CD"/>
    <w:rsid w:val="006C4118"/>
    <w:rsid w:val="006C4E96"/>
    <w:rsid w:val="006C507F"/>
    <w:rsid w:val="006C5CD2"/>
    <w:rsid w:val="006C5E0A"/>
    <w:rsid w:val="006C655A"/>
    <w:rsid w:val="006C666A"/>
    <w:rsid w:val="006C6840"/>
    <w:rsid w:val="006C78FE"/>
    <w:rsid w:val="006D0542"/>
    <w:rsid w:val="006D0ACD"/>
    <w:rsid w:val="006D1449"/>
    <w:rsid w:val="006D174E"/>
    <w:rsid w:val="006D1E56"/>
    <w:rsid w:val="006D21F0"/>
    <w:rsid w:val="006D266D"/>
    <w:rsid w:val="006D3399"/>
    <w:rsid w:val="006D3885"/>
    <w:rsid w:val="006D39EF"/>
    <w:rsid w:val="006D3CFE"/>
    <w:rsid w:val="006D450B"/>
    <w:rsid w:val="006D49F0"/>
    <w:rsid w:val="006D5130"/>
    <w:rsid w:val="006D595F"/>
    <w:rsid w:val="006D5C2F"/>
    <w:rsid w:val="006D6062"/>
    <w:rsid w:val="006D660C"/>
    <w:rsid w:val="006D681B"/>
    <w:rsid w:val="006D6B95"/>
    <w:rsid w:val="006D798D"/>
    <w:rsid w:val="006D7EF2"/>
    <w:rsid w:val="006E0B8F"/>
    <w:rsid w:val="006E0D0F"/>
    <w:rsid w:val="006E1654"/>
    <w:rsid w:val="006E1891"/>
    <w:rsid w:val="006E18AB"/>
    <w:rsid w:val="006E19DF"/>
    <w:rsid w:val="006E1D45"/>
    <w:rsid w:val="006E1FC0"/>
    <w:rsid w:val="006E247B"/>
    <w:rsid w:val="006E27EF"/>
    <w:rsid w:val="006E2E7F"/>
    <w:rsid w:val="006E32A7"/>
    <w:rsid w:val="006E3C98"/>
    <w:rsid w:val="006E3FD2"/>
    <w:rsid w:val="006E4918"/>
    <w:rsid w:val="006E5286"/>
    <w:rsid w:val="006E5294"/>
    <w:rsid w:val="006E62F2"/>
    <w:rsid w:val="006E6FFA"/>
    <w:rsid w:val="006E7198"/>
    <w:rsid w:val="006E7EB4"/>
    <w:rsid w:val="006F0E27"/>
    <w:rsid w:val="006F11C8"/>
    <w:rsid w:val="006F14EB"/>
    <w:rsid w:val="006F1529"/>
    <w:rsid w:val="006F1895"/>
    <w:rsid w:val="006F1A26"/>
    <w:rsid w:val="006F1E1D"/>
    <w:rsid w:val="006F1FFE"/>
    <w:rsid w:val="006F21AE"/>
    <w:rsid w:val="006F3581"/>
    <w:rsid w:val="006F39B0"/>
    <w:rsid w:val="006F3E8A"/>
    <w:rsid w:val="006F5251"/>
    <w:rsid w:val="006F5996"/>
    <w:rsid w:val="006F5CA1"/>
    <w:rsid w:val="006F5CF5"/>
    <w:rsid w:val="006F5E83"/>
    <w:rsid w:val="006F62E7"/>
    <w:rsid w:val="006F645C"/>
    <w:rsid w:val="006F6F46"/>
    <w:rsid w:val="006F7041"/>
    <w:rsid w:val="00700617"/>
    <w:rsid w:val="00700969"/>
    <w:rsid w:val="00700B94"/>
    <w:rsid w:val="0070190E"/>
    <w:rsid w:val="0070230A"/>
    <w:rsid w:val="0070464A"/>
    <w:rsid w:val="0070470B"/>
    <w:rsid w:val="00704B5B"/>
    <w:rsid w:val="00705252"/>
    <w:rsid w:val="007064C7"/>
    <w:rsid w:val="007067B5"/>
    <w:rsid w:val="007069FD"/>
    <w:rsid w:val="00706FC4"/>
    <w:rsid w:val="00707363"/>
    <w:rsid w:val="0070758A"/>
    <w:rsid w:val="0071000B"/>
    <w:rsid w:val="00710747"/>
    <w:rsid w:val="007110B2"/>
    <w:rsid w:val="0071139F"/>
    <w:rsid w:val="007122CC"/>
    <w:rsid w:val="007133DA"/>
    <w:rsid w:val="00715534"/>
    <w:rsid w:val="0071578C"/>
    <w:rsid w:val="00715A1B"/>
    <w:rsid w:val="00715CE5"/>
    <w:rsid w:val="0071648C"/>
    <w:rsid w:val="0071658B"/>
    <w:rsid w:val="00717085"/>
    <w:rsid w:val="00717087"/>
    <w:rsid w:val="00717122"/>
    <w:rsid w:val="007174D7"/>
    <w:rsid w:val="007179C0"/>
    <w:rsid w:val="00717CF2"/>
    <w:rsid w:val="00720BF5"/>
    <w:rsid w:val="00721A5E"/>
    <w:rsid w:val="0072284F"/>
    <w:rsid w:val="00722C1F"/>
    <w:rsid w:val="00723FBA"/>
    <w:rsid w:val="007242EC"/>
    <w:rsid w:val="00724421"/>
    <w:rsid w:val="007244DD"/>
    <w:rsid w:val="00725BE9"/>
    <w:rsid w:val="0072616A"/>
    <w:rsid w:val="0072636C"/>
    <w:rsid w:val="00726374"/>
    <w:rsid w:val="00726A55"/>
    <w:rsid w:val="007272BF"/>
    <w:rsid w:val="0072748F"/>
    <w:rsid w:val="00727683"/>
    <w:rsid w:val="00727B10"/>
    <w:rsid w:val="00727B6D"/>
    <w:rsid w:val="00727C79"/>
    <w:rsid w:val="007303A8"/>
    <w:rsid w:val="007307DA"/>
    <w:rsid w:val="00730EA2"/>
    <w:rsid w:val="00731265"/>
    <w:rsid w:val="007316A7"/>
    <w:rsid w:val="0073204B"/>
    <w:rsid w:val="007320BD"/>
    <w:rsid w:val="00732AB2"/>
    <w:rsid w:val="00733A25"/>
    <w:rsid w:val="007343A1"/>
    <w:rsid w:val="007343C1"/>
    <w:rsid w:val="007345FD"/>
    <w:rsid w:val="00734D1B"/>
    <w:rsid w:val="0073501C"/>
    <w:rsid w:val="00735385"/>
    <w:rsid w:val="007353E4"/>
    <w:rsid w:val="00735C22"/>
    <w:rsid w:val="00736720"/>
    <w:rsid w:val="007369B9"/>
    <w:rsid w:val="00736EB8"/>
    <w:rsid w:val="0073793B"/>
    <w:rsid w:val="00737D85"/>
    <w:rsid w:val="00737D9E"/>
    <w:rsid w:val="00740D18"/>
    <w:rsid w:val="0074183C"/>
    <w:rsid w:val="007418B9"/>
    <w:rsid w:val="00741AA7"/>
    <w:rsid w:val="00741FFD"/>
    <w:rsid w:val="00742947"/>
    <w:rsid w:val="00743215"/>
    <w:rsid w:val="00743524"/>
    <w:rsid w:val="00743CA3"/>
    <w:rsid w:val="00743F52"/>
    <w:rsid w:val="00743F83"/>
    <w:rsid w:val="00744787"/>
    <w:rsid w:val="00744873"/>
    <w:rsid w:val="00745E40"/>
    <w:rsid w:val="0074726D"/>
    <w:rsid w:val="00747286"/>
    <w:rsid w:val="007504A7"/>
    <w:rsid w:val="00750707"/>
    <w:rsid w:val="0075072F"/>
    <w:rsid w:val="00750B10"/>
    <w:rsid w:val="00751250"/>
    <w:rsid w:val="0075177E"/>
    <w:rsid w:val="0075184A"/>
    <w:rsid w:val="00751B1E"/>
    <w:rsid w:val="00752199"/>
    <w:rsid w:val="007525DF"/>
    <w:rsid w:val="00752815"/>
    <w:rsid w:val="0075330B"/>
    <w:rsid w:val="007541AF"/>
    <w:rsid w:val="007551B9"/>
    <w:rsid w:val="0075531D"/>
    <w:rsid w:val="00755D75"/>
    <w:rsid w:val="00756DA2"/>
    <w:rsid w:val="00757847"/>
    <w:rsid w:val="0076045A"/>
    <w:rsid w:val="007614A8"/>
    <w:rsid w:val="0076176B"/>
    <w:rsid w:val="00761D63"/>
    <w:rsid w:val="00761D84"/>
    <w:rsid w:val="00762A16"/>
    <w:rsid w:val="00763103"/>
    <w:rsid w:val="00763257"/>
    <w:rsid w:val="0076359B"/>
    <w:rsid w:val="00763A47"/>
    <w:rsid w:val="00763C7B"/>
    <w:rsid w:val="00764300"/>
    <w:rsid w:val="0076466F"/>
    <w:rsid w:val="007647D7"/>
    <w:rsid w:val="00764809"/>
    <w:rsid w:val="007648E0"/>
    <w:rsid w:val="00765B98"/>
    <w:rsid w:val="007669CC"/>
    <w:rsid w:val="007669DB"/>
    <w:rsid w:val="00766DE1"/>
    <w:rsid w:val="00766EE0"/>
    <w:rsid w:val="00766F66"/>
    <w:rsid w:val="00767307"/>
    <w:rsid w:val="00767910"/>
    <w:rsid w:val="00767C86"/>
    <w:rsid w:val="00770633"/>
    <w:rsid w:val="007706E5"/>
    <w:rsid w:val="00770C46"/>
    <w:rsid w:val="0077107A"/>
    <w:rsid w:val="0077145A"/>
    <w:rsid w:val="0077181E"/>
    <w:rsid w:val="007719FC"/>
    <w:rsid w:val="00771D47"/>
    <w:rsid w:val="00771DAF"/>
    <w:rsid w:val="007726C3"/>
    <w:rsid w:val="00772885"/>
    <w:rsid w:val="00772D69"/>
    <w:rsid w:val="00773752"/>
    <w:rsid w:val="00773AA9"/>
    <w:rsid w:val="00773B0E"/>
    <w:rsid w:val="00773B7E"/>
    <w:rsid w:val="00773EEE"/>
    <w:rsid w:val="00775F10"/>
    <w:rsid w:val="00775F3B"/>
    <w:rsid w:val="00775F77"/>
    <w:rsid w:val="007760C5"/>
    <w:rsid w:val="00776C76"/>
    <w:rsid w:val="007770F4"/>
    <w:rsid w:val="00777171"/>
    <w:rsid w:val="00777559"/>
    <w:rsid w:val="00777D84"/>
    <w:rsid w:val="00780B77"/>
    <w:rsid w:val="00782A14"/>
    <w:rsid w:val="00782B74"/>
    <w:rsid w:val="0078355E"/>
    <w:rsid w:val="0078364B"/>
    <w:rsid w:val="007837C3"/>
    <w:rsid w:val="0078485B"/>
    <w:rsid w:val="00785657"/>
    <w:rsid w:val="00785BFE"/>
    <w:rsid w:val="00785F14"/>
    <w:rsid w:val="0078659D"/>
    <w:rsid w:val="007865D9"/>
    <w:rsid w:val="007866D7"/>
    <w:rsid w:val="00786C71"/>
    <w:rsid w:val="00786EA9"/>
    <w:rsid w:val="00787528"/>
    <w:rsid w:val="00787B8E"/>
    <w:rsid w:val="00790BD3"/>
    <w:rsid w:val="00790EF5"/>
    <w:rsid w:val="0079155D"/>
    <w:rsid w:val="00791B82"/>
    <w:rsid w:val="00792418"/>
    <w:rsid w:val="00792F49"/>
    <w:rsid w:val="00794122"/>
    <w:rsid w:val="0079456B"/>
    <w:rsid w:val="00794664"/>
    <w:rsid w:val="007951C9"/>
    <w:rsid w:val="00796378"/>
    <w:rsid w:val="007964DC"/>
    <w:rsid w:val="00796869"/>
    <w:rsid w:val="00796CF1"/>
    <w:rsid w:val="0079732D"/>
    <w:rsid w:val="007A02E4"/>
    <w:rsid w:val="007A0D91"/>
    <w:rsid w:val="007A1294"/>
    <w:rsid w:val="007A1527"/>
    <w:rsid w:val="007A184E"/>
    <w:rsid w:val="007A1D2A"/>
    <w:rsid w:val="007A1F33"/>
    <w:rsid w:val="007A2CFF"/>
    <w:rsid w:val="007A364C"/>
    <w:rsid w:val="007A3ACA"/>
    <w:rsid w:val="007A3BC7"/>
    <w:rsid w:val="007A3E06"/>
    <w:rsid w:val="007A4B6E"/>
    <w:rsid w:val="007A571E"/>
    <w:rsid w:val="007A60B9"/>
    <w:rsid w:val="007A72CE"/>
    <w:rsid w:val="007A7EF4"/>
    <w:rsid w:val="007B02F3"/>
    <w:rsid w:val="007B0C2D"/>
    <w:rsid w:val="007B0DE5"/>
    <w:rsid w:val="007B11F2"/>
    <w:rsid w:val="007B1292"/>
    <w:rsid w:val="007B1412"/>
    <w:rsid w:val="007B1CEB"/>
    <w:rsid w:val="007B1E55"/>
    <w:rsid w:val="007B1F20"/>
    <w:rsid w:val="007B28C8"/>
    <w:rsid w:val="007B293E"/>
    <w:rsid w:val="007B29AA"/>
    <w:rsid w:val="007B2A16"/>
    <w:rsid w:val="007B3218"/>
    <w:rsid w:val="007B327A"/>
    <w:rsid w:val="007B3AA4"/>
    <w:rsid w:val="007B3E1F"/>
    <w:rsid w:val="007B4371"/>
    <w:rsid w:val="007B4B4B"/>
    <w:rsid w:val="007B4D8F"/>
    <w:rsid w:val="007B4DD8"/>
    <w:rsid w:val="007B5B81"/>
    <w:rsid w:val="007B5ECB"/>
    <w:rsid w:val="007B5FE1"/>
    <w:rsid w:val="007B6532"/>
    <w:rsid w:val="007B6EB9"/>
    <w:rsid w:val="007B7165"/>
    <w:rsid w:val="007B73A9"/>
    <w:rsid w:val="007C0839"/>
    <w:rsid w:val="007C0ABA"/>
    <w:rsid w:val="007C0B5E"/>
    <w:rsid w:val="007C10A5"/>
    <w:rsid w:val="007C1487"/>
    <w:rsid w:val="007C1579"/>
    <w:rsid w:val="007C163F"/>
    <w:rsid w:val="007C20D9"/>
    <w:rsid w:val="007C24E4"/>
    <w:rsid w:val="007C27BC"/>
    <w:rsid w:val="007C320D"/>
    <w:rsid w:val="007C3504"/>
    <w:rsid w:val="007C3543"/>
    <w:rsid w:val="007C385E"/>
    <w:rsid w:val="007C40B9"/>
    <w:rsid w:val="007C4309"/>
    <w:rsid w:val="007C4A9C"/>
    <w:rsid w:val="007C5012"/>
    <w:rsid w:val="007C51A7"/>
    <w:rsid w:val="007C53D0"/>
    <w:rsid w:val="007C5E14"/>
    <w:rsid w:val="007C65C1"/>
    <w:rsid w:val="007C65D1"/>
    <w:rsid w:val="007C722E"/>
    <w:rsid w:val="007C7A4F"/>
    <w:rsid w:val="007C7CBB"/>
    <w:rsid w:val="007D03E0"/>
    <w:rsid w:val="007D06BF"/>
    <w:rsid w:val="007D0887"/>
    <w:rsid w:val="007D1D3B"/>
    <w:rsid w:val="007D2244"/>
    <w:rsid w:val="007D23C7"/>
    <w:rsid w:val="007D36D4"/>
    <w:rsid w:val="007D3D3F"/>
    <w:rsid w:val="007D4333"/>
    <w:rsid w:val="007D4D63"/>
    <w:rsid w:val="007D516C"/>
    <w:rsid w:val="007D544F"/>
    <w:rsid w:val="007D599E"/>
    <w:rsid w:val="007D5EB5"/>
    <w:rsid w:val="007D6CF3"/>
    <w:rsid w:val="007D7143"/>
    <w:rsid w:val="007D7EFD"/>
    <w:rsid w:val="007E1836"/>
    <w:rsid w:val="007E3179"/>
    <w:rsid w:val="007E3330"/>
    <w:rsid w:val="007E3901"/>
    <w:rsid w:val="007E392C"/>
    <w:rsid w:val="007E399D"/>
    <w:rsid w:val="007E3FE9"/>
    <w:rsid w:val="007E410D"/>
    <w:rsid w:val="007E4122"/>
    <w:rsid w:val="007E41FD"/>
    <w:rsid w:val="007E4EFF"/>
    <w:rsid w:val="007E55DA"/>
    <w:rsid w:val="007E57F2"/>
    <w:rsid w:val="007E590B"/>
    <w:rsid w:val="007E63DC"/>
    <w:rsid w:val="007E6953"/>
    <w:rsid w:val="007E6F53"/>
    <w:rsid w:val="007E6FC3"/>
    <w:rsid w:val="007E732F"/>
    <w:rsid w:val="007E7810"/>
    <w:rsid w:val="007E7DD3"/>
    <w:rsid w:val="007E7E1A"/>
    <w:rsid w:val="007F002C"/>
    <w:rsid w:val="007F101A"/>
    <w:rsid w:val="007F10A6"/>
    <w:rsid w:val="007F1603"/>
    <w:rsid w:val="007F1AF4"/>
    <w:rsid w:val="007F2221"/>
    <w:rsid w:val="007F22A3"/>
    <w:rsid w:val="007F25EC"/>
    <w:rsid w:val="007F2659"/>
    <w:rsid w:val="007F2D7A"/>
    <w:rsid w:val="007F2F5A"/>
    <w:rsid w:val="007F3CB3"/>
    <w:rsid w:val="007F3D54"/>
    <w:rsid w:val="007F3E7F"/>
    <w:rsid w:val="007F497C"/>
    <w:rsid w:val="007F5658"/>
    <w:rsid w:val="007F58CF"/>
    <w:rsid w:val="007F5BEF"/>
    <w:rsid w:val="007F5F50"/>
    <w:rsid w:val="007F7C77"/>
    <w:rsid w:val="00800207"/>
    <w:rsid w:val="00801123"/>
    <w:rsid w:val="008012AB"/>
    <w:rsid w:val="00802ED8"/>
    <w:rsid w:val="008031CD"/>
    <w:rsid w:val="00803596"/>
    <w:rsid w:val="0080379F"/>
    <w:rsid w:val="008039A2"/>
    <w:rsid w:val="00804556"/>
    <w:rsid w:val="008045EC"/>
    <w:rsid w:val="00804C1A"/>
    <w:rsid w:val="00805E68"/>
    <w:rsid w:val="0080626F"/>
    <w:rsid w:val="00806C13"/>
    <w:rsid w:val="00806E77"/>
    <w:rsid w:val="008073FE"/>
    <w:rsid w:val="00807962"/>
    <w:rsid w:val="00807D40"/>
    <w:rsid w:val="00807DC7"/>
    <w:rsid w:val="00807F04"/>
    <w:rsid w:val="00807FA1"/>
    <w:rsid w:val="0081087B"/>
    <w:rsid w:val="00810B3B"/>
    <w:rsid w:val="008110A2"/>
    <w:rsid w:val="00812280"/>
    <w:rsid w:val="008125BD"/>
    <w:rsid w:val="00812795"/>
    <w:rsid w:val="008127B2"/>
    <w:rsid w:val="0081332F"/>
    <w:rsid w:val="00813845"/>
    <w:rsid w:val="00813D79"/>
    <w:rsid w:val="00813F58"/>
    <w:rsid w:val="008146F6"/>
    <w:rsid w:val="00814784"/>
    <w:rsid w:val="00814B84"/>
    <w:rsid w:val="00814D4E"/>
    <w:rsid w:val="00814DFB"/>
    <w:rsid w:val="008151BD"/>
    <w:rsid w:val="008153E1"/>
    <w:rsid w:val="008155FD"/>
    <w:rsid w:val="00817189"/>
    <w:rsid w:val="0081794F"/>
    <w:rsid w:val="0082025B"/>
    <w:rsid w:val="00820368"/>
    <w:rsid w:val="00820491"/>
    <w:rsid w:val="0082096C"/>
    <w:rsid w:val="00821037"/>
    <w:rsid w:val="008216DA"/>
    <w:rsid w:val="008218CA"/>
    <w:rsid w:val="00821CFF"/>
    <w:rsid w:val="00821F7F"/>
    <w:rsid w:val="0082349C"/>
    <w:rsid w:val="00823C37"/>
    <w:rsid w:val="00823ED3"/>
    <w:rsid w:val="008248ED"/>
    <w:rsid w:val="008250AD"/>
    <w:rsid w:val="00825C45"/>
    <w:rsid w:val="00825D96"/>
    <w:rsid w:val="00825F8F"/>
    <w:rsid w:val="0082662F"/>
    <w:rsid w:val="00826D5F"/>
    <w:rsid w:val="00826EBB"/>
    <w:rsid w:val="00827928"/>
    <w:rsid w:val="00827B46"/>
    <w:rsid w:val="00830436"/>
    <w:rsid w:val="00830469"/>
    <w:rsid w:val="00830B05"/>
    <w:rsid w:val="00830FA7"/>
    <w:rsid w:val="00831080"/>
    <w:rsid w:val="008312D0"/>
    <w:rsid w:val="008314ED"/>
    <w:rsid w:val="00831583"/>
    <w:rsid w:val="008316A5"/>
    <w:rsid w:val="00831E8F"/>
    <w:rsid w:val="008323FE"/>
    <w:rsid w:val="008325A8"/>
    <w:rsid w:val="0083266B"/>
    <w:rsid w:val="008327DB"/>
    <w:rsid w:val="00833D7D"/>
    <w:rsid w:val="00834495"/>
    <w:rsid w:val="008346D4"/>
    <w:rsid w:val="00834EE2"/>
    <w:rsid w:val="00835212"/>
    <w:rsid w:val="008353FB"/>
    <w:rsid w:val="00835761"/>
    <w:rsid w:val="00835D9B"/>
    <w:rsid w:val="0083641B"/>
    <w:rsid w:val="00836440"/>
    <w:rsid w:val="008366B5"/>
    <w:rsid w:val="00836E2D"/>
    <w:rsid w:val="00836FAF"/>
    <w:rsid w:val="00837432"/>
    <w:rsid w:val="00837572"/>
    <w:rsid w:val="008378E2"/>
    <w:rsid w:val="00837987"/>
    <w:rsid w:val="00837CBB"/>
    <w:rsid w:val="00840055"/>
    <w:rsid w:val="008400F1"/>
    <w:rsid w:val="00840D52"/>
    <w:rsid w:val="008411A8"/>
    <w:rsid w:val="00841356"/>
    <w:rsid w:val="00841695"/>
    <w:rsid w:val="00842737"/>
    <w:rsid w:val="008427F0"/>
    <w:rsid w:val="00842AA0"/>
    <w:rsid w:val="00842AAA"/>
    <w:rsid w:val="00843A0C"/>
    <w:rsid w:val="008448B9"/>
    <w:rsid w:val="00844E24"/>
    <w:rsid w:val="008451D4"/>
    <w:rsid w:val="00845E59"/>
    <w:rsid w:val="0084636A"/>
    <w:rsid w:val="00846963"/>
    <w:rsid w:val="00847743"/>
    <w:rsid w:val="00847D2D"/>
    <w:rsid w:val="00847D36"/>
    <w:rsid w:val="00850117"/>
    <w:rsid w:val="0085025C"/>
    <w:rsid w:val="00850477"/>
    <w:rsid w:val="00850A66"/>
    <w:rsid w:val="00850FBB"/>
    <w:rsid w:val="00852520"/>
    <w:rsid w:val="008526D8"/>
    <w:rsid w:val="00853001"/>
    <w:rsid w:val="00853A45"/>
    <w:rsid w:val="00853BFB"/>
    <w:rsid w:val="00853C18"/>
    <w:rsid w:val="00853E50"/>
    <w:rsid w:val="00854B5F"/>
    <w:rsid w:val="0085504D"/>
    <w:rsid w:val="0085509C"/>
    <w:rsid w:val="008553C5"/>
    <w:rsid w:val="00856041"/>
    <w:rsid w:val="00856734"/>
    <w:rsid w:val="00856773"/>
    <w:rsid w:val="00856B1C"/>
    <w:rsid w:val="008576A4"/>
    <w:rsid w:val="00860C7E"/>
    <w:rsid w:val="00860F37"/>
    <w:rsid w:val="0086153D"/>
    <w:rsid w:val="00861DB0"/>
    <w:rsid w:val="00861F03"/>
    <w:rsid w:val="00862398"/>
    <w:rsid w:val="0086256C"/>
    <w:rsid w:val="008625CE"/>
    <w:rsid w:val="0086305C"/>
    <w:rsid w:val="00863756"/>
    <w:rsid w:val="00863D5D"/>
    <w:rsid w:val="008640A0"/>
    <w:rsid w:val="00864530"/>
    <w:rsid w:val="008647D5"/>
    <w:rsid w:val="0086501E"/>
    <w:rsid w:val="0086690D"/>
    <w:rsid w:val="008675A2"/>
    <w:rsid w:val="00867EC4"/>
    <w:rsid w:val="0087028C"/>
    <w:rsid w:val="00870812"/>
    <w:rsid w:val="00871130"/>
    <w:rsid w:val="0087186C"/>
    <w:rsid w:val="008718E2"/>
    <w:rsid w:val="00871BE5"/>
    <w:rsid w:val="00871D62"/>
    <w:rsid w:val="00871EE7"/>
    <w:rsid w:val="00872038"/>
    <w:rsid w:val="008722C1"/>
    <w:rsid w:val="00873444"/>
    <w:rsid w:val="00873A3D"/>
    <w:rsid w:val="00873CBE"/>
    <w:rsid w:val="00874122"/>
    <w:rsid w:val="0087451C"/>
    <w:rsid w:val="00874C60"/>
    <w:rsid w:val="008750A3"/>
    <w:rsid w:val="00875545"/>
    <w:rsid w:val="00875654"/>
    <w:rsid w:val="0087577B"/>
    <w:rsid w:val="008758B8"/>
    <w:rsid w:val="00875A89"/>
    <w:rsid w:val="008763DC"/>
    <w:rsid w:val="00876613"/>
    <w:rsid w:val="00876AE3"/>
    <w:rsid w:val="00877384"/>
    <w:rsid w:val="00877CD6"/>
    <w:rsid w:val="00877D1B"/>
    <w:rsid w:val="008804D6"/>
    <w:rsid w:val="008804E0"/>
    <w:rsid w:val="0088087F"/>
    <w:rsid w:val="00880AA6"/>
    <w:rsid w:val="008810EC"/>
    <w:rsid w:val="00881201"/>
    <w:rsid w:val="0088131D"/>
    <w:rsid w:val="00881840"/>
    <w:rsid w:val="00882431"/>
    <w:rsid w:val="00882DA2"/>
    <w:rsid w:val="008837DF"/>
    <w:rsid w:val="00883A7E"/>
    <w:rsid w:val="00883C02"/>
    <w:rsid w:val="00884060"/>
    <w:rsid w:val="008842DD"/>
    <w:rsid w:val="0088469D"/>
    <w:rsid w:val="00884D5C"/>
    <w:rsid w:val="00885619"/>
    <w:rsid w:val="00885666"/>
    <w:rsid w:val="0088578E"/>
    <w:rsid w:val="008858F9"/>
    <w:rsid w:val="008873F6"/>
    <w:rsid w:val="00887745"/>
    <w:rsid w:val="008878A8"/>
    <w:rsid w:val="00892369"/>
    <w:rsid w:val="008923F7"/>
    <w:rsid w:val="00892BB0"/>
    <w:rsid w:val="0089333D"/>
    <w:rsid w:val="00893419"/>
    <w:rsid w:val="00893730"/>
    <w:rsid w:val="008938D8"/>
    <w:rsid w:val="00893AC5"/>
    <w:rsid w:val="008941D8"/>
    <w:rsid w:val="0089469F"/>
    <w:rsid w:val="00894C22"/>
    <w:rsid w:val="00895023"/>
    <w:rsid w:val="008954F4"/>
    <w:rsid w:val="0089599C"/>
    <w:rsid w:val="00895E32"/>
    <w:rsid w:val="0089626D"/>
    <w:rsid w:val="00896828"/>
    <w:rsid w:val="0089695A"/>
    <w:rsid w:val="00896D8E"/>
    <w:rsid w:val="00896E9E"/>
    <w:rsid w:val="00897887"/>
    <w:rsid w:val="008979E8"/>
    <w:rsid w:val="008A02E9"/>
    <w:rsid w:val="008A08AA"/>
    <w:rsid w:val="008A0A9C"/>
    <w:rsid w:val="008A0AB7"/>
    <w:rsid w:val="008A17D6"/>
    <w:rsid w:val="008A1844"/>
    <w:rsid w:val="008A1C8E"/>
    <w:rsid w:val="008A1F91"/>
    <w:rsid w:val="008A202D"/>
    <w:rsid w:val="008A242C"/>
    <w:rsid w:val="008A2A74"/>
    <w:rsid w:val="008A32EC"/>
    <w:rsid w:val="008A43FA"/>
    <w:rsid w:val="008A4DE9"/>
    <w:rsid w:val="008A4EEF"/>
    <w:rsid w:val="008A5344"/>
    <w:rsid w:val="008A5BC2"/>
    <w:rsid w:val="008A624C"/>
    <w:rsid w:val="008A67F4"/>
    <w:rsid w:val="008A7B16"/>
    <w:rsid w:val="008B0B5E"/>
    <w:rsid w:val="008B0C77"/>
    <w:rsid w:val="008B0D87"/>
    <w:rsid w:val="008B12B0"/>
    <w:rsid w:val="008B1323"/>
    <w:rsid w:val="008B1A6A"/>
    <w:rsid w:val="008B1C91"/>
    <w:rsid w:val="008B1D95"/>
    <w:rsid w:val="008B1E82"/>
    <w:rsid w:val="008B3F35"/>
    <w:rsid w:val="008B4103"/>
    <w:rsid w:val="008B4974"/>
    <w:rsid w:val="008B497F"/>
    <w:rsid w:val="008B49CC"/>
    <w:rsid w:val="008B5335"/>
    <w:rsid w:val="008B58EF"/>
    <w:rsid w:val="008B59FC"/>
    <w:rsid w:val="008B5B5D"/>
    <w:rsid w:val="008B7751"/>
    <w:rsid w:val="008B7A87"/>
    <w:rsid w:val="008C0F3D"/>
    <w:rsid w:val="008C14C1"/>
    <w:rsid w:val="008C14E9"/>
    <w:rsid w:val="008C175A"/>
    <w:rsid w:val="008C1AD9"/>
    <w:rsid w:val="008C379F"/>
    <w:rsid w:val="008C3916"/>
    <w:rsid w:val="008C4701"/>
    <w:rsid w:val="008C52EE"/>
    <w:rsid w:val="008C6943"/>
    <w:rsid w:val="008C69E8"/>
    <w:rsid w:val="008C7696"/>
    <w:rsid w:val="008D02EC"/>
    <w:rsid w:val="008D059A"/>
    <w:rsid w:val="008D0B52"/>
    <w:rsid w:val="008D1115"/>
    <w:rsid w:val="008D1137"/>
    <w:rsid w:val="008D14BA"/>
    <w:rsid w:val="008D368B"/>
    <w:rsid w:val="008D36CD"/>
    <w:rsid w:val="008D483D"/>
    <w:rsid w:val="008D54CA"/>
    <w:rsid w:val="008D55D7"/>
    <w:rsid w:val="008D5A9A"/>
    <w:rsid w:val="008D5E6E"/>
    <w:rsid w:val="008D62D7"/>
    <w:rsid w:val="008D678D"/>
    <w:rsid w:val="008D6BDD"/>
    <w:rsid w:val="008D6CCD"/>
    <w:rsid w:val="008D7FE8"/>
    <w:rsid w:val="008E051F"/>
    <w:rsid w:val="008E131F"/>
    <w:rsid w:val="008E1676"/>
    <w:rsid w:val="008E19B6"/>
    <w:rsid w:val="008E1B39"/>
    <w:rsid w:val="008E1F18"/>
    <w:rsid w:val="008E1F2A"/>
    <w:rsid w:val="008E20C9"/>
    <w:rsid w:val="008E25C7"/>
    <w:rsid w:val="008E3CA3"/>
    <w:rsid w:val="008E4639"/>
    <w:rsid w:val="008E4BD6"/>
    <w:rsid w:val="008E4CC6"/>
    <w:rsid w:val="008E5219"/>
    <w:rsid w:val="008E5449"/>
    <w:rsid w:val="008E5DA8"/>
    <w:rsid w:val="008E6272"/>
    <w:rsid w:val="008E6958"/>
    <w:rsid w:val="008E6F4A"/>
    <w:rsid w:val="008E7361"/>
    <w:rsid w:val="008E7757"/>
    <w:rsid w:val="008E7879"/>
    <w:rsid w:val="008E789F"/>
    <w:rsid w:val="008F023E"/>
    <w:rsid w:val="008F0AA8"/>
    <w:rsid w:val="008F0E2E"/>
    <w:rsid w:val="008F1294"/>
    <w:rsid w:val="008F2581"/>
    <w:rsid w:val="008F2C72"/>
    <w:rsid w:val="008F2FCC"/>
    <w:rsid w:val="008F3BF8"/>
    <w:rsid w:val="008F4005"/>
    <w:rsid w:val="008F4FE3"/>
    <w:rsid w:val="008F533D"/>
    <w:rsid w:val="008F5A19"/>
    <w:rsid w:val="008F5E40"/>
    <w:rsid w:val="008F6030"/>
    <w:rsid w:val="008F6A55"/>
    <w:rsid w:val="008F6C09"/>
    <w:rsid w:val="008F6E27"/>
    <w:rsid w:val="008F6FFE"/>
    <w:rsid w:val="008F7523"/>
    <w:rsid w:val="008F7BD0"/>
    <w:rsid w:val="0090027E"/>
    <w:rsid w:val="009007D2"/>
    <w:rsid w:val="00901B17"/>
    <w:rsid w:val="009024AC"/>
    <w:rsid w:val="00902542"/>
    <w:rsid w:val="00902F36"/>
    <w:rsid w:val="00903034"/>
    <w:rsid w:val="009030FF"/>
    <w:rsid w:val="00903485"/>
    <w:rsid w:val="0090363E"/>
    <w:rsid w:val="00903911"/>
    <w:rsid w:val="00904114"/>
    <w:rsid w:val="009048C4"/>
    <w:rsid w:val="00905A14"/>
    <w:rsid w:val="00905A2D"/>
    <w:rsid w:val="00905AFE"/>
    <w:rsid w:val="009067A2"/>
    <w:rsid w:val="0090711A"/>
    <w:rsid w:val="009071D9"/>
    <w:rsid w:val="009074CB"/>
    <w:rsid w:val="009077A6"/>
    <w:rsid w:val="009077FB"/>
    <w:rsid w:val="00907B2F"/>
    <w:rsid w:val="00907D3C"/>
    <w:rsid w:val="00907F69"/>
    <w:rsid w:val="0091019C"/>
    <w:rsid w:val="0091096F"/>
    <w:rsid w:val="00910D82"/>
    <w:rsid w:val="009112A1"/>
    <w:rsid w:val="009117DD"/>
    <w:rsid w:val="009122D5"/>
    <w:rsid w:val="009125ED"/>
    <w:rsid w:val="00912FF6"/>
    <w:rsid w:val="009139A4"/>
    <w:rsid w:val="00914022"/>
    <w:rsid w:val="00914811"/>
    <w:rsid w:val="00914997"/>
    <w:rsid w:val="00915194"/>
    <w:rsid w:val="009155EE"/>
    <w:rsid w:val="00915ED0"/>
    <w:rsid w:val="0091617A"/>
    <w:rsid w:val="00916460"/>
    <w:rsid w:val="0091726F"/>
    <w:rsid w:val="00917B6C"/>
    <w:rsid w:val="0092040B"/>
    <w:rsid w:val="00920442"/>
    <w:rsid w:val="009207F3"/>
    <w:rsid w:val="00920A53"/>
    <w:rsid w:val="00920D3F"/>
    <w:rsid w:val="009212D4"/>
    <w:rsid w:val="00921C35"/>
    <w:rsid w:val="00922440"/>
    <w:rsid w:val="0092272C"/>
    <w:rsid w:val="00922CC9"/>
    <w:rsid w:val="00923080"/>
    <w:rsid w:val="00923B3F"/>
    <w:rsid w:val="00924FD4"/>
    <w:rsid w:val="00925369"/>
    <w:rsid w:val="009259D1"/>
    <w:rsid w:val="009260AC"/>
    <w:rsid w:val="0092667A"/>
    <w:rsid w:val="009268A5"/>
    <w:rsid w:val="00926B0E"/>
    <w:rsid w:val="009270F2"/>
    <w:rsid w:val="00927293"/>
    <w:rsid w:val="0092738C"/>
    <w:rsid w:val="00927505"/>
    <w:rsid w:val="0092753D"/>
    <w:rsid w:val="00927864"/>
    <w:rsid w:val="00927C71"/>
    <w:rsid w:val="009303B2"/>
    <w:rsid w:val="00930A40"/>
    <w:rsid w:val="00930BD5"/>
    <w:rsid w:val="00930BE6"/>
    <w:rsid w:val="00930BE9"/>
    <w:rsid w:val="00931143"/>
    <w:rsid w:val="00931293"/>
    <w:rsid w:val="0093142B"/>
    <w:rsid w:val="009327F7"/>
    <w:rsid w:val="00933396"/>
    <w:rsid w:val="00933A3A"/>
    <w:rsid w:val="00933BFD"/>
    <w:rsid w:val="00934D59"/>
    <w:rsid w:val="00934EF1"/>
    <w:rsid w:val="00935AF6"/>
    <w:rsid w:val="009361FE"/>
    <w:rsid w:val="0093642D"/>
    <w:rsid w:val="009364A5"/>
    <w:rsid w:val="00936503"/>
    <w:rsid w:val="0093696F"/>
    <w:rsid w:val="00937582"/>
    <w:rsid w:val="009376D4"/>
    <w:rsid w:val="0094004E"/>
    <w:rsid w:val="009402FD"/>
    <w:rsid w:val="009406E0"/>
    <w:rsid w:val="00940B96"/>
    <w:rsid w:val="00940FD3"/>
    <w:rsid w:val="00941303"/>
    <w:rsid w:val="009413F7"/>
    <w:rsid w:val="0094153E"/>
    <w:rsid w:val="00942E1F"/>
    <w:rsid w:val="00943074"/>
    <w:rsid w:val="009435DB"/>
    <w:rsid w:val="0094362A"/>
    <w:rsid w:val="0094376E"/>
    <w:rsid w:val="00944A0D"/>
    <w:rsid w:val="00944ACA"/>
    <w:rsid w:val="00944B4A"/>
    <w:rsid w:val="00944F2C"/>
    <w:rsid w:val="00945295"/>
    <w:rsid w:val="009453CC"/>
    <w:rsid w:val="00945428"/>
    <w:rsid w:val="009454DA"/>
    <w:rsid w:val="00945E81"/>
    <w:rsid w:val="00946002"/>
    <w:rsid w:val="0094614C"/>
    <w:rsid w:val="00946344"/>
    <w:rsid w:val="009466C2"/>
    <w:rsid w:val="00946AC4"/>
    <w:rsid w:val="00946D0E"/>
    <w:rsid w:val="00950167"/>
    <w:rsid w:val="009502AD"/>
    <w:rsid w:val="00950B7C"/>
    <w:rsid w:val="00950C72"/>
    <w:rsid w:val="00951DF3"/>
    <w:rsid w:val="00952521"/>
    <w:rsid w:val="009526AC"/>
    <w:rsid w:val="0095311F"/>
    <w:rsid w:val="00953257"/>
    <w:rsid w:val="00953BFC"/>
    <w:rsid w:val="00953FB7"/>
    <w:rsid w:val="0095411F"/>
    <w:rsid w:val="00954547"/>
    <w:rsid w:val="00955825"/>
    <w:rsid w:val="0095590C"/>
    <w:rsid w:val="00955BD9"/>
    <w:rsid w:val="00955D82"/>
    <w:rsid w:val="00955E9C"/>
    <w:rsid w:val="00956049"/>
    <w:rsid w:val="0095670D"/>
    <w:rsid w:val="00957A92"/>
    <w:rsid w:val="009603F6"/>
    <w:rsid w:val="00960AC1"/>
    <w:rsid w:val="009613DF"/>
    <w:rsid w:val="009617E4"/>
    <w:rsid w:val="00962769"/>
    <w:rsid w:val="00962812"/>
    <w:rsid w:val="00962935"/>
    <w:rsid w:val="00962C2E"/>
    <w:rsid w:val="00962D57"/>
    <w:rsid w:val="00963928"/>
    <w:rsid w:val="00964613"/>
    <w:rsid w:val="009653AF"/>
    <w:rsid w:val="00965D9B"/>
    <w:rsid w:val="00965FC6"/>
    <w:rsid w:val="009661F2"/>
    <w:rsid w:val="009666D3"/>
    <w:rsid w:val="00966928"/>
    <w:rsid w:val="00967C08"/>
    <w:rsid w:val="00970105"/>
    <w:rsid w:val="00970242"/>
    <w:rsid w:val="00970243"/>
    <w:rsid w:val="00971095"/>
    <w:rsid w:val="0097109A"/>
    <w:rsid w:val="0097149C"/>
    <w:rsid w:val="009718F7"/>
    <w:rsid w:val="00971A4B"/>
    <w:rsid w:val="00971C05"/>
    <w:rsid w:val="009729A4"/>
    <w:rsid w:val="00972FDC"/>
    <w:rsid w:val="00973A87"/>
    <w:rsid w:val="00973C89"/>
    <w:rsid w:val="00974641"/>
    <w:rsid w:val="0097464C"/>
    <w:rsid w:val="009757EB"/>
    <w:rsid w:val="009759D0"/>
    <w:rsid w:val="00975C09"/>
    <w:rsid w:val="00977E97"/>
    <w:rsid w:val="00980733"/>
    <w:rsid w:val="00980CCE"/>
    <w:rsid w:val="00981456"/>
    <w:rsid w:val="00981580"/>
    <w:rsid w:val="0098233C"/>
    <w:rsid w:val="009826EB"/>
    <w:rsid w:val="00982BB4"/>
    <w:rsid w:val="00982C11"/>
    <w:rsid w:val="00982C75"/>
    <w:rsid w:val="00982DDF"/>
    <w:rsid w:val="00983674"/>
    <w:rsid w:val="0098487C"/>
    <w:rsid w:val="009848ED"/>
    <w:rsid w:val="00984AA2"/>
    <w:rsid w:val="0098540F"/>
    <w:rsid w:val="0098554B"/>
    <w:rsid w:val="009856A8"/>
    <w:rsid w:val="009859DC"/>
    <w:rsid w:val="009863F2"/>
    <w:rsid w:val="00987664"/>
    <w:rsid w:val="0098787F"/>
    <w:rsid w:val="00987AD8"/>
    <w:rsid w:val="00987DB9"/>
    <w:rsid w:val="0099076A"/>
    <w:rsid w:val="00990A26"/>
    <w:rsid w:val="00990F7F"/>
    <w:rsid w:val="009910C2"/>
    <w:rsid w:val="00991BF8"/>
    <w:rsid w:val="00992EB7"/>
    <w:rsid w:val="00992F24"/>
    <w:rsid w:val="0099377E"/>
    <w:rsid w:val="009937C9"/>
    <w:rsid w:val="00993BBB"/>
    <w:rsid w:val="00993EA0"/>
    <w:rsid w:val="009944CF"/>
    <w:rsid w:val="00994500"/>
    <w:rsid w:val="00994E28"/>
    <w:rsid w:val="00994F61"/>
    <w:rsid w:val="00995306"/>
    <w:rsid w:val="009961F0"/>
    <w:rsid w:val="00996301"/>
    <w:rsid w:val="009965BC"/>
    <w:rsid w:val="00996A48"/>
    <w:rsid w:val="00996D33"/>
    <w:rsid w:val="009971A5"/>
    <w:rsid w:val="00997870"/>
    <w:rsid w:val="00997AF2"/>
    <w:rsid w:val="00997C6E"/>
    <w:rsid w:val="00997CED"/>
    <w:rsid w:val="00997F7B"/>
    <w:rsid w:val="009A0015"/>
    <w:rsid w:val="009A04B9"/>
    <w:rsid w:val="009A07B5"/>
    <w:rsid w:val="009A0829"/>
    <w:rsid w:val="009A10B0"/>
    <w:rsid w:val="009A2D9F"/>
    <w:rsid w:val="009A3389"/>
    <w:rsid w:val="009A3959"/>
    <w:rsid w:val="009A3B33"/>
    <w:rsid w:val="009A42BB"/>
    <w:rsid w:val="009A4653"/>
    <w:rsid w:val="009A4993"/>
    <w:rsid w:val="009A4B92"/>
    <w:rsid w:val="009A5256"/>
    <w:rsid w:val="009A5389"/>
    <w:rsid w:val="009A5789"/>
    <w:rsid w:val="009A6B44"/>
    <w:rsid w:val="009A6DC4"/>
    <w:rsid w:val="009A7ED0"/>
    <w:rsid w:val="009B0C3E"/>
    <w:rsid w:val="009B0DD5"/>
    <w:rsid w:val="009B0DDD"/>
    <w:rsid w:val="009B1391"/>
    <w:rsid w:val="009B1741"/>
    <w:rsid w:val="009B183E"/>
    <w:rsid w:val="009B1D12"/>
    <w:rsid w:val="009B1D4F"/>
    <w:rsid w:val="009B26F5"/>
    <w:rsid w:val="009B29C0"/>
    <w:rsid w:val="009B3A0E"/>
    <w:rsid w:val="009B3CB8"/>
    <w:rsid w:val="009B3D1D"/>
    <w:rsid w:val="009B44E0"/>
    <w:rsid w:val="009B4829"/>
    <w:rsid w:val="009B4A8B"/>
    <w:rsid w:val="009B534F"/>
    <w:rsid w:val="009B66F5"/>
    <w:rsid w:val="009B759C"/>
    <w:rsid w:val="009B7AB3"/>
    <w:rsid w:val="009B7B5F"/>
    <w:rsid w:val="009C039A"/>
    <w:rsid w:val="009C0FD6"/>
    <w:rsid w:val="009C1419"/>
    <w:rsid w:val="009C1600"/>
    <w:rsid w:val="009C238C"/>
    <w:rsid w:val="009C2A21"/>
    <w:rsid w:val="009C2E0C"/>
    <w:rsid w:val="009C2EF7"/>
    <w:rsid w:val="009C41CE"/>
    <w:rsid w:val="009C41D9"/>
    <w:rsid w:val="009C436B"/>
    <w:rsid w:val="009C4572"/>
    <w:rsid w:val="009C4A9C"/>
    <w:rsid w:val="009C4C05"/>
    <w:rsid w:val="009C4FBD"/>
    <w:rsid w:val="009C51E2"/>
    <w:rsid w:val="009C525A"/>
    <w:rsid w:val="009C5435"/>
    <w:rsid w:val="009C567C"/>
    <w:rsid w:val="009C61BF"/>
    <w:rsid w:val="009C69CA"/>
    <w:rsid w:val="009C6ADB"/>
    <w:rsid w:val="009C72E1"/>
    <w:rsid w:val="009C7319"/>
    <w:rsid w:val="009C75FA"/>
    <w:rsid w:val="009C7671"/>
    <w:rsid w:val="009C7A1F"/>
    <w:rsid w:val="009C7D56"/>
    <w:rsid w:val="009D119A"/>
    <w:rsid w:val="009D1646"/>
    <w:rsid w:val="009D18A6"/>
    <w:rsid w:val="009D2A37"/>
    <w:rsid w:val="009D2A6E"/>
    <w:rsid w:val="009D2FC8"/>
    <w:rsid w:val="009D309B"/>
    <w:rsid w:val="009D325F"/>
    <w:rsid w:val="009D45B3"/>
    <w:rsid w:val="009D5510"/>
    <w:rsid w:val="009D56B1"/>
    <w:rsid w:val="009D5927"/>
    <w:rsid w:val="009D5941"/>
    <w:rsid w:val="009D5E92"/>
    <w:rsid w:val="009D6023"/>
    <w:rsid w:val="009D6503"/>
    <w:rsid w:val="009D6B81"/>
    <w:rsid w:val="009D6FB6"/>
    <w:rsid w:val="009D72BD"/>
    <w:rsid w:val="009D7A90"/>
    <w:rsid w:val="009E0639"/>
    <w:rsid w:val="009E077A"/>
    <w:rsid w:val="009E0802"/>
    <w:rsid w:val="009E1368"/>
    <w:rsid w:val="009E1522"/>
    <w:rsid w:val="009E2424"/>
    <w:rsid w:val="009E2670"/>
    <w:rsid w:val="009E276A"/>
    <w:rsid w:val="009E29EA"/>
    <w:rsid w:val="009E2EC3"/>
    <w:rsid w:val="009E3CCE"/>
    <w:rsid w:val="009E3F02"/>
    <w:rsid w:val="009E46B1"/>
    <w:rsid w:val="009E46DA"/>
    <w:rsid w:val="009E69F3"/>
    <w:rsid w:val="009E6FF4"/>
    <w:rsid w:val="009E715C"/>
    <w:rsid w:val="009E745D"/>
    <w:rsid w:val="009E75C2"/>
    <w:rsid w:val="009E7980"/>
    <w:rsid w:val="009E79AA"/>
    <w:rsid w:val="009F0EB2"/>
    <w:rsid w:val="009F1377"/>
    <w:rsid w:val="009F1663"/>
    <w:rsid w:val="009F193F"/>
    <w:rsid w:val="009F1CB2"/>
    <w:rsid w:val="009F23EC"/>
    <w:rsid w:val="009F29F3"/>
    <w:rsid w:val="009F3E25"/>
    <w:rsid w:val="009F41A2"/>
    <w:rsid w:val="009F5BC1"/>
    <w:rsid w:val="009F6080"/>
    <w:rsid w:val="009F6425"/>
    <w:rsid w:val="009F7DCA"/>
    <w:rsid w:val="00A005CB"/>
    <w:rsid w:val="00A00794"/>
    <w:rsid w:val="00A00B1C"/>
    <w:rsid w:val="00A00F24"/>
    <w:rsid w:val="00A013F1"/>
    <w:rsid w:val="00A016FF"/>
    <w:rsid w:val="00A031D2"/>
    <w:rsid w:val="00A039D1"/>
    <w:rsid w:val="00A04745"/>
    <w:rsid w:val="00A04EA5"/>
    <w:rsid w:val="00A04EE8"/>
    <w:rsid w:val="00A05555"/>
    <w:rsid w:val="00A0589A"/>
    <w:rsid w:val="00A05EE2"/>
    <w:rsid w:val="00A05F78"/>
    <w:rsid w:val="00A0603F"/>
    <w:rsid w:val="00A0605A"/>
    <w:rsid w:val="00A06A5F"/>
    <w:rsid w:val="00A06CF1"/>
    <w:rsid w:val="00A06E44"/>
    <w:rsid w:val="00A06FA8"/>
    <w:rsid w:val="00A0716F"/>
    <w:rsid w:val="00A07379"/>
    <w:rsid w:val="00A07749"/>
    <w:rsid w:val="00A07D30"/>
    <w:rsid w:val="00A1006D"/>
    <w:rsid w:val="00A10293"/>
    <w:rsid w:val="00A10AB5"/>
    <w:rsid w:val="00A11039"/>
    <w:rsid w:val="00A11056"/>
    <w:rsid w:val="00A11071"/>
    <w:rsid w:val="00A110CF"/>
    <w:rsid w:val="00A11706"/>
    <w:rsid w:val="00A11A6E"/>
    <w:rsid w:val="00A11A9E"/>
    <w:rsid w:val="00A11C7A"/>
    <w:rsid w:val="00A1206C"/>
    <w:rsid w:val="00A1236B"/>
    <w:rsid w:val="00A13498"/>
    <w:rsid w:val="00A136EA"/>
    <w:rsid w:val="00A13AB4"/>
    <w:rsid w:val="00A13B57"/>
    <w:rsid w:val="00A144B7"/>
    <w:rsid w:val="00A14630"/>
    <w:rsid w:val="00A148C6"/>
    <w:rsid w:val="00A14A29"/>
    <w:rsid w:val="00A14B6C"/>
    <w:rsid w:val="00A14D6A"/>
    <w:rsid w:val="00A14FEC"/>
    <w:rsid w:val="00A153A9"/>
    <w:rsid w:val="00A154E8"/>
    <w:rsid w:val="00A1583B"/>
    <w:rsid w:val="00A1585E"/>
    <w:rsid w:val="00A16061"/>
    <w:rsid w:val="00A1774F"/>
    <w:rsid w:val="00A20840"/>
    <w:rsid w:val="00A21008"/>
    <w:rsid w:val="00A211DA"/>
    <w:rsid w:val="00A217E5"/>
    <w:rsid w:val="00A2250F"/>
    <w:rsid w:val="00A22558"/>
    <w:rsid w:val="00A2280E"/>
    <w:rsid w:val="00A24D98"/>
    <w:rsid w:val="00A250A8"/>
    <w:rsid w:val="00A252EC"/>
    <w:rsid w:val="00A25563"/>
    <w:rsid w:val="00A255A4"/>
    <w:rsid w:val="00A25B48"/>
    <w:rsid w:val="00A262A3"/>
    <w:rsid w:val="00A2766E"/>
    <w:rsid w:val="00A278C7"/>
    <w:rsid w:val="00A27B7E"/>
    <w:rsid w:val="00A3027F"/>
    <w:rsid w:val="00A31482"/>
    <w:rsid w:val="00A3150E"/>
    <w:rsid w:val="00A3156A"/>
    <w:rsid w:val="00A317D3"/>
    <w:rsid w:val="00A32F2A"/>
    <w:rsid w:val="00A32FCD"/>
    <w:rsid w:val="00A33041"/>
    <w:rsid w:val="00A33284"/>
    <w:rsid w:val="00A332DD"/>
    <w:rsid w:val="00A33436"/>
    <w:rsid w:val="00A339ED"/>
    <w:rsid w:val="00A33B60"/>
    <w:rsid w:val="00A33FEB"/>
    <w:rsid w:val="00A346E0"/>
    <w:rsid w:val="00A349C9"/>
    <w:rsid w:val="00A35271"/>
    <w:rsid w:val="00A3528D"/>
    <w:rsid w:val="00A35C45"/>
    <w:rsid w:val="00A3640A"/>
    <w:rsid w:val="00A36F91"/>
    <w:rsid w:val="00A37590"/>
    <w:rsid w:val="00A37874"/>
    <w:rsid w:val="00A37968"/>
    <w:rsid w:val="00A37FF7"/>
    <w:rsid w:val="00A402E4"/>
    <w:rsid w:val="00A40AEE"/>
    <w:rsid w:val="00A412BE"/>
    <w:rsid w:val="00A4138F"/>
    <w:rsid w:val="00A4179D"/>
    <w:rsid w:val="00A41AFF"/>
    <w:rsid w:val="00A41C2F"/>
    <w:rsid w:val="00A4213F"/>
    <w:rsid w:val="00A4298C"/>
    <w:rsid w:val="00A42C00"/>
    <w:rsid w:val="00A430F5"/>
    <w:rsid w:val="00A43326"/>
    <w:rsid w:val="00A4339F"/>
    <w:rsid w:val="00A43459"/>
    <w:rsid w:val="00A43888"/>
    <w:rsid w:val="00A439C3"/>
    <w:rsid w:val="00A43A04"/>
    <w:rsid w:val="00A44071"/>
    <w:rsid w:val="00A441F9"/>
    <w:rsid w:val="00A44CD3"/>
    <w:rsid w:val="00A44D8E"/>
    <w:rsid w:val="00A4523B"/>
    <w:rsid w:val="00A453B6"/>
    <w:rsid w:val="00A45A88"/>
    <w:rsid w:val="00A45B34"/>
    <w:rsid w:val="00A46126"/>
    <w:rsid w:val="00A4636F"/>
    <w:rsid w:val="00A4637E"/>
    <w:rsid w:val="00A4732F"/>
    <w:rsid w:val="00A4739C"/>
    <w:rsid w:val="00A47574"/>
    <w:rsid w:val="00A47872"/>
    <w:rsid w:val="00A47918"/>
    <w:rsid w:val="00A47CA2"/>
    <w:rsid w:val="00A47D92"/>
    <w:rsid w:val="00A50192"/>
    <w:rsid w:val="00A503F1"/>
    <w:rsid w:val="00A50642"/>
    <w:rsid w:val="00A50B53"/>
    <w:rsid w:val="00A50C21"/>
    <w:rsid w:val="00A51236"/>
    <w:rsid w:val="00A51FFA"/>
    <w:rsid w:val="00A52011"/>
    <w:rsid w:val="00A5268A"/>
    <w:rsid w:val="00A52B43"/>
    <w:rsid w:val="00A52CDD"/>
    <w:rsid w:val="00A533AB"/>
    <w:rsid w:val="00A53476"/>
    <w:rsid w:val="00A53B44"/>
    <w:rsid w:val="00A54044"/>
    <w:rsid w:val="00A54070"/>
    <w:rsid w:val="00A54A64"/>
    <w:rsid w:val="00A54E84"/>
    <w:rsid w:val="00A54F22"/>
    <w:rsid w:val="00A554D8"/>
    <w:rsid w:val="00A5560A"/>
    <w:rsid w:val="00A55E3E"/>
    <w:rsid w:val="00A55F66"/>
    <w:rsid w:val="00A566B1"/>
    <w:rsid w:val="00A56B79"/>
    <w:rsid w:val="00A56F5F"/>
    <w:rsid w:val="00A57904"/>
    <w:rsid w:val="00A57BA8"/>
    <w:rsid w:val="00A607C2"/>
    <w:rsid w:val="00A60B00"/>
    <w:rsid w:val="00A60BBB"/>
    <w:rsid w:val="00A60FF4"/>
    <w:rsid w:val="00A617D5"/>
    <w:rsid w:val="00A61E44"/>
    <w:rsid w:val="00A62573"/>
    <w:rsid w:val="00A62585"/>
    <w:rsid w:val="00A625D4"/>
    <w:rsid w:val="00A62B68"/>
    <w:rsid w:val="00A62D9F"/>
    <w:rsid w:val="00A6314A"/>
    <w:rsid w:val="00A634FD"/>
    <w:rsid w:val="00A63C73"/>
    <w:rsid w:val="00A64E2F"/>
    <w:rsid w:val="00A650A4"/>
    <w:rsid w:val="00A651E0"/>
    <w:rsid w:val="00A6590F"/>
    <w:rsid w:val="00A6599D"/>
    <w:rsid w:val="00A65AAC"/>
    <w:rsid w:val="00A6677B"/>
    <w:rsid w:val="00A66896"/>
    <w:rsid w:val="00A66C3A"/>
    <w:rsid w:val="00A67202"/>
    <w:rsid w:val="00A67724"/>
    <w:rsid w:val="00A67DE9"/>
    <w:rsid w:val="00A703CC"/>
    <w:rsid w:val="00A7161D"/>
    <w:rsid w:val="00A72923"/>
    <w:rsid w:val="00A72B71"/>
    <w:rsid w:val="00A73044"/>
    <w:rsid w:val="00A73707"/>
    <w:rsid w:val="00A73F3D"/>
    <w:rsid w:val="00A740ED"/>
    <w:rsid w:val="00A743CF"/>
    <w:rsid w:val="00A74694"/>
    <w:rsid w:val="00A748A2"/>
    <w:rsid w:val="00A7717E"/>
    <w:rsid w:val="00A771E0"/>
    <w:rsid w:val="00A772F7"/>
    <w:rsid w:val="00A773FF"/>
    <w:rsid w:val="00A774A6"/>
    <w:rsid w:val="00A774BD"/>
    <w:rsid w:val="00A77562"/>
    <w:rsid w:val="00A77DD0"/>
    <w:rsid w:val="00A77E68"/>
    <w:rsid w:val="00A804FB"/>
    <w:rsid w:val="00A8052E"/>
    <w:rsid w:val="00A814D2"/>
    <w:rsid w:val="00A8165C"/>
    <w:rsid w:val="00A81939"/>
    <w:rsid w:val="00A81DC5"/>
    <w:rsid w:val="00A820E2"/>
    <w:rsid w:val="00A822F8"/>
    <w:rsid w:val="00A82E98"/>
    <w:rsid w:val="00A83E00"/>
    <w:rsid w:val="00A83F6D"/>
    <w:rsid w:val="00A84850"/>
    <w:rsid w:val="00A84C68"/>
    <w:rsid w:val="00A853BF"/>
    <w:rsid w:val="00A8560A"/>
    <w:rsid w:val="00A85E70"/>
    <w:rsid w:val="00A8769C"/>
    <w:rsid w:val="00A9038E"/>
    <w:rsid w:val="00A90451"/>
    <w:rsid w:val="00A905BF"/>
    <w:rsid w:val="00A90705"/>
    <w:rsid w:val="00A92652"/>
    <w:rsid w:val="00A92824"/>
    <w:rsid w:val="00A92D86"/>
    <w:rsid w:val="00A934D7"/>
    <w:rsid w:val="00A936D1"/>
    <w:rsid w:val="00A938CE"/>
    <w:rsid w:val="00A93A43"/>
    <w:rsid w:val="00A95439"/>
    <w:rsid w:val="00A95778"/>
    <w:rsid w:val="00A96327"/>
    <w:rsid w:val="00A96E45"/>
    <w:rsid w:val="00A97211"/>
    <w:rsid w:val="00A977C5"/>
    <w:rsid w:val="00A978F2"/>
    <w:rsid w:val="00A97CF3"/>
    <w:rsid w:val="00AA026B"/>
    <w:rsid w:val="00AA1585"/>
    <w:rsid w:val="00AA1793"/>
    <w:rsid w:val="00AA1796"/>
    <w:rsid w:val="00AA1AD5"/>
    <w:rsid w:val="00AA1C45"/>
    <w:rsid w:val="00AA1F1D"/>
    <w:rsid w:val="00AA38BF"/>
    <w:rsid w:val="00AA3BF8"/>
    <w:rsid w:val="00AA418A"/>
    <w:rsid w:val="00AA45C8"/>
    <w:rsid w:val="00AA4CCC"/>
    <w:rsid w:val="00AA62C3"/>
    <w:rsid w:val="00AA6557"/>
    <w:rsid w:val="00AA6689"/>
    <w:rsid w:val="00AA6847"/>
    <w:rsid w:val="00AA6AA1"/>
    <w:rsid w:val="00AA6E70"/>
    <w:rsid w:val="00AA6F15"/>
    <w:rsid w:val="00AA6FC3"/>
    <w:rsid w:val="00AA7133"/>
    <w:rsid w:val="00AA725D"/>
    <w:rsid w:val="00AA73F7"/>
    <w:rsid w:val="00AA743F"/>
    <w:rsid w:val="00AA77FC"/>
    <w:rsid w:val="00AB12D4"/>
    <w:rsid w:val="00AB1335"/>
    <w:rsid w:val="00AB22C4"/>
    <w:rsid w:val="00AB2359"/>
    <w:rsid w:val="00AB236A"/>
    <w:rsid w:val="00AB2718"/>
    <w:rsid w:val="00AB27AE"/>
    <w:rsid w:val="00AB27D5"/>
    <w:rsid w:val="00AB2DAB"/>
    <w:rsid w:val="00AB2E11"/>
    <w:rsid w:val="00AB2F68"/>
    <w:rsid w:val="00AB30BD"/>
    <w:rsid w:val="00AB3A1E"/>
    <w:rsid w:val="00AB3C59"/>
    <w:rsid w:val="00AB3CE6"/>
    <w:rsid w:val="00AB47E2"/>
    <w:rsid w:val="00AB4A4D"/>
    <w:rsid w:val="00AB4D04"/>
    <w:rsid w:val="00AB57D0"/>
    <w:rsid w:val="00AB5906"/>
    <w:rsid w:val="00AB5D06"/>
    <w:rsid w:val="00AB671E"/>
    <w:rsid w:val="00AB6930"/>
    <w:rsid w:val="00AB6B19"/>
    <w:rsid w:val="00AB6DAC"/>
    <w:rsid w:val="00AB70B4"/>
    <w:rsid w:val="00AB7336"/>
    <w:rsid w:val="00AB7E60"/>
    <w:rsid w:val="00AC08BF"/>
    <w:rsid w:val="00AC22F9"/>
    <w:rsid w:val="00AC33C2"/>
    <w:rsid w:val="00AC34B7"/>
    <w:rsid w:val="00AC3CF7"/>
    <w:rsid w:val="00AC407C"/>
    <w:rsid w:val="00AC4A2B"/>
    <w:rsid w:val="00AC4CE3"/>
    <w:rsid w:val="00AC4D36"/>
    <w:rsid w:val="00AC530E"/>
    <w:rsid w:val="00AC53F8"/>
    <w:rsid w:val="00AC5D59"/>
    <w:rsid w:val="00AC612B"/>
    <w:rsid w:val="00AC6F03"/>
    <w:rsid w:val="00AC72CF"/>
    <w:rsid w:val="00AC731E"/>
    <w:rsid w:val="00AD0137"/>
    <w:rsid w:val="00AD16AC"/>
    <w:rsid w:val="00AD173C"/>
    <w:rsid w:val="00AD1B68"/>
    <w:rsid w:val="00AD2397"/>
    <w:rsid w:val="00AD2642"/>
    <w:rsid w:val="00AD2E5B"/>
    <w:rsid w:val="00AD303F"/>
    <w:rsid w:val="00AD305D"/>
    <w:rsid w:val="00AD3328"/>
    <w:rsid w:val="00AD3897"/>
    <w:rsid w:val="00AD3A33"/>
    <w:rsid w:val="00AD3A9B"/>
    <w:rsid w:val="00AD4410"/>
    <w:rsid w:val="00AD5593"/>
    <w:rsid w:val="00AD575B"/>
    <w:rsid w:val="00AD6374"/>
    <w:rsid w:val="00AD6402"/>
    <w:rsid w:val="00AD65A5"/>
    <w:rsid w:val="00AD6EC8"/>
    <w:rsid w:val="00AD77C5"/>
    <w:rsid w:val="00AD7EB8"/>
    <w:rsid w:val="00AE0186"/>
    <w:rsid w:val="00AE0359"/>
    <w:rsid w:val="00AE0D4C"/>
    <w:rsid w:val="00AE0F1E"/>
    <w:rsid w:val="00AE1284"/>
    <w:rsid w:val="00AE128A"/>
    <w:rsid w:val="00AE1327"/>
    <w:rsid w:val="00AE1A9B"/>
    <w:rsid w:val="00AE1A9F"/>
    <w:rsid w:val="00AE2020"/>
    <w:rsid w:val="00AE2056"/>
    <w:rsid w:val="00AE234C"/>
    <w:rsid w:val="00AE25BE"/>
    <w:rsid w:val="00AE25F1"/>
    <w:rsid w:val="00AE2931"/>
    <w:rsid w:val="00AE2D65"/>
    <w:rsid w:val="00AE39FC"/>
    <w:rsid w:val="00AE3F78"/>
    <w:rsid w:val="00AE41E1"/>
    <w:rsid w:val="00AE526E"/>
    <w:rsid w:val="00AE5437"/>
    <w:rsid w:val="00AE56E8"/>
    <w:rsid w:val="00AE5915"/>
    <w:rsid w:val="00AE59DB"/>
    <w:rsid w:val="00AE67E9"/>
    <w:rsid w:val="00AE6CF3"/>
    <w:rsid w:val="00AE6FD6"/>
    <w:rsid w:val="00AE71CB"/>
    <w:rsid w:val="00AE736C"/>
    <w:rsid w:val="00AE7AA5"/>
    <w:rsid w:val="00AF019B"/>
    <w:rsid w:val="00AF064B"/>
    <w:rsid w:val="00AF0E4F"/>
    <w:rsid w:val="00AF239C"/>
    <w:rsid w:val="00AF26A4"/>
    <w:rsid w:val="00AF26E0"/>
    <w:rsid w:val="00AF2935"/>
    <w:rsid w:val="00AF31F2"/>
    <w:rsid w:val="00AF31F4"/>
    <w:rsid w:val="00AF3CE8"/>
    <w:rsid w:val="00AF3F77"/>
    <w:rsid w:val="00AF40D5"/>
    <w:rsid w:val="00AF496D"/>
    <w:rsid w:val="00AF525A"/>
    <w:rsid w:val="00AF6904"/>
    <w:rsid w:val="00AF6A25"/>
    <w:rsid w:val="00AF6EFC"/>
    <w:rsid w:val="00AF74E5"/>
    <w:rsid w:val="00AF7A1D"/>
    <w:rsid w:val="00AF7D6B"/>
    <w:rsid w:val="00AF7F99"/>
    <w:rsid w:val="00B00AE7"/>
    <w:rsid w:val="00B00B23"/>
    <w:rsid w:val="00B00BD2"/>
    <w:rsid w:val="00B00D7A"/>
    <w:rsid w:val="00B01ACD"/>
    <w:rsid w:val="00B01AF0"/>
    <w:rsid w:val="00B01ED1"/>
    <w:rsid w:val="00B02227"/>
    <w:rsid w:val="00B023E5"/>
    <w:rsid w:val="00B02AFF"/>
    <w:rsid w:val="00B02DD0"/>
    <w:rsid w:val="00B03090"/>
    <w:rsid w:val="00B03389"/>
    <w:rsid w:val="00B0352F"/>
    <w:rsid w:val="00B03572"/>
    <w:rsid w:val="00B0432F"/>
    <w:rsid w:val="00B0444E"/>
    <w:rsid w:val="00B04941"/>
    <w:rsid w:val="00B05874"/>
    <w:rsid w:val="00B05AA8"/>
    <w:rsid w:val="00B0698B"/>
    <w:rsid w:val="00B06B92"/>
    <w:rsid w:val="00B0722D"/>
    <w:rsid w:val="00B072EE"/>
    <w:rsid w:val="00B07574"/>
    <w:rsid w:val="00B1008F"/>
    <w:rsid w:val="00B10EC3"/>
    <w:rsid w:val="00B1174B"/>
    <w:rsid w:val="00B11763"/>
    <w:rsid w:val="00B12C07"/>
    <w:rsid w:val="00B13D93"/>
    <w:rsid w:val="00B14151"/>
    <w:rsid w:val="00B1433E"/>
    <w:rsid w:val="00B1441A"/>
    <w:rsid w:val="00B14E49"/>
    <w:rsid w:val="00B14E4A"/>
    <w:rsid w:val="00B15A97"/>
    <w:rsid w:val="00B16BE1"/>
    <w:rsid w:val="00B16C06"/>
    <w:rsid w:val="00B17262"/>
    <w:rsid w:val="00B1791C"/>
    <w:rsid w:val="00B17AA4"/>
    <w:rsid w:val="00B20141"/>
    <w:rsid w:val="00B2029F"/>
    <w:rsid w:val="00B202BD"/>
    <w:rsid w:val="00B207D9"/>
    <w:rsid w:val="00B20D70"/>
    <w:rsid w:val="00B211A9"/>
    <w:rsid w:val="00B211C2"/>
    <w:rsid w:val="00B214D4"/>
    <w:rsid w:val="00B22167"/>
    <w:rsid w:val="00B22797"/>
    <w:rsid w:val="00B23193"/>
    <w:rsid w:val="00B23504"/>
    <w:rsid w:val="00B23A60"/>
    <w:rsid w:val="00B23A7E"/>
    <w:rsid w:val="00B24AC7"/>
    <w:rsid w:val="00B24DA3"/>
    <w:rsid w:val="00B25003"/>
    <w:rsid w:val="00B25139"/>
    <w:rsid w:val="00B251A2"/>
    <w:rsid w:val="00B256D1"/>
    <w:rsid w:val="00B27817"/>
    <w:rsid w:val="00B27D09"/>
    <w:rsid w:val="00B27D20"/>
    <w:rsid w:val="00B27EB2"/>
    <w:rsid w:val="00B303D9"/>
    <w:rsid w:val="00B304FF"/>
    <w:rsid w:val="00B30634"/>
    <w:rsid w:val="00B30F59"/>
    <w:rsid w:val="00B3142E"/>
    <w:rsid w:val="00B31A49"/>
    <w:rsid w:val="00B31CDC"/>
    <w:rsid w:val="00B31D79"/>
    <w:rsid w:val="00B31E98"/>
    <w:rsid w:val="00B323A8"/>
    <w:rsid w:val="00B3272B"/>
    <w:rsid w:val="00B32E80"/>
    <w:rsid w:val="00B3380D"/>
    <w:rsid w:val="00B33939"/>
    <w:rsid w:val="00B3412A"/>
    <w:rsid w:val="00B34485"/>
    <w:rsid w:val="00B357BB"/>
    <w:rsid w:val="00B35943"/>
    <w:rsid w:val="00B35EF2"/>
    <w:rsid w:val="00B364FE"/>
    <w:rsid w:val="00B36EA7"/>
    <w:rsid w:val="00B3755C"/>
    <w:rsid w:val="00B379C4"/>
    <w:rsid w:val="00B37CC4"/>
    <w:rsid w:val="00B4056A"/>
    <w:rsid w:val="00B40C4D"/>
    <w:rsid w:val="00B414AF"/>
    <w:rsid w:val="00B4154C"/>
    <w:rsid w:val="00B41DC1"/>
    <w:rsid w:val="00B41F75"/>
    <w:rsid w:val="00B42075"/>
    <w:rsid w:val="00B42715"/>
    <w:rsid w:val="00B42848"/>
    <w:rsid w:val="00B42BA2"/>
    <w:rsid w:val="00B42FED"/>
    <w:rsid w:val="00B4341A"/>
    <w:rsid w:val="00B44E8C"/>
    <w:rsid w:val="00B45781"/>
    <w:rsid w:val="00B45941"/>
    <w:rsid w:val="00B45BCC"/>
    <w:rsid w:val="00B466DB"/>
    <w:rsid w:val="00B469FF"/>
    <w:rsid w:val="00B47395"/>
    <w:rsid w:val="00B476BE"/>
    <w:rsid w:val="00B47BF9"/>
    <w:rsid w:val="00B502A8"/>
    <w:rsid w:val="00B50819"/>
    <w:rsid w:val="00B51127"/>
    <w:rsid w:val="00B51297"/>
    <w:rsid w:val="00B513EC"/>
    <w:rsid w:val="00B51694"/>
    <w:rsid w:val="00B51777"/>
    <w:rsid w:val="00B51A7A"/>
    <w:rsid w:val="00B52DF8"/>
    <w:rsid w:val="00B53092"/>
    <w:rsid w:val="00B530B7"/>
    <w:rsid w:val="00B53256"/>
    <w:rsid w:val="00B534AD"/>
    <w:rsid w:val="00B539E6"/>
    <w:rsid w:val="00B54067"/>
    <w:rsid w:val="00B54303"/>
    <w:rsid w:val="00B555BD"/>
    <w:rsid w:val="00B55695"/>
    <w:rsid w:val="00B560E6"/>
    <w:rsid w:val="00B5613A"/>
    <w:rsid w:val="00B56C1C"/>
    <w:rsid w:val="00B57286"/>
    <w:rsid w:val="00B57584"/>
    <w:rsid w:val="00B575CD"/>
    <w:rsid w:val="00B60727"/>
    <w:rsid w:val="00B60984"/>
    <w:rsid w:val="00B60C32"/>
    <w:rsid w:val="00B614E0"/>
    <w:rsid w:val="00B61C5D"/>
    <w:rsid w:val="00B61D73"/>
    <w:rsid w:val="00B6225F"/>
    <w:rsid w:val="00B62479"/>
    <w:rsid w:val="00B625B4"/>
    <w:rsid w:val="00B62BF5"/>
    <w:rsid w:val="00B62FF8"/>
    <w:rsid w:val="00B631B1"/>
    <w:rsid w:val="00B636FA"/>
    <w:rsid w:val="00B63792"/>
    <w:rsid w:val="00B640A7"/>
    <w:rsid w:val="00B64177"/>
    <w:rsid w:val="00B648ED"/>
    <w:rsid w:val="00B64FA2"/>
    <w:rsid w:val="00B65EBB"/>
    <w:rsid w:val="00B65FE2"/>
    <w:rsid w:val="00B67155"/>
    <w:rsid w:val="00B67217"/>
    <w:rsid w:val="00B676C4"/>
    <w:rsid w:val="00B700C1"/>
    <w:rsid w:val="00B70729"/>
    <w:rsid w:val="00B7096E"/>
    <w:rsid w:val="00B70DB5"/>
    <w:rsid w:val="00B70FE6"/>
    <w:rsid w:val="00B72F13"/>
    <w:rsid w:val="00B73959"/>
    <w:rsid w:val="00B74374"/>
    <w:rsid w:val="00B7448A"/>
    <w:rsid w:val="00B74915"/>
    <w:rsid w:val="00B74C78"/>
    <w:rsid w:val="00B74DC6"/>
    <w:rsid w:val="00B74E57"/>
    <w:rsid w:val="00B75552"/>
    <w:rsid w:val="00B75767"/>
    <w:rsid w:val="00B758B5"/>
    <w:rsid w:val="00B75A8E"/>
    <w:rsid w:val="00B75ABA"/>
    <w:rsid w:val="00B75AD9"/>
    <w:rsid w:val="00B7646A"/>
    <w:rsid w:val="00B765FC"/>
    <w:rsid w:val="00B76B05"/>
    <w:rsid w:val="00B803CA"/>
    <w:rsid w:val="00B80869"/>
    <w:rsid w:val="00B8100C"/>
    <w:rsid w:val="00B81BE2"/>
    <w:rsid w:val="00B82138"/>
    <w:rsid w:val="00B82533"/>
    <w:rsid w:val="00B82B2A"/>
    <w:rsid w:val="00B83151"/>
    <w:rsid w:val="00B83EDA"/>
    <w:rsid w:val="00B83FD9"/>
    <w:rsid w:val="00B84C7A"/>
    <w:rsid w:val="00B84D70"/>
    <w:rsid w:val="00B85CD4"/>
    <w:rsid w:val="00B85D7F"/>
    <w:rsid w:val="00B85E57"/>
    <w:rsid w:val="00B86A20"/>
    <w:rsid w:val="00B86BCB"/>
    <w:rsid w:val="00B86CC3"/>
    <w:rsid w:val="00B87F62"/>
    <w:rsid w:val="00B905EA"/>
    <w:rsid w:val="00B90C31"/>
    <w:rsid w:val="00B90FEF"/>
    <w:rsid w:val="00B913DA"/>
    <w:rsid w:val="00B918C7"/>
    <w:rsid w:val="00B9205E"/>
    <w:rsid w:val="00B921BE"/>
    <w:rsid w:val="00B92678"/>
    <w:rsid w:val="00B9291A"/>
    <w:rsid w:val="00B92ACF"/>
    <w:rsid w:val="00B92C87"/>
    <w:rsid w:val="00B92DC9"/>
    <w:rsid w:val="00B93B82"/>
    <w:rsid w:val="00B9422D"/>
    <w:rsid w:val="00B947B8"/>
    <w:rsid w:val="00B95024"/>
    <w:rsid w:val="00B95364"/>
    <w:rsid w:val="00B956A4"/>
    <w:rsid w:val="00B95E9F"/>
    <w:rsid w:val="00B96B52"/>
    <w:rsid w:val="00B96F07"/>
    <w:rsid w:val="00B973B1"/>
    <w:rsid w:val="00B977BC"/>
    <w:rsid w:val="00B978AC"/>
    <w:rsid w:val="00BA0049"/>
    <w:rsid w:val="00BA00CE"/>
    <w:rsid w:val="00BA07A7"/>
    <w:rsid w:val="00BA0B2C"/>
    <w:rsid w:val="00BA1505"/>
    <w:rsid w:val="00BA1641"/>
    <w:rsid w:val="00BA2828"/>
    <w:rsid w:val="00BA2DA3"/>
    <w:rsid w:val="00BA404F"/>
    <w:rsid w:val="00BA4CF8"/>
    <w:rsid w:val="00BA57BF"/>
    <w:rsid w:val="00BA59B7"/>
    <w:rsid w:val="00BA5B31"/>
    <w:rsid w:val="00BA6BC7"/>
    <w:rsid w:val="00BA6CF3"/>
    <w:rsid w:val="00BA794E"/>
    <w:rsid w:val="00BB0557"/>
    <w:rsid w:val="00BB057A"/>
    <w:rsid w:val="00BB0877"/>
    <w:rsid w:val="00BB09C5"/>
    <w:rsid w:val="00BB09F1"/>
    <w:rsid w:val="00BB0A3C"/>
    <w:rsid w:val="00BB113E"/>
    <w:rsid w:val="00BB164C"/>
    <w:rsid w:val="00BB1841"/>
    <w:rsid w:val="00BB18A5"/>
    <w:rsid w:val="00BB1F34"/>
    <w:rsid w:val="00BB2426"/>
    <w:rsid w:val="00BB2638"/>
    <w:rsid w:val="00BB2C5C"/>
    <w:rsid w:val="00BB3B69"/>
    <w:rsid w:val="00BB3DF1"/>
    <w:rsid w:val="00BB3EA3"/>
    <w:rsid w:val="00BB448D"/>
    <w:rsid w:val="00BB457D"/>
    <w:rsid w:val="00BB4A91"/>
    <w:rsid w:val="00BB4C47"/>
    <w:rsid w:val="00BB4C59"/>
    <w:rsid w:val="00BB4D5F"/>
    <w:rsid w:val="00BB543D"/>
    <w:rsid w:val="00BB5629"/>
    <w:rsid w:val="00BB57DD"/>
    <w:rsid w:val="00BB58E9"/>
    <w:rsid w:val="00BB5995"/>
    <w:rsid w:val="00BB5BD9"/>
    <w:rsid w:val="00BB7815"/>
    <w:rsid w:val="00BB7F61"/>
    <w:rsid w:val="00BC384F"/>
    <w:rsid w:val="00BC3F56"/>
    <w:rsid w:val="00BC47D1"/>
    <w:rsid w:val="00BC4CE6"/>
    <w:rsid w:val="00BC518D"/>
    <w:rsid w:val="00BC5362"/>
    <w:rsid w:val="00BC566D"/>
    <w:rsid w:val="00BC58AE"/>
    <w:rsid w:val="00BC58E0"/>
    <w:rsid w:val="00BC5BB4"/>
    <w:rsid w:val="00BC5DD0"/>
    <w:rsid w:val="00BC5E1A"/>
    <w:rsid w:val="00BC66BB"/>
    <w:rsid w:val="00BC79B4"/>
    <w:rsid w:val="00BC7CF1"/>
    <w:rsid w:val="00BD0037"/>
    <w:rsid w:val="00BD1517"/>
    <w:rsid w:val="00BD15AB"/>
    <w:rsid w:val="00BD2776"/>
    <w:rsid w:val="00BD2ADD"/>
    <w:rsid w:val="00BD2C69"/>
    <w:rsid w:val="00BD2F10"/>
    <w:rsid w:val="00BD3284"/>
    <w:rsid w:val="00BD43CD"/>
    <w:rsid w:val="00BD44E4"/>
    <w:rsid w:val="00BD45C3"/>
    <w:rsid w:val="00BD47A9"/>
    <w:rsid w:val="00BD4B13"/>
    <w:rsid w:val="00BD505E"/>
    <w:rsid w:val="00BD5716"/>
    <w:rsid w:val="00BD5B39"/>
    <w:rsid w:val="00BD5DEF"/>
    <w:rsid w:val="00BD6431"/>
    <w:rsid w:val="00BD64A6"/>
    <w:rsid w:val="00BD724F"/>
    <w:rsid w:val="00BD7CF4"/>
    <w:rsid w:val="00BE0D29"/>
    <w:rsid w:val="00BE156E"/>
    <w:rsid w:val="00BE17BF"/>
    <w:rsid w:val="00BE1A9E"/>
    <w:rsid w:val="00BE225F"/>
    <w:rsid w:val="00BE2826"/>
    <w:rsid w:val="00BE38E9"/>
    <w:rsid w:val="00BE44C9"/>
    <w:rsid w:val="00BE4983"/>
    <w:rsid w:val="00BE5285"/>
    <w:rsid w:val="00BE53B2"/>
    <w:rsid w:val="00BE5B66"/>
    <w:rsid w:val="00BE5C90"/>
    <w:rsid w:val="00BE5E3A"/>
    <w:rsid w:val="00BE614D"/>
    <w:rsid w:val="00BE65CA"/>
    <w:rsid w:val="00BE6B2E"/>
    <w:rsid w:val="00BE6BEF"/>
    <w:rsid w:val="00BE71CB"/>
    <w:rsid w:val="00BE7B00"/>
    <w:rsid w:val="00BE7C5C"/>
    <w:rsid w:val="00BE7CE0"/>
    <w:rsid w:val="00BE7DA1"/>
    <w:rsid w:val="00BF0783"/>
    <w:rsid w:val="00BF1E29"/>
    <w:rsid w:val="00BF2E75"/>
    <w:rsid w:val="00BF3307"/>
    <w:rsid w:val="00BF35B3"/>
    <w:rsid w:val="00BF3B2A"/>
    <w:rsid w:val="00BF42F9"/>
    <w:rsid w:val="00BF47CD"/>
    <w:rsid w:val="00BF4DE6"/>
    <w:rsid w:val="00BF55FE"/>
    <w:rsid w:val="00BF5813"/>
    <w:rsid w:val="00BF5A8D"/>
    <w:rsid w:val="00BF60CD"/>
    <w:rsid w:val="00BF6380"/>
    <w:rsid w:val="00BF6ABF"/>
    <w:rsid w:val="00BF6D3F"/>
    <w:rsid w:val="00BF73A0"/>
    <w:rsid w:val="00BF73AF"/>
    <w:rsid w:val="00BF7CAD"/>
    <w:rsid w:val="00C0130B"/>
    <w:rsid w:val="00C018E5"/>
    <w:rsid w:val="00C0222F"/>
    <w:rsid w:val="00C024C6"/>
    <w:rsid w:val="00C04034"/>
    <w:rsid w:val="00C046D3"/>
    <w:rsid w:val="00C04CD4"/>
    <w:rsid w:val="00C04F7B"/>
    <w:rsid w:val="00C06409"/>
    <w:rsid w:val="00C108C7"/>
    <w:rsid w:val="00C11B66"/>
    <w:rsid w:val="00C11F95"/>
    <w:rsid w:val="00C12609"/>
    <w:rsid w:val="00C131DF"/>
    <w:rsid w:val="00C1392C"/>
    <w:rsid w:val="00C144C2"/>
    <w:rsid w:val="00C14BD7"/>
    <w:rsid w:val="00C15661"/>
    <w:rsid w:val="00C16487"/>
    <w:rsid w:val="00C16584"/>
    <w:rsid w:val="00C1659A"/>
    <w:rsid w:val="00C16609"/>
    <w:rsid w:val="00C16E7E"/>
    <w:rsid w:val="00C211B3"/>
    <w:rsid w:val="00C2134F"/>
    <w:rsid w:val="00C22F1B"/>
    <w:rsid w:val="00C23C12"/>
    <w:rsid w:val="00C23C75"/>
    <w:rsid w:val="00C2402A"/>
    <w:rsid w:val="00C24F0E"/>
    <w:rsid w:val="00C25990"/>
    <w:rsid w:val="00C25ADC"/>
    <w:rsid w:val="00C25F75"/>
    <w:rsid w:val="00C26256"/>
    <w:rsid w:val="00C26B6C"/>
    <w:rsid w:val="00C27648"/>
    <w:rsid w:val="00C27E9A"/>
    <w:rsid w:val="00C30516"/>
    <w:rsid w:val="00C30E3C"/>
    <w:rsid w:val="00C314FB"/>
    <w:rsid w:val="00C31B03"/>
    <w:rsid w:val="00C333A0"/>
    <w:rsid w:val="00C33BFE"/>
    <w:rsid w:val="00C34585"/>
    <w:rsid w:val="00C34A00"/>
    <w:rsid w:val="00C355C8"/>
    <w:rsid w:val="00C35932"/>
    <w:rsid w:val="00C3776D"/>
    <w:rsid w:val="00C37EB5"/>
    <w:rsid w:val="00C400BE"/>
    <w:rsid w:val="00C40266"/>
    <w:rsid w:val="00C404DA"/>
    <w:rsid w:val="00C413A3"/>
    <w:rsid w:val="00C413AC"/>
    <w:rsid w:val="00C413B9"/>
    <w:rsid w:val="00C416FC"/>
    <w:rsid w:val="00C422D0"/>
    <w:rsid w:val="00C42C5D"/>
    <w:rsid w:val="00C42D5A"/>
    <w:rsid w:val="00C42DB5"/>
    <w:rsid w:val="00C441FF"/>
    <w:rsid w:val="00C44946"/>
    <w:rsid w:val="00C44C27"/>
    <w:rsid w:val="00C459AA"/>
    <w:rsid w:val="00C46CCE"/>
    <w:rsid w:val="00C4707C"/>
    <w:rsid w:val="00C47C7A"/>
    <w:rsid w:val="00C50BFA"/>
    <w:rsid w:val="00C50F86"/>
    <w:rsid w:val="00C51B2D"/>
    <w:rsid w:val="00C51E01"/>
    <w:rsid w:val="00C5228F"/>
    <w:rsid w:val="00C528ED"/>
    <w:rsid w:val="00C52A16"/>
    <w:rsid w:val="00C52BC7"/>
    <w:rsid w:val="00C54186"/>
    <w:rsid w:val="00C547B0"/>
    <w:rsid w:val="00C5480F"/>
    <w:rsid w:val="00C55A37"/>
    <w:rsid w:val="00C55AC8"/>
    <w:rsid w:val="00C55C97"/>
    <w:rsid w:val="00C56F96"/>
    <w:rsid w:val="00C57348"/>
    <w:rsid w:val="00C57713"/>
    <w:rsid w:val="00C5774D"/>
    <w:rsid w:val="00C57F1B"/>
    <w:rsid w:val="00C60279"/>
    <w:rsid w:val="00C605A2"/>
    <w:rsid w:val="00C60A71"/>
    <w:rsid w:val="00C61191"/>
    <w:rsid w:val="00C61A73"/>
    <w:rsid w:val="00C61E1C"/>
    <w:rsid w:val="00C61E29"/>
    <w:rsid w:val="00C61EC6"/>
    <w:rsid w:val="00C62A11"/>
    <w:rsid w:val="00C63328"/>
    <w:rsid w:val="00C6377D"/>
    <w:rsid w:val="00C6422F"/>
    <w:rsid w:val="00C65174"/>
    <w:rsid w:val="00C655A6"/>
    <w:rsid w:val="00C65E97"/>
    <w:rsid w:val="00C67190"/>
    <w:rsid w:val="00C67307"/>
    <w:rsid w:val="00C6736E"/>
    <w:rsid w:val="00C6755C"/>
    <w:rsid w:val="00C676AA"/>
    <w:rsid w:val="00C67E0B"/>
    <w:rsid w:val="00C67F49"/>
    <w:rsid w:val="00C701E3"/>
    <w:rsid w:val="00C70933"/>
    <w:rsid w:val="00C70DAE"/>
    <w:rsid w:val="00C70DB2"/>
    <w:rsid w:val="00C71181"/>
    <w:rsid w:val="00C71424"/>
    <w:rsid w:val="00C71B2C"/>
    <w:rsid w:val="00C71B8F"/>
    <w:rsid w:val="00C71D19"/>
    <w:rsid w:val="00C72760"/>
    <w:rsid w:val="00C72D01"/>
    <w:rsid w:val="00C73B7C"/>
    <w:rsid w:val="00C74415"/>
    <w:rsid w:val="00C74D1F"/>
    <w:rsid w:val="00C74DD1"/>
    <w:rsid w:val="00C74E90"/>
    <w:rsid w:val="00C75097"/>
    <w:rsid w:val="00C7516D"/>
    <w:rsid w:val="00C7560A"/>
    <w:rsid w:val="00C758F3"/>
    <w:rsid w:val="00C76943"/>
    <w:rsid w:val="00C7759D"/>
    <w:rsid w:val="00C777CF"/>
    <w:rsid w:val="00C7785A"/>
    <w:rsid w:val="00C77E37"/>
    <w:rsid w:val="00C80474"/>
    <w:rsid w:val="00C80E6D"/>
    <w:rsid w:val="00C817EA"/>
    <w:rsid w:val="00C818B4"/>
    <w:rsid w:val="00C81C34"/>
    <w:rsid w:val="00C81E75"/>
    <w:rsid w:val="00C82294"/>
    <w:rsid w:val="00C8295F"/>
    <w:rsid w:val="00C82CEB"/>
    <w:rsid w:val="00C84750"/>
    <w:rsid w:val="00C84B0B"/>
    <w:rsid w:val="00C851C5"/>
    <w:rsid w:val="00C8551D"/>
    <w:rsid w:val="00C8606A"/>
    <w:rsid w:val="00C8688E"/>
    <w:rsid w:val="00C86DF9"/>
    <w:rsid w:val="00C8754C"/>
    <w:rsid w:val="00C87997"/>
    <w:rsid w:val="00C87A00"/>
    <w:rsid w:val="00C87C5A"/>
    <w:rsid w:val="00C87EA8"/>
    <w:rsid w:val="00C907EC"/>
    <w:rsid w:val="00C90948"/>
    <w:rsid w:val="00C90BF9"/>
    <w:rsid w:val="00C90BFA"/>
    <w:rsid w:val="00C910CD"/>
    <w:rsid w:val="00C914D6"/>
    <w:rsid w:val="00C91B62"/>
    <w:rsid w:val="00C91CE0"/>
    <w:rsid w:val="00C91DB4"/>
    <w:rsid w:val="00C92589"/>
    <w:rsid w:val="00C92721"/>
    <w:rsid w:val="00C92774"/>
    <w:rsid w:val="00C92A40"/>
    <w:rsid w:val="00C93362"/>
    <w:rsid w:val="00C93675"/>
    <w:rsid w:val="00C942B7"/>
    <w:rsid w:val="00C944F5"/>
    <w:rsid w:val="00C94E93"/>
    <w:rsid w:val="00C9525B"/>
    <w:rsid w:val="00C95A4A"/>
    <w:rsid w:val="00C96A41"/>
    <w:rsid w:val="00C974E8"/>
    <w:rsid w:val="00C977A2"/>
    <w:rsid w:val="00C97D36"/>
    <w:rsid w:val="00C97EBF"/>
    <w:rsid w:val="00CA0041"/>
    <w:rsid w:val="00CA016C"/>
    <w:rsid w:val="00CA0CD9"/>
    <w:rsid w:val="00CA0EEC"/>
    <w:rsid w:val="00CA0F03"/>
    <w:rsid w:val="00CA13E5"/>
    <w:rsid w:val="00CA2165"/>
    <w:rsid w:val="00CA23ED"/>
    <w:rsid w:val="00CA27A2"/>
    <w:rsid w:val="00CA3257"/>
    <w:rsid w:val="00CA32DC"/>
    <w:rsid w:val="00CA330A"/>
    <w:rsid w:val="00CA3479"/>
    <w:rsid w:val="00CA3721"/>
    <w:rsid w:val="00CA499E"/>
    <w:rsid w:val="00CA4CF2"/>
    <w:rsid w:val="00CA5247"/>
    <w:rsid w:val="00CA5422"/>
    <w:rsid w:val="00CA5E61"/>
    <w:rsid w:val="00CA60D3"/>
    <w:rsid w:val="00CA6293"/>
    <w:rsid w:val="00CA7298"/>
    <w:rsid w:val="00CA7364"/>
    <w:rsid w:val="00CA7367"/>
    <w:rsid w:val="00CA7836"/>
    <w:rsid w:val="00CA7D40"/>
    <w:rsid w:val="00CB0174"/>
    <w:rsid w:val="00CB08BF"/>
    <w:rsid w:val="00CB1242"/>
    <w:rsid w:val="00CB1464"/>
    <w:rsid w:val="00CB1842"/>
    <w:rsid w:val="00CB1AA7"/>
    <w:rsid w:val="00CB1AC9"/>
    <w:rsid w:val="00CB1B0A"/>
    <w:rsid w:val="00CB1D7D"/>
    <w:rsid w:val="00CB1FC3"/>
    <w:rsid w:val="00CB2A3A"/>
    <w:rsid w:val="00CB2BF8"/>
    <w:rsid w:val="00CB2E8D"/>
    <w:rsid w:val="00CB2F06"/>
    <w:rsid w:val="00CB2F7A"/>
    <w:rsid w:val="00CB2F8F"/>
    <w:rsid w:val="00CB34BA"/>
    <w:rsid w:val="00CB3936"/>
    <w:rsid w:val="00CB3C43"/>
    <w:rsid w:val="00CB3FEE"/>
    <w:rsid w:val="00CB3FF5"/>
    <w:rsid w:val="00CB4445"/>
    <w:rsid w:val="00CB464E"/>
    <w:rsid w:val="00CB4EF7"/>
    <w:rsid w:val="00CB4F4D"/>
    <w:rsid w:val="00CB5189"/>
    <w:rsid w:val="00CB61C8"/>
    <w:rsid w:val="00CB648F"/>
    <w:rsid w:val="00CB685F"/>
    <w:rsid w:val="00CB68B2"/>
    <w:rsid w:val="00CB6C73"/>
    <w:rsid w:val="00CB74DF"/>
    <w:rsid w:val="00CB7F25"/>
    <w:rsid w:val="00CC0163"/>
    <w:rsid w:val="00CC0775"/>
    <w:rsid w:val="00CC1A3B"/>
    <w:rsid w:val="00CC25B0"/>
    <w:rsid w:val="00CC25EB"/>
    <w:rsid w:val="00CC2733"/>
    <w:rsid w:val="00CC2CCD"/>
    <w:rsid w:val="00CC3B7C"/>
    <w:rsid w:val="00CC3E47"/>
    <w:rsid w:val="00CC4FD6"/>
    <w:rsid w:val="00CC5C77"/>
    <w:rsid w:val="00CC6A07"/>
    <w:rsid w:val="00CC6D16"/>
    <w:rsid w:val="00CC6D28"/>
    <w:rsid w:val="00CC6E84"/>
    <w:rsid w:val="00CC7B1A"/>
    <w:rsid w:val="00CD0819"/>
    <w:rsid w:val="00CD1AA1"/>
    <w:rsid w:val="00CD2B0A"/>
    <w:rsid w:val="00CD38DE"/>
    <w:rsid w:val="00CD4A04"/>
    <w:rsid w:val="00CD4B0A"/>
    <w:rsid w:val="00CD4FFC"/>
    <w:rsid w:val="00CD5233"/>
    <w:rsid w:val="00CD55CA"/>
    <w:rsid w:val="00CD563D"/>
    <w:rsid w:val="00CD63D4"/>
    <w:rsid w:val="00CD6CB0"/>
    <w:rsid w:val="00CD738A"/>
    <w:rsid w:val="00CD752F"/>
    <w:rsid w:val="00CD76B8"/>
    <w:rsid w:val="00CD7735"/>
    <w:rsid w:val="00CD7903"/>
    <w:rsid w:val="00CE023E"/>
    <w:rsid w:val="00CE030F"/>
    <w:rsid w:val="00CE055A"/>
    <w:rsid w:val="00CE097B"/>
    <w:rsid w:val="00CE0A30"/>
    <w:rsid w:val="00CE0B5F"/>
    <w:rsid w:val="00CE1550"/>
    <w:rsid w:val="00CE1842"/>
    <w:rsid w:val="00CE1FCD"/>
    <w:rsid w:val="00CE2529"/>
    <w:rsid w:val="00CE290E"/>
    <w:rsid w:val="00CE3534"/>
    <w:rsid w:val="00CE3E71"/>
    <w:rsid w:val="00CE4ABD"/>
    <w:rsid w:val="00CE4EB0"/>
    <w:rsid w:val="00CE5526"/>
    <w:rsid w:val="00CE5640"/>
    <w:rsid w:val="00CE583D"/>
    <w:rsid w:val="00CE5D0D"/>
    <w:rsid w:val="00CE614C"/>
    <w:rsid w:val="00CE654D"/>
    <w:rsid w:val="00CE6B3E"/>
    <w:rsid w:val="00CE6B82"/>
    <w:rsid w:val="00CE7FF8"/>
    <w:rsid w:val="00CF0254"/>
    <w:rsid w:val="00CF0EE2"/>
    <w:rsid w:val="00CF18A0"/>
    <w:rsid w:val="00CF1DE4"/>
    <w:rsid w:val="00CF2784"/>
    <w:rsid w:val="00CF27AC"/>
    <w:rsid w:val="00CF2A44"/>
    <w:rsid w:val="00CF395F"/>
    <w:rsid w:val="00CF404D"/>
    <w:rsid w:val="00CF68A5"/>
    <w:rsid w:val="00CF6906"/>
    <w:rsid w:val="00CF6A65"/>
    <w:rsid w:val="00CF6B8E"/>
    <w:rsid w:val="00CF72C3"/>
    <w:rsid w:val="00CF77C2"/>
    <w:rsid w:val="00CF797B"/>
    <w:rsid w:val="00CF7C37"/>
    <w:rsid w:val="00CF7E3A"/>
    <w:rsid w:val="00D00103"/>
    <w:rsid w:val="00D003DE"/>
    <w:rsid w:val="00D00770"/>
    <w:rsid w:val="00D0135B"/>
    <w:rsid w:val="00D01F85"/>
    <w:rsid w:val="00D02C6D"/>
    <w:rsid w:val="00D03316"/>
    <w:rsid w:val="00D038D8"/>
    <w:rsid w:val="00D03EBD"/>
    <w:rsid w:val="00D0470E"/>
    <w:rsid w:val="00D04C9F"/>
    <w:rsid w:val="00D050C7"/>
    <w:rsid w:val="00D05299"/>
    <w:rsid w:val="00D05315"/>
    <w:rsid w:val="00D053FF"/>
    <w:rsid w:val="00D05695"/>
    <w:rsid w:val="00D05DC9"/>
    <w:rsid w:val="00D05EC7"/>
    <w:rsid w:val="00D06F65"/>
    <w:rsid w:val="00D073A6"/>
    <w:rsid w:val="00D101F4"/>
    <w:rsid w:val="00D107F6"/>
    <w:rsid w:val="00D10DEB"/>
    <w:rsid w:val="00D10E81"/>
    <w:rsid w:val="00D10F5C"/>
    <w:rsid w:val="00D11342"/>
    <w:rsid w:val="00D119BC"/>
    <w:rsid w:val="00D11B02"/>
    <w:rsid w:val="00D11FF5"/>
    <w:rsid w:val="00D125E4"/>
    <w:rsid w:val="00D12A11"/>
    <w:rsid w:val="00D12A72"/>
    <w:rsid w:val="00D133B4"/>
    <w:rsid w:val="00D1375A"/>
    <w:rsid w:val="00D1395D"/>
    <w:rsid w:val="00D13C0F"/>
    <w:rsid w:val="00D13FA4"/>
    <w:rsid w:val="00D144F3"/>
    <w:rsid w:val="00D14E3F"/>
    <w:rsid w:val="00D15159"/>
    <w:rsid w:val="00D15641"/>
    <w:rsid w:val="00D15767"/>
    <w:rsid w:val="00D15B13"/>
    <w:rsid w:val="00D15BCB"/>
    <w:rsid w:val="00D15FE3"/>
    <w:rsid w:val="00D16A0A"/>
    <w:rsid w:val="00D16A65"/>
    <w:rsid w:val="00D1722E"/>
    <w:rsid w:val="00D1740E"/>
    <w:rsid w:val="00D179A5"/>
    <w:rsid w:val="00D17DE4"/>
    <w:rsid w:val="00D2017B"/>
    <w:rsid w:val="00D2040E"/>
    <w:rsid w:val="00D20541"/>
    <w:rsid w:val="00D20BDD"/>
    <w:rsid w:val="00D20DB9"/>
    <w:rsid w:val="00D20E8F"/>
    <w:rsid w:val="00D212B3"/>
    <w:rsid w:val="00D21321"/>
    <w:rsid w:val="00D21A21"/>
    <w:rsid w:val="00D21B5D"/>
    <w:rsid w:val="00D22A5F"/>
    <w:rsid w:val="00D22EC3"/>
    <w:rsid w:val="00D23521"/>
    <w:rsid w:val="00D236A5"/>
    <w:rsid w:val="00D23A4B"/>
    <w:rsid w:val="00D23F20"/>
    <w:rsid w:val="00D24108"/>
    <w:rsid w:val="00D2426F"/>
    <w:rsid w:val="00D243DB"/>
    <w:rsid w:val="00D2451D"/>
    <w:rsid w:val="00D24A57"/>
    <w:rsid w:val="00D25956"/>
    <w:rsid w:val="00D260B6"/>
    <w:rsid w:val="00D2655E"/>
    <w:rsid w:val="00D27981"/>
    <w:rsid w:val="00D31478"/>
    <w:rsid w:val="00D31BE5"/>
    <w:rsid w:val="00D3388C"/>
    <w:rsid w:val="00D33B75"/>
    <w:rsid w:val="00D34840"/>
    <w:rsid w:val="00D34F84"/>
    <w:rsid w:val="00D3509B"/>
    <w:rsid w:val="00D350DF"/>
    <w:rsid w:val="00D35327"/>
    <w:rsid w:val="00D35666"/>
    <w:rsid w:val="00D35E65"/>
    <w:rsid w:val="00D37C95"/>
    <w:rsid w:val="00D40372"/>
    <w:rsid w:val="00D406DE"/>
    <w:rsid w:val="00D41E03"/>
    <w:rsid w:val="00D4309D"/>
    <w:rsid w:val="00D431B6"/>
    <w:rsid w:val="00D435E3"/>
    <w:rsid w:val="00D43877"/>
    <w:rsid w:val="00D43C74"/>
    <w:rsid w:val="00D43DDE"/>
    <w:rsid w:val="00D4425F"/>
    <w:rsid w:val="00D443A7"/>
    <w:rsid w:val="00D4498A"/>
    <w:rsid w:val="00D451CF"/>
    <w:rsid w:val="00D459C0"/>
    <w:rsid w:val="00D45A9C"/>
    <w:rsid w:val="00D4622E"/>
    <w:rsid w:val="00D465B6"/>
    <w:rsid w:val="00D46845"/>
    <w:rsid w:val="00D46AC2"/>
    <w:rsid w:val="00D46D04"/>
    <w:rsid w:val="00D475C3"/>
    <w:rsid w:val="00D4783C"/>
    <w:rsid w:val="00D47A57"/>
    <w:rsid w:val="00D47A5F"/>
    <w:rsid w:val="00D47C6B"/>
    <w:rsid w:val="00D5084F"/>
    <w:rsid w:val="00D50BE4"/>
    <w:rsid w:val="00D50FD4"/>
    <w:rsid w:val="00D510CB"/>
    <w:rsid w:val="00D5164B"/>
    <w:rsid w:val="00D51789"/>
    <w:rsid w:val="00D51ABC"/>
    <w:rsid w:val="00D52655"/>
    <w:rsid w:val="00D5286C"/>
    <w:rsid w:val="00D52E47"/>
    <w:rsid w:val="00D538C4"/>
    <w:rsid w:val="00D53E97"/>
    <w:rsid w:val="00D54184"/>
    <w:rsid w:val="00D544BE"/>
    <w:rsid w:val="00D54664"/>
    <w:rsid w:val="00D554C1"/>
    <w:rsid w:val="00D555BA"/>
    <w:rsid w:val="00D5597B"/>
    <w:rsid w:val="00D5618B"/>
    <w:rsid w:val="00D56C33"/>
    <w:rsid w:val="00D572A2"/>
    <w:rsid w:val="00D57EFE"/>
    <w:rsid w:val="00D57FFD"/>
    <w:rsid w:val="00D6028D"/>
    <w:rsid w:val="00D6055B"/>
    <w:rsid w:val="00D60C99"/>
    <w:rsid w:val="00D60E96"/>
    <w:rsid w:val="00D60FBC"/>
    <w:rsid w:val="00D617CC"/>
    <w:rsid w:val="00D629D0"/>
    <w:rsid w:val="00D62B3F"/>
    <w:rsid w:val="00D6307D"/>
    <w:rsid w:val="00D6355F"/>
    <w:rsid w:val="00D639C1"/>
    <w:rsid w:val="00D64155"/>
    <w:rsid w:val="00D65335"/>
    <w:rsid w:val="00D65953"/>
    <w:rsid w:val="00D65B13"/>
    <w:rsid w:val="00D65B92"/>
    <w:rsid w:val="00D6615A"/>
    <w:rsid w:val="00D66472"/>
    <w:rsid w:val="00D66615"/>
    <w:rsid w:val="00D667A8"/>
    <w:rsid w:val="00D66892"/>
    <w:rsid w:val="00D66B2F"/>
    <w:rsid w:val="00D66F8A"/>
    <w:rsid w:val="00D67048"/>
    <w:rsid w:val="00D672F9"/>
    <w:rsid w:val="00D6796B"/>
    <w:rsid w:val="00D67BEB"/>
    <w:rsid w:val="00D67F00"/>
    <w:rsid w:val="00D700C7"/>
    <w:rsid w:val="00D703CB"/>
    <w:rsid w:val="00D70B1D"/>
    <w:rsid w:val="00D70D0F"/>
    <w:rsid w:val="00D7272A"/>
    <w:rsid w:val="00D72B91"/>
    <w:rsid w:val="00D738FC"/>
    <w:rsid w:val="00D745D9"/>
    <w:rsid w:val="00D749D3"/>
    <w:rsid w:val="00D74D9F"/>
    <w:rsid w:val="00D74EEF"/>
    <w:rsid w:val="00D75B54"/>
    <w:rsid w:val="00D75E92"/>
    <w:rsid w:val="00D75EBA"/>
    <w:rsid w:val="00D75ED2"/>
    <w:rsid w:val="00D76EDE"/>
    <w:rsid w:val="00D7704A"/>
    <w:rsid w:val="00D7745B"/>
    <w:rsid w:val="00D77523"/>
    <w:rsid w:val="00D77EBA"/>
    <w:rsid w:val="00D77FD6"/>
    <w:rsid w:val="00D8047E"/>
    <w:rsid w:val="00D806D5"/>
    <w:rsid w:val="00D81DB4"/>
    <w:rsid w:val="00D81DD4"/>
    <w:rsid w:val="00D81E22"/>
    <w:rsid w:val="00D81E3B"/>
    <w:rsid w:val="00D8207B"/>
    <w:rsid w:val="00D821EA"/>
    <w:rsid w:val="00D82307"/>
    <w:rsid w:val="00D82527"/>
    <w:rsid w:val="00D82597"/>
    <w:rsid w:val="00D82E33"/>
    <w:rsid w:val="00D838EE"/>
    <w:rsid w:val="00D83A2E"/>
    <w:rsid w:val="00D8421B"/>
    <w:rsid w:val="00D844BD"/>
    <w:rsid w:val="00D84D84"/>
    <w:rsid w:val="00D85155"/>
    <w:rsid w:val="00D85219"/>
    <w:rsid w:val="00D85A50"/>
    <w:rsid w:val="00D86689"/>
    <w:rsid w:val="00D86877"/>
    <w:rsid w:val="00D87089"/>
    <w:rsid w:val="00D870C0"/>
    <w:rsid w:val="00D87500"/>
    <w:rsid w:val="00D8785B"/>
    <w:rsid w:val="00D8799E"/>
    <w:rsid w:val="00D87CDE"/>
    <w:rsid w:val="00D87F87"/>
    <w:rsid w:val="00D90500"/>
    <w:rsid w:val="00D9056E"/>
    <w:rsid w:val="00D907E9"/>
    <w:rsid w:val="00D91B08"/>
    <w:rsid w:val="00D91FE3"/>
    <w:rsid w:val="00D92378"/>
    <w:rsid w:val="00D923DC"/>
    <w:rsid w:val="00D9245F"/>
    <w:rsid w:val="00D92A20"/>
    <w:rsid w:val="00D92A6D"/>
    <w:rsid w:val="00D93B7A"/>
    <w:rsid w:val="00D93EA1"/>
    <w:rsid w:val="00D94745"/>
    <w:rsid w:val="00D94DB0"/>
    <w:rsid w:val="00D959EC"/>
    <w:rsid w:val="00D95DAE"/>
    <w:rsid w:val="00D9604C"/>
    <w:rsid w:val="00D96499"/>
    <w:rsid w:val="00D96FCB"/>
    <w:rsid w:val="00D97D79"/>
    <w:rsid w:val="00D97F14"/>
    <w:rsid w:val="00DA122F"/>
    <w:rsid w:val="00DA194A"/>
    <w:rsid w:val="00DA24A9"/>
    <w:rsid w:val="00DA2AE4"/>
    <w:rsid w:val="00DA3345"/>
    <w:rsid w:val="00DA3DC5"/>
    <w:rsid w:val="00DA3E5D"/>
    <w:rsid w:val="00DA42DA"/>
    <w:rsid w:val="00DA488D"/>
    <w:rsid w:val="00DA4CA5"/>
    <w:rsid w:val="00DA4F8F"/>
    <w:rsid w:val="00DA5CDA"/>
    <w:rsid w:val="00DA5D16"/>
    <w:rsid w:val="00DA6DFD"/>
    <w:rsid w:val="00DA700D"/>
    <w:rsid w:val="00DA7581"/>
    <w:rsid w:val="00DB0AF0"/>
    <w:rsid w:val="00DB1FB6"/>
    <w:rsid w:val="00DB2B57"/>
    <w:rsid w:val="00DB2C57"/>
    <w:rsid w:val="00DB2D6C"/>
    <w:rsid w:val="00DB3FCA"/>
    <w:rsid w:val="00DB4007"/>
    <w:rsid w:val="00DB4392"/>
    <w:rsid w:val="00DB43DB"/>
    <w:rsid w:val="00DB4849"/>
    <w:rsid w:val="00DB48A6"/>
    <w:rsid w:val="00DB4AE4"/>
    <w:rsid w:val="00DB4F4E"/>
    <w:rsid w:val="00DB4FF2"/>
    <w:rsid w:val="00DB54F0"/>
    <w:rsid w:val="00DB6248"/>
    <w:rsid w:val="00DB69B3"/>
    <w:rsid w:val="00DB6C4F"/>
    <w:rsid w:val="00DB6C91"/>
    <w:rsid w:val="00DB6F80"/>
    <w:rsid w:val="00DB71B1"/>
    <w:rsid w:val="00DB72B5"/>
    <w:rsid w:val="00DB7599"/>
    <w:rsid w:val="00DC0358"/>
    <w:rsid w:val="00DC0552"/>
    <w:rsid w:val="00DC13C7"/>
    <w:rsid w:val="00DC1436"/>
    <w:rsid w:val="00DC15AC"/>
    <w:rsid w:val="00DC1923"/>
    <w:rsid w:val="00DC1CA4"/>
    <w:rsid w:val="00DC1E92"/>
    <w:rsid w:val="00DC21A6"/>
    <w:rsid w:val="00DC2494"/>
    <w:rsid w:val="00DC24AF"/>
    <w:rsid w:val="00DC24DF"/>
    <w:rsid w:val="00DC2D29"/>
    <w:rsid w:val="00DC30DE"/>
    <w:rsid w:val="00DC353A"/>
    <w:rsid w:val="00DC3979"/>
    <w:rsid w:val="00DC3A9F"/>
    <w:rsid w:val="00DC4333"/>
    <w:rsid w:val="00DC4657"/>
    <w:rsid w:val="00DC4EDB"/>
    <w:rsid w:val="00DC609B"/>
    <w:rsid w:val="00DC60DD"/>
    <w:rsid w:val="00DC64C8"/>
    <w:rsid w:val="00DC6B50"/>
    <w:rsid w:val="00DC6E39"/>
    <w:rsid w:val="00DC7323"/>
    <w:rsid w:val="00DC75D5"/>
    <w:rsid w:val="00DD0251"/>
    <w:rsid w:val="00DD057B"/>
    <w:rsid w:val="00DD0643"/>
    <w:rsid w:val="00DD0F0F"/>
    <w:rsid w:val="00DD1443"/>
    <w:rsid w:val="00DD1FF6"/>
    <w:rsid w:val="00DD22EE"/>
    <w:rsid w:val="00DD25A2"/>
    <w:rsid w:val="00DD29DE"/>
    <w:rsid w:val="00DD3386"/>
    <w:rsid w:val="00DD351D"/>
    <w:rsid w:val="00DD36FB"/>
    <w:rsid w:val="00DD3BAD"/>
    <w:rsid w:val="00DD404A"/>
    <w:rsid w:val="00DD468F"/>
    <w:rsid w:val="00DD47B9"/>
    <w:rsid w:val="00DD4A56"/>
    <w:rsid w:val="00DD4BD9"/>
    <w:rsid w:val="00DD4F77"/>
    <w:rsid w:val="00DD4FFF"/>
    <w:rsid w:val="00DD5784"/>
    <w:rsid w:val="00DD58D0"/>
    <w:rsid w:val="00DD59C3"/>
    <w:rsid w:val="00DD6939"/>
    <w:rsid w:val="00DD7254"/>
    <w:rsid w:val="00DD7499"/>
    <w:rsid w:val="00DD758A"/>
    <w:rsid w:val="00DD7D9D"/>
    <w:rsid w:val="00DE0030"/>
    <w:rsid w:val="00DE1AFC"/>
    <w:rsid w:val="00DE1F91"/>
    <w:rsid w:val="00DE231B"/>
    <w:rsid w:val="00DE2E73"/>
    <w:rsid w:val="00DE3AE9"/>
    <w:rsid w:val="00DE3FAD"/>
    <w:rsid w:val="00DE43B4"/>
    <w:rsid w:val="00DE45B6"/>
    <w:rsid w:val="00DE5081"/>
    <w:rsid w:val="00DE65A0"/>
    <w:rsid w:val="00DE6729"/>
    <w:rsid w:val="00DE77C1"/>
    <w:rsid w:val="00DF0304"/>
    <w:rsid w:val="00DF062C"/>
    <w:rsid w:val="00DF1054"/>
    <w:rsid w:val="00DF22B9"/>
    <w:rsid w:val="00DF2411"/>
    <w:rsid w:val="00DF2983"/>
    <w:rsid w:val="00DF2CA9"/>
    <w:rsid w:val="00DF2F69"/>
    <w:rsid w:val="00DF3B43"/>
    <w:rsid w:val="00DF3C11"/>
    <w:rsid w:val="00DF4482"/>
    <w:rsid w:val="00DF4812"/>
    <w:rsid w:val="00DF4A63"/>
    <w:rsid w:val="00DF4FF0"/>
    <w:rsid w:val="00DF559D"/>
    <w:rsid w:val="00DF5D8A"/>
    <w:rsid w:val="00DF7AAF"/>
    <w:rsid w:val="00DF7DD3"/>
    <w:rsid w:val="00DF7F0D"/>
    <w:rsid w:val="00E00214"/>
    <w:rsid w:val="00E0027D"/>
    <w:rsid w:val="00E0096A"/>
    <w:rsid w:val="00E00B9A"/>
    <w:rsid w:val="00E00BD1"/>
    <w:rsid w:val="00E01527"/>
    <w:rsid w:val="00E019F3"/>
    <w:rsid w:val="00E01D09"/>
    <w:rsid w:val="00E02315"/>
    <w:rsid w:val="00E02316"/>
    <w:rsid w:val="00E02A42"/>
    <w:rsid w:val="00E02BF0"/>
    <w:rsid w:val="00E02FEC"/>
    <w:rsid w:val="00E0341F"/>
    <w:rsid w:val="00E03CD4"/>
    <w:rsid w:val="00E0459C"/>
    <w:rsid w:val="00E04DF3"/>
    <w:rsid w:val="00E05042"/>
    <w:rsid w:val="00E0540F"/>
    <w:rsid w:val="00E0587A"/>
    <w:rsid w:val="00E05AEB"/>
    <w:rsid w:val="00E0620F"/>
    <w:rsid w:val="00E0648A"/>
    <w:rsid w:val="00E06772"/>
    <w:rsid w:val="00E06B7E"/>
    <w:rsid w:val="00E071AF"/>
    <w:rsid w:val="00E07730"/>
    <w:rsid w:val="00E07813"/>
    <w:rsid w:val="00E100E5"/>
    <w:rsid w:val="00E10394"/>
    <w:rsid w:val="00E10D71"/>
    <w:rsid w:val="00E116FE"/>
    <w:rsid w:val="00E12203"/>
    <w:rsid w:val="00E12757"/>
    <w:rsid w:val="00E129ED"/>
    <w:rsid w:val="00E13ABD"/>
    <w:rsid w:val="00E13E45"/>
    <w:rsid w:val="00E140DE"/>
    <w:rsid w:val="00E1433A"/>
    <w:rsid w:val="00E143CE"/>
    <w:rsid w:val="00E14BA1"/>
    <w:rsid w:val="00E14E08"/>
    <w:rsid w:val="00E14E8A"/>
    <w:rsid w:val="00E15648"/>
    <w:rsid w:val="00E16535"/>
    <w:rsid w:val="00E16E33"/>
    <w:rsid w:val="00E174EA"/>
    <w:rsid w:val="00E17C89"/>
    <w:rsid w:val="00E20F3C"/>
    <w:rsid w:val="00E215D2"/>
    <w:rsid w:val="00E22226"/>
    <w:rsid w:val="00E2258D"/>
    <w:rsid w:val="00E227FA"/>
    <w:rsid w:val="00E23A20"/>
    <w:rsid w:val="00E23AA0"/>
    <w:rsid w:val="00E2475E"/>
    <w:rsid w:val="00E24EC3"/>
    <w:rsid w:val="00E24EEE"/>
    <w:rsid w:val="00E250E7"/>
    <w:rsid w:val="00E2529D"/>
    <w:rsid w:val="00E253BB"/>
    <w:rsid w:val="00E25C9A"/>
    <w:rsid w:val="00E268CF"/>
    <w:rsid w:val="00E27014"/>
    <w:rsid w:val="00E27111"/>
    <w:rsid w:val="00E27167"/>
    <w:rsid w:val="00E27959"/>
    <w:rsid w:val="00E27DE3"/>
    <w:rsid w:val="00E30383"/>
    <w:rsid w:val="00E3062C"/>
    <w:rsid w:val="00E308D3"/>
    <w:rsid w:val="00E31591"/>
    <w:rsid w:val="00E3177B"/>
    <w:rsid w:val="00E31A0A"/>
    <w:rsid w:val="00E329E9"/>
    <w:rsid w:val="00E33298"/>
    <w:rsid w:val="00E334D7"/>
    <w:rsid w:val="00E3365B"/>
    <w:rsid w:val="00E33F59"/>
    <w:rsid w:val="00E33FBF"/>
    <w:rsid w:val="00E3439D"/>
    <w:rsid w:val="00E34B41"/>
    <w:rsid w:val="00E34C1C"/>
    <w:rsid w:val="00E34C68"/>
    <w:rsid w:val="00E34EA2"/>
    <w:rsid w:val="00E35096"/>
    <w:rsid w:val="00E353DC"/>
    <w:rsid w:val="00E35650"/>
    <w:rsid w:val="00E37221"/>
    <w:rsid w:val="00E37992"/>
    <w:rsid w:val="00E37B1C"/>
    <w:rsid w:val="00E37BBB"/>
    <w:rsid w:val="00E406C3"/>
    <w:rsid w:val="00E409E6"/>
    <w:rsid w:val="00E40AEB"/>
    <w:rsid w:val="00E4116B"/>
    <w:rsid w:val="00E41519"/>
    <w:rsid w:val="00E41C2F"/>
    <w:rsid w:val="00E42D0D"/>
    <w:rsid w:val="00E432CF"/>
    <w:rsid w:val="00E4369F"/>
    <w:rsid w:val="00E43A93"/>
    <w:rsid w:val="00E43F35"/>
    <w:rsid w:val="00E44059"/>
    <w:rsid w:val="00E445D0"/>
    <w:rsid w:val="00E447EF"/>
    <w:rsid w:val="00E45209"/>
    <w:rsid w:val="00E4540B"/>
    <w:rsid w:val="00E45753"/>
    <w:rsid w:val="00E461D0"/>
    <w:rsid w:val="00E46485"/>
    <w:rsid w:val="00E47535"/>
    <w:rsid w:val="00E47E9D"/>
    <w:rsid w:val="00E50A56"/>
    <w:rsid w:val="00E5125B"/>
    <w:rsid w:val="00E520E2"/>
    <w:rsid w:val="00E522EB"/>
    <w:rsid w:val="00E52CE4"/>
    <w:rsid w:val="00E52F47"/>
    <w:rsid w:val="00E52FCE"/>
    <w:rsid w:val="00E52FD9"/>
    <w:rsid w:val="00E53016"/>
    <w:rsid w:val="00E53583"/>
    <w:rsid w:val="00E53D62"/>
    <w:rsid w:val="00E53DF3"/>
    <w:rsid w:val="00E543DB"/>
    <w:rsid w:val="00E54468"/>
    <w:rsid w:val="00E546D7"/>
    <w:rsid w:val="00E5487A"/>
    <w:rsid w:val="00E54947"/>
    <w:rsid w:val="00E54E26"/>
    <w:rsid w:val="00E54F18"/>
    <w:rsid w:val="00E5509D"/>
    <w:rsid w:val="00E55211"/>
    <w:rsid w:val="00E55352"/>
    <w:rsid w:val="00E55489"/>
    <w:rsid w:val="00E556A2"/>
    <w:rsid w:val="00E55D2D"/>
    <w:rsid w:val="00E5623A"/>
    <w:rsid w:val="00E566AE"/>
    <w:rsid w:val="00E56D48"/>
    <w:rsid w:val="00E56EF4"/>
    <w:rsid w:val="00E56F5D"/>
    <w:rsid w:val="00E570D7"/>
    <w:rsid w:val="00E570E1"/>
    <w:rsid w:val="00E57177"/>
    <w:rsid w:val="00E571AA"/>
    <w:rsid w:val="00E572B3"/>
    <w:rsid w:val="00E57519"/>
    <w:rsid w:val="00E5775A"/>
    <w:rsid w:val="00E57A34"/>
    <w:rsid w:val="00E57B34"/>
    <w:rsid w:val="00E60446"/>
    <w:rsid w:val="00E61617"/>
    <w:rsid w:val="00E61925"/>
    <w:rsid w:val="00E61B73"/>
    <w:rsid w:val="00E61B83"/>
    <w:rsid w:val="00E61DA3"/>
    <w:rsid w:val="00E62103"/>
    <w:rsid w:val="00E629D8"/>
    <w:rsid w:val="00E63294"/>
    <w:rsid w:val="00E634AE"/>
    <w:rsid w:val="00E63760"/>
    <w:rsid w:val="00E63A02"/>
    <w:rsid w:val="00E64573"/>
    <w:rsid w:val="00E64DA8"/>
    <w:rsid w:val="00E6553A"/>
    <w:rsid w:val="00E6575B"/>
    <w:rsid w:val="00E664C1"/>
    <w:rsid w:val="00E66732"/>
    <w:rsid w:val="00E66BCB"/>
    <w:rsid w:val="00E6726D"/>
    <w:rsid w:val="00E6793B"/>
    <w:rsid w:val="00E67B16"/>
    <w:rsid w:val="00E67DD0"/>
    <w:rsid w:val="00E7096F"/>
    <w:rsid w:val="00E709CD"/>
    <w:rsid w:val="00E71D04"/>
    <w:rsid w:val="00E72133"/>
    <w:rsid w:val="00E72CCE"/>
    <w:rsid w:val="00E730C0"/>
    <w:rsid w:val="00E7335B"/>
    <w:rsid w:val="00E7412F"/>
    <w:rsid w:val="00E7483B"/>
    <w:rsid w:val="00E74F71"/>
    <w:rsid w:val="00E74F89"/>
    <w:rsid w:val="00E7563C"/>
    <w:rsid w:val="00E75B37"/>
    <w:rsid w:val="00E75C66"/>
    <w:rsid w:val="00E75F1E"/>
    <w:rsid w:val="00E761C5"/>
    <w:rsid w:val="00E76286"/>
    <w:rsid w:val="00E76C24"/>
    <w:rsid w:val="00E76E2D"/>
    <w:rsid w:val="00E7746B"/>
    <w:rsid w:val="00E803E8"/>
    <w:rsid w:val="00E804EC"/>
    <w:rsid w:val="00E8099A"/>
    <w:rsid w:val="00E80E1B"/>
    <w:rsid w:val="00E814F1"/>
    <w:rsid w:val="00E820B5"/>
    <w:rsid w:val="00E82485"/>
    <w:rsid w:val="00E827F4"/>
    <w:rsid w:val="00E84334"/>
    <w:rsid w:val="00E844E0"/>
    <w:rsid w:val="00E85533"/>
    <w:rsid w:val="00E858BC"/>
    <w:rsid w:val="00E859FA"/>
    <w:rsid w:val="00E85D22"/>
    <w:rsid w:val="00E86442"/>
    <w:rsid w:val="00E864F6"/>
    <w:rsid w:val="00E8713C"/>
    <w:rsid w:val="00E877C6"/>
    <w:rsid w:val="00E8788A"/>
    <w:rsid w:val="00E87A34"/>
    <w:rsid w:val="00E87D98"/>
    <w:rsid w:val="00E87FFE"/>
    <w:rsid w:val="00E9061A"/>
    <w:rsid w:val="00E91114"/>
    <w:rsid w:val="00E918B4"/>
    <w:rsid w:val="00E943D2"/>
    <w:rsid w:val="00E94678"/>
    <w:rsid w:val="00E94D00"/>
    <w:rsid w:val="00E94F2D"/>
    <w:rsid w:val="00E96031"/>
    <w:rsid w:val="00E960C4"/>
    <w:rsid w:val="00E9638B"/>
    <w:rsid w:val="00E967A1"/>
    <w:rsid w:val="00E97972"/>
    <w:rsid w:val="00E97E3F"/>
    <w:rsid w:val="00EA04AC"/>
    <w:rsid w:val="00EA1313"/>
    <w:rsid w:val="00EA1BFF"/>
    <w:rsid w:val="00EA1F2E"/>
    <w:rsid w:val="00EA23CB"/>
    <w:rsid w:val="00EA23E2"/>
    <w:rsid w:val="00EA24C2"/>
    <w:rsid w:val="00EA27FD"/>
    <w:rsid w:val="00EA2DDE"/>
    <w:rsid w:val="00EA3167"/>
    <w:rsid w:val="00EA38B9"/>
    <w:rsid w:val="00EA4267"/>
    <w:rsid w:val="00EA45EB"/>
    <w:rsid w:val="00EA4788"/>
    <w:rsid w:val="00EA4E57"/>
    <w:rsid w:val="00EA51B1"/>
    <w:rsid w:val="00EA5492"/>
    <w:rsid w:val="00EA56E6"/>
    <w:rsid w:val="00EA58A0"/>
    <w:rsid w:val="00EA7430"/>
    <w:rsid w:val="00EA7A25"/>
    <w:rsid w:val="00EA7D5D"/>
    <w:rsid w:val="00EB0393"/>
    <w:rsid w:val="00EB0F7F"/>
    <w:rsid w:val="00EB139B"/>
    <w:rsid w:val="00EB1CB2"/>
    <w:rsid w:val="00EB29D4"/>
    <w:rsid w:val="00EB2D8C"/>
    <w:rsid w:val="00EB2F21"/>
    <w:rsid w:val="00EB34A0"/>
    <w:rsid w:val="00EB35C2"/>
    <w:rsid w:val="00EB3732"/>
    <w:rsid w:val="00EB4114"/>
    <w:rsid w:val="00EB46DF"/>
    <w:rsid w:val="00EB4A2A"/>
    <w:rsid w:val="00EB4FA2"/>
    <w:rsid w:val="00EB5371"/>
    <w:rsid w:val="00EB563B"/>
    <w:rsid w:val="00EB574E"/>
    <w:rsid w:val="00EB5824"/>
    <w:rsid w:val="00EB5EAE"/>
    <w:rsid w:val="00EB6AD5"/>
    <w:rsid w:val="00EB6AD6"/>
    <w:rsid w:val="00EB6C57"/>
    <w:rsid w:val="00EB7452"/>
    <w:rsid w:val="00EC0B8F"/>
    <w:rsid w:val="00EC0CF4"/>
    <w:rsid w:val="00EC100C"/>
    <w:rsid w:val="00EC307B"/>
    <w:rsid w:val="00EC35AD"/>
    <w:rsid w:val="00EC3D25"/>
    <w:rsid w:val="00EC440A"/>
    <w:rsid w:val="00EC4904"/>
    <w:rsid w:val="00EC49CA"/>
    <w:rsid w:val="00EC49F8"/>
    <w:rsid w:val="00EC4B67"/>
    <w:rsid w:val="00EC4BC4"/>
    <w:rsid w:val="00EC4DF2"/>
    <w:rsid w:val="00EC522F"/>
    <w:rsid w:val="00EC69AD"/>
    <w:rsid w:val="00EC7111"/>
    <w:rsid w:val="00EC7210"/>
    <w:rsid w:val="00EC7296"/>
    <w:rsid w:val="00EC731B"/>
    <w:rsid w:val="00EC7981"/>
    <w:rsid w:val="00ED030B"/>
    <w:rsid w:val="00ED09A4"/>
    <w:rsid w:val="00ED0DD6"/>
    <w:rsid w:val="00ED115D"/>
    <w:rsid w:val="00ED16FB"/>
    <w:rsid w:val="00ED194B"/>
    <w:rsid w:val="00ED1E83"/>
    <w:rsid w:val="00ED1FB2"/>
    <w:rsid w:val="00ED2436"/>
    <w:rsid w:val="00ED273D"/>
    <w:rsid w:val="00ED36B5"/>
    <w:rsid w:val="00ED3A13"/>
    <w:rsid w:val="00ED3F00"/>
    <w:rsid w:val="00ED4153"/>
    <w:rsid w:val="00ED43C1"/>
    <w:rsid w:val="00ED45EA"/>
    <w:rsid w:val="00ED5F95"/>
    <w:rsid w:val="00ED5FFC"/>
    <w:rsid w:val="00ED61E4"/>
    <w:rsid w:val="00ED6FBD"/>
    <w:rsid w:val="00ED71E6"/>
    <w:rsid w:val="00ED7DFD"/>
    <w:rsid w:val="00EE195A"/>
    <w:rsid w:val="00EE1B49"/>
    <w:rsid w:val="00EE218D"/>
    <w:rsid w:val="00EE3841"/>
    <w:rsid w:val="00EE3CC8"/>
    <w:rsid w:val="00EE400F"/>
    <w:rsid w:val="00EE4F79"/>
    <w:rsid w:val="00EE50B5"/>
    <w:rsid w:val="00EE52A2"/>
    <w:rsid w:val="00EE5CE0"/>
    <w:rsid w:val="00EE5E52"/>
    <w:rsid w:val="00EE6337"/>
    <w:rsid w:val="00EE6561"/>
    <w:rsid w:val="00EE6BD7"/>
    <w:rsid w:val="00EE7813"/>
    <w:rsid w:val="00EE783E"/>
    <w:rsid w:val="00EE79E9"/>
    <w:rsid w:val="00EE7A12"/>
    <w:rsid w:val="00EF0038"/>
    <w:rsid w:val="00EF09FE"/>
    <w:rsid w:val="00EF0A0A"/>
    <w:rsid w:val="00EF0F9B"/>
    <w:rsid w:val="00EF1028"/>
    <w:rsid w:val="00EF16AA"/>
    <w:rsid w:val="00EF1BED"/>
    <w:rsid w:val="00EF1CBB"/>
    <w:rsid w:val="00EF1F84"/>
    <w:rsid w:val="00EF261C"/>
    <w:rsid w:val="00EF28AB"/>
    <w:rsid w:val="00EF2E42"/>
    <w:rsid w:val="00EF3337"/>
    <w:rsid w:val="00EF36EC"/>
    <w:rsid w:val="00EF456C"/>
    <w:rsid w:val="00EF4E76"/>
    <w:rsid w:val="00EF525E"/>
    <w:rsid w:val="00EF550F"/>
    <w:rsid w:val="00EF5ED3"/>
    <w:rsid w:val="00EF682C"/>
    <w:rsid w:val="00EF6F48"/>
    <w:rsid w:val="00EF722D"/>
    <w:rsid w:val="00EF7A15"/>
    <w:rsid w:val="00F004DF"/>
    <w:rsid w:val="00F0121E"/>
    <w:rsid w:val="00F018B8"/>
    <w:rsid w:val="00F028DF"/>
    <w:rsid w:val="00F028E8"/>
    <w:rsid w:val="00F02A21"/>
    <w:rsid w:val="00F02D77"/>
    <w:rsid w:val="00F02D98"/>
    <w:rsid w:val="00F03363"/>
    <w:rsid w:val="00F03814"/>
    <w:rsid w:val="00F03B49"/>
    <w:rsid w:val="00F03BD0"/>
    <w:rsid w:val="00F03D28"/>
    <w:rsid w:val="00F03EA8"/>
    <w:rsid w:val="00F04214"/>
    <w:rsid w:val="00F04296"/>
    <w:rsid w:val="00F046E6"/>
    <w:rsid w:val="00F05883"/>
    <w:rsid w:val="00F06469"/>
    <w:rsid w:val="00F0705A"/>
    <w:rsid w:val="00F0731A"/>
    <w:rsid w:val="00F07353"/>
    <w:rsid w:val="00F10551"/>
    <w:rsid w:val="00F108FC"/>
    <w:rsid w:val="00F10B76"/>
    <w:rsid w:val="00F115C7"/>
    <w:rsid w:val="00F11C1D"/>
    <w:rsid w:val="00F11F65"/>
    <w:rsid w:val="00F123AD"/>
    <w:rsid w:val="00F1250D"/>
    <w:rsid w:val="00F1278B"/>
    <w:rsid w:val="00F13B8E"/>
    <w:rsid w:val="00F14905"/>
    <w:rsid w:val="00F14D07"/>
    <w:rsid w:val="00F14E94"/>
    <w:rsid w:val="00F1524D"/>
    <w:rsid w:val="00F15422"/>
    <w:rsid w:val="00F155CC"/>
    <w:rsid w:val="00F16046"/>
    <w:rsid w:val="00F1644A"/>
    <w:rsid w:val="00F168E6"/>
    <w:rsid w:val="00F16BC2"/>
    <w:rsid w:val="00F16C0B"/>
    <w:rsid w:val="00F16E3F"/>
    <w:rsid w:val="00F170C1"/>
    <w:rsid w:val="00F178C5"/>
    <w:rsid w:val="00F1792A"/>
    <w:rsid w:val="00F17951"/>
    <w:rsid w:val="00F20729"/>
    <w:rsid w:val="00F20C36"/>
    <w:rsid w:val="00F20E4E"/>
    <w:rsid w:val="00F20EC8"/>
    <w:rsid w:val="00F21215"/>
    <w:rsid w:val="00F21898"/>
    <w:rsid w:val="00F21978"/>
    <w:rsid w:val="00F21F9E"/>
    <w:rsid w:val="00F2370D"/>
    <w:rsid w:val="00F23917"/>
    <w:rsid w:val="00F25EDD"/>
    <w:rsid w:val="00F25FE5"/>
    <w:rsid w:val="00F2634C"/>
    <w:rsid w:val="00F268E0"/>
    <w:rsid w:val="00F26B77"/>
    <w:rsid w:val="00F270F4"/>
    <w:rsid w:val="00F27459"/>
    <w:rsid w:val="00F277F8"/>
    <w:rsid w:val="00F27E84"/>
    <w:rsid w:val="00F27F64"/>
    <w:rsid w:val="00F30076"/>
    <w:rsid w:val="00F30715"/>
    <w:rsid w:val="00F30EA3"/>
    <w:rsid w:val="00F31290"/>
    <w:rsid w:val="00F31E4D"/>
    <w:rsid w:val="00F31F2E"/>
    <w:rsid w:val="00F328B9"/>
    <w:rsid w:val="00F32F4D"/>
    <w:rsid w:val="00F33059"/>
    <w:rsid w:val="00F33271"/>
    <w:rsid w:val="00F33279"/>
    <w:rsid w:val="00F347BC"/>
    <w:rsid w:val="00F34A49"/>
    <w:rsid w:val="00F35114"/>
    <w:rsid w:val="00F3594E"/>
    <w:rsid w:val="00F36597"/>
    <w:rsid w:val="00F36779"/>
    <w:rsid w:val="00F36C1F"/>
    <w:rsid w:val="00F378DB"/>
    <w:rsid w:val="00F42155"/>
    <w:rsid w:val="00F427C7"/>
    <w:rsid w:val="00F42CB1"/>
    <w:rsid w:val="00F42D8C"/>
    <w:rsid w:val="00F43022"/>
    <w:rsid w:val="00F43748"/>
    <w:rsid w:val="00F44258"/>
    <w:rsid w:val="00F446A9"/>
    <w:rsid w:val="00F44783"/>
    <w:rsid w:val="00F44B05"/>
    <w:rsid w:val="00F44CAF"/>
    <w:rsid w:val="00F45EAC"/>
    <w:rsid w:val="00F50582"/>
    <w:rsid w:val="00F5083F"/>
    <w:rsid w:val="00F50A40"/>
    <w:rsid w:val="00F50AE4"/>
    <w:rsid w:val="00F50B73"/>
    <w:rsid w:val="00F50CC5"/>
    <w:rsid w:val="00F50EE6"/>
    <w:rsid w:val="00F51143"/>
    <w:rsid w:val="00F51415"/>
    <w:rsid w:val="00F51471"/>
    <w:rsid w:val="00F51645"/>
    <w:rsid w:val="00F51984"/>
    <w:rsid w:val="00F5277B"/>
    <w:rsid w:val="00F52C1B"/>
    <w:rsid w:val="00F5332F"/>
    <w:rsid w:val="00F53DE8"/>
    <w:rsid w:val="00F545FF"/>
    <w:rsid w:val="00F54AC1"/>
    <w:rsid w:val="00F54B2B"/>
    <w:rsid w:val="00F54B50"/>
    <w:rsid w:val="00F54DE3"/>
    <w:rsid w:val="00F550C5"/>
    <w:rsid w:val="00F55194"/>
    <w:rsid w:val="00F55293"/>
    <w:rsid w:val="00F5570F"/>
    <w:rsid w:val="00F55E38"/>
    <w:rsid w:val="00F5683E"/>
    <w:rsid w:val="00F56939"/>
    <w:rsid w:val="00F56C68"/>
    <w:rsid w:val="00F56DAB"/>
    <w:rsid w:val="00F573FD"/>
    <w:rsid w:val="00F60EA4"/>
    <w:rsid w:val="00F6125F"/>
    <w:rsid w:val="00F616EC"/>
    <w:rsid w:val="00F61A25"/>
    <w:rsid w:val="00F61AEA"/>
    <w:rsid w:val="00F61F9B"/>
    <w:rsid w:val="00F61FD8"/>
    <w:rsid w:val="00F62A9C"/>
    <w:rsid w:val="00F63420"/>
    <w:rsid w:val="00F63691"/>
    <w:rsid w:val="00F65595"/>
    <w:rsid w:val="00F667DF"/>
    <w:rsid w:val="00F66943"/>
    <w:rsid w:val="00F66E9F"/>
    <w:rsid w:val="00F67218"/>
    <w:rsid w:val="00F67639"/>
    <w:rsid w:val="00F67757"/>
    <w:rsid w:val="00F7056A"/>
    <w:rsid w:val="00F71B7F"/>
    <w:rsid w:val="00F71E93"/>
    <w:rsid w:val="00F72726"/>
    <w:rsid w:val="00F72918"/>
    <w:rsid w:val="00F72B2F"/>
    <w:rsid w:val="00F72BB7"/>
    <w:rsid w:val="00F72C05"/>
    <w:rsid w:val="00F72E48"/>
    <w:rsid w:val="00F730EE"/>
    <w:rsid w:val="00F736BC"/>
    <w:rsid w:val="00F75634"/>
    <w:rsid w:val="00F758F2"/>
    <w:rsid w:val="00F7626B"/>
    <w:rsid w:val="00F76A5A"/>
    <w:rsid w:val="00F76D89"/>
    <w:rsid w:val="00F76E06"/>
    <w:rsid w:val="00F7708C"/>
    <w:rsid w:val="00F77107"/>
    <w:rsid w:val="00F7733F"/>
    <w:rsid w:val="00F777B3"/>
    <w:rsid w:val="00F777B9"/>
    <w:rsid w:val="00F77A93"/>
    <w:rsid w:val="00F80286"/>
    <w:rsid w:val="00F80BC4"/>
    <w:rsid w:val="00F80F48"/>
    <w:rsid w:val="00F81156"/>
    <w:rsid w:val="00F811F9"/>
    <w:rsid w:val="00F81D19"/>
    <w:rsid w:val="00F83208"/>
    <w:rsid w:val="00F84692"/>
    <w:rsid w:val="00F847BE"/>
    <w:rsid w:val="00F84B84"/>
    <w:rsid w:val="00F8540B"/>
    <w:rsid w:val="00F856EF"/>
    <w:rsid w:val="00F858F0"/>
    <w:rsid w:val="00F863E4"/>
    <w:rsid w:val="00F86AF3"/>
    <w:rsid w:val="00F87D4D"/>
    <w:rsid w:val="00F87D92"/>
    <w:rsid w:val="00F900BB"/>
    <w:rsid w:val="00F907A9"/>
    <w:rsid w:val="00F90E01"/>
    <w:rsid w:val="00F90E49"/>
    <w:rsid w:val="00F90F3E"/>
    <w:rsid w:val="00F928C8"/>
    <w:rsid w:val="00F92FF5"/>
    <w:rsid w:val="00F94535"/>
    <w:rsid w:val="00F948D0"/>
    <w:rsid w:val="00F95016"/>
    <w:rsid w:val="00F96CBD"/>
    <w:rsid w:val="00F97168"/>
    <w:rsid w:val="00F972B8"/>
    <w:rsid w:val="00F97CEA"/>
    <w:rsid w:val="00FA0451"/>
    <w:rsid w:val="00FA07BE"/>
    <w:rsid w:val="00FA1867"/>
    <w:rsid w:val="00FA1CE7"/>
    <w:rsid w:val="00FA2774"/>
    <w:rsid w:val="00FA29B1"/>
    <w:rsid w:val="00FA29EF"/>
    <w:rsid w:val="00FA41C8"/>
    <w:rsid w:val="00FA484E"/>
    <w:rsid w:val="00FA4DF4"/>
    <w:rsid w:val="00FA4E35"/>
    <w:rsid w:val="00FA4FA4"/>
    <w:rsid w:val="00FA5569"/>
    <w:rsid w:val="00FA5904"/>
    <w:rsid w:val="00FA5B19"/>
    <w:rsid w:val="00FA66AF"/>
    <w:rsid w:val="00FA6892"/>
    <w:rsid w:val="00FA6CFC"/>
    <w:rsid w:val="00FA736E"/>
    <w:rsid w:val="00FA792E"/>
    <w:rsid w:val="00FA7D19"/>
    <w:rsid w:val="00FB0290"/>
    <w:rsid w:val="00FB03C8"/>
    <w:rsid w:val="00FB04A8"/>
    <w:rsid w:val="00FB0793"/>
    <w:rsid w:val="00FB1184"/>
    <w:rsid w:val="00FB1DE7"/>
    <w:rsid w:val="00FB28A1"/>
    <w:rsid w:val="00FB45C1"/>
    <w:rsid w:val="00FB560A"/>
    <w:rsid w:val="00FB56B7"/>
    <w:rsid w:val="00FB5C22"/>
    <w:rsid w:val="00FB5F0C"/>
    <w:rsid w:val="00FB626C"/>
    <w:rsid w:val="00FB64D5"/>
    <w:rsid w:val="00FB6CDC"/>
    <w:rsid w:val="00FB6DA9"/>
    <w:rsid w:val="00FB7E96"/>
    <w:rsid w:val="00FB7F8D"/>
    <w:rsid w:val="00FC0006"/>
    <w:rsid w:val="00FC0112"/>
    <w:rsid w:val="00FC077B"/>
    <w:rsid w:val="00FC0B97"/>
    <w:rsid w:val="00FC34EE"/>
    <w:rsid w:val="00FC38E1"/>
    <w:rsid w:val="00FC3AEF"/>
    <w:rsid w:val="00FC41CC"/>
    <w:rsid w:val="00FC4923"/>
    <w:rsid w:val="00FC4A75"/>
    <w:rsid w:val="00FC53A7"/>
    <w:rsid w:val="00FC580E"/>
    <w:rsid w:val="00FC742D"/>
    <w:rsid w:val="00FC7868"/>
    <w:rsid w:val="00FD042F"/>
    <w:rsid w:val="00FD09D2"/>
    <w:rsid w:val="00FD1991"/>
    <w:rsid w:val="00FD251C"/>
    <w:rsid w:val="00FD27F5"/>
    <w:rsid w:val="00FD4CF1"/>
    <w:rsid w:val="00FD53F4"/>
    <w:rsid w:val="00FD558E"/>
    <w:rsid w:val="00FD6103"/>
    <w:rsid w:val="00FD6229"/>
    <w:rsid w:val="00FD67D4"/>
    <w:rsid w:val="00FD74E4"/>
    <w:rsid w:val="00FD7C3A"/>
    <w:rsid w:val="00FD7FF7"/>
    <w:rsid w:val="00FE004F"/>
    <w:rsid w:val="00FE01A6"/>
    <w:rsid w:val="00FE0802"/>
    <w:rsid w:val="00FE1853"/>
    <w:rsid w:val="00FE1F18"/>
    <w:rsid w:val="00FE1FF6"/>
    <w:rsid w:val="00FE254F"/>
    <w:rsid w:val="00FE29B1"/>
    <w:rsid w:val="00FE31A3"/>
    <w:rsid w:val="00FE36E3"/>
    <w:rsid w:val="00FE41A8"/>
    <w:rsid w:val="00FE5BEB"/>
    <w:rsid w:val="00FE6204"/>
    <w:rsid w:val="00FE638D"/>
    <w:rsid w:val="00FE68A1"/>
    <w:rsid w:val="00FE6F0E"/>
    <w:rsid w:val="00FE7A2A"/>
    <w:rsid w:val="00FE7C77"/>
    <w:rsid w:val="00FE7DC9"/>
    <w:rsid w:val="00FF0064"/>
    <w:rsid w:val="00FF0367"/>
    <w:rsid w:val="00FF0402"/>
    <w:rsid w:val="00FF0525"/>
    <w:rsid w:val="00FF0B5B"/>
    <w:rsid w:val="00FF0F7D"/>
    <w:rsid w:val="00FF10AC"/>
    <w:rsid w:val="00FF25F5"/>
    <w:rsid w:val="00FF2801"/>
    <w:rsid w:val="00FF28E1"/>
    <w:rsid w:val="00FF3210"/>
    <w:rsid w:val="00FF3402"/>
    <w:rsid w:val="00FF3474"/>
    <w:rsid w:val="00FF37F4"/>
    <w:rsid w:val="00FF3F04"/>
    <w:rsid w:val="00FF4A95"/>
    <w:rsid w:val="00FF4CD1"/>
    <w:rsid w:val="00FF524D"/>
    <w:rsid w:val="00FF599A"/>
    <w:rsid w:val="00FF59A8"/>
    <w:rsid w:val="00FF5B81"/>
    <w:rsid w:val="00FF66C5"/>
    <w:rsid w:val="00FF6A09"/>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625"/>
    <w:pPr>
      <w:widowControl w:val="0"/>
      <w:autoSpaceDE w:val="0"/>
      <w:autoSpaceDN w:val="0"/>
      <w:adjustRightInd w:val="0"/>
    </w:pPr>
    <w:rPr>
      <w:sz w:val="26"/>
      <w:szCs w:val="24"/>
    </w:rPr>
  </w:style>
  <w:style w:type="paragraph" w:styleId="Heading1">
    <w:name w:val="heading 1"/>
    <w:basedOn w:val="Normal"/>
    <w:next w:val="FERCparanumber"/>
    <w:qFormat/>
    <w:rsid w:val="00C67E0B"/>
    <w:pPr>
      <w:keepNext/>
      <w:keepLines/>
      <w:widowControl/>
      <w:numPr>
        <w:numId w:val="11"/>
      </w:numPr>
      <w:spacing w:after="260"/>
      <w:outlineLvl w:val="0"/>
    </w:pPr>
    <w:rPr>
      <w:b/>
      <w:bCs/>
      <w:kern w:val="32"/>
      <w:szCs w:val="32"/>
      <w:u w:val="single"/>
    </w:rPr>
  </w:style>
  <w:style w:type="paragraph" w:styleId="Heading2">
    <w:name w:val="heading 2"/>
    <w:basedOn w:val="Normal"/>
    <w:next w:val="FERCparanumber"/>
    <w:qFormat/>
    <w:rsid w:val="00C67E0B"/>
    <w:pPr>
      <w:keepNext/>
      <w:keepLines/>
      <w:widowControl/>
      <w:numPr>
        <w:ilvl w:val="1"/>
        <w:numId w:val="11"/>
      </w:numPr>
      <w:spacing w:after="260"/>
      <w:outlineLvl w:val="1"/>
    </w:pPr>
    <w:rPr>
      <w:b/>
      <w:bCs/>
      <w:iCs/>
      <w:kern w:val="32"/>
      <w:szCs w:val="28"/>
      <w:u w:val="single"/>
    </w:rPr>
  </w:style>
  <w:style w:type="paragraph" w:styleId="Heading3">
    <w:name w:val="heading 3"/>
    <w:basedOn w:val="Normal"/>
    <w:next w:val="FERCparanumber"/>
    <w:link w:val="Heading3Char"/>
    <w:qFormat/>
    <w:rsid w:val="00C67E0B"/>
    <w:pPr>
      <w:keepNext/>
      <w:keepLines/>
      <w:widowControl/>
      <w:numPr>
        <w:ilvl w:val="2"/>
        <w:numId w:val="11"/>
      </w:numPr>
      <w:spacing w:after="260"/>
      <w:outlineLvl w:val="2"/>
    </w:pPr>
    <w:rPr>
      <w:b/>
      <w:bCs/>
      <w:kern w:val="32"/>
      <w:szCs w:val="26"/>
      <w:u w:val="single"/>
    </w:rPr>
  </w:style>
  <w:style w:type="paragraph" w:styleId="Heading4">
    <w:name w:val="heading 4"/>
    <w:basedOn w:val="Normal"/>
    <w:next w:val="FERCparanumber"/>
    <w:link w:val="Heading4Char"/>
    <w:qFormat/>
    <w:rsid w:val="00C67E0B"/>
    <w:pPr>
      <w:keepNext/>
      <w:keepLines/>
      <w:widowControl/>
      <w:numPr>
        <w:ilvl w:val="3"/>
        <w:numId w:val="11"/>
      </w:numPr>
      <w:spacing w:after="260"/>
      <w:outlineLvl w:val="3"/>
    </w:pPr>
    <w:rPr>
      <w:b/>
      <w:bCs/>
      <w:kern w:val="32"/>
      <w:szCs w:val="28"/>
      <w:u w:val="single"/>
    </w:rPr>
  </w:style>
  <w:style w:type="paragraph" w:styleId="Heading5">
    <w:name w:val="heading 5"/>
    <w:basedOn w:val="Normal"/>
    <w:next w:val="FERCparanumber"/>
    <w:qFormat/>
    <w:rsid w:val="00C67E0B"/>
    <w:pPr>
      <w:keepNext/>
      <w:keepLines/>
      <w:widowControl/>
      <w:numPr>
        <w:ilvl w:val="4"/>
        <w:numId w:val="11"/>
      </w:numPr>
      <w:spacing w:after="260"/>
      <w:outlineLvl w:val="4"/>
    </w:pPr>
    <w:rPr>
      <w:b/>
      <w:bCs/>
      <w:iCs/>
      <w:kern w:val="32"/>
      <w:szCs w:val="26"/>
      <w:u w:val="single"/>
    </w:rPr>
  </w:style>
  <w:style w:type="paragraph" w:styleId="Heading6">
    <w:name w:val="heading 6"/>
    <w:basedOn w:val="Normal"/>
    <w:next w:val="FERCparanumber"/>
    <w:qFormat/>
    <w:rsid w:val="00C67E0B"/>
    <w:pPr>
      <w:keepNext/>
      <w:keepLines/>
      <w:widowControl/>
      <w:numPr>
        <w:ilvl w:val="5"/>
        <w:numId w:val="11"/>
      </w:numPr>
      <w:spacing w:after="260"/>
      <w:outlineLvl w:val="5"/>
    </w:pPr>
    <w:rPr>
      <w:b/>
      <w:bCs/>
      <w:kern w:val="32"/>
      <w:szCs w:val="22"/>
      <w:u w:val="single"/>
    </w:rPr>
  </w:style>
  <w:style w:type="paragraph" w:styleId="Heading7">
    <w:name w:val="heading 7"/>
    <w:basedOn w:val="Normal"/>
    <w:next w:val="FERCparanumber"/>
    <w:qFormat/>
    <w:rsid w:val="00C67E0B"/>
    <w:pPr>
      <w:keepNext/>
      <w:keepLines/>
      <w:widowControl/>
      <w:numPr>
        <w:ilvl w:val="6"/>
        <w:numId w:val="11"/>
      </w:numPr>
      <w:spacing w:after="260"/>
      <w:outlineLvl w:val="6"/>
    </w:pPr>
    <w:rPr>
      <w:b/>
      <w:kern w:val="32"/>
      <w:u w:val="single"/>
    </w:rPr>
  </w:style>
  <w:style w:type="paragraph" w:styleId="Heading8">
    <w:name w:val="heading 8"/>
    <w:basedOn w:val="Normal"/>
    <w:next w:val="FERCparanumber"/>
    <w:qFormat/>
    <w:rsid w:val="00C67E0B"/>
    <w:pPr>
      <w:keepNext/>
      <w:keepLines/>
      <w:widowControl/>
      <w:numPr>
        <w:ilvl w:val="7"/>
        <w:numId w:val="11"/>
      </w:numPr>
      <w:spacing w:after="260"/>
      <w:outlineLvl w:val="7"/>
    </w:pPr>
    <w:rPr>
      <w:b/>
      <w:iCs/>
      <w:kern w:val="32"/>
      <w:u w:val="single"/>
    </w:rPr>
  </w:style>
  <w:style w:type="paragraph" w:styleId="Heading9">
    <w:name w:val="heading 9"/>
    <w:basedOn w:val="Normal"/>
    <w:next w:val="FERCparanumber"/>
    <w:qFormat/>
    <w:rsid w:val="00C67E0B"/>
    <w:pPr>
      <w:keepNext/>
      <w:keepLines/>
      <w:widowControl/>
      <w:numPr>
        <w:ilvl w:val="8"/>
        <w:numId w:val="11"/>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sid w:val="00404625"/>
    <w:rPr>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4634F7"/>
    <w:pPr>
      <w:spacing w:after="240"/>
      <w:ind w:firstLine="720"/>
    </w:pPr>
    <w:rPr>
      <w:szCs w:val="20"/>
    </w:rPr>
  </w:style>
  <w:style w:type="paragraph" w:styleId="BalloonText">
    <w:name w:val="Balloon Text"/>
    <w:basedOn w:val="Normal"/>
    <w:link w:val="BalloonTextChar"/>
    <w:semiHidden/>
    <w:rsid w:val="009071D9"/>
    <w:rPr>
      <w:rFonts w:ascii="Tahoma" w:hAnsi="Tahoma" w:cs="Tahoma"/>
      <w:sz w:val="16"/>
      <w:szCs w:val="16"/>
    </w:rPr>
  </w:style>
  <w:style w:type="character" w:styleId="FootnoteReference">
    <w:name w:val="footnote reference"/>
    <w:aliases w:val="o,fr,o1,fr1,o2,fr2,o3,fr3,Style 13,Style 12,Style 15,Style 17,Style 9,Style 18,(NECG) Footnote Reference,Style 20,Style 7,Styl,Style 8,Style 19,Style 28,Style 11,Style 16"/>
    <w:rsid w:val="004634F7"/>
    <w:rPr>
      <w:rFonts w:ascii="Times New Roman" w:hAnsi="Times New Roman"/>
      <w:b/>
      <w:dstrike w:val="0"/>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character" w:styleId="Hyperlink">
    <w:name w:val="Hyperlink"/>
    <w:rsid w:val="00E566AE"/>
    <w:rPr>
      <w:color w:val="0000FF"/>
      <w:u w:val="single"/>
    </w:rPr>
  </w:style>
  <w:style w:type="paragraph" w:styleId="Footer">
    <w:name w:val="footer"/>
    <w:basedOn w:val="Normal"/>
    <w:rsid w:val="00404625"/>
    <w:pPr>
      <w:tabs>
        <w:tab w:val="center" w:pos="4320"/>
        <w:tab w:val="right" w:pos="8640"/>
      </w:tabs>
    </w:pPr>
  </w:style>
  <w:style w:type="paragraph" w:styleId="Header">
    <w:name w:val="header"/>
    <w:basedOn w:val="Normal"/>
    <w:link w:val="HeaderChar"/>
    <w:uiPriority w:val="99"/>
    <w:rsid w:val="00C404DA"/>
    <w:pPr>
      <w:tabs>
        <w:tab w:val="right" w:pos="8640"/>
      </w:tabs>
      <w:spacing w:after="120"/>
    </w:pPr>
  </w:style>
  <w:style w:type="character" w:styleId="PageNumber">
    <w:name w:val="page number"/>
    <w:basedOn w:val="DefaultParagraphFont"/>
    <w:rsid w:val="00404625"/>
  </w:style>
  <w:style w:type="paragraph" w:customStyle="1" w:styleId="FERCparanumber">
    <w:name w:val="FERC paranumber"/>
    <w:basedOn w:val="Normal"/>
    <w:link w:val="FERCparanumberChar1"/>
    <w:qFormat/>
    <w:rsid w:val="002B54D7"/>
    <w:pPr>
      <w:widowControl/>
      <w:numPr>
        <w:numId w:val="14"/>
      </w:numPr>
      <w:spacing w:line="480" w:lineRule="auto"/>
    </w:pPr>
  </w:style>
  <w:style w:type="paragraph" w:styleId="BlockText">
    <w:name w:val="Block Text"/>
    <w:basedOn w:val="Normal"/>
    <w:rsid w:val="009071D9"/>
    <w:pPr>
      <w:spacing w:after="120"/>
      <w:ind w:left="1440" w:right="1440"/>
    </w:pPr>
  </w:style>
  <w:style w:type="paragraph" w:styleId="BodyText">
    <w:name w:val="Body Text"/>
    <w:basedOn w:val="Normal"/>
    <w:rsid w:val="009071D9"/>
    <w:pPr>
      <w:spacing w:after="120"/>
    </w:pPr>
  </w:style>
  <w:style w:type="paragraph" w:styleId="BodyText2">
    <w:name w:val="Body Text 2"/>
    <w:basedOn w:val="Normal"/>
    <w:rsid w:val="009071D9"/>
    <w:pPr>
      <w:spacing w:after="120" w:line="480" w:lineRule="auto"/>
    </w:pPr>
  </w:style>
  <w:style w:type="paragraph" w:styleId="BodyText3">
    <w:name w:val="Body Text 3"/>
    <w:basedOn w:val="Normal"/>
    <w:rsid w:val="009071D9"/>
    <w:pPr>
      <w:spacing w:after="120"/>
    </w:pPr>
    <w:rPr>
      <w:sz w:val="16"/>
      <w:szCs w:val="16"/>
    </w:rPr>
  </w:style>
  <w:style w:type="paragraph" w:styleId="BodyTextFirstIndent">
    <w:name w:val="Body Text First Indent"/>
    <w:basedOn w:val="BodyText"/>
    <w:rsid w:val="009071D9"/>
    <w:pPr>
      <w:ind w:firstLine="210"/>
    </w:pPr>
  </w:style>
  <w:style w:type="paragraph" w:styleId="BodyTextIndent">
    <w:name w:val="Body Text Indent"/>
    <w:basedOn w:val="Normal"/>
    <w:rsid w:val="009071D9"/>
    <w:pPr>
      <w:spacing w:after="120"/>
      <w:ind w:left="360"/>
    </w:pPr>
  </w:style>
  <w:style w:type="paragraph" w:styleId="BodyTextFirstIndent2">
    <w:name w:val="Body Text First Indent 2"/>
    <w:basedOn w:val="BodyTextIndent"/>
    <w:rsid w:val="009071D9"/>
    <w:pPr>
      <w:ind w:firstLine="210"/>
    </w:pPr>
  </w:style>
  <w:style w:type="paragraph" w:styleId="BodyTextIndent2">
    <w:name w:val="Body Text Indent 2"/>
    <w:basedOn w:val="Normal"/>
    <w:rsid w:val="009071D9"/>
    <w:pPr>
      <w:spacing w:after="120" w:line="480" w:lineRule="auto"/>
      <w:ind w:left="360"/>
    </w:pPr>
  </w:style>
  <w:style w:type="paragraph" w:styleId="BodyTextIndent3">
    <w:name w:val="Body Text Indent 3"/>
    <w:basedOn w:val="Normal"/>
    <w:rsid w:val="009071D9"/>
    <w:pPr>
      <w:spacing w:after="120"/>
      <w:ind w:left="360"/>
    </w:pPr>
    <w:rPr>
      <w:sz w:val="16"/>
      <w:szCs w:val="16"/>
    </w:rPr>
  </w:style>
  <w:style w:type="paragraph" w:styleId="Caption">
    <w:name w:val="caption"/>
    <w:basedOn w:val="Normal"/>
    <w:next w:val="Normal"/>
    <w:qFormat/>
    <w:rsid w:val="009071D9"/>
    <w:pPr>
      <w:spacing w:before="120" w:after="120"/>
    </w:pPr>
    <w:rPr>
      <w:b/>
      <w:bCs/>
      <w:sz w:val="20"/>
      <w:szCs w:val="20"/>
    </w:rPr>
  </w:style>
  <w:style w:type="paragraph" w:styleId="Closing">
    <w:name w:val="Closing"/>
    <w:basedOn w:val="Normal"/>
    <w:rsid w:val="009071D9"/>
    <w:pPr>
      <w:ind w:left="4320"/>
    </w:pPr>
  </w:style>
  <w:style w:type="paragraph" w:styleId="CommentText">
    <w:name w:val="annotation text"/>
    <w:basedOn w:val="Normal"/>
    <w:semiHidden/>
    <w:rsid w:val="009071D9"/>
    <w:rPr>
      <w:sz w:val="20"/>
      <w:szCs w:val="20"/>
    </w:rPr>
  </w:style>
  <w:style w:type="paragraph" w:styleId="CommentSubject">
    <w:name w:val="annotation subject"/>
    <w:basedOn w:val="CommentText"/>
    <w:next w:val="CommentText"/>
    <w:semiHidden/>
    <w:rsid w:val="009071D9"/>
    <w:rPr>
      <w:b/>
      <w:bCs/>
    </w:rPr>
  </w:style>
  <w:style w:type="paragraph" w:styleId="Date">
    <w:name w:val="Date"/>
    <w:basedOn w:val="Normal"/>
    <w:next w:val="Normal"/>
    <w:rsid w:val="009071D9"/>
  </w:style>
  <w:style w:type="paragraph" w:styleId="DocumentMap">
    <w:name w:val="Document Map"/>
    <w:basedOn w:val="Normal"/>
    <w:semiHidden/>
    <w:rsid w:val="009071D9"/>
    <w:pPr>
      <w:shd w:val="clear" w:color="auto" w:fill="000080"/>
    </w:pPr>
    <w:rPr>
      <w:rFonts w:ascii="Tahoma" w:hAnsi="Tahoma" w:cs="Tahoma"/>
    </w:rPr>
  </w:style>
  <w:style w:type="paragraph" w:styleId="E-mailSignature">
    <w:name w:val="E-mail Signature"/>
    <w:basedOn w:val="Normal"/>
    <w:rsid w:val="009071D9"/>
  </w:style>
  <w:style w:type="paragraph" w:styleId="EndnoteText">
    <w:name w:val="endnote text"/>
    <w:basedOn w:val="Normal"/>
    <w:semiHidden/>
    <w:rsid w:val="009071D9"/>
    <w:rPr>
      <w:sz w:val="20"/>
      <w:szCs w:val="20"/>
    </w:rPr>
  </w:style>
  <w:style w:type="paragraph" w:styleId="EnvelopeAddress">
    <w:name w:val="envelope address"/>
    <w:basedOn w:val="Normal"/>
    <w:rsid w:val="009071D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071D9"/>
    <w:rPr>
      <w:rFonts w:ascii="Arial" w:hAnsi="Arial" w:cs="Arial"/>
      <w:sz w:val="20"/>
      <w:szCs w:val="20"/>
    </w:rPr>
  </w:style>
  <w:style w:type="paragraph" w:styleId="HTMLAddress">
    <w:name w:val="HTML Address"/>
    <w:basedOn w:val="Normal"/>
    <w:rsid w:val="009071D9"/>
    <w:rPr>
      <w:i/>
      <w:iCs/>
    </w:rPr>
  </w:style>
  <w:style w:type="paragraph" w:styleId="HTMLPreformatted">
    <w:name w:val="HTML Preformatted"/>
    <w:basedOn w:val="Normal"/>
    <w:rsid w:val="009071D9"/>
    <w:rPr>
      <w:rFonts w:ascii="Courier New" w:hAnsi="Courier New" w:cs="Courier New"/>
      <w:sz w:val="20"/>
      <w:szCs w:val="20"/>
    </w:rPr>
  </w:style>
  <w:style w:type="paragraph" w:styleId="Index1">
    <w:name w:val="index 1"/>
    <w:basedOn w:val="Normal"/>
    <w:next w:val="Normal"/>
    <w:semiHidden/>
    <w:rsid w:val="009071D9"/>
    <w:pPr>
      <w:ind w:left="260" w:hanging="260"/>
    </w:pPr>
  </w:style>
  <w:style w:type="paragraph" w:styleId="Index2">
    <w:name w:val="index 2"/>
    <w:basedOn w:val="Normal"/>
    <w:next w:val="Normal"/>
    <w:semiHidden/>
    <w:rsid w:val="009071D9"/>
    <w:pPr>
      <w:ind w:left="520" w:hanging="260"/>
    </w:pPr>
  </w:style>
  <w:style w:type="paragraph" w:styleId="Index3">
    <w:name w:val="index 3"/>
    <w:basedOn w:val="Normal"/>
    <w:next w:val="Normal"/>
    <w:semiHidden/>
    <w:rsid w:val="009071D9"/>
    <w:pPr>
      <w:ind w:left="780" w:hanging="260"/>
    </w:pPr>
  </w:style>
  <w:style w:type="paragraph" w:styleId="Index4">
    <w:name w:val="index 4"/>
    <w:basedOn w:val="Normal"/>
    <w:next w:val="Normal"/>
    <w:semiHidden/>
    <w:rsid w:val="009071D9"/>
    <w:pPr>
      <w:ind w:left="1040" w:hanging="260"/>
    </w:pPr>
  </w:style>
  <w:style w:type="paragraph" w:styleId="Index5">
    <w:name w:val="index 5"/>
    <w:basedOn w:val="Normal"/>
    <w:next w:val="Normal"/>
    <w:semiHidden/>
    <w:rsid w:val="009071D9"/>
    <w:pPr>
      <w:ind w:left="1300" w:hanging="260"/>
    </w:pPr>
  </w:style>
  <w:style w:type="paragraph" w:styleId="Index6">
    <w:name w:val="index 6"/>
    <w:basedOn w:val="Normal"/>
    <w:next w:val="Normal"/>
    <w:semiHidden/>
    <w:rsid w:val="009071D9"/>
    <w:pPr>
      <w:ind w:left="1560" w:hanging="260"/>
    </w:pPr>
  </w:style>
  <w:style w:type="paragraph" w:styleId="Index7">
    <w:name w:val="index 7"/>
    <w:basedOn w:val="Normal"/>
    <w:next w:val="Normal"/>
    <w:semiHidden/>
    <w:rsid w:val="009071D9"/>
    <w:pPr>
      <w:ind w:left="1820" w:hanging="260"/>
    </w:pPr>
  </w:style>
  <w:style w:type="paragraph" w:styleId="Index8">
    <w:name w:val="index 8"/>
    <w:basedOn w:val="Normal"/>
    <w:next w:val="Normal"/>
    <w:semiHidden/>
    <w:rsid w:val="009071D9"/>
    <w:pPr>
      <w:ind w:left="2080" w:hanging="260"/>
    </w:pPr>
  </w:style>
  <w:style w:type="paragraph" w:styleId="Index9">
    <w:name w:val="index 9"/>
    <w:basedOn w:val="Normal"/>
    <w:next w:val="Normal"/>
    <w:semiHidden/>
    <w:rsid w:val="009071D9"/>
    <w:pPr>
      <w:ind w:left="2340" w:hanging="260"/>
    </w:pPr>
  </w:style>
  <w:style w:type="paragraph" w:styleId="IndexHeading">
    <w:name w:val="index heading"/>
    <w:basedOn w:val="Normal"/>
    <w:next w:val="Index1"/>
    <w:semiHidden/>
    <w:rsid w:val="009071D9"/>
    <w:rPr>
      <w:rFonts w:ascii="Arial" w:hAnsi="Arial" w:cs="Arial"/>
      <w:b/>
      <w:bCs/>
    </w:rPr>
  </w:style>
  <w:style w:type="paragraph" w:styleId="List">
    <w:name w:val="List"/>
    <w:basedOn w:val="Normal"/>
    <w:rsid w:val="009071D9"/>
    <w:pPr>
      <w:ind w:left="360" w:hanging="360"/>
    </w:pPr>
  </w:style>
  <w:style w:type="paragraph" w:styleId="List2">
    <w:name w:val="List 2"/>
    <w:basedOn w:val="Normal"/>
    <w:rsid w:val="009071D9"/>
    <w:pPr>
      <w:ind w:left="720" w:hanging="360"/>
    </w:pPr>
  </w:style>
  <w:style w:type="paragraph" w:styleId="List3">
    <w:name w:val="List 3"/>
    <w:basedOn w:val="Normal"/>
    <w:rsid w:val="009071D9"/>
    <w:pPr>
      <w:ind w:left="1080" w:hanging="360"/>
    </w:pPr>
  </w:style>
  <w:style w:type="paragraph" w:styleId="List4">
    <w:name w:val="List 4"/>
    <w:basedOn w:val="Normal"/>
    <w:rsid w:val="009071D9"/>
    <w:pPr>
      <w:ind w:left="1440" w:hanging="360"/>
    </w:pPr>
  </w:style>
  <w:style w:type="paragraph" w:styleId="List5">
    <w:name w:val="List 5"/>
    <w:basedOn w:val="Normal"/>
    <w:rsid w:val="009071D9"/>
    <w:pPr>
      <w:ind w:left="1800" w:hanging="360"/>
    </w:pPr>
  </w:style>
  <w:style w:type="paragraph" w:styleId="ListBullet">
    <w:name w:val="List Bullet"/>
    <w:basedOn w:val="Normal"/>
    <w:rsid w:val="009071D9"/>
    <w:pPr>
      <w:numPr>
        <w:numId w:val="1"/>
      </w:numPr>
    </w:pPr>
  </w:style>
  <w:style w:type="paragraph" w:styleId="ListBullet2">
    <w:name w:val="List Bullet 2"/>
    <w:basedOn w:val="Normal"/>
    <w:rsid w:val="009071D9"/>
    <w:pPr>
      <w:numPr>
        <w:numId w:val="2"/>
      </w:numPr>
    </w:pPr>
  </w:style>
  <w:style w:type="paragraph" w:styleId="ListBullet3">
    <w:name w:val="List Bullet 3"/>
    <w:basedOn w:val="Normal"/>
    <w:rsid w:val="009071D9"/>
    <w:pPr>
      <w:numPr>
        <w:numId w:val="3"/>
      </w:numPr>
    </w:pPr>
  </w:style>
  <w:style w:type="paragraph" w:styleId="ListBullet4">
    <w:name w:val="List Bullet 4"/>
    <w:basedOn w:val="Normal"/>
    <w:rsid w:val="009071D9"/>
    <w:pPr>
      <w:numPr>
        <w:numId w:val="4"/>
      </w:numPr>
    </w:pPr>
  </w:style>
  <w:style w:type="paragraph" w:styleId="ListBullet5">
    <w:name w:val="List Bullet 5"/>
    <w:basedOn w:val="Normal"/>
    <w:rsid w:val="009071D9"/>
    <w:pPr>
      <w:numPr>
        <w:numId w:val="5"/>
      </w:numPr>
    </w:pPr>
  </w:style>
  <w:style w:type="paragraph" w:styleId="ListContinue2">
    <w:name w:val="List Continue 2"/>
    <w:basedOn w:val="Normal"/>
    <w:rsid w:val="009071D9"/>
    <w:pPr>
      <w:spacing w:after="120"/>
      <w:ind w:left="720"/>
    </w:pPr>
  </w:style>
  <w:style w:type="paragraph" w:styleId="ListContinue3">
    <w:name w:val="List Continue 3"/>
    <w:basedOn w:val="Normal"/>
    <w:rsid w:val="009071D9"/>
    <w:pPr>
      <w:spacing w:after="120"/>
      <w:ind w:left="1080"/>
    </w:pPr>
  </w:style>
  <w:style w:type="paragraph" w:styleId="ListContinue4">
    <w:name w:val="List Continue 4"/>
    <w:basedOn w:val="Normal"/>
    <w:rsid w:val="009071D9"/>
    <w:pPr>
      <w:spacing w:after="120"/>
      <w:ind w:left="1440"/>
    </w:pPr>
  </w:style>
  <w:style w:type="paragraph" w:styleId="ListContinue5">
    <w:name w:val="List Continue 5"/>
    <w:basedOn w:val="Normal"/>
    <w:rsid w:val="009071D9"/>
    <w:pPr>
      <w:spacing w:after="120"/>
      <w:ind w:left="1800"/>
    </w:pPr>
  </w:style>
  <w:style w:type="paragraph" w:styleId="ListNumber">
    <w:name w:val="List Number"/>
    <w:basedOn w:val="Normal"/>
    <w:rsid w:val="009071D9"/>
    <w:pPr>
      <w:numPr>
        <w:numId w:val="6"/>
      </w:numPr>
    </w:pPr>
  </w:style>
  <w:style w:type="paragraph" w:styleId="ListNumber2">
    <w:name w:val="List Number 2"/>
    <w:basedOn w:val="Normal"/>
    <w:rsid w:val="009071D9"/>
    <w:pPr>
      <w:numPr>
        <w:numId w:val="7"/>
      </w:numPr>
    </w:pPr>
  </w:style>
  <w:style w:type="paragraph" w:styleId="ListNumber3">
    <w:name w:val="List Number 3"/>
    <w:basedOn w:val="Normal"/>
    <w:rsid w:val="009071D9"/>
    <w:pPr>
      <w:numPr>
        <w:numId w:val="8"/>
      </w:numPr>
    </w:pPr>
  </w:style>
  <w:style w:type="paragraph" w:styleId="ListNumber4">
    <w:name w:val="List Number 4"/>
    <w:basedOn w:val="Normal"/>
    <w:rsid w:val="009071D9"/>
    <w:pPr>
      <w:numPr>
        <w:numId w:val="9"/>
      </w:numPr>
    </w:pPr>
  </w:style>
  <w:style w:type="paragraph" w:styleId="ListNumber5">
    <w:name w:val="List Number 5"/>
    <w:basedOn w:val="Normal"/>
    <w:rsid w:val="009071D9"/>
    <w:pPr>
      <w:numPr>
        <w:numId w:val="10"/>
      </w:numPr>
    </w:pPr>
  </w:style>
  <w:style w:type="paragraph" w:styleId="MacroText">
    <w:name w:val="macro"/>
    <w:semiHidden/>
    <w:rsid w:val="009071D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9071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071D9"/>
    <w:rPr>
      <w:sz w:val="24"/>
    </w:rPr>
  </w:style>
  <w:style w:type="paragraph" w:styleId="NormalIndent">
    <w:name w:val="Normal Indent"/>
    <w:basedOn w:val="Normal"/>
    <w:rsid w:val="009071D9"/>
    <w:pPr>
      <w:ind w:left="720"/>
    </w:pPr>
  </w:style>
  <w:style w:type="paragraph" w:styleId="NoteHeading">
    <w:name w:val="Note Heading"/>
    <w:basedOn w:val="Normal"/>
    <w:next w:val="Normal"/>
    <w:rsid w:val="009071D9"/>
  </w:style>
  <w:style w:type="paragraph" w:styleId="PlainText">
    <w:name w:val="Plain Text"/>
    <w:basedOn w:val="Normal"/>
    <w:rsid w:val="009071D9"/>
    <w:rPr>
      <w:rFonts w:ascii="Courier New" w:hAnsi="Courier New" w:cs="Courier New"/>
      <w:sz w:val="20"/>
      <w:szCs w:val="20"/>
    </w:rPr>
  </w:style>
  <w:style w:type="paragraph" w:styleId="Salutation">
    <w:name w:val="Salutation"/>
    <w:basedOn w:val="Normal"/>
    <w:next w:val="Normal"/>
    <w:rsid w:val="009071D9"/>
  </w:style>
  <w:style w:type="paragraph" w:styleId="Signature">
    <w:name w:val="Signature"/>
    <w:basedOn w:val="Normal"/>
    <w:rsid w:val="009071D9"/>
    <w:pPr>
      <w:ind w:left="4320"/>
    </w:pPr>
  </w:style>
  <w:style w:type="paragraph" w:styleId="Subtitle">
    <w:name w:val="Subtitle"/>
    <w:basedOn w:val="Normal"/>
    <w:qFormat/>
    <w:rsid w:val="009071D9"/>
    <w:pPr>
      <w:spacing w:after="60"/>
      <w:jc w:val="center"/>
      <w:outlineLvl w:val="1"/>
    </w:pPr>
    <w:rPr>
      <w:rFonts w:ascii="Arial" w:hAnsi="Arial" w:cs="Arial"/>
      <w:sz w:val="24"/>
    </w:rPr>
  </w:style>
  <w:style w:type="paragraph" w:styleId="TableofAuthorities">
    <w:name w:val="table of authorities"/>
    <w:basedOn w:val="Normal"/>
    <w:next w:val="Normal"/>
    <w:semiHidden/>
    <w:rsid w:val="009071D9"/>
    <w:pPr>
      <w:ind w:left="260" w:hanging="260"/>
    </w:pPr>
  </w:style>
  <w:style w:type="paragraph" w:styleId="TableofFigures">
    <w:name w:val="table of figures"/>
    <w:basedOn w:val="Normal"/>
    <w:next w:val="Normal"/>
    <w:semiHidden/>
    <w:rsid w:val="009071D9"/>
    <w:pPr>
      <w:ind w:left="520" w:hanging="520"/>
    </w:pPr>
  </w:style>
  <w:style w:type="paragraph" w:styleId="Title">
    <w:name w:val="Title"/>
    <w:basedOn w:val="Normal"/>
    <w:qFormat/>
    <w:rsid w:val="009071D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071D9"/>
    <w:pPr>
      <w:spacing w:before="120"/>
    </w:pPr>
    <w:rPr>
      <w:rFonts w:ascii="Arial" w:hAnsi="Arial" w:cs="Arial"/>
      <w:b/>
      <w:bCs/>
      <w:sz w:val="24"/>
    </w:rPr>
  </w:style>
  <w:style w:type="paragraph" w:styleId="TOC1">
    <w:name w:val="toc 1"/>
    <w:basedOn w:val="Normal"/>
    <w:next w:val="Normal"/>
    <w:semiHidden/>
    <w:rsid w:val="009071D9"/>
  </w:style>
  <w:style w:type="paragraph" w:styleId="TOC2">
    <w:name w:val="toc 2"/>
    <w:basedOn w:val="Normal"/>
    <w:next w:val="Normal"/>
    <w:semiHidden/>
    <w:rsid w:val="009071D9"/>
    <w:pPr>
      <w:ind w:left="260"/>
    </w:pPr>
  </w:style>
  <w:style w:type="paragraph" w:styleId="TOC3">
    <w:name w:val="toc 3"/>
    <w:basedOn w:val="Normal"/>
    <w:next w:val="Normal"/>
    <w:semiHidden/>
    <w:rsid w:val="009071D9"/>
    <w:pPr>
      <w:ind w:left="520"/>
    </w:pPr>
  </w:style>
  <w:style w:type="paragraph" w:styleId="TOC4">
    <w:name w:val="toc 4"/>
    <w:basedOn w:val="Normal"/>
    <w:next w:val="Normal"/>
    <w:semiHidden/>
    <w:rsid w:val="009071D9"/>
    <w:pPr>
      <w:ind w:left="780"/>
    </w:pPr>
  </w:style>
  <w:style w:type="paragraph" w:styleId="TOC5">
    <w:name w:val="toc 5"/>
    <w:basedOn w:val="Normal"/>
    <w:next w:val="Normal"/>
    <w:semiHidden/>
    <w:rsid w:val="009071D9"/>
    <w:pPr>
      <w:ind w:left="1040"/>
    </w:pPr>
  </w:style>
  <w:style w:type="paragraph" w:styleId="TOC6">
    <w:name w:val="toc 6"/>
    <w:basedOn w:val="Normal"/>
    <w:next w:val="Normal"/>
    <w:semiHidden/>
    <w:rsid w:val="009071D9"/>
    <w:pPr>
      <w:ind w:left="1300"/>
    </w:pPr>
  </w:style>
  <w:style w:type="paragraph" w:styleId="TOC7">
    <w:name w:val="toc 7"/>
    <w:basedOn w:val="Normal"/>
    <w:next w:val="Normal"/>
    <w:semiHidden/>
    <w:rsid w:val="009071D9"/>
    <w:pPr>
      <w:ind w:left="1560"/>
    </w:pPr>
  </w:style>
  <w:style w:type="paragraph" w:styleId="TOC8">
    <w:name w:val="toc 8"/>
    <w:basedOn w:val="Normal"/>
    <w:next w:val="Normal"/>
    <w:semiHidden/>
    <w:rsid w:val="009071D9"/>
    <w:pPr>
      <w:ind w:left="1820"/>
    </w:pPr>
  </w:style>
  <w:style w:type="paragraph" w:styleId="TOC9">
    <w:name w:val="toc 9"/>
    <w:basedOn w:val="Normal"/>
    <w:next w:val="Normal"/>
    <w:semiHidden/>
    <w:rsid w:val="009071D9"/>
    <w:pPr>
      <w:ind w:left="2080"/>
    </w:pPr>
  </w:style>
  <w:style w:type="table" w:styleId="TableGrid">
    <w:name w:val="Table Grid"/>
    <w:basedOn w:val="TableNormal"/>
    <w:rsid w:val="00273AA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TOCStyle">
    <w:name w:val="Non-TOC Style"/>
    <w:basedOn w:val="Normal"/>
    <w:next w:val="FERCparanumber"/>
    <w:rsid w:val="00825F8F"/>
    <w:pPr>
      <w:spacing w:after="240"/>
      <w:ind w:left="1440"/>
    </w:pPr>
    <w:rPr>
      <w:b/>
      <w:szCs w:val="26"/>
      <w:u w:val="single"/>
    </w:rPr>
  </w:style>
  <w:style w:type="paragraph" w:customStyle="1" w:styleId="myTOC1">
    <w:name w:val="myTOC 1"/>
    <w:basedOn w:val="Normal"/>
    <w:next w:val="Normal"/>
    <w:rsid w:val="00F90F3E"/>
    <w:pPr>
      <w:tabs>
        <w:tab w:val="right" w:leader="dot" w:pos="9360"/>
      </w:tabs>
      <w:spacing w:before="120"/>
    </w:pPr>
    <w:rPr>
      <w:szCs w:val="26"/>
    </w:rPr>
  </w:style>
  <w:style w:type="paragraph" w:customStyle="1" w:styleId="myTOC2">
    <w:name w:val="myTOC 2"/>
    <w:basedOn w:val="Normal"/>
    <w:next w:val="Normal"/>
    <w:rsid w:val="00F90F3E"/>
    <w:pPr>
      <w:tabs>
        <w:tab w:val="right" w:leader="dot" w:pos="9360"/>
      </w:tabs>
      <w:ind w:left="288"/>
    </w:pPr>
    <w:rPr>
      <w:szCs w:val="26"/>
    </w:rPr>
  </w:style>
  <w:style w:type="paragraph" w:customStyle="1" w:styleId="myTOC3">
    <w:name w:val="myTOC 3"/>
    <w:basedOn w:val="Normal"/>
    <w:next w:val="Normal"/>
    <w:rsid w:val="00F90F3E"/>
    <w:pPr>
      <w:tabs>
        <w:tab w:val="right" w:leader="dot" w:pos="9360"/>
      </w:tabs>
      <w:ind w:left="576"/>
    </w:pPr>
    <w:rPr>
      <w:szCs w:val="26"/>
    </w:rPr>
  </w:style>
  <w:style w:type="paragraph" w:customStyle="1" w:styleId="myTOC4">
    <w:name w:val="myTOC 4"/>
    <w:basedOn w:val="Normal"/>
    <w:next w:val="Normal"/>
    <w:rsid w:val="00F90F3E"/>
    <w:pPr>
      <w:tabs>
        <w:tab w:val="right" w:leader="dot" w:pos="9360"/>
      </w:tabs>
      <w:ind w:left="864"/>
    </w:pPr>
    <w:rPr>
      <w:szCs w:val="26"/>
    </w:rPr>
  </w:style>
  <w:style w:type="paragraph" w:customStyle="1" w:styleId="myTOC5">
    <w:name w:val="myTOC 5"/>
    <w:basedOn w:val="Normal"/>
    <w:next w:val="Normal"/>
    <w:rsid w:val="00F90F3E"/>
    <w:pPr>
      <w:tabs>
        <w:tab w:val="right" w:leader="dot" w:pos="9360"/>
      </w:tabs>
      <w:ind w:left="1152"/>
    </w:pPr>
    <w:rPr>
      <w:szCs w:val="26"/>
    </w:rPr>
  </w:style>
  <w:style w:type="paragraph" w:customStyle="1" w:styleId="BlockIndent">
    <w:name w:val="Block Indent"/>
    <w:basedOn w:val="Normal"/>
    <w:next w:val="FERCparanumber"/>
    <w:rsid w:val="00897887"/>
    <w:pPr>
      <w:spacing w:after="240"/>
      <w:ind w:left="1440" w:right="1440"/>
    </w:pPr>
  </w:style>
  <w:style w:type="paragraph" w:customStyle="1" w:styleId="myTOC6">
    <w:name w:val="myTOC 6"/>
    <w:basedOn w:val="Normal"/>
    <w:next w:val="Normal"/>
    <w:rsid w:val="00662EE8"/>
    <w:pPr>
      <w:widowControl/>
      <w:tabs>
        <w:tab w:val="right" w:leader="dot" w:pos="9360"/>
      </w:tabs>
      <w:autoSpaceDE/>
      <w:autoSpaceDN/>
      <w:adjustRightInd/>
      <w:ind w:left="1440"/>
    </w:pPr>
    <w:rPr>
      <w:szCs w:val="26"/>
    </w:rPr>
  </w:style>
  <w:style w:type="paragraph" w:customStyle="1" w:styleId="myTOC7">
    <w:name w:val="myTOC 7"/>
    <w:basedOn w:val="Normal"/>
    <w:next w:val="Normal"/>
    <w:rsid w:val="00662EE8"/>
    <w:pPr>
      <w:widowControl/>
      <w:tabs>
        <w:tab w:val="right" w:leader="dot" w:pos="9360"/>
      </w:tabs>
      <w:autoSpaceDE/>
      <w:autoSpaceDN/>
      <w:adjustRightInd/>
      <w:ind w:left="1728"/>
    </w:pPr>
    <w:rPr>
      <w:szCs w:val="26"/>
    </w:rPr>
  </w:style>
  <w:style w:type="paragraph" w:customStyle="1" w:styleId="myTOC8">
    <w:name w:val="myTOC 8"/>
    <w:basedOn w:val="Normal"/>
    <w:next w:val="Normal"/>
    <w:rsid w:val="00662EE8"/>
    <w:pPr>
      <w:widowControl/>
      <w:tabs>
        <w:tab w:val="right" w:leader="dot" w:pos="9360"/>
      </w:tabs>
      <w:autoSpaceDE/>
      <w:autoSpaceDN/>
      <w:adjustRightInd/>
      <w:ind w:left="2016"/>
    </w:pPr>
    <w:rPr>
      <w:szCs w:val="26"/>
    </w:rPr>
  </w:style>
  <w:style w:type="paragraph" w:customStyle="1" w:styleId="myTOC9">
    <w:name w:val="myTOC 9"/>
    <w:basedOn w:val="Normal"/>
    <w:next w:val="Normal"/>
    <w:rsid w:val="00662EE8"/>
    <w:pPr>
      <w:widowControl/>
      <w:tabs>
        <w:tab w:val="right" w:leader="dot" w:pos="9360"/>
      </w:tabs>
      <w:autoSpaceDE/>
      <w:autoSpaceDN/>
      <w:adjustRightInd/>
      <w:ind w:left="2304"/>
    </w:pPr>
    <w:rPr>
      <w:szCs w:val="26"/>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rsid w:val="00A37968"/>
    <w:rPr>
      <w:sz w:val="26"/>
      <w:lang w:val="en-US" w:eastAsia="en-US" w:bidi="ar-SA"/>
    </w:rPr>
  </w:style>
  <w:style w:type="character" w:customStyle="1" w:styleId="FERCparanumberChar1">
    <w:name w:val="FERC paranumber Char1"/>
    <w:link w:val="FERCparanumber"/>
    <w:rsid w:val="003E743B"/>
    <w:rPr>
      <w:sz w:val="26"/>
      <w:szCs w:val="24"/>
    </w:rPr>
  </w:style>
  <w:style w:type="paragraph" w:customStyle="1" w:styleId="LegalFormat">
    <w:name w:val="Legal Format"/>
    <w:basedOn w:val="ListContinue"/>
    <w:rsid w:val="00B5613A"/>
    <w:pPr>
      <w:tabs>
        <w:tab w:val="num" w:pos="360"/>
      </w:tabs>
      <w:spacing w:after="240"/>
      <w:ind w:hanging="360"/>
    </w:pPr>
    <w:rPr>
      <w:szCs w:val="26"/>
    </w:rPr>
  </w:style>
  <w:style w:type="character" w:styleId="FollowedHyperlink">
    <w:name w:val="FollowedHyperlink"/>
    <w:rsid w:val="002A7959"/>
    <w:rPr>
      <w:color w:val="800080"/>
      <w:u w:val="single"/>
    </w:rPr>
  </w:style>
  <w:style w:type="character" w:customStyle="1" w:styleId="FERCparanumberChar">
    <w:name w:val="FERC paranumber Char"/>
    <w:rsid w:val="00BD43CD"/>
    <w:rPr>
      <w:sz w:val="26"/>
      <w:szCs w:val="24"/>
      <w:lang w:val="en-US" w:eastAsia="en-US" w:bidi="ar-SA"/>
    </w:rPr>
  </w:style>
  <w:style w:type="character" w:styleId="CommentReference">
    <w:name w:val="annotation reference"/>
    <w:semiHidden/>
    <w:rsid w:val="00CE097B"/>
    <w:rPr>
      <w:sz w:val="16"/>
      <w:szCs w:val="16"/>
    </w:rPr>
  </w:style>
  <w:style w:type="paragraph" w:customStyle="1" w:styleId="Default">
    <w:name w:val="Default"/>
    <w:rsid w:val="00CD4B0A"/>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rsid w:val="00076640"/>
  </w:style>
  <w:style w:type="paragraph" w:styleId="Bibliography">
    <w:name w:val="Bibliography"/>
    <w:basedOn w:val="Normal"/>
    <w:next w:val="Normal"/>
    <w:uiPriority w:val="37"/>
    <w:semiHidden/>
    <w:unhideWhenUsed/>
    <w:rsid w:val="00AB1335"/>
  </w:style>
  <w:style w:type="paragraph" w:styleId="IntenseQuote">
    <w:name w:val="Intense Quote"/>
    <w:basedOn w:val="Normal"/>
    <w:next w:val="Normal"/>
    <w:link w:val="IntenseQuoteChar"/>
    <w:uiPriority w:val="30"/>
    <w:qFormat/>
    <w:rsid w:val="00AB133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B1335"/>
    <w:rPr>
      <w:b/>
      <w:bCs/>
      <w:i/>
      <w:iCs/>
      <w:color w:val="4F81BD"/>
      <w:sz w:val="26"/>
      <w:szCs w:val="24"/>
    </w:rPr>
  </w:style>
  <w:style w:type="paragraph" w:styleId="ListParagraph">
    <w:name w:val="List Paragraph"/>
    <w:basedOn w:val="Normal"/>
    <w:uiPriority w:val="34"/>
    <w:qFormat/>
    <w:rsid w:val="00AB1335"/>
    <w:pPr>
      <w:ind w:left="720"/>
    </w:pPr>
  </w:style>
  <w:style w:type="paragraph" w:styleId="NoSpacing">
    <w:name w:val="No Spacing"/>
    <w:uiPriority w:val="1"/>
    <w:qFormat/>
    <w:rsid w:val="00AB1335"/>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AB1335"/>
    <w:rPr>
      <w:i/>
      <w:iCs/>
      <w:color w:val="000000"/>
    </w:rPr>
  </w:style>
  <w:style w:type="character" w:customStyle="1" w:styleId="QuoteChar">
    <w:name w:val="Quote Char"/>
    <w:link w:val="Quote"/>
    <w:uiPriority w:val="29"/>
    <w:rsid w:val="00AB1335"/>
    <w:rPr>
      <w:i/>
      <w:iCs/>
      <w:color w:val="000000"/>
      <w:sz w:val="26"/>
      <w:szCs w:val="24"/>
    </w:rPr>
  </w:style>
  <w:style w:type="paragraph" w:styleId="TOCHeading">
    <w:name w:val="TOC Heading"/>
    <w:basedOn w:val="Heading1"/>
    <w:next w:val="Normal"/>
    <w:uiPriority w:val="39"/>
    <w:semiHidden/>
    <w:unhideWhenUsed/>
    <w:qFormat/>
    <w:rsid w:val="00AB1335"/>
    <w:pPr>
      <w:keepLines w:val="0"/>
      <w:widowControl w:val="0"/>
      <w:numPr>
        <w:numId w:val="0"/>
      </w:numPr>
      <w:spacing w:before="240" w:after="60"/>
      <w:outlineLvl w:val="9"/>
    </w:pPr>
    <w:rPr>
      <w:rFonts w:ascii="Cambria" w:hAnsi="Cambria"/>
      <w:sz w:val="32"/>
      <w:u w:val="none"/>
    </w:rPr>
  </w:style>
  <w:style w:type="character" w:customStyle="1" w:styleId="BalloonTextChar">
    <w:name w:val="Balloon Text Char"/>
    <w:link w:val="BalloonText"/>
    <w:semiHidden/>
    <w:locked/>
    <w:rsid w:val="009863F2"/>
    <w:rPr>
      <w:rFonts w:ascii="Tahoma" w:hAnsi="Tahoma" w:cs="Tahoma"/>
      <w:sz w:val="16"/>
      <w:szCs w:val="16"/>
    </w:rPr>
  </w:style>
  <w:style w:type="character" w:customStyle="1" w:styleId="HeaderChar">
    <w:name w:val="Header Char"/>
    <w:link w:val="Header"/>
    <w:uiPriority w:val="99"/>
    <w:rsid w:val="00CF27AC"/>
    <w:rPr>
      <w:sz w:val="26"/>
      <w:szCs w:val="24"/>
    </w:rPr>
  </w:style>
  <w:style w:type="paragraph" w:styleId="Revision">
    <w:name w:val="Revision"/>
    <w:hidden/>
    <w:uiPriority w:val="99"/>
    <w:semiHidden/>
    <w:rsid w:val="00347795"/>
    <w:rPr>
      <w:sz w:val="26"/>
      <w:szCs w:val="24"/>
    </w:rPr>
  </w:style>
  <w:style w:type="character" w:customStyle="1" w:styleId="Heading4Char">
    <w:name w:val="Heading 4 Char"/>
    <w:basedOn w:val="DefaultParagraphFont"/>
    <w:link w:val="Heading4"/>
    <w:rsid w:val="00C413AC"/>
    <w:rPr>
      <w:b/>
      <w:bCs/>
      <w:kern w:val="32"/>
      <w:sz w:val="26"/>
      <w:szCs w:val="28"/>
      <w:u w:val="single"/>
    </w:rPr>
  </w:style>
  <w:style w:type="character" w:customStyle="1" w:styleId="Heading3Char">
    <w:name w:val="Heading 3 Char"/>
    <w:basedOn w:val="DefaultParagraphFont"/>
    <w:link w:val="Heading3"/>
    <w:rsid w:val="00A97CF3"/>
    <w:rPr>
      <w:b/>
      <w:bCs/>
      <w:kern w:val="32"/>
      <w:sz w:val="26"/>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625"/>
    <w:pPr>
      <w:widowControl w:val="0"/>
      <w:autoSpaceDE w:val="0"/>
      <w:autoSpaceDN w:val="0"/>
      <w:adjustRightInd w:val="0"/>
    </w:pPr>
    <w:rPr>
      <w:sz w:val="26"/>
      <w:szCs w:val="24"/>
    </w:rPr>
  </w:style>
  <w:style w:type="paragraph" w:styleId="Heading1">
    <w:name w:val="heading 1"/>
    <w:basedOn w:val="Normal"/>
    <w:next w:val="FERCparanumber"/>
    <w:qFormat/>
    <w:rsid w:val="00C67E0B"/>
    <w:pPr>
      <w:keepNext/>
      <w:keepLines/>
      <w:widowControl/>
      <w:numPr>
        <w:numId w:val="11"/>
      </w:numPr>
      <w:spacing w:after="260"/>
      <w:outlineLvl w:val="0"/>
    </w:pPr>
    <w:rPr>
      <w:b/>
      <w:bCs/>
      <w:kern w:val="32"/>
      <w:szCs w:val="32"/>
      <w:u w:val="single"/>
    </w:rPr>
  </w:style>
  <w:style w:type="paragraph" w:styleId="Heading2">
    <w:name w:val="heading 2"/>
    <w:basedOn w:val="Normal"/>
    <w:next w:val="FERCparanumber"/>
    <w:qFormat/>
    <w:rsid w:val="00C67E0B"/>
    <w:pPr>
      <w:keepNext/>
      <w:keepLines/>
      <w:widowControl/>
      <w:numPr>
        <w:ilvl w:val="1"/>
        <w:numId w:val="11"/>
      </w:numPr>
      <w:spacing w:after="260"/>
      <w:outlineLvl w:val="1"/>
    </w:pPr>
    <w:rPr>
      <w:b/>
      <w:bCs/>
      <w:iCs/>
      <w:kern w:val="32"/>
      <w:szCs w:val="28"/>
      <w:u w:val="single"/>
    </w:rPr>
  </w:style>
  <w:style w:type="paragraph" w:styleId="Heading3">
    <w:name w:val="heading 3"/>
    <w:basedOn w:val="Normal"/>
    <w:next w:val="FERCparanumber"/>
    <w:link w:val="Heading3Char"/>
    <w:qFormat/>
    <w:rsid w:val="00C67E0B"/>
    <w:pPr>
      <w:keepNext/>
      <w:keepLines/>
      <w:widowControl/>
      <w:numPr>
        <w:ilvl w:val="2"/>
        <w:numId w:val="11"/>
      </w:numPr>
      <w:spacing w:after="260"/>
      <w:outlineLvl w:val="2"/>
    </w:pPr>
    <w:rPr>
      <w:b/>
      <w:bCs/>
      <w:kern w:val="32"/>
      <w:szCs w:val="26"/>
      <w:u w:val="single"/>
    </w:rPr>
  </w:style>
  <w:style w:type="paragraph" w:styleId="Heading4">
    <w:name w:val="heading 4"/>
    <w:basedOn w:val="Normal"/>
    <w:next w:val="FERCparanumber"/>
    <w:link w:val="Heading4Char"/>
    <w:qFormat/>
    <w:rsid w:val="00C67E0B"/>
    <w:pPr>
      <w:keepNext/>
      <w:keepLines/>
      <w:widowControl/>
      <w:numPr>
        <w:ilvl w:val="3"/>
        <w:numId w:val="11"/>
      </w:numPr>
      <w:spacing w:after="260"/>
      <w:outlineLvl w:val="3"/>
    </w:pPr>
    <w:rPr>
      <w:b/>
      <w:bCs/>
      <w:kern w:val="32"/>
      <w:szCs w:val="28"/>
      <w:u w:val="single"/>
    </w:rPr>
  </w:style>
  <w:style w:type="paragraph" w:styleId="Heading5">
    <w:name w:val="heading 5"/>
    <w:basedOn w:val="Normal"/>
    <w:next w:val="FERCparanumber"/>
    <w:qFormat/>
    <w:rsid w:val="00C67E0B"/>
    <w:pPr>
      <w:keepNext/>
      <w:keepLines/>
      <w:widowControl/>
      <w:numPr>
        <w:ilvl w:val="4"/>
        <w:numId w:val="11"/>
      </w:numPr>
      <w:spacing w:after="260"/>
      <w:outlineLvl w:val="4"/>
    </w:pPr>
    <w:rPr>
      <w:b/>
      <w:bCs/>
      <w:iCs/>
      <w:kern w:val="32"/>
      <w:szCs w:val="26"/>
      <w:u w:val="single"/>
    </w:rPr>
  </w:style>
  <w:style w:type="paragraph" w:styleId="Heading6">
    <w:name w:val="heading 6"/>
    <w:basedOn w:val="Normal"/>
    <w:next w:val="FERCparanumber"/>
    <w:qFormat/>
    <w:rsid w:val="00C67E0B"/>
    <w:pPr>
      <w:keepNext/>
      <w:keepLines/>
      <w:widowControl/>
      <w:numPr>
        <w:ilvl w:val="5"/>
        <w:numId w:val="11"/>
      </w:numPr>
      <w:spacing w:after="260"/>
      <w:outlineLvl w:val="5"/>
    </w:pPr>
    <w:rPr>
      <w:b/>
      <w:bCs/>
      <w:kern w:val="32"/>
      <w:szCs w:val="22"/>
      <w:u w:val="single"/>
    </w:rPr>
  </w:style>
  <w:style w:type="paragraph" w:styleId="Heading7">
    <w:name w:val="heading 7"/>
    <w:basedOn w:val="Normal"/>
    <w:next w:val="FERCparanumber"/>
    <w:qFormat/>
    <w:rsid w:val="00C67E0B"/>
    <w:pPr>
      <w:keepNext/>
      <w:keepLines/>
      <w:widowControl/>
      <w:numPr>
        <w:ilvl w:val="6"/>
        <w:numId w:val="11"/>
      </w:numPr>
      <w:spacing w:after="260"/>
      <w:outlineLvl w:val="6"/>
    </w:pPr>
    <w:rPr>
      <w:b/>
      <w:kern w:val="32"/>
      <w:u w:val="single"/>
    </w:rPr>
  </w:style>
  <w:style w:type="paragraph" w:styleId="Heading8">
    <w:name w:val="heading 8"/>
    <w:basedOn w:val="Normal"/>
    <w:next w:val="FERCparanumber"/>
    <w:qFormat/>
    <w:rsid w:val="00C67E0B"/>
    <w:pPr>
      <w:keepNext/>
      <w:keepLines/>
      <w:widowControl/>
      <w:numPr>
        <w:ilvl w:val="7"/>
        <w:numId w:val="11"/>
      </w:numPr>
      <w:spacing w:after="260"/>
      <w:outlineLvl w:val="7"/>
    </w:pPr>
    <w:rPr>
      <w:b/>
      <w:iCs/>
      <w:kern w:val="32"/>
      <w:u w:val="single"/>
    </w:rPr>
  </w:style>
  <w:style w:type="paragraph" w:styleId="Heading9">
    <w:name w:val="heading 9"/>
    <w:basedOn w:val="Normal"/>
    <w:next w:val="FERCparanumber"/>
    <w:qFormat/>
    <w:rsid w:val="00C67E0B"/>
    <w:pPr>
      <w:keepNext/>
      <w:keepLines/>
      <w:widowControl/>
      <w:numPr>
        <w:ilvl w:val="8"/>
        <w:numId w:val="11"/>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sid w:val="00404625"/>
    <w:rPr>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4634F7"/>
    <w:pPr>
      <w:spacing w:after="240"/>
      <w:ind w:firstLine="720"/>
    </w:pPr>
    <w:rPr>
      <w:szCs w:val="20"/>
    </w:rPr>
  </w:style>
  <w:style w:type="paragraph" w:styleId="BalloonText">
    <w:name w:val="Balloon Text"/>
    <w:basedOn w:val="Normal"/>
    <w:link w:val="BalloonTextChar"/>
    <w:semiHidden/>
    <w:rsid w:val="009071D9"/>
    <w:rPr>
      <w:rFonts w:ascii="Tahoma" w:hAnsi="Tahoma" w:cs="Tahoma"/>
      <w:sz w:val="16"/>
      <w:szCs w:val="16"/>
    </w:rPr>
  </w:style>
  <w:style w:type="character" w:styleId="FootnoteReference">
    <w:name w:val="footnote reference"/>
    <w:aliases w:val="o,fr,o1,fr1,o2,fr2,o3,fr3,Style 13,Style 12,Style 15,Style 17,Style 9,Style 18,(NECG) Footnote Reference,Style 20,Style 7,Styl,Style 8,Style 19,Style 28,Style 11,Style 16"/>
    <w:rsid w:val="004634F7"/>
    <w:rPr>
      <w:rFonts w:ascii="Times New Roman" w:hAnsi="Times New Roman"/>
      <w:b/>
      <w:dstrike w:val="0"/>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character" w:styleId="Hyperlink">
    <w:name w:val="Hyperlink"/>
    <w:rsid w:val="00E566AE"/>
    <w:rPr>
      <w:color w:val="0000FF"/>
      <w:u w:val="single"/>
    </w:rPr>
  </w:style>
  <w:style w:type="paragraph" w:styleId="Footer">
    <w:name w:val="footer"/>
    <w:basedOn w:val="Normal"/>
    <w:rsid w:val="00404625"/>
    <w:pPr>
      <w:tabs>
        <w:tab w:val="center" w:pos="4320"/>
        <w:tab w:val="right" w:pos="8640"/>
      </w:tabs>
    </w:pPr>
  </w:style>
  <w:style w:type="paragraph" w:styleId="Header">
    <w:name w:val="header"/>
    <w:basedOn w:val="Normal"/>
    <w:link w:val="HeaderChar"/>
    <w:uiPriority w:val="99"/>
    <w:rsid w:val="00C404DA"/>
    <w:pPr>
      <w:tabs>
        <w:tab w:val="right" w:pos="8640"/>
      </w:tabs>
      <w:spacing w:after="120"/>
    </w:pPr>
  </w:style>
  <w:style w:type="character" w:styleId="PageNumber">
    <w:name w:val="page number"/>
    <w:basedOn w:val="DefaultParagraphFont"/>
    <w:rsid w:val="00404625"/>
  </w:style>
  <w:style w:type="paragraph" w:customStyle="1" w:styleId="FERCparanumber">
    <w:name w:val="FERC paranumber"/>
    <w:basedOn w:val="Normal"/>
    <w:link w:val="FERCparanumberChar1"/>
    <w:qFormat/>
    <w:rsid w:val="002B54D7"/>
    <w:pPr>
      <w:widowControl/>
      <w:numPr>
        <w:numId w:val="14"/>
      </w:numPr>
      <w:spacing w:line="480" w:lineRule="auto"/>
    </w:pPr>
  </w:style>
  <w:style w:type="paragraph" w:styleId="BlockText">
    <w:name w:val="Block Text"/>
    <w:basedOn w:val="Normal"/>
    <w:rsid w:val="009071D9"/>
    <w:pPr>
      <w:spacing w:after="120"/>
      <w:ind w:left="1440" w:right="1440"/>
    </w:pPr>
  </w:style>
  <w:style w:type="paragraph" w:styleId="BodyText">
    <w:name w:val="Body Text"/>
    <w:basedOn w:val="Normal"/>
    <w:rsid w:val="009071D9"/>
    <w:pPr>
      <w:spacing w:after="120"/>
    </w:pPr>
  </w:style>
  <w:style w:type="paragraph" w:styleId="BodyText2">
    <w:name w:val="Body Text 2"/>
    <w:basedOn w:val="Normal"/>
    <w:rsid w:val="009071D9"/>
    <w:pPr>
      <w:spacing w:after="120" w:line="480" w:lineRule="auto"/>
    </w:pPr>
  </w:style>
  <w:style w:type="paragraph" w:styleId="BodyText3">
    <w:name w:val="Body Text 3"/>
    <w:basedOn w:val="Normal"/>
    <w:rsid w:val="009071D9"/>
    <w:pPr>
      <w:spacing w:after="120"/>
    </w:pPr>
    <w:rPr>
      <w:sz w:val="16"/>
      <w:szCs w:val="16"/>
    </w:rPr>
  </w:style>
  <w:style w:type="paragraph" w:styleId="BodyTextFirstIndent">
    <w:name w:val="Body Text First Indent"/>
    <w:basedOn w:val="BodyText"/>
    <w:rsid w:val="009071D9"/>
    <w:pPr>
      <w:ind w:firstLine="210"/>
    </w:pPr>
  </w:style>
  <w:style w:type="paragraph" w:styleId="BodyTextIndent">
    <w:name w:val="Body Text Indent"/>
    <w:basedOn w:val="Normal"/>
    <w:rsid w:val="009071D9"/>
    <w:pPr>
      <w:spacing w:after="120"/>
      <w:ind w:left="360"/>
    </w:pPr>
  </w:style>
  <w:style w:type="paragraph" w:styleId="BodyTextFirstIndent2">
    <w:name w:val="Body Text First Indent 2"/>
    <w:basedOn w:val="BodyTextIndent"/>
    <w:rsid w:val="009071D9"/>
    <w:pPr>
      <w:ind w:firstLine="210"/>
    </w:pPr>
  </w:style>
  <w:style w:type="paragraph" w:styleId="BodyTextIndent2">
    <w:name w:val="Body Text Indent 2"/>
    <w:basedOn w:val="Normal"/>
    <w:rsid w:val="009071D9"/>
    <w:pPr>
      <w:spacing w:after="120" w:line="480" w:lineRule="auto"/>
      <w:ind w:left="360"/>
    </w:pPr>
  </w:style>
  <w:style w:type="paragraph" w:styleId="BodyTextIndent3">
    <w:name w:val="Body Text Indent 3"/>
    <w:basedOn w:val="Normal"/>
    <w:rsid w:val="009071D9"/>
    <w:pPr>
      <w:spacing w:after="120"/>
      <w:ind w:left="360"/>
    </w:pPr>
    <w:rPr>
      <w:sz w:val="16"/>
      <w:szCs w:val="16"/>
    </w:rPr>
  </w:style>
  <w:style w:type="paragraph" w:styleId="Caption">
    <w:name w:val="caption"/>
    <w:basedOn w:val="Normal"/>
    <w:next w:val="Normal"/>
    <w:qFormat/>
    <w:rsid w:val="009071D9"/>
    <w:pPr>
      <w:spacing w:before="120" w:after="120"/>
    </w:pPr>
    <w:rPr>
      <w:b/>
      <w:bCs/>
      <w:sz w:val="20"/>
      <w:szCs w:val="20"/>
    </w:rPr>
  </w:style>
  <w:style w:type="paragraph" w:styleId="Closing">
    <w:name w:val="Closing"/>
    <w:basedOn w:val="Normal"/>
    <w:rsid w:val="009071D9"/>
    <w:pPr>
      <w:ind w:left="4320"/>
    </w:pPr>
  </w:style>
  <w:style w:type="paragraph" w:styleId="CommentText">
    <w:name w:val="annotation text"/>
    <w:basedOn w:val="Normal"/>
    <w:semiHidden/>
    <w:rsid w:val="009071D9"/>
    <w:rPr>
      <w:sz w:val="20"/>
      <w:szCs w:val="20"/>
    </w:rPr>
  </w:style>
  <w:style w:type="paragraph" w:styleId="CommentSubject">
    <w:name w:val="annotation subject"/>
    <w:basedOn w:val="CommentText"/>
    <w:next w:val="CommentText"/>
    <w:semiHidden/>
    <w:rsid w:val="009071D9"/>
    <w:rPr>
      <w:b/>
      <w:bCs/>
    </w:rPr>
  </w:style>
  <w:style w:type="paragraph" w:styleId="Date">
    <w:name w:val="Date"/>
    <w:basedOn w:val="Normal"/>
    <w:next w:val="Normal"/>
    <w:rsid w:val="009071D9"/>
  </w:style>
  <w:style w:type="paragraph" w:styleId="DocumentMap">
    <w:name w:val="Document Map"/>
    <w:basedOn w:val="Normal"/>
    <w:semiHidden/>
    <w:rsid w:val="009071D9"/>
    <w:pPr>
      <w:shd w:val="clear" w:color="auto" w:fill="000080"/>
    </w:pPr>
    <w:rPr>
      <w:rFonts w:ascii="Tahoma" w:hAnsi="Tahoma" w:cs="Tahoma"/>
    </w:rPr>
  </w:style>
  <w:style w:type="paragraph" w:styleId="E-mailSignature">
    <w:name w:val="E-mail Signature"/>
    <w:basedOn w:val="Normal"/>
    <w:rsid w:val="009071D9"/>
  </w:style>
  <w:style w:type="paragraph" w:styleId="EndnoteText">
    <w:name w:val="endnote text"/>
    <w:basedOn w:val="Normal"/>
    <w:semiHidden/>
    <w:rsid w:val="009071D9"/>
    <w:rPr>
      <w:sz w:val="20"/>
      <w:szCs w:val="20"/>
    </w:rPr>
  </w:style>
  <w:style w:type="paragraph" w:styleId="EnvelopeAddress">
    <w:name w:val="envelope address"/>
    <w:basedOn w:val="Normal"/>
    <w:rsid w:val="009071D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071D9"/>
    <w:rPr>
      <w:rFonts w:ascii="Arial" w:hAnsi="Arial" w:cs="Arial"/>
      <w:sz w:val="20"/>
      <w:szCs w:val="20"/>
    </w:rPr>
  </w:style>
  <w:style w:type="paragraph" w:styleId="HTMLAddress">
    <w:name w:val="HTML Address"/>
    <w:basedOn w:val="Normal"/>
    <w:rsid w:val="009071D9"/>
    <w:rPr>
      <w:i/>
      <w:iCs/>
    </w:rPr>
  </w:style>
  <w:style w:type="paragraph" w:styleId="HTMLPreformatted">
    <w:name w:val="HTML Preformatted"/>
    <w:basedOn w:val="Normal"/>
    <w:rsid w:val="009071D9"/>
    <w:rPr>
      <w:rFonts w:ascii="Courier New" w:hAnsi="Courier New" w:cs="Courier New"/>
      <w:sz w:val="20"/>
      <w:szCs w:val="20"/>
    </w:rPr>
  </w:style>
  <w:style w:type="paragraph" w:styleId="Index1">
    <w:name w:val="index 1"/>
    <w:basedOn w:val="Normal"/>
    <w:next w:val="Normal"/>
    <w:semiHidden/>
    <w:rsid w:val="009071D9"/>
    <w:pPr>
      <w:ind w:left="260" w:hanging="260"/>
    </w:pPr>
  </w:style>
  <w:style w:type="paragraph" w:styleId="Index2">
    <w:name w:val="index 2"/>
    <w:basedOn w:val="Normal"/>
    <w:next w:val="Normal"/>
    <w:semiHidden/>
    <w:rsid w:val="009071D9"/>
    <w:pPr>
      <w:ind w:left="520" w:hanging="260"/>
    </w:pPr>
  </w:style>
  <w:style w:type="paragraph" w:styleId="Index3">
    <w:name w:val="index 3"/>
    <w:basedOn w:val="Normal"/>
    <w:next w:val="Normal"/>
    <w:semiHidden/>
    <w:rsid w:val="009071D9"/>
    <w:pPr>
      <w:ind w:left="780" w:hanging="260"/>
    </w:pPr>
  </w:style>
  <w:style w:type="paragraph" w:styleId="Index4">
    <w:name w:val="index 4"/>
    <w:basedOn w:val="Normal"/>
    <w:next w:val="Normal"/>
    <w:semiHidden/>
    <w:rsid w:val="009071D9"/>
    <w:pPr>
      <w:ind w:left="1040" w:hanging="260"/>
    </w:pPr>
  </w:style>
  <w:style w:type="paragraph" w:styleId="Index5">
    <w:name w:val="index 5"/>
    <w:basedOn w:val="Normal"/>
    <w:next w:val="Normal"/>
    <w:semiHidden/>
    <w:rsid w:val="009071D9"/>
    <w:pPr>
      <w:ind w:left="1300" w:hanging="260"/>
    </w:pPr>
  </w:style>
  <w:style w:type="paragraph" w:styleId="Index6">
    <w:name w:val="index 6"/>
    <w:basedOn w:val="Normal"/>
    <w:next w:val="Normal"/>
    <w:semiHidden/>
    <w:rsid w:val="009071D9"/>
    <w:pPr>
      <w:ind w:left="1560" w:hanging="260"/>
    </w:pPr>
  </w:style>
  <w:style w:type="paragraph" w:styleId="Index7">
    <w:name w:val="index 7"/>
    <w:basedOn w:val="Normal"/>
    <w:next w:val="Normal"/>
    <w:semiHidden/>
    <w:rsid w:val="009071D9"/>
    <w:pPr>
      <w:ind w:left="1820" w:hanging="260"/>
    </w:pPr>
  </w:style>
  <w:style w:type="paragraph" w:styleId="Index8">
    <w:name w:val="index 8"/>
    <w:basedOn w:val="Normal"/>
    <w:next w:val="Normal"/>
    <w:semiHidden/>
    <w:rsid w:val="009071D9"/>
    <w:pPr>
      <w:ind w:left="2080" w:hanging="260"/>
    </w:pPr>
  </w:style>
  <w:style w:type="paragraph" w:styleId="Index9">
    <w:name w:val="index 9"/>
    <w:basedOn w:val="Normal"/>
    <w:next w:val="Normal"/>
    <w:semiHidden/>
    <w:rsid w:val="009071D9"/>
    <w:pPr>
      <w:ind w:left="2340" w:hanging="260"/>
    </w:pPr>
  </w:style>
  <w:style w:type="paragraph" w:styleId="IndexHeading">
    <w:name w:val="index heading"/>
    <w:basedOn w:val="Normal"/>
    <w:next w:val="Index1"/>
    <w:semiHidden/>
    <w:rsid w:val="009071D9"/>
    <w:rPr>
      <w:rFonts w:ascii="Arial" w:hAnsi="Arial" w:cs="Arial"/>
      <w:b/>
      <w:bCs/>
    </w:rPr>
  </w:style>
  <w:style w:type="paragraph" w:styleId="List">
    <w:name w:val="List"/>
    <w:basedOn w:val="Normal"/>
    <w:rsid w:val="009071D9"/>
    <w:pPr>
      <w:ind w:left="360" w:hanging="360"/>
    </w:pPr>
  </w:style>
  <w:style w:type="paragraph" w:styleId="List2">
    <w:name w:val="List 2"/>
    <w:basedOn w:val="Normal"/>
    <w:rsid w:val="009071D9"/>
    <w:pPr>
      <w:ind w:left="720" w:hanging="360"/>
    </w:pPr>
  </w:style>
  <w:style w:type="paragraph" w:styleId="List3">
    <w:name w:val="List 3"/>
    <w:basedOn w:val="Normal"/>
    <w:rsid w:val="009071D9"/>
    <w:pPr>
      <w:ind w:left="1080" w:hanging="360"/>
    </w:pPr>
  </w:style>
  <w:style w:type="paragraph" w:styleId="List4">
    <w:name w:val="List 4"/>
    <w:basedOn w:val="Normal"/>
    <w:rsid w:val="009071D9"/>
    <w:pPr>
      <w:ind w:left="1440" w:hanging="360"/>
    </w:pPr>
  </w:style>
  <w:style w:type="paragraph" w:styleId="List5">
    <w:name w:val="List 5"/>
    <w:basedOn w:val="Normal"/>
    <w:rsid w:val="009071D9"/>
    <w:pPr>
      <w:ind w:left="1800" w:hanging="360"/>
    </w:pPr>
  </w:style>
  <w:style w:type="paragraph" w:styleId="ListBullet">
    <w:name w:val="List Bullet"/>
    <w:basedOn w:val="Normal"/>
    <w:rsid w:val="009071D9"/>
    <w:pPr>
      <w:numPr>
        <w:numId w:val="1"/>
      </w:numPr>
    </w:pPr>
  </w:style>
  <w:style w:type="paragraph" w:styleId="ListBullet2">
    <w:name w:val="List Bullet 2"/>
    <w:basedOn w:val="Normal"/>
    <w:rsid w:val="009071D9"/>
    <w:pPr>
      <w:numPr>
        <w:numId w:val="2"/>
      </w:numPr>
    </w:pPr>
  </w:style>
  <w:style w:type="paragraph" w:styleId="ListBullet3">
    <w:name w:val="List Bullet 3"/>
    <w:basedOn w:val="Normal"/>
    <w:rsid w:val="009071D9"/>
    <w:pPr>
      <w:numPr>
        <w:numId w:val="3"/>
      </w:numPr>
    </w:pPr>
  </w:style>
  <w:style w:type="paragraph" w:styleId="ListBullet4">
    <w:name w:val="List Bullet 4"/>
    <w:basedOn w:val="Normal"/>
    <w:rsid w:val="009071D9"/>
    <w:pPr>
      <w:numPr>
        <w:numId w:val="4"/>
      </w:numPr>
    </w:pPr>
  </w:style>
  <w:style w:type="paragraph" w:styleId="ListBullet5">
    <w:name w:val="List Bullet 5"/>
    <w:basedOn w:val="Normal"/>
    <w:rsid w:val="009071D9"/>
    <w:pPr>
      <w:numPr>
        <w:numId w:val="5"/>
      </w:numPr>
    </w:pPr>
  </w:style>
  <w:style w:type="paragraph" w:styleId="ListContinue2">
    <w:name w:val="List Continue 2"/>
    <w:basedOn w:val="Normal"/>
    <w:rsid w:val="009071D9"/>
    <w:pPr>
      <w:spacing w:after="120"/>
      <w:ind w:left="720"/>
    </w:pPr>
  </w:style>
  <w:style w:type="paragraph" w:styleId="ListContinue3">
    <w:name w:val="List Continue 3"/>
    <w:basedOn w:val="Normal"/>
    <w:rsid w:val="009071D9"/>
    <w:pPr>
      <w:spacing w:after="120"/>
      <w:ind w:left="1080"/>
    </w:pPr>
  </w:style>
  <w:style w:type="paragraph" w:styleId="ListContinue4">
    <w:name w:val="List Continue 4"/>
    <w:basedOn w:val="Normal"/>
    <w:rsid w:val="009071D9"/>
    <w:pPr>
      <w:spacing w:after="120"/>
      <w:ind w:left="1440"/>
    </w:pPr>
  </w:style>
  <w:style w:type="paragraph" w:styleId="ListContinue5">
    <w:name w:val="List Continue 5"/>
    <w:basedOn w:val="Normal"/>
    <w:rsid w:val="009071D9"/>
    <w:pPr>
      <w:spacing w:after="120"/>
      <w:ind w:left="1800"/>
    </w:pPr>
  </w:style>
  <w:style w:type="paragraph" w:styleId="ListNumber">
    <w:name w:val="List Number"/>
    <w:basedOn w:val="Normal"/>
    <w:rsid w:val="009071D9"/>
    <w:pPr>
      <w:numPr>
        <w:numId w:val="6"/>
      </w:numPr>
    </w:pPr>
  </w:style>
  <w:style w:type="paragraph" w:styleId="ListNumber2">
    <w:name w:val="List Number 2"/>
    <w:basedOn w:val="Normal"/>
    <w:rsid w:val="009071D9"/>
    <w:pPr>
      <w:numPr>
        <w:numId w:val="7"/>
      </w:numPr>
    </w:pPr>
  </w:style>
  <w:style w:type="paragraph" w:styleId="ListNumber3">
    <w:name w:val="List Number 3"/>
    <w:basedOn w:val="Normal"/>
    <w:rsid w:val="009071D9"/>
    <w:pPr>
      <w:numPr>
        <w:numId w:val="8"/>
      </w:numPr>
    </w:pPr>
  </w:style>
  <w:style w:type="paragraph" w:styleId="ListNumber4">
    <w:name w:val="List Number 4"/>
    <w:basedOn w:val="Normal"/>
    <w:rsid w:val="009071D9"/>
    <w:pPr>
      <w:numPr>
        <w:numId w:val="9"/>
      </w:numPr>
    </w:pPr>
  </w:style>
  <w:style w:type="paragraph" w:styleId="ListNumber5">
    <w:name w:val="List Number 5"/>
    <w:basedOn w:val="Normal"/>
    <w:rsid w:val="009071D9"/>
    <w:pPr>
      <w:numPr>
        <w:numId w:val="10"/>
      </w:numPr>
    </w:pPr>
  </w:style>
  <w:style w:type="paragraph" w:styleId="MacroText">
    <w:name w:val="macro"/>
    <w:semiHidden/>
    <w:rsid w:val="009071D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9071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071D9"/>
    <w:rPr>
      <w:sz w:val="24"/>
    </w:rPr>
  </w:style>
  <w:style w:type="paragraph" w:styleId="NormalIndent">
    <w:name w:val="Normal Indent"/>
    <w:basedOn w:val="Normal"/>
    <w:rsid w:val="009071D9"/>
    <w:pPr>
      <w:ind w:left="720"/>
    </w:pPr>
  </w:style>
  <w:style w:type="paragraph" w:styleId="NoteHeading">
    <w:name w:val="Note Heading"/>
    <w:basedOn w:val="Normal"/>
    <w:next w:val="Normal"/>
    <w:rsid w:val="009071D9"/>
  </w:style>
  <w:style w:type="paragraph" w:styleId="PlainText">
    <w:name w:val="Plain Text"/>
    <w:basedOn w:val="Normal"/>
    <w:rsid w:val="009071D9"/>
    <w:rPr>
      <w:rFonts w:ascii="Courier New" w:hAnsi="Courier New" w:cs="Courier New"/>
      <w:sz w:val="20"/>
      <w:szCs w:val="20"/>
    </w:rPr>
  </w:style>
  <w:style w:type="paragraph" w:styleId="Salutation">
    <w:name w:val="Salutation"/>
    <w:basedOn w:val="Normal"/>
    <w:next w:val="Normal"/>
    <w:rsid w:val="009071D9"/>
  </w:style>
  <w:style w:type="paragraph" w:styleId="Signature">
    <w:name w:val="Signature"/>
    <w:basedOn w:val="Normal"/>
    <w:rsid w:val="009071D9"/>
    <w:pPr>
      <w:ind w:left="4320"/>
    </w:pPr>
  </w:style>
  <w:style w:type="paragraph" w:styleId="Subtitle">
    <w:name w:val="Subtitle"/>
    <w:basedOn w:val="Normal"/>
    <w:qFormat/>
    <w:rsid w:val="009071D9"/>
    <w:pPr>
      <w:spacing w:after="60"/>
      <w:jc w:val="center"/>
      <w:outlineLvl w:val="1"/>
    </w:pPr>
    <w:rPr>
      <w:rFonts w:ascii="Arial" w:hAnsi="Arial" w:cs="Arial"/>
      <w:sz w:val="24"/>
    </w:rPr>
  </w:style>
  <w:style w:type="paragraph" w:styleId="TableofAuthorities">
    <w:name w:val="table of authorities"/>
    <w:basedOn w:val="Normal"/>
    <w:next w:val="Normal"/>
    <w:semiHidden/>
    <w:rsid w:val="009071D9"/>
    <w:pPr>
      <w:ind w:left="260" w:hanging="260"/>
    </w:pPr>
  </w:style>
  <w:style w:type="paragraph" w:styleId="TableofFigures">
    <w:name w:val="table of figures"/>
    <w:basedOn w:val="Normal"/>
    <w:next w:val="Normal"/>
    <w:semiHidden/>
    <w:rsid w:val="009071D9"/>
    <w:pPr>
      <w:ind w:left="520" w:hanging="520"/>
    </w:pPr>
  </w:style>
  <w:style w:type="paragraph" w:styleId="Title">
    <w:name w:val="Title"/>
    <w:basedOn w:val="Normal"/>
    <w:qFormat/>
    <w:rsid w:val="009071D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071D9"/>
    <w:pPr>
      <w:spacing w:before="120"/>
    </w:pPr>
    <w:rPr>
      <w:rFonts w:ascii="Arial" w:hAnsi="Arial" w:cs="Arial"/>
      <w:b/>
      <w:bCs/>
      <w:sz w:val="24"/>
    </w:rPr>
  </w:style>
  <w:style w:type="paragraph" w:styleId="TOC1">
    <w:name w:val="toc 1"/>
    <w:basedOn w:val="Normal"/>
    <w:next w:val="Normal"/>
    <w:semiHidden/>
    <w:rsid w:val="009071D9"/>
  </w:style>
  <w:style w:type="paragraph" w:styleId="TOC2">
    <w:name w:val="toc 2"/>
    <w:basedOn w:val="Normal"/>
    <w:next w:val="Normal"/>
    <w:semiHidden/>
    <w:rsid w:val="009071D9"/>
    <w:pPr>
      <w:ind w:left="260"/>
    </w:pPr>
  </w:style>
  <w:style w:type="paragraph" w:styleId="TOC3">
    <w:name w:val="toc 3"/>
    <w:basedOn w:val="Normal"/>
    <w:next w:val="Normal"/>
    <w:semiHidden/>
    <w:rsid w:val="009071D9"/>
    <w:pPr>
      <w:ind w:left="520"/>
    </w:pPr>
  </w:style>
  <w:style w:type="paragraph" w:styleId="TOC4">
    <w:name w:val="toc 4"/>
    <w:basedOn w:val="Normal"/>
    <w:next w:val="Normal"/>
    <w:semiHidden/>
    <w:rsid w:val="009071D9"/>
    <w:pPr>
      <w:ind w:left="780"/>
    </w:pPr>
  </w:style>
  <w:style w:type="paragraph" w:styleId="TOC5">
    <w:name w:val="toc 5"/>
    <w:basedOn w:val="Normal"/>
    <w:next w:val="Normal"/>
    <w:semiHidden/>
    <w:rsid w:val="009071D9"/>
    <w:pPr>
      <w:ind w:left="1040"/>
    </w:pPr>
  </w:style>
  <w:style w:type="paragraph" w:styleId="TOC6">
    <w:name w:val="toc 6"/>
    <w:basedOn w:val="Normal"/>
    <w:next w:val="Normal"/>
    <w:semiHidden/>
    <w:rsid w:val="009071D9"/>
    <w:pPr>
      <w:ind w:left="1300"/>
    </w:pPr>
  </w:style>
  <w:style w:type="paragraph" w:styleId="TOC7">
    <w:name w:val="toc 7"/>
    <w:basedOn w:val="Normal"/>
    <w:next w:val="Normal"/>
    <w:semiHidden/>
    <w:rsid w:val="009071D9"/>
    <w:pPr>
      <w:ind w:left="1560"/>
    </w:pPr>
  </w:style>
  <w:style w:type="paragraph" w:styleId="TOC8">
    <w:name w:val="toc 8"/>
    <w:basedOn w:val="Normal"/>
    <w:next w:val="Normal"/>
    <w:semiHidden/>
    <w:rsid w:val="009071D9"/>
    <w:pPr>
      <w:ind w:left="1820"/>
    </w:pPr>
  </w:style>
  <w:style w:type="paragraph" w:styleId="TOC9">
    <w:name w:val="toc 9"/>
    <w:basedOn w:val="Normal"/>
    <w:next w:val="Normal"/>
    <w:semiHidden/>
    <w:rsid w:val="009071D9"/>
    <w:pPr>
      <w:ind w:left="2080"/>
    </w:pPr>
  </w:style>
  <w:style w:type="table" w:styleId="TableGrid">
    <w:name w:val="Table Grid"/>
    <w:basedOn w:val="TableNormal"/>
    <w:rsid w:val="00273AA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TOCStyle">
    <w:name w:val="Non-TOC Style"/>
    <w:basedOn w:val="Normal"/>
    <w:next w:val="FERCparanumber"/>
    <w:rsid w:val="00825F8F"/>
    <w:pPr>
      <w:spacing w:after="240"/>
      <w:ind w:left="1440"/>
    </w:pPr>
    <w:rPr>
      <w:b/>
      <w:szCs w:val="26"/>
      <w:u w:val="single"/>
    </w:rPr>
  </w:style>
  <w:style w:type="paragraph" w:customStyle="1" w:styleId="myTOC1">
    <w:name w:val="myTOC 1"/>
    <w:basedOn w:val="Normal"/>
    <w:next w:val="Normal"/>
    <w:rsid w:val="00F90F3E"/>
    <w:pPr>
      <w:tabs>
        <w:tab w:val="right" w:leader="dot" w:pos="9360"/>
      </w:tabs>
      <w:spacing w:before="120"/>
    </w:pPr>
    <w:rPr>
      <w:szCs w:val="26"/>
    </w:rPr>
  </w:style>
  <w:style w:type="paragraph" w:customStyle="1" w:styleId="myTOC2">
    <w:name w:val="myTOC 2"/>
    <w:basedOn w:val="Normal"/>
    <w:next w:val="Normal"/>
    <w:rsid w:val="00F90F3E"/>
    <w:pPr>
      <w:tabs>
        <w:tab w:val="right" w:leader="dot" w:pos="9360"/>
      </w:tabs>
      <w:ind w:left="288"/>
    </w:pPr>
    <w:rPr>
      <w:szCs w:val="26"/>
    </w:rPr>
  </w:style>
  <w:style w:type="paragraph" w:customStyle="1" w:styleId="myTOC3">
    <w:name w:val="myTOC 3"/>
    <w:basedOn w:val="Normal"/>
    <w:next w:val="Normal"/>
    <w:rsid w:val="00F90F3E"/>
    <w:pPr>
      <w:tabs>
        <w:tab w:val="right" w:leader="dot" w:pos="9360"/>
      </w:tabs>
      <w:ind w:left="576"/>
    </w:pPr>
    <w:rPr>
      <w:szCs w:val="26"/>
    </w:rPr>
  </w:style>
  <w:style w:type="paragraph" w:customStyle="1" w:styleId="myTOC4">
    <w:name w:val="myTOC 4"/>
    <w:basedOn w:val="Normal"/>
    <w:next w:val="Normal"/>
    <w:rsid w:val="00F90F3E"/>
    <w:pPr>
      <w:tabs>
        <w:tab w:val="right" w:leader="dot" w:pos="9360"/>
      </w:tabs>
      <w:ind w:left="864"/>
    </w:pPr>
    <w:rPr>
      <w:szCs w:val="26"/>
    </w:rPr>
  </w:style>
  <w:style w:type="paragraph" w:customStyle="1" w:styleId="myTOC5">
    <w:name w:val="myTOC 5"/>
    <w:basedOn w:val="Normal"/>
    <w:next w:val="Normal"/>
    <w:rsid w:val="00F90F3E"/>
    <w:pPr>
      <w:tabs>
        <w:tab w:val="right" w:leader="dot" w:pos="9360"/>
      </w:tabs>
      <w:ind w:left="1152"/>
    </w:pPr>
    <w:rPr>
      <w:szCs w:val="26"/>
    </w:rPr>
  </w:style>
  <w:style w:type="paragraph" w:customStyle="1" w:styleId="BlockIndent">
    <w:name w:val="Block Indent"/>
    <w:basedOn w:val="Normal"/>
    <w:next w:val="FERCparanumber"/>
    <w:rsid w:val="00897887"/>
    <w:pPr>
      <w:spacing w:after="240"/>
      <w:ind w:left="1440" w:right="1440"/>
    </w:pPr>
  </w:style>
  <w:style w:type="paragraph" w:customStyle="1" w:styleId="myTOC6">
    <w:name w:val="myTOC 6"/>
    <w:basedOn w:val="Normal"/>
    <w:next w:val="Normal"/>
    <w:rsid w:val="00662EE8"/>
    <w:pPr>
      <w:widowControl/>
      <w:tabs>
        <w:tab w:val="right" w:leader="dot" w:pos="9360"/>
      </w:tabs>
      <w:autoSpaceDE/>
      <w:autoSpaceDN/>
      <w:adjustRightInd/>
      <w:ind w:left="1440"/>
    </w:pPr>
    <w:rPr>
      <w:szCs w:val="26"/>
    </w:rPr>
  </w:style>
  <w:style w:type="paragraph" w:customStyle="1" w:styleId="myTOC7">
    <w:name w:val="myTOC 7"/>
    <w:basedOn w:val="Normal"/>
    <w:next w:val="Normal"/>
    <w:rsid w:val="00662EE8"/>
    <w:pPr>
      <w:widowControl/>
      <w:tabs>
        <w:tab w:val="right" w:leader="dot" w:pos="9360"/>
      </w:tabs>
      <w:autoSpaceDE/>
      <w:autoSpaceDN/>
      <w:adjustRightInd/>
      <w:ind w:left="1728"/>
    </w:pPr>
    <w:rPr>
      <w:szCs w:val="26"/>
    </w:rPr>
  </w:style>
  <w:style w:type="paragraph" w:customStyle="1" w:styleId="myTOC8">
    <w:name w:val="myTOC 8"/>
    <w:basedOn w:val="Normal"/>
    <w:next w:val="Normal"/>
    <w:rsid w:val="00662EE8"/>
    <w:pPr>
      <w:widowControl/>
      <w:tabs>
        <w:tab w:val="right" w:leader="dot" w:pos="9360"/>
      </w:tabs>
      <w:autoSpaceDE/>
      <w:autoSpaceDN/>
      <w:adjustRightInd/>
      <w:ind w:left="2016"/>
    </w:pPr>
    <w:rPr>
      <w:szCs w:val="26"/>
    </w:rPr>
  </w:style>
  <w:style w:type="paragraph" w:customStyle="1" w:styleId="myTOC9">
    <w:name w:val="myTOC 9"/>
    <w:basedOn w:val="Normal"/>
    <w:next w:val="Normal"/>
    <w:rsid w:val="00662EE8"/>
    <w:pPr>
      <w:widowControl/>
      <w:tabs>
        <w:tab w:val="right" w:leader="dot" w:pos="9360"/>
      </w:tabs>
      <w:autoSpaceDE/>
      <w:autoSpaceDN/>
      <w:adjustRightInd/>
      <w:ind w:left="2304"/>
    </w:pPr>
    <w:rPr>
      <w:szCs w:val="26"/>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rsid w:val="00A37968"/>
    <w:rPr>
      <w:sz w:val="26"/>
      <w:lang w:val="en-US" w:eastAsia="en-US" w:bidi="ar-SA"/>
    </w:rPr>
  </w:style>
  <w:style w:type="character" w:customStyle="1" w:styleId="FERCparanumberChar1">
    <w:name w:val="FERC paranumber Char1"/>
    <w:link w:val="FERCparanumber"/>
    <w:rsid w:val="003E743B"/>
    <w:rPr>
      <w:sz w:val="26"/>
      <w:szCs w:val="24"/>
    </w:rPr>
  </w:style>
  <w:style w:type="paragraph" w:customStyle="1" w:styleId="LegalFormat">
    <w:name w:val="Legal Format"/>
    <w:basedOn w:val="ListContinue"/>
    <w:rsid w:val="00B5613A"/>
    <w:pPr>
      <w:tabs>
        <w:tab w:val="num" w:pos="360"/>
      </w:tabs>
      <w:spacing w:after="240"/>
      <w:ind w:hanging="360"/>
    </w:pPr>
    <w:rPr>
      <w:szCs w:val="26"/>
    </w:rPr>
  </w:style>
  <w:style w:type="character" w:styleId="FollowedHyperlink">
    <w:name w:val="FollowedHyperlink"/>
    <w:rsid w:val="002A7959"/>
    <w:rPr>
      <w:color w:val="800080"/>
      <w:u w:val="single"/>
    </w:rPr>
  </w:style>
  <w:style w:type="character" w:customStyle="1" w:styleId="FERCparanumberChar">
    <w:name w:val="FERC paranumber Char"/>
    <w:rsid w:val="00BD43CD"/>
    <w:rPr>
      <w:sz w:val="26"/>
      <w:szCs w:val="24"/>
      <w:lang w:val="en-US" w:eastAsia="en-US" w:bidi="ar-SA"/>
    </w:rPr>
  </w:style>
  <w:style w:type="character" w:styleId="CommentReference">
    <w:name w:val="annotation reference"/>
    <w:semiHidden/>
    <w:rsid w:val="00CE097B"/>
    <w:rPr>
      <w:sz w:val="16"/>
      <w:szCs w:val="16"/>
    </w:rPr>
  </w:style>
  <w:style w:type="paragraph" w:customStyle="1" w:styleId="Default">
    <w:name w:val="Default"/>
    <w:rsid w:val="00CD4B0A"/>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rsid w:val="00076640"/>
  </w:style>
  <w:style w:type="paragraph" w:styleId="Bibliography">
    <w:name w:val="Bibliography"/>
    <w:basedOn w:val="Normal"/>
    <w:next w:val="Normal"/>
    <w:uiPriority w:val="37"/>
    <w:semiHidden/>
    <w:unhideWhenUsed/>
    <w:rsid w:val="00AB1335"/>
  </w:style>
  <w:style w:type="paragraph" w:styleId="IntenseQuote">
    <w:name w:val="Intense Quote"/>
    <w:basedOn w:val="Normal"/>
    <w:next w:val="Normal"/>
    <w:link w:val="IntenseQuoteChar"/>
    <w:uiPriority w:val="30"/>
    <w:qFormat/>
    <w:rsid w:val="00AB133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B1335"/>
    <w:rPr>
      <w:b/>
      <w:bCs/>
      <w:i/>
      <w:iCs/>
      <w:color w:val="4F81BD"/>
      <w:sz w:val="26"/>
      <w:szCs w:val="24"/>
    </w:rPr>
  </w:style>
  <w:style w:type="paragraph" w:styleId="ListParagraph">
    <w:name w:val="List Paragraph"/>
    <w:basedOn w:val="Normal"/>
    <w:uiPriority w:val="34"/>
    <w:qFormat/>
    <w:rsid w:val="00AB1335"/>
    <w:pPr>
      <w:ind w:left="720"/>
    </w:pPr>
  </w:style>
  <w:style w:type="paragraph" w:styleId="NoSpacing">
    <w:name w:val="No Spacing"/>
    <w:uiPriority w:val="1"/>
    <w:qFormat/>
    <w:rsid w:val="00AB1335"/>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AB1335"/>
    <w:rPr>
      <w:i/>
      <w:iCs/>
      <w:color w:val="000000"/>
    </w:rPr>
  </w:style>
  <w:style w:type="character" w:customStyle="1" w:styleId="QuoteChar">
    <w:name w:val="Quote Char"/>
    <w:link w:val="Quote"/>
    <w:uiPriority w:val="29"/>
    <w:rsid w:val="00AB1335"/>
    <w:rPr>
      <w:i/>
      <w:iCs/>
      <w:color w:val="000000"/>
      <w:sz w:val="26"/>
      <w:szCs w:val="24"/>
    </w:rPr>
  </w:style>
  <w:style w:type="paragraph" w:styleId="TOCHeading">
    <w:name w:val="TOC Heading"/>
    <w:basedOn w:val="Heading1"/>
    <w:next w:val="Normal"/>
    <w:uiPriority w:val="39"/>
    <w:semiHidden/>
    <w:unhideWhenUsed/>
    <w:qFormat/>
    <w:rsid w:val="00AB1335"/>
    <w:pPr>
      <w:keepLines w:val="0"/>
      <w:widowControl w:val="0"/>
      <w:numPr>
        <w:numId w:val="0"/>
      </w:numPr>
      <w:spacing w:before="240" w:after="60"/>
      <w:outlineLvl w:val="9"/>
    </w:pPr>
    <w:rPr>
      <w:rFonts w:ascii="Cambria" w:hAnsi="Cambria"/>
      <w:sz w:val="32"/>
      <w:u w:val="none"/>
    </w:rPr>
  </w:style>
  <w:style w:type="character" w:customStyle="1" w:styleId="BalloonTextChar">
    <w:name w:val="Balloon Text Char"/>
    <w:link w:val="BalloonText"/>
    <w:semiHidden/>
    <w:locked/>
    <w:rsid w:val="009863F2"/>
    <w:rPr>
      <w:rFonts w:ascii="Tahoma" w:hAnsi="Tahoma" w:cs="Tahoma"/>
      <w:sz w:val="16"/>
      <w:szCs w:val="16"/>
    </w:rPr>
  </w:style>
  <w:style w:type="character" w:customStyle="1" w:styleId="HeaderChar">
    <w:name w:val="Header Char"/>
    <w:link w:val="Header"/>
    <w:uiPriority w:val="99"/>
    <w:rsid w:val="00CF27AC"/>
    <w:rPr>
      <w:sz w:val="26"/>
      <w:szCs w:val="24"/>
    </w:rPr>
  </w:style>
  <w:style w:type="paragraph" w:styleId="Revision">
    <w:name w:val="Revision"/>
    <w:hidden/>
    <w:uiPriority w:val="99"/>
    <w:semiHidden/>
    <w:rsid w:val="00347795"/>
    <w:rPr>
      <w:sz w:val="26"/>
      <w:szCs w:val="24"/>
    </w:rPr>
  </w:style>
  <w:style w:type="character" w:customStyle="1" w:styleId="Heading4Char">
    <w:name w:val="Heading 4 Char"/>
    <w:basedOn w:val="DefaultParagraphFont"/>
    <w:link w:val="Heading4"/>
    <w:rsid w:val="00C413AC"/>
    <w:rPr>
      <w:b/>
      <w:bCs/>
      <w:kern w:val="32"/>
      <w:sz w:val="26"/>
      <w:szCs w:val="28"/>
      <w:u w:val="single"/>
    </w:rPr>
  </w:style>
  <w:style w:type="character" w:customStyle="1" w:styleId="Heading3Char">
    <w:name w:val="Heading 3 Char"/>
    <w:basedOn w:val="DefaultParagraphFont"/>
    <w:link w:val="Heading3"/>
    <w:rsid w:val="00A97CF3"/>
    <w:rPr>
      <w:b/>
      <w:bCs/>
      <w:kern w:val="32"/>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4178">
      <w:bodyDiv w:val="1"/>
      <w:marLeft w:val="0"/>
      <w:marRight w:val="0"/>
      <w:marTop w:val="0"/>
      <w:marBottom w:val="0"/>
      <w:divBdr>
        <w:top w:val="none" w:sz="0" w:space="0" w:color="auto"/>
        <w:left w:val="none" w:sz="0" w:space="0" w:color="auto"/>
        <w:bottom w:val="none" w:sz="0" w:space="0" w:color="auto"/>
        <w:right w:val="none" w:sz="0" w:space="0" w:color="auto"/>
      </w:divBdr>
    </w:div>
    <w:div w:id="210306596">
      <w:bodyDiv w:val="1"/>
      <w:marLeft w:val="0"/>
      <w:marRight w:val="0"/>
      <w:marTop w:val="0"/>
      <w:marBottom w:val="0"/>
      <w:divBdr>
        <w:top w:val="none" w:sz="0" w:space="0" w:color="auto"/>
        <w:left w:val="none" w:sz="0" w:space="0" w:color="auto"/>
        <w:bottom w:val="none" w:sz="0" w:space="0" w:color="auto"/>
        <w:right w:val="none" w:sz="0" w:space="0" w:color="auto"/>
      </w:divBdr>
    </w:div>
    <w:div w:id="356345505">
      <w:bodyDiv w:val="1"/>
      <w:marLeft w:val="0"/>
      <w:marRight w:val="0"/>
      <w:marTop w:val="0"/>
      <w:marBottom w:val="0"/>
      <w:divBdr>
        <w:top w:val="none" w:sz="0" w:space="0" w:color="auto"/>
        <w:left w:val="none" w:sz="0" w:space="0" w:color="auto"/>
        <w:bottom w:val="none" w:sz="0" w:space="0" w:color="auto"/>
        <w:right w:val="none" w:sz="0" w:space="0" w:color="auto"/>
      </w:divBdr>
    </w:div>
    <w:div w:id="434903215">
      <w:bodyDiv w:val="1"/>
      <w:marLeft w:val="0"/>
      <w:marRight w:val="0"/>
      <w:marTop w:val="0"/>
      <w:marBottom w:val="0"/>
      <w:divBdr>
        <w:top w:val="none" w:sz="0" w:space="0" w:color="auto"/>
        <w:left w:val="none" w:sz="0" w:space="0" w:color="auto"/>
        <w:bottom w:val="none" w:sz="0" w:space="0" w:color="auto"/>
        <w:right w:val="none" w:sz="0" w:space="0" w:color="auto"/>
      </w:divBdr>
    </w:div>
    <w:div w:id="459736395">
      <w:bodyDiv w:val="1"/>
      <w:marLeft w:val="0"/>
      <w:marRight w:val="0"/>
      <w:marTop w:val="0"/>
      <w:marBottom w:val="0"/>
      <w:divBdr>
        <w:top w:val="none" w:sz="0" w:space="0" w:color="auto"/>
        <w:left w:val="none" w:sz="0" w:space="0" w:color="auto"/>
        <w:bottom w:val="none" w:sz="0" w:space="0" w:color="auto"/>
        <w:right w:val="none" w:sz="0" w:space="0" w:color="auto"/>
      </w:divBdr>
    </w:div>
    <w:div w:id="726879689">
      <w:bodyDiv w:val="1"/>
      <w:marLeft w:val="0"/>
      <w:marRight w:val="0"/>
      <w:marTop w:val="0"/>
      <w:marBottom w:val="0"/>
      <w:divBdr>
        <w:top w:val="none" w:sz="0" w:space="0" w:color="auto"/>
        <w:left w:val="none" w:sz="0" w:space="0" w:color="auto"/>
        <w:bottom w:val="none" w:sz="0" w:space="0" w:color="auto"/>
        <w:right w:val="none" w:sz="0" w:space="0" w:color="auto"/>
      </w:divBdr>
    </w:div>
    <w:div w:id="825629533">
      <w:bodyDiv w:val="1"/>
      <w:marLeft w:val="0"/>
      <w:marRight w:val="0"/>
      <w:marTop w:val="0"/>
      <w:marBottom w:val="0"/>
      <w:divBdr>
        <w:top w:val="none" w:sz="0" w:space="0" w:color="auto"/>
        <w:left w:val="none" w:sz="0" w:space="0" w:color="auto"/>
        <w:bottom w:val="none" w:sz="0" w:space="0" w:color="auto"/>
        <w:right w:val="none" w:sz="0" w:space="0" w:color="auto"/>
      </w:divBdr>
    </w:div>
    <w:div w:id="868028553">
      <w:bodyDiv w:val="1"/>
      <w:marLeft w:val="0"/>
      <w:marRight w:val="0"/>
      <w:marTop w:val="0"/>
      <w:marBottom w:val="0"/>
      <w:divBdr>
        <w:top w:val="none" w:sz="0" w:space="0" w:color="auto"/>
        <w:left w:val="none" w:sz="0" w:space="0" w:color="auto"/>
        <w:bottom w:val="none" w:sz="0" w:space="0" w:color="auto"/>
        <w:right w:val="none" w:sz="0" w:space="0" w:color="auto"/>
      </w:divBdr>
    </w:div>
    <w:div w:id="1115060684">
      <w:bodyDiv w:val="1"/>
      <w:marLeft w:val="0"/>
      <w:marRight w:val="0"/>
      <w:marTop w:val="0"/>
      <w:marBottom w:val="0"/>
      <w:divBdr>
        <w:top w:val="none" w:sz="0" w:space="0" w:color="auto"/>
        <w:left w:val="none" w:sz="0" w:space="0" w:color="auto"/>
        <w:bottom w:val="none" w:sz="0" w:space="0" w:color="auto"/>
        <w:right w:val="none" w:sz="0" w:space="0" w:color="auto"/>
      </w:divBdr>
    </w:div>
    <w:div w:id="1150757109">
      <w:bodyDiv w:val="1"/>
      <w:marLeft w:val="0"/>
      <w:marRight w:val="0"/>
      <w:marTop w:val="0"/>
      <w:marBottom w:val="0"/>
      <w:divBdr>
        <w:top w:val="none" w:sz="0" w:space="0" w:color="auto"/>
        <w:left w:val="none" w:sz="0" w:space="0" w:color="auto"/>
        <w:bottom w:val="none" w:sz="0" w:space="0" w:color="auto"/>
        <w:right w:val="none" w:sz="0" w:space="0" w:color="auto"/>
      </w:divBdr>
    </w:div>
    <w:div w:id="1169979334">
      <w:bodyDiv w:val="1"/>
      <w:marLeft w:val="0"/>
      <w:marRight w:val="0"/>
      <w:marTop w:val="0"/>
      <w:marBottom w:val="0"/>
      <w:divBdr>
        <w:top w:val="none" w:sz="0" w:space="0" w:color="auto"/>
        <w:left w:val="none" w:sz="0" w:space="0" w:color="auto"/>
        <w:bottom w:val="none" w:sz="0" w:space="0" w:color="auto"/>
        <w:right w:val="none" w:sz="0" w:space="0" w:color="auto"/>
      </w:divBdr>
    </w:div>
    <w:div w:id="1188954138">
      <w:bodyDiv w:val="1"/>
      <w:marLeft w:val="0"/>
      <w:marRight w:val="0"/>
      <w:marTop w:val="0"/>
      <w:marBottom w:val="0"/>
      <w:divBdr>
        <w:top w:val="none" w:sz="0" w:space="0" w:color="auto"/>
        <w:left w:val="none" w:sz="0" w:space="0" w:color="auto"/>
        <w:bottom w:val="none" w:sz="0" w:space="0" w:color="auto"/>
        <w:right w:val="none" w:sz="0" w:space="0" w:color="auto"/>
      </w:divBdr>
    </w:div>
    <w:div w:id="11894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hyperlink" Target="mailto:public.referenceroom@ferc.gov"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ferconlinesupport@ferc.gov"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3D94614-7D91-4419-AFFE-86F8FFF8777F}"/>
</file>

<file path=customXml/itemProps2.xml><?xml version="1.0" encoding="utf-8"?>
<ds:datastoreItem xmlns:ds="http://schemas.openxmlformats.org/officeDocument/2006/customXml" ds:itemID="{078D1E73-7CCD-472D-87B0-3E30035450AC}"/>
</file>

<file path=customXml/itemProps3.xml><?xml version="1.0" encoding="utf-8"?>
<ds:datastoreItem xmlns:ds="http://schemas.openxmlformats.org/officeDocument/2006/customXml" ds:itemID="{FF329169-F14D-42ED-A130-7EEED2482A64}"/>
</file>

<file path=customXml/itemProps4.xml><?xml version="1.0" encoding="utf-8"?>
<ds:datastoreItem xmlns:ds="http://schemas.openxmlformats.org/officeDocument/2006/customXml" ds:itemID="{83DEB919-19B3-4BBC-9CB2-5981CAB62E10}"/>
</file>

<file path=customXml/itemProps5.xml><?xml version="1.0" encoding="utf-8"?>
<ds:datastoreItem xmlns:ds="http://schemas.openxmlformats.org/officeDocument/2006/customXml" ds:itemID="{4C83D7B8-F791-49BB-BAC5-57A1EDE0C1EC}"/>
</file>

<file path=customXml/itemProps6.xml><?xml version="1.0" encoding="utf-8"?>
<ds:datastoreItem xmlns:ds="http://schemas.openxmlformats.org/officeDocument/2006/customXml" ds:itemID="{D5E27A8B-C2C2-4B66-9E9E-B06A0BE08A64}"/>
</file>

<file path=docProps/app.xml><?xml version="1.0" encoding="utf-8"?>
<ap:Properties xmlns:vt="http://schemas.openxmlformats.org/officeDocument/2006/docPropsVTypes" xmlns:ap="http://schemas.openxmlformats.org/officeDocument/2006/extended-properties">
  <ap:Template>Normal</ap:Template>
  <ap:TotalTime>176</ap:TotalTime>
  <ap:Pages>77</ap:Pages>
  <ap:Words>14405</ap:Words>
  <ap:Characters>83500</ap:Characters>
  <ap:Application>Microsoft Office Word</ap:Application>
  <ap:DocSecurity>0</ap:DocSecurity>
  <ap:Lines>695</ap:Lines>
  <ap:Paragraphs>195</ap:Paragraphs>
  <ap:ScaleCrop>false</ap:ScaleCrop>
  <ap:HeadingPairs>
    <vt:vector baseType="variant" size="2">
      <vt:variant>
        <vt:lpstr>Title</vt:lpstr>
      </vt:variant>
      <vt:variant>
        <vt:i4>1</vt:i4>
      </vt:variant>
    </vt:vector>
  </ap:HeadingPairs>
  <ap:TitlesOfParts>
    <vt:vector baseType="lpstr" size="1">
      <vt:lpstr>RM12-1-000  Transmission Planning Reliability Standards</vt:lpstr>
    </vt:vector>
  </ap:TitlesOfParts>
  <ap:LinksUpToDate>false</ap:LinksUpToDate>
  <ap:CharactersWithSpaces>97710</ap:CharactersWithSpaces>
  <ap:SharedDoc>false</ap:SharedDoc>
  <ap:HLinks>
    <vt:vector baseType="variant" size="18">
      <vt:variant>
        <vt:i4>8060938</vt:i4>
      </vt:variant>
      <vt:variant>
        <vt:i4>6</vt:i4>
      </vt:variant>
      <vt:variant>
        <vt:i4>0</vt:i4>
      </vt:variant>
      <vt:variant>
        <vt:i4>5</vt:i4>
      </vt:variant>
      <vt:variant>
        <vt:lpwstr>mailto:public.referenceroom@ferc.gov</vt:lpwstr>
      </vt:variant>
      <vt:variant>
        <vt:lpwstr/>
      </vt:variant>
      <vt:variant>
        <vt:i4>5636216</vt:i4>
      </vt:variant>
      <vt:variant>
        <vt:i4>3</vt:i4>
      </vt:variant>
      <vt:variant>
        <vt:i4>0</vt:i4>
      </vt:variant>
      <vt:variant>
        <vt:i4>5</vt:i4>
      </vt:variant>
      <vt:variant>
        <vt:lpwstr>mailto:ferconlinesupport@ferc.gov</vt:lpwstr>
      </vt:variant>
      <vt:variant>
        <vt:lpwstr/>
      </vt:variant>
      <vt:variant>
        <vt:i4>5308487</vt:i4>
      </vt:variant>
      <vt:variant>
        <vt:i4>0</vt:i4>
      </vt:variant>
      <vt:variant>
        <vt:i4>0</vt:i4>
      </vt:variant>
      <vt:variant>
        <vt:i4>5</vt:i4>
      </vt:variant>
      <vt:variant>
        <vt:lpwstr>http://www.ferc.gov/</vt:lpwstr>
      </vt:variant>
      <vt:variant>
        <vt:lpwstr/>
      </vt:variant>
    </vt:vector>
  </ap:HLinks>
  <ap:HyperlinksChanged>false</ap:HyperlinksChanged>
  <ap:AppVersion>14.0000</ap:AppVersion>
  <ap:Manager/>
  <ap:Company/>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2013-10-17T16:36:00.0000000Z</lastPrinted>
  <dcterms:created xsi:type="dcterms:W3CDTF">2013-10-17T13:30:00.0000000Z</dcterms:created>
  <dcterms:modified xsi:type="dcterms:W3CDTF">2013-10-17T16:39:00.0000000Z</dcterms:modified>
  <category/>
  <contentStatus/>
  <dc:description/>
  <dc:identifier/>
  <keywords/>
  <dc:subject/>
  <version/>
</coreProperties>
</file>

<file path=docProps/custom.xml><?xml version="1.0" encoding="utf-8"?>
<op:Properties xmlns:vt="http://schemas.openxmlformats.org/officeDocument/2006/docPropsVTypes" xmlns:op="http://schemas.openxmlformats.org/officeDocument/2006/custom-properties"/>
</file>