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B69" w:rsidRDefault="002E5B69">
      <w:bookmarkStart w:id="0" w:name="_GoBack"/>
      <w:bookmarkEnd w:id="0"/>
    </w:p>
    <w:tbl>
      <w:tblPr>
        <w:tblpPr w:leftFromText="187" w:rightFromText="187" w:vertAnchor="page" w:horzAnchor="margin" w:tblpXSpec="center" w:tblpY="1429"/>
        <w:tblOverlap w:val="never"/>
        <w:tblW w:w="0" w:type="auto"/>
        <w:jc w:val="center"/>
        <w:tblLayout w:type="fixed"/>
        <w:tblCellMar>
          <w:left w:w="115" w:type="dxa"/>
          <w:right w:w="115" w:type="dxa"/>
        </w:tblCellMar>
        <w:tblLook w:val="04A0" w:firstRow="1" w:lastRow="0" w:firstColumn="1" w:lastColumn="0" w:noHBand="0" w:noVBand="1"/>
      </w:tblPr>
      <w:tblGrid>
        <w:gridCol w:w="3618"/>
        <w:gridCol w:w="4057"/>
      </w:tblGrid>
      <w:tr w:rsidR="002E5B69" w:rsidRPr="001D0AD5" w:rsidTr="00E57636">
        <w:trPr>
          <w:jc w:val="center"/>
        </w:trPr>
        <w:tc>
          <w:tcPr>
            <w:tcW w:w="3618" w:type="dxa"/>
          </w:tcPr>
          <w:p w:rsidR="002E5B69" w:rsidRDefault="002E5B69" w:rsidP="002E5B69">
            <w:pPr>
              <w:spacing w:line="240" w:lineRule="exact"/>
              <w:ind w:firstLine="0"/>
              <w:jc w:val="left"/>
              <w:rPr>
                <w:rFonts w:ascii="Lucida Sans" w:hAnsi="Lucida Sans"/>
                <w:sz w:val="17"/>
                <w:szCs w:val="16"/>
              </w:rPr>
            </w:pPr>
          </w:p>
          <w:p w:rsidR="002E5B69" w:rsidRDefault="002E5B69" w:rsidP="002E5B69">
            <w:pPr>
              <w:spacing w:line="240" w:lineRule="exact"/>
              <w:ind w:firstLine="0"/>
              <w:jc w:val="left"/>
              <w:rPr>
                <w:rFonts w:ascii="Lucida Sans" w:hAnsi="Lucida Sans"/>
                <w:sz w:val="17"/>
                <w:szCs w:val="16"/>
              </w:rPr>
            </w:pPr>
          </w:p>
          <w:p w:rsidR="002E5B69" w:rsidRDefault="002E5B69" w:rsidP="002E5B69">
            <w:pPr>
              <w:spacing w:line="240" w:lineRule="exact"/>
              <w:ind w:firstLine="0"/>
              <w:jc w:val="left"/>
              <w:rPr>
                <w:rFonts w:ascii="Lucida Sans" w:hAnsi="Lucida Sans"/>
                <w:sz w:val="17"/>
                <w:szCs w:val="16"/>
              </w:rPr>
            </w:pPr>
          </w:p>
          <w:p w:rsidR="002E5B69" w:rsidRDefault="002E5B69" w:rsidP="002E5B69">
            <w:pPr>
              <w:spacing w:line="240" w:lineRule="exact"/>
              <w:ind w:firstLine="0"/>
              <w:jc w:val="left"/>
              <w:rPr>
                <w:rFonts w:ascii="Lucida Sans" w:hAnsi="Lucida Sans"/>
                <w:sz w:val="17"/>
                <w:szCs w:val="16"/>
              </w:rPr>
            </w:pPr>
          </w:p>
          <w:p w:rsidR="002E5B69" w:rsidRDefault="002E5B69" w:rsidP="002E5B69">
            <w:pPr>
              <w:spacing w:line="240" w:lineRule="exact"/>
              <w:ind w:firstLine="0"/>
              <w:jc w:val="left"/>
              <w:rPr>
                <w:rFonts w:ascii="Lucida Sans" w:hAnsi="Lucida Sans"/>
                <w:sz w:val="17"/>
                <w:szCs w:val="16"/>
              </w:rPr>
            </w:pPr>
          </w:p>
          <w:p w:rsidR="002E5B69" w:rsidRPr="001D0AD5" w:rsidRDefault="002E5B69" w:rsidP="002E5B69">
            <w:pPr>
              <w:spacing w:line="240" w:lineRule="exact"/>
              <w:ind w:firstLine="0"/>
              <w:jc w:val="left"/>
              <w:rPr>
                <w:rFonts w:ascii="Lucida Sans" w:hAnsi="Lucida Sans"/>
                <w:sz w:val="17"/>
                <w:szCs w:val="16"/>
              </w:rPr>
            </w:pPr>
          </w:p>
        </w:tc>
        <w:tc>
          <w:tcPr>
            <w:tcW w:w="4057" w:type="dxa"/>
          </w:tcPr>
          <w:p w:rsidR="002E5B69" w:rsidRPr="001D0AD5" w:rsidRDefault="002E5B69" w:rsidP="002E5B69">
            <w:pPr>
              <w:spacing w:line="312" w:lineRule="auto"/>
              <w:ind w:left="58" w:firstLine="0"/>
              <w:jc w:val="left"/>
              <w:rPr>
                <w:rFonts w:ascii="Lucida Sans" w:hAnsi="Lucida Sans"/>
                <w:b/>
                <w:sz w:val="22"/>
                <w:szCs w:val="22"/>
              </w:rPr>
            </w:pPr>
          </w:p>
        </w:tc>
      </w:tr>
      <w:tr w:rsidR="00E57636" w:rsidRPr="001D0AD5" w:rsidTr="00E57636">
        <w:trPr>
          <w:jc w:val="center"/>
        </w:trPr>
        <w:tc>
          <w:tcPr>
            <w:tcW w:w="3618" w:type="dxa"/>
          </w:tcPr>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U.S. Department of Health and Human Services</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Administration for Children and Families</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Office of Planning, Research, and Evaluation</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Aerospace 7th Floor West</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901 D Street, SW</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Washington DC 20447</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Project Officers: Nancye Campbell and</w:t>
            </w:r>
          </w:p>
          <w:p w:rsidR="00E57636" w:rsidRPr="001D0AD5" w:rsidRDefault="00E57636" w:rsidP="00E57636">
            <w:pPr>
              <w:spacing w:after="180" w:line="240" w:lineRule="exact"/>
              <w:ind w:left="1368" w:firstLine="0"/>
              <w:jc w:val="left"/>
              <w:rPr>
                <w:rFonts w:ascii="Lucida Sans" w:hAnsi="Lucida Sans"/>
                <w:sz w:val="17"/>
                <w:szCs w:val="16"/>
              </w:rPr>
            </w:pPr>
            <w:r w:rsidRPr="001D0AD5">
              <w:rPr>
                <w:rFonts w:ascii="Lucida Sans" w:hAnsi="Lucida Sans"/>
                <w:sz w:val="17"/>
                <w:szCs w:val="16"/>
              </w:rPr>
              <w:t>Seth Chamberlain</w:t>
            </w:r>
          </w:p>
          <w:p w:rsidR="00E57636" w:rsidRPr="001D0AD5" w:rsidRDefault="00E57636" w:rsidP="002E5B69">
            <w:pPr>
              <w:spacing w:after="180" w:line="240" w:lineRule="exact"/>
              <w:ind w:left="1530" w:firstLine="0"/>
              <w:jc w:val="left"/>
              <w:rPr>
                <w:rFonts w:ascii="Lucida Sans" w:hAnsi="Lucida Sans"/>
                <w:sz w:val="16"/>
                <w:szCs w:val="16"/>
              </w:rPr>
            </w:pPr>
          </w:p>
        </w:tc>
        <w:tc>
          <w:tcPr>
            <w:tcW w:w="4057" w:type="dxa"/>
          </w:tcPr>
          <w:p w:rsidR="00E57636" w:rsidRPr="001D0AD5" w:rsidRDefault="00E57636" w:rsidP="00E57636">
            <w:pPr>
              <w:spacing w:after="144" w:line="312" w:lineRule="auto"/>
              <w:ind w:left="58" w:firstLine="0"/>
              <w:jc w:val="left"/>
              <w:rPr>
                <w:rFonts w:ascii="Lucida Sans" w:hAnsi="Lucida Sans"/>
                <w:b/>
                <w:sz w:val="22"/>
                <w:szCs w:val="22"/>
              </w:rPr>
            </w:pPr>
            <w:r w:rsidRPr="001D0AD5">
              <w:rPr>
                <w:rFonts w:ascii="Lucida Sans" w:hAnsi="Lucida Sans"/>
                <w:b/>
                <w:sz w:val="22"/>
                <w:szCs w:val="22"/>
              </w:rPr>
              <w:t>Parents and Children Together (PACT) Evaluation</w:t>
            </w:r>
            <w:r>
              <w:rPr>
                <w:rFonts w:ascii="Lucida Sans" w:hAnsi="Lucida Sans"/>
                <w:b/>
                <w:sz w:val="22"/>
                <w:szCs w:val="22"/>
              </w:rPr>
              <w:t xml:space="preserve"> (0970-0403)</w:t>
            </w:r>
            <w:r w:rsidRPr="001D0AD5">
              <w:rPr>
                <w:rFonts w:ascii="Lucida Sans" w:hAnsi="Lucida Sans"/>
                <w:b/>
                <w:sz w:val="22"/>
                <w:szCs w:val="22"/>
              </w:rPr>
              <w:t xml:space="preserve">: </w:t>
            </w:r>
          </w:p>
          <w:p w:rsidR="004B3637" w:rsidRDefault="004B3637" w:rsidP="004B3637">
            <w:pPr>
              <w:spacing w:after="144" w:line="312" w:lineRule="auto"/>
              <w:ind w:left="58" w:firstLine="0"/>
              <w:jc w:val="left"/>
              <w:rPr>
                <w:rFonts w:ascii="Lucida Sans" w:hAnsi="Lucida Sans"/>
                <w:b/>
                <w:sz w:val="22"/>
                <w:szCs w:val="22"/>
              </w:rPr>
            </w:pPr>
            <w:r w:rsidRPr="001D0AD5">
              <w:rPr>
                <w:rFonts w:ascii="Lucida Sans" w:hAnsi="Lucida Sans"/>
                <w:b/>
                <w:sz w:val="22"/>
                <w:szCs w:val="22"/>
              </w:rPr>
              <w:t xml:space="preserve">OMB Supporting Statement for the </w:t>
            </w:r>
            <w:r>
              <w:rPr>
                <w:rFonts w:ascii="Lucida Sans" w:hAnsi="Lucida Sans"/>
                <w:b/>
                <w:sz w:val="22"/>
                <w:szCs w:val="22"/>
              </w:rPr>
              <w:t>Follow-up Surveys</w:t>
            </w:r>
          </w:p>
          <w:p w:rsidR="004B3637" w:rsidRDefault="004B3637" w:rsidP="00E57636">
            <w:pPr>
              <w:spacing w:after="144" w:line="312" w:lineRule="auto"/>
              <w:ind w:left="58" w:firstLine="0"/>
              <w:jc w:val="left"/>
              <w:rPr>
                <w:rFonts w:ascii="Lucida Sans" w:hAnsi="Lucida Sans"/>
                <w:b/>
                <w:sz w:val="22"/>
                <w:szCs w:val="22"/>
              </w:rPr>
            </w:pPr>
          </w:p>
          <w:p w:rsidR="00E57636" w:rsidRPr="001D0AD5" w:rsidRDefault="00E57636" w:rsidP="00E57636">
            <w:pPr>
              <w:spacing w:after="144" w:line="312" w:lineRule="auto"/>
              <w:ind w:left="58" w:firstLine="0"/>
              <w:jc w:val="left"/>
              <w:rPr>
                <w:rFonts w:ascii="Lucida Sans" w:hAnsi="Lucida Sans"/>
                <w:b/>
                <w:sz w:val="22"/>
                <w:szCs w:val="22"/>
              </w:rPr>
            </w:pPr>
            <w:r w:rsidRPr="001D0AD5">
              <w:rPr>
                <w:rFonts w:ascii="Lucida Sans" w:hAnsi="Lucida Sans"/>
                <w:b/>
                <w:sz w:val="22"/>
                <w:szCs w:val="22"/>
              </w:rPr>
              <w:t>Part B: Collection of Information Involving Statistical Methods</w:t>
            </w:r>
          </w:p>
          <w:p w:rsidR="00E57636" w:rsidRPr="001D0AD5" w:rsidRDefault="009270E3" w:rsidP="00E57636">
            <w:pPr>
              <w:spacing w:line="280" w:lineRule="exact"/>
              <w:ind w:left="58" w:firstLine="0"/>
              <w:jc w:val="left"/>
              <w:rPr>
                <w:rFonts w:ascii="Lucida Sans" w:hAnsi="Lucida Sans"/>
                <w:sz w:val="20"/>
                <w:szCs w:val="20"/>
              </w:rPr>
            </w:pPr>
            <w:r>
              <w:rPr>
                <w:rFonts w:ascii="Lucida Sans" w:hAnsi="Lucida Sans"/>
                <w:sz w:val="22"/>
                <w:szCs w:val="22"/>
              </w:rPr>
              <w:t xml:space="preserve">September </w:t>
            </w:r>
            <w:r w:rsidR="00711AC1">
              <w:rPr>
                <w:rFonts w:ascii="Lucida Sans" w:hAnsi="Lucida Sans"/>
                <w:sz w:val="22"/>
                <w:szCs w:val="22"/>
              </w:rPr>
              <w:t>2013</w:t>
            </w:r>
          </w:p>
          <w:p w:rsidR="00E57636" w:rsidRPr="001D0AD5" w:rsidRDefault="00E57636" w:rsidP="00E57636">
            <w:pPr>
              <w:spacing w:line="264" w:lineRule="auto"/>
              <w:ind w:left="58" w:firstLine="0"/>
              <w:jc w:val="left"/>
              <w:rPr>
                <w:rFonts w:ascii="Lucida Sans" w:hAnsi="Lucida Sans"/>
                <w:sz w:val="20"/>
                <w:szCs w:val="20"/>
              </w:rPr>
            </w:pPr>
          </w:p>
          <w:p w:rsidR="00E57636" w:rsidRPr="001D0AD5" w:rsidRDefault="00E57636" w:rsidP="00E57636">
            <w:pPr>
              <w:spacing w:line="264" w:lineRule="auto"/>
              <w:ind w:left="58" w:firstLine="0"/>
              <w:jc w:val="left"/>
              <w:rPr>
                <w:rFonts w:ascii="Lucida Sans" w:hAnsi="Lucida Sans"/>
                <w:sz w:val="22"/>
                <w:szCs w:val="22"/>
              </w:rPr>
            </w:pPr>
          </w:p>
        </w:tc>
      </w:tr>
    </w:tbl>
    <w:p w:rsidR="00B343F1" w:rsidRDefault="00B343F1" w:rsidP="00E57636">
      <w:pPr>
        <w:tabs>
          <w:tab w:val="clear" w:pos="432"/>
        </w:tabs>
        <w:spacing w:line="240" w:lineRule="auto"/>
        <w:ind w:firstLine="0"/>
        <w:jc w:val="left"/>
        <w:sectPr w:rsidR="00B343F1" w:rsidSect="00B343F1">
          <w:headerReference w:type="default" r:id="rId11"/>
          <w:footerReference w:type="default" r:id="rId12"/>
          <w:footnotePr>
            <w:numRestart w:val="eachSect"/>
          </w:footnotePr>
          <w:endnotePr>
            <w:numFmt w:val="decimal"/>
          </w:endnotePr>
          <w:pgSz w:w="12240" w:h="15840" w:code="1"/>
          <w:pgMar w:top="1440" w:right="1440" w:bottom="576" w:left="1440" w:header="720" w:footer="576" w:gutter="0"/>
          <w:pgNumType w:start="1"/>
          <w:cols w:space="720"/>
          <w:titlePg/>
          <w:docGrid w:linePitch="326"/>
        </w:sectPr>
      </w:pPr>
    </w:p>
    <w:p w:rsidR="00930CE8" w:rsidRPr="00930CE8" w:rsidRDefault="00930CE8" w:rsidP="00930CE8">
      <w:pPr>
        <w:spacing w:after="480" w:line="240" w:lineRule="auto"/>
        <w:ind w:firstLine="0"/>
        <w:jc w:val="center"/>
        <w:rPr>
          <w:noProof/>
        </w:rPr>
      </w:pPr>
      <w:r w:rsidRPr="00930CE8">
        <w:rPr>
          <w:rFonts w:ascii="Lucida Sans" w:hAnsi="Lucida Sans" w:cs="Lucida Sans"/>
          <w:b/>
        </w:rPr>
        <w:lastRenderedPageBreak/>
        <w:t>CONTENTS</w:t>
      </w:r>
      <w:r w:rsidR="00FC3E03">
        <w:rPr>
          <w:rFonts w:ascii="Lucida Sans" w:hAnsi="Lucida Sans" w:cs="Lucida Sans"/>
          <w:b/>
        </w:rPr>
        <w:fldChar w:fldCharType="begin"/>
      </w:r>
      <w:r w:rsidRPr="00930CE8">
        <w:rPr>
          <w:rFonts w:ascii="Lucida Sans" w:hAnsi="Lucida Sans" w:cs="Lucida Sans"/>
          <w:b/>
        </w:rPr>
        <w:instrText xml:space="preserve"> TOC \o "1-3" \z \t "Heading 1_Black,1,Heading 1_Red,1,Heading 1_Blue,1,Heading 2_Black,2,Heading 2_Red,2,Heading 2_Blue,2,Mark for Appendix Heading_Black,8,Mark for Appendix Heading_Blue,8,Mark for Appendix Heading_Red,8" </w:instrText>
      </w:r>
      <w:r w:rsidR="00FC3E03">
        <w:rPr>
          <w:rFonts w:ascii="Lucida Sans" w:hAnsi="Lucida Sans" w:cs="Lucida Sans"/>
          <w:b/>
        </w:rPr>
        <w:fldChar w:fldCharType="separate"/>
      </w:r>
    </w:p>
    <w:p w:rsidR="00930CE8" w:rsidRDefault="00930CE8">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 Methods</w:t>
      </w:r>
      <w:r>
        <w:rPr>
          <w:noProof/>
          <w:webHidden/>
        </w:rPr>
        <w:tab/>
      </w:r>
      <w:r w:rsidR="00FC3E03">
        <w:rPr>
          <w:noProof/>
          <w:webHidden/>
        </w:rPr>
        <w:fldChar w:fldCharType="begin"/>
      </w:r>
      <w:r>
        <w:rPr>
          <w:noProof/>
          <w:webHidden/>
        </w:rPr>
        <w:instrText xml:space="preserve"> PAGEREF _Toc346605416 \h </w:instrText>
      </w:r>
      <w:r w:rsidR="00FC3E03">
        <w:rPr>
          <w:noProof/>
          <w:webHidden/>
        </w:rPr>
      </w:r>
      <w:r w:rsidR="00FC3E03">
        <w:rPr>
          <w:noProof/>
          <w:webHidden/>
        </w:rPr>
        <w:fldChar w:fldCharType="separate"/>
      </w:r>
      <w:r w:rsidR="00D948CB">
        <w:rPr>
          <w:noProof/>
          <w:webHidden/>
        </w:rPr>
        <w:t>1</w:t>
      </w:r>
      <w:r w:rsidR="00FC3E03">
        <w:rPr>
          <w:noProof/>
          <w:webHidden/>
        </w:rPr>
        <w:fldChar w:fldCharType="end"/>
      </w:r>
    </w:p>
    <w:p w:rsidR="00930CE8" w:rsidRDefault="00930CE8">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Procedures for Collecting Information</w:t>
      </w:r>
      <w:r>
        <w:rPr>
          <w:noProof/>
          <w:webHidden/>
        </w:rPr>
        <w:tab/>
      </w:r>
      <w:r w:rsidR="005E5815">
        <w:rPr>
          <w:noProof/>
          <w:webHidden/>
        </w:rPr>
        <w:t>2</w:t>
      </w:r>
    </w:p>
    <w:p w:rsidR="00930CE8" w:rsidRDefault="00930CE8">
      <w:pPr>
        <w:pStyle w:val="TOC3"/>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Statistical Methodology, Estimation, and Degree of Accuracy</w:t>
      </w:r>
      <w:r>
        <w:rPr>
          <w:noProof/>
          <w:webHidden/>
        </w:rPr>
        <w:tab/>
      </w:r>
      <w:r w:rsidR="00FC3E03">
        <w:rPr>
          <w:noProof/>
          <w:webHidden/>
        </w:rPr>
        <w:fldChar w:fldCharType="begin"/>
      </w:r>
      <w:r>
        <w:rPr>
          <w:noProof/>
          <w:webHidden/>
        </w:rPr>
        <w:instrText xml:space="preserve"> PAGEREF _Toc346605418 \h </w:instrText>
      </w:r>
      <w:r w:rsidR="00FC3E03">
        <w:rPr>
          <w:noProof/>
          <w:webHidden/>
        </w:rPr>
      </w:r>
      <w:r w:rsidR="00FC3E03">
        <w:rPr>
          <w:noProof/>
          <w:webHidden/>
        </w:rPr>
        <w:fldChar w:fldCharType="separate"/>
      </w:r>
      <w:r w:rsidR="00D948CB">
        <w:rPr>
          <w:noProof/>
          <w:webHidden/>
        </w:rPr>
        <w:t>2</w:t>
      </w:r>
      <w:r w:rsidR="00FC3E03">
        <w:rPr>
          <w:noProof/>
          <w:webHidden/>
        </w:rPr>
        <w:fldChar w:fldCharType="end"/>
      </w:r>
    </w:p>
    <w:p w:rsidR="00930CE8" w:rsidRDefault="00930CE8">
      <w:pPr>
        <w:pStyle w:val="TOC3"/>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Unusual Problems Requiring Specialized Sampling Procedures</w:t>
      </w:r>
      <w:r>
        <w:rPr>
          <w:noProof/>
          <w:webHidden/>
        </w:rPr>
        <w:tab/>
      </w:r>
      <w:r w:rsidR="005E5815">
        <w:rPr>
          <w:noProof/>
          <w:webHidden/>
        </w:rPr>
        <w:t>4</w:t>
      </w:r>
    </w:p>
    <w:p w:rsidR="00930CE8" w:rsidRDefault="00930CE8">
      <w:pPr>
        <w:pStyle w:val="TOC3"/>
        <w:rPr>
          <w:noProof/>
          <w:webHidden/>
        </w:rPr>
      </w:pPr>
      <w:r>
        <w:rPr>
          <w:noProof/>
        </w:rPr>
        <w:t>c.</w:t>
      </w:r>
      <w:r>
        <w:rPr>
          <w:rFonts w:asciiTheme="minorHAnsi" w:eastAsiaTheme="minorEastAsia" w:hAnsiTheme="minorHAnsi" w:cstheme="minorBidi"/>
          <w:noProof/>
          <w:szCs w:val="22"/>
        </w:rPr>
        <w:tab/>
      </w:r>
      <w:r>
        <w:rPr>
          <w:noProof/>
        </w:rPr>
        <w:t>Periodic Cycles to Reduce Burden</w:t>
      </w:r>
      <w:r>
        <w:rPr>
          <w:noProof/>
          <w:webHidden/>
        </w:rPr>
        <w:tab/>
      </w:r>
      <w:r w:rsidR="005E5815">
        <w:rPr>
          <w:noProof/>
          <w:webHidden/>
        </w:rPr>
        <w:t>4</w:t>
      </w:r>
    </w:p>
    <w:p w:rsidR="00B54CBA" w:rsidRPr="00B54CBA" w:rsidRDefault="00B54CBA" w:rsidP="00B54CBA">
      <w:pPr>
        <w:rPr>
          <w:rFonts w:eastAsiaTheme="minorEastAsia"/>
        </w:rPr>
      </w:pPr>
    </w:p>
    <w:p w:rsidR="00930CE8" w:rsidRDefault="00930CE8">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Methods to Maximize Response Rates and Data Reliability</w:t>
      </w:r>
      <w:r>
        <w:rPr>
          <w:noProof/>
          <w:webHidden/>
        </w:rPr>
        <w:tab/>
      </w:r>
      <w:r w:rsidR="005E5815">
        <w:rPr>
          <w:noProof/>
          <w:webHidden/>
        </w:rPr>
        <w:t>4</w:t>
      </w:r>
    </w:p>
    <w:p w:rsidR="00930CE8" w:rsidRDefault="00930CE8">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Tests of Procedures or Methods</w:t>
      </w:r>
      <w:r>
        <w:rPr>
          <w:noProof/>
          <w:webHidden/>
        </w:rPr>
        <w:tab/>
      </w:r>
      <w:r w:rsidR="005E5815">
        <w:rPr>
          <w:noProof/>
          <w:webHidden/>
        </w:rPr>
        <w:t>6</w:t>
      </w:r>
    </w:p>
    <w:p w:rsidR="00930CE8" w:rsidRDefault="00930CE8">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Individuals Consulted on Statistical Methods</w:t>
      </w:r>
      <w:r>
        <w:rPr>
          <w:noProof/>
          <w:webHidden/>
        </w:rPr>
        <w:tab/>
      </w:r>
      <w:r w:rsidR="005E5815">
        <w:rPr>
          <w:noProof/>
          <w:webHidden/>
        </w:rPr>
        <w:t>6</w:t>
      </w:r>
    </w:p>
    <w:p w:rsidR="00930CE8" w:rsidRDefault="00930CE8">
      <w:pPr>
        <w:pStyle w:val="TOC1"/>
        <w:rPr>
          <w:rFonts w:asciiTheme="minorHAnsi" w:eastAsiaTheme="minorEastAsia" w:hAnsiTheme="minorHAnsi" w:cstheme="minorBidi"/>
          <w:caps w:val="0"/>
          <w:noProof/>
          <w:szCs w:val="22"/>
        </w:rPr>
      </w:pPr>
      <w:r>
        <w:rPr>
          <w:noProof/>
        </w:rPr>
        <w:t>REFERENCES</w:t>
      </w:r>
      <w:r>
        <w:rPr>
          <w:noProof/>
          <w:webHidden/>
        </w:rPr>
        <w:tab/>
      </w:r>
      <w:r w:rsidR="005E5815">
        <w:rPr>
          <w:noProof/>
          <w:webHidden/>
        </w:rPr>
        <w:t>8</w:t>
      </w:r>
    </w:p>
    <w:p w:rsidR="001D6138" w:rsidRPr="00930CE8" w:rsidRDefault="00FC3E03" w:rsidP="00930CE8">
      <w:pPr>
        <w:spacing w:after="480" w:line="240" w:lineRule="auto"/>
        <w:ind w:firstLine="0"/>
        <w:jc w:val="center"/>
        <w:rPr>
          <w:rFonts w:ascii="Lucida Sans" w:hAnsi="Lucida Sans" w:cs="Lucida Sans"/>
          <w:b/>
          <w:color w:val="345294"/>
        </w:rPr>
        <w:sectPr w:rsidR="001D6138" w:rsidRPr="00930CE8" w:rsidSect="00930CE8">
          <w:headerReference w:type="default" r:id="rId13"/>
          <w:footerReference w:type="default" r:id="rId14"/>
          <w:footnotePr>
            <w:numRestart w:val="eachSect"/>
          </w:footnotePr>
          <w:endnotePr>
            <w:numFmt w:val="decimal"/>
          </w:endnotePr>
          <w:pgSz w:w="12240" w:h="15840" w:code="1"/>
          <w:pgMar w:top="1440" w:right="1440" w:bottom="576" w:left="1440" w:header="720" w:footer="576" w:gutter="0"/>
          <w:pgNumType w:fmt="lowerRoman" w:start="2"/>
          <w:cols w:space="720"/>
          <w:docGrid w:linePitch="326"/>
        </w:sectPr>
      </w:pPr>
      <w:r>
        <w:rPr>
          <w:rFonts w:ascii="Lucida Sans" w:hAnsi="Lucida Sans" w:cs="Lucida Sans"/>
          <w:b/>
          <w:color w:val="345294"/>
        </w:rPr>
        <w:fldChar w:fldCharType="end"/>
      </w:r>
    </w:p>
    <w:p w:rsidR="00864AE9" w:rsidRDefault="00B54CBA" w:rsidP="00864AE9">
      <w:pPr>
        <w:pStyle w:val="NormalSS"/>
        <w:ind w:firstLine="0"/>
      </w:pPr>
      <w:bookmarkStart w:id="1" w:name="_Toc346605416"/>
      <w:r>
        <w:lastRenderedPageBreak/>
        <w:tab/>
      </w:r>
      <w:r w:rsidR="00864AE9">
        <w:t>(Please see item A1 for a short description of the impact and implementation/qualitative only evaluations, as well as the data collection instruments already approved and currently requested, which are numbered (1) through (</w:t>
      </w:r>
      <w:r w:rsidR="004B3637">
        <w:t>20);</w:t>
      </w:r>
      <w:r w:rsidR="00864AE9">
        <w:t xml:space="preserve"> numbers in parentheses refer to the number of the instrument.)</w:t>
      </w:r>
    </w:p>
    <w:p w:rsidR="00CC2411" w:rsidRDefault="00CC2411" w:rsidP="00B343F1">
      <w:pPr>
        <w:pStyle w:val="Heading2Black"/>
      </w:pPr>
    </w:p>
    <w:p w:rsidR="00AC06CA" w:rsidRDefault="00AC06CA" w:rsidP="00B343F1">
      <w:pPr>
        <w:pStyle w:val="Heading2Black"/>
      </w:pPr>
      <w:r>
        <w:t>1.</w:t>
      </w:r>
      <w:r>
        <w:tab/>
        <w:t xml:space="preserve">Respondent </w:t>
      </w:r>
      <w:r w:rsidRPr="00B343F1">
        <w:t>Universe</w:t>
      </w:r>
      <w:r>
        <w:t xml:space="preserve"> and Sampling Methods</w:t>
      </w:r>
      <w:bookmarkEnd w:id="1"/>
    </w:p>
    <w:p w:rsidR="009270E3" w:rsidRDefault="004B3637" w:rsidP="009270E3">
      <w:pPr>
        <w:pStyle w:val="NormalSS"/>
      </w:pPr>
      <w:bookmarkStart w:id="2" w:name="_Toc346605417"/>
      <w:proofErr w:type="gramStart"/>
      <w:r w:rsidRPr="004B3637">
        <w:rPr>
          <w:b/>
        </w:rPr>
        <w:t>Grantee Programs.</w:t>
      </w:r>
      <w:proofErr w:type="gramEnd"/>
      <w:r w:rsidRPr="004B3637">
        <w:rPr>
          <w:b/>
        </w:rPr>
        <w:t xml:space="preserve"> </w:t>
      </w:r>
      <w:r w:rsidR="009270E3">
        <w:t xml:space="preserve">The PACT Evaluation will focus on grantee programs purposively selected for the study. Up to 15 </w:t>
      </w:r>
      <w:r>
        <w:t>responsible fatherhood</w:t>
      </w:r>
      <w:r w:rsidR="007E0154">
        <w:t xml:space="preserve"> (RF)</w:t>
      </w:r>
      <w:r>
        <w:t xml:space="preserve"> </w:t>
      </w:r>
      <w:r w:rsidR="009270E3">
        <w:t>grantees</w:t>
      </w:r>
      <w:r>
        <w:t xml:space="preserve"> and 15 healthy marriage</w:t>
      </w:r>
      <w:r w:rsidR="007E0154">
        <w:t xml:space="preserve"> (HM)</w:t>
      </w:r>
      <w:r>
        <w:t xml:space="preserve"> grantees</w:t>
      </w:r>
      <w:r w:rsidR="009270E3">
        <w:t xml:space="preserve"> are expected to be selected across the impact and implementation/qualitative only sites. </w:t>
      </w:r>
    </w:p>
    <w:p w:rsidR="007E0154" w:rsidRDefault="007E0154" w:rsidP="009270E3">
      <w:pPr>
        <w:pStyle w:val="NormalSS"/>
      </w:pPr>
      <w:r w:rsidRPr="006C16CB">
        <w:rPr>
          <w:b/>
        </w:rPr>
        <w:t>Sample Frame for t</w:t>
      </w:r>
      <w:r w:rsidR="009270E3" w:rsidRPr="006C16CB">
        <w:rPr>
          <w:b/>
        </w:rPr>
        <w:t xml:space="preserve">he </w:t>
      </w:r>
      <w:r w:rsidRPr="006C16CB">
        <w:rPr>
          <w:b/>
        </w:rPr>
        <w:t>F</w:t>
      </w:r>
      <w:r w:rsidR="004B3637" w:rsidRPr="006C16CB">
        <w:rPr>
          <w:b/>
        </w:rPr>
        <w:t>ollow-up</w:t>
      </w:r>
      <w:r w:rsidRPr="006C16CB">
        <w:rPr>
          <w:b/>
        </w:rPr>
        <w:t xml:space="preserve"> S</w:t>
      </w:r>
      <w:r w:rsidR="009270E3" w:rsidRPr="006C16CB">
        <w:rPr>
          <w:b/>
        </w:rPr>
        <w:t>urvey</w:t>
      </w:r>
      <w:r w:rsidRPr="006C16CB">
        <w:rPr>
          <w:b/>
        </w:rPr>
        <w:t>s.</w:t>
      </w:r>
      <w:r>
        <w:t xml:space="preserve"> The follow-up surveys</w:t>
      </w:r>
      <w:r w:rsidR="009270E3">
        <w:t xml:space="preserve"> will be used </w:t>
      </w:r>
      <w:r w:rsidR="004B3637">
        <w:t xml:space="preserve">only </w:t>
      </w:r>
      <w:r w:rsidR="006C16CB">
        <w:t xml:space="preserve">for fathers and couples </w:t>
      </w:r>
      <w:r w:rsidR="004B3637">
        <w:t>in the grantee programs selected for the impact study (</w:t>
      </w:r>
      <w:r w:rsidR="00C5620A">
        <w:t xml:space="preserve">RF </w:t>
      </w:r>
      <w:r w:rsidR="004B3637">
        <w:t xml:space="preserve">programs and </w:t>
      </w:r>
      <w:r w:rsidR="00C5620A">
        <w:t>HM</w:t>
      </w:r>
      <w:r w:rsidR="004B3637">
        <w:t xml:space="preserve"> programs). </w:t>
      </w:r>
    </w:p>
    <w:p w:rsidR="006C16CB" w:rsidRDefault="007E0154" w:rsidP="009270E3">
      <w:pPr>
        <w:pStyle w:val="NormalSS"/>
      </w:pPr>
      <w:r>
        <w:t>To participate in the impact study, fathers</w:t>
      </w:r>
      <w:r w:rsidR="006C16CB">
        <w:t xml:space="preserve"> or couples</w:t>
      </w:r>
      <w:r>
        <w:t xml:space="preserve"> </w:t>
      </w:r>
      <w:r w:rsidR="006C16CB">
        <w:t>must:</w:t>
      </w:r>
    </w:p>
    <w:p w:rsidR="006C16CB" w:rsidRDefault="006C16CB" w:rsidP="006C16CB">
      <w:pPr>
        <w:pStyle w:val="NormalSS"/>
        <w:numPr>
          <w:ilvl w:val="0"/>
          <w:numId w:val="21"/>
        </w:numPr>
      </w:pPr>
      <w:r>
        <w:t>Apply to a grantee program in the impact study and satisfy the grantee program’s eligibility criteria</w:t>
      </w:r>
    </w:p>
    <w:p w:rsidR="006C16CB" w:rsidRDefault="006C16CB" w:rsidP="006C16CB">
      <w:pPr>
        <w:pStyle w:val="NormalSS"/>
        <w:numPr>
          <w:ilvl w:val="0"/>
          <w:numId w:val="21"/>
        </w:numPr>
      </w:pPr>
      <w:r>
        <w:t xml:space="preserve">Satisfy additional criteria for participating in the study. Fathers are eligible for the RF impact study if they are 18 or older and have biological </w:t>
      </w:r>
      <w:r w:rsidR="006F0299">
        <w:t xml:space="preserve">or adopted </w:t>
      </w:r>
      <w:r>
        <w:t xml:space="preserve">children or are expecting a baby. Couples are eligible for the HM impact study if they consist of a man and a woman who apply to the program together, the man and the woman are both 18 or older, and either (or both) the man or the woman </w:t>
      </w:r>
      <w:r w:rsidR="009460E5">
        <w:t>has</w:t>
      </w:r>
      <w:r>
        <w:t xml:space="preserve"> a biological or adoptive child living with </w:t>
      </w:r>
      <w:r w:rsidR="009460E5">
        <w:t>him or her</w:t>
      </w:r>
      <w:r>
        <w:t xml:space="preserve"> or they must be expecting a baby together.</w:t>
      </w:r>
    </w:p>
    <w:p w:rsidR="006C16CB" w:rsidRDefault="006C16CB" w:rsidP="006C16CB">
      <w:pPr>
        <w:pStyle w:val="NormalSS"/>
        <w:numPr>
          <w:ilvl w:val="0"/>
          <w:numId w:val="21"/>
        </w:numPr>
      </w:pPr>
      <w:r>
        <w:t>Consent to participate in the study</w:t>
      </w:r>
    </w:p>
    <w:p w:rsidR="006C16CB" w:rsidRDefault="006C16CB" w:rsidP="006C16CB">
      <w:pPr>
        <w:pStyle w:val="NormalSS"/>
        <w:numPr>
          <w:ilvl w:val="0"/>
          <w:numId w:val="21"/>
        </w:numPr>
      </w:pPr>
      <w:r>
        <w:t>Complete a baseline survey</w:t>
      </w:r>
    </w:p>
    <w:p w:rsidR="009270E3" w:rsidRDefault="009270E3" w:rsidP="009270E3">
      <w:pPr>
        <w:pStyle w:val="NormalSS"/>
      </w:pPr>
      <w:r>
        <w:t xml:space="preserve"> </w:t>
      </w:r>
      <w:r w:rsidR="006C16CB">
        <w:t>The intake period for the study will be about 18 months for the RF grantees and 12 months for the HM grantees.</w:t>
      </w:r>
    </w:p>
    <w:p w:rsidR="009270E3" w:rsidRDefault="009270E3" w:rsidP="00B527E1">
      <w:pPr>
        <w:pStyle w:val="NormalSS"/>
      </w:pPr>
      <w:r>
        <w:t>We estimate that about 421 fathers</w:t>
      </w:r>
      <w:r w:rsidR="00DC64B0">
        <w:t xml:space="preserve"> </w:t>
      </w:r>
      <w:r w:rsidR="009460E5">
        <w:t>and 421</w:t>
      </w:r>
      <w:r w:rsidR="00DC64B0">
        <w:t xml:space="preserve"> couples</w:t>
      </w:r>
      <w:r>
        <w:t xml:space="preserve"> will apply for services in each </w:t>
      </w:r>
      <w:r w:rsidR="00DC64B0">
        <w:t>grantee program</w:t>
      </w:r>
      <w:r>
        <w:t xml:space="preserve"> during the intake period. Of these 421 fathers</w:t>
      </w:r>
      <w:r w:rsidR="00DC64B0">
        <w:t xml:space="preserve"> or couples</w:t>
      </w:r>
      <w:r>
        <w:t xml:space="preserve">, we estimate that about 400 will be eligible to participate in the program and the study, consent to participate in the study, and complete the baseline survey. </w:t>
      </w:r>
      <w:r w:rsidR="00B527E1">
        <w:t xml:space="preserve"> These fathers or couples will be randomly assigned</w:t>
      </w:r>
      <w:r w:rsidR="009460E5">
        <w:t xml:space="preserve"> to either a program or control group</w:t>
      </w:r>
      <w:r w:rsidR="00B527E1">
        <w:t xml:space="preserve">. </w:t>
      </w:r>
      <w:r>
        <w:t xml:space="preserve">Follow-up survey data collection will be attempted on all 400 fathers </w:t>
      </w:r>
      <w:r w:rsidR="00B527E1">
        <w:t xml:space="preserve">in </w:t>
      </w:r>
      <w:r w:rsidR="00657EE9">
        <w:t xml:space="preserve">each grantee program’s </w:t>
      </w:r>
      <w:r w:rsidR="00B527E1">
        <w:t xml:space="preserve">research sample </w:t>
      </w:r>
      <w:r w:rsidR="009460E5">
        <w:t xml:space="preserve">(both program and control groups) </w:t>
      </w:r>
      <w:r w:rsidR="00B527E1">
        <w:t xml:space="preserve">and 400 men and 400 women </w:t>
      </w:r>
      <w:r w:rsidR="00657EE9">
        <w:t>from each</w:t>
      </w:r>
      <w:r w:rsidR="00B527E1">
        <w:t xml:space="preserve"> HM </w:t>
      </w:r>
      <w:r w:rsidR="00657EE9">
        <w:t xml:space="preserve">grantee sample’s </w:t>
      </w:r>
      <w:r w:rsidR="00B527E1">
        <w:t>research sample</w:t>
      </w:r>
      <w:r w:rsidR="009460E5">
        <w:t xml:space="preserve"> (both program and control groups)</w:t>
      </w:r>
      <w:r w:rsidR="00B527E1">
        <w:t>.</w:t>
      </w:r>
      <w:r>
        <w:t>We expect that follow-up data will be successfully collected on 320 participant fathers</w:t>
      </w:r>
      <w:r w:rsidR="00B527E1">
        <w:t xml:space="preserve"> in the RF sample</w:t>
      </w:r>
      <w:r w:rsidR="00657EE9">
        <w:t xml:space="preserve"> per grantee program</w:t>
      </w:r>
      <w:r w:rsidR="00B527E1">
        <w:t>, 320 men in the HM sample</w:t>
      </w:r>
      <w:r w:rsidR="00657EE9">
        <w:t xml:space="preserve"> per grantee program</w:t>
      </w:r>
      <w:r w:rsidR="00B527E1">
        <w:t>, and 320 women in the HM sample</w:t>
      </w:r>
      <w:r w:rsidR="00657EE9">
        <w:t xml:space="preserve"> per grantee program</w:t>
      </w:r>
      <w:r w:rsidR="00B527E1">
        <w:t xml:space="preserve"> </w:t>
      </w:r>
      <w:r>
        <w:t xml:space="preserve"> (that is, the response rate will be about 80 percent).</w:t>
      </w:r>
      <w:r w:rsidR="0008700C">
        <w:t xml:space="preserve"> </w:t>
      </w:r>
      <w:r w:rsidR="0008700C">
        <w:rPr>
          <w:rFonts w:cs="Tahoma"/>
          <w:color w:val="FF0000"/>
        </w:rPr>
        <w:t>Our response rate estimate is based on the experience in prior studies funded by OPRE with similar populations.  Only the Baseline Survey has been fielded to date.  The Ba</w:t>
      </w:r>
      <w:r w:rsidR="000212A7">
        <w:rPr>
          <w:rFonts w:cs="Tahoma"/>
          <w:color w:val="FF0000"/>
        </w:rPr>
        <w:t>seline interview completion rates are: 98% for the Responsible Fatherhood Survey and 99% for the Healthy Marriage Survey</w:t>
      </w:r>
      <w:proofErr w:type="gramStart"/>
      <w:r w:rsidR="000212A7">
        <w:rPr>
          <w:rFonts w:cs="Tahoma"/>
          <w:color w:val="FF0000"/>
        </w:rPr>
        <w:t>.</w:t>
      </w:r>
      <w:r w:rsidR="0008700C">
        <w:rPr>
          <w:rFonts w:cs="Tahoma"/>
          <w:color w:val="FF0000"/>
        </w:rPr>
        <w:t>.</w:t>
      </w:r>
      <w:proofErr w:type="gramEnd"/>
    </w:p>
    <w:p w:rsidR="00AC06CA" w:rsidRDefault="00AC06CA" w:rsidP="00AC06CA">
      <w:pPr>
        <w:pStyle w:val="Heading2Black"/>
      </w:pPr>
      <w:r>
        <w:lastRenderedPageBreak/>
        <w:t>2.</w:t>
      </w:r>
      <w:r>
        <w:tab/>
        <w:t>Procedures for Collecting Information</w:t>
      </w:r>
      <w:bookmarkEnd w:id="2"/>
    </w:p>
    <w:p w:rsidR="00AC06CA" w:rsidRDefault="00AC06CA" w:rsidP="00AC06CA">
      <w:pPr>
        <w:pStyle w:val="Heading3"/>
      </w:pPr>
      <w:bookmarkStart w:id="3" w:name="_Toc346605418"/>
      <w:r>
        <w:t>a.</w:t>
      </w:r>
      <w:r>
        <w:tab/>
        <w:t>Statistical Methodology, Estimation, and Degree of Accuracy</w:t>
      </w:r>
      <w:bookmarkEnd w:id="3"/>
    </w:p>
    <w:p w:rsidR="003C5782" w:rsidRDefault="003C5782" w:rsidP="004C4E7E">
      <w:pPr>
        <w:pStyle w:val="NormalSS"/>
      </w:pPr>
      <w:r>
        <w:t xml:space="preserve">A sample of 400, which we expect to be the </w:t>
      </w:r>
      <w:r w:rsidR="007234BB">
        <w:t>grantee</w:t>
      </w:r>
      <w:r>
        <w:t>-level sample size</w:t>
      </w:r>
      <w:r w:rsidR="00764294">
        <w:t xml:space="preserve"> at baseline</w:t>
      </w:r>
      <w:r>
        <w:t>, is large enough to detect impacts on key outcomes</w:t>
      </w:r>
      <w:r w:rsidR="00C5620A">
        <w:t xml:space="preserve"> for both the RF and HM impact evaluations. </w:t>
      </w:r>
      <w:r>
        <w:t>As Table B.1 shows, with a single-site sample of 400</w:t>
      </w:r>
      <w:r w:rsidR="00B527E1">
        <w:t xml:space="preserve"> fathers</w:t>
      </w:r>
      <w:r>
        <w:t xml:space="preserve"> (200 in the program group and 200 in the control group) with baseline data and 320 </w:t>
      </w:r>
      <w:r w:rsidR="009460E5">
        <w:t xml:space="preserve">fathers </w:t>
      </w:r>
      <w:r>
        <w:t>with follow-up data, we are confident of detecting impacts on continuous outcomes that have an effect size of 0.20 or larger. This is sufficient to be able to detect impacts on fathers’ attitudes toward fatherhood. Cowan et al. (2009) found an effect size of 0.31 of a fatherhood program on a measure indicating the extent to which fathers viewed fatherhood as one of the main roles in their lives. A sample of 400 is also large enough to detect an impact on employment of 6 percentage points, an impact smaller than the one found in a pilot employment program for parents behind in their child support in four communities in New York (</w:t>
      </w:r>
      <w:proofErr w:type="spellStart"/>
      <w:r>
        <w:t>Lippold</w:t>
      </w:r>
      <w:proofErr w:type="spellEnd"/>
      <w:r>
        <w:t xml:space="preserve"> and Sorensen 2011). </w:t>
      </w:r>
    </w:p>
    <w:p w:rsidR="003C5782" w:rsidRDefault="003C5782" w:rsidP="003C5782">
      <w:pPr>
        <w:pStyle w:val="MarkforTableHeading"/>
        <w:rPr>
          <w:highlight w:val="yellow"/>
        </w:rPr>
      </w:pPr>
      <w:r w:rsidRPr="00BD2783">
        <w:t>Table B.1. Minimum Detectable Impacts for Key Outcomes</w:t>
      </w:r>
      <w:r w:rsidR="00B527E1">
        <w:t xml:space="preserve"> in the RF Impact Studies</w:t>
      </w:r>
    </w:p>
    <w:tbl>
      <w:tblPr>
        <w:tblStyle w:val="SMPRTableBlack"/>
        <w:tblW w:w="5000" w:type="pct"/>
        <w:tblInd w:w="0" w:type="dxa"/>
        <w:tblLook w:val="04A0" w:firstRow="1" w:lastRow="0" w:firstColumn="1" w:lastColumn="0" w:noHBand="0" w:noVBand="1"/>
      </w:tblPr>
      <w:tblGrid>
        <w:gridCol w:w="2127"/>
        <w:gridCol w:w="2483"/>
        <w:gridCol w:w="2482"/>
        <w:gridCol w:w="2484"/>
      </w:tblGrid>
      <w:tr w:rsidR="003C5782" w:rsidRPr="002A0BE3" w:rsidTr="004B3637">
        <w:trPr>
          <w:cnfStyle w:val="100000000000" w:firstRow="1" w:lastRow="0" w:firstColumn="0" w:lastColumn="0" w:oddVBand="0" w:evenVBand="0" w:oddHBand="0" w:evenHBand="0" w:firstRowFirstColumn="0" w:firstRowLastColumn="0" w:lastRowFirstColumn="0" w:lastRowLastColumn="0"/>
        </w:trPr>
        <w:tc>
          <w:tcPr>
            <w:tcW w:w="1110" w:type="pct"/>
            <w:vAlign w:val="bottom"/>
          </w:tcPr>
          <w:p w:rsidR="003C5782" w:rsidRPr="002A0BE3" w:rsidRDefault="003C5782" w:rsidP="004B3637">
            <w:pPr>
              <w:pStyle w:val="TableHeaderLeft"/>
            </w:pPr>
            <w:r w:rsidRPr="002A0BE3">
              <w:t>Sample Size</w:t>
            </w:r>
            <w:r>
              <w:br/>
              <w:t>(Fathers)</w:t>
            </w:r>
            <w:r>
              <w:br/>
              <w:t>(Baseline/Follow-up)</w:t>
            </w:r>
          </w:p>
        </w:tc>
        <w:tc>
          <w:tcPr>
            <w:tcW w:w="1296" w:type="pct"/>
            <w:vAlign w:val="bottom"/>
          </w:tcPr>
          <w:p w:rsidR="003C5782" w:rsidRPr="002A0BE3" w:rsidRDefault="003C5782" w:rsidP="004B3637">
            <w:pPr>
              <w:pStyle w:val="TableHeaderCenter"/>
            </w:pPr>
            <w:r>
              <w:t>Continuous Outcome</w:t>
            </w:r>
            <w:r>
              <w:br/>
              <w:t>(effect size</w:t>
            </w:r>
            <w:r w:rsidRPr="002A0BE3">
              <w:t>)</w:t>
            </w:r>
          </w:p>
        </w:tc>
        <w:tc>
          <w:tcPr>
            <w:tcW w:w="1296" w:type="pct"/>
            <w:vAlign w:val="bottom"/>
          </w:tcPr>
          <w:p w:rsidR="003C5782" w:rsidRPr="002A0BE3" w:rsidRDefault="003C5782" w:rsidP="004B3637">
            <w:pPr>
              <w:pStyle w:val="TableHeaderCenter"/>
            </w:pPr>
            <w:r w:rsidRPr="002A0BE3">
              <w:t xml:space="preserve">Fathers’ </w:t>
            </w:r>
            <w:r>
              <w:t>Likelihood of Employment</w:t>
            </w:r>
            <w:r>
              <w:br/>
              <w:t>(percentage points)</w:t>
            </w:r>
            <w:r>
              <w:br/>
              <w:t>Control = 0.11</w:t>
            </w:r>
            <w:r w:rsidRPr="00167B67">
              <w:rPr>
                <w:vertAlign w:val="superscript"/>
              </w:rPr>
              <w:t>a</w:t>
            </w:r>
          </w:p>
        </w:tc>
        <w:tc>
          <w:tcPr>
            <w:tcW w:w="1297" w:type="pct"/>
          </w:tcPr>
          <w:p w:rsidR="003C5782" w:rsidRDefault="003C5782" w:rsidP="004B3637">
            <w:pPr>
              <w:pStyle w:val="TableHeaderCenter"/>
            </w:pPr>
            <w:r>
              <w:t xml:space="preserve">Fathers’ Annual Earnings    Control Group </w:t>
            </w:r>
            <w:proofErr w:type="spellStart"/>
            <w:r>
              <w:t>Std</w:t>
            </w:r>
            <w:proofErr w:type="spellEnd"/>
            <w:r>
              <w:t xml:space="preserve"> </w:t>
            </w:r>
            <w:proofErr w:type="spellStart"/>
            <w:r>
              <w:t>Dev</w:t>
            </w:r>
            <w:proofErr w:type="spellEnd"/>
            <w:r>
              <w:t xml:space="preserve"> = $14,717</w:t>
            </w:r>
            <w:r w:rsidRPr="00167B67">
              <w:rPr>
                <w:vertAlign w:val="superscript"/>
              </w:rPr>
              <w:t xml:space="preserve"> </w:t>
            </w:r>
            <w:r>
              <w:rPr>
                <w:vertAlign w:val="superscript"/>
              </w:rPr>
              <w:t>b</w:t>
            </w:r>
          </w:p>
        </w:tc>
      </w:tr>
      <w:tr w:rsidR="003C5782" w:rsidRPr="002A0BE3" w:rsidTr="004B3637">
        <w:tc>
          <w:tcPr>
            <w:tcW w:w="1110" w:type="pct"/>
          </w:tcPr>
          <w:p w:rsidR="003C5782" w:rsidRPr="002A0BE3" w:rsidRDefault="003C5782" w:rsidP="004B3637">
            <w:pPr>
              <w:pStyle w:val="TableText"/>
              <w:spacing w:before="120" w:after="60"/>
            </w:pPr>
            <w:r>
              <w:t>400/320</w:t>
            </w:r>
          </w:p>
        </w:tc>
        <w:tc>
          <w:tcPr>
            <w:tcW w:w="1296" w:type="pct"/>
          </w:tcPr>
          <w:p w:rsidR="003C5782" w:rsidRDefault="003C5782" w:rsidP="004B3637">
            <w:pPr>
              <w:pStyle w:val="TableText"/>
              <w:tabs>
                <w:tab w:val="decimal" w:pos="1057"/>
              </w:tabs>
              <w:spacing w:before="120" w:after="60"/>
            </w:pPr>
            <w:r>
              <w:t>0.20</w:t>
            </w:r>
          </w:p>
        </w:tc>
        <w:tc>
          <w:tcPr>
            <w:tcW w:w="1296" w:type="pct"/>
          </w:tcPr>
          <w:p w:rsidR="003C5782" w:rsidRPr="002A0BE3" w:rsidRDefault="003C5782" w:rsidP="004B3637">
            <w:pPr>
              <w:pStyle w:val="TableText"/>
              <w:tabs>
                <w:tab w:val="decimal" w:pos="1057"/>
              </w:tabs>
              <w:spacing w:before="120" w:after="60"/>
            </w:pPr>
            <w:r>
              <w:t>0.06</w:t>
            </w:r>
          </w:p>
        </w:tc>
        <w:tc>
          <w:tcPr>
            <w:tcW w:w="1297" w:type="pct"/>
          </w:tcPr>
          <w:p w:rsidR="003C5782" w:rsidRDefault="003C5782" w:rsidP="004B3637">
            <w:pPr>
              <w:pStyle w:val="TableText"/>
              <w:spacing w:before="120" w:after="60"/>
              <w:jc w:val="center"/>
            </w:pPr>
            <w:r w:rsidRPr="00027FBE">
              <w:t>$2</w:t>
            </w:r>
            <w:r>
              <w:t>,893</w:t>
            </w:r>
          </w:p>
        </w:tc>
      </w:tr>
      <w:tr w:rsidR="003C5782" w:rsidRPr="002A0BE3" w:rsidTr="004B3637">
        <w:tc>
          <w:tcPr>
            <w:tcW w:w="1110" w:type="pct"/>
          </w:tcPr>
          <w:p w:rsidR="003C5782" w:rsidRPr="002A0BE3" w:rsidRDefault="003C5782" w:rsidP="004B3637">
            <w:pPr>
              <w:pStyle w:val="TableText"/>
              <w:spacing w:before="120" w:after="60"/>
            </w:pPr>
            <w:r>
              <w:t>600/480</w:t>
            </w:r>
          </w:p>
        </w:tc>
        <w:tc>
          <w:tcPr>
            <w:tcW w:w="1296" w:type="pct"/>
          </w:tcPr>
          <w:p w:rsidR="003C5782" w:rsidRDefault="003C5782" w:rsidP="004B3637">
            <w:pPr>
              <w:pStyle w:val="TableText"/>
              <w:tabs>
                <w:tab w:val="decimal" w:pos="1057"/>
              </w:tabs>
              <w:spacing w:before="120" w:after="60"/>
            </w:pPr>
            <w:r>
              <w:t>0.16</w:t>
            </w:r>
          </w:p>
        </w:tc>
        <w:tc>
          <w:tcPr>
            <w:tcW w:w="1296" w:type="pct"/>
          </w:tcPr>
          <w:p w:rsidR="003C5782" w:rsidRPr="002A0BE3" w:rsidRDefault="003C5782" w:rsidP="004B3637">
            <w:pPr>
              <w:pStyle w:val="TableText"/>
              <w:tabs>
                <w:tab w:val="decimal" w:pos="1057"/>
              </w:tabs>
              <w:spacing w:before="120" w:after="60"/>
            </w:pPr>
            <w:r>
              <w:t>0.05</w:t>
            </w:r>
          </w:p>
        </w:tc>
        <w:tc>
          <w:tcPr>
            <w:tcW w:w="1297" w:type="pct"/>
          </w:tcPr>
          <w:p w:rsidR="003C5782" w:rsidRDefault="003C5782" w:rsidP="004B3637">
            <w:pPr>
              <w:pStyle w:val="TableText"/>
              <w:spacing w:before="120" w:after="60"/>
              <w:jc w:val="center"/>
            </w:pPr>
            <w:r w:rsidRPr="00027FBE">
              <w:t>$2,</w:t>
            </w:r>
            <w:r>
              <w:t>362</w:t>
            </w:r>
          </w:p>
        </w:tc>
      </w:tr>
      <w:tr w:rsidR="003C5782" w:rsidRPr="002A0BE3" w:rsidTr="004B3637">
        <w:tc>
          <w:tcPr>
            <w:tcW w:w="1110" w:type="pct"/>
          </w:tcPr>
          <w:p w:rsidR="003C5782" w:rsidRDefault="003C5782" w:rsidP="004B3637">
            <w:pPr>
              <w:pStyle w:val="TableText"/>
              <w:spacing w:before="120" w:after="60"/>
            </w:pPr>
            <w:r>
              <w:t>800/640</w:t>
            </w:r>
          </w:p>
        </w:tc>
        <w:tc>
          <w:tcPr>
            <w:tcW w:w="1296" w:type="pct"/>
          </w:tcPr>
          <w:p w:rsidR="003C5782" w:rsidRDefault="003C5782" w:rsidP="004B3637">
            <w:pPr>
              <w:pStyle w:val="TableText"/>
              <w:tabs>
                <w:tab w:val="decimal" w:pos="1057"/>
              </w:tabs>
              <w:spacing w:before="120" w:after="60"/>
            </w:pPr>
            <w:r>
              <w:t>0.14</w:t>
            </w:r>
          </w:p>
        </w:tc>
        <w:tc>
          <w:tcPr>
            <w:tcW w:w="1296" w:type="pct"/>
          </w:tcPr>
          <w:p w:rsidR="003C5782" w:rsidRDefault="003C5782" w:rsidP="004B3637">
            <w:pPr>
              <w:pStyle w:val="TableText"/>
              <w:tabs>
                <w:tab w:val="decimal" w:pos="1057"/>
              </w:tabs>
              <w:spacing w:before="120" w:after="60"/>
            </w:pPr>
            <w:r>
              <w:t>0.04</w:t>
            </w:r>
          </w:p>
        </w:tc>
        <w:tc>
          <w:tcPr>
            <w:tcW w:w="1297" w:type="pct"/>
          </w:tcPr>
          <w:p w:rsidR="003C5782" w:rsidRDefault="003C5782" w:rsidP="004B3637">
            <w:pPr>
              <w:pStyle w:val="TableText"/>
              <w:spacing w:before="120" w:after="60"/>
              <w:jc w:val="center"/>
            </w:pPr>
            <w:r w:rsidRPr="00027FBE">
              <w:t>$</w:t>
            </w:r>
            <w:r>
              <w:t>2,046</w:t>
            </w:r>
          </w:p>
        </w:tc>
      </w:tr>
      <w:tr w:rsidR="003C5782" w:rsidRPr="002A0BE3" w:rsidTr="004B3637">
        <w:tc>
          <w:tcPr>
            <w:tcW w:w="1110" w:type="pct"/>
          </w:tcPr>
          <w:p w:rsidR="003C5782" w:rsidRPr="002A0BE3" w:rsidRDefault="003C5782" w:rsidP="004B3637">
            <w:pPr>
              <w:pStyle w:val="TableText"/>
              <w:spacing w:before="120" w:after="60"/>
            </w:pPr>
            <w:r>
              <w:t>1,800/1,440</w:t>
            </w:r>
          </w:p>
        </w:tc>
        <w:tc>
          <w:tcPr>
            <w:tcW w:w="1296" w:type="pct"/>
          </w:tcPr>
          <w:p w:rsidR="003C5782" w:rsidRPr="002A0BE3" w:rsidRDefault="003C5782" w:rsidP="004B3637">
            <w:pPr>
              <w:pStyle w:val="TableText"/>
              <w:tabs>
                <w:tab w:val="decimal" w:pos="1057"/>
              </w:tabs>
              <w:spacing w:before="120" w:after="60"/>
            </w:pPr>
            <w:r>
              <w:t>0.09</w:t>
            </w:r>
          </w:p>
        </w:tc>
        <w:tc>
          <w:tcPr>
            <w:tcW w:w="1296" w:type="pct"/>
          </w:tcPr>
          <w:p w:rsidR="003C5782" w:rsidRPr="002A0BE3" w:rsidRDefault="003C5782" w:rsidP="004B3637">
            <w:pPr>
              <w:pStyle w:val="TableText"/>
              <w:tabs>
                <w:tab w:val="decimal" w:pos="1057"/>
              </w:tabs>
              <w:spacing w:before="120" w:after="60"/>
            </w:pPr>
            <w:r>
              <w:t>0.03</w:t>
            </w:r>
          </w:p>
        </w:tc>
        <w:tc>
          <w:tcPr>
            <w:tcW w:w="1297" w:type="pct"/>
          </w:tcPr>
          <w:p w:rsidR="003C5782" w:rsidRDefault="003C5782" w:rsidP="004B3637">
            <w:pPr>
              <w:pStyle w:val="TableText"/>
              <w:spacing w:before="120" w:after="60"/>
              <w:jc w:val="center"/>
            </w:pPr>
            <w:r>
              <w:t>$1,364</w:t>
            </w:r>
          </w:p>
        </w:tc>
      </w:tr>
    </w:tbl>
    <w:p w:rsidR="003C5782" w:rsidRDefault="003C5782" w:rsidP="003C5782">
      <w:pPr>
        <w:pStyle w:val="TableText"/>
      </w:pPr>
    </w:p>
    <w:p w:rsidR="003C5782" w:rsidRPr="00605AFD" w:rsidRDefault="003C5782" w:rsidP="003C5782">
      <w:pPr>
        <w:pStyle w:val="TableSourceCaption"/>
        <w:rPr>
          <w:sz w:val="20"/>
        </w:rPr>
      </w:pPr>
      <w:r>
        <w:t xml:space="preserve">Note: </w:t>
      </w:r>
      <w:r>
        <w:tab/>
      </w:r>
      <w:r w:rsidRPr="002A0BE3">
        <w:t>We assume an effective response rate of 8</w:t>
      </w:r>
      <w:r>
        <w:t>0</w:t>
      </w:r>
      <w:r w:rsidRPr="002A0BE3">
        <w:t xml:space="preserve"> percent</w:t>
      </w:r>
      <w:r>
        <w:t>, and</w:t>
      </w:r>
      <w:r w:rsidRPr="002A0BE3">
        <w:t xml:space="preserve"> a 50-50 split of sample members into </w:t>
      </w:r>
      <w:r>
        <w:t>program</w:t>
      </w:r>
      <w:r w:rsidRPr="002A0BE3">
        <w:t xml:space="preserve"> and control groups. All calculations assume a 95</w:t>
      </w:r>
      <w:r>
        <w:t>-</w:t>
      </w:r>
      <w:r w:rsidRPr="002A0BE3">
        <w:t>percent confidence level, 80</w:t>
      </w:r>
      <w:r>
        <w:t>-</w:t>
      </w:r>
      <w:r w:rsidRPr="002A0BE3">
        <w:t>percent power, and a one-tailed test.</w:t>
      </w:r>
      <w:r>
        <w:t xml:space="preserve"> We assume an R-squared in the impact regression of 0.50.</w:t>
      </w:r>
    </w:p>
    <w:p w:rsidR="003C5782" w:rsidRDefault="003C5782" w:rsidP="003C5782">
      <w:pPr>
        <w:pStyle w:val="TableFootnoteCaption"/>
        <w:spacing w:after="0"/>
      </w:pPr>
      <w:r w:rsidRPr="00167B67">
        <w:rPr>
          <w:vertAlign w:val="superscript"/>
        </w:rPr>
        <w:t>a.</w:t>
      </w:r>
      <w:r>
        <w:t xml:space="preserve"> </w:t>
      </w:r>
      <w:proofErr w:type="spellStart"/>
      <w:r>
        <w:t>Lippold</w:t>
      </w:r>
      <w:proofErr w:type="spellEnd"/>
      <w:r>
        <w:t xml:space="preserve"> and Sorensen (2011).</w:t>
      </w:r>
    </w:p>
    <w:p w:rsidR="003C5782" w:rsidRDefault="003C5782" w:rsidP="003C5782">
      <w:pPr>
        <w:pStyle w:val="TableFootnoteCaption"/>
      </w:pPr>
      <w:r w:rsidRPr="00167B67">
        <w:rPr>
          <w:vertAlign w:val="superscript"/>
        </w:rPr>
        <w:t>b.</w:t>
      </w:r>
      <w:r>
        <w:t xml:space="preserve"> Building Strong Families Study.</w:t>
      </w:r>
    </w:p>
    <w:p w:rsidR="003C5782" w:rsidRDefault="003C5782" w:rsidP="003C5782">
      <w:pPr>
        <w:pStyle w:val="NormalSS"/>
        <w:ind w:firstLine="0"/>
      </w:pPr>
    </w:p>
    <w:p w:rsidR="003C5782" w:rsidRDefault="003C5782" w:rsidP="00645502">
      <w:pPr>
        <w:pStyle w:val="NormalSS"/>
      </w:pPr>
      <w:r>
        <w:t>For the HM impact evaluation, a sample of 400</w:t>
      </w:r>
      <w:r w:rsidR="004C4E7E">
        <w:t xml:space="preserve"> couples at baseline</w:t>
      </w:r>
      <w:r>
        <w:t xml:space="preserve">, which we expect to be the </w:t>
      </w:r>
      <w:r w:rsidR="007234BB">
        <w:t>grantee</w:t>
      </w:r>
      <w:r>
        <w:t xml:space="preserve">-level sample size, is </w:t>
      </w:r>
      <w:r w:rsidR="00645502">
        <w:t xml:space="preserve">also </w:t>
      </w:r>
      <w:r>
        <w:t xml:space="preserve">large enough to detect impacts on </w:t>
      </w:r>
      <w:r w:rsidR="00645502">
        <w:t>key outcomes. As Table B.2</w:t>
      </w:r>
      <w:r>
        <w:t xml:space="preserve"> shows, with a single-site sample of 400 couples (200 in the program group and 200 in the control group) with baseline data and 320 couples with anticipated 12-month follow-up data (80 percent response rate), we are confident of detecting impacts on continuous outcomes, such as relationship quality scales or parenting scales, of effect sizes of 0.20 or larger. This sample size is sufficient to detect the impact found on relationship quality (0.31 standard deviations) in the Oklahoma site of Building Strong Families at 15 months</w:t>
      </w:r>
      <w:r w:rsidR="00B1115F">
        <w:t xml:space="preserve"> (Wood et al</w:t>
      </w:r>
      <w:r>
        <w:t>.</w:t>
      </w:r>
      <w:r w:rsidR="00B1115F">
        <w:t xml:space="preserve"> 2012).</w:t>
      </w:r>
      <w:r>
        <w:t xml:space="preserve"> </w:t>
      </w:r>
    </w:p>
    <w:p w:rsidR="004B4C6A" w:rsidRDefault="004B4C6A" w:rsidP="00645502">
      <w:pPr>
        <w:pStyle w:val="NormalSS"/>
      </w:pPr>
    </w:p>
    <w:p w:rsidR="004B4C6A" w:rsidRDefault="004B4C6A" w:rsidP="00645502">
      <w:pPr>
        <w:pStyle w:val="NormalSS"/>
      </w:pPr>
    </w:p>
    <w:p w:rsidR="003C5782" w:rsidRDefault="00645502" w:rsidP="003C5782">
      <w:pPr>
        <w:pStyle w:val="MarkforTableHeading"/>
        <w:rPr>
          <w:highlight w:val="yellow"/>
        </w:rPr>
      </w:pPr>
      <w:r>
        <w:lastRenderedPageBreak/>
        <w:t>Table B.2</w:t>
      </w:r>
      <w:r w:rsidR="003C5782" w:rsidRPr="00BD2783">
        <w:t>. Minimum Detectable Impacts for Key Outcomes</w:t>
      </w:r>
    </w:p>
    <w:tbl>
      <w:tblPr>
        <w:tblStyle w:val="SMPRTableBlack"/>
        <w:tblW w:w="4944" w:type="pct"/>
        <w:tblInd w:w="0" w:type="dxa"/>
        <w:tblLook w:val="04A0" w:firstRow="1" w:lastRow="0" w:firstColumn="1" w:lastColumn="0" w:noHBand="0" w:noVBand="1"/>
      </w:tblPr>
      <w:tblGrid>
        <w:gridCol w:w="2989"/>
        <w:gridCol w:w="3511"/>
        <w:gridCol w:w="2969"/>
      </w:tblGrid>
      <w:tr w:rsidR="003C5782" w:rsidRPr="002A0BE3" w:rsidTr="004B3637">
        <w:trPr>
          <w:cnfStyle w:val="100000000000" w:firstRow="1" w:lastRow="0" w:firstColumn="0" w:lastColumn="0" w:oddVBand="0" w:evenVBand="0" w:oddHBand="0" w:evenHBand="0" w:firstRowFirstColumn="0" w:firstRowLastColumn="0" w:lastRowFirstColumn="0" w:lastRowLastColumn="0"/>
        </w:trPr>
        <w:tc>
          <w:tcPr>
            <w:tcW w:w="1578" w:type="pct"/>
            <w:vAlign w:val="bottom"/>
          </w:tcPr>
          <w:p w:rsidR="003C5782" w:rsidRPr="002A0BE3" w:rsidRDefault="003C5782" w:rsidP="004B3637">
            <w:pPr>
              <w:pStyle w:val="TableHeaderLeft"/>
            </w:pPr>
            <w:r w:rsidRPr="002A0BE3">
              <w:t>Sample Size</w:t>
            </w:r>
            <w:r>
              <w:br/>
              <w:t>(Couples)</w:t>
            </w:r>
            <w:r>
              <w:br/>
              <w:t>(Baseline/Follow-up)</w:t>
            </w:r>
          </w:p>
        </w:tc>
        <w:tc>
          <w:tcPr>
            <w:tcW w:w="1854" w:type="pct"/>
            <w:vAlign w:val="bottom"/>
          </w:tcPr>
          <w:p w:rsidR="003C5782" w:rsidRPr="002A0BE3" w:rsidRDefault="003C5782" w:rsidP="004B3637">
            <w:pPr>
              <w:pStyle w:val="TableHeaderCenter"/>
            </w:pPr>
            <w:r>
              <w:t xml:space="preserve">Likelihood of Couple Being Still Romantically Involved </w:t>
            </w:r>
            <w:r>
              <w:br/>
              <w:t>(Percentage Points)</w:t>
            </w:r>
            <w:r>
              <w:br/>
              <w:t>Control = 0.76</w:t>
            </w:r>
            <w:r w:rsidRPr="00E10395">
              <w:rPr>
                <w:vertAlign w:val="superscript"/>
              </w:rPr>
              <w:t>a</w:t>
            </w:r>
          </w:p>
        </w:tc>
        <w:tc>
          <w:tcPr>
            <w:tcW w:w="1568" w:type="pct"/>
            <w:vAlign w:val="bottom"/>
          </w:tcPr>
          <w:p w:rsidR="003C5782" w:rsidRPr="002A0BE3" w:rsidRDefault="003C5782" w:rsidP="004B3637">
            <w:pPr>
              <w:pStyle w:val="TableHeaderCenter"/>
            </w:pPr>
            <w:r>
              <w:t>Continuous Outcome</w:t>
            </w:r>
            <w:r>
              <w:br/>
              <w:t>(Effect size</w:t>
            </w:r>
            <w:r w:rsidRPr="002A0BE3">
              <w:t>)</w:t>
            </w:r>
          </w:p>
        </w:tc>
      </w:tr>
      <w:tr w:rsidR="003C5782" w:rsidRPr="002A0BE3" w:rsidTr="004B3637">
        <w:tc>
          <w:tcPr>
            <w:tcW w:w="1578" w:type="pct"/>
          </w:tcPr>
          <w:p w:rsidR="003C5782" w:rsidRPr="002A0BE3" w:rsidRDefault="003C5782" w:rsidP="004B3637">
            <w:pPr>
              <w:pStyle w:val="TableText"/>
              <w:spacing w:before="120" w:after="60"/>
            </w:pPr>
            <w:r>
              <w:t>400/320</w:t>
            </w:r>
          </w:p>
        </w:tc>
        <w:tc>
          <w:tcPr>
            <w:tcW w:w="1854" w:type="pct"/>
          </w:tcPr>
          <w:p w:rsidR="003C5782" w:rsidRPr="00E10395" w:rsidRDefault="003C5782" w:rsidP="004B3637">
            <w:pPr>
              <w:pStyle w:val="TableText"/>
              <w:tabs>
                <w:tab w:val="decimal" w:pos="1601"/>
              </w:tabs>
              <w:spacing w:before="120" w:after="60"/>
            </w:pPr>
            <w:r>
              <w:t>8.4</w:t>
            </w:r>
          </w:p>
        </w:tc>
        <w:tc>
          <w:tcPr>
            <w:tcW w:w="1568" w:type="pct"/>
          </w:tcPr>
          <w:p w:rsidR="003C5782" w:rsidRDefault="003C5782" w:rsidP="004B3637">
            <w:pPr>
              <w:pStyle w:val="TableText"/>
              <w:tabs>
                <w:tab w:val="decimal" w:pos="1300"/>
              </w:tabs>
              <w:spacing w:before="120" w:after="60"/>
            </w:pPr>
            <w:r>
              <w:t>0.20</w:t>
            </w:r>
          </w:p>
        </w:tc>
      </w:tr>
      <w:tr w:rsidR="003C5782" w:rsidRPr="002A0BE3" w:rsidTr="004B3637">
        <w:tc>
          <w:tcPr>
            <w:tcW w:w="1578" w:type="pct"/>
          </w:tcPr>
          <w:p w:rsidR="003C5782" w:rsidRPr="002A0BE3" w:rsidRDefault="003C5782" w:rsidP="004B3637">
            <w:pPr>
              <w:pStyle w:val="TableText"/>
              <w:spacing w:before="120" w:after="60"/>
            </w:pPr>
            <w:r>
              <w:t>600/480</w:t>
            </w:r>
          </w:p>
        </w:tc>
        <w:tc>
          <w:tcPr>
            <w:tcW w:w="1854" w:type="pct"/>
          </w:tcPr>
          <w:p w:rsidR="003C5782" w:rsidRPr="002A0BE3" w:rsidRDefault="003C5782" w:rsidP="004B3637">
            <w:pPr>
              <w:pStyle w:val="TableText"/>
              <w:tabs>
                <w:tab w:val="decimal" w:pos="1601"/>
              </w:tabs>
              <w:spacing w:before="120" w:after="60"/>
            </w:pPr>
            <w:r>
              <w:t>6.9</w:t>
            </w:r>
          </w:p>
        </w:tc>
        <w:tc>
          <w:tcPr>
            <w:tcW w:w="1568" w:type="pct"/>
          </w:tcPr>
          <w:p w:rsidR="003C5782" w:rsidRDefault="003C5782" w:rsidP="004B3637">
            <w:pPr>
              <w:pStyle w:val="TableText"/>
              <w:tabs>
                <w:tab w:val="decimal" w:pos="1300"/>
              </w:tabs>
              <w:spacing w:before="120" w:after="60"/>
            </w:pPr>
            <w:r>
              <w:t>0.16</w:t>
            </w:r>
          </w:p>
        </w:tc>
      </w:tr>
      <w:tr w:rsidR="003C5782" w:rsidRPr="002A0BE3" w:rsidTr="004B3637">
        <w:tc>
          <w:tcPr>
            <w:tcW w:w="1578" w:type="pct"/>
          </w:tcPr>
          <w:p w:rsidR="003C5782" w:rsidRDefault="003C5782" w:rsidP="004B3637">
            <w:pPr>
              <w:pStyle w:val="TableText"/>
              <w:spacing w:before="120" w:after="60"/>
            </w:pPr>
            <w:r>
              <w:t>800/640</w:t>
            </w:r>
          </w:p>
        </w:tc>
        <w:tc>
          <w:tcPr>
            <w:tcW w:w="1854" w:type="pct"/>
          </w:tcPr>
          <w:p w:rsidR="003C5782" w:rsidRDefault="003C5782" w:rsidP="004B3637">
            <w:pPr>
              <w:pStyle w:val="TableText"/>
              <w:tabs>
                <w:tab w:val="decimal" w:pos="1601"/>
              </w:tabs>
              <w:spacing w:before="120" w:after="60"/>
            </w:pPr>
            <w:r>
              <w:t>5.9</w:t>
            </w:r>
          </w:p>
        </w:tc>
        <w:tc>
          <w:tcPr>
            <w:tcW w:w="1568" w:type="pct"/>
          </w:tcPr>
          <w:p w:rsidR="003C5782" w:rsidRDefault="003C5782" w:rsidP="004B3637">
            <w:pPr>
              <w:pStyle w:val="TableText"/>
              <w:tabs>
                <w:tab w:val="decimal" w:pos="1300"/>
              </w:tabs>
              <w:spacing w:before="120" w:after="60"/>
            </w:pPr>
            <w:r>
              <w:t>0.14</w:t>
            </w:r>
          </w:p>
        </w:tc>
      </w:tr>
      <w:tr w:rsidR="003C5782" w:rsidRPr="002A0BE3" w:rsidTr="004B3637">
        <w:tc>
          <w:tcPr>
            <w:tcW w:w="1578" w:type="pct"/>
          </w:tcPr>
          <w:p w:rsidR="003C5782" w:rsidRPr="002A0BE3" w:rsidRDefault="003C5782" w:rsidP="004B3637">
            <w:pPr>
              <w:pStyle w:val="TableText"/>
              <w:spacing w:before="120" w:after="60"/>
            </w:pPr>
            <w:r>
              <w:t>1,800/1,440</w:t>
            </w:r>
          </w:p>
        </w:tc>
        <w:tc>
          <w:tcPr>
            <w:tcW w:w="1854" w:type="pct"/>
          </w:tcPr>
          <w:p w:rsidR="003C5782" w:rsidRPr="002A0BE3" w:rsidRDefault="003C5782" w:rsidP="004B3637">
            <w:pPr>
              <w:pStyle w:val="TableText"/>
              <w:tabs>
                <w:tab w:val="decimal" w:pos="1601"/>
              </w:tabs>
              <w:spacing w:before="120" w:after="60"/>
            </w:pPr>
            <w:r>
              <w:t>4.0</w:t>
            </w:r>
          </w:p>
        </w:tc>
        <w:tc>
          <w:tcPr>
            <w:tcW w:w="1568" w:type="pct"/>
          </w:tcPr>
          <w:p w:rsidR="003C5782" w:rsidRPr="002A0BE3" w:rsidRDefault="003C5782" w:rsidP="004B3637">
            <w:pPr>
              <w:pStyle w:val="TableText"/>
              <w:tabs>
                <w:tab w:val="decimal" w:pos="1300"/>
              </w:tabs>
              <w:spacing w:before="120" w:after="60"/>
            </w:pPr>
            <w:r>
              <w:t>0.09</w:t>
            </w:r>
          </w:p>
        </w:tc>
      </w:tr>
    </w:tbl>
    <w:p w:rsidR="003C5782" w:rsidRPr="00605AFD" w:rsidRDefault="003C5782" w:rsidP="003C5782">
      <w:pPr>
        <w:pStyle w:val="TableSourceCaption"/>
        <w:spacing w:before="120"/>
        <w:rPr>
          <w:sz w:val="20"/>
        </w:rPr>
      </w:pPr>
      <w:r>
        <w:t xml:space="preserve">Note: </w:t>
      </w:r>
      <w:r>
        <w:tab/>
      </w:r>
      <w:r w:rsidRPr="002A0BE3">
        <w:t>We assume an effective response rate of 8</w:t>
      </w:r>
      <w:r>
        <w:t>0</w:t>
      </w:r>
      <w:r w:rsidRPr="002A0BE3">
        <w:t xml:space="preserve"> percent</w:t>
      </w:r>
      <w:r>
        <w:t>, and</w:t>
      </w:r>
      <w:r w:rsidRPr="002A0BE3">
        <w:t xml:space="preserve"> a 50-50 split of </w:t>
      </w:r>
      <w:r>
        <w:t>couples</w:t>
      </w:r>
      <w:r w:rsidRPr="002A0BE3">
        <w:t xml:space="preserve"> into </w:t>
      </w:r>
      <w:r>
        <w:t>program</w:t>
      </w:r>
      <w:r w:rsidRPr="002A0BE3">
        <w:t xml:space="preserve"> and control groups. All calculations assume a 95</w:t>
      </w:r>
      <w:r>
        <w:t>-</w:t>
      </w:r>
      <w:r w:rsidRPr="002A0BE3">
        <w:t>percent confidence level, 80</w:t>
      </w:r>
      <w:r>
        <w:t>-</w:t>
      </w:r>
      <w:r w:rsidRPr="002A0BE3">
        <w:t>percent power, and a one-tailed test.</w:t>
      </w:r>
      <w:r>
        <w:t xml:space="preserve"> We assume an R-squared in the impact regression of 0.50.</w:t>
      </w:r>
    </w:p>
    <w:p w:rsidR="003C5782" w:rsidRDefault="003C5782" w:rsidP="003C5782">
      <w:pPr>
        <w:pStyle w:val="TableFootnoteCaption"/>
        <w:spacing w:after="0"/>
      </w:pPr>
      <w:r w:rsidRPr="00167B67">
        <w:rPr>
          <w:vertAlign w:val="superscript"/>
        </w:rPr>
        <w:t>a.</w:t>
      </w:r>
      <w:r>
        <w:t xml:space="preserve"> Wood et al. 2012</w:t>
      </w:r>
    </w:p>
    <w:p w:rsidR="003C5782" w:rsidRDefault="003C5782" w:rsidP="003C5782">
      <w:pPr>
        <w:pStyle w:val="TableFootnoteCaption"/>
      </w:pPr>
    </w:p>
    <w:p w:rsidR="00645502" w:rsidRDefault="00645502" w:rsidP="00645502">
      <w:pPr>
        <w:pStyle w:val="NormalSS"/>
      </w:pPr>
      <w:r>
        <w:t xml:space="preserve">However, a sample size of 400 </w:t>
      </w:r>
      <w:r w:rsidR="009460E5">
        <w:t xml:space="preserve">fathers or couples </w:t>
      </w:r>
      <w:r>
        <w:t>per site may not be sufficient for subgroup analysis at the site level, as fewer than 400 fathers or couples per site will belong to any particular subgroup. To conduct subgroup analysis, we will need to be able to pool samples from two or more sites (depending on the size of the subgroup). Pooling sites will also allow us to measure impacts on outcomes that are more variable, such as earnings, and will allow us to measure smaller impacts. Past evaluations have demonstrated</w:t>
      </w:r>
      <w:r w:rsidR="00000680">
        <w:t>:</w:t>
      </w:r>
      <w:r>
        <w:t xml:space="preserve"> </w:t>
      </w:r>
      <w:r w:rsidR="00000680">
        <w:t xml:space="preserve">(1) </w:t>
      </w:r>
      <w:r>
        <w:t>effect sizes of 0.1</w:t>
      </w:r>
      <w:r w:rsidR="00000680">
        <w:t>0</w:t>
      </w:r>
      <w:r>
        <w:t xml:space="preserve"> or greater on relatio</w:t>
      </w:r>
      <w:r w:rsidR="00000680">
        <w:t xml:space="preserve">nship outcomes (Wood et al. 2012; Hsueh et al. 2012) and (2) impacts of </w:t>
      </w:r>
      <w:r>
        <w:t>$1,308 in incr</w:t>
      </w:r>
      <w:r w:rsidR="00B1115F">
        <w:t>eased earnings (</w:t>
      </w:r>
      <w:proofErr w:type="spellStart"/>
      <w:r w:rsidR="00B1115F">
        <w:t>Schochet</w:t>
      </w:r>
      <w:proofErr w:type="spellEnd"/>
      <w:r w:rsidR="00000680">
        <w:t xml:space="preserve"> </w:t>
      </w:r>
      <w:r w:rsidR="00B54CBA">
        <w:t xml:space="preserve">et al. </w:t>
      </w:r>
      <w:r w:rsidR="00000680">
        <w:t xml:space="preserve">2006).  </w:t>
      </w:r>
      <w:r>
        <w:t>A sample of 1,440 completed follow-up surveys will position the evaluation to detect impacts of about this size. Furthermore, a sample of 1,440 will permit subgroup analyses of 320 or about 22 percent.</w:t>
      </w:r>
    </w:p>
    <w:p w:rsidR="00645502" w:rsidRDefault="00645502" w:rsidP="00645502">
      <w:pPr>
        <w:pStyle w:val="NormalSS"/>
      </w:pPr>
      <w:r>
        <w:t>Based on previous experience, we are confident that an 80 percent response rate for the 12-month follow-up data collection can be achieved. The response rate for the 15-month follow-up survey for the Building Strong Families Study was 72 percent for fathers</w:t>
      </w:r>
      <w:r w:rsidR="00B1115F">
        <w:t xml:space="preserve"> </w:t>
      </w:r>
      <w:r w:rsidR="004B4C6A">
        <w:t xml:space="preserve">and 83 percent for mothers; at least one member of the couple responded in 87 percent of couples </w:t>
      </w:r>
      <w:r w:rsidR="00B1115F">
        <w:t>(Wood et al. 2012)</w:t>
      </w:r>
      <w:r>
        <w:t>. We expect to achieve a higher response rate for fathers</w:t>
      </w:r>
      <w:r w:rsidR="004B4C6A">
        <w:t xml:space="preserve"> and mothers in PACT</w:t>
      </w:r>
      <w:r>
        <w:t xml:space="preserve"> than in Building Strong Families for four reasons: (1) we are conducting the follow-up interview at 12 months after random assignment rather than 15 months after random assignment; (2) the baseline survey will be conducted by telephone by a trained interviewer who can collect more detailed and accurate contact information than the grantee staff members who administered the Building Strong Families baseline survey; (3) the PACT baseline survey will collect both email and social media addresses, which were not collected in the Building Strong Families Study; and (4) a reminder about the study and a request for updated contact information will be texted or emailed to respondents at about 6 months after random assignment (these are inc</w:t>
      </w:r>
      <w:r w:rsidR="00000680">
        <w:t>luded in Appendix K</w:t>
      </w:r>
      <w:r>
        <w:t xml:space="preserve"> and have already been approved). </w:t>
      </w:r>
    </w:p>
    <w:p w:rsidR="00AC06CA" w:rsidRDefault="00AC06CA" w:rsidP="00AC06CA">
      <w:pPr>
        <w:pStyle w:val="Heading3"/>
      </w:pPr>
      <w:bookmarkStart w:id="4" w:name="_Toc346605419"/>
      <w:r>
        <w:t>b.</w:t>
      </w:r>
      <w:r>
        <w:tab/>
        <w:t>Unusual Problems Requiring Specialized Sampling Procedures</w:t>
      </w:r>
      <w:bookmarkEnd w:id="4"/>
    </w:p>
    <w:p w:rsidR="00AC06CA" w:rsidRDefault="00AC06CA" w:rsidP="00AC06CA">
      <w:pPr>
        <w:pStyle w:val="NormalSS"/>
      </w:pPr>
      <w:r>
        <w:t>There are no unusual problems requiring specialized sampling procedures.</w:t>
      </w:r>
    </w:p>
    <w:p w:rsidR="00AC06CA" w:rsidRDefault="00AC06CA" w:rsidP="00AC06CA">
      <w:pPr>
        <w:pStyle w:val="Heading3"/>
      </w:pPr>
      <w:bookmarkStart w:id="5" w:name="_Toc346605420"/>
      <w:r>
        <w:t>c.</w:t>
      </w:r>
      <w:r>
        <w:tab/>
        <w:t xml:space="preserve">Periodic Cycles </w:t>
      </w:r>
      <w:r w:rsidR="002C00E9">
        <w:t>of Data Collection</w:t>
      </w:r>
      <w:bookmarkEnd w:id="5"/>
    </w:p>
    <w:p w:rsidR="00000680" w:rsidRDefault="00F41903" w:rsidP="00F41903">
      <w:bookmarkStart w:id="6" w:name="_Toc346605421"/>
      <w:r>
        <w:t>There will only be one cycle of follow-up surveys.</w:t>
      </w:r>
    </w:p>
    <w:p w:rsidR="00AC06CA" w:rsidRDefault="00AC06CA" w:rsidP="00AC06CA">
      <w:pPr>
        <w:pStyle w:val="Heading2Black"/>
      </w:pPr>
      <w:r>
        <w:lastRenderedPageBreak/>
        <w:t>3.</w:t>
      </w:r>
      <w:r>
        <w:tab/>
        <w:t>Methods to Maximize Response Rates and Data Reliability</w:t>
      </w:r>
      <w:bookmarkEnd w:id="6"/>
    </w:p>
    <w:p w:rsidR="003C5782" w:rsidRDefault="00F41903" w:rsidP="003C5782">
      <w:pPr>
        <w:pStyle w:val="NormalSS"/>
      </w:pPr>
      <w:r>
        <w:t>T</w:t>
      </w:r>
      <w:r w:rsidR="003C5782">
        <w:t xml:space="preserve">o maximize response rates and data reliability for the </w:t>
      </w:r>
      <w:r>
        <w:t>follow-up</w:t>
      </w:r>
      <w:r w:rsidR="003C5782">
        <w:t xml:space="preserve"> survey, we will take the following steps:</w:t>
      </w:r>
    </w:p>
    <w:p w:rsidR="003C5782" w:rsidRDefault="003C5782" w:rsidP="005F2F72">
      <w:pPr>
        <w:pStyle w:val="BulletBlack"/>
      </w:pPr>
      <w:r w:rsidRPr="009D5240">
        <w:rPr>
          <w:b/>
        </w:rPr>
        <w:t>Use a pretested</w:t>
      </w:r>
      <w:r w:rsidR="00D14353">
        <w:rPr>
          <w:b/>
        </w:rPr>
        <w:t>, straightforward, undemanding</w:t>
      </w:r>
      <w:r w:rsidRPr="009D5240">
        <w:rPr>
          <w:b/>
        </w:rPr>
        <w:t xml:space="preserve"> questionnaire.</w:t>
      </w:r>
      <w:r>
        <w:t xml:space="preserve"> While the </w:t>
      </w:r>
      <w:r w:rsidR="00F41903">
        <w:t>follow-up</w:t>
      </w:r>
      <w:r>
        <w:t xml:space="preserve"> questionnaire is unique to the current evaluation, </w:t>
      </w:r>
      <w:r w:rsidR="00F41903">
        <w:t>many</w:t>
      </w:r>
      <w:r>
        <w:t xml:space="preserve"> of the questions included </w:t>
      </w:r>
      <w:r w:rsidR="00F41903">
        <w:t xml:space="preserve">in the survey </w:t>
      </w:r>
      <w:r>
        <w:t xml:space="preserve">have been used successfully in prior studies.  </w:t>
      </w:r>
      <w:r w:rsidR="00D14353">
        <w:t xml:space="preserve">The questions use clear and straightforward language. </w:t>
      </w:r>
      <w:r>
        <w:t xml:space="preserve">The </w:t>
      </w:r>
      <w:r w:rsidR="00F41903">
        <w:t>questionnaire</w:t>
      </w:r>
      <w:r>
        <w:t xml:space="preserve"> has been extensively reviewed and reflects information obtained through cognitive interviews or pretests with </w:t>
      </w:r>
      <w:r w:rsidR="00D14353">
        <w:t>nine</w:t>
      </w:r>
      <w:r>
        <w:t xml:space="preserve"> individuals</w:t>
      </w:r>
      <w:r w:rsidR="00C26F12">
        <w:t xml:space="preserve"> for the RF Follow-up questionnaire and nine individuals for the HM Follow-up questionnaire</w:t>
      </w:r>
      <w:r>
        <w:t xml:space="preserve"> who have backgrounds similar to anticipated PACT Evaluation </w:t>
      </w:r>
      <w:r w:rsidR="00D14353">
        <w:t xml:space="preserve">study </w:t>
      </w:r>
      <w:r>
        <w:t xml:space="preserve">participants. The same </w:t>
      </w:r>
      <w:r w:rsidR="00F41903">
        <w:t>follow-up</w:t>
      </w:r>
      <w:r>
        <w:t xml:space="preserve"> survey will be used across all telephone interviewers and PACT program sites, ensuring consistency in data collection.</w:t>
      </w:r>
      <w:r w:rsidR="00D14353" w:rsidRPr="00D14353">
        <w:t xml:space="preserve"> </w:t>
      </w:r>
      <w:r w:rsidR="00D14353">
        <w:t>The average time required for the respondent to complete the survey is estimated at 45 minutes.</w:t>
      </w:r>
    </w:p>
    <w:p w:rsidR="003C5782" w:rsidRDefault="003C5782" w:rsidP="005F2F72">
      <w:pPr>
        <w:pStyle w:val="BulletBlack"/>
      </w:pPr>
      <w:r w:rsidRPr="009D5240">
        <w:rPr>
          <w:b/>
        </w:rPr>
        <w:t>Administer the survey using computer-assisted te</w:t>
      </w:r>
      <w:r w:rsidR="00D14353">
        <w:rPr>
          <w:b/>
        </w:rPr>
        <w:t>lephone</w:t>
      </w:r>
      <w:r w:rsidRPr="009D5240">
        <w:rPr>
          <w:b/>
        </w:rPr>
        <w:t xml:space="preserve"> interviewing (CATI).</w:t>
      </w:r>
      <w:r>
        <w:t xml:space="preserve"> Administering the </w:t>
      </w:r>
      <w:r w:rsidR="00F41903">
        <w:t>follow-up</w:t>
      </w:r>
      <w:r>
        <w:t xml:space="preserve"> survey via CATI will maximize the reliability of the data entered by telephone interviewers through skip-pattern logic and checks for consistency and validity. </w:t>
      </w:r>
    </w:p>
    <w:p w:rsidR="003C5782" w:rsidRDefault="003C5782" w:rsidP="005F2F72">
      <w:pPr>
        <w:pStyle w:val="BulletBlack"/>
      </w:pPr>
      <w:r w:rsidRPr="009D5240">
        <w:rPr>
          <w:b/>
        </w:rPr>
        <w:t>Use trained</w:t>
      </w:r>
      <w:r w:rsidR="00D14353">
        <w:rPr>
          <w:b/>
        </w:rPr>
        <w:t xml:space="preserve"> experienced</w:t>
      </w:r>
      <w:r w:rsidRPr="009D5240">
        <w:rPr>
          <w:b/>
        </w:rPr>
        <w:t xml:space="preserve"> interviewers.</w:t>
      </w:r>
      <w:r>
        <w:t xml:space="preserve"> Respondents will be interviewed by trained members of </w:t>
      </w:r>
      <w:proofErr w:type="spellStart"/>
      <w:r>
        <w:t>Mathematica’s</w:t>
      </w:r>
      <w:proofErr w:type="spellEnd"/>
      <w:r>
        <w:t xml:space="preserve"> survey operations staff. Most of these staff </w:t>
      </w:r>
      <w:proofErr w:type="gramStart"/>
      <w:r>
        <w:t>are</w:t>
      </w:r>
      <w:proofErr w:type="gramEnd"/>
      <w:r>
        <w:t xml:space="preserve"> familiar with similar questionnaire content. All survey staff assigned to the study will participate in both general training (if they are not already trained) and an extensive project-specific training. Interviewers will not work on the study until they have been certified as prepared. The project-specific training will include role playing with scenarios and other techniques to ensure that interviewers are ready to respond effectively to sample members’ questions. They will also focus on developing skills for securing respondents’ cooperation and averting and converting refusals.</w:t>
      </w:r>
    </w:p>
    <w:p w:rsidR="009460E5" w:rsidRDefault="00D14353" w:rsidP="00D14353">
      <w:pPr>
        <w:pStyle w:val="BulletBlack"/>
      </w:pPr>
      <w:r w:rsidRPr="00D14353">
        <w:rPr>
          <w:b/>
        </w:rPr>
        <w:t>Reminder messages to sample members.</w:t>
      </w:r>
      <w:r>
        <w:rPr>
          <w:b/>
        </w:rPr>
        <w:t xml:space="preserve"> </w:t>
      </w:r>
      <w:proofErr w:type="spellStart"/>
      <w:r>
        <w:t>Mathematica</w:t>
      </w:r>
      <w:proofErr w:type="spellEnd"/>
      <w:r>
        <w:t xml:space="preserve"> staff will send reminder text messages about the follow-up survey to sample members who have provided permission for </w:t>
      </w:r>
      <w:proofErr w:type="spellStart"/>
      <w:r>
        <w:t>Mathematica</w:t>
      </w:r>
      <w:proofErr w:type="spellEnd"/>
      <w:r>
        <w:t xml:space="preserve"> to contact them via text messages. The reminder text messages will include the toll-free number for sample members to call-in to complete the survey. We will also send similar reminder messages via email. We will send up to three reminder text or email messages to sample members. (These reminder messages </w:t>
      </w:r>
      <w:r w:rsidR="007C33E6">
        <w:t>were included in the ICR package approved on August 27, 2013).</w:t>
      </w:r>
    </w:p>
    <w:p w:rsidR="00D14353" w:rsidRPr="009460E5" w:rsidRDefault="009460E5" w:rsidP="009460E5">
      <w:pPr>
        <w:pStyle w:val="BulletBlack"/>
        <w:rPr>
          <w:b/>
        </w:rPr>
      </w:pPr>
      <w:r w:rsidRPr="00D14353">
        <w:rPr>
          <w:b/>
        </w:rPr>
        <w:t xml:space="preserve">Send an advance letter. </w:t>
      </w:r>
      <w:r w:rsidRPr="005F2F72">
        <w:t>Prior to attempting to conduct the survey,</w:t>
      </w:r>
      <w:r w:rsidRPr="00D14353">
        <w:rPr>
          <w:b/>
        </w:rPr>
        <w:t xml:space="preserve"> </w:t>
      </w:r>
      <w:proofErr w:type="spellStart"/>
      <w:r>
        <w:t>Mathematica</w:t>
      </w:r>
      <w:proofErr w:type="spellEnd"/>
      <w:r>
        <w:t xml:space="preserve"> will send a letter to the sample member’s mailing address to remind them about the survey. The advance letters for the RF and HM sample members are included in Appendix </w:t>
      </w:r>
      <w:r w:rsidR="00F635DD">
        <w:t>L</w:t>
      </w:r>
      <w:r>
        <w:t xml:space="preserve">. The letter will include the toll-free number so sample members can call-in to complete the survey. </w:t>
      </w:r>
      <w:r w:rsidR="007C33E6">
        <w:t xml:space="preserve"> </w:t>
      </w:r>
      <w:r w:rsidR="00D14353">
        <w:t xml:space="preserve"> </w:t>
      </w:r>
    </w:p>
    <w:p w:rsidR="005F2F72" w:rsidRDefault="005F2F72" w:rsidP="005F2F72">
      <w:pPr>
        <w:pStyle w:val="BulletBlack"/>
      </w:pPr>
      <w:r w:rsidRPr="007C33E6">
        <w:rPr>
          <w:b/>
        </w:rPr>
        <w:t>Use specialized expert locating staff.</w:t>
      </w:r>
      <w:r>
        <w:t xml:space="preserve"> Specially-trained staff at </w:t>
      </w:r>
      <w:proofErr w:type="spellStart"/>
      <w:r>
        <w:t>Mathematica</w:t>
      </w:r>
      <w:proofErr w:type="spellEnd"/>
      <w:r>
        <w:t xml:space="preserve"> will utilize multiple database searchers to find additional, updated contact information for sample members (e.g., address, telephone number) for</w:t>
      </w:r>
      <w:r w:rsidR="007C33E6">
        <w:t xml:space="preserve"> </w:t>
      </w:r>
      <w:proofErr w:type="gramStart"/>
      <w:r w:rsidR="007C33E6">
        <w:t>whom</w:t>
      </w:r>
      <w:proofErr w:type="gramEnd"/>
      <w:r w:rsidR="007C33E6">
        <w:t xml:space="preserve"> attempts at </w:t>
      </w:r>
      <w:r w:rsidR="007C33E6">
        <w:lastRenderedPageBreak/>
        <w:t>contacting are unsuccessful.</w:t>
      </w:r>
      <w:r>
        <w:t xml:space="preserve"> Attempts will then be made to contact sample members using the new contact information.  </w:t>
      </w:r>
    </w:p>
    <w:p w:rsidR="005F2F72" w:rsidRDefault="005F2F72" w:rsidP="005F2F72">
      <w:pPr>
        <w:pStyle w:val="BulletBlack"/>
      </w:pPr>
      <w:r>
        <w:rPr>
          <w:b/>
        </w:rPr>
        <w:t xml:space="preserve">Use trained field </w:t>
      </w:r>
      <w:r w:rsidR="007C33E6">
        <w:rPr>
          <w:b/>
        </w:rPr>
        <w:t>locators</w:t>
      </w:r>
      <w:r>
        <w:rPr>
          <w:b/>
        </w:rPr>
        <w:t xml:space="preserve">. </w:t>
      </w:r>
      <w:r>
        <w:t>Skilled f</w:t>
      </w:r>
      <w:r w:rsidRPr="00DB3D1D">
        <w:t xml:space="preserve">ield </w:t>
      </w:r>
      <w:r w:rsidR="007C33E6">
        <w:t>locators</w:t>
      </w:r>
      <w:r w:rsidRPr="00DB3D1D">
        <w:t xml:space="preserve"> </w:t>
      </w:r>
      <w:r>
        <w:t xml:space="preserve">will be used </w:t>
      </w:r>
      <w:r w:rsidRPr="00DB3D1D">
        <w:t xml:space="preserve">to locate </w:t>
      </w:r>
      <w:r>
        <w:t xml:space="preserve">sample members who we are unable to </w:t>
      </w:r>
      <w:r w:rsidR="007C33E6">
        <w:t xml:space="preserve">be </w:t>
      </w:r>
      <w:r>
        <w:t>reach</w:t>
      </w:r>
      <w:r w:rsidR="007C33E6">
        <w:t>ed</w:t>
      </w:r>
      <w:r>
        <w:t xml:space="preserve"> via telephone. The field interviewers will start their locating effort in the area of sample members’ last known residence.  Once found, the field interviewer will use a cell phone to connect the sample member to the telephone interviewing staff to complete the survey at that time.</w:t>
      </w:r>
      <w:r w:rsidR="00D14353">
        <w:t xml:space="preserve"> Field locators will also attempt refusal conversion of sample members who refused to complete the survey over the telephone.  </w:t>
      </w:r>
      <w:r w:rsidR="009460E5">
        <w:t>O</w:t>
      </w:r>
      <w:r w:rsidR="00D14353">
        <w:t>nce the sample member is located or agrees to complete the telephone interview, the field locator will contact the telephone center on an available land-line u</w:t>
      </w:r>
      <w:r w:rsidR="007C33E6">
        <w:t>sing a toll-free number or on a</w:t>
      </w:r>
      <w:r w:rsidR="00D14353">
        <w:t xml:space="preserve"> </w:t>
      </w:r>
      <w:proofErr w:type="spellStart"/>
      <w:r w:rsidR="007C33E6">
        <w:t>Mathematica</w:t>
      </w:r>
      <w:proofErr w:type="spellEnd"/>
      <w:r w:rsidR="00D14353">
        <w:t xml:space="preserve">-provided cellular telephone.  The sample member will complete the interview with a telephone interviewer.  </w:t>
      </w:r>
    </w:p>
    <w:p w:rsidR="003C5782" w:rsidRDefault="003C5782" w:rsidP="005F2F72">
      <w:pPr>
        <w:pStyle w:val="BulletBlack"/>
      </w:pPr>
      <w:r w:rsidRPr="009D5240">
        <w:rPr>
          <w:b/>
        </w:rPr>
        <w:t>Be able to administer the survey in multiple languages.</w:t>
      </w:r>
      <w:r>
        <w:t xml:space="preserve"> </w:t>
      </w:r>
      <w:r w:rsidR="009460E5">
        <w:t>At the beginning of the call,</w:t>
      </w:r>
      <w:r>
        <w:t xml:space="preserve"> interviewers will identify Spanish-speaking respondents and connect them to a bilingual interviewer. When necessary, translators for languages other than Spanish will be used. </w:t>
      </w:r>
      <w:proofErr w:type="spellStart"/>
      <w:r>
        <w:t>Mathematica</w:t>
      </w:r>
      <w:proofErr w:type="spellEnd"/>
      <w:r>
        <w:t xml:space="preserve"> employs </w:t>
      </w:r>
      <w:proofErr w:type="gramStart"/>
      <w:r>
        <w:t>staff who speak</w:t>
      </w:r>
      <w:proofErr w:type="gramEnd"/>
      <w:r>
        <w:t xml:space="preserve"> a wide range of languages and have experience conducting interviews in a number of languages. </w:t>
      </w:r>
    </w:p>
    <w:p w:rsidR="00B1115F" w:rsidRDefault="003C5782" w:rsidP="009460E5">
      <w:pPr>
        <w:pStyle w:val="BulletBlack"/>
      </w:pPr>
      <w:r w:rsidRPr="009D5240">
        <w:rPr>
          <w:b/>
        </w:rPr>
        <w:t xml:space="preserve">Provide </w:t>
      </w:r>
      <w:r w:rsidR="009B0F79">
        <w:rPr>
          <w:b/>
        </w:rPr>
        <w:t>appreciation</w:t>
      </w:r>
      <w:r w:rsidRPr="009D5240">
        <w:rPr>
          <w:b/>
        </w:rPr>
        <w:t xml:space="preserve"> for survey participants.</w:t>
      </w:r>
      <w:r>
        <w:t xml:space="preserve"> We suggest offering a modest $</w:t>
      </w:r>
      <w:r w:rsidR="00F41903">
        <w:t>25</w:t>
      </w:r>
      <w:r>
        <w:t xml:space="preserve"> </w:t>
      </w:r>
      <w:r w:rsidR="009B0F79">
        <w:t>in appreciation</w:t>
      </w:r>
      <w:r>
        <w:t xml:space="preserve"> to </w:t>
      </w:r>
      <w:r w:rsidR="00F41903">
        <w:t>follow-up</w:t>
      </w:r>
      <w:r>
        <w:t xml:space="preserve"> survey respondents to increase </w:t>
      </w:r>
      <w:r w:rsidR="00F41903">
        <w:t>response rates</w:t>
      </w:r>
      <w:r>
        <w:t>. (This is discussed in greater detail in Question A9.)</w:t>
      </w:r>
    </w:p>
    <w:p w:rsidR="005F2F72" w:rsidRDefault="005F2F72" w:rsidP="00FA20FE">
      <w:pPr>
        <w:pStyle w:val="NormalSS"/>
      </w:pPr>
      <w:r>
        <w:t xml:space="preserve">We anticipate high response rates to the follow-up survey. We anticipate that 80 percent of sample members will agree to complete the follow-up survey. Likewise, we do not anticipate significant item nonresponse on the baseline survey based on prior experience asking similar questions with similar populations.  </w:t>
      </w:r>
    </w:p>
    <w:p w:rsidR="009270E3" w:rsidRDefault="009270E3" w:rsidP="00FA20FE">
      <w:pPr>
        <w:pStyle w:val="NormalSS"/>
      </w:pPr>
      <w:r>
        <w:t xml:space="preserve">Some nonresponse is inevitable.  </w:t>
      </w:r>
      <w:proofErr w:type="spellStart"/>
      <w:r w:rsidR="007C33E6">
        <w:t>Mathematica</w:t>
      </w:r>
      <w:proofErr w:type="spellEnd"/>
      <w:r>
        <w:t xml:space="preserve"> will conduct an analysis of nonresponse to assess whether the survey sample is representative of the full sample of </w:t>
      </w:r>
      <w:r w:rsidR="007C33E6">
        <w:t>fathers in the RF research sample and men and women in the HM research sample</w:t>
      </w:r>
      <w:r>
        <w:t xml:space="preserve">.  Using the data on characteristics of the couples collected by the baseline </w:t>
      </w:r>
      <w:r w:rsidR="007C33E6">
        <w:t>surveys</w:t>
      </w:r>
      <w:r>
        <w:t xml:space="preserve">, </w:t>
      </w:r>
      <w:proofErr w:type="spellStart"/>
      <w:r w:rsidR="007C33E6">
        <w:t>Mathematica</w:t>
      </w:r>
      <w:proofErr w:type="spellEnd"/>
      <w:r>
        <w:t xml:space="preserve"> will conduct statistical tests (chi-squared and t-tests) to gauge whether the program group members who participated in data collection are representative of all the program group members, whether the control group members who participated in data collection are representative of all the control group members, and whether there are differences in the program and control group members who responded to the survey.</w:t>
      </w:r>
    </w:p>
    <w:p w:rsidR="009270E3" w:rsidRDefault="009270E3" w:rsidP="00FA20FE">
      <w:pPr>
        <w:pStyle w:val="NormalSS"/>
      </w:pPr>
      <w:r>
        <w:t xml:space="preserve">We will use two approaches to correct for potential nonresponse bias in the estimation of program impacts.  First, the regression models described in Part </w:t>
      </w:r>
      <w:proofErr w:type="gramStart"/>
      <w:r>
        <w:t>A</w:t>
      </w:r>
      <w:proofErr w:type="gramEnd"/>
      <w:r>
        <w:t xml:space="preserve"> Section 16 will adjust for any observed differences between the characteristics of program and control group respondents.  Second, because this regression procedure will not correct for differences between respondents and </w:t>
      </w:r>
      <w:proofErr w:type="spellStart"/>
      <w:r>
        <w:t>nonrespondents</w:t>
      </w:r>
      <w:proofErr w:type="spellEnd"/>
      <w:r>
        <w:t xml:space="preserve"> in each research group, we will construct sample weights so that the weighted baseline characteristics of respondents in the program and control group in each site are similar to the full sample (respondents and </w:t>
      </w:r>
      <w:proofErr w:type="spellStart"/>
      <w:r>
        <w:t>nonrespondents</w:t>
      </w:r>
      <w:proofErr w:type="spellEnd"/>
      <w:r>
        <w:t xml:space="preserve">).  These weights will be constructed using data from the baseline </w:t>
      </w:r>
      <w:r w:rsidR="001A06F4">
        <w:t>surveys</w:t>
      </w:r>
      <w:r>
        <w:t>.</w:t>
      </w:r>
    </w:p>
    <w:p w:rsidR="00AC06CA" w:rsidRDefault="00AC06CA" w:rsidP="00AC06CA">
      <w:pPr>
        <w:pStyle w:val="Heading2Black"/>
      </w:pPr>
      <w:bookmarkStart w:id="7" w:name="_Toc346605422"/>
      <w:r>
        <w:lastRenderedPageBreak/>
        <w:t>4.</w:t>
      </w:r>
      <w:r>
        <w:tab/>
        <w:t>Tests of Procedures or Methods</w:t>
      </w:r>
      <w:bookmarkEnd w:id="7"/>
    </w:p>
    <w:p w:rsidR="009270E3" w:rsidRPr="009270E3" w:rsidRDefault="009270E3" w:rsidP="00FA20FE">
      <w:pPr>
        <w:pStyle w:val="NormalSS"/>
      </w:pPr>
      <w:r>
        <w:t xml:space="preserve">A pretest of the survey </w:t>
      </w:r>
      <w:r w:rsidR="001A06F4">
        <w:t>was</w:t>
      </w:r>
      <w:r>
        <w:t xml:space="preserve"> used:  (1) to identify typical instrumentation problems such as question wording and incomplete or in</w:t>
      </w:r>
      <w:r w:rsidR="00FA20FE">
        <w:t>appropriate response categories and</w:t>
      </w:r>
      <w:r>
        <w:t xml:space="preserve"> (2) to measure the response burden.  </w:t>
      </w:r>
      <w:r w:rsidR="001A06F4">
        <w:t>Each</w:t>
      </w:r>
      <w:r>
        <w:t xml:space="preserve"> instrument </w:t>
      </w:r>
      <w:r w:rsidR="001A06F4">
        <w:t>was</w:t>
      </w:r>
      <w:r>
        <w:t xml:space="preserve"> </w:t>
      </w:r>
      <w:r w:rsidR="00FA20FE">
        <w:t xml:space="preserve">tested </w:t>
      </w:r>
      <w:r>
        <w:t xml:space="preserve">in two rounds in </w:t>
      </w:r>
      <w:r w:rsidR="00FA20FE">
        <w:t>summer 2013</w:t>
      </w:r>
      <w:r>
        <w:t xml:space="preserve"> with </w:t>
      </w:r>
      <w:r w:rsidR="00FA20FE">
        <w:t>fathers who had participated in a responsible fatherhood program and men and women who had participated in a healthy marriage programs</w:t>
      </w:r>
      <w:r>
        <w:t xml:space="preserve">. </w:t>
      </w:r>
      <w:r w:rsidR="00FA20FE">
        <w:t xml:space="preserve">The first four interviews were conducted as cognitive interviews. </w:t>
      </w:r>
      <w:r>
        <w:t xml:space="preserve"> </w:t>
      </w:r>
      <w:r w:rsidR="00FA20FE">
        <w:t xml:space="preserve">The interviewed explored whether respondents understood the questions or had difficulty answering the questions. As a result of the four cognitive interviews for both the RF and HM surveys, the survey instruments were revised.  Some questions were revised to be easier to understand, some questions were removed, and </w:t>
      </w:r>
      <w:r>
        <w:t xml:space="preserve">response categories </w:t>
      </w:r>
      <w:r w:rsidR="00FA20FE">
        <w:t>were added as needed.</w:t>
      </w:r>
      <w:r>
        <w:t xml:space="preserve"> </w:t>
      </w:r>
      <w:r w:rsidR="00FA20FE">
        <w:t xml:space="preserve">The revised surveys were then pretested on </w:t>
      </w:r>
      <w:r w:rsidR="00FA20FE" w:rsidRPr="006F0299">
        <w:t>another five fathers and another five participants of HM programs.</w:t>
      </w:r>
      <w:r w:rsidRPr="006F0299">
        <w:t xml:space="preserve"> As a result of the pretest, we </w:t>
      </w:r>
      <w:r w:rsidR="00FA20FE" w:rsidRPr="006F0299">
        <w:t>made</w:t>
      </w:r>
      <w:r w:rsidRPr="006F0299">
        <w:t xml:space="preserve"> minor changes to correct errors and improve</w:t>
      </w:r>
      <w:r>
        <w:t xml:space="preserve"> the wording of the questions and their sequencing.  </w:t>
      </w:r>
    </w:p>
    <w:p w:rsidR="00437941" w:rsidRDefault="00437941" w:rsidP="001D6138">
      <w:pPr>
        <w:pStyle w:val="Heading2Black"/>
      </w:pPr>
      <w:bookmarkStart w:id="8" w:name="_Toc346605423"/>
      <w:r>
        <w:t>5.</w:t>
      </w:r>
      <w:r>
        <w:tab/>
        <w:t>Individuals Consulted on Statistical Methods</w:t>
      </w:r>
      <w:bookmarkEnd w:id="8"/>
    </w:p>
    <w:p w:rsidR="00437941" w:rsidRDefault="00944545" w:rsidP="00437941">
      <w:pPr>
        <w:pStyle w:val="NormalSS"/>
      </w:pPr>
      <w:r>
        <w:t>I</w:t>
      </w:r>
      <w:r w:rsidR="00B90927">
        <w:t xml:space="preserve">nput on statistical methods </w:t>
      </w:r>
      <w:r w:rsidR="00437941">
        <w:t xml:space="preserve">on statistical methods was received from staff in the ACF Office of Planning, Research, and Evaluation as well as staff at </w:t>
      </w:r>
      <w:proofErr w:type="spellStart"/>
      <w:r w:rsidR="00437941">
        <w:t>Mathematica</w:t>
      </w:r>
      <w:proofErr w:type="spellEnd"/>
      <w:r w:rsidR="00437941">
        <w:t xml:space="preserve"> Policy Research and project and </w:t>
      </w:r>
      <w:r w:rsidR="0058168B">
        <w:t xml:space="preserve">a limited number of staff external to </w:t>
      </w:r>
      <w:proofErr w:type="spellStart"/>
      <w:r w:rsidR="0058168B">
        <w:t>Mathematica</w:t>
      </w:r>
      <w:proofErr w:type="spellEnd"/>
      <w:r w:rsidR="00437941">
        <w:t>.</w:t>
      </w:r>
    </w:p>
    <w:p w:rsidR="008F4943" w:rsidRDefault="008F4943" w:rsidP="008F4943">
      <w:pPr>
        <w:pStyle w:val="NormalSS"/>
        <w:spacing w:after="0"/>
      </w:pPr>
      <w:r>
        <w:t>Ms. Nancye Campbell</w:t>
      </w:r>
    </w:p>
    <w:p w:rsidR="00FA20FE" w:rsidRDefault="00FA20FE" w:rsidP="008F4943">
      <w:pPr>
        <w:pStyle w:val="NormalSS"/>
        <w:spacing w:after="0"/>
      </w:pPr>
      <w:r>
        <w:t>Administration for Children and Families</w:t>
      </w:r>
    </w:p>
    <w:p w:rsidR="00FA20FE" w:rsidRDefault="00FA20FE" w:rsidP="008F4943">
      <w:pPr>
        <w:pStyle w:val="NormalSS"/>
        <w:spacing w:after="0"/>
      </w:pPr>
      <w:r>
        <w:t>U.S. Department of Health and Human Services</w:t>
      </w:r>
    </w:p>
    <w:p w:rsidR="008F4943" w:rsidRDefault="008F4943" w:rsidP="008F4943">
      <w:pPr>
        <w:pStyle w:val="NormalSS"/>
        <w:spacing w:after="0"/>
      </w:pPr>
      <w:r>
        <w:t>7th Floor West</w:t>
      </w:r>
    </w:p>
    <w:p w:rsidR="008F4943" w:rsidRDefault="008F4943" w:rsidP="008F4943">
      <w:pPr>
        <w:pStyle w:val="NormalSS"/>
        <w:spacing w:after="0"/>
      </w:pPr>
      <w:r>
        <w:t>901 D Street, SW</w:t>
      </w:r>
    </w:p>
    <w:p w:rsidR="008F4943" w:rsidRDefault="008F4943" w:rsidP="008F4943">
      <w:pPr>
        <w:pStyle w:val="NormalSS"/>
        <w:spacing w:after="0"/>
      </w:pPr>
      <w:r>
        <w:t>Washington, DC 20447</w:t>
      </w:r>
    </w:p>
    <w:p w:rsidR="008F4943" w:rsidRDefault="008F4943" w:rsidP="008F4943">
      <w:pPr>
        <w:pStyle w:val="NormalSS"/>
        <w:spacing w:after="0"/>
      </w:pPr>
    </w:p>
    <w:p w:rsidR="008F4943" w:rsidRDefault="008F4943" w:rsidP="008F4943">
      <w:pPr>
        <w:pStyle w:val="NormalSS"/>
        <w:spacing w:after="0"/>
      </w:pPr>
      <w:r>
        <w:t>Mr. Seth Chamberlain</w:t>
      </w:r>
    </w:p>
    <w:p w:rsidR="00FA20FE" w:rsidRDefault="00FA20FE" w:rsidP="00FA20FE">
      <w:pPr>
        <w:pStyle w:val="NormalSS"/>
        <w:spacing w:after="0"/>
      </w:pPr>
      <w:r>
        <w:t>Administration for Children and Families</w:t>
      </w:r>
    </w:p>
    <w:p w:rsidR="00FA20FE" w:rsidRDefault="00FA20FE" w:rsidP="00FA20FE">
      <w:pPr>
        <w:pStyle w:val="NormalSS"/>
        <w:spacing w:after="0"/>
      </w:pPr>
      <w:r>
        <w:t>U.S. Department of Health and Human Services</w:t>
      </w:r>
    </w:p>
    <w:p w:rsidR="008F4943" w:rsidRDefault="008F4943" w:rsidP="008F4943">
      <w:pPr>
        <w:pStyle w:val="NormalSS"/>
        <w:spacing w:after="0"/>
      </w:pPr>
      <w:r>
        <w:t>7th Floor West</w:t>
      </w:r>
    </w:p>
    <w:p w:rsidR="008F4943" w:rsidRDefault="008F4943" w:rsidP="008F4943">
      <w:pPr>
        <w:pStyle w:val="NormalSS"/>
        <w:spacing w:after="0"/>
      </w:pPr>
      <w:r>
        <w:t>901 D Street, SW</w:t>
      </w:r>
    </w:p>
    <w:p w:rsidR="008F4943" w:rsidRDefault="008F4943" w:rsidP="008F4943">
      <w:pPr>
        <w:pStyle w:val="NormalSS"/>
        <w:spacing w:after="0"/>
      </w:pPr>
      <w:r>
        <w:t>Washington, DC 20447</w:t>
      </w:r>
    </w:p>
    <w:p w:rsidR="00FA20FE" w:rsidRDefault="00FA20FE" w:rsidP="008F4943">
      <w:pPr>
        <w:pStyle w:val="NormalSS"/>
        <w:keepNext/>
        <w:spacing w:after="0"/>
      </w:pPr>
    </w:p>
    <w:p w:rsidR="008F4943" w:rsidRDefault="00FA20FE" w:rsidP="008F4943">
      <w:pPr>
        <w:pStyle w:val="NormalSS"/>
        <w:keepNext/>
        <w:spacing w:after="0"/>
      </w:pPr>
      <w:r>
        <w:t>Ms. Kathleen McCoy</w:t>
      </w:r>
    </w:p>
    <w:p w:rsidR="00FA20FE" w:rsidRDefault="00FA20FE" w:rsidP="00FA20FE">
      <w:pPr>
        <w:pStyle w:val="NormalSS"/>
        <w:spacing w:after="0"/>
      </w:pPr>
      <w:r>
        <w:t>Administration for Children and Families</w:t>
      </w:r>
    </w:p>
    <w:p w:rsidR="00FA20FE" w:rsidRDefault="00FA20FE" w:rsidP="00FA20FE">
      <w:pPr>
        <w:pStyle w:val="NormalSS"/>
        <w:spacing w:after="0"/>
      </w:pPr>
      <w:r>
        <w:t>U.S. Department of Health and Human Services</w:t>
      </w:r>
    </w:p>
    <w:p w:rsidR="00FA20FE" w:rsidRDefault="00FA20FE" w:rsidP="00FA20FE">
      <w:pPr>
        <w:pStyle w:val="NormalSS"/>
        <w:spacing w:after="0"/>
      </w:pPr>
      <w:r>
        <w:t>7th Floor West</w:t>
      </w:r>
    </w:p>
    <w:p w:rsidR="00FA20FE" w:rsidRDefault="00FA20FE" w:rsidP="00FA20FE">
      <w:pPr>
        <w:pStyle w:val="NormalSS"/>
        <w:spacing w:after="0"/>
      </w:pPr>
      <w:r>
        <w:t>901 D Street, SW</w:t>
      </w:r>
    </w:p>
    <w:p w:rsidR="00FA20FE" w:rsidRDefault="00FA20FE" w:rsidP="00FA20FE">
      <w:pPr>
        <w:pStyle w:val="NormalSS"/>
        <w:spacing w:after="0"/>
      </w:pPr>
      <w:r>
        <w:t>Washington, DC 20447</w:t>
      </w:r>
    </w:p>
    <w:p w:rsidR="00FA20FE" w:rsidRDefault="00FA20FE" w:rsidP="00FA20FE">
      <w:pPr>
        <w:pStyle w:val="NormalSS"/>
        <w:keepNext/>
        <w:spacing w:after="0"/>
        <w:ind w:firstLine="0"/>
      </w:pPr>
    </w:p>
    <w:p w:rsidR="008F4943" w:rsidRDefault="008F4943" w:rsidP="008F4943">
      <w:pPr>
        <w:pStyle w:val="NormalSS"/>
        <w:keepNext/>
        <w:spacing w:after="0"/>
      </w:pPr>
      <w:r>
        <w:t>Dr. Sheena McConnell</w:t>
      </w:r>
    </w:p>
    <w:p w:rsidR="008F4943" w:rsidRDefault="008F4943" w:rsidP="008F4943">
      <w:pPr>
        <w:pStyle w:val="NormalSS"/>
        <w:keepNext/>
        <w:spacing w:after="0"/>
      </w:pPr>
      <w:proofErr w:type="spellStart"/>
      <w:r>
        <w:t>Mathematica</w:t>
      </w:r>
      <w:proofErr w:type="spellEnd"/>
      <w:r>
        <w:t xml:space="preserve"> Policy Research</w:t>
      </w:r>
    </w:p>
    <w:p w:rsidR="008F4943" w:rsidRDefault="008F4943" w:rsidP="008F4943">
      <w:pPr>
        <w:pStyle w:val="NormalSS"/>
        <w:spacing w:after="0"/>
      </w:pPr>
      <w:r>
        <w:t>1100 1</w:t>
      </w:r>
      <w:r w:rsidRPr="007153FB">
        <w:rPr>
          <w:vertAlign w:val="superscript"/>
        </w:rPr>
        <w:t>st</w:t>
      </w:r>
      <w:r>
        <w:t xml:space="preserve"> Street, NE, 12</w:t>
      </w:r>
      <w:r w:rsidRPr="007153FB">
        <w:rPr>
          <w:vertAlign w:val="superscript"/>
        </w:rPr>
        <w:t>th</w:t>
      </w:r>
      <w:r>
        <w:t xml:space="preserve"> floor</w:t>
      </w:r>
    </w:p>
    <w:p w:rsidR="008F4943" w:rsidRDefault="008F4943" w:rsidP="008F4943">
      <w:pPr>
        <w:pStyle w:val="NormalSS"/>
        <w:spacing w:after="0"/>
      </w:pPr>
      <w:r>
        <w:t>Washington, DC 20002-4221</w:t>
      </w:r>
    </w:p>
    <w:p w:rsidR="008F4943" w:rsidRDefault="008F4943" w:rsidP="008F4943">
      <w:pPr>
        <w:pStyle w:val="NormalSS"/>
        <w:spacing w:after="0"/>
      </w:pPr>
    </w:p>
    <w:p w:rsidR="008F4943" w:rsidRDefault="008F4943" w:rsidP="008F4943">
      <w:pPr>
        <w:pStyle w:val="NormalSS"/>
        <w:spacing w:after="0"/>
      </w:pPr>
      <w:r>
        <w:t>Dr. Robert Wood</w:t>
      </w:r>
    </w:p>
    <w:p w:rsidR="008F4943" w:rsidRDefault="008F4943" w:rsidP="008F4943">
      <w:pPr>
        <w:pStyle w:val="NormalSS"/>
        <w:spacing w:after="0"/>
      </w:pPr>
      <w:proofErr w:type="spellStart"/>
      <w:r>
        <w:t>Mathematica</w:t>
      </w:r>
      <w:proofErr w:type="spellEnd"/>
      <w:r>
        <w:t xml:space="preserve"> Policy Research</w:t>
      </w:r>
    </w:p>
    <w:p w:rsidR="008F4943" w:rsidRDefault="008F4943" w:rsidP="008F4943">
      <w:pPr>
        <w:pStyle w:val="NormalSS"/>
        <w:spacing w:after="0"/>
      </w:pPr>
      <w:r>
        <w:t>P.O. Box 2393</w:t>
      </w:r>
    </w:p>
    <w:p w:rsidR="008F4943" w:rsidRDefault="008F4943" w:rsidP="008F4943">
      <w:pPr>
        <w:pStyle w:val="NormalSS"/>
        <w:spacing w:after="0"/>
      </w:pPr>
      <w:r>
        <w:lastRenderedPageBreak/>
        <w:t>Princeton, NJ 08543</w:t>
      </w:r>
    </w:p>
    <w:p w:rsidR="008F4943" w:rsidRDefault="008F4943" w:rsidP="008F4943">
      <w:pPr>
        <w:pStyle w:val="NormalSS"/>
        <w:keepNext/>
        <w:spacing w:after="0"/>
      </w:pPr>
    </w:p>
    <w:p w:rsidR="008F4943" w:rsidRDefault="008F4943" w:rsidP="008F4943">
      <w:pPr>
        <w:pStyle w:val="NormalSS"/>
        <w:keepNext/>
        <w:spacing w:after="0"/>
      </w:pPr>
      <w:r>
        <w:t>Dr. Jane Fortson</w:t>
      </w:r>
    </w:p>
    <w:p w:rsidR="008F4943" w:rsidRDefault="008F4943" w:rsidP="008F4943">
      <w:pPr>
        <w:pStyle w:val="NormalSS"/>
        <w:keepNext/>
        <w:spacing w:after="0"/>
      </w:pPr>
      <w:proofErr w:type="spellStart"/>
      <w:r>
        <w:t>Mathematica</w:t>
      </w:r>
      <w:proofErr w:type="spellEnd"/>
      <w:r>
        <w:t xml:space="preserve"> Policy Research</w:t>
      </w:r>
    </w:p>
    <w:p w:rsidR="008F4943" w:rsidRDefault="008F4943" w:rsidP="008F4943">
      <w:pPr>
        <w:pStyle w:val="NormalSS"/>
        <w:keepNext/>
        <w:spacing w:after="0"/>
      </w:pPr>
      <w:r>
        <w:t>505 14th Street</w:t>
      </w:r>
    </w:p>
    <w:p w:rsidR="008F4943" w:rsidRDefault="008F4943" w:rsidP="008F4943">
      <w:pPr>
        <w:pStyle w:val="NormalSS"/>
        <w:keepNext/>
        <w:spacing w:after="0"/>
      </w:pPr>
      <w:r>
        <w:t>Suite 800</w:t>
      </w:r>
    </w:p>
    <w:p w:rsidR="008F4943" w:rsidRDefault="008F4943" w:rsidP="008F4943">
      <w:pPr>
        <w:pStyle w:val="NormalSS"/>
        <w:keepNext/>
        <w:spacing w:after="0"/>
      </w:pPr>
      <w:r>
        <w:t>Oakland, CA 94612</w:t>
      </w:r>
    </w:p>
    <w:p w:rsidR="00192F6A" w:rsidRDefault="00192F6A" w:rsidP="00192F6A">
      <w:pPr>
        <w:pStyle w:val="NormalSS"/>
        <w:spacing w:after="0"/>
        <w:ind w:left="432" w:firstLine="0"/>
        <w:jc w:val="left"/>
      </w:pPr>
    </w:p>
    <w:p w:rsidR="007153FB" w:rsidRDefault="007153FB" w:rsidP="007153FB">
      <w:pPr>
        <w:pStyle w:val="NormalSS"/>
        <w:spacing w:after="0"/>
      </w:pPr>
      <w:r>
        <w:t>Ms. M. Robin Dion</w:t>
      </w:r>
    </w:p>
    <w:p w:rsidR="008F4943" w:rsidRDefault="008F4943" w:rsidP="007153FB">
      <w:pPr>
        <w:pStyle w:val="NormalSS"/>
        <w:spacing w:after="0"/>
      </w:pPr>
      <w:proofErr w:type="spellStart"/>
      <w:r>
        <w:t>Mathematica</w:t>
      </w:r>
      <w:proofErr w:type="spellEnd"/>
      <w:r>
        <w:t xml:space="preserve"> Policy Research</w:t>
      </w:r>
    </w:p>
    <w:p w:rsidR="007153FB" w:rsidRDefault="007153FB" w:rsidP="007153FB">
      <w:pPr>
        <w:pStyle w:val="NormalSS"/>
        <w:spacing w:after="0"/>
      </w:pPr>
      <w:r>
        <w:t>1100 1</w:t>
      </w:r>
      <w:r w:rsidRPr="007153FB">
        <w:rPr>
          <w:vertAlign w:val="superscript"/>
        </w:rPr>
        <w:t>st</w:t>
      </w:r>
      <w:r>
        <w:t xml:space="preserve"> Street, NE, 12</w:t>
      </w:r>
      <w:r w:rsidRPr="007153FB">
        <w:rPr>
          <w:vertAlign w:val="superscript"/>
        </w:rPr>
        <w:t>th</w:t>
      </w:r>
      <w:r>
        <w:t xml:space="preserve"> floor</w:t>
      </w:r>
    </w:p>
    <w:p w:rsidR="007153FB" w:rsidRDefault="007153FB" w:rsidP="007153FB">
      <w:pPr>
        <w:pStyle w:val="NormalSS"/>
        <w:spacing w:after="0"/>
      </w:pPr>
      <w:r>
        <w:t>Washington, DC 20002-4221</w:t>
      </w:r>
    </w:p>
    <w:p w:rsidR="007153FB" w:rsidRDefault="007153FB" w:rsidP="007153FB">
      <w:pPr>
        <w:pStyle w:val="NormalSS"/>
        <w:spacing w:after="0"/>
      </w:pPr>
    </w:p>
    <w:p w:rsidR="007153FB" w:rsidRDefault="007153FB" w:rsidP="007153FB">
      <w:pPr>
        <w:pStyle w:val="NormalSS"/>
        <w:spacing w:after="0"/>
      </w:pPr>
      <w:r>
        <w:t xml:space="preserve">Ms. Heather </w:t>
      </w:r>
      <w:proofErr w:type="spellStart"/>
      <w:r>
        <w:t>Zaveri</w:t>
      </w:r>
      <w:proofErr w:type="spellEnd"/>
    </w:p>
    <w:p w:rsidR="008F4943" w:rsidRDefault="008F4943" w:rsidP="007153FB">
      <w:pPr>
        <w:pStyle w:val="NormalSS"/>
        <w:spacing w:after="0"/>
      </w:pPr>
      <w:proofErr w:type="spellStart"/>
      <w:r>
        <w:t>Mathematica</w:t>
      </w:r>
      <w:proofErr w:type="spellEnd"/>
      <w:r>
        <w:t xml:space="preserve"> Policy Research</w:t>
      </w:r>
    </w:p>
    <w:p w:rsidR="007153FB" w:rsidRDefault="007153FB" w:rsidP="007153FB">
      <w:pPr>
        <w:pStyle w:val="NormalSS"/>
        <w:spacing w:after="0"/>
      </w:pPr>
      <w:r>
        <w:t>1100 1</w:t>
      </w:r>
      <w:r w:rsidRPr="007153FB">
        <w:rPr>
          <w:vertAlign w:val="superscript"/>
        </w:rPr>
        <w:t>st</w:t>
      </w:r>
      <w:r>
        <w:t xml:space="preserve"> Street, NE, 12</w:t>
      </w:r>
      <w:r w:rsidRPr="007153FB">
        <w:rPr>
          <w:vertAlign w:val="superscript"/>
        </w:rPr>
        <w:t>th</w:t>
      </w:r>
      <w:r>
        <w:t xml:space="preserve"> floor</w:t>
      </w:r>
    </w:p>
    <w:p w:rsidR="007153FB" w:rsidRDefault="007153FB" w:rsidP="007153FB">
      <w:pPr>
        <w:pStyle w:val="NormalSS"/>
        <w:spacing w:after="0"/>
      </w:pPr>
      <w:r>
        <w:t>Washington, DC 20002-4221</w:t>
      </w:r>
    </w:p>
    <w:p w:rsidR="007153FB" w:rsidRDefault="007153FB" w:rsidP="00B90927">
      <w:pPr>
        <w:pStyle w:val="NormalSS"/>
        <w:spacing w:after="0"/>
      </w:pPr>
    </w:p>
    <w:p w:rsidR="007153FB" w:rsidRDefault="00FA20FE" w:rsidP="00B90927">
      <w:pPr>
        <w:pStyle w:val="NormalSS"/>
        <w:spacing w:after="0"/>
      </w:pPr>
      <w:r>
        <w:t>Mr. Shawn Marsh</w:t>
      </w:r>
    </w:p>
    <w:p w:rsidR="00FA20FE" w:rsidRDefault="008F4943" w:rsidP="00FA20FE">
      <w:pPr>
        <w:pStyle w:val="NormalSS"/>
        <w:spacing w:after="0"/>
      </w:pPr>
      <w:proofErr w:type="spellStart"/>
      <w:r>
        <w:t>Mathematica</w:t>
      </w:r>
      <w:proofErr w:type="spellEnd"/>
      <w:r>
        <w:t xml:space="preserve"> Policy Research</w:t>
      </w:r>
    </w:p>
    <w:p w:rsidR="00FA20FE" w:rsidRDefault="00FA20FE" w:rsidP="00FA20FE">
      <w:pPr>
        <w:pStyle w:val="NormalSS"/>
        <w:spacing w:after="0"/>
      </w:pPr>
      <w:r>
        <w:t>P.O. Box 2393</w:t>
      </w:r>
    </w:p>
    <w:p w:rsidR="00FA20FE" w:rsidRDefault="00FA20FE" w:rsidP="00FA20FE">
      <w:pPr>
        <w:pStyle w:val="NormalSS"/>
        <w:spacing w:after="0"/>
      </w:pPr>
      <w:r>
        <w:t>Princeton, NJ 08543</w:t>
      </w:r>
    </w:p>
    <w:p w:rsidR="008F4943" w:rsidRDefault="008F4943" w:rsidP="00B90927">
      <w:pPr>
        <w:pStyle w:val="NormalSS"/>
        <w:spacing w:after="0"/>
      </w:pPr>
    </w:p>
    <w:p w:rsidR="00FA20FE" w:rsidRDefault="00FA20FE" w:rsidP="00B90927">
      <w:pPr>
        <w:pStyle w:val="NormalSS"/>
        <w:spacing w:after="0"/>
      </w:pPr>
      <w:r>
        <w:t>Dr. Cleo Jacobs-Johnson</w:t>
      </w:r>
    </w:p>
    <w:p w:rsidR="00FA20FE" w:rsidRDefault="00FA20FE" w:rsidP="00FA20FE">
      <w:pPr>
        <w:pStyle w:val="NormalSS"/>
        <w:keepNext/>
        <w:spacing w:after="0"/>
      </w:pPr>
      <w:proofErr w:type="spellStart"/>
      <w:r>
        <w:t>Mathematica</w:t>
      </w:r>
      <w:proofErr w:type="spellEnd"/>
      <w:r>
        <w:t xml:space="preserve"> Policy Research</w:t>
      </w:r>
    </w:p>
    <w:p w:rsidR="00FA20FE" w:rsidRDefault="00FA20FE" w:rsidP="00FA20FE">
      <w:pPr>
        <w:pStyle w:val="NormalSS"/>
        <w:keepNext/>
        <w:spacing w:after="0"/>
      </w:pPr>
      <w:r>
        <w:t>505 14th Street</w:t>
      </w:r>
    </w:p>
    <w:p w:rsidR="00FA20FE" w:rsidRDefault="00FA20FE" w:rsidP="00FA20FE">
      <w:pPr>
        <w:pStyle w:val="NormalSS"/>
        <w:keepNext/>
        <w:spacing w:after="0"/>
      </w:pPr>
      <w:r>
        <w:t>Suite 800</w:t>
      </w:r>
    </w:p>
    <w:p w:rsidR="00FA20FE" w:rsidRDefault="00FA20FE" w:rsidP="00FA20FE">
      <w:pPr>
        <w:pStyle w:val="NormalSS"/>
        <w:keepNext/>
        <w:spacing w:after="0"/>
      </w:pPr>
      <w:r>
        <w:t>Oakland, CA 94612</w:t>
      </w:r>
    </w:p>
    <w:p w:rsidR="00FA20FE" w:rsidRDefault="00FA20FE" w:rsidP="00FA20FE">
      <w:pPr>
        <w:pStyle w:val="NormalSS"/>
        <w:spacing w:after="0"/>
        <w:ind w:firstLine="0"/>
      </w:pPr>
    </w:p>
    <w:p w:rsidR="00FA20FE" w:rsidRDefault="00FA20FE" w:rsidP="00B90927">
      <w:pPr>
        <w:pStyle w:val="NormalSS"/>
        <w:spacing w:after="0"/>
      </w:pPr>
    </w:p>
    <w:p w:rsidR="00FF7C51" w:rsidRDefault="00FF7C51" w:rsidP="00FF7C51">
      <w:pPr>
        <w:pStyle w:val="NormalSS"/>
        <w:sectPr w:rsidR="00FF7C51" w:rsidSect="00930CE8">
          <w:footerReference w:type="default" r:id="rId15"/>
          <w:footnotePr>
            <w:numRestart w:val="eachSect"/>
          </w:footnotePr>
          <w:endnotePr>
            <w:numFmt w:val="decimal"/>
          </w:endnotePr>
          <w:pgSz w:w="12240" w:h="15840" w:code="1"/>
          <w:pgMar w:top="1440" w:right="1440" w:bottom="576" w:left="1440" w:header="720" w:footer="576" w:gutter="0"/>
          <w:pgNumType w:start="1"/>
          <w:cols w:space="720"/>
          <w:docGrid w:linePitch="326"/>
        </w:sectPr>
      </w:pPr>
    </w:p>
    <w:p w:rsidR="00437941" w:rsidRDefault="00AC06CA" w:rsidP="00CC47A5">
      <w:pPr>
        <w:pStyle w:val="Heading1Black"/>
      </w:pPr>
      <w:bookmarkStart w:id="9" w:name="_Toc346605424"/>
      <w:r w:rsidRPr="001D6138">
        <w:lastRenderedPageBreak/>
        <w:t>REFERENCES</w:t>
      </w:r>
      <w:bookmarkEnd w:id="9"/>
    </w:p>
    <w:p w:rsidR="00B54CBA" w:rsidRPr="00B8296B" w:rsidRDefault="00B54CBA" w:rsidP="00B54CBA">
      <w:pPr>
        <w:pStyle w:val="References"/>
        <w:rPr>
          <w:bCs/>
        </w:rPr>
      </w:pPr>
      <w:r>
        <w:rPr>
          <w:bCs/>
        </w:rPr>
        <w:t xml:space="preserve">Cowan, Philip A., Carolyn </w:t>
      </w:r>
      <w:proofErr w:type="spellStart"/>
      <w:r>
        <w:rPr>
          <w:bCs/>
        </w:rPr>
        <w:t>Pape</w:t>
      </w:r>
      <w:proofErr w:type="spellEnd"/>
      <w:r>
        <w:rPr>
          <w:bCs/>
        </w:rPr>
        <w:t xml:space="preserve"> Cowan, Marsha Kline Pruett, Kyle Pruett, and Jessie Wong. </w:t>
      </w:r>
      <w:proofErr w:type="gramStart"/>
      <w:r>
        <w:rPr>
          <w:bCs/>
        </w:rPr>
        <w:t>“Promoting Fathers’ Engagement with Children: Preventive Interventions for Low-Income Families.”</w:t>
      </w:r>
      <w:proofErr w:type="gramEnd"/>
      <w:r>
        <w:rPr>
          <w:bCs/>
        </w:rPr>
        <w:t xml:space="preserve"> </w:t>
      </w:r>
      <w:r>
        <w:rPr>
          <w:bCs/>
          <w:i/>
        </w:rPr>
        <w:t>Journal of Marriage and Family,</w:t>
      </w:r>
      <w:r>
        <w:rPr>
          <w:bCs/>
        </w:rPr>
        <w:t xml:space="preserve"> vol. 71, August 2009, pp. 663–679.</w:t>
      </w:r>
    </w:p>
    <w:p w:rsidR="00CC47A5" w:rsidRDefault="00CC47A5" w:rsidP="00CC47A5">
      <w:pPr>
        <w:pStyle w:val="References"/>
      </w:pPr>
      <w:r>
        <w:t xml:space="preserve">Hsueh, </w:t>
      </w:r>
      <w:r w:rsidRPr="002D3C47">
        <w:t>JoAnn, Desiree Principe</w:t>
      </w:r>
      <w:r>
        <w:t xml:space="preserve"> Alderson, Erika Lundquist, Charles </w:t>
      </w:r>
      <w:proofErr w:type="spellStart"/>
      <w:r>
        <w:t>Michal</w:t>
      </w:r>
      <w:r w:rsidRPr="002D3C47">
        <w:t>opoulos</w:t>
      </w:r>
      <w:proofErr w:type="spellEnd"/>
      <w:r w:rsidRPr="002D3C47">
        <w:t xml:space="preserve">, Daniel </w:t>
      </w:r>
      <w:proofErr w:type="spellStart"/>
      <w:r w:rsidRPr="002D3C47">
        <w:t>Gubits</w:t>
      </w:r>
      <w:proofErr w:type="spellEnd"/>
      <w:r w:rsidRPr="002D3C47">
        <w:t>, Davi</w:t>
      </w:r>
      <w:r>
        <w:t>d Fein, and Virginia Knox (2012</w:t>
      </w:r>
      <w:r w:rsidRPr="002D3C47">
        <w:t xml:space="preserve">). </w:t>
      </w:r>
      <w:r w:rsidR="00574516">
        <w:t>“</w:t>
      </w:r>
      <w:r w:rsidRPr="00574516">
        <w:rPr>
          <w:iCs/>
        </w:rPr>
        <w:t>The Supporting Healthy Marriage Evaluation: Early Impacts on Low-Income Families.</w:t>
      </w:r>
      <w:r w:rsidR="00574516">
        <w:rPr>
          <w:iCs/>
        </w:rPr>
        <w:t>”</w:t>
      </w:r>
      <w:r w:rsidRPr="002D3C47">
        <w:rPr>
          <w:i/>
          <w:iCs/>
        </w:rPr>
        <w:t xml:space="preserve"> </w:t>
      </w:r>
      <w:proofErr w:type="gramStart"/>
      <w:r w:rsidRPr="002D3C47">
        <w:t>OPRE Report 2012-11.</w:t>
      </w:r>
      <w:proofErr w:type="gramEnd"/>
      <w:r w:rsidRPr="002D3C47">
        <w:t xml:space="preserve"> Washington, DC: Office of Planning, Research and Evaluation, Administration for Children and Families, U.S. Department of Health and Human Services.</w:t>
      </w:r>
    </w:p>
    <w:p w:rsidR="00B1115F" w:rsidRDefault="00B1115F" w:rsidP="00CC47A5">
      <w:pPr>
        <w:pStyle w:val="References"/>
        <w:rPr>
          <w:bCs/>
        </w:rPr>
      </w:pPr>
      <w:proofErr w:type="spellStart"/>
      <w:proofErr w:type="gramStart"/>
      <w:r>
        <w:rPr>
          <w:bCs/>
        </w:rPr>
        <w:t>Lippold</w:t>
      </w:r>
      <w:proofErr w:type="spellEnd"/>
      <w:r>
        <w:rPr>
          <w:bCs/>
        </w:rPr>
        <w:t xml:space="preserve">, </w:t>
      </w:r>
      <w:proofErr w:type="spellStart"/>
      <w:r>
        <w:rPr>
          <w:bCs/>
        </w:rPr>
        <w:t>Kye</w:t>
      </w:r>
      <w:proofErr w:type="spellEnd"/>
      <w:r>
        <w:rPr>
          <w:bCs/>
        </w:rPr>
        <w:t>, and Elaine Sorensen.</w:t>
      </w:r>
      <w:proofErr w:type="gramEnd"/>
      <w:r>
        <w:rPr>
          <w:bCs/>
        </w:rPr>
        <w:t xml:space="preserve"> “Strengthening Families </w:t>
      </w:r>
      <w:proofErr w:type="gramStart"/>
      <w:r>
        <w:rPr>
          <w:bCs/>
        </w:rPr>
        <w:t>Through</w:t>
      </w:r>
      <w:proofErr w:type="gramEnd"/>
      <w:r>
        <w:rPr>
          <w:bCs/>
        </w:rPr>
        <w:t xml:space="preserve"> Stronger Fathers: Final Impact Report for the Pilot Employment Programs.” The Urban Institute, October 2011.</w:t>
      </w:r>
    </w:p>
    <w:p w:rsidR="00B54CBA" w:rsidRDefault="00B54CBA" w:rsidP="00B54CBA">
      <w:pPr>
        <w:pStyle w:val="References"/>
      </w:pPr>
      <w:proofErr w:type="spellStart"/>
      <w:proofErr w:type="gramStart"/>
      <w:r>
        <w:t>Schochet</w:t>
      </w:r>
      <w:proofErr w:type="spellEnd"/>
      <w:r>
        <w:t xml:space="preserve">, Peter Z., John </w:t>
      </w:r>
      <w:proofErr w:type="spellStart"/>
      <w:r>
        <w:t>Burghardt</w:t>
      </w:r>
      <w:proofErr w:type="spellEnd"/>
      <w:r>
        <w:t>, and Sheena McConnell.</w:t>
      </w:r>
      <w:proofErr w:type="gramEnd"/>
      <w:r>
        <w:t xml:space="preserve"> “National Job Corps Study and Longer-Term Follow-Up Study: Impact and Benefit-Cost Findings Using Survey and Summary Earnings Records Data.” Princeton, NJ: </w:t>
      </w:r>
      <w:proofErr w:type="spellStart"/>
      <w:r>
        <w:t>Mathematica</w:t>
      </w:r>
      <w:proofErr w:type="spellEnd"/>
      <w:r>
        <w:t xml:space="preserve"> Policy Research, August 2006.</w:t>
      </w:r>
    </w:p>
    <w:p w:rsidR="00B1115F" w:rsidRDefault="00B1115F" w:rsidP="00B1115F">
      <w:pPr>
        <w:pStyle w:val="References"/>
      </w:pPr>
      <w:proofErr w:type="gramStart"/>
      <w:r w:rsidRPr="002D3C47">
        <w:t xml:space="preserve">Wood, Robert G., Quinn Moore, Andrew </w:t>
      </w:r>
      <w:proofErr w:type="spellStart"/>
      <w:r w:rsidRPr="002D3C47">
        <w:t>Clarkwest</w:t>
      </w:r>
      <w:proofErr w:type="spellEnd"/>
      <w:r w:rsidRPr="002D3C47">
        <w:t xml:space="preserve">, Alexandra </w:t>
      </w:r>
      <w:proofErr w:type="spellStart"/>
      <w:r w:rsidRPr="002D3C47">
        <w:t>Killewald</w:t>
      </w:r>
      <w:proofErr w:type="spellEnd"/>
      <w:r w:rsidRPr="002D3C47">
        <w:t>, and Shannon Monahan (2012).</w:t>
      </w:r>
      <w:proofErr w:type="gramEnd"/>
      <w:r w:rsidRPr="002D3C47">
        <w:t xml:space="preserve"> </w:t>
      </w:r>
      <w:r w:rsidRPr="002D3C47">
        <w:rPr>
          <w:i/>
          <w:iCs/>
        </w:rPr>
        <w:t xml:space="preserve">The Long-Term Effects of Building Strong Families: A Relationship Skills Education Program for Unmarried Parents, </w:t>
      </w:r>
      <w:r w:rsidRPr="002D3C47">
        <w:t>OPRE Report # 2012-28A, Washington, DC: Office of Planning, Research and Evaluation, Administration for Children and Families, U.S. Department of Health and Human Services (OPRE).</w:t>
      </w:r>
    </w:p>
    <w:p w:rsidR="00E504D7" w:rsidRPr="0001119F" w:rsidRDefault="00E504D7" w:rsidP="008F4D5E">
      <w:pPr>
        <w:pStyle w:val="References"/>
      </w:pPr>
    </w:p>
    <w:sectPr w:rsidR="00E504D7" w:rsidRPr="0001119F" w:rsidSect="000561DD">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1DB" w:rsidRDefault="001F61DB">
      <w:pPr>
        <w:spacing w:line="240" w:lineRule="auto"/>
        <w:ind w:firstLine="0"/>
      </w:pPr>
    </w:p>
  </w:endnote>
  <w:endnote w:type="continuationSeparator" w:id="0">
    <w:p w:rsidR="001F61DB" w:rsidRDefault="001F61DB">
      <w:pPr>
        <w:spacing w:line="240" w:lineRule="auto"/>
        <w:ind w:firstLine="0"/>
      </w:pPr>
    </w:p>
  </w:endnote>
  <w:endnote w:type="continuationNotice" w:id="1">
    <w:p w:rsidR="001F61DB" w:rsidRDefault="001F61DB">
      <w:pPr>
        <w:spacing w:line="240" w:lineRule="auto"/>
        <w:ind w:firstLine="0"/>
      </w:pPr>
    </w:p>
    <w:p w:rsidR="001F61DB" w:rsidRDefault="001F61DB"/>
    <w:p w:rsidR="001F61DB" w:rsidRDefault="001F61D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C:\Users\kathleen.mccoy\Documents\PACT documents\OMB submission 9.2013\PACT Follow up- Supp Stat B - KM and SC Edits - 10.2.13.docx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CBA" w:rsidRDefault="00FC3E03" w:rsidP="00AB234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B54CBA">
      <w:rPr>
        <w:rStyle w:val="PageNumber"/>
      </w:rPr>
      <w:instrText xml:space="preserve"> PAGE </w:instrText>
    </w:r>
    <w:r>
      <w:rPr>
        <w:rStyle w:val="PageNumber"/>
      </w:rPr>
      <w:fldChar w:fldCharType="separate"/>
    </w:r>
    <w:r w:rsidR="00B54CBA">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CBA" w:rsidRDefault="00FC3E03" w:rsidP="00AB234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B54CBA">
      <w:rPr>
        <w:rStyle w:val="PageNumber"/>
      </w:rPr>
      <w:instrText xml:space="preserve"> PAGE </w:instrText>
    </w:r>
    <w:r>
      <w:rPr>
        <w:rStyle w:val="PageNumber"/>
      </w:rPr>
      <w:fldChar w:fldCharType="separate"/>
    </w:r>
    <w:r w:rsidR="00D65B8B">
      <w:rPr>
        <w:rStyle w:val="PageNumber"/>
        <w:noProof/>
      </w:rPr>
      <w:t>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CBA" w:rsidRDefault="00FC3E03" w:rsidP="00AB234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B54CBA">
      <w:rPr>
        <w:rStyle w:val="PageNumber"/>
      </w:rPr>
      <w:instrText xml:space="preserve"> PAGE </w:instrText>
    </w:r>
    <w:r>
      <w:rPr>
        <w:rStyle w:val="PageNumber"/>
      </w:rPr>
      <w:fldChar w:fldCharType="separate"/>
    </w:r>
    <w:r w:rsidR="00D65B8B">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1DB" w:rsidRDefault="001F61DB">
      <w:pPr>
        <w:spacing w:line="240" w:lineRule="auto"/>
        <w:ind w:firstLine="0"/>
      </w:pPr>
      <w:r>
        <w:separator/>
      </w:r>
    </w:p>
  </w:footnote>
  <w:footnote w:type="continuationSeparator" w:id="0">
    <w:p w:rsidR="001F61DB" w:rsidRDefault="001F61DB">
      <w:pPr>
        <w:spacing w:line="240" w:lineRule="auto"/>
        <w:ind w:firstLine="0"/>
      </w:pPr>
      <w:r>
        <w:separator/>
      </w:r>
    </w:p>
    <w:p w:rsidR="001F61DB" w:rsidRDefault="001F61DB">
      <w:pPr>
        <w:spacing w:line="240" w:lineRule="auto"/>
        <w:ind w:firstLine="0"/>
        <w:rPr>
          <w:i/>
        </w:rPr>
      </w:pPr>
      <w:r>
        <w:rPr>
          <w:i/>
        </w:rPr>
        <w:t>(</w:t>
      </w:r>
      <w:proofErr w:type="gramStart"/>
      <w:r>
        <w:rPr>
          <w:i/>
        </w:rPr>
        <w:t>continued</w:t>
      </w:r>
      <w:proofErr w:type="gramEnd"/>
      <w:r>
        <w:rPr>
          <w:i/>
        </w:rPr>
        <w:t>)</w:t>
      </w:r>
    </w:p>
  </w:footnote>
  <w:footnote w:type="continuationNotice" w:id="1">
    <w:p w:rsidR="001F61DB" w:rsidRDefault="001F61DB">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CBA" w:rsidRPr="000A4439" w:rsidRDefault="00B54CBA" w:rsidP="006C5B99">
    <w:pPr>
      <w:pStyle w:val="Header"/>
      <w:rPr>
        <w:szCs w:val="22"/>
      </w:rPr>
    </w:pPr>
    <w:r>
      <w:rPr>
        <w:szCs w:val="22"/>
      </w:rPr>
      <w:t>PACT – Part B</w:t>
    </w:r>
    <w:r w:rsidRPr="000A4439">
      <w:rPr>
        <w:szCs w:val="22"/>
      </w:rPr>
      <w:tab/>
    </w:r>
    <w:r>
      <w:rPr>
        <w:szCs w:val="22"/>
      </w:rPr>
      <w:tab/>
    </w:r>
    <w:proofErr w:type="spellStart"/>
    <w:r>
      <w:rPr>
        <w:szCs w:val="22"/>
      </w:rPr>
      <w:t>Mathematica</w:t>
    </w:r>
    <w:proofErr w:type="spellEnd"/>
    <w:r>
      <w:rPr>
        <w:szCs w:val="22"/>
      </w:rPr>
      <w:t xml:space="preserve"> Policy Research</w:t>
    </w:r>
    <w:r w:rsidRPr="000A4439">
      <w:rPr>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CBA" w:rsidRPr="000A4439" w:rsidRDefault="00B54CBA" w:rsidP="006C5B99">
    <w:pPr>
      <w:pStyle w:val="Header"/>
      <w:rPr>
        <w:szCs w:val="22"/>
      </w:rPr>
    </w:pPr>
    <w:r>
      <w:rPr>
        <w:szCs w:val="22"/>
      </w:rPr>
      <w:t>PACT – Part B</w:t>
    </w:r>
    <w:r w:rsidRPr="000A4439">
      <w:rPr>
        <w:szCs w:val="22"/>
      </w:rPr>
      <w:tab/>
    </w:r>
    <w:r>
      <w:rPr>
        <w:szCs w:val="22"/>
      </w:rPr>
      <w:tab/>
    </w:r>
    <w:proofErr w:type="spellStart"/>
    <w:r>
      <w:rPr>
        <w:szCs w:val="22"/>
      </w:rPr>
      <w:t>Mathematica</w:t>
    </w:r>
    <w:proofErr w:type="spellEnd"/>
    <w:r>
      <w:rPr>
        <w:szCs w:val="22"/>
      </w:rPr>
      <w:t xml:space="preserve"> Policy Research</w:t>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1"/>
      <w:lvlText w:val="%1."/>
      <w:lvlJc w:val="left"/>
      <w:rPr>
        <w:rFonts w:ascii="Times" w:hAnsi="Times" w:cs="Times"/>
        <w:sz w:val="20"/>
        <w:szCs w:val="20"/>
      </w:rPr>
    </w:lvl>
  </w:abstractNum>
  <w:abstractNum w:abstractNumId="1">
    <w:nsid w:val="016D5CAC"/>
    <w:multiLevelType w:val="hybridMultilevel"/>
    <w:tmpl w:val="EDE62274"/>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20302332">
      <w:start w:val="1"/>
      <w:numFmt w:val="bullet"/>
      <w:pStyle w:val="BulletBlueLastSS"/>
      <w:lvlText w:val=""/>
      <w:lvlJc w:val="left"/>
      <w:pPr>
        <w:ind w:left="792" w:hanging="360"/>
      </w:pPr>
      <w:rPr>
        <w:rFonts w:ascii="Symbol" w:hAnsi="Symbol" w:hint="default"/>
        <w:color w:val="345294"/>
      </w:rPr>
    </w:lvl>
    <w:lvl w:ilvl="1" w:tplc="B92666BC" w:tentative="1">
      <w:start w:val="1"/>
      <w:numFmt w:val="bullet"/>
      <w:lvlText w:val="o"/>
      <w:lvlJc w:val="left"/>
      <w:pPr>
        <w:ind w:left="1872" w:hanging="360"/>
      </w:pPr>
      <w:rPr>
        <w:rFonts w:ascii="Courier New" w:hAnsi="Courier New" w:cs="Courier New" w:hint="default"/>
      </w:rPr>
    </w:lvl>
    <w:lvl w:ilvl="2" w:tplc="AA4A8456" w:tentative="1">
      <w:start w:val="1"/>
      <w:numFmt w:val="bullet"/>
      <w:lvlText w:val=""/>
      <w:lvlJc w:val="left"/>
      <w:pPr>
        <w:ind w:left="2592" w:hanging="360"/>
      </w:pPr>
      <w:rPr>
        <w:rFonts w:ascii="Wingdings" w:hAnsi="Wingdings" w:hint="default"/>
      </w:rPr>
    </w:lvl>
    <w:lvl w:ilvl="3" w:tplc="74BA722C" w:tentative="1">
      <w:start w:val="1"/>
      <w:numFmt w:val="bullet"/>
      <w:lvlText w:val=""/>
      <w:lvlJc w:val="left"/>
      <w:pPr>
        <w:ind w:left="3312" w:hanging="360"/>
      </w:pPr>
      <w:rPr>
        <w:rFonts w:ascii="Symbol" w:hAnsi="Symbol" w:hint="default"/>
      </w:rPr>
    </w:lvl>
    <w:lvl w:ilvl="4" w:tplc="847AB542" w:tentative="1">
      <w:start w:val="1"/>
      <w:numFmt w:val="bullet"/>
      <w:lvlText w:val="o"/>
      <w:lvlJc w:val="left"/>
      <w:pPr>
        <w:ind w:left="4032" w:hanging="360"/>
      </w:pPr>
      <w:rPr>
        <w:rFonts w:ascii="Courier New" w:hAnsi="Courier New" w:cs="Courier New" w:hint="default"/>
      </w:rPr>
    </w:lvl>
    <w:lvl w:ilvl="5" w:tplc="1A8829C4" w:tentative="1">
      <w:start w:val="1"/>
      <w:numFmt w:val="bullet"/>
      <w:lvlText w:val=""/>
      <w:lvlJc w:val="left"/>
      <w:pPr>
        <w:ind w:left="4752" w:hanging="360"/>
      </w:pPr>
      <w:rPr>
        <w:rFonts w:ascii="Wingdings" w:hAnsi="Wingdings" w:hint="default"/>
      </w:rPr>
    </w:lvl>
    <w:lvl w:ilvl="6" w:tplc="A894AA2C" w:tentative="1">
      <w:start w:val="1"/>
      <w:numFmt w:val="bullet"/>
      <w:lvlText w:val=""/>
      <w:lvlJc w:val="left"/>
      <w:pPr>
        <w:ind w:left="5472" w:hanging="360"/>
      </w:pPr>
      <w:rPr>
        <w:rFonts w:ascii="Symbol" w:hAnsi="Symbol" w:hint="default"/>
      </w:rPr>
    </w:lvl>
    <w:lvl w:ilvl="7" w:tplc="E79CF17C" w:tentative="1">
      <w:start w:val="1"/>
      <w:numFmt w:val="bullet"/>
      <w:lvlText w:val="o"/>
      <w:lvlJc w:val="left"/>
      <w:pPr>
        <w:ind w:left="6192" w:hanging="360"/>
      </w:pPr>
      <w:rPr>
        <w:rFonts w:ascii="Courier New" w:hAnsi="Courier New" w:cs="Courier New" w:hint="default"/>
      </w:rPr>
    </w:lvl>
    <w:lvl w:ilvl="8" w:tplc="CD1415F6"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E939B1"/>
    <w:multiLevelType w:val="hybridMultilevel"/>
    <w:tmpl w:val="E1E8FD10"/>
    <w:lvl w:ilvl="0" w:tplc="BF56F60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6894779"/>
    <w:multiLevelType w:val="hybridMultilevel"/>
    <w:tmpl w:val="E34C5A36"/>
    <w:lvl w:ilvl="0" w:tplc="04090001">
      <w:start w:val="13"/>
      <w:numFmt w:val="decimal"/>
      <w:lvlText w:val="(%1)"/>
      <w:lvlJc w:val="left"/>
      <w:pPr>
        <w:ind w:left="930" w:hanging="390"/>
      </w:pPr>
      <w:rPr>
        <w:rFonts w:hint="default"/>
      </w:rPr>
    </w:lvl>
    <w:lvl w:ilvl="1" w:tplc="04090003" w:tentative="1">
      <w:start w:val="1"/>
      <w:numFmt w:val="lowerLetter"/>
      <w:lvlText w:val="%2."/>
      <w:lvlJc w:val="left"/>
      <w:pPr>
        <w:ind w:left="1620" w:hanging="360"/>
      </w:pPr>
    </w:lvl>
    <w:lvl w:ilvl="2" w:tplc="04090005" w:tentative="1">
      <w:start w:val="1"/>
      <w:numFmt w:val="lowerRoman"/>
      <w:lvlText w:val="%3."/>
      <w:lvlJc w:val="right"/>
      <w:pPr>
        <w:ind w:left="2340" w:hanging="180"/>
      </w:pPr>
    </w:lvl>
    <w:lvl w:ilvl="3" w:tplc="04090001" w:tentative="1">
      <w:start w:val="1"/>
      <w:numFmt w:val="decimal"/>
      <w:lvlText w:val="%4."/>
      <w:lvlJc w:val="left"/>
      <w:pPr>
        <w:ind w:left="3060" w:hanging="360"/>
      </w:pPr>
    </w:lvl>
    <w:lvl w:ilvl="4" w:tplc="04090003" w:tentative="1">
      <w:start w:val="1"/>
      <w:numFmt w:val="lowerLetter"/>
      <w:lvlText w:val="%5."/>
      <w:lvlJc w:val="left"/>
      <w:pPr>
        <w:ind w:left="3780" w:hanging="360"/>
      </w:pPr>
    </w:lvl>
    <w:lvl w:ilvl="5" w:tplc="04090005" w:tentative="1">
      <w:start w:val="1"/>
      <w:numFmt w:val="lowerRoman"/>
      <w:lvlText w:val="%6."/>
      <w:lvlJc w:val="right"/>
      <w:pPr>
        <w:ind w:left="4500" w:hanging="180"/>
      </w:pPr>
    </w:lvl>
    <w:lvl w:ilvl="6" w:tplc="04090001" w:tentative="1">
      <w:start w:val="1"/>
      <w:numFmt w:val="decimal"/>
      <w:lvlText w:val="%7."/>
      <w:lvlJc w:val="left"/>
      <w:pPr>
        <w:ind w:left="5220" w:hanging="360"/>
      </w:pPr>
    </w:lvl>
    <w:lvl w:ilvl="7" w:tplc="04090003" w:tentative="1">
      <w:start w:val="1"/>
      <w:numFmt w:val="lowerLetter"/>
      <w:lvlText w:val="%8."/>
      <w:lvlJc w:val="left"/>
      <w:pPr>
        <w:ind w:left="5940" w:hanging="360"/>
      </w:pPr>
    </w:lvl>
    <w:lvl w:ilvl="8" w:tplc="04090005" w:tentative="1">
      <w:start w:val="1"/>
      <w:numFmt w:val="lowerRoman"/>
      <w:lvlText w:val="%9."/>
      <w:lvlJc w:val="right"/>
      <w:pPr>
        <w:ind w:left="6660" w:hanging="180"/>
      </w:pPr>
    </w:lvl>
  </w:abstractNum>
  <w:abstractNum w:abstractNumId="7">
    <w:nsid w:val="175F4639"/>
    <w:multiLevelType w:val="hybridMultilevel"/>
    <w:tmpl w:val="9A7E40E0"/>
    <w:lvl w:ilvl="0" w:tplc="E8F20980">
      <w:start w:val="1"/>
      <w:numFmt w:val="bullet"/>
      <w:pStyle w:val="Dash"/>
      <w:lvlText w:val="-"/>
      <w:lvlJc w:val="left"/>
      <w:pPr>
        <w:ind w:left="1440" w:hanging="360"/>
      </w:pPr>
      <w:rPr>
        <w:rFonts w:ascii="Times New Roman" w:hAnsi="Times New Roman"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FAE4852E"/>
    <w:lvl w:ilvl="0" w:tplc="07603E5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3FA79D1"/>
    <w:multiLevelType w:val="hybridMultilevel"/>
    <w:tmpl w:val="96B089C2"/>
    <w:lvl w:ilvl="0" w:tplc="EEB4F4CC">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6A36D01"/>
    <w:multiLevelType w:val="hybridMultilevel"/>
    <w:tmpl w:val="F6687AE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3074053A"/>
    <w:multiLevelType w:val="hybridMultilevel"/>
    <w:tmpl w:val="2480A0CE"/>
    <w:lvl w:ilvl="0" w:tplc="235CE2F6">
      <w:start w:val="8"/>
      <w:numFmt w:val="decimal"/>
      <w:lvlText w:val="(%1)"/>
      <w:lvlJc w:val="left"/>
      <w:pPr>
        <w:ind w:left="1170" w:hanging="360"/>
      </w:pPr>
      <w:rPr>
        <w:rFonts w:hint="default"/>
        <w:b/>
      </w:rPr>
    </w:lvl>
    <w:lvl w:ilvl="1" w:tplc="04090003" w:tentative="1">
      <w:start w:val="1"/>
      <w:numFmt w:val="lowerLetter"/>
      <w:lvlText w:val="%2."/>
      <w:lvlJc w:val="left"/>
      <w:pPr>
        <w:ind w:left="1620" w:hanging="360"/>
      </w:pPr>
    </w:lvl>
    <w:lvl w:ilvl="2" w:tplc="04090005" w:tentative="1">
      <w:start w:val="1"/>
      <w:numFmt w:val="lowerRoman"/>
      <w:lvlText w:val="%3."/>
      <w:lvlJc w:val="right"/>
      <w:pPr>
        <w:ind w:left="2340" w:hanging="180"/>
      </w:pPr>
    </w:lvl>
    <w:lvl w:ilvl="3" w:tplc="04090001" w:tentative="1">
      <w:start w:val="1"/>
      <w:numFmt w:val="decimal"/>
      <w:lvlText w:val="%4."/>
      <w:lvlJc w:val="left"/>
      <w:pPr>
        <w:ind w:left="3060" w:hanging="360"/>
      </w:pPr>
    </w:lvl>
    <w:lvl w:ilvl="4" w:tplc="04090003" w:tentative="1">
      <w:start w:val="1"/>
      <w:numFmt w:val="lowerLetter"/>
      <w:lvlText w:val="%5."/>
      <w:lvlJc w:val="left"/>
      <w:pPr>
        <w:ind w:left="3780" w:hanging="360"/>
      </w:pPr>
    </w:lvl>
    <w:lvl w:ilvl="5" w:tplc="04090005" w:tentative="1">
      <w:start w:val="1"/>
      <w:numFmt w:val="lowerRoman"/>
      <w:lvlText w:val="%6."/>
      <w:lvlJc w:val="right"/>
      <w:pPr>
        <w:ind w:left="4500" w:hanging="180"/>
      </w:pPr>
    </w:lvl>
    <w:lvl w:ilvl="6" w:tplc="04090001" w:tentative="1">
      <w:start w:val="1"/>
      <w:numFmt w:val="decimal"/>
      <w:lvlText w:val="%7."/>
      <w:lvlJc w:val="left"/>
      <w:pPr>
        <w:ind w:left="5220" w:hanging="360"/>
      </w:pPr>
    </w:lvl>
    <w:lvl w:ilvl="7" w:tplc="04090003" w:tentative="1">
      <w:start w:val="1"/>
      <w:numFmt w:val="lowerLetter"/>
      <w:lvlText w:val="%8."/>
      <w:lvlJc w:val="left"/>
      <w:pPr>
        <w:ind w:left="5940" w:hanging="360"/>
      </w:pPr>
    </w:lvl>
    <w:lvl w:ilvl="8" w:tplc="04090005" w:tentative="1">
      <w:start w:val="1"/>
      <w:numFmt w:val="lowerRoman"/>
      <w:lvlText w:val="%9."/>
      <w:lvlJc w:val="right"/>
      <w:pPr>
        <w:ind w:left="6660" w:hanging="180"/>
      </w:pPr>
    </w:lvl>
  </w:abstractNum>
  <w:abstractNum w:abstractNumId="12">
    <w:nsid w:val="38FD02B6"/>
    <w:multiLevelType w:val="hybridMultilevel"/>
    <w:tmpl w:val="7EE2373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nsid w:val="49C6048B"/>
    <w:multiLevelType w:val="singleLevel"/>
    <w:tmpl w:val="F0AA5F10"/>
    <w:lvl w:ilvl="0">
      <w:start w:val="1"/>
      <w:numFmt w:val="decimal"/>
      <w:pStyle w:val="NumberedBullet"/>
      <w:lvlText w:val="%1."/>
      <w:lvlJc w:val="left"/>
      <w:pPr>
        <w:tabs>
          <w:tab w:val="num" w:pos="900"/>
        </w:tabs>
        <w:ind w:left="900" w:hanging="360"/>
      </w:pPr>
      <w:rPr>
        <w:rFonts w:hint="default"/>
      </w:rPr>
    </w:lvl>
  </w:abstractNum>
  <w:abstractNum w:abstractNumId="14">
    <w:nsid w:val="4DC41C0F"/>
    <w:multiLevelType w:val="hybridMultilevel"/>
    <w:tmpl w:val="FCF87282"/>
    <w:lvl w:ilvl="0" w:tplc="EAFC647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5F547443"/>
    <w:multiLevelType w:val="hybridMultilevel"/>
    <w:tmpl w:val="E7DEE1F4"/>
    <w:lvl w:ilvl="0" w:tplc="13805CDE">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20C81330">
      <w:start w:val="1"/>
      <w:numFmt w:val="bullet"/>
      <w:pStyle w:val="BulletRed"/>
      <w:lvlText w:val=""/>
      <w:lvlJc w:val="left"/>
      <w:pPr>
        <w:ind w:left="1152" w:hanging="360"/>
      </w:pPr>
      <w:rPr>
        <w:rFonts w:ascii="Symbol" w:hAnsi="Symbol" w:hint="default"/>
        <w:color w:val="C00000"/>
      </w:rPr>
    </w:lvl>
    <w:lvl w:ilvl="1" w:tplc="8286D746" w:tentative="1">
      <w:start w:val="1"/>
      <w:numFmt w:val="bullet"/>
      <w:lvlText w:val="o"/>
      <w:lvlJc w:val="left"/>
      <w:pPr>
        <w:ind w:left="1872" w:hanging="360"/>
      </w:pPr>
      <w:rPr>
        <w:rFonts w:ascii="Courier New" w:hAnsi="Courier New" w:cs="Courier New" w:hint="default"/>
      </w:rPr>
    </w:lvl>
    <w:lvl w:ilvl="2" w:tplc="53929B00" w:tentative="1">
      <w:start w:val="1"/>
      <w:numFmt w:val="bullet"/>
      <w:lvlText w:val=""/>
      <w:lvlJc w:val="left"/>
      <w:pPr>
        <w:ind w:left="2592" w:hanging="360"/>
      </w:pPr>
      <w:rPr>
        <w:rFonts w:ascii="Wingdings" w:hAnsi="Wingdings" w:hint="default"/>
      </w:rPr>
    </w:lvl>
    <w:lvl w:ilvl="3" w:tplc="D5A4A702" w:tentative="1">
      <w:start w:val="1"/>
      <w:numFmt w:val="bullet"/>
      <w:lvlText w:val=""/>
      <w:lvlJc w:val="left"/>
      <w:pPr>
        <w:ind w:left="3312" w:hanging="360"/>
      </w:pPr>
      <w:rPr>
        <w:rFonts w:ascii="Symbol" w:hAnsi="Symbol" w:hint="default"/>
      </w:rPr>
    </w:lvl>
    <w:lvl w:ilvl="4" w:tplc="867489C0" w:tentative="1">
      <w:start w:val="1"/>
      <w:numFmt w:val="bullet"/>
      <w:lvlText w:val="o"/>
      <w:lvlJc w:val="left"/>
      <w:pPr>
        <w:ind w:left="4032" w:hanging="360"/>
      </w:pPr>
      <w:rPr>
        <w:rFonts w:ascii="Courier New" w:hAnsi="Courier New" w:cs="Courier New" w:hint="default"/>
      </w:rPr>
    </w:lvl>
    <w:lvl w:ilvl="5" w:tplc="F2F89994" w:tentative="1">
      <w:start w:val="1"/>
      <w:numFmt w:val="bullet"/>
      <w:lvlText w:val=""/>
      <w:lvlJc w:val="left"/>
      <w:pPr>
        <w:ind w:left="4752" w:hanging="360"/>
      </w:pPr>
      <w:rPr>
        <w:rFonts w:ascii="Wingdings" w:hAnsi="Wingdings" w:hint="default"/>
      </w:rPr>
    </w:lvl>
    <w:lvl w:ilvl="6" w:tplc="7116C474" w:tentative="1">
      <w:start w:val="1"/>
      <w:numFmt w:val="bullet"/>
      <w:lvlText w:val=""/>
      <w:lvlJc w:val="left"/>
      <w:pPr>
        <w:ind w:left="5472" w:hanging="360"/>
      </w:pPr>
      <w:rPr>
        <w:rFonts w:ascii="Symbol" w:hAnsi="Symbol" w:hint="default"/>
      </w:rPr>
    </w:lvl>
    <w:lvl w:ilvl="7" w:tplc="2FB48B8E" w:tentative="1">
      <w:start w:val="1"/>
      <w:numFmt w:val="bullet"/>
      <w:lvlText w:val="o"/>
      <w:lvlJc w:val="left"/>
      <w:pPr>
        <w:ind w:left="6192" w:hanging="360"/>
      </w:pPr>
      <w:rPr>
        <w:rFonts w:ascii="Courier New" w:hAnsi="Courier New" w:cs="Courier New" w:hint="default"/>
      </w:rPr>
    </w:lvl>
    <w:lvl w:ilvl="8" w:tplc="28A250FA"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D081E"/>
    <w:multiLevelType w:val="hybridMultilevel"/>
    <w:tmpl w:val="34145456"/>
    <w:lvl w:ilvl="0" w:tplc="5FAE32F2">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9">
    <w:nsid w:val="75657F2A"/>
    <w:multiLevelType w:val="hybridMultilevel"/>
    <w:tmpl w:val="9A0A0D82"/>
    <w:lvl w:ilvl="0" w:tplc="FCAC0DB8">
      <w:start w:val="1"/>
      <w:numFmt w:val="bullet"/>
      <w:lvlText w:val=""/>
      <w:lvlJc w:val="left"/>
      <w:pPr>
        <w:ind w:left="1236" w:hanging="360"/>
      </w:pPr>
      <w:rPr>
        <w:rFonts w:ascii="Symbol" w:hAnsi="Symbol" w:hint="default"/>
      </w:rPr>
    </w:lvl>
    <w:lvl w:ilvl="1" w:tplc="C07CCFCA" w:tentative="1">
      <w:start w:val="1"/>
      <w:numFmt w:val="bullet"/>
      <w:lvlText w:val="o"/>
      <w:lvlJc w:val="left"/>
      <w:pPr>
        <w:ind w:left="1956" w:hanging="360"/>
      </w:pPr>
      <w:rPr>
        <w:rFonts w:ascii="Courier New" w:hAnsi="Courier New" w:cs="Courier New" w:hint="default"/>
      </w:rPr>
    </w:lvl>
    <w:lvl w:ilvl="2" w:tplc="F95E3122" w:tentative="1">
      <w:start w:val="1"/>
      <w:numFmt w:val="bullet"/>
      <w:lvlText w:val=""/>
      <w:lvlJc w:val="left"/>
      <w:pPr>
        <w:ind w:left="2676" w:hanging="360"/>
      </w:pPr>
      <w:rPr>
        <w:rFonts w:ascii="Wingdings" w:hAnsi="Wingdings" w:hint="default"/>
      </w:rPr>
    </w:lvl>
    <w:lvl w:ilvl="3" w:tplc="4FB062A6" w:tentative="1">
      <w:start w:val="1"/>
      <w:numFmt w:val="bullet"/>
      <w:lvlText w:val=""/>
      <w:lvlJc w:val="left"/>
      <w:pPr>
        <w:ind w:left="3396" w:hanging="360"/>
      </w:pPr>
      <w:rPr>
        <w:rFonts w:ascii="Symbol" w:hAnsi="Symbol" w:hint="default"/>
      </w:rPr>
    </w:lvl>
    <w:lvl w:ilvl="4" w:tplc="FF923848" w:tentative="1">
      <w:start w:val="1"/>
      <w:numFmt w:val="bullet"/>
      <w:lvlText w:val="o"/>
      <w:lvlJc w:val="left"/>
      <w:pPr>
        <w:ind w:left="4116" w:hanging="360"/>
      </w:pPr>
      <w:rPr>
        <w:rFonts w:ascii="Courier New" w:hAnsi="Courier New" w:cs="Courier New" w:hint="default"/>
      </w:rPr>
    </w:lvl>
    <w:lvl w:ilvl="5" w:tplc="A61881D0" w:tentative="1">
      <w:start w:val="1"/>
      <w:numFmt w:val="bullet"/>
      <w:lvlText w:val=""/>
      <w:lvlJc w:val="left"/>
      <w:pPr>
        <w:ind w:left="4836" w:hanging="360"/>
      </w:pPr>
      <w:rPr>
        <w:rFonts w:ascii="Wingdings" w:hAnsi="Wingdings" w:hint="default"/>
      </w:rPr>
    </w:lvl>
    <w:lvl w:ilvl="6" w:tplc="782C8CA6" w:tentative="1">
      <w:start w:val="1"/>
      <w:numFmt w:val="bullet"/>
      <w:lvlText w:val=""/>
      <w:lvlJc w:val="left"/>
      <w:pPr>
        <w:ind w:left="5556" w:hanging="360"/>
      </w:pPr>
      <w:rPr>
        <w:rFonts w:ascii="Symbol" w:hAnsi="Symbol" w:hint="default"/>
      </w:rPr>
    </w:lvl>
    <w:lvl w:ilvl="7" w:tplc="3AD08E36" w:tentative="1">
      <w:start w:val="1"/>
      <w:numFmt w:val="bullet"/>
      <w:lvlText w:val="o"/>
      <w:lvlJc w:val="left"/>
      <w:pPr>
        <w:ind w:left="6276" w:hanging="360"/>
      </w:pPr>
      <w:rPr>
        <w:rFonts w:ascii="Courier New" w:hAnsi="Courier New" w:cs="Courier New" w:hint="default"/>
      </w:rPr>
    </w:lvl>
    <w:lvl w:ilvl="8" w:tplc="561A91C0" w:tentative="1">
      <w:start w:val="1"/>
      <w:numFmt w:val="bullet"/>
      <w:lvlText w:val=""/>
      <w:lvlJc w:val="left"/>
      <w:pPr>
        <w:ind w:left="6996" w:hanging="360"/>
      </w:pPr>
      <w:rPr>
        <w:rFonts w:ascii="Wingdings" w:hAnsi="Wingdings" w:hint="default"/>
      </w:rPr>
    </w:lvl>
  </w:abstractNum>
  <w:abstractNum w:abstractNumId="20">
    <w:nsid w:val="7C07794B"/>
    <w:multiLevelType w:val="hybridMultilevel"/>
    <w:tmpl w:val="ED6ABC92"/>
    <w:lvl w:ilvl="0" w:tplc="04090001">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0"/>
  </w:num>
  <w:num w:numId="3">
    <w:abstractNumId w:val="7"/>
  </w:num>
  <w:num w:numId="4">
    <w:abstractNumId w:val="8"/>
  </w:num>
  <w:num w:numId="5">
    <w:abstractNumId w:val="9"/>
  </w:num>
  <w:num w:numId="6">
    <w:abstractNumId w:val="3"/>
  </w:num>
  <w:num w:numId="7">
    <w:abstractNumId w:val="16"/>
  </w:num>
  <w:num w:numId="8">
    <w:abstractNumId w:val="4"/>
  </w:num>
  <w:num w:numId="9">
    <w:abstractNumId w:val="15"/>
  </w:num>
  <w:num w:numId="10">
    <w:abstractNumId w:val="17"/>
  </w:num>
  <w:num w:numId="11">
    <w:abstractNumId w:val="19"/>
  </w:num>
  <w:num w:numId="12">
    <w:abstractNumId w:val="11"/>
  </w:num>
  <w:num w:numId="13">
    <w:abstractNumId w:val="18"/>
  </w:num>
  <w:num w:numId="14">
    <w:abstractNumId w:val="1"/>
  </w:num>
  <w:num w:numId="15">
    <w:abstractNumId w:val="6"/>
  </w:num>
  <w:num w:numId="16">
    <w:abstractNumId w:val="5"/>
  </w:num>
  <w:num w:numId="17">
    <w:abstractNumId w:val="13"/>
  </w:num>
  <w:num w:numId="18">
    <w:abstractNumId w:val="0"/>
    <w:lvlOverride w:ilvl="0">
      <w:startOverride w:val="1"/>
      <w:lvl w:ilvl="0">
        <w:start w:val="1"/>
        <w:numFmt w:val="decimal"/>
        <w:pStyle w:val="1"/>
        <w:lvlText w:val="%1."/>
        <w:lvlJc w:val="left"/>
      </w:lvl>
    </w:lvlOverride>
  </w:num>
  <w:num w:numId="19">
    <w:abstractNumId w:val="12"/>
  </w:num>
  <w:num w:numId="20">
    <w:abstractNumId w:val="2"/>
  </w:num>
  <w:num w:numId="21">
    <w:abstractNumId w:val="10"/>
  </w:num>
  <w:num w:numId="2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6E"/>
    <w:rsid w:val="00000664"/>
    <w:rsid w:val="00000680"/>
    <w:rsid w:val="000012DF"/>
    <w:rsid w:val="000015FB"/>
    <w:rsid w:val="000036F0"/>
    <w:rsid w:val="00003F96"/>
    <w:rsid w:val="00005F28"/>
    <w:rsid w:val="00006E1F"/>
    <w:rsid w:val="00007CA0"/>
    <w:rsid w:val="0001119F"/>
    <w:rsid w:val="00012372"/>
    <w:rsid w:val="00012863"/>
    <w:rsid w:val="00015144"/>
    <w:rsid w:val="00016C4D"/>
    <w:rsid w:val="00017DD1"/>
    <w:rsid w:val="000212A7"/>
    <w:rsid w:val="00021A62"/>
    <w:rsid w:val="00023ACF"/>
    <w:rsid w:val="000250A4"/>
    <w:rsid w:val="00027FBE"/>
    <w:rsid w:val="000300AF"/>
    <w:rsid w:val="00030EDA"/>
    <w:rsid w:val="00035A04"/>
    <w:rsid w:val="00037098"/>
    <w:rsid w:val="0004076E"/>
    <w:rsid w:val="00042565"/>
    <w:rsid w:val="00043C0B"/>
    <w:rsid w:val="00046CA3"/>
    <w:rsid w:val="00046CD3"/>
    <w:rsid w:val="00046E51"/>
    <w:rsid w:val="00052499"/>
    <w:rsid w:val="00052B88"/>
    <w:rsid w:val="00053968"/>
    <w:rsid w:val="00054331"/>
    <w:rsid w:val="000561DD"/>
    <w:rsid w:val="00056C64"/>
    <w:rsid w:val="00056D60"/>
    <w:rsid w:val="000616CD"/>
    <w:rsid w:val="00063123"/>
    <w:rsid w:val="00063FEF"/>
    <w:rsid w:val="00066AB9"/>
    <w:rsid w:val="000769A1"/>
    <w:rsid w:val="00076CF0"/>
    <w:rsid w:val="000807CF"/>
    <w:rsid w:val="00080DFA"/>
    <w:rsid w:val="000812AE"/>
    <w:rsid w:val="000816DC"/>
    <w:rsid w:val="00081D47"/>
    <w:rsid w:val="00082FFB"/>
    <w:rsid w:val="0008353A"/>
    <w:rsid w:val="00085B6E"/>
    <w:rsid w:val="0008700C"/>
    <w:rsid w:val="00090529"/>
    <w:rsid w:val="0009065A"/>
    <w:rsid w:val="00092B1E"/>
    <w:rsid w:val="00097873"/>
    <w:rsid w:val="000A2CAE"/>
    <w:rsid w:val="000A2E0D"/>
    <w:rsid w:val="000A3650"/>
    <w:rsid w:val="000A4439"/>
    <w:rsid w:val="000A544F"/>
    <w:rsid w:val="000B062C"/>
    <w:rsid w:val="000B2BD0"/>
    <w:rsid w:val="000B2E0D"/>
    <w:rsid w:val="000B34D9"/>
    <w:rsid w:val="000B39F4"/>
    <w:rsid w:val="000B3A77"/>
    <w:rsid w:val="000B7E70"/>
    <w:rsid w:val="000C0118"/>
    <w:rsid w:val="000C15B4"/>
    <w:rsid w:val="000C21AF"/>
    <w:rsid w:val="000C2713"/>
    <w:rsid w:val="000C57E2"/>
    <w:rsid w:val="000C7071"/>
    <w:rsid w:val="000C70DC"/>
    <w:rsid w:val="000C72F8"/>
    <w:rsid w:val="000C7B64"/>
    <w:rsid w:val="000C7CAE"/>
    <w:rsid w:val="000D1261"/>
    <w:rsid w:val="000D2FF7"/>
    <w:rsid w:val="000D550D"/>
    <w:rsid w:val="000D708A"/>
    <w:rsid w:val="000D709F"/>
    <w:rsid w:val="000E1D9E"/>
    <w:rsid w:val="000E6D11"/>
    <w:rsid w:val="000F022E"/>
    <w:rsid w:val="000F1F46"/>
    <w:rsid w:val="000F225F"/>
    <w:rsid w:val="000F79B9"/>
    <w:rsid w:val="001001FA"/>
    <w:rsid w:val="00101A1C"/>
    <w:rsid w:val="001022CE"/>
    <w:rsid w:val="00103BBB"/>
    <w:rsid w:val="00105D23"/>
    <w:rsid w:val="00105FEB"/>
    <w:rsid w:val="001073C9"/>
    <w:rsid w:val="001110F1"/>
    <w:rsid w:val="00113335"/>
    <w:rsid w:val="001139E9"/>
    <w:rsid w:val="00114F50"/>
    <w:rsid w:val="001224CF"/>
    <w:rsid w:val="0012342A"/>
    <w:rsid w:val="00123EF4"/>
    <w:rsid w:val="00124330"/>
    <w:rsid w:val="001272C4"/>
    <w:rsid w:val="00130424"/>
    <w:rsid w:val="0013282C"/>
    <w:rsid w:val="00132E2F"/>
    <w:rsid w:val="001332C0"/>
    <w:rsid w:val="001346A3"/>
    <w:rsid w:val="00135AF5"/>
    <w:rsid w:val="00137AF2"/>
    <w:rsid w:val="00140229"/>
    <w:rsid w:val="001407AD"/>
    <w:rsid w:val="00141646"/>
    <w:rsid w:val="00141705"/>
    <w:rsid w:val="00141A0B"/>
    <w:rsid w:val="001422E1"/>
    <w:rsid w:val="001425AF"/>
    <w:rsid w:val="001428A6"/>
    <w:rsid w:val="00142AE3"/>
    <w:rsid w:val="00143F82"/>
    <w:rsid w:val="00144C2E"/>
    <w:rsid w:val="00144DA7"/>
    <w:rsid w:val="00145B55"/>
    <w:rsid w:val="001463AE"/>
    <w:rsid w:val="00146910"/>
    <w:rsid w:val="00147951"/>
    <w:rsid w:val="00150AB3"/>
    <w:rsid w:val="0015295D"/>
    <w:rsid w:val="0015677A"/>
    <w:rsid w:val="00160306"/>
    <w:rsid w:val="00160E09"/>
    <w:rsid w:val="0016162A"/>
    <w:rsid w:val="00161E76"/>
    <w:rsid w:val="00162191"/>
    <w:rsid w:val="0016260F"/>
    <w:rsid w:val="00164BC9"/>
    <w:rsid w:val="001650F0"/>
    <w:rsid w:val="0016608D"/>
    <w:rsid w:val="00166633"/>
    <w:rsid w:val="0017470E"/>
    <w:rsid w:val="00175BAB"/>
    <w:rsid w:val="00181F53"/>
    <w:rsid w:val="0018564C"/>
    <w:rsid w:val="001856A4"/>
    <w:rsid w:val="00190B7F"/>
    <w:rsid w:val="0019215E"/>
    <w:rsid w:val="00192179"/>
    <w:rsid w:val="00192F6A"/>
    <w:rsid w:val="001933B1"/>
    <w:rsid w:val="001972D4"/>
    <w:rsid w:val="00197CB6"/>
    <w:rsid w:val="001A00F6"/>
    <w:rsid w:val="001A06F4"/>
    <w:rsid w:val="001A07D4"/>
    <w:rsid w:val="001A0957"/>
    <w:rsid w:val="001A1BDD"/>
    <w:rsid w:val="001A6182"/>
    <w:rsid w:val="001A6649"/>
    <w:rsid w:val="001B0C0C"/>
    <w:rsid w:val="001B21DB"/>
    <w:rsid w:val="001B2699"/>
    <w:rsid w:val="001B360E"/>
    <w:rsid w:val="001B4F20"/>
    <w:rsid w:val="001B7611"/>
    <w:rsid w:val="001C40DE"/>
    <w:rsid w:val="001C4E61"/>
    <w:rsid w:val="001C6D08"/>
    <w:rsid w:val="001D0AD5"/>
    <w:rsid w:val="001D11DE"/>
    <w:rsid w:val="001D1DCA"/>
    <w:rsid w:val="001D247C"/>
    <w:rsid w:val="001D3C41"/>
    <w:rsid w:val="001D5AA1"/>
    <w:rsid w:val="001D6138"/>
    <w:rsid w:val="001D634E"/>
    <w:rsid w:val="001E045B"/>
    <w:rsid w:val="001E0AB2"/>
    <w:rsid w:val="001E2A76"/>
    <w:rsid w:val="001E36BD"/>
    <w:rsid w:val="001E466A"/>
    <w:rsid w:val="001F115D"/>
    <w:rsid w:val="001F5410"/>
    <w:rsid w:val="001F61DB"/>
    <w:rsid w:val="001F6E58"/>
    <w:rsid w:val="001F7430"/>
    <w:rsid w:val="00200B10"/>
    <w:rsid w:val="00200CC4"/>
    <w:rsid w:val="002018B8"/>
    <w:rsid w:val="00201A49"/>
    <w:rsid w:val="002040EF"/>
    <w:rsid w:val="002045B5"/>
    <w:rsid w:val="002053F3"/>
    <w:rsid w:val="002066D6"/>
    <w:rsid w:val="0020681C"/>
    <w:rsid w:val="00206D28"/>
    <w:rsid w:val="0021060B"/>
    <w:rsid w:val="00210FF7"/>
    <w:rsid w:val="00211E64"/>
    <w:rsid w:val="00212D5D"/>
    <w:rsid w:val="00212DDC"/>
    <w:rsid w:val="00214320"/>
    <w:rsid w:val="0021695D"/>
    <w:rsid w:val="002217EE"/>
    <w:rsid w:val="00222E32"/>
    <w:rsid w:val="00223990"/>
    <w:rsid w:val="0022402B"/>
    <w:rsid w:val="00227C8B"/>
    <w:rsid w:val="00236122"/>
    <w:rsid w:val="00237F6F"/>
    <w:rsid w:val="00243909"/>
    <w:rsid w:val="00243DEE"/>
    <w:rsid w:val="00244706"/>
    <w:rsid w:val="0025182E"/>
    <w:rsid w:val="002529B7"/>
    <w:rsid w:val="002550BA"/>
    <w:rsid w:val="002613D2"/>
    <w:rsid w:val="00264716"/>
    <w:rsid w:val="00264C95"/>
    <w:rsid w:val="0026509E"/>
    <w:rsid w:val="0026538D"/>
    <w:rsid w:val="00265A32"/>
    <w:rsid w:val="00267F6C"/>
    <w:rsid w:val="00271B2B"/>
    <w:rsid w:val="00276740"/>
    <w:rsid w:val="00280AB2"/>
    <w:rsid w:val="002812A2"/>
    <w:rsid w:val="00281AAF"/>
    <w:rsid w:val="00281C08"/>
    <w:rsid w:val="00282FD0"/>
    <w:rsid w:val="0028389F"/>
    <w:rsid w:val="00283FBD"/>
    <w:rsid w:val="00284557"/>
    <w:rsid w:val="002849EE"/>
    <w:rsid w:val="00286427"/>
    <w:rsid w:val="002871E7"/>
    <w:rsid w:val="00287FD7"/>
    <w:rsid w:val="00290259"/>
    <w:rsid w:val="002911B1"/>
    <w:rsid w:val="002921C5"/>
    <w:rsid w:val="002940C5"/>
    <w:rsid w:val="002942FB"/>
    <w:rsid w:val="0029472D"/>
    <w:rsid w:val="002A0847"/>
    <w:rsid w:val="002A1ADA"/>
    <w:rsid w:val="002A28C9"/>
    <w:rsid w:val="002A70E7"/>
    <w:rsid w:val="002A7359"/>
    <w:rsid w:val="002B034E"/>
    <w:rsid w:val="002B1593"/>
    <w:rsid w:val="002B224F"/>
    <w:rsid w:val="002B68A5"/>
    <w:rsid w:val="002B6DA0"/>
    <w:rsid w:val="002C0003"/>
    <w:rsid w:val="002C00E9"/>
    <w:rsid w:val="002C23B3"/>
    <w:rsid w:val="002C244D"/>
    <w:rsid w:val="002C413C"/>
    <w:rsid w:val="002C64E8"/>
    <w:rsid w:val="002C7011"/>
    <w:rsid w:val="002C734A"/>
    <w:rsid w:val="002D098F"/>
    <w:rsid w:val="002D0A34"/>
    <w:rsid w:val="002D0CBD"/>
    <w:rsid w:val="002D209C"/>
    <w:rsid w:val="002D279D"/>
    <w:rsid w:val="002D6999"/>
    <w:rsid w:val="002E142C"/>
    <w:rsid w:val="002E3E03"/>
    <w:rsid w:val="002E5B69"/>
    <w:rsid w:val="002E6FA1"/>
    <w:rsid w:val="002E76C2"/>
    <w:rsid w:val="002F1809"/>
    <w:rsid w:val="002F1E71"/>
    <w:rsid w:val="002F2B2D"/>
    <w:rsid w:val="002F36A7"/>
    <w:rsid w:val="002F440B"/>
    <w:rsid w:val="002F60A0"/>
    <w:rsid w:val="002F71D4"/>
    <w:rsid w:val="002F7C83"/>
    <w:rsid w:val="002F7F93"/>
    <w:rsid w:val="003002AD"/>
    <w:rsid w:val="00300CE3"/>
    <w:rsid w:val="003038C0"/>
    <w:rsid w:val="00303CF8"/>
    <w:rsid w:val="003046C1"/>
    <w:rsid w:val="00305F1C"/>
    <w:rsid w:val="003108BC"/>
    <w:rsid w:val="00313671"/>
    <w:rsid w:val="00313B0F"/>
    <w:rsid w:val="00313E69"/>
    <w:rsid w:val="003142E6"/>
    <w:rsid w:val="003147A2"/>
    <w:rsid w:val="0031698E"/>
    <w:rsid w:val="00317EDA"/>
    <w:rsid w:val="00320EB3"/>
    <w:rsid w:val="00323E55"/>
    <w:rsid w:val="00325C9D"/>
    <w:rsid w:val="0032778C"/>
    <w:rsid w:val="00336A60"/>
    <w:rsid w:val="003372CB"/>
    <w:rsid w:val="00342CD8"/>
    <w:rsid w:val="00343A0C"/>
    <w:rsid w:val="00350399"/>
    <w:rsid w:val="00350C11"/>
    <w:rsid w:val="00350E63"/>
    <w:rsid w:val="00353544"/>
    <w:rsid w:val="00353E51"/>
    <w:rsid w:val="00354942"/>
    <w:rsid w:val="00354C34"/>
    <w:rsid w:val="0035674B"/>
    <w:rsid w:val="003607F3"/>
    <w:rsid w:val="00362133"/>
    <w:rsid w:val="003630BC"/>
    <w:rsid w:val="00363AEC"/>
    <w:rsid w:val="00365511"/>
    <w:rsid w:val="00366FF5"/>
    <w:rsid w:val="00367ED5"/>
    <w:rsid w:val="00371187"/>
    <w:rsid w:val="00372AB1"/>
    <w:rsid w:val="00372FB4"/>
    <w:rsid w:val="0037395A"/>
    <w:rsid w:val="00374549"/>
    <w:rsid w:val="00377EB9"/>
    <w:rsid w:val="00380586"/>
    <w:rsid w:val="00381622"/>
    <w:rsid w:val="00381A96"/>
    <w:rsid w:val="00381B5C"/>
    <w:rsid w:val="003834F4"/>
    <w:rsid w:val="00386508"/>
    <w:rsid w:val="00387706"/>
    <w:rsid w:val="003939E8"/>
    <w:rsid w:val="00393BE2"/>
    <w:rsid w:val="00394752"/>
    <w:rsid w:val="003A0500"/>
    <w:rsid w:val="003A1506"/>
    <w:rsid w:val="003A1774"/>
    <w:rsid w:val="003A17E0"/>
    <w:rsid w:val="003A1E25"/>
    <w:rsid w:val="003A26BB"/>
    <w:rsid w:val="003A2BF5"/>
    <w:rsid w:val="003B06CE"/>
    <w:rsid w:val="003B1FFC"/>
    <w:rsid w:val="003B2E59"/>
    <w:rsid w:val="003B303A"/>
    <w:rsid w:val="003C0A5F"/>
    <w:rsid w:val="003C0AC3"/>
    <w:rsid w:val="003C0BAC"/>
    <w:rsid w:val="003C27A1"/>
    <w:rsid w:val="003C5782"/>
    <w:rsid w:val="003C57EB"/>
    <w:rsid w:val="003C5A25"/>
    <w:rsid w:val="003C7D14"/>
    <w:rsid w:val="003D3D86"/>
    <w:rsid w:val="003D77B2"/>
    <w:rsid w:val="003D7B28"/>
    <w:rsid w:val="003E0A97"/>
    <w:rsid w:val="003E0D48"/>
    <w:rsid w:val="003E10A4"/>
    <w:rsid w:val="003E4DE6"/>
    <w:rsid w:val="003E5690"/>
    <w:rsid w:val="003F2529"/>
    <w:rsid w:val="003F2BD8"/>
    <w:rsid w:val="003F305E"/>
    <w:rsid w:val="003F3C53"/>
    <w:rsid w:val="00401627"/>
    <w:rsid w:val="00401DB0"/>
    <w:rsid w:val="00402782"/>
    <w:rsid w:val="00405108"/>
    <w:rsid w:val="0040780A"/>
    <w:rsid w:val="00407BBB"/>
    <w:rsid w:val="00410D6B"/>
    <w:rsid w:val="00410D8F"/>
    <w:rsid w:val="00410F60"/>
    <w:rsid w:val="00411125"/>
    <w:rsid w:val="004118E0"/>
    <w:rsid w:val="00411CBD"/>
    <w:rsid w:val="00412D08"/>
    <w:rsid w:val="00414FF6"/>
    <w:rsid w:val="004178CB"/>
    <w:rsid w:val="00417B7A"/>
    <w:rsid w:val="0042039D"/>
    <w:rsid w:val="00421DEF"/>
    <w:rsid w:val="0042391D"/>
    <w:rsid w:val="0042461E"/>
    <w:rsid w:val="00424B01"/>
    <w:rsid w:val="0042755D"/>
    <w:rsid w:val="004275B0"/>
    <w:rsid w:val="004338D1"/>
    <w:rsid w:val="00434CD4"/>
    <w:rsid w:val="00435788"/>
    <w:rsid w:val="00437941"/>
    <w:rsid w:val="00440747"/>
    <w:rsid w:val="00443157"/>
    <w:rsid w:val="0044551C"/>
    <w:rsid w:val="00445AFD"/>
    <w:rsid w:val="00446472"/>
    <w:rsid w:val="004467B5"/>
    <w:rsid w:val="00446BC5"/>
    <w:rsid w:val="00446CE2"/>
    <w:rsid w:val="00447C62"/>
    <w:rsid w:val="004503A4"/>
    <w:rsid w:val="00450873"/>
    <w:rsid w:val="00455A65"/>
    <w:rsid w:val="00455C7B"/>
    <w:rsid w:val="004569AC"/>
    <w:rsid w:val="004600D4"/>
    <w:rsid w:val="004624D4"/>
    <w:rsid w:val="00463045"/>
    <w:rsid w:val="004646A2"/>
    <w:rsid w:val="00465DD2"/>
    <w:rsid w:val="00466F8A"/>
    <w:rsid w:val="00470308"/>
    <w:rsid w:val="00474405"/>
    <w:rsid w:val="0047478B"/>
    <w:rsid w:val="004750A7"/>
    <w:rsid w:val="00475483"/>
    <w:rsid w:val="0047580E"/>
    <w:rsid w:val="00476CB1"/>
    <w:rsid w:val="00490847"/>
    <w:rsid w:val="00492448"/>
    <w:rsid w:val="00492B73"/>
    <w:rsid w:val="00493AE5"/>
    <w:rsid w:val="00494874"/>
    <w:rsid w:val="00494DE9"/>
    <w:rsid w:val="00495B79"/>
    <w:rsid w:val="00497FF3"/>
    <w:rsid w:val="004A0392"/>
    <w:rsid w:val="004A071B"/>
    <w:rsid w:val="004A423A"/>
    <w:rsid w:val="004A46CC"/>
    <w:rsid w:val="004A5CF8"/>
    <w:rsid w:val="004B0D54"/>
    <w:rsid w:val="004B1E30"/>
    <w:rsid w:val="004B3637"/>
    <w:rsid w:val="004B4C6A"/>
    <w:rsid w:val="004B6916"/>
    <w:rsid w:val="004C360F"/>
    <w:rsid w:val="004C4E7E"/>
    <w:rsid w:val="004C6DBB"/>
    <w:rsid w:val="004C74D0"/>
    <w:rsid w:val="004D2EC0"/>
    <w:rsid w:val="004D5BF1"/>
    <w:rsid w:val="004D62CD"/>
    <w:rsid w:val="004E56F7"/>
    <w:rsid w:val="004E6555"/>
    <w:rsid w:val="004E6B24"/>
    <w:rsid w:val="004E7D79"/>
    <w:rsid w:val="004F0B74"/>
    <w:rsid w:val="004F3118"/>
    <w:rsid w:val="004F3289"/>
    <w:rsid w:val="004F493C"/>
    <w:rsid w:val="004F7785"/>
    <w:rsid w:val="00506620"/>
    <w:rsid w:val="005122BE"/>
    <w:rsid w:val="00512AF4"/>
    <w:rsid w:val="00513B5E"/>
    <w:rsid w:val="00514703"/>
    <w:rsid w:val="00516A86"/>
    <w:rsid w:val="005173B9"/>
    <w:rsid w:val="005208CA"/>
    <w:rsid w:val="00521890"/>
    <w:rsid w:val="0052371C"/>
    <w:rsid w:val="00525772"/>
    <w:rsid w:val="00531424"/>
    <w:rsid w:val="005342D9"/>
    <w:rsid w:val="005356BF"/>
    <w:rsid w:val="0053652B"/>
    <w:rsid w:val="00537F22"/>
    <w:rsid w:val="00542523"/>
    <w:rsid w:val="0054449E"/>
    <w:rsid w:val="005477F2"/>
    <w:rsid w:val="00557BF5"/>
    <w:rsid w:val="00557FE1"/>
    <w:rsid w:val="00560007"/>
    <w:rsid w:val="005604DC"/>
    <w:rsid w:val="0056175F"/>
    <w:rsid w:val="00562382"/>
    <w:rsid w:val="00562D2D"/>
    <w:rsid w:val="00563172"/>
    <w:rsid w:val="005637D0"/>
    <w:rsid w:val="005639A8"/>
    <w:rsid w:val="0056487B"/>
    <w:rsid w:val="00564E98"/>
    <w:rsid w:val="005725AE"/>
    <w:rsid w:val="00573C02"/>
    <w:rsid w:val="00574516"/>
    <w:rsid w:val="00576682"/>
    <w:rsid w:val="00576BBA"/>
    <w:rsid w:val="00576C4F"/>
    <w:rsid w:val="00576FB9"/>
    <w:rsid w:val="005811B3"/>
    <w:rsid w:val="0058168B"/>
    <w:rsid w:val="00581CCD"/>
    <w:rsid w:val="00581EE2"/>
    <w:rsid w:val="00582CD2"/>
    <w:rsid w:val="00583141"/>
    <w:rsid w:val="00584664"/>
    <w:rsid w:val="0058695E"/>
    <w:rsid w:val="0058753C"/>
    <w:rsid w:val="00591AE6"/>
    <w:rsid w:val="00592E1A"/>
    <w:rsid w:val="00594428"/>
    <w:rsid w:val="005944EC"/>
    <w:rsid w:val="00597C9C"/>
    <w:rsid w:val="00597FEB"/>
    <w:rsid w:val="005A19C0"/>
    <w:rsid w:val="005A2EA6"/>
    <w:rsid w:val="005A3631"/>
    <w:rsid w:val="005A3D02"/>
    <w:rsid w:val="005A4E2C"/>
    <w:rsid w:val="005A52EB"/>
    <w:rsid w:val="005A66CB"/>
    <w:rsid w:val="005A6B0A"/>
    <w:rsid w:val="005B0472"/>
    <w:rsid w:val="005B10EB"/>
    <w:rsid w:val="005B19AB"/>
    <w:rsid w:val="005C0C29"/>
    <w:rsid w:val="005C228F"/>
    <w:rsid w:val="005C272F"/>
    <w:rsid w:val="005C716E"/>
    <w:rsid w:val="005C750A"/>
    <w:rsid w:val="005D01A8"/>
    <w:rsid w:val="005D03E7"/>
    <w:rsid w:val="005D62E2"/>
    <w:rsid w:val="005D7AE7"/>
    <w:rsid w:val="005E1375"/>
    <w:rsid w:val="005E1C64"/>
    <w:rsid w:val="005E250D"/>
    <w:rsid w:val="005E4E37"/>
    <w:rsid w:val="005E556D"/>
    <w:rsid w:val="005E5815"/>
    <w:rsid w:val="005E621A"/>
    <w:rsid w:val="005E6EE9"/>
    <w:rsid w:val="005E7695"/>
    <w:rsid w:val="005F162C"/>
    <w:rsid w:val="005F1E2D"/>
    <w:rsid w:val="005F28D4"/>
    <w:rsid w:val="005F2F72"/>
    <w:rsid w:val="005F33A8"/>
    <w:rsid w:val="005F430F"/>
    <w:rsid w:val="005F53E1"/>
    <w:rsid w:val="005F7DF9"/>
    <w:rsid w:val="00600494"/>
    <w:rsid w:val="0060138C"/>
    <w:rsid w:val="0060203E"/>
    <w:rsid w:val="00606D0E"/>
    <w:rsid w:val="00607ECB"/>
    <w:rsid w:val="006109E1"/>
    <w:rsid w:val="00611C6A"/>
    <w:rsid w:val="006120FD"/>
    <w:rsid w:val="006144B4"/>
    <w:rsid w:val="006150A8"/>
    <w:rsid w:val="00616671"/>
    <w:rsid w:val="00617A03"/>
    <w:rsid w:val="0062522C"/>
    <w:rsid w:val="0062578A"/>
    <w:rsid w:val="00626C58"/>
    <w:rsid w:val="00635EC3"/>
    <w:rsid w:val="00636860"/>
    <w:rsid w:val="00637A61"/>
    <w:rsid w:val="0064008B"/>
    <w:rsid w:val="00641AC0"/>
    <w:rsid w:val="0064251B"/>
    <w:rsid w:val="0064434C"/>
    <w:rsid w:val="00645502"/>
    <w:rsid w:val="00645FA6"/>
    <w:rsid w:val="00646710"/>
    <w:rsid w:val="006468CA"/>
    <w:rsid w:val="00646AD9"/>
    <w:rsid w:val="00650A00"/>
    <w:rsid w:val="006518B1"/>
    <w:rsid w:val="00655B0B"/>
    <w:rsid w:val="00656171"/>
    <w:rsid w:val="006571CE"/>
    <w:rsid w:val="00657615"/>
    <w:rsid w:val="00657EE9"/>
    <w:rsid w:val="00665FE9"/>
    <w:rsid w:val="00666769"/>
    <w:rsid w:val="006671F1"/>
    <w:rsid w:val="00670448"/>
    <w:rsid w:val="006714AC"/>
    <w:rsid w:val="00671E2B"/>
    <w:rsid w:val="00672F90"/>
    <w:rsid w:val="0067315F"/>
    <w:rsid w:val="006739C6"/>
    <w:rsid w:val="0067684B"/>
    <w:rsid w:val="00677802"/>
    <w:rsid w:val="00677BF6"/>
    <w:rsid w:val="0068057E"/>
    <w:rsid w:val="006811CE"/>
    <w:rsid w:val="00681F7A"/>
    <w:rsid w:val="00682AC9"/>
    <w:rsid w:val="00682BCD"/>
    <w:rsid w:val="0068692D"/>
    <w:rsid w:val="00690B57"/>
    <w:rsid w:val="00691341"/>
    <w:rsid w:val="0069443D"/>
    <w:rsid w:val="00694C04"/>
    <w:rsid w:val="006959AF"/>
    <w:rsid w:val="0069650C"/>
    <w:rsid w:val="006A078C"/>
    <w:rsid w:val="006A1899"/>
    <w:rsid w:val="006A1EFF"/>
    <w:rsid w:val="006A2228"/>
    <w:rsid w:val="006A3DE8"/>
    <w:rsid w:val="006A5367"/>
    <w:rsid w:val="006A64EC"/>
    <w:rsid w:val="006A65E7"/>
    <w:rsid w:val="006A72C4"/>
    <w:rsid w:val="006A7614"/>
    <w:rsid w:val="006A7DF7"/>
    <w:rsid w:val="006B0652"/>
    <w:rsid w:val="006B1B9E"/>
    <w:rsid w:val="006B2B5D"/>
    <w:rsid w:val="006B39F6"/>
    <w:rsid w:val="006B43E8"/>
    <w:rsid w:val="006B5D56"/>
    <w:rsid w:val="006B7B5F"/>
    <w:rsid w:val="006B7ED6"/>
    <w:rsid w:val="006C13DE"/>
    <w:rsid w:val="006C16CB"/>
    <w:rsid w:val="006C24AB"/>
    <w:rsid w:val="006C3C39"/>
    <w:rsid w:val="006C5B99"/>
    <w:rsid w:val="006C5D72"/>
    <w:rsid w:val="006C5F78"/>
    <w:rsid w:val="006C7C85"/>
    <w:rsid w:val="006D030C"/>
    <w:rsid w:val="006D03D3"/>
    <w:rsid w:val="006D3367"/>
    <w:rsid w:val="006D413F"/>
    <w:rsid w:val="006D4428"/>
    <w:rsid w:val="006D44FA"/>
    <w:rsid w:val="006D6716"/>
    <w:rsid w:val="006D67B8"/>
    <w:rsid w:val="006D6B4E"/>
    <w:rsid w:val="006E158D"/>
    <w:rsid w:val="006E26CF"/>
    <w:rsid w:val="006E2AEF"/>
    <w:rsid w:val="006E3DE1"/>
    <w:rsid w:val="006F00FD"/>
    <w:rsid w:val="006F0299"/>
    <w:rsid w:val="006F053F"/>
    <w:rsid w:val="006F0832"/>
    <w:rsid w:val="006F168E"/>
    <w:rsid w:val="006F1FAF"/>
    <w:rsid w:val="006F46C0"/>
    <w:rsid w:val="006F4E6E"/>
    <w:rsid w:val="006F548A"/>
    <w:rsid w:val="006F60FD"/>
    <w:rsid w:val="006F6641"/>
    <w:rsid w:val="006F72BD"/>
    <w:rsid w:val="006F794C"/>
    <w:rsid w:val="006F7F6B"/>
    <w:rsid w:val="0070016B"/>
    <w:rsid w:val="0070043E"/>
    <w:rsid w:val="00702D34"/>
    <w:rsid w:val="00702F27"/>
    <w:rsid w:val="00704202"/>
    <w:rsid w:val="0070670F"/>
    <w:rsid w:val="00707664"/>
    <w:rsid w:val="007115FF"/>
    <w:rsid w:val="00711AC1"/>
    <w:rsid w:val="00711CA6"/>
    <w:rsid w:val="0071244B"/>
    <w:rsid w:val="00712A21"/>
    <w:rsid w:val="007153FB"/>
    <w:rsid w:val="00716BE1"/>
    <w:rsid w:val="00717B10"/>
    <w:rsid w:val="00720A3E"/>
    <w:rsid w:val="00720F11"/>
    <w:rsid w:val="007214EF"/>
    <w:rsid w:val="007221E7"/>
    <w:rsid w:val="00722516"/>
    <w:rsid w:val="007234BB"/>
    <w:rsid w:val="00723BB3"/>
    <w:rsid w:val="00723C00"/>
    <w:rsid w:val="007247F7"/>
    <w:rsid w:val="00725938"/>
    <w:rsid w:val="007263E4"/>
    <w:rsid w:val="007269E8"/>
    <w:rsid w:val="00726DD4"/>
    <w:rsid w:val="00730892"/>
    <w:rsid w:val="00731A4C"/>
    <w:rsid w:val="00731AAF"/>
    <w:rsid w:val="00742342"/>
    <w:rsid w:val="00742C8C"/>
    <w:rsid w:val="00744CFB"/>
    <w:rsid w:val="0074653C"/>
    <w:rsid w:val="00747001"/>
    <w:rsid w:val="0074778F"/>
    <w:rsid w:val="00747B99"/>
    <w:rsid w:val="007525FD"/>
    <w:rsid w:val="00752653"/>
    <w:rsid w:val="00754E03"/>
    <w:rsid w:val="00755D11"/>
    <w:rsid w:val="00763A57"/>
    <w:rsid w:val="00764256"/>
    <w:rsid w:val="00764294"/>
    <w:rsid w:val="007670A1"/>
    <w:rsid w:val="00767CDC"/>
    <w:rsid w:val="00770914"/>
    <w:rsid w:val="00772807"/>
    <w:rsid w:val="00773116"/>
    <w:rsid w:val="00773734"/>
    <w:rsid w:val="00775394"/>
    <w:rsid w:val="007761AF"/>
    <w:rsid w:val="00780748"/>
    <w:rsid w:val="0078102C"/>
    <w:rsid w:val="0078127B"/>
    <w:rsid w:val="00783445"/>
    <w:rsid w:val="00784530"/>
    <w:rsid w:val="00784BA2"/>
    <w:rsid w:val="007906CE"/>
    <w:rsid w:val="007959C1"/>
    <w:rsid w:val="00795B47"/>
    <w:rsid w:val="00795D8B"/>
    <w:rsid w:val="007966F4"/>
    <w:rsid w:val="007972FB"/>
    <w:rsid w:val="007A0535"/>
    <w:rsid w:val="007A4A89"/>
    <w:rsid w:val="007A4E66"/>
    <w:rsid w:val="007A5803"/>
    <w:rsid w:val="007B2015"/>
    <w:rsid w:val="007B2497"/>
    <w:rsid w:val="007B2F7F"/>
    <w:rsid w:val="007B5799"/>
    <w:rsid w:val="007B6C77"/>
    <w:rsid w:val="007B6D9E"/>
    <w:rsid w:val="007B705F"/>
    <w:rsid w:val="007C0CD8"/>
    <w:rsid w:val="007C1AB6"/>
    <w:rsid w:val="007C1E2F"/>
    <w:rsid w:val="007C21D9"/>
    <w:rsid w:val="007C307D"/>
    <w:rsid w:val="007C33E6"/>
    <w:rsid w:val="007C3668"/>
    <w:rsid w:val="007C39E6"/>
    <w:rsid w:val="007C4167"/>
    <w:rsid w:val="007C5524"/>
    <w:rsid w:val="007D158F"/>
    <w:rsid w:val="007D1991"/>
    <w:rsid w:val="007D4181"/>
    <w:rsid w:val="007D4918"/>
    <w:rsid w:val="007D4EE1"/>
    <w:rsid w:val="007D5F48"/>
    <w:rsid w:val="007D64C8"/>
    <w:rsid w:val="007D754B"/>
    <w:rsid w:val="007E0154"/>
    <w:rsid w:val="007E0B04"/>
    <w:rsid w:val="007E1553"/>
    <w:rsid w:val="007E3A67"/>
    <w:rsid w:val="007E48E8"/>
    <w:rsid w:val="007E4B90"/>
    <w:rsid w:val="007E58CE"/>
    <w:rsid w:val="007E6625"/>
    <w:rsid w:val="007E66CE"/>
    <w:rsid w:val="007E7314"/>
    <w:rsid w:val="007F0DA1"/>
    <w:rsid w:val="007F1C0F"/>
    <w:rsid w:val="007F2742"/>
    <w:rsid w:val="007F2D77"/>
    <w:rsid w:val="007F2E77"/>
    <w:rsid w:val="007F3E0A"/>
    <w:rsid w:val="007F58E6"/>
    <w:rsid w:val="007F686C"/>
    <w:rsid w:val="007F6E31"/>
    <w:rsid w:val="007F76BA"/>
    <w:rsid w:val="00801F2A"/>
    <w:rsid w:val="00802201"/>
    <w:rsid w:val="008039B9"/>
    <w:rsid w:val="00806376"/>
    <w:rsid w:val="0080734C"/>
    <w:rsid w:val="00813568"/>
    <w:rsid w:val="00813F25"/>
    <w:rsid w:val="00815170"/>
    <w:rsid w:val="008154F6"/>
    <w:rsid w:val="00815ABB"/>
    <w:rsid w:val="008160BC"/>
    <w:rsid w:val="008169DF"/>
    <w:rsid w:val="00816DF1"/>
    <w:rsid w:val="00817275"/>
    <w:rsid w:val="00821DD9"/>
    <w:rsid w:val="008228EC"/>
    <w:rsid w:val="00827E15"/>
    <w:rsid w:val="00830E2D"/>
    <w:rsid w:val="008313CA"/>
    <w:rsid w:val="00833128"/>
    <w:rsid w:val="00834C72"/>
    <w:rsid w:val="0083793A"/>
    <w:rsid w:val="0084072E"/>
    <w:rsid w:val="00840E7C"/>
    <w:rsid w:val="008421A1"/>
    <w:rsid w:val="008425F0"/>
    <w:rsid w:val="008432EE"/>
    <w:rsid w:val="00844455"/>
    <w:rsid w:val="00844631"/>
    <w:rsid w:val="00846111"/>
    <w:rsid w:val="008502DA"/>
    <w:rsid w:val="00850CF2"/>
    <w:rsid w:val="00851DFB"/>
    <w:rsid w:val="00855573"/>
    <w:rsid w:val="00857845"/>
    <w:rsid w:val="0086314C"/>
    <w:rsid w:val="00864AE9"/>
    <w:rsid w:val="0086519F"/>
    <w:rsid w:val="00865D38"/>
    <w:rsid w:val="008663FA"/>
    <w:rsid w:val="00872016"/>
    <w:rsid w:val="00872E41"/>
    <w:rsid w:val="00873713"/>
    <w:rsid w:val="00874265"/>
    <w:rsid w:val="00882FE5"/>
    <w:rsid w:val="00883BD4"/>
    <w:rsid w:val="00883E66"/>
    <w:rsid w:val="008840EE"/>
    <w:rsid w:val="00886B4B"/>
    <w:rsid w:val="00887478"/>
    <w:rsid w:val="00887757"/>
    <w:rsid w:val="00887A63"/>
    <w:rsid w:val="00890288"/>
    <w:rsid w:val="00893B1D"/>
    <w:rsid w:val="008942EE"/>
    <w:rsid w:val="00894485"/>
    <w:rsid w:val="00895A2A"/>
    <w:rsid w:val="0089725C"/>
    <w:rsid w:val="008A3B53"/>
    <w:rsid w:val="008A3E3E"/>
    <w:rsid w:val="008A5CB9"/>
    <w:rsid w:val="008A6880"/>
    <w:rsid w:val="008B032B"/>
    <w:rsid w:val="008B1F5A"/>
    <w:rsid w:val="008B419E"/>
    <w:rsid w:val="008B43D6"/>
    <w:rsid w:val="008C00EB"/>
    <w:rsid w:val="008C0EA3"/>
    <w:rsid w:val="008C4666"/>
    <w:rsid w:val="008C5DE9"/>
    <w:rsid w:val="008C5FF9"/>
    <w:rsid w:val="008C7BA4"/>
    <w:rsid w:val="008D0DC0"/>
    <w:rsid w:val="008D129A"/>
    <w:rsid w:val="008D13F0"/>
    <w:rsid w:val="008D5065"/>
    <w:rsid w:val="008D52AB"/>
    <w:rsid w:val="008D538F"/>
    <w:rsid w:val="008D5B53"/>
    <w:rsid w:val="008D697E"/>
    <w:rsid w:val="008E10CC"/>
    <w:rsid w:val="008E12AE"/>
    <w:rsid w:val="008E27F1"/>
    <w:rsid w:val="008E602B"/>
    <w:rsid w:val="008E62E2"/>
    <w:rsid w:val="008F0865"/>
    <w:rsid w:val="008F251D"/>
    <w:rsid w:val="008F2B23"/>
    <w:rsid w:val="008F2EA8"/>
    <w:rsid w:val="008F312B"/>
    <w:rsid w:val="008F4403"/>
    <w:rsid w:val="008F4943"/>
    <w:rsid w:val="008F4A35"/>
    <w:rsid w:val="008F4D5E"/>
    <w:rsid w:val="008F5A8F"/>
    <w:rsid w:val="009009D0"/>
    <w:rsid w:val="00902B68"/>
    <w:rsid w:val="00903CAA"/>
    <w:rsid w:val="00906954"/>
    <w:rsid w:val="00906B5F"/>
    <w:rsid w:val="00906D2B"/>
    <w:rsid w:val="00906F28"/>
    <w:rsid w:val="0090766C"/>
    <w:rsid w:val="00912344"/>
    <w:rsid w:val="00913C98"/>
    <w:rsid w:val="009141E7"/>
    <w:rsid w:val="009156D2"/>
    <w:rsid w:val="0091635D"/>
    <w:rsid w:val="0092134D"/>
    <w:rsid w:val="00922EC9"/>
    <w:rsid w:val="00924790"/>
    <w:rsid w:val="00925ACE"/>
    <w:rsid w:val="009270E3"/>
    <w:rsid w:val="00930CE8"/>
    <w:rsid w:val="00931BDB"/>
    <w:rsid w:val="00935666"/>
    <w:rsid w:val="00936037"/>
    <w:rsid w:val="00937170"/>
    <w:rsid w:val="00940186"/>
    <w:rsid w:val="00944545"/>
    <w:rsid w:val="00944D67"/>
    <w:rsid w:val="00945642"/>
    <w:rsid w:val="00945D20"/>
    <w:rsid w:val="009460E5"/>
    <w:rsid w:val="009468CD"/>
    <w:rsid w:val="00952494"/>
    <w:rsid w:val="009527CF"/>
    <w:rsid w:val="00952FE4"/>
    <w:rsid w:val="009540DF"/>
    <w:rsid w:val="009546E8"/>
    <w:rsid w:val="00955715"/>
    <w:rsid w:val="00955CD5"/>
    <w:rsid w:val="00956F27"/>
    <w:rsid w:val="0095754B"/>
    <w:rsid w:val="009603FE"/>
    <w:rsid w:val="0096631A"/>
    <w:rsid w:val="009672E4"/>
    <w:rsid w:val="00970EAF"/>
    <w:rsid w:val="00972701"/>
    <w:rsid w:val="00976529"/>
    <w:rsid w:val="00977BE0"/>
    <w:rsid w:val="00980DB0"/>
    <w:rsid w:val="0098230E"/>
    <w:rsid w:val="009847AD"/>
    <w:rsid w:val="009848B8"/>
    <w:rsid w:val="00984B0B"/>
    <w:rsid w:val="009862E6"/>
    <w:rsid w:val="00986D60"/>
    <w:rsid w:val="0099060C"/>
    <w:rsid w:val="0099126B"/>
    <w:rsid w:val="00991C65"/>
    <w:rsid w:val="00991F46"/>
    <w:rsid w:val="00994EDD"/>
    <w:rsid w:val="00997375"/>
    <w:rsid w:val="00997C0F"/>
    <w:rsid w:val="009A1591"/>
    <w:rsid w:val="009A2B8C"/>
    <w:rsid w:val="009A3817"/>
    <w:rsid w:val="009A3970"/>
    <w:rsid w:val="009A4143"/>
    <w:rsid w:val="009A5D9D"/>
    <w:rsid w:val="009B0F79"/>
    <w:rsid w:val="009B20BD"/>
    <w:rsid w:val="009B39ED"/>
    <w:rsid w:val="009B4174"/>
    <w:rsid w:val="009B61A1"/>
    <w:rsid w:val="009B6D2E"/>
    <w:rsid w:val="009C0EAF"/>
    <w:rsid w:val="009C1F87"/>
    <w:rsid w:val="009C3E07"/>
    <w:rsid w:val="009C4947"/>
    <w:rsid w:val="009C53EB"/>
    <w:rsid w:val="009C67C5"/>
    <w:rsid w:val="009C6BA7"/>
    <w:rsid w:val="009D316C"/>
    <w:rsid w:val="009D5240"/>
    <w:rsid w:val="009D5768"/>
    <w:rsid w:val="009E09E1"/>
    <w:rsid w:val="009E19BD"/>
    <w:rsid w:val="009E3E1A"/>
    <w:rsid w:val="009E4328"/>
    <w:rsid w:val="009E4593"/>
    <w:rsid w:val="009E49AE"/>
    <w:rsid w:val="009E62C0"/>
    <w:rsid w:val="009E7EE8"/>
    <w:rsid w:val="009F0F58"/>
    <w:rsid w:val="009F3745"/>
    <w:rsid w:val="009F6DA2"/>
    <w:rsid w:val="00A01202"/>
    <w:rsid w:val="00A0418C"/>
    <w:rsid w:val="00A06A41"/>
    <w:rsid w:val="00A06FFF"/>
    <w:rsid w:val="00A0718C"/>
    <w:rsid w:val="00A07E14"/>
    <w:rsid w:val="00A10ACD"/>
    <w:rsid w:val="00A119F4"/>
    <w:rsid w:val="00A129F1"/>
    <w:rsid w:val="00A1384B"/>
    <w:rsid w:val="00A160A1"/>
    <w:rsid w:val="00A23E1F"/>
    <w:rsid w:val="00A23EE5"/>
    <w:rsid w:val="00A23F06"/>
    <w:rsid w:val="00A26B7D"/>
    <w:rsid w:val="00A26CF0"/>
    <w:rsid w:val="00A274D2"/>
    <w:rsid w:val="00A279B0"/>
    <w:rsid w:val="00A31BC3"/>
    <w:rsid w:val="00A32F6A"/>
    <w:rsid w:val="00A3304F"/>
    <w:rsid w:val="00A33F5D"/>
    <w:rsid w:val="00A341CB"/>
    <w:rsid w:val="00A3488D"/>
    <w:rsid w:val="00A34CF7"/>
    <w:rsid w:val="00A356E7"/>
    <w:rsid w:val="00A35F51"/>
    <w:rsid w:val="00A36752"/>
    <w:rsid w:val="00A37976"/>
    <w:rsid w:val="00A42745"/>
    <w:rsid w:val="00A43B1C"/>
    <w:rsid w:val="00A46773"/>
    <w:rsid w:val="00A467CE"/>
    <w:rsid w:val="00A46855"/>
    <w:rsid w:val="00A50725"/>
    <w:rsid w:val="00A5277E"/>
    <w:rsid w:val="00A52F5F"/>
    <w:rsid w:val="00A5366E"/>
    <w:rsid w:val="00A55276"/>
    <w:rsid w:val="00A553D5"/>
    <w:rsid w:val="00A56BB5"/>
    <w:rsid w:val="00A56C6B"/>
    <w:rsid w:val="00A60FFF"/>
    <w:rsid w:val="00A61A2C"/>
    <w:rsid w:val="00A6306A"/>
    <w:rsid w:val="00A6331F"/>
    <w:rsid w:val="00A63890"/>
    <w:rsid w:val="00A650E4"/>
    <w:rsid w:val="00A67085"/>
    <w:rsid w:val="00A678FC"/>
    <w:rsid w:val="00A71837"/>
    <w:rsid w:val="00A71B7A"/>
    <w:rsid w:val="00A72CF0"/>
    <w:rsid w:val="00A74277"/>
    <w:rsid w:val="00A80A4F"/>
    <w:rsid w:val="00A818EA"/>
    <w:rsid w:val="00A82430"/>
    <w:rsid w:val="00A91891"/>
    <w:rsid w:val="00A92D9B"/>
    <w:rsid w:val="00A9613A"/>
    <w:rsid w:val="00A973B2"/>
    <w:rsid w:val="00AA0983"/>
    <w:rsid w:val="00AA1F01"/>
    <w:rsid w:val="00AA3032"/>
    <w:rsid w:val="00AA3ADC"/>
    <w:rsid w:val="00AA3DAB"/>
    <w:rsid w:val="00AB0F92"/>
    <w:rsid w:val="00AB2340"/>
    <w:rsid w:val="00AB4706"/>
    <w:rsid w:val="00AB567E"/>
    <w:rsid w:val="00AC06CA"/>
    <w:rsid w:val="00AC08A8"/>
    <w:rsid w:val="00AC17B9"/>
    <w:rsid w:val="00AC3943"/>
    <w:rsid w:val="00AC4317"/>
    <w:rsid w:val="00AC5EBF"/>
    <w:rsid w:val="00AC6981"/>
    <w:rsid w:val="00AC79BA"/>
    <w:rsid w:val="00AD2262"/>
    <w:rsid w:val="00AD3AEA"/>
    <w:rsid w:val="00AD4163"/>
    <w:rsid w:val="00AE1008"/>
    <w:rsid w:val="00AE3A26"/>
    <w:rsid w:val="00AE6763"/>
    <w:rsid w:val="00AE7658"/>
    <w:rsid w:val="00AF1B2F"/>
    <w:rsid w:val="00AF2A20"/>
    <w:rsid w:val="00AF65DF"/>
    <w:rsid w:val="00AF73D9"/>
    <w:rsid w:val="00B02A50"/>
    <w:rsid w:val="00B06098"/>
    <w:rsid w:val="00B1115F"/>
    <w:rsid w:val="00B13000"/>
    <w:rsid w:val="00B14C67"/>
    <w:rsid w:val="00B20019"/>
    <w:rsid w:val="00B20450"/>
    <w:rsid w:val="00B21550"/>
    <w:rsid w:val="00B21FE4"/>
    <w:rsid w:val="00B22BED"/>
    <w:rsid w:val="00B2358B"/>
    <w:rsid w:val="00B24137"/>
    <w:rsid w:val="00B2529D"/>
    <w:rsid w:val="00B27119"/>
    <w:rsid w:val="00B27C88"/>
    <w:rsid w:val="00B3096B"/>
    <w:rsid w:val="00B31765"/>
    <w:rsid w:val="00B31BD2"/>
    <w:rsid w:val="00B31FEF"/>
    <w:rsid w:val="00B3211D"/>
    <w:rsid w:val="00B325E1"/>
    <w:rsid w:val="00B33AB4"/>
    <w:rsid w:val="00B343F1"/>
    <w:rsid w:val="00B3588C"/>
    <w:rsid w:val="00B35C62"/>
    <w:rsid w:val="00B40821"/>
    <w:rsid w:val="00B43736"/>
    <w:rsid w:val="00B4531B"/>
    <w:rsid w:val="00B45A06"/>
    <w:rsid w:val="00B47EBD"/>
    <w:rsid w:val="00B5102A"/>
    <w:rsid w:val="00B524D5"/>
    <w:rsid w:val="00B524DB"/>
    <w:rsid w:val="00B527E1"/>
    <w:rsid w:val="00B528FB"/>
    <w:rsid w:val="00B53B38"/>
    <w:rsid w:val="00B54CBA"/>
    <w:rsid w:val="00B559AA"/>
    <w:rsid w:val="00B564BC"/>
    <w:rsid w:val="00B62E57"/>
    <w:rsid w:val="00B63270"/>
    <w:rsid w:val="00B64162"/>
    <w:rsid w:val="00B64400"/>
    <w:rsid w:val="00B64F32"/>
    <w:rsid w:val="00B65228"/>
    <w:rsid w:val="00B66EDA"/>
    <w:rsid w:val="00B70CD9"/>
    <w:rsid w:val="00B71319"/>
    <w:rsid w:val="00B714B7"/>
    <w:rsid w:val="00B7163A"/>
    <w:rsid w:val="00B72046"/>
    <w:rsid w:val="00B72CFB"/>
    <w:rsid w:val="00B74F96"/>
    <w:rsid w:val="00B7537D"/>
    <w:rsid w:val="00B761CE"/>
    <w:rsid w:val="00B7629C"/>
    <w:rsid w:val="00B81EF1"/>
    <w:rsid w:val="00B82337"/>
    <w:rsid w:val="00B82E71"/>
    <w:rsid w:val="00B83493"/>
    <w:rsid w:val="00B85BBC"/>
    <w:rsid w:val="00B90927"/>
    <w:rsid w:val="00B91E9E"/>
    <w:rsid w:val="00B924F8"/>
    <w:rsid w:val="00B93BF3"/>
    <w:rsid w:val="00B93E14"/>
    <w:rsid w:val="00B940DD"/>
    <w:rsid w:val="00B95847"/>
    <w:rsid w:val="00B966ED"/>
    <w:rsid w:val="00B97269"/>
    <w:rsid w:val="00BA2104"/>
    <w:rsid w:val="00BA268A"/>
    <w:rsid w:val="00BA3D8F"/>
    <w:rsid w:val="00BA65A5"/>
    <w:rsid w:val="00BA6749"/>
    <w:rsid w:val="00BB3689"/>
    <w:rsid w:val="00BB6193"/>
    <w:rsid w:val="00BB6A0B"/>
    <w:rsid w:val="00BB726A"/>
    <w:rsid w:val="00BB756B"/>
    <w:rsid w:val="00BC15E4"/>
    <w:rsid w:val="00BC24D2"/>
    <w:rsid w:val="00BC6911"/>
    <w:rsid w:val="00BD00F4"/>
    <w:rsid w:val="00BD1A05"/>
    <w:rsid w:val="00BD1B80"/>
    <w:rsid w:val="00BD1ED3"/>
    <w:rsid w:val="00BD2304"/>
    <w:rsid w:val="00BD35BE"/>
    <w:rsid w:val="00BD5FBC"/>
    <w:rsid w:val="00BD66D6"/>
    <w:rsid w:val="00BD7B68"/>
    <w:rsid w:val="00BE335A"/>
    <w:rsid w:val="00BE3752"/>
    <w:rsid w:val="00BE4FA2"/>
    <w:rsid w:val="00BE6C28"/>
    <w:rsid w:val="00BF187B"/>
    <w:rsid w:val="00BF42F3"/>
    <w:rsid w:val="00BF6074"/>
    <w:rsid w:val="00C00704"/>
    <w:rsid w:val="00C02961"/>
    <w:rsid w:val="00C02B5E"/>
    <w:rsid w:val="00C057EF"/>
    <w:rsid w:val="00C07274"/>
    <w:rsid w:val="00C07C74"/>
    <w:rsid w:val="00C1177F"/>
    <w:rsid w:val="00C13749"/>
    <w:rsid w:val="00C13CCF"/>
    <w:rsid w:val="00C14296"/>
    <w:rsid w:val="00C16B6E"/>
    <w:rsid w:val="00C179F3"/>
    <w:rsid w:val="00C20725"/>
    <w:rsid w:val="00C22C89"/>
    <w:rsid w:val="00C2333D"/>
    <w:rsid w:val="00C237AF"/>
    <w:rsid w:val="00C2452C"/>
    <w:rsid w:val="00C2551D"/>
    <w:rsid w:val="00C2695D"/>
    <w:rsid w:val="00C26F12"/>
    <w:rsid w:val="00C32246"/>
    <w:rsid w:val="00C3662B"/>
    <w:rsid w:val="00C3720C"/>
    <w:rsid w:val="00C41693"/>
    <w:rsid w:val="00C4260B"/>
    <w:rsid w:val="00C43792"/>
    <w:rsid w:val="00C450AE"/>
    <w:rsid w:val="00C4687D"/>
    <w:rsid w:val="00C46E36"/>
    <w:rsid w:val="00C474EE"/>
    <w:rsid w:val="00C510A3"/>
    <w:rsid w:val="00C53387"/>
    <w:rsid w:val="00C546B7"/>
    <w:rsid w:val="00C5620A"/>
    <w:rsid w:val="00C56300"/>
    <w:rsid w:val="00C56ED2"/>
    <w:rsid w:val="00C577ED"/>
    <w:rsid w:val="00C61F2D"/>
    <w:rsid w:val="00C62CA0"/>
    <w:rsid w:val="00C62F29"/>
    <w:rsid w:val="00C63127"/>
    <w:rsid w:val="00C6392E"/>
    <w:rsid w:val="00C64FA3"/>
    <w:rsid w:val="00C6623A"/>
    <w:rsid w:val="00C66C96"/>
    <w:rsid w:val="00C673E2"/>
    <w:rsid w:val="00C67502"/>
    <w:rsid w:val="00C70000"/>
    <w:rsid w:val="00C70B6C"/>
    <w:rsid w:val="00C7317B"/>
    <w:rsid w:val="00C73D74"/>
    <w:rsid w:val="00C74089"/>
    <w:rsid w:val="00C74890"/>
    <w:rsid w:val="00C74DAA"/>
    <w:rsid w:val="00C758F5"/>
    <w:rsid w:val="00C76536"/>
    <w:rsid w:val="00C80C83"/>
    <w:rsid w:val="00C844D8"/>
    <w:rsid w:val="00C86F5A"/>
    <w:rsid w:val="00C90424"/>
    <w:rsid w:val="00C90E85"/>
    <w:rsid w:val="00C91F55"/>
    <w:rsid w:val="00C92E5D"/>
    <w:rsid w:val="00C93509"/>
    <w:rsid w:val="00C9777C"/>
    <w:rsid w:val="00CA0455"/>
    <w:rsid w:val="00CA3C86"/>
    <w:rsid w:val="00CA4A39"/>
    <w:rsid w:val="00CA4C69"/>
    <w:rsid w:val="00CA58CB"/>
    <w:rsid w:val="00CA5BC7"/>
    <w:rsid w:val="00CA72DB"/>
    <w:rsid w:val="00CA7F6E"/>
    <w:rsid w:val="00CB137C"/>
    <w:rsid w:val="00CB3ABF"/>
    <w:rsid w:val="00CB4E54"/>
    <w:rsid w:val="00CB6AA7"/>
    <w:rsid w:val="00CC181D"/>
    <w:rsid w:val="00CC215D"/>
    <w:rsid w:val="00CC2411"/>
    <w:rsid w:val="00CC3F2F"/>
    <w:rsid w:val="00CC47A5"/>
    <w:rsid w:val="00CC4A3E"/>
    <w:rsid w:val="00CC602E"/>
    <w:rsid w:val="00CC62E0"/>
    <w:rsid w:val="00CC7DED"/>
    <w:rsid w:val="00CD0EB5"/>
    <w:rsid w:val="00CD4EF6"/>
    <w:rsid w:val="00CD58D2"/>
    <w:rsid w:val="00CD6D27"/>
    <w:rsid w:val="00CD6F65"/>
    <w:rsid w:val="00CE16E0"/>
    <w:rsid w:val="00CE4587"/>
    <w:rsid w:val="00CE4F4A"/>
    <w:rsid w:val="00CF1131"/>
    <w:rsid w:val="00CF1B4C"/>
    <w:rsid w:val="00CF3E4E"/>
    <w:rsid w:val="00CF4585"/>
    <w:rsid w:val="00CF5581"/>
    <w:rsid w:val="00CF61D8"/>
    <w:rsid w:val="00D005A6"/>
    <w:rsid w:val="00D02140"/>
    <w:rsid w:val="00D03E51"/>
    <w:rsid w:val="00D10FE4"/>
    <w:rsid w:val="00D11C16"/>
    <w:rsid w:val="00D1214E"/>
    <w:rsid w:val="00D13766"/>
    <w:rsid w:val="00D14353"/>
    <w:rsid w:val="00D14777"/>
    <w:rsid w:val="00D14FDB"/>
    <w:rsid w:val="00D150CA"/>
    <w:rsid w:val="00D15D3F"/>
    <w:rsid w:val="00D205A2"/>
    <w:rsid w:val="00D20BD0"/>
    <w:rsid w:val="00D21854"/>
    <w:rsid w:val="00D21F47"/>
    <w:rsid w:val="00D2311D"/>
    <w:rsid w:val="00D23376"/>
    <w:rsid w:val="00D26E94"/>
    <w:rsid w:val="00D27605"/>
    <w:rsid w:val="00D27E96"/>
    <w:rsid w:val="00D27F18"/>
    <w:rsid w:val="00D302A8"/>
    <w:rsid w:val="00D33385"/>
    <w:rsid w:val="00D33FFB"/>
    <w:rsid w:val="00D35045"/>
    <w:rsid w:val="00D3638A"/>
    <w:rsid w:val="00D36521"/>
    <w:rsid w:val="00D3697A"/>
    <w:rsid w:val="00D41CFD"/>
    <w:rsid w:val="00D42C39"/>
    <w:rsid w:val="00D42D7D"/>
    <w:rsid w:val="00D451FE"/>
    <w:rsid w:val="00D47C45"/>
    <w:rsid w:val="00D50E23"/>
    <w:rsid w:val="00D52262"/>
    <w:rsid w:val="00D531A3"/>
    <w:rsid w:val="00D60827"/>
    <w:rsid w:val="00D60932"/>
    <w:rsid w:val="00D618BF"/>
    <w:rsid w:val="00D61BF4"/>
    <w:rsid w:val="00D627AE"/>
    <w:rsid w:val="00D62AA3"/>
    <w:rsid w:val="00D62DF9"/>
    <w:rsid w:val="00D6563A"/>
    <w:rsid w:val="00D65B8B"/>
    <w:rsid w:val="00D65EC5"/>
    <w:rsid w:val="00D67274"/>
    <w:rsid w:val="00D77566"/>
    <w:rsid w:val="00D85474"/>
    <w:rsid w:val="00D863C2"/>
    <w:rsid w:val="00D87E01"/>
    <w:rsid w:val="00D90DB4"/>
    <w:rsid w:val="00D934E1"/>
    <w:rsid w:val="00D93D1C"/>
    <w:rsid w:val="00D9411B"/>
    <w:rsid w:val="00D94283"/>
    <w:rsid w:val="00D948CB"/>
    <w:rsid w:val="00DA2C0D"/>
    <w:rsid w:val="00DA3239"/>
    <w:rsid w:val="00DA371A"/>
    <w:rsid w:val="00DA39C5"/>
    <w:rsid w:val="00DA621C"/>
    <w:rsid w:val="00DA6E70"/>
    <w:rsid w:val="00DA7109"/>
    <w:rsid w:val="00DB1DC5"/>
    <w:rsid w:val="00DB31D7"/>
    <w:rsid w:val="00DB3842"/>
    <w:rsid w:val="00DB4896"/>
    <w:rsid w:val="00DB4CA9"/>
    <w:rsid w:val="00DB5A55"/>
    <w:rsid w:val="00DB6227"/>
    <w:rsid w:val="00DB625D"/>
    <w:rsid w:val="00DB783D"/>
    <w:rsid w:val="00DC05C1"/>
    <w:rsid w:val="00DC2D91"/>
    <w:rsid w:val="00DC514D"/>
    <w:rsid w:val="00DC64B0"/>
    <w:rsid w:val="00DD3355"/>
    <w:rsid w:val="00DD3E76"/>
    <w:rsid w:val="00DD4EA8"/>
    <w:rsid w:val="00DE151A"/>
    <w:rsid w:val="00DE1DED"/>
    <w:rsid w:val="00DE1F09"/>
    <w:rsid w:val="00DE264C"/>
    <w:rsid w:val="00DE5628"/>
    <w:rsid w:val="00DE6657"/>
    <w:rsid w:val="00DE6AD2"/>
    <w:rsid w:val="00DE6E1C"/>
    <w:rsid w:val="00DF4385"/>
    <w:rsid w:val="00E008D5"/>
    <w:rsid w:val="00E01444"/>
    <w:rsid w:val="00E018D0"/>
    <w:rsid w:val="00E03491"/>
    <w:rsid w:val="00E03588"/>
    <w:rsid w:val="00E0443C"/>
    <w:rsid w:val="00E04753"/>
    <w:rsid w:val="00E0544B"/>
    <w:rsid w:val="00E0641D"/>
    <w:rsid w:val="00E06EF9"/>
    <w:rsid w:val="00E10395"/>
    <w:rsid w:val="00E12C39"/>
    <w:rsid w:val="00E1342D"/>
    <w:rsid w:val="00E13871"/>
    <w:rsid w:val="00E1388F"/>
    <w:rsid w:val="00E14859"/>
    <w:rsid w:val="00E16A37"/>
    <w:rsid w:val="00E172BB"/>
    <w:rsid w:val="00E17B58"/>
    <w:rsid w:val="00E21B7C"/>
    <w:rsid w:val="00E21E76"/>
    <w:rsid w:val="00E22B2B"/>
    <w:rsid w:val="00E25796"/>
    <w:rsid w:val="00E27675"/>
    <w:rsid w:val="00E302E5"/>
    <w:rsid w:val="00E30764"/>
    <w:rsid w:val="00E30A46"/>
    <w:rsid w:val="00E3155F"/>
    <w:rsid w:val="00E324AA"/>
    <w:rsid w:val="00E33FB4"/>
    <w:rsid w:val="00E35802"/>
    <w:rsid w:val="00E36FE2"/>
    <w:rsid w:val="00E405A6"/>
    <w:rsid w:val="00E44417"/>
    <w:rsid w:val="00E44F9C"/>
    <w:rsid w:val="00E4596F"/>
    <w:rsid w:val="00E504D7"/>
    <w:rsid w:val="00E51B91"/>
    <w:rsid w:val="00E51D5A"/>
    <w:rsid w:val="00E51F41"/>
    <w:rsid w:val="00E5315F"/>
    <w:rsid w:val="00E5340A"/>
    <w:rsid w:val="00E53479"/>
    <w:rsid w:val="00E54002"/>
    <w:rsid w:val="00E5640D"/>
    <w:rsid w:val="00E5691B"/>
    <w:rsid w:val="00E57636"/>
    <w:rsid w:val="00E601F3"/>
    <w:rsid w:val="00E60D3B"/>
    <w:rsid w:val="00E60E4B"/>
    <w:rsid w:val="00E61505"/>
    <w:rsid w:val="00E6158B"/>
    <w:rsid w:val="00E62F09"/>
    <w:rsid w:val="00E63ACD"/>
    <w:rsid w:val="00E66293"/>
    <w:rsid w:val="00E673D2"/>
    <w:rsid w:val="00E701E0"/>
    <w:rsid w:val="00E70983"/>
    <w:rsid w:val="00E70E1C"/>
    <w:rsid w:val="00E72220"/>
    <w:rsid w:val="00E74059"/>
    <w:rsid w:val="00E74213"/>
    <w:rsid w:val="00E76C60"/>
    <w:rsid w:val="00E76CD9"/>
    <w:rsid w:val="00E80213"/>
    <w:rsid w:val="00E80549"/>
    <w:rsid w:val="00E844CE"/>
    <w:rsid w:val="00E85272"/>
    <w:rsid w:val="00E90FAE"/>
    <w:rsid w:val="00E9118C"/>
    <w:rsid w:val="00E91E19"/>
    <w:rsid w:val="00E950CE"/>
    <w:rsid w:val="00E95106"/>
    <w:rsid w:val="00E95F26"/>
    <w:rsid w:val="00EA023E"/>
    <w:rsid w:val="00EA082E"/>
    <w:rsid w:val="00EA0EBF"/>
    <w:rsid w:val="00EA270E"/>
    <w:rsid w:val="00EA6BF1"/>
    <w:rsid w:val="00EB2720"/>
    <w:rsid w:val="00EB2BE9"/>
    <w:rsid w:val="00EB3ED7"/>
    <w:rsid w:val="00EB5567"/>
    <w:rsid w:val="00EB7F33"/>
    <w:rsid w:val="00EC0B2E"/>
    <w:rsid w:val="00EC4561"/>
    <w:rsid w:val="00EC52E2"/>
    <w:rsid w:val="00EC6BF7"/>
    <w:rsid w:val="00EC7BF1"/>
    <w:rsid w:val="00ED15EC"/>
    <w:rsid w:val="00ED1CC5"/>
    <w:rsid w:val="00ED422D"/>
    <w:rsid w:val="00ED47C6"/>
    <w:rsid w:val="00ED60AB"/>
    <w:rsid w:val="00ED74EC"/>
    <w:rsid w:val="00ED79BB"/>
    <w:rsid w:val="00EE0101"/>
    <w:rsid w:val="00EE08E3"/>
    <w:rsid w:val="00EE0957"/>
    <w:rsid w:val="00EE0E4E"/>
    <w:rsid w:val="00EE2B0D"/>
    <w:rsid w:val="00EE2EBA"/>
    <w:rsid w:val="00EE3F69"/>
    <w:rsid w:val="00EE66C0"/>
    <w:rsid w:val="00EF0715"/>
    <w:rsid w:val="00EF0B95"/>
    <w:rsid w:val="00EF1732"/>
    <w:rsid w:val="00EF1911"/>
    <w:rsid w:val="00EF2B41"/>
    <w:rsid w:val="00EF3ABF"/>
    <w:rsid w:val="00EF406A"/>
    <w:rsid w:val="00EF4672"/>
    <w:rsid w:val="00EF4E15"/>
    <w:rsid w:val="00EF636A"/>
    <w:rsid w:val="00EF6520"/>
    <w:rsid w:val="00EF6795"/>
    <w:rsid w:val="00EF7342"/>
    <w:rsid w:val="00EF776D"/>
    <w:rsid w:val="00EF7BFD"/>
    <w:rsid w:val="00EF7F86"/>
    <w:rsid w:val="00F03412"/>
    <w:rsid w:val="00F0618B"/>
    <w:rsid w:val="00F11FE7"/>
    <w:rsid w:val="00F137DF"/>
    <w:rsid w:val="00F142BF"/>
    <w:rsid w:val="00F1508D"/>
    <w:rsid w:val="00F15183"/>
    <w:rsid w:val="00F154B7"/>
    <w:rsid w:val="00F20A1B"/>
    <w:rsid w:val="00F222EF"/>
    <w:rsid w:val="00F25312"/>
    <w:rsid w:val="00F30F6D"/>
    <w:rsid w:val="00F31F97"/>
    <w:rsid w:val="00F336F6"/>
    <w:rsid w:val="00F339D9"/>
    <w:rsid w:val="00F34CB5"/>
    <w:rsid w:val="00F34E0B"/>
    <w:rsid w:val="00F35860"/>
    <w:rsid w:val="00F36C1D"/>
    <w:rsid w:val="00F40D97"/>
    <w:rsid w:val="00F40E54"/>
    <w:rsid w:val="00F41903"/>
    <w:rsid w:val="00F41BD1"/>
    <w:rsid w:val="00F42C01"/>
    <w:rsid w:val="00F45261"/>
    <w:rsid w:val="00F45C2D"/>
    <w:rsid w:val="00F47394"/>
    <w:rsid w:val="00F5125C"/>
    <w:rsid w:val="00F5243D"/>
    <w:rsid w:val="00F53EAA"/>
    <w:rsid w:val="00F54CB4"/>
    <w:rsid w:val="00F55106"/>
    <w:rsid w:val="00F560A1"/>
    <w:rsid w:val="00F570F0"/>
    <w:rsid w:val="00F5755F"/>
    <w:rsid w:val="00F62807"/>
    <w:rsid w:val="00F635DD"/>
    <w:rsid w:val="00F63C7E"/>
    <w:rsid w:val="00F64351"/>
    <w:rsid w:val="00F647CA"/>
    <w:rsid w:val="00F65289"/>
    <w:rsid w:val="00F70C02"/>
    <w:rsid w:val="00F726ED"/>
    <w:rsid w:val="00F731D3"/>
    <w:rsid w:val="00F7409A"/>
    <w:rsid w:val="00F74F01"/>
    <w:rsid w:val="00F75BBF"/>
    <w:rsid w:val="00F7769D"/>
    <w:rsid w:val="00F84E5D"/>
    <w:rsid w:val="00F86C81"/>
    <w:rsid w:val="00F872B9"/>
    <w:rsid w:val="00F90017"/>
    <w:rsid w:val="00F904FD"/>
    <w:rsid w:val="00F91426"/>
    <w:rsid w:val="00F92ECF"/>
    <w:rsid w:val="00F948FF"/>
    <w:rsid w:val="00F96808"/>
    <w:rsid w:val="00F968DD"/>
    <w:rsid w:val="00FA20FE"/>
    <w:rsid w:val="00FA2139"/>
    <w:rsid w:val="00FA3B5D"/>
    <w:rsid w:val="00FA4878"/>
    <w:rsid w:val="00FA61DB"/>
    <w:rsid w:val="00FA63D5"/>
    <w:rsid w:val="00FA7F74"/>
    <w:rsid w:val="00FB0335"/>
    <w:rsid w:val="00FB3018"/>
    <w:rsid w:val="00FB3929"/>
    <w:rsid w:val="00FB6B35"/>
    <w:rsid w:val="00FB6B9E"/>
    <w:rsid w:val="00FB7A02"/>
    <w:rsid w:val="00FC0EF5"/>
    <w:rsid w:val="00FC3E03"/>
    <w:rsid w:val="00FC47B0"/>
    <w:rsid w:val="00FC5611"/>
    <w:rsid w:val="00FC5F8C"/>
    <w:rsid w:val="00FC6CE2"/>
    <w:rsid w:val="00FC6FF4"/>
    <w:rsid w:val="00FC79B6"/>
    <w:rsid w:val="00FD0DE5"/>
    <w:rsid w:val="00FD1CCB"/>
    <w:rsid w:val="00FD5DDC"/>
    <w:rsid w:val="00FD5DDF"/>
    <w:rsid w:val="00FE03BA"/>
    <w:rsid w:val="00FE0906"/>
    <w:rsid w:val="00FE130F"/>
    <w:rsid w:val="00FE2767"/>
    <w:rsid w:val="00FE6443"/>
    <w:rsid w:val="00FE79BE"/>
    <w:rsid w:val="00FF0DCF"/>
    <w:rsid w:val="00FF7C51"/>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Followed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rsid w:val="00D93D1C"/>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semiHidden/>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 w:type="character" w:customStyle="1" w:styleId="apple-style-span">
    <w:name w:val="apple-style-span"/>
    <w:basedOn w:val="DefaultParagraphFont"/>
    <w:rsid w:val="009E09E1"/>
  </w:style>
  <w:style w:type="paragraph" w:styleId="NoSpacing">
    <w:name w:val="No Spacing"/>
    <w:basedOn w:val="Normal"/>
    <w:uiPriority w:val="1"/>
    <w:qFormat/>
    <w:rsid w:val="00FC47B0"/>
    <w:pPr>
      <w:tabs>
        <w:tab w:val="clear" w:pos="432"/>
      </w:tabs>
      <w:spacing w:line="240" w:lineRule="auto"/>
      <w:ind w:firstLine="0"/>
      <w:jc w:val="left"/>
    </w:pPr>
    <w:rPr>
      <w:rFonts w:ascii="Times New Roman" w:hAnsi="Times New Roman"/>
    </w:rPr>
  </w:style>
  <w:style w:type="paragraph" w:customStyle="1" w:styleId="ParagraphLAST">
    <w:name w:val="Paragraph (LAST)"/>
    <w:basedOn w:val="Normal"/>
    <w:next w:val="Normal"/>
    <w:rsid w:val="009270E3"/>
    <w:pPr>
      <w:spacing w:after="240"/>
    </w:pPr>
    <w:rPr>
      <w:rFonts w:ascii="Times New Roman" w:hAnsi="Times New Roman"/>
      <w:szCs w:val="20"/>
    </w:rPr>
  </w:style>
  <w:style w:type="paragraph" w:customStyle="1" w:styleId="MarkforTable">
    <w:name w:val="Mark for Table"/>
    <w:next w:val="Normal"/>
    <w:rsid w:val="009270E3"/>
    <w:pPr>
      <w:spacing w:line="480" w:lineRule="auto"/>
      <w:jc w:val="center"/>
    </w:pPr>
    <w:rPr>
      <w:rFonts w:ascii="Times New Roman" w:hAnsi="Times New Roman"/>
      <w:caps/>
      <w:szCs w:val="20"/>
    </w:rPr>
  </w:style>
  <w:style w:type="paragraph" w:customStyle="1" w:styleId="1">
    <w:name w:val="1"/>
    <w:aliases w:val="2,3"/>
    <w:basedOn w:val="Normal"/>
    <w:rsid w:val="009270E3"/>
    <w:pPr>
      <w:widowControl w:val="0"/>
      <w:numPr>
        <w:numId w:val="18"/>
      </w:numPr>
      <w:tabs>
        <w:tab w:val="clear" w:pos="432"/>
      </w:tabs>
      <w:autoSpaceDE w:val="0"/>
      <w:autoSpaceDN w:val="0"/>
      <w:adjustRightInd w:val="0"/>
      <w:spacing w:line="240" w:lineRule="auto"/>
      <w:ind w:firstLine="0"/>
      <w:jc w:val="left"/>
    </w:pPr>
    <w:rPr>
      <w:rFonts w:ascii="Courier" w:hAnsi="Courier"/>
      <w:sz w:val="20"/>
    </w:rPr>
  </w:style>
  <w:style w:type="paragraph" w:customStyle="1" w:styleId="Gtabletext">
    <w:name w:val="G_table text"/>
    <w:basedOn w:val="Normal"/>
    <w:rsid w:val="009270E3"/>
    <w:pPr>
      <w:tabs>
        <w:tab w:val="clear" w:pos="432"/>
      </w:tabs>
      <w:spacing w:line="240" w:lineRule="auto"/>
      <w:ind w:firstLine="0"/>
    </w:pPr>
    <w:rPr>
      <w:rFonts w:ascii="Arial" w:hAnsi="Arial"/>
      <w:sz w:val="20"/>
      <w:szCs w:val="20"/>
    </w:rPr>
  </w:style>
  <w:style w:type="paragraph" w:customStyle="1" w:styleId="Gtablecolumnhead">
    <w:name w:val="G_table column head"/>
    <w:basedOn w:val="Normal"/>
    <w:rsid w:val="009270E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center"/>
    </w:pPr>
    <w:rPr>
      <w:rFonts w:ascii="Arial" w:hAnsi="Arial"/>
      <w:sz w:val="20"/>
      <w:szCs w:val="20"/>
    </w:rPr>
  </w:style>
  <w:style w:type="paragraph" w:customStyle="1" w:styleId="Style">
    <w:name w:val="Style"/>
    <w:basedOn w:val="Normal"/>
    <w:rsid w:val="009270E3"/>
    <w:pPr>
      <w:widowControl w:val="0"/>
      <w:tabs>
        <w:tab w:val="clear" w:pos="432"/>
      </w:tabs>
      <w:autoSpaceDE w:val="0"/>
      <w:autoSpaceDN w:val="0"/>
      <w:adjustRightInd w:val="0"/>
      <w:spacing w:line="240" w:lineRule="auto"/>
      <w:ind w:firstLine="0"/>
      <w:jc w:val="left"/>
    </w:pPr>
    <w:rPr>
      <w:rFonts w:ascii="Courier" w:hAnsi="Courier"/>
      <w:sz w:val="20"/>
    </w:rPr>
  </w:style>
  <w:style w:type="character" w:styleId="FollowedHyperlink">
    <w:name w:val="FollowedHyperlink"/>
    <w:basedOn w:val="DefaultParagraphFont"/>
    <w:rsid w:val="009270E3"/>
    <w:rPr>
      <w:color w:val="800080"/>
      <w:u w:val="single"/>
    </w:rPr>
  </w:style>
  <w:style w:type="paragraph" w:customStyle="1" w:styleId="BulletLAST">
    <w:name w:val="Bullet (LAST)"/>
    <w:next w:val="Normal"/>
    <w:rsid w:val="009270E3"/>
    <w:pPr>
      <w:spacing w:after="480"/>
      <w:ind w:left="720" w:right="360" w:hanging="288"/>
      <w:jc w:val="both"/>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Followed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rsid w:val="00D93D1C"/>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semiHidden/>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 w:type="character" w:customStyle="1" w:styleId="apple-style-span">
    <w:name w:val="apple-style-span"/>
    <w:basedOn w:val="DefaultParagraphFont"/>
    <w:rsid w:val="009E09E1"/>
  </w:style>
  <w:style w:type="paragraph" w:styleId="NoSpacing">
    <w:name w:val="No Spacing"/>
    <w:basedOn w:val="Normal"/>
    <w:uiPriority w:val="1"/>
    <w:qFormat/>
    <w:rsid w:val="00FC47B0"/>
    <w:pPr>
      <w:tabs>
        <w:tab w:val="clear" w:pos="432"/>
      </w:tabs>
      <w:spacing w:line="240" w:lineRule="auto"/>
      <w:ind w:firstLine="0"/>
      <w:jc w:val="left"/>
    </w:pPr>
    <w:rPr>
      <w:rFonts w:ascii="Times New Roman" w:hAnsi="Times New Roman"/>
    </w:rPr>
  </w:style>
  <w:style w:type="paragraph" w:customStyle="1" w:styleId="ParagraphLAST">
    <w:name w:val="Paragraph (LAST)"/>
    <w:basedOn w:val="Normal"/>
    <w:next w:val="Normal"/>
    <w:rsid w:val="009270E3"/>
    <w:pPr>
      <w:spacing w:after="240"/>
    </w:pPr>
    <w:rPr>
      <w:rFonts w:ascii="Times New Roman" w:hAnsi="Times New Roman"/>
      <w:szCs w:val="20"/>
    </w:rPr>
  </w:style>
  <w:style w:type="paragraph" w:customStyle="1" w:styleId="MarkforTable">
    <w:name w:val="Mark for Table"/>
    <w:next w:val="Normal"/>
    <w:rsid w:val="009270E3"/>
    <w:pPr>
      <w:spacing w:line="480" w:lineRule="auto"/>
      <w:jc w:val="center"/>
    </w:pPr>
    <w:rPr>
      <w:rFonts w:ascii="Times New Roman" w:hAnsi="Times New Roman"/>
      <w:caps/>
      <w:szCs w:val="20"/>
    </w:rPr>
  </w:style>
  <w:style w:type="paragraph" w:customStyle="1" w:styleId="1">
    <w:name w:val="1"/>
    <w:aliases w:val="2,3"/>
    <w:basedOn w:val="Normal"/>
    <w:rsid w:val="009270E3"/>
    <w:pPr>
      <w:widowControl w:val="0"/>
      <w:numPr>
        <w:numId w:val="18"/>
      </w:numPr>
      <w:tabs>
        <w:tab w:val="clear" w:pos="432"/>
      </w:tabs>
      <w:autoSpaceDE w:val="0"/>
      <w:autoSpaceDN w:val="0"/>
      <w:adjustRightInd w:val="0"/>
      <w:spacing w:line="240" w:lineRule="auto"/>
      <w:ind w:firstLine="0"/>
      <w:jc w:val="left"/>
    </w:pPr>
    <w:rPr>
      <w:rFonts w:ascii="Courier" w:hAnsi="Courier"/>
      <w:sz w:val="20"/>
    </w:rPr>
  </w:style>
  <w:style w:type="paragraph" w:customStyle="1" w:styleId="Gtabletext">
    <w:name w:val="G_table text"/>
    <w:basedOn w:val="Normal"/>
    <w:rsid w:val="009270E3"/>
    <w:pPr>
      <w:tabs>
        <w:tab w:val="clear" w:pos="432"/>
      </w:tabs>
      <w:spacing w:line="240" w:lineRule="auto"/>
      <w:ind w:firstLine="0"/>
    </w:pPr>
    <w:rPr>
      <w:rFonts w:ascii="Arial" w:hAnsi="Arial"/>
      <w:sz w:val="20"/>
      <w:szCs w:val="20"/>
    </w:rPr>
  </w:style>
  <w:style w:type="paragraph" w:customStyle="1" w:styleId="Gtablecolumnhead">
    <w:name w:val="G_table column head"/>
    <w:basedOn w:val="Normal"/>
    <w:rsid w:val="009270E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center"/>
    </w:pPr>
    <w:rPr>
      <w:rFonts w:ascii="Arial" w:hAnsi="Arial"/>
      <w:sz w:val="20"/>
      <w:szCs w:val="20"/>
    </w:rPr>
  </w:style>
  <w:style w:type="paragraph" w:customStyle="1" w:styleId="Style">
    <w:name w:val="Style"/>
    <w:basedOn w:val="Normal"/>
    <w:rsid w:val="009270E3"/>
    <w:pPr>
      <w:widowControl w:val="0"/>
      <w:tabs>
        <w:tab w:val="clear" w:pos="432"/>
      </w:tabs>
      <w:autoSpaceDE w:val="0"/>
      <w:autoSpaceDN w:val="0"/>
      <w:adjustRightInd w:val="0"/>
      <w:spacing w:line="240" w:lineRule="auto"/>
      <w:ind w:firstLine="0"/>
      <w:jc w:val="left"/>
    </w:pPr>
    <w:rPr>
      <w:rFonts w:ascii="Courier" w:hAnsi="Courier"/>
      <w:sz w:val="20"/>
    </w:rPr>
  </w:style>
  <w:style w:type="character" w:styleId="FollowedHyperlink">
    <w:name w:val="FollowedHyperlink"/>
    <w:basedOn w:val="DefaultParagraphFont"/>
    <w:rsid w:val="009270E3"/>
    <w:rPr>
      <w:color w:val="800080"/>
      <w:u w:val="single"/>
    </w:rPr>
  </w:style>
  <w:style w:type="paragraph" w:customStyle="1" w:styleId="BulletLAST">
    <w:name w:val="Bullet (LAST)"/>
    <w:next w:val="Normal"/>
    <w:rsid w:val="009270E3"/>
    <w:pPr>
      <w:spacing w:after="480"/>
      <w:ind w:left="720" w:right="360" w:hanging="288"/>
      <w:jc w:val="both"/>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7570">
      <w:bodyDiv w:val="1"/>
      <w:marLeft w:val="0"/>
      <w:marRight w:val="0"/>
      <w:marTop w:val="0"/>
      <w:marBottom w:val="0"/>
      <w:divBdr>
        <w:top w:val="none" w:sz="0" w:space="0" w:color="auto"/>
        <w:left w:val="none" w:sz="0" w:space="0" w:color="auto"/>
        <w:bottom w:val="none" w:sz="0" w:space="0" w:color="auto"/>
        <w:right w:val="none" w:sz="0" w:space="0" w:color="auto"/>
      </w:divBdr>
    </w:div>
    <w:div w:id="437993231">
      <w:bodyDiv w:val="1"/>
      <w:marLeft w:val="0"/>
      <w:marRight w:val="0"/>
      <w:marTop w:val="0"/>
      <w:marBottom w:val="0"/>
      <w:divBdr>
        <w:top w:val="none" w:sz="0" w:space="0" w:color="auto"/>
        <w:left w:val="none" w:sz="0" w:space="0" w:color="auto"/>
        <w:bottom w:val="none" w:sz="0" w:space="0" w:color="auto"/>
        <w:right w:val="none" w:sz="0" w:space="0" w:color="auto"/>
      </w:divBdr>
      <w:divsChild>
        <w:div w:id="1876886616">
          <w:marLeft w:val="0"/>
          <w:marRight w:val="0"/>
          <w:marTop w:val="0"/>
          <w:marBottom w:val="0"/>
          <w:divBdr>
            <w:top w:val="none" w:sz="0" w:space="0" w:color="auto"/>
            <w:left w:val="none" w:sz="0" w:space="0" w:color="auto"/>
            <w:bottom w:val="none" w:sz="0" w:space="0" w:color="auto"/>
            <w:right w:val="none" w:sz="0" w:space="0" w:color="auto"/>
          </w:divBdr>
        </w:div>
      </w:divsChild>
    </w:div>
    <w:div w:id="444928441">
      <w:bodyDiv w:val="1"/>
      <w:marLeft w:val="0"/>
      <w:marRight w:val="0"/>
      <w:marTop w:val="0"/>
      <w:marBottom w:val="0"/>
      <w:divBdr>
        <w:top w:val="none" w:sz="0" w:space="0" w:color="auto"/>
        <w:left w:val="none" w:sz="0" w:space="0" w:color="auto"/>
        <w:bottom w:val="none" w:sz="0" w:space="0" w:color="auto"/>
        <w:right w:val="none" w:sz="0" w:space="0" w:color="auto"/>
      </w:divBdr>
    </w:div>
    <w:div w:id="629284742">
      <w:bodyDiv w:val="1"/>
      <w:marLeft w:val="0"/>
      <w:marRight w:val="0"/>
      <w:marTop w:val="0"/>
      <w:marBottom w:val="0"/>
      <w:divBdr>
        <w:top w:val="none" w:sz="0" w:space="0" w:color="auto"/>
        <w:left w:val="none" w:sz="0" w:space="0" w:color="auto"/>
        <w:bottom w:val="none" w:sz="0" w:space="0" w:color="auto"/>
        <w:right w:val="none" w:sz="0" w:space="0" w:color="auto"/>
      </w:divBdr>
      <w:divsChild>
        <w:div w:id="730269504">
          <w:marLeft w:val="0"/>
          <w:marRight w:val="0"/>
          <w:marTop w:val="0"/>
          <w:marBottom w:val="0"/>
          <w:divBdr>
            <w:top w:val="none" w:sz="0" w:space="0" w:color="auto"/>
            <w:left w:val="none" w:sz="0" w:space="0" w:color="auto"/>
            <w:bottom w:val="none" w:sz="0" w:space="0" w:color="auto"/>
            <w:right w:val="none" w:sz="0" w:space="0" w:color="auto"/>
          </w:divBdr>
        </w:div>
      </w:divsChild>
    </w:div>
    <w:div w:id="945188454">
      <w:bodyDiv w:val="1"/>
      <w:marLeft w:val="0"/>
      <w:marRight w:val="0"/>
      <w:marTop w:val="0"/>
      <w:marBottom w:val="0"/>
      <w:divBdr>
        <w:top w:val="none" w:sz="0" w:space="0" w:color="auto"/>
        <w:left w:val="none" w:sz="0" w:space="0" w:color="auto"/>
        <w:bottom w:val="none" w:sz="0" w:space="0" w:color="auto"/>
        <w:right w:val="none" w:sz="0" w:space="0" w:color="auto"/>
      </w:divBdr>
      <w:divsChild>
        <w:div w:id="1083797643">
          <w:marLeft w:val="0"/>
          <w:marRight w:val="0"/>
          <w:marTop w:val="0"/>
          <w:marBottom w:val="0"/>
          <w:divBdr>
            <w:top w:val="none" w:sz="0" w:space="0" w:color="auto"/>
            <w:left w:val="none" w:sz="0" w:space="0" w:color="auto"/>
            <w:bottom w:val="none" w:sz="0" w:space="0" w:color="auto"/>
            <w:right w:val="none" w:sz="0" w:space="0" w:color="auto"/>
          </w:divBdr>
        </w:div>
      </w:divsChild>
    </w:div>
    <w:div w:id="1310358699">
      <w:bodyDiv w:val="1"/>
      <w:marLeft w:val="0"/>
      <w:marRight w:val="0"/>
      <w:marTop w:val="0"/>
      <w:marBottom w:val="0"/>
      <w:divBdr>
        <w:top w:val="none" w:sz="0" w:space="0" w:color="auto"/>
        <w:left w:val="none" w:sz="0" w:space="0" w:color="auto"/>
        <w:bottom w:val="none" w:sz="0" w:space="0" w:color="auto"/>
        <w:right w:val="none" w:sz="0" w:space="0" w:color="auto"/>
      </w:divBdr>
    </w:div>
    <w:div w:id="1321035929">
      <w:bodyDiv w:val="1"/>
      <w:marLeft w:val="0"/>
      <w:marRight w:val="0"/>
      <w:marTop w:val="0"/>
      <w:marBottom w:val="0"/>
      <w:divBdr>
        <w:top w:val="none" w:sz="0" w:space="0" w:color="auto"/>
        <w:left w:val="none" w:sz="0" w:space="0" w:color="auto"/>
        <w:bottom w:val="none" w:sz="0" w:space="0" w:color="auto"/>
        <w:right w:val="none" w:sz="0" w:space="0" w:color="auto"/>
      </w:divBdr>
    </w:div>
    <w:div w:id="1378965801">
      <w:bodyDiv w:val="1"/>
      <w:marLeft w:val="0"/>
      <w:marRight w:val="0"/>
      <w:marTop w:val="0"/>
      <w:marBottom w:val="0"/>
      <w:divBdr>
        <w:top w:val="none" w:sz="0" w:space="0" w:color="auto"/>
        <w:left w:val="none" w:sz="0" w:space="0" w:color="auto"/>
        <w:bottom w:val="none" w:sz="0" w:space="0" w:color="auto"/>
        <w:right w:val="none" w:sz="0" w:space="0" w:color="auto"/>
      </w:divBdr>
    </w:div>
    <w:div w:id="1468281700">
      <w:bodyDiv w:val="1"/>
      <w:marLeft w:val="0"/>
      <w:marRight w:val="0"/>
      <w:marTop w:val="0"/>
      <w:marBottom w:val="0"/>
      <w:divBdr>
        <w:top w:val="none" w:sz="0" w:space="0" w:color="auto"/>
        <w:left w:val="none" w:sz="0" w:space="0" w:color="auto"/>
        <w:bottom w:val="none" w:sz="0" w:space="0" w:color="auto"/>
        <w:right w:val="none" w:sz="0" w:space="0" w:color="auto"/>
      </w:divBdr>
      <w:divsChild>
        <w:div w:id="1486050142">
          <w:marLeft w:val="266"/>
          <w:marRight w:val="266"/>
          <w:marTop w:val="0"/>
          <w:marBottom w:val="0"/>
          <w:divBdr>
            <w:top w:val="none" w:sz="0" w:space="0" w:color="auto"/>
            <w:left w:val="none" w:sz="0" w:space="0" w:color="auto"/>
            <w:bottom w:val="none" w:sz="0" w:space="0" w:color="auto"/>
            <w:right w:val="none" w:sz="0" w:space="0" w:color="auto"/>
          </w:divBdr>
          <w:divsChild>
            <w:div w:id="904071424">
              <w:marLeft w:val="0"/>
              <w:marRight w:val="0"/>
              <w:marTop w:val="0"/>
              <w:marBottom w:val="0"/>
              <w:divBdr>
                <w:top w:val="none" w:sz="0" w:space="0" w:color="auto"/>
                <w:left w:val="none" w:sz="0" w:space="0" w:color="auto"/>
                <w:bottom w:val="none" w:sz="0" w:space="0" w:color="auto"/>
                <w:right w:val="none" w:sz="0" w:space="0" w:color="auto"/>
              </w:divBdr>
              <w:divsChild>
                <w:div w:id="417406649">
                  <w:marLeft w:val="0"/>
                  <w:marRight w:val="0"/>
                  <w:marTop w:val="0"/>
                  <w:marBottom w:val="0"/>
                  <w:divBdr>
                    <w:top w:val="none" w:sz="0" w:space="0" w:color="auto"/>
                    <w:left w:val="none" w:sz="0" w:space="0" w:color="auto"/>
                    <w:bottom w:val="none" w:sz="0" w:space="0" w:color="auto"/>
                    <w:right w:val="none" w:sz="0" w:space="0" w:color="auto"/>
                  </w:divBdr>
                  <w:divsChild>
                    <w:div w:id="1612082788">
                      <w:marLeft w:val="0"/>
                      <w:marRight w:val="0"/>
                      <w:marTop w:val="0"/>
                      <w:marBottom w:val="480"/>
                      <w:divBdr>
                        <w:top w:val="none" w:sz="0" w:space="0" w:color="auto"/>
                        <w:left w:val="none" w:sz="0" w:space="0" w:color="auto"/>
                        <w:bottom w:val="none" w:sz="0" w:space="0" w:color="auto"/>
                        <w:right w:val="none" w:sz="0" w:space="0" w:color="auto"/>
                      </w:divBdr>
                      <w:divsChild>
                        <w:div w:id="508911348">
                          <w:marLeft w:val="0"/>
                          <w:marRight w:val="0"/>
                          <w:marTop w:val="0"/>
                          <w:marBottom w:val="0"/>
                          <w:divBdr>
                            <w:top w:val="none" w:sz="0" w:space="0" w:color="auto"/>
                            <w:left w:val="none" w:sz="0" w:space="0" w:color="auto"/>
                            <w:bottom w:val="none" w:sz="0" w:space="0" w:color="auto"/>
                            <w:right w:val="none" w:sz="0" w:space="0" w:color="auto"/>
                          </w:divBdr>
                          <w:divsChild>
                            <w:div w:id="957369447">
                              <w:marLeft w:val="0"/>
                              <w:marRight w:val="0"/>
                              <w:marTop w:val="0"/>
                              <w:marBottom w:val="0"/>
                              <w:divBdr>
                                <w:top w:val="none" w:sz="0" w:space="0" w:color="auto"/>
                                <w:left w:val="none" w:sz="0" w:space="0" w:color="auto"/>
                                <w:bottom w:val="none" w:sz="0" w:space="0" w:color="auto"/>
                                <w:right w:val="none" w:sz="0" w:space="0" w:color="auto"/>
                              </w:divBdr>
                              <w:divsChild>
                                <w:div w:id="18591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785156">
      <w:bodyDiv w:val="1"/>
      <w:marLeft w:val="0"/>
      <w:marRight w:val="0"/>
      <w:marTop w:val="0"/>
      <w:marBottom w:val="0"/>
      <w:divBdr>
        <w:top w:val="none" w:sz="0" w:space="0" w:color="auto"/>
        <w:left w:val="none" w:sz="0" w:space="0" w:color="auto"/>
        <w:bottom w:val="none" w:sz="0" w:space="0" w:color="auto"/>
        <w:right w:val="none" w:sz="0" w:space="0" w:color="auto"/>
      </w:divBdr>
    </w:div>
    <w:div w:id="1580557895">
      <w:bodyDiv w:val="1"/>
      <w:marLeft w:val="0"/>
      <w:marRight w:val="0"/>
      <w:marTop w:val="0"/>
      <w:marBottom w:val="0"/>
      <w:divBdr>
        <w:top w:val="none" w:sz="0" w:space="0" w:color="auto"/>
        <w:left w:val="none" w:sz="0" w:space="0" w:color="auto"/>
        <w:bottom w:val="none" w:sz="0" w:space="0" w:color="auto"/>
        <w:right w:val="none" w:sz="0" w:space="0" w:color="auto"/>
      </w:divBdr>
    </w:div>
    <w:div w:id="1768185702">
      <w:bodyDiv w:val="1"/>
      <w:marLeft w:val="0"/>
      <w:marRight w:val="0"/>
      <w:marTop w:val="0"/>
      <w:marBottom w:val="0"/>
      <w:divBdr>
        <w:top w:val="none" w:sz="0" w:space="0" w:color="auto"/>
        <w:left w:val="none" w:sz="0" w:space="0" w:color="auto"/>
        <w:bottom w:val="none" w:sz="0" w:space="0" w:color="auto"/>
        <w:right w:val="none" w:sz="0" w:space="0" w:color="auto"/>
      </w:divBdr>
    </w:div>
    <w:div w:id="209658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3740D-7521-470C-99AE-5EC1AD48FB22}">
  <ds:schemaRefs>
    <ds:schemaRef ds:uri="http://schemas.openxmlformats.org/officeDocument/2006/bibliography"/>
  </ds:schemaRefs>
</ds:datastoreItem>
</file>

<file path=customXml/itemProps2.xml><?xml version="1.0" encoding="utf-8"?>
<ds:datastoreItem xmlns:ds="http://schemas.openxmlformats.org/officeDocument/2006/customXml" ds:itemID="{B388D3CF-02F1-4DCB-A178-A8A7BD89FBBE}">
  <ds:schemaRefs>
    <ds:schemaRef ds:uri="http://schemas.openxmlformats.org/officeDocument/2006/bibliography"/>
  </ds:schemaRefs>
</ds:datastoreItem>
</file>

<file path=customXml/itemProps3.xml><?xml version="1.0" encoding="utf-8"?>
<ds:datastoreItem xmlns:ds="http://schemas.openxmlformats.org/officeDocument/2006/customXml" ds:itemID="{89EB49F0-42C3-4B61-BE69-D600DF25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3041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06997 PACT OMB</vt:lpstr>
    </vt:vector>
  </TitlesOfParts>
  <Company>Mathematica, Inc</Company>
  <LinksUpToDate>false</LinksUpToDate>
  <CharactersWithSpaces>20051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06997 PACT OMB</dc:title>
  <dc:subject>OMB Package Part A</dc:subject>
  <dc:creator>Sheena McConnell (formatted by Sheena Flowers)</dc:creator>
  <cp:keywords>06997, PACT OMB</cp:keywords>
  <cp:lastModifiedBy>Molly</cp:lastModifiedBy>
  <cp:revision>2</cp:revision>
  <cp:lastPrinted>2013-10-08T17:21:00Z</cp:lastPrinted>
  <dcterms:created xsi:type="dcterms:W3CDTF">2013-12-03T14:07:00Z</dcterms:created>
  <dcterms:modified xsi:type="dcterms:W3CDTF">2013-12-03T14:07:00Z</dcterms:modified>
  <cp:category>OMB</cp:category>
</cp:coreProperties>
</file>