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17" w:rsidRPr="004238F4" w:rsidRDefault="00532F17" w:rsidP="00532F17">
      <w:pPr>
        <w:widowControl w:val="0"/>
        <w:tabs>
          <w:tab w:val="center" w:pos="4680"/>
        </w:tabs>
        <w:jc w:val="center"/>
        <w:outlineLvl w:val="0"/>
        <w:rPr>
          <w:b/>
          <w:szCs w:val="24"/>
        </w:rPr>
      </w:pPr>
      <w:r w:rsidRPr="004238F4">
        <w:rPr>
          <w:b/>
          <w:szCs w:val="24"/>
        </w:rPr>
        <w:t>Supporting Statement for Request of Information Collection Approval</w:t>
      </w:r>
    </w:p>
    <w:p w:rsidR="00532F17" w:rsidRPr="00466E5F" w:rsidRDefault="00532F17" w:rsidP="00305326">
      <w:pPr>
        <w:widowControl w:val="0"/>
        <w:tabs>
          <w:tab w:val="center" w:pos="4680"/>
        </w:tabs>
        <w:jc w:val="center"/>
        <w:outlineLvl w:val="0"/>
        <w:rPr>
          <w:b/>
          <w:szCs w:val="24"/>
        </w:rPr>
      </w:pPr>
      <w:r w:rsidRPr="004238F4">
        <w:rPr>
          <w:b/>
          <w:szCs w:val="24"/>
        </w:rPr>
        <w:t xml:space="preserve"> </w:t>
      </w:r>
      <w:proofErr w:type="gramStart"/>
      <w:r w:rsidR="00466E5F">
        <w:rPr>
          <w:b/>
          <w:szCs w:val="24"/>
        </w:rPr>
        <w:t>o</w:t>
      </w:r>
      <w:r w:rsidRPr="004238F4">
        <w:rPr>
          <w:b/>
          <w:szCs w:val="24"/>
        </w:rPr>
        <w:t>f</w:t>
      </w:r>
      <w:proofErr w:type="gramEnd"/>
      <w:r w:rsidRPr="004238F4">
        <w:rPr>
          <w:b/>
          <w:szCs w:val="24"/>
        </w:rPr>
        <w:t xml:space="preserve"> the Low Income Home Energy Assistance </w:t>
      </w:r>
      <w:r w:rsidR="00466E5F">
        <w:rPr>
          <w:b/>
          <w:szCs w:val="24"/>
        </w:rPr>
        <w:t>Program</w:t>
      </w:r>
      <w:r w:rsidR="00466E5F" w:rsidRPr="00466E5F">
        <w:rPr>
          <w:b/>
          <w:szCs w:val="24"/>
        </w:rPr>
        <w:t xml:space="preserve"> </w:t>
      </w:r>
      <w:r w:rsidR="003B41A1">
        <w:rPr>
          <w:b/>
          <w:szCs w:val="24"/>
        </w:rPr>
        <w:t>Grantee Needs Assessment</w:t>
      </w:r>
    </w:p>
    <w:p w:rsidR="00532F17" w:rsidRPr="004238F4" w:rsidRDefault="00D21E38" w:rsidP="00532F17">
      <w:pPr>
        <w:widowControl w:val="0"/>
        <w:tabs>
          <w:tab w:val="center" w:pos="4680"/>
        </w:tabs>
        <w:jc w:val="center"/>
        <w:outlineLvl w:val="0"/>
        <w:rPr>
          <w:szCs w:val="24"/>
        </w:rPr>
      </w:pPr>
      <w:r>
        <w:rPr>
          <w:b/>
          <w:szCs w:val="24"/>
        </w:rPr>
        <w:t>Dec</w:t>
      </w:r>
      <w:r w:rsidR="0020797C">
        <w:rPr>
          <w:b/>
          <w:szCs w:val="24"/>
        </w:rPr>
        <w:t>em</w:t>
      </w:r>
      <w:r w:rsidR="00621A41">
        <w:rPr>
          <w:b/>
          <w:szCs w:val="24"/>
        </w:rPr>
        <w:t>ber 2</w:t>
      </w:r>
      <w:r w:rsidR="00466E5F">
        <w:rPr>
          <w:b/>
          <w:szCs w:val="24"/>
        </w:rPr>
        <w:t>, 2013</w:t>
      </w:r>
    </w:p>
    <w:p w:rsidR="00532F17" w:rsidRPr="004238F4" w:rsidRDefault="00532F17" w:rsidP="00532F17">
      <w:pPr>
        <w:widowControl w:val="0"/>
        <w:tabs>
          <w:tab w:val="left" w:pos="918"/>
          <w:tab w:val="left" w:pos="1188"/>
        </w:tabs>
        <w:rPr>
          <w:szCs w:val="24"/>
        </w:rPr>
      </w:pPr>
    </w:p>
    <w:p w:rsidR="00532F17" w:rsidRPr="004238F4" w:rsidRDefault="00532F17" w:rsidP="00532F17">
      <w:pPr>
        <w:widowControl w:val="0"/>
        <w:tabs>
          <w:tab w:val="left" w:pos="918"/>
          <w:tab w:val="left" w:pos="1188"/>
        </w:tabs>
        <w:outlineLvl w:val="0"/>
        <w:rPr>
          <w:szCs w:val="24"/>
        </w:rPr>
      </w:pPr>
      <w:r w:rsidRPr="004238F4">
        <w:rPr>
          <w:b/>
          <w:szCs w:val="24"/>
        </w:rPr>
        <w:t>A.  Justification</w:t>
      </w:r>
    </w:p>
    <w:p w:rsidR="00532F17" w:rsidRPr="004238F4" w:rsidRDefault="00532F17" w:rsidP="00532F17">
      <w:pPr>
        <w:widowControl w:val="0"/>
        <w:tabs>
          <w:tab w:val="left" w:pos="918"/>
          <w:tab w:val="left" w:pos="1188"/>
        </w:tabs>
        <w:rPr>
          <w:szCs w:val="24"/>
        </w:rPr>
      </w:pPr>
    </w:p>
    <w:p w:rsidR="00532F17" w:rsidRPr="004238F4" w:rsidRDefault="00532F17" w:rsidP="00532F17">
      <w:pPr>
        <w:widowControl w:val="0"/>
        <w:tabs>
          <w:tab w:val="left" w:pos="540"/>
          <w:tab w:val="left" w:pos="821"/>
        </w:tabs>
        <w:ind w:left="544" w:hanging="544"/>
        <w:rPr>
          <w:b/>
          <w:szCs w:val="24"/>
        </w:rPr>
      </w:pPr>
      <w:r w:rsidRPr="004238F4">
        <w:rPr>
          <w:b/>
          <w:szCs w:val="24"/>
        </w:rPr>
        <w:t>1.</w:t>
      </w:r>
      <w:r w:rsidRPr="004238F4">
        <w:rPr>
          <w:b/>
          <w:szCs w:val="24"/>
        </w:rPr>
        <w:tab/>
        <w:t>Circumstances Making the Collection of Information Necessary</w:t>
      </w:r>
    </w:p>
    <w:p w:rsidR="00532F17" w:rsidRDefault="00532F17" w:rsidP="00532F17">
      <w:pPr>
        <w:widowControl w:val="0"/>
        <w:tabs>
          <w:tab w:val="left" w:pos="918"/>
          <w:tab w:val="left" w:pos="1188"/>
        </w:tabs>
        <w:rPr>
          <w:szCs w:val="24"/>
        </w:rPr>
      </w:pPr>
    </w:p>
    <w:p w:rsidR="00E67826" w:rsidRDefault="009E5531" w:rsidP="001C4B98">
      <w:pPr>
        <w:widowControl w:val="0"/>
        <w:tabs>
          <w:tab w:val="left" w:pos="918"/>
          <w:tab w:val="left" w:pos="1188"/>
        </w:tabs>
        <w:rPr>
          <w:spacing w:val="-4"/>
          <w:szCs w:val="24"/>
        </w:rPr>
      </w:pPr>
      <w:r w:rsidRPr="004238F4">
        <w:rPr>
          <w:spacing w:val="-4"/>
          <w:szCs w:val="24"/>
        </w:rPr>
        <w:t xml:space="preserve">The Low Income Home Energy Assistance Program (LIHEAP) block grant (42 U.S.C. 8621) was established under Title XXVI of the Omnibus Budget Reconciliation Act of 1981, Public Law 97-35.  The Office of Community Services (OCS) within the </w:t>
      </w:r>
      <w:r>
        <w:rPr>
          <w:spacing w:val="-4"/>
          <w:szCs w:val="24"/>
        </w:rPr>
        <w:t xml:space="preserve">U.S. </w:t>
      </w:r>
      <w:r w:rsidRPr="004238F4">
        <w:rPr>
          <w:spacing w:val="-4"/>
          <w:szCs w:val="24"/>
        </w:rPr>
        <w:t>Department of Health and Human Services' Administration for Children and Families (ACF) administers LIHEAP at the Federal level.</w:t>
      </w:r>
      <w:r w:rsidR="00E67826">
        <w:rPr>
          <w:spacing w:val="-4"/>
          <w:szCs w:val="24"/>
        </w:rPr>
        <w:t xml:space="preserve">  </w:t>
      </w:r>
      <w:r w:rsidR="00305326">
        <w:rPr>
          <w:spacing w:val="-4"/>
          <w:szCs w:val="24"/>
        </w:rPr>
        <w:t xml:space="preserve">Section 2610(b)(2) of the Low Income Home Energy Assistance Act of 1981 (42 U.S.C. §8629(b)(2)) requires that HHS annually report to Congress on the impact LIHEAP is making on recipient households (see Attachment 1 for full statutory language).  </w:t>
      </w:r>
    </w:p>
    <w:p w:rsidR="00CF4E51" w:rsidRPr="004238F4" w:rsidRDefault="00CF4E51" w:rsidP="001C4B98">
      <w:pPr>
        <w:pStyle w:val="Level1"/>
        <w:tabs>
          <w:tab w:val="left" w:pos="544"/>
        </w:tabs>
        <w:rPr>
          <w:szCs w:val="24"/>
        </w:rPr>
      </w:pPr>
    </w:p>
    <w:p w:rsidR="00532F17" w:rsidRDefault="00532F17" w:rsidP="00532F17">
      <w:pPr>
        <w:widowControl w:val="0"/>
        <w:tabs>
          <w:tab w:val="left" w:pos="548"/>
          <w:tab w:val="left" w:pos="814"/>
        </w:tabs>
        <w:ind w:left="548" w:hanging="548"/>
        <w:rPr>
          <w:b/>
          <w:szCs w:val="24"/>
        </w:rPr>
      </w:pPr>
      <w:r w:rsidRPr="004238F4">
        <w:rPr>
          <w:b/>
          <w:szCs w:val="24"/>
        </w:rPr>
        <w:t>2.</w:t>
      </w:r>
      <w:r w:rsidRPr="004238F4">
        <w:rPr>
          <w:b/>
          <w:szCs w:val="24"/>
        </w:rPr>
        <w:tab/>
        <w:t>Purpose and Use of the Information Collection</w:t>
      </w:r>
    </w:p>
    <w:p w:rsidR="001C4B98" w:rsidRDefault="001C4B98" w:rsidP="00532F17">
      <w:pPr>
        <w:widowControl w:val="0"/>
        <w:tabs>
          <w:tab w:val="left" w:pos="548"/>
          <w:tab w:val="left" w:pos="814"/>
        </w:tabs>
        <w:ind w:left="548" w:hanging="548"/>
        <w:rPr>
          <w:b/>
          <w:szCs w:val="24"/>
        </w:rPr>
      </w:pPr>
    </w:p>
    <w:p w:rsidR="001C4B98" w:rsidRDefault="001C4B98" w:rsidP="001C4B98">
      <w:pPr>
        <w:pStyle w:val="NoSpacing"/>
        <w:rPr>
          <w:rFonts w:ascii="Times New Roman" w:hAnsi="Times New Roman"/>
          <w:sz w:val="24"/>
          <w:szCs w:val="24"/>
        </w:rPr>
      </w:pPr>
      <w:r>
        <w:rPr>
          <w:rFonts w:ascii="Times New Roman" w:hAnsi="Times New Roman"/>
          <w:sz w:val="24"/>
          <w:szCs w:val="24"/>
        </w:rPr>
        <w:t>This</w:t>
      </w:r>
      <w:r w:rsidRPr="008606CE">
        <w:rPr>
          <w:rFonts w:ascii="Times New Roman" w:hAnsi="Times New Roman"/>
          <w:sz w:val="24"/>
          <w:szCs w:val="24"/>
        </w:rPr>
        <w:t xml:space="preserve"> information collection is a direct response to recommendations for </w:t>
      </w:r>
      <w:r>
        <w:rPr>
          <w:rFonts w:ascii="Times New Roman" w:hAnsi="Times New Roman"/>
          <w:sz w:val="24"/>
          <w:szCs w:val="24"/>
        </w:rPr>
        <w:t xml:space="preserve">strengthening </w:t>
      </w:r>
      <w:r w:rsidRPr="008606CE">
        <w:rPr>
          <w:rFonts w:ascii="Times New Roman" w:hAnsi="Times New Roman"/>
          <w:sz w:val="24"/>
          <w:szCs w:val="24"/>
        </w:rPr>
        <w:t xml:space="preserve">LIHEAP program integrity </w:t>
      </w:r>
      <w:r>
        <w:rPr>
          <w:rFonts w:ascii="Times New Roman" w:hAnsi="Times New Roman"/>
          <w:sz w:val="24"/>
          <w:szCs w:val="24"/>
        </w:rPr>
        <w:t xml:space="preserve">made </w:t>
      </w:r>
      <w:r w:rsidRPr="008606CE">
        <w:rPr>
          <w:rFonts w:ascii="Times New Roman" w:hAnsi="Times New Roman"/>
          <w:sz w:val="24"/>
          <w:szCs w:val="24"/>
        </w:rPr>
        <w:t>by the Govern</w:t>
      </w:r>
      <w:r>
        <w:rPr>
          <w:rFonts w:ascii="Times New Roman" w:hAnsi="Times New Roman"/>
          <w:sz w:val="24"/>
          <w:szCs w:val="24"/>
        </w:rPr>
        <w:t>ment Accountability Office</w:t>
      </w:r>
      <w:r w:rsidRPr="008606CE">
        <w:rPr>
          <w:rFonts w:ascii="Times New Roman" w:hAnsi="Times New Roman"/>
          <w:sz w:val="24"/>
          <w:szCs w:val="24"/>
        </w:rPr>
        <w:t xml:space="preserve"> in 2010 and the LIHEAP Program Integrity Work Group</w:t>
      </w:r>
      <w:r>
        <w:rPr>
          <w:rFonts w:ascii="Times New Roman" w:hAnsi="Times New Roman"/>
          <w:sz w:val="24"/>
          <w:szCs w:val="24"/>
        </w:rPr>
        <w:t>,</w:t>
      </w:r>
      <w:r w:rsidRPr="008606CE">
        <w:rPr>
          <w:rFonts w:ascii="Times New Roman" w:hAnsi="Times New Roman"/>
          <w:sz w:val="24"/>
          <w:szCs w:val="24"/>
        </w:rPr>
        <w:t xml:space="preserve"> </w:t>
      </w:r>
      <w:r>
        <w:rPr>
          <w:rFonts w:ascii="Times New Roman" w:hAnsi="Times New Roman"/>
          <w:sz w:val="24"/>
          <w:szCs w:val="24"/>
        </w:rPr>
        <w:t xml:space="preserve">which consisted </w:t>
      </w:r>
      <w:r w:rsidRPr="008606CE">
        <w:rPr>
          <w:rFonts w:ascii="Times New Roman" w:hAnsi="Times New Roman"/>
          <w:sz w:val="24"/>
          <w:szCs w:val="24"/>
        </w:rPr>
        <w:t xml:space="preserve">of a sample of LIHEAP grantees.  </w:t>
      </w:r>
      <w:r>
        <w:rPr>
          <w:rFonts w:ascii="Times New Roman" w:hAnsi="Times New Roman"/>
          <w:sz w:val="24"/>
          <w:szCs w:val="24"/>
        </w:rPr>
        <w:t>The purpose of this data collection is to gauge the capacity of LIHEAP grantees to perform two critical tasks.</w:t>
      </w:r>
    </w:p>
    <w:p w:rsidR="001C4B98" w:rsidRDefault="001C4B98" w:rsidP="001C4B98">
      <w:pPr>
        <w:pStyle w:val="NoSpacing"/>
        <w:rPr>
          <w:rFonts w:ascii="Times New Roman" w:hAnsi="Times New Roman"/>
          <w:sz w:val="24"/>
          <w:szCs w:val="24"/>
        </w:rPr>
      </w:pPr>
    </w:p>
    <w:p w:rsidR="001C4B98" w:rsidRDefault="001C4B98" w:rsidP="001C4B98">
      <w:pPr>
        <w:pStyle w:val="NoSpacing"/>
        <w:numPr>
          <w:ilvl w:val="0"/>
          <w:numId w:val="16"/>
        </w:numPr>
        <w:rPr>
          <w:rFonts w:ascii="Times New Roman" w:hAnsi="Times New Roman"/>
          <w:sz w:val="24"/>
          <w:szCs w:val="24"/>
        </w:rPr>
      </w:pPr>
      <w:r>
        <w:rPr>
          <w:rFonts w:ascii="Times New Roman" w:hAnsi="Times New Roman"/>
          <w:sz w:val="24"/>
          <w:szCs w:val="24"/>
        </w:rPr>
        <w:t xml:space="preserve">To </w:t>
      </w:r>
      <w:r w:rsidRPr="008606CE">
        <w:rPr>
          <w:rFonts w:ascii="Times New Roman" w:hAnsi="Times New Roman"/>
          <w:sz w:val="24"/>
          <w:szCs w:val="24"/>
        </w:rPr>
        <w:t>implement third-party verification of household data obtained during the LIHEAP intake process</w:t>
      </w:r>
      <w:r>
        <w:rPr>
          <w:rFonts w:ascii="Times New Roman" w:hAnsi="Times New Roman"/>
          <w:sz w:val="24"/>
          <w:szCs w:val="24"/>
        </w:rPr>
        <w:t>,</w:t>
      </w:r>
      <w:r w:rsidRPr="008606CE">
        <w:rPr>
          <w:rFonts w:ascii="Times New Roman" w:hAnsi="Times New Roman"/>
          <w:sz w:val="24"/>
          <w:szCs w:val="24"/>
        </w:rPr>
        <w:t xml:space="preserve"> in order to strengthen program integrity by reducing the risk of making LIHEAP benefit payments to ineligible households or in the wrong amount.  These risks arise in large part when there are errors or fraud in the reporting of household</w:t>
      </w:r>
      <w:r>
        <w:rPr>
          <w:rFonts w:ascii="Times New Roman" w:hAnsi="Times New Roman"/>
          <w:sz w:val="24"/>
          <w:szCs w:val="24"/>
        </w:rPr>
        <w:t xml:space="preserve"> members’ identity and income</w:t>
      </w:r>
      <w:r w:rsidRPr="008606CE">
        <w:rPr>
          <w:rFonts w:ascii="Times New Roman" w:hAnsi="Times New Roman"/>
          <w:sz w:val="24"/>
          <w:szCs w:val="24"/>
        </w:rPr>
        <w:t xml:space="preserve"> during the LIHEAP intake process. </w:t>
      </w:r>
    </w:p>
    <w:p w:rsidR="001C4B98" w:rsidRPr="008606CE" w:rsidRDefault="001C4B98" w:rsidP="001C4B98">
      <w:pPr>
        <w:pStyle w:val="NoSpacing"/>
        <w:ind w:left="765"/>
        <w:rPr>
          <w:rFonts w:ascii="Times New Roman" w:hAnsi="Times New Roman"/>
          <w:sz w:val="24"/>
          <w:szCs w:val="24"/>
        </w:rPr>
      </w:pPr>
    </w:p>
    <w:p w:rsidR="001C4B98" w:rsidRPr="008606CE" w:rsidRDefault="001C4B98" w:rsidP="001C4B98">
      <w:pPr>
        <w:pStyle w:val="NoSpacing"/>
        <w:numPr>
          <w:ilvl w:val="0"/>
          <w:numId w:val="16"/>
        </w:numPr>
        <w:rPr>
          <w:rFonts w:ascii="Times New Roman" w:hAnsi="Times New Roman"/>
          <w:sz w:val="24"/>
          <w:szCs w:val="24"/>
        </w:rPr>
      </w:pPr>
      <w:r>
        <w:rPr>
          <w:rFonts w:ascii="Times New Roman" w:hAnsi="Times New Roman"/>
          <w:sz w:val="24"/>
          <w:szCs w:val="24"/>
        </w:rPr>
        <w:t xml:space="preserve">To </w:t>
      </w:r>
      <w:r w:rsidRPr="008606CE">
        <w:rPr>
          <w:rFonts w:ascii="Times New Roman" w:hAnsi="Times New Roman"/>
          <w:sz w:val="24"/>
          <w:szCs w:val="24"/>
        </w:rPr>
        <w:t>collect and report new performance measures that ACF is proposing to require of all State LIH</w:t>
      </w:r>
      <w:r>
        <w:rPr>
          <w:rFonts w:ascii="Times New Roman" w:hAnsi="Times New Roman"/>
          <w:sz w:val="24"/>
          <w:szCs w:val="24"/>
        </w:rPr>
        <w:t>EAP grantees by Fiscal Year</w:t>
      </w:r>
      <w:r w:rsidRPr="008606CE">
        <w:rPr>
          <w:rFonts w:ascii="Times New Roman" w:hAnsi="Times New Roman"/>
          <w:sz w:val="24"/>
          <w:szCs w:val="24"/>
        </w:rPr>
        <w:t xml:space="preserve"> 2015.  </w:t>
      </w:r>
    </w:p>
    <w:p w:rsidR="001C4B98" w:rsidRPr="004238F4" w:rsidRDefault="001C4B98" w:rsidP="001C4B98">
      <w:pPr>
        <w:widowControl w:val="0"/>
        <w:tabs>
          <w:tab w:val="left" w:pos="548"/>
          <w:tab w:val="left" w:pos="814"/>
        </w:tabs>
        <w:ind w:left="548" w:hanging="548"/>
        <w:rPr>
          <w:b/>
          <w:szCs w:val="24"/>
        </w:rPr>
      </w:pPr>
    </w:p>
    <w:p w:rsidR="00532F17" w:rsidRPr="001C4B98" w:rsidRDefault="001C4B98" w:rsidP="001C4B98">
      <w:pPr>
        <w:jc w:val="both"/>
      </w:pPr>
      <w:r>
        <w:t>The data that will be obtained through this needs assessment is a one-time collection to inform ACF in its operational decision-making over how to distribute training and technical assistance, and other capacity building resources to its directly-funded LIHEAP grantees.  The data will be for confidential use by ACF and its contractors for this internal purpose only.  Currently, there is very limited data available on a national scale to provide program administrators and stakeholders information on the impact of LIHEAP services and the effectiveness of how the program is administered.  The data that will be collected through this needs assessment will inform ACF as to how to help LIHEAP grantees improve the timeliness and accuracy of their data collection and reporting which will in turn provide better feedback to ACF and national stakeholders about the program’s performance.</w:t>
      </w:r>
    </w:p>
    <w:p w:rsidR="00532F17" w:rsidRPr="004238F4" w:rsidRDefault="00532F17" w:rsidP="00532F17">
      <w:pPr>
        <w:widowControl w:val="0"/>
        <w:tabs>
          <w:tab w:val="left" w:pos="548"/>
          <w:tab w:val="left" w:pos="814"/>
        </w:tabs>
        <w:ind w:left="548"/>
        <w:rPr>
          <w:spacing w:val="-3"/>
          <w:szCs w:val="24"/>
        </w:rPr>
      </w:pPr>
    </w:p>
    <w:p w:rsidR="00532F17" w:rsidRPr="004238F4" w:rsidRDefault="00532F17" w:rsidP="00532F17">
      <w:pPr>
        <w:widowControl w:val="0"/>
        <w:tabs>
          <w:tab w:val="left" w:pos="548"/>
          <w:tab w:val="left" w:pos="814"/>
        </w:tabs>
        <w:ind w:left="548" w:hanging="548"/>
        <w:rPr>
          <w:b/>
          <w:szCs w:val="24"/>
        </w:rPr>
      </w:pPr>
      <w:r w:rsidRPr="004238F4">
        <w:rPr>
          <w:b/>
          <w:szCs w:val="24"/>
        </w:rPr>
        <w:t>3.</w:t>
      </w:r>
      <w:r w:rsidRPr="004238F4">
        <w:rPr>
          <w:b/>
          <w:szCs w:val="24"/>
        </w:rPr>
        <w:tab/>
        <w:t>Use of Information Technology and Burden Reduction</w:t>
      </w:r>
    </w:p>
    <w:p w:rsidR="00532F17" w:rsidRPr="004238F4" w:rsidRDefault="00532F17" w:rsidP="00532F17">
      <w:pPr>
        <w:widowControl w:val="0"/>
        <w:tabs>
          <w:tab w:val="left" w:pos="548"/>
          <w:tab w:val="left" w:pos="814"/>
        </w:tabs>
        <w:rPr>
          <w:szCs w:val="24"/>
        </w:rPr>
      </w:pPr>
    </w:p>
    <w:p w:rsidR="00532F17" w:rsidRDefault="001C4B98" w:rsidP="001C4B98">
      <w:pPr>
        <w:widowControl w:val="0"/>
        <w:tabs>
          <w:tab w:val="left" w:pos="548"/>
          <w:tab w:val="left" w:pos="814"/>
        </w:tabs>
        <w:rPr>
          <w:szCs w:val="24"/>
        </w:rPr>
      </w:pPr>
      <w:r>
        <w:rPr>
          <w:szCs w:val="24"/>
        </w:rPr>
        <w:t xml:space="preserve">This needs assessment will be administered using an online questionnaire.  The questionnaire </w:t>
      </w:r>
      <w:r>
        <w:rPr>
          <w:szCs w:val="24"/>
        </w:rPr>
        <w:lastRenderedPageBreak/>
        <w:t xml:space="preserve">will be broken into sections, so that the LIHEAP coordinator for each respondent can effectively delegate the responsibility of answering particular sections to the relevant experts in their organization.  In addition, the questionnaire will be programmed with skip patterns that will automatically bypass non-applicable questions, based on the grantee’s responses to prior questions.  </w:t>
      </w:r>
    </w:p>
    <w:p w:rsidR="0055462B" w:rsidRPr="004238F4" w:rsidRDefault="0055462B" w:rsidP="001C4B98">
      <w:pPr>
        <w:widowControl w:val="0"/>
        <w:tabs>
          <w:tab w:val="left" w:pos="548"/>
          <w:tab w:val="left" w:pos="814"/>
        </w:tabs>
        <w:rPr>
          <w:szCs w:val="24"/>
        </w:rPr>
      </w:pPr>
    </w:p>
    <w:p w:rsidR="00532F17" w:rsidRPr="004238F4" w:rsidRDefault="00532F17" w:rsidP="00532F17">
      <w:pPr>
        <w:widowControl w:val="0"/>
        <w:numPr>
          <w:ilvl w:val="0"/>
          <w:numId w:val="13"/>
        </w:numPr>
        <w:tabs>
          <w:tab w:val="clear" w:pos="915"/>
          <w:tab w:val="num" w:pos="540"/>
        </w:tabs>
        <w:ind w:left="540" w:hanging="540"/>
        <w:rPr>
          <w:b/>
          <w:szCs w:val="24"/>
        </w:rPr>
      </w:pPr>
      <w:r w:rsidRPr="004238F4">
        <w:rPr>
          <w:b/>
          <w:szCs w:val="24"/>
        </w:rPr>
        <w:t>Efforts to Identify Duplication and Use of Similar Information</w:t>
      </w:r>
    </w:p>
    <w:p w:rsidR="00532F17" w:rsidRDefault="00532F17" w:rsidP="00532F17">
      <w:pPr>
        <w:widowControl w:val="0"/>
        <w:tabs>
          <w:tab w:val="left" w:pos="548"/>
          <w:tab w:val="left" w:pos="814"/>
        </w:tabs>
        <w:ind w:left="360"/>
        <w:rPr>
          <w:szCs w:val="24"/>
        </w:rPr>
      </w:pPr>
    </w:p>
    <w:p w:rsidR="00305326" w:rsidRDefault="0053499B" w:rsidP="0053499B">
      <w:pPr>
        <w:widowControl w:val="0"/>
        <w:tabs>
          <w:tab w:val="left" w:pos="548"/>
          <w:tab w:val="left" w:pos="814"/>
        </w:tabs>
        <w:rPr>
          <w:szCs w:val="24"/>
        </w:rPr>
      </w:pPr>
      <w:r>
        <w:rPr>
          <w:szCs w:val="24"/>
        </w:rPr>
        <w:t xml:space="preserve">This needs assessment represents a unique set of data to analyze capacity of LIHEAP grantees to </w:t>
      </w:r>
      <w:r w:rsidR="00F81A1E">
        <w:rPr>
          <w:szCs w:val="24"/>
        </w:rPr>
        <w:t>perform</w:t>
      </w:r>
      <w:r>
        <w:rPr>
          <w:szCs w:val="24"/>
        </w:rPr>
        <w:t xml:space="preserve"> very specific tasks.  No similar information exists that could be used in place of this needs assessment.  </w:t>
      </w:r>
      <w:r w:rsidR="00F81A1E">
        <w:rPr>
          <w:szCs w:val="24"/>
        </w:rPr>
        <w:t>This determination was made due to the vast experience of program staff and in consultation with our private-sector contractors, Applied Public Policy Research Institute for Study and Evaluation and the National Energy Assistance Directors Association.</w:t>
      </w:r>
    </w:p>
    <w:p w:rsidR="0053499B" w:rsidRPr="004238F4" w:rsidRDefault="0053499B" w:rsidP="0053499B">
      <w:pPr>
        <w:widowControl w:val="0"/>
        <w:tabs>
          <w:tab w:val="left" w:pos="548"/>
          <w:tab w:val="left" w:pos="814"/>
        </w:tabs>
        <w:rPr>
          <w:szCs w:val="24"/>
        </w:rPr>
      </w:pPr>
    </w:p>
    <w:p w:rsidR="00532F17" w:rsidRPr="004238F4" w:rsidRDefault="00532F17" w:rsidP="00532F17">
      <w:pPr>
        <w:widowControl w:val="0"/>
        <w:tabs>
          <w:tab w:val="left" w:pos="548"/>
          <w:tab w:val="left" w:pos="814"/>
        </w:tabs>
        <w:ind w:left="548" w:hanging="548"/>
        <w:rPr>
          <w:b/>
          <w:szCs w:val="24"/>
        </w:rPr>
      </w:pPr>
      <w:r w:rsidRPr="004238F4">
        <w:rPr>
          <w:b/>
          <w:szCs w:val="24"/>
        </w:rPr>
        <w:t>5.</w:t>
      </w:r>
      <w:r w:rsidRPr="004238F4">
        <w:rPr>
          <w:b/>
          <w:szCs w:val="24"/>
        </w:rPr>
        <w:tab/>
        <w:t>Impact on Small Businesses or Other Small Entities</w:t>
      </w:r>
    </w:p>
    <w:p w:rsidR="00532F17" w:rsidRPr="004238F4" w:rsidRDefault="00532F17" w:rsidP="00532F17">
      <w:pPr>
        <w:widowControl w:val="0"/>
        <w:tabs>
          <w:tab w:val="left" w:pos="548"/>
          <w:tab w:val="left" w:pos="814"/>
        </w:tabs>
        <w:rPr>
          <w:szCs w:val="24"/>
        </w:rPr>
      </w:pPr>
    </w:p>
    <w:p w:rsidR="00532F17" w:rsidRDefault="0053499B" w:rsidP="0053499B">
      <w:pPr>
        <w:widowControl w:val="0"/>
        <w:tabs>
          <w:tab w:val="left" w:pos="548"/>
          <w:tab w:val="left" w:pos="814"/>
        </w:tabs>
        <w:outlineLvl w:val="0"/>
        <w:rPr>
          <w:szCs w:val="24"/>
        </w:rPr>
      </w:pPr>
      <w:r>
        <w:rPr>
          <w:szCs w:val="24"/>
        </w:rPr>
        <w:t>This information collection represents no impact on small businesses or other small entities.  Respondents to this information collection are solely State, Territory, or Tribal government employees.</w:t>
      </w:r>
    </w:p>
    <w:p w:rsidR="0053499B" w:rsidRPr="004238F4" w:rsidRDefault="0053499B" w:rsidP="0053499B">
      <w:pPr>
        <w:widowControl w:val="0"/>
        <w:tabs>
          <w:tab w:val="left" w:pos="548"/>
          <w:tab w:val="left" w:pos="814"/>
        </w:tabs>
        <w:outlineLvl w:val="0"/>
        <w:rPr>
          <w:szCs w:val="24"/>
        </w:rPr>
      </w:pPr>
    </w:p>
    <w:p w:rsidR="00532F17" w:rsidRPr="004238F4" w:rsidRDefault="00573C9E" w:rsidP="00532F17">
      <w:pPr>
        <w:widowControl w:val="0"/>
        <w:tabs>
          <w:tab w:val="left" w:pos="548"/>
          <w:tab w:val="left" w:pos="814"/>
        </w:tabs>
        <w:ind w:left="548" w:hanging="548"/>
        <w:rPr>
          <w:b/>
          <w:szCs w:val="24"/>
        </w:rPr>
      </w:pPr>
      <w:r>
        <w:rPr>
          <w:b/>
          <w:szCs w:val="24"/>
        </w:rPr>
        <w:t>6.</w:t>
      </w:r>
      <w:r>
        <w:rPr>
          <w:b/>
          <w:szCs w:val="24"/>
        </w:rPr>
        <w:tab/>
        <w:t>Consequences of Collecting</w:t>
      </w:r>
      <w:r w:rsidR="00532F17" w:rsidRPr="004238F4">
        <w:rPr>
          <w:b/>
          <w:szCs w:val="24"/>
        </w:rPr>
        <w:t xml:space="preserve"> the Information Less Frequently</w:t>
      </w:r>
    </w:p>
    <w:p w:rsidR="00532F17" w:rsidRDefault="00532F17" w:rsidP="00C534AD">
      <w:pPr>
        <w:widowControl w:val="0"/>
        <w:tabs>
          <w:tab w:val="left" w:pos="548"/>
          <w:tab w:val="left" w:pos="814"/>
        </w:tabs>
        <w:outlineLvl w:val="0"/>
        <w:rPr>
          <w:szCs w:val="24"/>
        </w:rPr>
      </w:pPr>
    </w:p>
    <w:p w:rsidR="00C534AD" w:rsidRPr="004238F4" w:rsidRDefault="00C534AD" w:rsidP="00C534AD">
      <w:pPr>
        <w:widowControl w:val="0"/>
        <w:tabs>
          <w:tab w:val="left" w:pos="548"/>
          <w:tab w:val="left" w:pos="814"/>
        </w:tabs>
        <w:outlineLvl w:val="0"/>
        <w:rPr>
          <w:szCs w:val="24"/>
        </w:rPr>
      </w:pPr>
      <w:r>
        <w:rPr>
          <w:szCs w:val="24"/>
        </w:rPr>
        <w:t>This is a one-time data collection.  It would be impossible to collect this information any less frequently.</w:t>
      </w:r>
    </w:p>
    <w:p w:rsidR="00532F17" w:rsidRPr="004238F4" w:rsidRDefault="00532F17" w:rsidP="00532F17">
      <w:pPr>
        <w:widowControl w:val="0"/>
        <w:tabs>
          <w:tab w:val="left" w:pos="548"/>
          <w:tab w:val="left" w:pos="814"/>
        </w:tabs>
        <w:rPr>
          <w:szCs w:val="24"/>
        </w:rPr>
      </w:pPr>
    </w:p>
    <w:p w:rsidR="00532F17" w:rsidRPr="004238F4" w:rsidRDefault="00532F17" w:rsidP="00532F17">
      <w:pPr>
        <w:widowControl w:val="0"/>
        <w:tabs>
          <w:tab w:val="left" w:pos="548"/>
          <w:tab w:val="left" w:pos="814"/>
        </w:tabs>
        <w:ind w:left="548" w:hanging="548"/>
        <w:rPr>
          <w:b/>
          <w:szCs w:val="24"/>
        </w:rPr>
      </w:pPr>
      <w:r w:rsidRPr="004238F4">
        <w:rPr>
          <w:b/>
          <w:szCs w:val="24"/>
        </w:rPr>
        <w:t>7.</w:t>
      </w:r>
      <w:r w:rsidRPr="004238F4">
        <w:rPr>
          <w:b/>
          <w:szCs w:val="24"/>
        </w:rPr>
        <w:tab/>
        <w:t>Special Circumstances Relating to the Guidelines of 5 CFR 1320.5</w:t>
      </w:r>
    </w:p>
    <w:p w:rsidR="00532F17" w:rsidRDefault="00532F17" w:rsidP="00532F17">
      <w:pPr>
        <w:widowControl w:val="0"/>
        <w:tabs>
          <w:tab w:val="left" w:pos="548"/>
          <w:tab w:val="left" w:pos="814"/>
        </w:tabs>
        <w:rPr>
          <w:szCs w:val="24"/>
        </w:rPr>
      </w:pPr>
    </w:p>
    <w:p w:rsidR="004D1BBA" w:rsidRPr="004238F4" w:rsidRDefault="00567C2D" w:rsidP="00532F17">
      <w:pPr>
        <w:widowControl w:val="0"/>
        <w:tabs>
          <w:tab w:val="left" w:pos="548"/>
          <w:tab w:val="left" w:pos="814"/>
        </w:tabs>
        <w:rPr>
          <w:szCs w:val="24"/>
        </w:rPr>
      </w:pPr>
      <w:r>
        <w:rPr>
          <w:szCs w:val="24"/>
        </w:rPr>
        <w:t>No</w:t>
      </w:r>
      <w:r w:rsidR="004D1BBA">
        <w:rPr>
          <w:szCs w:val="24"/>
        </w:rPr>
        <w:t xml:space="preserve"> special circumstances apply to this data collection.</w:t>
      </w:r>
    </w:p>
    <w:p w:rsidR="00532F17" w:rsidRPr="004238F4" w:rsidRDefault="00532F17" w:rsidP="00532F17">
      <w:pPr>
        <w:widowControl w:val="0"/>
        <w:tabs>
          <w:tab w:val="left" w:pos="548"/>
          <w:tab w:val="left" w:pos="814"/>
        </w:tabs>
        <w:rPr>
          <w:szCs w:val="24"/>
        </w:rPr>
      </w:pPr>
    </w:p>
    <w:p w:rsidR="00532F17" w:rsidRPr="004238F4" w:rsidRDefault="00532F17" w:rsidP="00532F17">
      <w:pPr>
        <w:widowControl w:val="0"/>
        <w:tabs>
          <w:tab w:val="left" w:pos="548"/>
          <w:tab w:val="left" w:pos="814"/>
        </w:tabs>
        <w:ind w:left="548" w:hanging="548"/>
        <w:rPr>
          <w:b/>
          <w:szCs w:val="24"/>
        </w:rPr>
      </w:pPr>
      <w:r w:rsidRPr="004238F4">
        <w:rPr>
          <w:b/>
          <w:szCs w:val="24"/>
        </w:rPr>
        <w:t>8.</w:t>
      </w:r>
      <w:r w:rsidRPr="004238F4">
        <w:rPr>
          <w:b/>
          <w:szCs w:val="24"/>
        </w:rPr>
        <w:tab/>
        <w:t xml:space="preserve">Comments in Response to the </w:t>
      </w:r>
      <w:r w:rsidRPr="004238F4">
        <w:rPr>
          <w:b/>
          <w:i/>
          <w:szCs w:val="24"/>
        </w:rPr>
        <w:t>Federal Register</w:t>
      </w:r>
      <w:r w:rsidRPr="004238F4">
        <w:rPr>
          <w:b/>
          <w:szCs w:val="24"/>
        </w:rPr>
        <w:t xml:space="preserve"> Notice and Efforts to Consult Outside the Agency</w:t>
      </w:r>
    </w:p>
    <w:p w:rsidR="00532F17" w:rsidRDefault="00532F17" w:rsidP="00532F17">
      <w:pPr>
        <w:widowControl w:val="0"/>
        <w:tabs>
          <w:tab w:val="left" w:pos="548"/>
          <w:tab w:val="left" w:pos="814"/>
        </w:tabs>
        <w:rPr>
          <w:szCs w:val="24"/>
        </w:rPr>
      </w:pPr>
    </w:p>
    <w:p w:rsidR="004D1BBA" w:rsidRDefault="00952125" w:rsidP="00532F17">
      <w:pPr>
        <w:widowControl w:val="0"/>
        <w:tabs>
          <w:tab w:val="left" w:pos="548"/>
          <w:tab w:val="left" w:pos="814"/>
        </w:tabs>
        <w:rPr>
          <w:szCs w:val="24"/>
        </w:rPr>
      </w:pPr>
      <w:r>
        <w:rPr>
          <w:szCs w:val="24"/>
        </w:rPr>
        <w:t>As this is a request for emergency review, no prior federal register notice was published and thus, no comments have been collected.</w:t>
      </w:r>
    </w:p>
    <w:p w:rsidR="00952125" w:rsidRDefault="00952125" w:rsidP="00532F17">
      <w:pPr>
        <w:widowControl w:val="0"/>
        <w:tabs>
          <w:tab w:val="left" w:pos="548"/>
          <w:tab w:val="left" w:pos="814"/>
        </w:tabs>
        <w:rPr>
          <w:szCs w:val="24"/>
        </w:rPr>
      </w:pPr>
    </w:p>
    <w:p w:rsidR="00952125" w:rsidRPr="00980852" w:rsidRDefault="00952125" w:rsidP="00532F17">
      <w:pPr>
        <w:widowControl w:val="0"/>
        <w:tabs>
          <w:tab w:val="left" w:pos="548"/>
          <w:tab w:val="left" w:pos="814"/>
        </w:tabs>
        <w:rPr>
          <w:szCs w:val="24"/>
        </w:rPr>
      </w:pPr>
      <w:r w:rsidRPr="00980852">
        <w:rPr>
          <w:szCs w:val="24"/>
        </w:rPr>
        <w:t>This survey was designed based on the feedback and consultation of the following people:</w:t>
      </w:r>
    </w:p>
    <w:p w:rsidR="00952125" w:rsidRPr="00980852" w:rsidRDefault="00952125" w:rsidP="00952125">
      <w:pPr>
        <w:pStyle w:val="ListParagraph"/>
        <w:widowControl w:val="0"/>
        <w:numPr>
          <w:ilvl w:val="0"/>
          <w:numId w:val="17"/>
        </w:numPr>
        <w:tabs>
          <w:tab w:val="left" w:pos="548"/>
          <w:tab w:val="left" w:pos="814"/>
        </w:tabs>
        <w:rPr>
          <w:szCs w:val="24"/>
        </w:rPr>
      </w:pPr>
      <w:r w:rsidRPr="00980852">
        <w:rPr>
          <w:szCs w:val="24"/>
        </w:rPr>
        <w:t>David Carroll, Managing Director, Policy Research Institute for Study and Evaluation</w:t>
      </w:r>
    </w:p>
    <w:p w:rsidR="00952125" w:rsidRPr="00980852" w:rsidRDefault="00952125" w:rsidP="00952125">
      <w:pPr>
        <w:pStyle w:val="ListParagraph"/>
        <w:widowControl w:val="0"/>
        <w:numPr>
          <w:ilvl w:val="0"/>
          <w:numId w:val="17"/>
        </w:numPr>
        <w:tabs>
          <w:tab w:val="left" w:pos="548"/>
          <w:tab w:val="left" w:pos="814"/>
        </w:tabs>
        <w:rPr>
          <w:szCs w:val="24"/>
        </w:rPr>
      </w:pPr>
      <w:r w:rsidRPr="00980852">
        <w:rPr>
          <w:szCs w:val="24"/>
        </w:rPr>
        <w:t>Mark Wolfe, Executive Director, National Energy Assistance Directors Association</w:t>
      </w:r>
    </w:p>
    <w:p w:rsidR="00952125" w:rsidRDefault="00952125" w:rsidP="00952125">
      <w:pPr>
        <w:pStyle w:val="ListParagraph"/>
        <w:widowControl w:val="0"/>
        <w:numPr>
          <w:ilvl w:val="0"/>
          <w:numId w:val="17"/>
        </w:numPr>
        <w:tabs>
          <w:tab w:val="left" w:pos="548"/>
          <w:tab w:val="left" w:pos="814"/>
        </w:tabs>
        <w:rPr>
          <w:szCs w:val="24"/>
        </w:rPr>
      </w:pPr>
      <w:r w:rsidRPr="00980852">
        <w:rPr>
          <w:szCs w:val="24"/>
        </w:rPr>
        <w:t>Melissa Torgerson, Owner, Verve Associates LLC</w:t>
      </w:r>
    </w:p>
    <w:p w:rsidR="00980852" w:rsidRDefault="00980852" w:rsidP="00952125">
      <w:pPr>
        <w:pStyle w:val="ListParagraph"/>
        <w:widowControl w:val="0"/>
        <w:numPr>
          <w:ilvl w:val="0"/>
          <w:numId w:val="17"/>
        </w:numPr>
        <w:tabs>
          <w:tab w:val="left" w:pos="548"/>
          <w:tab w:val="left" w:pos="814"/>
        </w:tabs>
        <w:rPr>
          <w:szCs w:val="24"/>
        </w:rPr>
      </w:pPr>
      <w:r>
        <w:rPr>
          <w:szCs w:val="24"/>
        </w:rPr>
        <w:t xml:space="preserve">Jean Amison, LIHEAP Coordinator, Florida Department of </w:t>
      </w:r>
      <w:r w:rsidR="00567C2D">
        <w:rPr>
          <w:szCs w:val="24"/>
        </w:rPr>
        <w:t>Economic</w:t>
      </w:r>
      <w:r>
        <w:rPr>
          <w:szCs w:val="24"/>
        </w:rPr>
        <w:t xml:space="preserve"> Opportunity</w:t>
      </w:r>
    </w:p>
    <w:p w:rsidR="00980852" w:rsidRDefault="00980852" w:rsidP="00952125">
      <w:pPr>
        <w:pStyle w:val="ListParagraph"/>
        <w:widowControl w:val="0"/>
        <w:numPr>
          <w:ilvl w:val="0"/>
          <w:numId w:val="17"/>
        </w:numPr>
        <w:tabs>
          <w:tab w:val="left" w:pos="548"/>
          <w:tab w:val="left" w:pos="814"/>
        </w:tabs>
        <w:rPr>
          <w:szCs w:val="24"/>
        </w:rPr>
      </w:pPr>
      <w:r>
        <w:rPr>
          <w:szCs w:val="24"/>
        </w:rPr>
        <w:t>John Harvanko, LIHEAP Coordinator, Minnesota Department of Commerce</w:t>
      </w:r>
    </w:p>
    <w:p w:rsidR="00980852" w:rsidRDefault="00980852" w:rsidP="00952125">
      <w:pPr>
        <w:pStyle w:val="ListParagraph"/>
        <w:widowControl w:val="0"/>
        <w:numPr>
          <w:ilvl w:val="0"/>
          <w:numId w:val="17"/>
        </w:numPr>
        <w:tabs>
          <w:tab w:val="left" w:pos="548"/>
          <w:tab w:val="left" w:pos="814"/>
        </w:tabs>
        <w:rPr>
          <w:szCs w:val="24"/>
        </w:rPr>
      </w:pPr>
      <w:r>
        <w:rPr>
          <w:szCs w:val="24"/>
        </w:rPr>
        <w:t>Heather Jone</w:t>
      </w:r>
      <w:r w:rsidR="00567C2D">
        <w:rPr>
          <w:szCs w:val="24"/>
        </w:rPr>
        <w:t>s</w:t>
      </w:r>
      <w:r>
        <w:rPr>
          <w:szCs w:val="24"/>
        </w:rPr>
        <w:t xml:space="preserve">, LIHEAP Coordinator, Missouri </w:t>
      </w:r>
      <w:r w:rsidR="00567C2D">
        <w:rPr>
          <w:szCs w:val="24"/>
        </w:rPr>
        <w:t>Department</w:t>
      </w:r>
      <w:r>
        <w:rPr>
          <w:szCs w:val="24"/>
        </w:rPr>
        <w:t xml:space="preserve"> of Social Services</w:t>
      </w:r>
    </w:p>
    <w:p w:rsidR="00980852" w:rsidRDefault="00980852" w:rsidP="00952125">
      <w:pPr>
        <w:pStyle w:val="ListParagraph"/>
        <w:widowControl w:val="0"/>
        <w:numPr>
          <w:ilvl w:val="0"/>
          <w:numId w:val="17"/>
        </w:numPr>
        <w:tabs>
          <w:tab w:val="left" w:pos="548"/>
          <w:tab w:val="left" w:pos="814"/>
        </w:tabs>
        <w:rPr>
          <w:szCs w:val="24"/>
        </w:rPr>
      </w:pPr>
      <w:r>
        <w:rPr>
          <w:szCs w:val="24"/>
        </w:rPr>
        <w:t>Paula Jones, LIHEAP Coordinator, New York Office of Temporary and Disability Assistance</w:t>
      </w:r>
    </w:p>
    <w:p w:rsidR="00980852" w:rsidRDefault="00980852" w:rsidP="00952125">
      <w:pPr>
        <w:pStyle w:val="ListParagraph"/>
        <w:widowControl w:val="0"/>
        <w:numPr>
          <w:ilvl w:val="0"/>
          <w:numId w:val="17"/>
        </w:numPr>
        <w:tabs>
          <w:tab w:val="left" w:pos="548"/>
          <w:tab w:val="left" w:pos="814"/>
        </w:tabs>
        <w:rPr>
          <w:szCs w:val="24"/>
        </w:rPr>
      </w:pPr>
      <w:r>
        <w:rPr>
          <w:szCs w:val="24"/>
        </w:rPr>
        <w:t>Randall Hunt, LIHEAP Coordinator, Ohio Department of Development</w:t>
      </w:r>
    </w:p>
    <w:p w:rsidR="00980852" w:rsidRDefault="00567C2D" w:rsidP="00952125">
      <w:pPr>
        <w:pStyle w:val="ListParagraph"/>
        <w:widowControl w:val="0"/>
        <w:numPr>
          <w:ilvl w:val="0"/>
          <w:numId w:val="17"/>
        </w:numPr>
        <w:tabs>
          <w:tab w:val="left" w:pos="548"/>
          <w:tab w:val="left" w:pos="814"/>
        </w:tabs>
        <w:rPr>
          <w:szCs w:val="24"/>
        </w:rPr>
      </w:pPr>
      <w:r>
        <w:rPr>
          <w:szCs w:val="24"/>
        </w:rPr>
        <w:t>Cathy Buh</w:t>
      </w:r>
      <w:r w:rsidR="00980852">
        <w:rPr>
          <w:szCs w:val="24"/>
        </w:rPr>
        <w:t>rig, LIHEAP Coordinator, Pennsylvania Department of Public Welfare</w:t>
      </w:r>
    </w:p>
    <w:p w:rsidR="00980852" w:rsidRDefault="00980852" w:rsidP="00952125">
      <w:pPr>
        <w:pStyle w:val="ListParagraph"/>
        <w:widowControl w:val="0"/>
        <w:numPr>
          <w:ilvl w:val="0"/>
          <w:numId w:val="17"/>
        </w:numPr>
        <w:tabs>
          <w:tab w:val="left" w:pos="548"/>
          <w:tab w:val="left" w:pos="814"/>
        </w:tabs>
        <w:rPr>
          <w:szCs w:val="24"/>
        </w:rPr>
      </w:pPr>
      <w:r>
        <w:rPr>
          <w:szCs w:val="24"/>
        </w:rPr>
        <w:lastRenderedPageBreak/>
        <w:t>Michael DeYoung, LIHEAP Coordinator, Texas Department of Housing and Community Affairs</w:t>
      </w:r>
    </w:p>
    <w:p w:rsidR="00980852" w:rsidRDefault="00980852" w:rsidP="00952125">
      <w:pPr>
        <w:pStyle w:val="ListParagraph"/>
        <w:widowControl w:val="0"/>
        <w:numPr>
          <w:ilvl w:val="0"/>
          <w:numId w:val="17"/>
        </w:numPr>
        <w:tabs>
          <w:tab w:val="left" w:pos="548"/>
          <w:tab w:val="left" w:pos="814"/>
        </w:tabs>
        <w:rPr>
          <w:szCs w:val="24"/>
        </w:rPr>
      </w:pPr>
      <w:r>
        <w:rPr>
          <w:szCs w:val="24"/>
        </w:rPr>
        <w:t>Patrick Strickland, LIHEAP Coordinator, Tribal Council of the Lumbee Nation</w:t>
      </w:r>
    </w:p>
    <w:p w:rsidR="00952125" w:rsidRPr="00980852" w:rsidRDefault="00980852" w:rsidP="00980852">
      <w:pPr>
        <w:pStyle w:val="ListParagraph"/>
        <w:widowControl w:val="0"/>
        <w:numPr>
          <w:ilvl w:val="0"/>
          <w:numId w:val="17"/>
        </w:numPr>
        <w:tabs>
          <w:tab w:val="left" w:pos="548"/>
          <w:tab w:val="left" w:pos="814"/>
        </w:tabs>
        <w:rPr>
          <w:szCs w:val="24"/>
        </w:rPr>
      </w:pPr>
      <w:r>
        <w:rPr>
          <w:szCs w:val="24"/>
        </w:rPr>
        <w:t>Karl Muhammed, LIHEAP Coordinator, Washing, DC District Department of the Environment</w:t>
      </w:r>
    </w:p>
    <w:p w:rsidR="00532F17" w:rsidRPr="004238F4" w:rsidRDefault="00532F17" w:rsidP="00532F17">
      <w:pPr>
        <w:pStyle w:val="Level1"/>
        <w:tabs>
          <w:tab w:val="left" w:pos="544"/>
        </w:tabs>
        <w:ind w:left="544"/>
        <w:rPr>
          <w:szCs w:val="24"/>
        </w:rPr>
      </w:pPr>
    </w:p>
    <w:p w:rsidR="00532F17" w:rsidRPr="004238F4" w:rsidRDefault="00532F17" w:rsidP="00532F17">
      <w:pPr>
        <w:widowControl w:val="0"/>
        <w:tabs>
          <w:tab w:val="left" w:pos="544"/>
          <w:tab w:val="left" w:pos="814"/>
        </w:tabs>
        <w:ind w:left="544" w:hanging="544"/>
        <w:rPr>
          <w:b/>
          <w:szCs w:val="24"/>
        </w:rPr>
      </w:pPr>
      <w:r w:rsidRPr="004238F4">
        <w:rPr>
          <w:b/>
          <w:szCs w:val="24"/>
        </w:rPr>
        <w:t xml:space="preserve"> 9.</w:t>
      </w:r>
      <w:r w:rsidRPr="004238F4">
        <w:rPr>
          <w:b/>
          <w:szCs w:val="24"/>
        </w:rPr>
        <w:tab/>
        <w:t xml:space="preserve">Explanation of Any Payment or Gift to Respondents. </w:t>
      </w:r>
    </w:p>
    <w:p w:rsidR="00532F17" w:rsidRPr="004238F4" w:rsidRDefault="00532F17" w:rsidP="00532F17">
      <w:pPr>
        <w:widowControl w:val="0"/>
        <w:tabs>
          <w:tab w:val="left" w:pos="544"/>
          <w:tab w:val="left" w:pos="814"/>
        </w:tabs>
        <w:rPr>
          <w:szCs w:val="24"/>
        </w:rPr>
      </w:pPr>
    </w:p>
    <w:p w:rsidR="00532F17" w:rsidRDefault="00952125" w:rsidP="00532F17">
      <w:pPr>
        <w:widowControl w:val="0"/>
        <w:tabs>
          <w:tab w:val="left" w:pos="544"/>
          <w:tab w:val="left" w:pos="814"/>
        </w:tabs>
        <w:rPr>
          <w:szCs w:val="24"/>
        </w:rPr>
      </w:pPr>
      <w:r>
        <w:rPr>
          <w:szCs w:val="24"/>
        </w:rPr>
        <w:t>No payments or gifts of any kind will be provided to respondents.</w:t>
      </w:r>
    </w:p>
    <w:p w:rsidR="00952125" w:rsidRPr="004238F4" w:rsidRDefault="00952125" w:rsidP="00532F17">
      <w:pPr>
        <w:widowControl w:val="0"/>
        <w:tabs>
          <w:tab w:val="left" w:pos="544"/>
          <w:tab w:val="left" w:pos="814"/>
        </w:tabs>
        <w:rPr>
          <w:szCs w:val="24"/>
        </w:rPr>
      </w:pPr>
    </w:p>
    <w:p w:rsidR="00532F17" w:rsidRPr="004238F4" w:rsidRDefault="00532F17" w:rsidP="00532F17">
      <w:pPr>
        <w:widowControl w:val="0"/>
        <w:tabs>
          <w:tab w:val="left" w:pos="544"/>
          <w:tab w:val="left" w:pos="814"/>
        </w:tabs>
        <w:ind w:left="544" w:hanging="544"/>
        <w:rPr>
          <w:b/>
          <w:szCs w:val="24"/>
        </w:rPr>
      </w:pPr>
      <w:r w:rsidRPr="004238F4">
        <w:rPr>
          <w:b/>
          <w:szCs w:val="24"/>
        </w:rPr>
        <w:t>10.</w:t>
      </w:r>
      <w:r w:rsidRPr="004238F4">
        <w:rPr>
          <w:b/>
          <w:szCs w:val="24"/>
        </w:rPr>
        <w:tab/>
        <w:t>Assurance of Confidentiality Provided to Respondents</w:t>
      </w:r>
    </w:p>
    <w:p w:rsidR="00532F17" w:rsidRDefault="00532F17" w:rsidP="00532F17">
      <w:pPr>
        <w:widowControl w:val="0"/>
        <w:tabs>
          <w:tab w:val="left" w:pos="544"/>
          <w:tab w:val="left" w:pos="814"/>
        </w:tabs>
        <w:rPr>
          <w:szCs w:val="24"/>
        </w:rPr>
      </w:pPr>
    </w:p>
    <w:p w:rsidR="00952125" w:rsidRDefault="00952125" w:rsidP="00952125">
      <w:pPr>
        <w:tabs>
          <w:tab w:val="left" w:pos="-720"/>
          <w:tab w:val="left" w:pos="0"/>
        </w:tabs>
        <w:suppressAutoHyphens/>
      </w:pPr>
      <w:r>
        <w:t>We will protect your information to the extent allowed by Federal law.</w:t>
      </w:r>
    </w:p>
    <w:p w:rsidR="00532F17" w:rsidRPr="004238F4" w:rsidRDefault="00532F17" w:rsidP="00532F17">
      <w:pPr>
        <w:widowControl w:val="0"/>
        <w:tabs>
          <w:tab w:val="left" w:pos="544"/>
          <w:tab w:val="left" w:pos="814"/>
        </w:tabs>
        <w:rPr>
          <w:szCs w:val="24"/>
        </w:rPr>
      </w:pPr>
    </w:p>
    <w:p w:rsidR="00532F17" w:rsidRPr="004238F4" w:rsidRDefault="00532F17" w:rsidP="00532F17">
      <w:pPr>
        <w:widowControl w:val="0"/>
        <w:tabs>
          <w:tab w:val="left" w:pos="544"/>
          <w:tab w:val="left" w:pos="814"/>
        </w:tabs>
        <w:ind w:left="544" w:hanging="544"/>
        <w:rPr>
          <w:b/>
          <w:szCs w:val="24"/>
        </w:rPr>
      </w:pPr>
      <w:r w:rsidRPr="004238F4">
        <w:rPr>
          <w:b/>
          <w:szCs w:val="24"/>
        </w:rPr>
        <w:t>11.</w:t>
      </w:r>
      <w:r w:rsidRPr="004238F4">
        <w:rPr>
          <w:b/>
          <w:szCs w:val="24"/>
        </w:rPr>
        <w:tab/>
        <w:t>Justification for Sensitive Questions</w:t>
      </w:r>
    </w:p>
    <w:p w:rsidR="00532F17" w:rsidRPr="004238F4" w:rsidRDefault="00532F17" w:rsidP="00532F17">
      <w:pPr>
        <w:widowControl w:val="0"/>
        <w:tabs>
          <w:tab w:val="left" w:pos="544"/>
          <w:tab w:val="left" w:pos="814"/>
        </w:tabs>
        <w:ind w:left="544"/>
        <w:rPr>
          <w:szCs w:val="24"/>
        </w:rPr>
      </w:pPr>
    </w:p>
    <w:p w:rsidR="00532F17" w:rsidRDefault="00952125" w:rsidP="00532F17">
      <w:pPr>
        <w:widowControl w:val="0"/>
        <w:tabs>
          <w:tab w:val="left" w:pos="544"/>
          <w:tab w:val="left" w:pos="814"/>
        </w:tabs>
        <w:rPr>
          <w:szCs w:val="24"/>
        </w:rPr>
      </w:pPr>
      <w:r>
        <w:rPr>
          <w:szCs w:val="24"/>
        </w:rPr>
        <w:t>No sensitive questions are asked in this data collection.</w:t>
      </w:r>
    </w:p>
    <w:p w:rsidR="00952125" w:rsidRPr="004238F4" w:rsidRDefault="00952125" w:rsidP="00532F17">
      <w:pPr>
        <w:widowControl w:val="0"/>
        <w:tabs>
          <w:tab w:val="left" w:pos="544"/>
          <w:tab w:val="left" w:pos="814"/>
        </w:tabs>
        <w:rPr>
          <w:szCs w:val="24"/>
        </w:rPr>
      </w:pPr>
    </w:p>
    <w:p w:rsidR="00532F17" w:rsidRPr="004238F4" w:rsidRDefault="00532F17" w:rsidP="00532F17">
      <w:pPr>
        <w:widowControl w:val="0"/>
        <w:tabs>
          <w:tab w:val="left" w:pos="544"/>
          <w:tab w:val="left" w:pos="814"/>
        </w:tabs>
        <w:ind w:left="544" w:hanging="544"/>
        <w:rPr>
          <w:b/>
          <w:szCs w:val="24"/>
        </w:rPr>
      </w:pPr>
      <w:r w:rsidRPr="004238F4">
        <w:rPr>
          <w:b/>
          <w:szCs w:val="24"/>
        </w:rPr>
        <w:t>12.</w:t>
      </w:r>
      <w:r w:rsidRPr="004238F4">
        <w:rPr>
          <w:b/>
          <w:szCs w:val="24"/>
        </w:rPr>
        <w:tab/>
      </w:r>
      <w:r w:rsidRPr="001E4D97">
        <w:rPr>
          <w:b/>
        </w:rPr>
        <w:t xml:space="preserve">Estimates of Annualized </w:t>
      </w:r>
      <w:r>
        <w:rPr>
          <w:b/>
        </w:rPr>
        <w:t>Hours and Cost</w:t>
      </w:r>
      <w:r w:rsidRPr="001770E8">
        <w:rPr>
          <w:b/>
        </w:rPr>
        <w:t xml:space="preserve"> </w:t>
      </w:r>
      <w:r w:rsidRPr="001E4D97">
        <w:rPr>
          <w:b/>
        </w:rPr>
        <w:t>Burden</w:t>
      </w:r>
    </w:p>
    <w:p w:rsidR="00532F17" w:rsidRPr="004238F4" w:rsidRDefault="00532F17" w:rsidP="00532F17">
      <w:pPr>
        <w:widowControl w:val="0"/>
        <w:tabs>
          <w:tab w:val="left" w:pos="544"/>
          <w:tab w:val="left" w:pos="814"/>
        </w:tabs>
        <w:ind w:left="544"/>
        <w:rPr>
          <w:rFonts w:cs="Arial"/>
          <w:szCs w:val="24"/>
        </w:rPr>
      </w:pPr>
    </w:p>
    <w:p w:rsidR="00532F17" w:rsidRDefault="00666006" w:rsidP="00532F17">
      <w:pPr>
        <w:pStyle w:val="Level1"/>
        <w:tabs>
          <w:tab w:val="left" w:pos="544"/>
        </w:tabs>
        <w:rPr>
          <w:rFonts w:cs="Arial"/>
          <w:szCs w:val="24"/>
        </w:rPr>
      </w:pPr>
      <w:r>
        <w:rPr>
          <w:rFonts w:cs="Arial"/>
          <w:szCs w:val="24"/>
        </w:rPr>
        <w:t>Burden estimates were determined based on consultation with 9 potential respondents to this needs assessment.  Each section of the assessment was tested to gauge burden estimates, as well as the respondent’s ability to readily understand the questions and provide a proper response.</w:t>
      </w:r>
    </w:p>
    <w:p w:rsidR="00666006" w:rsidRPr="004238F4" w:rsidRDefault="00666006" w:rsidP="00532F17">
      <w:pPr>
        <w:pStyle w:val="Level1"/>
        <w:tabs>
          <w:tab w:val="left" w:pos="544"/>
        </w:tabs>
        <w:rPr>
          <w:rFonts w:cs="Arial"/>
          <w:szCs w:val="24"/>
        </w:rPr>
      </w:pPr>
    </w:p>
    <w:p w:rsidR="00532F17" w:rsidRPr="004238F4" w:rsidRDefault="00532F17" w:rsidP="00532F17">
      <w:pPr>
        <w:pStyle w:val="Level1"/>
        <w:tabs>
          <w:tab w:val="left" w:pos="544"/>
        </w:tabs>
        <w:ind w:left="544"/>
        <w:jc w:val="center"/>
        <w:outlineLvl w:val="0"/>
        <w:rPr>
          <w:rFonts w:cs="Arial"/>
          <w:szCs w:val="24"/>
        </w:rPr>
      </w:pPr>
      <w:r w:rsidRPr="004238F4">
        <w:rPr>
          <w:szCs w:val="24"/>
        </w:rPr>
        <w:t xml:space="preserve"> </w:t>
      </w:r>
      <w:r w:rsidRPr="004238F4">
        <w:rPr>
          <w:rFonts w:cs="Arial"/>
          <w:szCs w:val="24"/>
        </w:rPr>
        <w:t xml:space="preserve">Annual Burden Estimates for </w:t>
      </w:r>
      <w:r w:rsidRPr="004238F4">
        <w:rPr>
          <w:rFonts w:cs="Arial"/>
          <w:i/>
          <w:szCs w:val="24"/>
        </w:rPr>
        <w:t>LIHEAP Household Report</w:t>
      </w:r>
    </w:p>
    <w:p w:rsidR="00532F17" w:rsidRPr="004238F4" w:rsidRDefault="00532F17" w:rsidP="00532F17">
      <w:pPr>
        <w:widowControl w:val="0"/>
        <w:tabs>
          <w:tab w:val="center" w:pos="4493"/>
        </w:tabs>
        <w:jc w:val="center"/>
        <w:rPr>
          <w:szCs w:val="24"/>
        </w:rPr>
      </w:pPr>
    </w:p>
    <w:tbl>
      <w:tblPr>
        <w:tblW w:w="8384" w:type="dxa"/>
        <w:tblInd w:w="916" w:type="dxa"/>
        <w:tblLayout w:type="fixed"/>
        <w:tblCellMar>
          <w:left w:w="120" w:type="dxa"/>
          <w:right w:w="120" w:type="dxa"/>
        </w:tblCellMar>
        <w:tblLook w:val="0000" w:firstRow="0" w:lastRow="0" w:firstColumn="0" w:lastColumn="0" w:noHBand="0" w:noVBand="0"/>
      </w:tblPr>
      <w:tblGrid>
        <w:gridCol w:w="2804"/>
        <w:gridCol w:w="1530"/>
        <w:gridCol w:w="1440"/>
        <w:gridCol w:w="1350"/>
        <w:gridCol w:w="1260"/>
      </w:tblGrid>
      <w:tr w:rsidR="00532F17" w:rsidRPr="004238F4" w:rsidTr="000810FA">
        <w:trPr>
          <w:cantSplit/>
          <w:trHeight w:hRule="exact" w:val="1671"/>
          <w:tblHeader/>
        </w:trPr>
        <w:tc>
          <w:tcPr>
            <w:tcW w:w="2804" w:type="dxa"/>
            <w:tcBorders>
              <w:top w:val="double" w:sz="7" w:space="0" w:color="000000"/>
              <w:left w:val="double" w:sz="7" w:space="0" w:color="000000"/>
              <w:bottom w:val="single" w:sz="7" w:space="0" w:color="000000"/>
              <w:right w:val="single" w:sz="7" w:space="0" w:color="000000"/>
            </w:tcBorders>
          </w:tcPr>
          <w:p w:rsidR="00532F17" w:rsidRPr="004238F4" w:rsidRDefault="00532F17" w:rsidP="007A7FB0">
            <w:pPr>
              <w:widowControl w:val="0"/>
              <w:tabs>
                <w:tab w:val="left" w:pos="544"/>
                <w:tab w:val="left" w:pos="814"/>
              </w:tabs>
              <w:spacing w:before="120" w:after="8"/>
              <w:jc w:val="center"/>
              <w:rPr>
                <w:szCs w:val="24"/>
              </w:rPr>
            </w:pPr>
            <w:r w:rsidRPr="004238F4">
              <w:rPr>
                <w:szCs w:val="24"/>
              </w:rPr>
              <w:t>Instrument</w:t>
            </w:r>
          </w:p>
        </w:tc>
        <w:tc>
          <w:tcPr>
            <w:tcW w:w="1530" w:type="dxa"/>
            <w:tcBorders>
              <w:top w:val="double" w:sz="7" w:space="0" w:color="000000"/>
              <w:left w:val="single" w:sz="7" w:space="0" w:color="000000"/>
              <w:bottom w:val="single" w:sz="7" w:space="0" w:color="000000"/>
              <w:right w:val="single" w:sz="7" w:space="0" w:color="000000"/>
            </w:tcBorders>
          </w:tcPr>
          <w:p w:rsidR="00532F17" w:rsidRPr="004238F4" w:rsidRDefault="00532F17" w:rsidP="007A7FB0">
            <w:pPr>
              <w:widowControl w:val="0"/>
              <w:tabs>
                <w:tab w:val="left" w:pos="544"/>
                <w:tab w:val="left" w:pos="814"/>
              </w:tabs>
              <w:spacing w:before="120"/>
              <w:jc w:val="center"/>
              <w:rPr>
                <w:szCs w:val="24"/>
              </w:rPr>
            </w:pPr>
            <w:r w:rsidRPr="004238F4">
              <w:rPr>
                <w:szCs w:val="24"/>
              </w:rPr>
              <w:t>Number</w:t>
            </w:r>
          </w:p>
          <w:p w:rsidR="00532F17" w:rsidRPr="004238F4" w:rsidRDefault="00532F17" w:rsidP="007A7FB0">
            <w:pPr>
              <w:widowControl w:val="0"/>
              <w:tabs>
                <w:tab w:val="left" w:pos="544"/>
                <w:tab w:val="left" w:pos="814"/>
              </w:tabs>
              <w:jc w:val="center"/>
              <w:rPr>
                <w:szCs w:val="24"/>
              </w:rPr>
            </w:pPr>
            <w:r w:rsidRPr="004238F4">
              <w:rPr>
                <w:szCs w:val="24"/>
              </w:rPr>
              <w:t>of</w:t>
            </w:r>
          </w:p>
          <w:p w:rsidR="00532F17" w:rsidRPr="004238F4" w:rsidRDefault="00532F17" w:rsidP="007A7FB0">
            <w:pPr>
              <w:widowControl w:val="0"/>
              <w:tabs>
                <w:tab w:val="left" w:pos="544"/>
                <w:tab w:val="left" w:pos="814"/>
              </w:tabs>
              <w:spacing w:after="8"/>
              <w:jc w:val="center"/>
              <w:rPr>
                <w:szCs w:val="24"/>
              </w:rPr>
            </w:pPr>
            <w:r w:rsidRPr="004238F4">
              <w:rPr>
                <w:szCs w:val="24"/>
              </w:rPr>
              <w:t>Respondents</w:t>
            </w:r>
          </w:p>
        </w:tc>
        <w:tc>
          <w:tcPr>
            <w:tcW w:w="1440" w:type="dxa"/>
            <w:tcBorders>
              <w:top w:val="double" w:sz="7" w:space="0" w:color="000000"/>
              <w:left w:val="single" w:sz="7" w:space="0" w:color="000000"/>
              <w:bottom w:val="single" w:sz="7" w:space="0" w:color="000000"/>
              <w:right w:val="single" w:sz="7" w:space="0" w:color="000000"/>
            </w:tcBorders>
          </w:tcPr>
          <w:p w:rsidR="00532F17" w:rsidRPr="004238F4" w:rsidRDefault="00532F17" w:rsidP="007A7FB0">
            <w:pPr>
              <w:widowControl w:val="0"/>
              <w:tabs>
                <w:tab w:val="left" w:pos="544"/>
                <w:tab w:val="left" w:pos="814"/>
              </w:tabs>
              <w:spacing w:before="120" w:after="8"/>
              <w:jc w:val="center"/>
              <w:rPr>
                <w:szCs w:val="24"/>
              </w:rPr>
            </w:pPr>
            <w:r w:rsidRPr="004238F4">
              <w:rPr>
                <w:szCs w:val="24"/>
              </w:rPr>
              <w:t>Number of Responses Per Respondent</w:t>
            </w:r>
          </w:p>
        </w:tc>
        <w:tc>
          <w:tcPr>
            <w:tcW w:w="1350" w:type="dxa"/>
            <w:tcBorders>
              <w:top w:val="double" w:sz="7" w:space="0" w:color="000000"/>
              <w:left w:val="single" w:sz="7" w:space="0" w:color="000000"/>
              <w:bottom w:val="single" w:sz="7" w:space="0" w:color="000000"/>
              <w:right w:val="single" w:sz="7" w:space="0" w:color="000000"/>
            </w:tcBorders>
          </w:tcPr>
          <w:p w:rsidR="00532F17" w:rsidRPr="004238F4" w:rsidRDefault="00532F17" w:rsidP="007A7FB0">
            <w:pPr>
              <w:widowControl w:val="0"/>
              <w:tabs>
                <w:tab w:val="left" w:pos="544"/>
                <w:tab w:val="left" w:pos="814"/>
              </w:tabs>
              <w:spacing w:before="120" w:after="8"/>
              <w:jc w:val="center"/>
              <w:rPr>
                <w:szCs w:val="24"/>
              </w:rPr>
            </w:pPr>
            <w:r w:rsidRPr="004238F4">
              <w:rPr>
                <w:szCs w:val="24"/>
              </w:rPr>
              <w:t>Average</w:t>
            </w:r>
            <w:r w:rsidR="002A45A2">
              <w:rPr>
                <w:szCs w:val="24"/>
              </w:rPr>
              <w:t xml:space="preserve"> Hour Burden </w:t>
            </w:r>
            <w:r w:rsidRPr="004238F4">
              <w:rPr>
                <w:szCs w:val="24"/>
              </w:rPr>
              <w:t xml:space="preserve">  Per Response</w:t>
            </w:r>
          </w:p>
        </w:tc>
        <w:tc>
          <w:tcPr>
            <w:tcW w:w="1260" w:type="dxa"/>
            <w:tcBorders>
              <w:top w:val="double" w:sz="7" w:space="0" w:color="000000"/>
              <w:left w:val="single" w:sz="7" w:space="0" w:color="000000"/>
              <w:bottom w:val="single" w:sz="7" w:space="0" w:color="000000"/>
              <w:right w:val="double" w:sz="7" w:space="0" w:color="000000"/>
            </w:tcBorders>
          </w:tcPr>
          <w:p w:rsidR="00532F17" w:rsidRPr="004238F4" w:rsidRDefault="00532F17" w:rsidP="007A7FB0">
            <w:pPr>
              <w:widowControl w:val="0"/>
              <w:tabs>
                <w:tab w:val="left" w:pos="544"/>
                <w:tab w:val="left" w:pos="814"/>
              </w:tabs>
              <w:spacing w:before="120" w:after="8"/>
              <w:jc w:val="center"/>
              <w:rPr>
                <w:szCs w:val="24"/>
              </w:rPr>
            </w:pPr>
            <w:r w:rsidRPr="004238F4">
              <w:rPr>
                <w:szCs w:val="24"/>
              </w:rPr>
              <w:t>Total Burden Hours</w:t>
            </w:r>
          </w:p>
        </w:tc>
      </w:tr>
      <w:tr w:rsidR="00532F17" w:rsidRPr="004238F4" w:rsidTr="00D17337">
        <w:trPr>
          <w:cantSplit/>
          <w:trHeight w:val="1081"/>
        </w:trPr>
        <w:tc>
          <w:tcPr>
            <w:tcW w:w="2804" w:type="dxa"/>
            <w:tcBorders>
              <w:top w:val="single" w:sz="7" w:space="0" w:color="000000"/>
              <w:left w:val="double" w:sz="7" w:space="0" w:color="000000"/>
              <w:bottom w:val="single" w:sz="7" w:space="0" w:color="000000"/>
              <w:right w:val="single" w:sz="7" w:space="0" w:color="000000"/>
            </w:tcBorders>
          </w:tcPr>
          <w:p w:rsidR="00532F17" w:rsidRPr="004238F4" w:rsidRDefault="001B00C4" w:rsidP="007A7FB0">
            <w:pPr>
              <w:widowControl w:val="0"/>
              <w:tabs>
                <w:tab w:val="left" w:pos="544"/>
                <w:tab w:val="left" w:pos="814"/>
              </w:tabs>
              <w:spacing w:before="120" w:after="8"/>
              <w:rPr>
                <w:szCs w:val="24"/>
              </w:rPr>
            </w:pPr>
            <w:r>
              <w:rPr>
                <w:szCs w:val="24"/>
              </w:rPr>
              <w:t>Grantee Needs Assessment</w:t>
            </w:r>
          </w:p>
        </w:tc>
        <w:tc>
          <w:tcPr>
            <w:tcW w:w="1530" w:type="dxa"/>
            <w:tcBorders>
              <w:top w:val="single" w:sz="7" w:space="0" w:color="000000"/>
              <w:left w:val="single" w:sz="7" w:space="0" w:color="000000"/>
              <w:bottom w:val="single" w:sz="7" w:space="0" w:color="000000"/>
              <w:right w:val="single" w:sz="7" w:space="0" w:color="000000"/>
            </w:tcBorders>
          </w:tcPr>
          <w:p w:rsidR="00532F17" w:rsidRPr="004238F4" w:rsidRDefault="00D17337" w:rsidP="007A7FB0">
            <w:pPr>
              <w:widowControl w:val="0"/>
              <w:tabs>
                <w:tab w:val="left" w:pos="544"/>
                <w:tab w:val="left" w:pos="814"/>
              </w:tabs>
              <w:spacing w:before="120" w:after="8"/>
              <w:jc w:val="center"/>
              <w:rPr>
                <w:szCs w:val="24"/>
              </w:rPr>
            </w:pPr>
            <w:r>
              <w:rPr>
                <w:szCs w:val="24"/>
              </w:rPr>
              <w:t>5</w:t>
            </w:r>
            <w:r w:rsidR="0020797C">
              <w:rPr>
                <w:szCs w:val="24"/>
              </w:rPr>
              <w:t>2</w:t>
            </w:r>
          </w:p>
        </w:tc>
        <w:tc>
          <w:tcPr>
            <w:tcW w:w="1440" w:type="dxa"/>
            <w:tcBorders>
              <w:top w:val="single" w:sz="7" w:space="0" w:color="000000"/>
              <w:left w:val="single" w:sz="7" w:space="0" w:color="000000"/>
              <w:bottom w:val="single" w:sz="7" w:space="0" w:color="000000"/>
              <w:right w:val="single" w:sz="7" w:space="0" w:color="000000"/>
            </w:tcBorders>
          </w:tcPr>
          <w:p w:rsidR="00532F17" w:rsidRPr="004238F4" w:rsidRDefault="001B00C4" w:rsidP="007A7FB0">
            <w:pPr>
              <w:widowControl w:val="0"/>
              <w:tabs>
                <w:tab w:val="left" w:pos="544"/>
                <w:tab w:val="left" w:pos="814"/>
              </w:tabs>
              <w:spacing w:before="120" w:after="8"/>
              <w:jc w:val="center"/>
              <w:rPr>
                <w:szCs w:val="24"/>
              </w:rPr>
            </w:pPr>
            <w:r>
              <w:rPr>
                <w:szCs w:val="24"/>
              </w:rPr>
              <w:t>1</w:t>
            </w:r>
          </w:p>
        </w:tc>
        <w:tc>
          <w:tcPr>
            <w:tcW w:w="1350" w:type="dxa"/>
            <w:tcBorders>
              <w:top w:val="single" w:sz="7" w:space="0" w:color="000000"/>
              <w:left w:val="single" w:sz="7" w:space="0" w:color="000000"/>
              <w:bottom w:val="single" w:sz="7" w:space="0" w:color="000000"/>
              <w:right w:val="single" w:sz="7" w:space="0" w:color="000000"/>
            </w:tcBorders>
          </w:tcPr>
          <w:p w:rsidR="00532F17" w:rsidRPr="004238F4" w:rsidRDefault="001B00C4" w:rsidP="007A7FB0">
            <w:pPr>
              <w:widowControl w:val="0"/>
              <w:tabs>
                <w:tab w:val="left" w:pos="544"/>
                <w:tab w:val="left" w:pos="814"/>
              </w:tabs>
              <w:spacing w:before="120" w:after="8"/>
              <w:jc w:val="center"/>
              <w:rPr>
                <w:szCs w:val="24"/>
              </w:rPr>
            </w:pPr>
            <w:r>
              <w:rPr>
                <w:szCs w:val="24"/>
              </w:rPr>
              <w:t>1 hour 40 minutes</w:t>
            </w:r>
          </w:p>
        </w:tc>
        <w:tc>
          <w:tcPr>
            <w:tcW w:w="1260" w:type="dxa"/>
            <w:tcBorders>
              <w:top w:val="single" w:sz="7" w:space="0" w:color="000000"/>
              <w:left w:val="single" w:sz="7" w:space="0" w:color="000000"/>
              <w:bottom w:val="single" w:sz="7" w:space="0" w:color="000000"/>
              <w:right w:val="double" w:sz="7" w:space="0" w:color="000000"/>
            </w:tcBorders>
          </w:tcPr>
          <w:p w:rsidR="00532F17" w:rsidRPr="004238F4" w:rsidRDefault="008E058F" w:rsidP="008E058F">
            <w:pPr>
              <w:widowControl w:val="0"/>
              <w:tabs>
                <w:tab w:val="left" w:pos="544"/>
                <w:tab w:val="left" w:pos="814"/>
              </w:tabs>
              <w:spacing w:before="120" w:after="8"/>
              <w:jc w:val="center"/>
              <w:rPr>
                <w:szCs w:val="24"/>
              </w:rPr>
            </w:pPr>
            <w:r>
              <w:rPr>
                <w:szCs w:val="24"/>
              </w:rPr>
              <w:t>8</w:t>
            </w:r>
            <w:r w:rsidR="0020797C">
              <w:rPr>
                <w:szCs w:val="24"/>
              </w:rPr>
              <w:t>6</w:t>
            </w:r>
            <w:r w:rsidR="001B00C4">
              <w:rPr>
                <w:szCs w:val="24"/>
              </w:rPr>
              <w:t xml:space="preserve"> hours</w:t>
            </w:r>
            <w:r w:rsidR="0020797C">
              <w:rPr>
                <w:szCs w:val="24"/>
              </w:rPr>
              <w:t xml:space="preserve"> 40 minutes</w:t>
            </w:r>
            <w:r w:rsidR="00D17337">
              <w:rPr>
                <w:szCs w:val="24"/>
              </w:rPr>
              <w:t xml:space="preserve"> </w:t>
            </w:r>
          </w:p>
        </w:tc>
      </w:tr>
    </w:tbl>
    <w:p w:rsidR="00666006" w:rsidRDefault="00532F17" w:rsidP="00666006">
      <w:pPr>
        <w:widowControl w:val="0"/>
        <w:tabs>
          <w:tab w:val="left" w:pos="544"/>
          <w:tab w:val="left" w:pos="814"/>
        </w:tabs>
        <w:spacing w:before="120"/>
        <w:rPr>
          <w:szCs w:val="24"/>
        </w:rPr>
      </w:pPr>
      <w:r w:rsidRPr="004238F4">
        <w:rPr>
          <w:szCs w:val="24"/>
        </w:rPr>
        <w:tab/>
      </w:r>
      <w:r w:rsidRPr="004238F4">
        <w:rPr>
          <w:szCs w:val="24"/>
        </w:rPr>
        <w:tab/>
        <w:t xml:space="preserve">  Total Annual Burden Hours</w:t>
      </w:r>
      <w:r w:rsidR="00D17337">
        <w:rPr>
          <w:szCs w:val="24"/>
        </w:rPr>
        <w:t>:</w:t>
      </w:r>
      <w:r w:rsidR="00D17337">
        <w:rPr>
          <w:szCs w:val="24"/>
        </w:rPr>
        <w:tab/>
      </w:r>
      <w:r w:rsidR="00D17337">
        <w:rPr>
          <w:szCs w:val="24"/>
        </w:rPr>
        <w:tab/>
      </w:r>
      <w:r w:rsidR="00D17337">
        <w:rPr>
          <w:szCs w:val="24"/>
        </w:rPr>
        <w:tab/>
      </w:r>
      <w:r w:rsidR="0020797C">
        <w:rPr>
          <w:szCs w:val="24"/>
        </w:rPr>
        <w:t xml:space="preserve">      </w:t>
      </w:r>
      <w:r w:rsidR="0020797C">
        <w:rPr>
          <w:szCs w:val="24"/>
        </w:rPr>
        <w:tab/>
        <w:t xml:space="preserve">            </w:t>
      </w:r>
      <w:r w:rsidR="00D17337">
        <w:rPr>
          <w:szCs w:val="24"/>
        </w:rPr>
        <w:t>8</w:t>
      </w:r>
      <w:r w:rsidR="0020797C">
        <w:rPr>
          <w:szCs w:val="24"/>
        </w:rPr>
        <w:t xml:space="preserve">6 </w:t>
      </w:r>
      <w:r w:rsidR="00D17337">
        <w:rPr>
          <w:szCs w:val="24"/>
        </w:rPr>
        <w:t>hours</w:t>
      </w:r>
      <w:r w:rsidR="0020797C">
        <w:rPr>
          <w:szCs w:val="24"/>
        </w:rPr>
        <w:t xml:space="preserve"> 40 minutes</w:t>
      </w:r>
      <w:r w:rsidRPr="004238F4">
        <w:rPr>
          <w:szCs w:val="24"/>
        </w:rPr>
        <w:tab/>
      </w:r>
    </w:p>
    <w:p w:rsidR="000C65CF" w:rsidRDefault="000C65CF" w:rsidP="00666006">
      <w:pPr>
        <w:widowControl w:val="0"/>
        <w:tabs>
          <w:tab w:val="left" w:pos="544"/>
          <w:tab w:val="left" w:pos="814"/>
        </w:tabs>
        <w:spacing w:before="120"/>
        <w:rPr>
          <w:szCs w:val="24"/>
        </w:rPr>
      </w:pPr>
    </w:p>
    <w:p w:rsidR="00666006" w:rsidRDefault="00666006" w:rsidP="00666006">
      <w:pPr>
        <w:widowControl w:val="0"/>
        <w:tabs>
          <w:tab w:val="left" w:pos="544"/>
          <w:tab w:val="left" w:pos="814"/>
        </w:tabs>
        <w:spacing w:before="120"/>
        <w:rPr>
          <w:szCs w:val="24"/>
        </w:rPr>
      </w:pPr>
      <w:r>
        <w:rPr>
          <w:szCs w:val="24"/>
        </w:rPr>
        <w:t xml:space="preserve">The total annual cost </w:t>
      </w:r>
      <w:r w:rsidR="000C65CF">
        <w:rPr>
          <w:szCs w:val="24"/>
        </w:rPr>
        <w:t xml:space="preserve">to all respondents </w:t>
      </w:r>
      <w:r>
        <w:rPr>
          <w:szCs w:val="24"/>
        </w:rPr>
        <w:t>is estimated at $</w:t>
      </w:r>
      <w:r w:rsidR="00D17337">
        <w:rPr>
          <w:szCs w:val="24"/>
        </w:rPr>
        <w:t>2,511</w:t>
      </w:r>
      <w:r w:rsidR="000C65CF">
        <w:rPr>
          <w:szCs w:val="24"/>
        </w:rPr>
        <w:t>.</w:t>
      </w:r>
      <w:r w:rsidR="00D17337">
        <w:rPr>
          <w:szCs w:val="24"/>
        </w:rPr>
        <w:t>60.</w:t>
      </w:r>
      <w:r w:rsidR="000C65CF">
        <w:rPr>
          <w:szCs w:val="24"/>
        </w:rPr>
        <w:t xml:space="preserve">  This estimate is based on the assumption that the average salary of the LIHEAP program coordinator is equivalent to the GS-12 step 1 annual pay rate of $60,274.</w:t>
      </w:r>
    </w:p>
    <w:p w:rsidR="00567C2D" w:rsidRDefault="00532F17" w:rsidP="00666006">
      <w:pPr>
        <w:widowControl w:val="0"/>
        <w:tabs>
          <w:tab w:val="left" w:pos="544"/>
          <w:tab w:val="left" w:pos="814"/>
        </w:tabs>
        <w:spacing w:before="120"/>
        <w:rPr>
          <w:szCs w:val="24"/>
        </w:rPr>
      </w:pPr>
      <w:r w:rsidRPr="004238F4">
        <w:rPr>
          <w:szCs w:val="24"/>
        </w:rPr>
        <w:tab/>
      </w:r>
      <w:r w:rsidRPr="004238F4">
        <w:rPr>
          <w:szCs w:val="24"/>
        </w:rPr>
        <w:tab/>
      </w:r>
      <w:r w:rsidRPr="004238F4">
        <w:rPr>
          <w:szCs w:val="24"/>
        </w:rPr>
        <w:tab/>
      </w:r>
      <w:r w:rsidRPr="004238F4">
        <w:rPr>
          <w:szCs w:val="24"/>
        </w:rPr>
        <w:tab/>
      </w:r>
      <w:r>
        <w:rPr>
          <w:szCs w:val="24"/>
        </w:rPr>
        <w:t xml:space="preserve">   </w:t>
      </w:r>
      <w:r>
        <w:rPr>
          <w:szCs w:val="24"/>
        </w:rPr>
        <w:tab/>
        <w:t xml:space="preserve">    </w:t>
      </w:r>
      <w:r w:rsidRPr="004238F4">
        <w:rPr>
          <w:szCs w:val="24"/>
        </w:rPr>
        <w:t xml:space="preserve"> </w:t>
      </w:r>
    </w:p>
    <w:p w:rsidR="00567C2D" w:rsidRDefault="00567C2D">
      <w:pPr>
        <w:rPr>
          <w:szCs w:val="24"/>
        </w:rPr>
      </w:pPr>
      <w:r>
        <w:rPr>
          <w:szCs w:val="24"/>
        </w:rPr>
        <w:br w:type="page"/>
      </w:r>
    </w:p>
    <w:p w:rsidR="00532F17" w:rsidRPr="00666006" w:rsidRDefault="00532F17" w:rsidP="00666006">
      <w:pPr>
        <w:widowControl w:val="0"/>
        <w:tabs>
          <w:tab w:val="left" w:pos="544"/>
          <w:tab w:val="left" w:pos="814"/>
        </w:tabs>
        <w:spacing w:before="120"/>
        <w:rPr>
          <w:szCs w:val="24"/>
        </w:rPr>
      </w:pPr>
    </w:p>
    <w:p w:rsidR="00532F17" w:rsidRDefault="00532F17" w:rsidP="00532F17">
      <w:pPr>
        <w:widowControl w:val="0"/>
        <w:tabs>
          <w:tab w:val="left" w:pos="544"/>
          <w:tab w:val="left" w:pos="814"/>
        </w:tabs>
        <w:ind w:left="540" w:hanging="540"/>
        <w:rPr>
          <w:b/>
        </w:rPr>
      </w:pPr>
      <w:r w:rsidRPr="004238F4">
        <w:rPr>
          <w:b/>
          <w:szCs w:val="24"/>
        </w:rPr>
        <w:t>13.</w:t>
      </w:r>
      <w:r w:rsidRPr="004238F4">
        <w:rPr>
          <w:b/>
          <w:szCs w:val="24"/>
        </w:rPr>
        <w:tab/>
      </w:r>
      <w:r w:rsidRPr="002207C4">
        <w:rPr>
          <w:b/>
        </w:rPr>
        <w:t>Estimates of Other Total Annual Cost Burden to Respondents and Record Keepers</w:t>
      </w:r>
      <w:r>
        <w:rPr>
          <w:b/>
        </w:rPr>
        <w:t>/Capital Costs</w:t>
      </w:r>
    </w:p>
    <w:p w:rsidR="00666006" w:rsidRDefault="00666006" w:rsidP="00532F17">
      <w:pPr>
        <w:widowControl w:val="0"/>
        <w:tabs>
          <w:tab w:val="left" w:pos="544"/>
          <w:tab w:val="left" w:pos="814"/>
        </w:tabs>
        <w:ind w:left="540" w:hanging="540"/>
        <w:rPr>
          <w:b/>
        </w:rPr>
      </w:pPr>
    </w:p>
    <w:p w:rsidR="00532F17" w:rsidRPr="00CF4860" w:rsidRDefault="00CF4860" w:rsidP="00532F17">
      <w:pPr>
        <w:widowControl w:val="0"/>
        <w:tabs>
          <w:tab w:val="left" w:pos="544"/>
          <w:tab w:val="left" w:pos="814"/>
        </w:tabs>
      </w:pPr>
      <w:r w:rsidRPr="00CF4860">
        <w:t xml:space="preserve">This data </w:t>
      </w:r>
      <w:r>
        <w:t>collection is a one-time needs assessment and requires no recordkeeping that would result in any other additional costs.</w:t>
      </w:r>
    </w:p>
    <w:p w:rsidR="00666006" w:rsidRPr="004238F4" w:rsidRDefault="00666006" w:rsidP="00532F17">
      <w:pPr>
        <w:widowControl w:val="0"/>
        <w:tabs>
          <w:tab w:val="left" w:pos="544"/>
          <w:tab w:val="left" w:pos="814"/>
        </w:tabs>
        <w:rPr>
          <w:szCs w:val="24"/>
        </w:rPr>
      </w:pPr>
    </w:p>
    <w:p w:rsidR="00532F17" w:rsidRPr="005560C8" w:rsidRDefault="00532F17" w:rsidP="00532F17">
      <w:pPr>
        <w:widowControl w:val="0"/>
        <w:numPr>
          <w:ilvl w:val="0"/>
          <w:numId w:val="1"/>
        </w:numPr>
        <w:tabs>
          <w:tab w:val="clear" w:pos="540"/>
          <w:tab w:val="left" w:pos="544"/>
          <w:tab w:val="left" w:pos="814"/>
        </w:tabs>
        <w:rPr>
          <w:b/>
          <w:szCs w:val="24"/>
        </w:rPr>
      </w:pPr>
      <w:r w:rsidRPr="005560C8">
        <w:rPr>
          <w:b/>
          <w:szCs w:val="24"/>
        </w:rPr>
        <w:t>Annualized Cost to the Federal Government</w:t>
      </w:r>
    </w:p>
    <w:p w:rsidR="00532F17" w:rsidRPr="004238F4" w:rsidRDefault="00532F17" w:rsidP="00532F17">
      <w:pPr>
        <w:widowControl w:val="0"/>
        <w:tabs>
          <w:tab w:val="left" w:pos="544"/>
          <w:tab w:val="left" w:pos="814"/>
        </w:tabs>
        <w:ind w:left="360"/>
        <w:rPr>
          <w:szCs w:val="24"/>
        </w:rPr>
      </w:pPr>
    </w:p>
    <w:p w:rsidR="00532F17" w:rsidRDefault="00087BDC" w:rsidP="00532F17">
      <w:pPr>
        <w:widowControl w:val="0"/>
        <w:tabs>
          <w:tab w:val="left" w:pos="-734"/>
          <w:tab w:val="left" w:pos="544"/>
          <w:tab w:val="left" w:pos="814"/>
        </w:tabs>
        <w:rPr>
          <w:szCs w:val="24"/>
        </w:rPr>
      </w:pPr>
      <w:r>
        <w:rPr>
          <w:szCs w:val="24"/>
        </w:rPr>
        <w:t>This one-time needs assessment is designed, administered, and the resulting data analyzed by non-federal contract staff, under two ACF contracts.</w:t>
      </w:r>
      <w:r w:rsidR="007A7FB0">
        <w:rPr>
          <w:szCs w:val="24"/>
        </w:rPr>
        <w:t xml:space="preserve">  Based on the budget estimates submitted by both contractors for the performance of this task, the total costs are as indicated in the below table.</w:t>
      </w:r>
    </w:p>
    <w:p w:rsidR="007A7FB0" w:rsidRDefault="007A7FB0" w:rsidP="00532F17">
      <w:pPr>
        <w:widowControl w:val="0"/>
        <w:tabs>
          <w:tab w:val="left" w:pos="-734"/>
          <w:tab w:val="left" w:pos="544"/>
          <w:tab w:val="left" w:pos="814"/>
        </w:tabs>
        <w:rPr>
          <w:szCs w:val="24"/>
        </w:rPr>
      </w:pPr>
    </w:p>
    <w:tbl>
      <w:tblPr>
        <w:tblStyle w:val="TableGrid"/>
        <w:tblW w:w="0" w:type="auto"/>
        <w:tblLook w:val="04A0" w:firstRow="1" w:lastRow="0" w:firstColumn="1" w:lastColumn="0" w:noHBand="0" w:noVBand="1"/>
      </w:tblPr>
      <w:tblGrid>
        <w:gridCol w:w="2394"/>
        <w:gridCol w:w="2394"/>
        <w:gridCol w:w="2394"/>
        <w:gridCol w:w="2394"/>
      </w:tblGrid>
      <w:tr w:rsidR="007A7FB0" w:rsidRPr="00361117" w:rsidTr="007A7FB0">
        <w:tc>
          <w:tcPr>
            <w:tcW w:w="2394" w:type="dxa"/>
          </w:tcPr>
          <w:p w:rsidR="007A7FB0" w:rsidRPr="00361117" w:rsidRDefault="007A7FB0" w:rsidP="007A7FB0">
            <w:pPr>
              <w:widowControl w:val="0"/>
              <w:tabs>
                <w:tab w:val="left" w:pos="-734"/>
                <w:tab w:val="left" w:pos="544"/>
                <w:tab w:val="left" w:pos="814"/>
              </w:tabs>
              <w:jc w:val="center"/>
              <w:rPr>
                <w:szCs w:val="24"/>
              </w:rPr>
            </w:pPr>
            <w:r w:rsidRPr="00361117">
              <w:rPr>
                <w:szCs w:val="24"/>
              </w:rPr>
              <w:t>Contract</w:t>
            </w:r>
          </w:p>
        </w:tc>
        <w:tc>
          <w:tcPr>
            <w:tcW w:w="2394" w:type="dxa"/>
          </w:tcPr>
          <w:p w:rsidR="007A7FB0" w:rsidRPr="00361117" w:rsidRDefault="007A7FB0" w:rsidP="007A7FB0">
            <w:pPr>
              <w:widowControl w:val="0"/>
              <w:tabs>
                <w:tab w:val="left" w:pos="-734"/>
                <w:tab w:val="left" w:pos="544"/>
                <w:tab w:val="left" w:pos="814"/>
              </w:tabs>
              <w:jc w:val="center"/>
              <w:rPr>
                <w:szCs w:val="24"/>
              </w:rPr>
            </w:pPr>
            <w:r w:rsidRPr="00361117">
              <w:rPr>
                <w:szCs w:val="24"/>
              </w:rPr>
              <w:t>Number of Hours</w:t>
            </w:r>
          </w:p>
        </w:tc>
        <w:tc>
          <w:tcPr>
            <w:tcW w:w="2394" w:type="dxa"/>
          </w:tcPr>
          <w:p w:rsidR="007A7FB0" w:rsidRPr="00361117" w:rsidRDefault="007A7FB0" w:rsidP="007A7FB0">
            <w:pPr>
              <w:widowControl w:val="0"/>
              <w:tabs>
                <w:tab w:val="left" w:pos="-734"/>
                <w:tab w:val="left" w:pos="544"/>
                <w:tab w:val="left" w:pos="814"/>
              </w:tabs>
              <w:jc w:val="center"/>
              <w:rPr>
                <w:szCs w:val="24"/>
              </w:rPr>
            </w:pPr>
            <w:r w:rsidRPr="00361117">
              <w:rPr>
                <w:szCs w:val="24"/>
              </w:rPr>
              <w:t>Rate</w:t>
            </w:r>
          </w:p>
        </w:tc>
        <w:tc>
          <w:tcPr>
            <w:tcW w:w="2394" w:type="dxa"/>
          </w:tcPr>
          <w:p w:rsidR="007A7FB0" w:rsidRPr="00361117" w:rsidRDefault="007A7FB0" w:rsidP="007A7FB0">
            <w:pPr>
              <w:widowControl w:val="0"/>
              <w:tabs>
                <w:tab w:val="left" w:pos="-734"/>
                <w:tab w:val="left" w:pos="544"/>
                <w:tab w:val="left" w:pos="814"/>
              </w:tabs>
              <w:jc w:val="center"/>
              <w:rPr>
                <w:szCs w:val="24"/>
              </w:rPr>
            </w:pPr>
            <w:r w:rsidRPr="00361117">
              <w:rPr>
                <w:szCs w:val="24"/>
              </w:rPr>
              <w:t>Total Cost</w:t>
            </w:r>
          </w:p>
        </w:tc>
      </w:tr>
      <w:tr w:rsidR="007A7FB0" w:rsidRPr="00361117" w:rsidTr="007A7FB0">
        <w:tc>
          <w:tcPr>
            <w:tcW w:w="2394" w:type="dxa"/>
          </w:tcPr>
          <w:p w:rsidR="007A7FB0" w:rsidRPr="00361117" w:rsidRDefault="007A7FB0" w:rsidP="00532F17">
            <w:pPr>
              <w:widowControl w:val="0"/>
              <w:tabs>
                <w:tab w:val="left" w:pos="-734"/>
                <w:tab w:val="left" w:pos="544"/>
                <w:tab w:val="left" w:pos="814"/>
              </w:tabs>
              <w:rPr>
                <w:szCs w:val="24"/>
              </w:rPr>
            </w:pPr>
            <w:r w:rsidRPr="00361117">
              <w:rPr>
                <w:szCs w:val="24"/>
              </w:rPr>
              <w:t>Third-Party Accountability Contract</w:t>
            </w:r>
          </w:p>
        </w:tc>
        <w:tc>
          <w:tcPr>
            <w:tcW w:w="2394" w:type="dxa"/>
          </w:tcPr>
          <w:p w:rsidR="007A7FB0" w:rsidRPr="00361117" w:rsidRDefault="00361117" w:rsidP="00532F17">
            <w:pPr>
              <w:widowControl w:val="0"/>
              <w:tabs>
                <w:tab w:val="left" w:pos="-734"/>
                <w:tab w:val="left" w:pos="544"/>
                <w:tab w:val="left" w:pos="814"/>
              </w:tabs>
              <w:rPr>
                <w:szCs w:val="24"/>
              </w:rPr>
            </w:pPr>
            <w:r>
              <w:rPr>
                <w:szCs w:val="24"/>
              </w:rPr>
              <w:t>120  hours</w:t>
            </w:r>
          </w:p>
        </w:tc>
        <w:tc>
          <w:tcPr>
            <w:tcW w:w="2394" w:type="dxa"/>
          </w:tcPr>
          <w:p w:rsidR="007A7FB0" w:rsidRPr="00361117" w:rsidRDefault="00E723F1" w:rsidP="00532F17">
            <w:pPr>
              <w:widowControl w:val="0"/>
              <w:tabs>
                <w:tab w:val="left" w:pos="-734"/>
                <w:tab w:val="left" w:pos="544"/>
                <w:tab w:val="left" w:pos="814"/>
              </w:tabs>
              <w:rPr>
                <w:szCs w:val="24"/>
              </w:rPr>
            </w:pPr>
            <w:r>
              <w:rPr>
                <w:szCs w:val="24"/>
              </w:rPr>
              <w:t>$54.82/hr</w:t>
            </w:r>
          </w:p>
        </w:tc>
        <w:tc>
          <w:tcPr>
            <w:tcW w:w="2394" w:type="dxa"/>
          </w:tcPr>
          <w:p w:rsidR="007A7FB0" w:rsidRPr="00361117" w:rsidRDefault="00EB01D4" w:rsidP="00532F17">
            <w:pPr>
              <w:widowControl w:val="0"/>
              <w:tabs>
                <w:tab w:val="left" w:pos="-734"/>
                <w:tab w:val="left" w:pos="544"/>
                <w:tab w:val="left" w:pos="814"/>
              </w:tabs>
              <w:rPr>
                <w:szCs w:val="24"/>
              </w:rPr>
            </w:pPr>
            <w:r>
              <w:rPr>
                <w:szCs w:val="24"/>
              </w:rPr>
              <w:t>$6,578</w:t>
            </w:r>
            <w:r w:rsidR="00E723F1">
              <w:rPr>
                <w:szCs w:val="24"/>
              </w:rPr>
              <w:t>.40</w:t>
            </w:r>
          </w:p>
        </w:tc>
      </w:tr>
      <w:tr w:rsidR="007A7FB0" w:rsidRPr="00361117" w:rsidTr="007A7FB0">
        <w:tc>
          <w:tcPr>
            <w:tcW w:w="2394" w:type="dxa"/>
          </w:tcPr>
          <w:p w:rsidR="007A7FB0" w:rsidRPr="00361117" w:rsidRDefault="007A7FB0" w:rsidP="00532F17">
            <w:pPr>
              <w:widowControl w:val="0"/>
              <w:tabs>
                <w:tab w:val="left" w:pos="-734"/>
                <w:tab w:val="left" w:pos="544"/>
                <w:tab w:val="left" w:pos="814"/>
              </w:tabs>
              <w:rPr>
                <w:szCs w:val="24"/>
              </w:rPr>
            </w:pPr>
            <w:r w:rsidRPr="00361117">
              <w:rPr>
                <w:szCs w:val="24"/>
              </w:rPr>
              <w:t>Web-based Data Collection Contract</w:t>
            </w:r>
          </w:p>
        </w:tc>
        <w:tc>
          <w:tcPr>
            <w:tcW w:w="2394" w:type="dxa"/>
          </w:tcPr>
          <w:p w:rsidR="007A7FB0" w:rsidRPr="00361117" w:rsidRDefault="00EB01D4" w:rsidP="00532F17">
            <w:pPr>
              <w:widowControl w:val="0"/>
              <w:tabs>
                <w:tab w:val="left" w:pos="-734"/>
                <w:tab w:val="left" w:pos="544"/>
                <w:tab w:val="left" w:pos="814"/>
              </w:tabs>
              <w:rPr>
                <w:szCs w:val="24"/>
              </w:rPr>
            </w:pPr>
            <w:r>
              <w:rPr>
                <w:szCs w:val="24"/>
              </w:rPr>
              <w:t>484.5 hours</w:t>
            </w:r>
          </w:p>
        </w:tc>
        <w:tc>
          <w:tcPr>
            <w:tcW w:w="2394" w:type="dxa"/>
          </w:tcPr>
          <w:p w:rsidR="007A7FB0" w:rsidRPr="00361117" w:rsidRDefault="00B76968" w:rsidP="00532F17">
            <w:pPr>
              <w:widowControl w:val="0"/>
              <w:tabs>
                <w:tab w:val="left" w:pos="-734"/>
                <w:tab w:val="left" w:pos="544"/>
                <w:tab w:val="left" w:pos="814"/>
              </w:tabs>
              <w:rPr>
                <w:szCs w:val="24"/>
              </w:rPr>
            </w:pPr>
            <w:r>
              <w:rPr>
                <w:szCs w:val="24"/>
              </w:rPr>
              <w:t>$109.74/hr</w:t>
            </w:r>
          </w:p>
        </w:tc>
        <w:tc>
          <w:tcPr>
            <w:tcW w:w="2394" w:type="dxa"/>
          </w:tcPr>
          <w:p w:rsidR="007A7FB0" w:rsidRPr="00361117" w:rsidRDefault="00EB01D4" w:rsidP="00532F17">
            <w:pPr>
              <w:widowControl w:val="0"/>
              <w:tabs>
                <w:tab w:val="left" w:pos="-734"/>
                <w:tab w:val="left" w:pos="544"/>
                <w:tab w:val="left" w:pos="814"/>
              </w:tabs>
              <w:rPr>
                <w:szCs w:val="24"/>
              </w:rPr>
            </w:pPr>
            <w:r>
              <w:rPr>
                <w:szCs w:val="24"/>
              </w:rPr>
              <w:t>$53,171</w:t>
            </w:r>
            <w:r w:rsidR="00BC4B72">
              <w:rPr>
                <w:szCs w:val="24"/>
              </w:rPr>
              <w:t>.00</w:t>
            </w:r>
          </w:p>
        </w:tc>
      </w:tr>
      <w:tr w:rsidR="00552DD9" w:rsidTr="00361117">
        <w:tc>
          <w:tcPr>
            <w:tcW w:w="7182" w:type="dxa"/>
            <w:gridSpan w:val="3"/>
          </w:tcPr>
          <w:p w:rsidR="00552DD9" w:rsidRPr="00361117" w:rsidRDefault="00552DD9" w:rsidP="00552DD9">
            <w:pPr>
              <w:widowControl w:val="0"/>
              <w:tabs>
                <w:tab w:val="left" w:pos="-734"/>
                <w:tab w:val="left" w:pos="544"/>
                <w:tab w:val="left" w:pos="814"/>
              </w:tabs>
              <w:jc w:val="right"/>
              <w:rPr>
                <w:szCs w:val="24"/>
              </w:rPr>
            </w:pPr>
            <w:r w:rsidRPr="00361117">
              <w:rPr>
                <w:szCs w:val="24"/>
              </w:rPr>
              <w:t>Grant Total:</w:t>
            </w:r>
          </w:p>
        </w:tc>
        <w:tc>
          <w:tcPr>
            <w:tcW w:w="2394" w:type="dxa"/>
          </w:tcPr>
          <w:p w:rsidR="00552DD9" w:rsidRPr="00361117" w:rsidRDefault="00BC4B72" w:rsidP="00532F17">
            <w:pPr>
              <w:widowControl w:val="0"/>
              <w:tabs>
                <w:tab w:val="left" w:pos="-734"/>
                <w:tab w:val="left" w:pos="544"/>
                <w:tab w:val="left" w:pos="814"/>
              </w:tabs>
              <w:rPr>
                <w:szCs w:val="24"/>
              </w:rPr>
            </w:pPr>
            <w:r>
              <w:rPr>
                <w:szCs w:val="24"/>
              </w:rPr>
              <w:t>$59,749.40</w:t>
            </w:r>
          </w:p>
        </w:tc>
      </w:tr>
    </w:tbl>
    <w:p w:rsidR="007A7FB0" w:rsidRDefault="007A7FB0" w:rsidP="00532F17">
      <w:pPr>
        <w:widowControl w:val="0"/>
        <w:tabs>
          <w:tab w:val="left" w:pos="-734"/>
          <w:tab w:val="left" w:pos="544"/>
          <w:tab w:val="left" w:pos="814"/>
        </w:tabs>
        <w:rPr>
          <w:szCs w:val="24"/>
        </w:rPr>
      </w:pPr>
    </w:p>
    <w:p w:rsidR="00087BDC" w:rsidRPr="004238F4" w:rsidRDefault="00087BDC" w:rsidP="00532F17">
      <w:pPr>
        <w:widowControl w:val="0"/>
        <w:tabs>
          <w:tab w:val="left" w:pos="-734"/>
          <w:tab w:val="left" w:pos="544"/>
          <w:tab w:val="left" w:pos="814"/>
        </w:tabs>
        <w:rPr>
          <w:szCs w:val="24"/>
        </w:rPr>
      </w:pPr>
    </w:p>
    <w:p w:rsidR="00532F17" w:rsidRPr="0017702C" w:rsidRDefault="00532F17" w:rsidP="00532F17">
      <w:pPr>
        <w:widowControl w:val="0"/>
        <w:tabs>
          <w:tab w:val="left" w:pos="-734"/>
          <w:tab w:val="left" w:pos="544"/>
          <w:tab w:val="left" w:pos="814"/>
        </w:tabs>
        <w:ind w:left="544" w:hanging="544"/>
        <w:rPr>
          <w:b/>
          <w:szCs w:val="24"/>
        </w:rPr>
      </w:pPr>
      <w:r w:rsidRPr="0017702C">
        <w:rPr>
          <w:b/>
          <w:szCs w:val="24"/>
        </w:rPr>
        <w:t>15.</w:t>
      </w:r>
      <w:r w:rsidRPr="0017702C">
        <w:rPr>
          <w:b/>
          <w:szCs w:val="24"/>
        </w:rPr>
        <w:tab/>
        <w:t>Explanation of Program Changes or Adjustments</w:t>
      </w:r>
    </w:p>
    <w:p w:rsidR="00532F17" w:rsidRDefault="00532F17" w:rsidP="00532F17">
      <w:pPr>
        <w:widowControl w:val="0"/>
        <w:tabs>
          <w:tab w:val="left" w:pos="-734"/>
          <w:tab w:val="left" w:pos="544"/>
          <w:tab w:val="left" w:pos="814"/>
        </w:tabs>
        <w:rPr>
          <w:szCs w:val="24"/>
        </w:rPr>
      </w:pPr>
    </w:p>
    <w:p w:rsidR="00087BDC" w:rsidRPr="004238F4" w:rsidRDefault="00087BDC" w:rsidP="00532F17">
      <w:pPr>
        <w:widowControl w:val="0"/>
        <w:tabs>
          <w:tab w:val="left" w:pos="-734"/>
          <w:tab w:val="left" w:pos="544"/>
          <w:tab w:val="left" w:pos="814"/>
        </w:tabs>
        <w:rPr>
          <w:szCs w:val="24"/>
        </w:rPr>
      </w:pPr>
      <w:r>
        <w:rPr>
          <w:szCs w:val="24"/>
        </w:rPr>
        <w:t>This is a new project.</w:t>
      </w:r>
    </w:p>
    <w:p w:rsidR="00532F17" w:rsidRPr="004238F4" w:rsidRDefault="00532F17" w:rsidP="00532F17">
      <w:pPr>
        <w:widowControl w:val="0"/>
        <w:tabs>
          <w:tab w:val="left" w:pos="-734"/>
          <w:tab w:val="left" w:pos="544"/>
          <w:tab w:val="left" w:pos="814"/>
        </w:tabs>
        <w:spacing w:line="215" w:lineRule="exact"/>
        <w:ind w:left="544"/>
        <w:rPr>
          <w:szCs w:val="24"/>
        </w:rPr>
      </w:pPr>
    </w:p>
    <w:p w:rsidR="00532F17" w:rsidRPr="00803886" w:rsidRDefault="00532F17" w:rsidP="00532F17">
      <w:pPr>
        <w:widowControl w:val="0"/>
        <w:tabs>
          <w:tab w:val="left" w:pos="-734"/>
          <w:tab w:val="left" w:pos="544"/>
          <w:tab w:val="left" w:pos="814"/>
        </w:tabs>
        <w:ind w:left="547" w:hanging="547"/>
        <w:rPr>
          <w:b/>
          <w:szCs w:val="24"/>
        </w:rPr>
      </w:pPr>
      <w:r w:rsidRPr="00803886">
        <w:rPr>
          <w:b/>
          <w:szCs w:val="24"/>
        </w:rPr>
        <w:t>16.</w:t>
      </w:r>
      <w:r w:rsidRPr="00803886">
        <w:rPr>
          <w:b/>
          <w:szCs w:val="24"/>
        </w:rPr>
        <w:tab/>
        <w:t>Plans for Tabulation and Publication and Project Time Schedule</w:t>
      </w:r>
    </w:p>
    <w:p w:rsidR="00532F17" w:rsidRPr="004238F4" w:rsidRDefault="00532F17" w:rsidP="007A7FB0">
      <w:pPr>
        <w:widowControl w:val="0"/>
        <w:tabs>
          <w:tab w:val="left" w:pos="-734"/>
          <w:tab w:val="left" w:pos="544"/>
          <w:tab w:val="left" w:pos="814"/>
        </w:tabs>
        <w:rPr>
          <w:szCs w:val="24"/>
        </w:rPr>
      </w:pPr>
    </w:p>
    <w:p w:rsidR="00532F17" w:rsidRPr="004238F4" w:rsidRDefault="007A7FB0" w:rsidP="00532F17">
      <w:pPr>
        <w:widowControl w:val="0"/>
        <w:tabs>
          <w:tab w:val="left" w:pos="-734"/>
          <w:tab w:val="left" w:pos="544"/>
          <w:tab w:val="left" w:pos="814"/>
        </w:tabs>
        <w:rPr>
          <w:szCs w:val="24"/>
        </w:rPr>
      </w:pPr>
      <w:r>
        <w:rPr>
          <w:szCs w:val="24"/>
        </w:rPr>
        <w:t>The results of this data collection will not be published.</w:t>
      </w:r>
    </w:p>
    <w:p w:rsidR="00532F17" w:rsidRPr="004238F4" w:rsidRDefault="00532F17" w:rsidP="00466E5F">
      <w:pPr>
        <w:widowControl w:val="0"/>
        <w:tabs>
          <w:tab w:val="left" w:pos="-734"/>
          <w:tab w:val="left" w:pos="547"/>
          <w:tab w:val="left" w:pos="1080"/>
        </w:tabs>
        <w:ind w:left="532" w:firstLine="8"/>
        <w:rPr>
          <w:szCs w:val="24"/>
        </w:rPr>
      </w:pPr>
      <w:r w:rsidRPr="004238F4">
        <w:rPr>
          <w:szCs w:val="24"/>
        </w:rPr>
        <w:tab/>
      </w:r>
    </w:p>
    <w:p w:rsidR="00532F17" w:rsidRPr="00803886" w:rsidRDefault="00532F17" w:rsidP="00532F17">
      <w:pPr>
        <w:widowControl w:val="0"/>
        <w:tabs>
          <w:tab w:val="left" w:pos="-734"/>
          <w:tab w:val="left" w:pos="544"/>
          <w:tab w:val="left" w:pos="814"/>
        </w:tabs>
        <w:ind w:left="562" w:hanging="562"/>
        <w:rPr>
          <w:b/>
          <w:szCs w:val="24"/>
        </w:rPr>
      </w:pPr>
      <w:r w:rsidRPr="00803886">
        <w:rPr>
          <w:b/>
          <w:szCs w:val="24"/>
        </w:rPr>
        <w:t>17.</w:t>
      </w:r>
      <w:r w:rsidRPr="00803886">
        <w:rPr>
          <w:b/>
          <w:szCs w:val="24"/>
        </w:rPr>
        <w:tab/>
        <w:t>Reason(s) Display of OMB Expiration Date is Inappropriate</w:t>
      </w:r>
    </w:p>
    <w:p w:rsidR="00532F17" w:rsidRPr="004238F4" w:rsidRDefault="00532F17" w:rsidP="00532F17">
      <w:pPr>
        <w:widowControl w:val="0"/>
        <w:tabs>
          <w:tab w:val="left" w:pos="-734"/>
          <w:tab w:val="left" w:pos="544"/>
          <w:tab w:val="left" w:pos="814"/>
        </w:tabs>
        <w:rPr>
          <w:szCs w:val="24"/>
        </w:rPr>
      </w:pPr>
    </w:p>
    <w:p w:rsidR="00532F17" w:rsidRDefault="003662C8" w:rsidP="00532F17">
      <w:pPr>
        <w:widowControl w:val="0"/>
        <w:tabs>
          <w:tab w:val="left" w:pos="-734"/>
          <w:tab w:val="left" w:pos="544"/>
          <w:tab w:val="left" w:pos="814"/>
        </w:tabs>
        <w:rPr>
          <w:szCs w:val="24"/>
        </w:rPr>
      </w:pPr>
      <w:r w:rsidRPr="004238F4">
        <w:rPr>
          <w:szCs w:val="24"/>
        </w:rPr>
        <w:fldChar w:fldCharType="begin"/>
      </w:r>
      <w:r w:rsidR="00532F17" w:rsidRPr="004238F4">
        <w:rPr>
          <w:szCs w:val="24"/>
        </w:rPr>
        <w:instrText xml:space="preserve"> ADVANCE \u 4</w:instrText>
      </w:r>
      <w:r w:rsidRPr="004238F4">
        <w:rPr>
          <w:szCs w:val="24"/>
        </w:rPr>
        <w:fldChar w:fldCharType="end"/>
      </w:r>
      <w:proofErr w:type="gramStart"/>
      <w:r w:rsidR="00F27C24">
        <w:rPr>
          <w:szCs w:val="24"/>
        </w:rPr>
        <w:t>Non-</w:t>
      </w:r>
      <w:r w:rsidR="00567C2D">
        <w:rPr>
          <w:szCs w:val="24"/>
        </w:rPr>
        <w:t>applicable</w:t>
      </w:r>
      <w:r w:rsidR="00F27C24">
        <w:rPr>
          <w:szCs w:val="24"/>
        </w:rPr>
        <w:t>.</w:t>
      </w:r>
      <w:proofErr w:type="gramEnd"/>
    </w:p>
    <w:p w:rsidR="00F27C24" w:rsidRPr="004238F4" w:rsidRDefault="00F27C24" w:rsidP="00532F17">
      <w:pPr>
        <w:widowControl w:val="0"/>
        <w:tabs>
          <w:tab w:val="left" w:pos="-734"/>
          <w:tab w:val="left" w:pos="544"/>
          <w:tab w:val="left" w:pos="814"/>
        </w:tabs>
        <w:rPr>
          <w:szCs w:val="24"/>
        </w:rPr>
      </w:pPr>
    </w:p>
    <w:p w:rsidR="00532F17" w:rsidRPr="00803886" w:rsidRDefault="00532F17" w:rsidP="00532F17">
      <w:pPr>
        <w:widowControl w:val="0"/>
        <w:tabs>
          <w:tab w:val="left" w:pos="-734"/>
          <w:tab w:val="left" w:pos="544"/>
          <w:tab w:val="left" w:pos="814"/>
        </w:tabs>
        <w:rPr>
          <w:b/>
          <w:szCs w:val="24"/>
        </w:rPr>
      </w:pPr>
      <w:r w:rsidRPr="00803886">
        <w:rPr>
          <w:b/>
          <w:szCs w:val="24"/>
        </w:rPr>
        <w:t>18.</w:t>
      </w:r>
      <w:r w:rsidRPr="00803886">
        <w:rPr>
          <w:b/>
          <w:szCs w:val="24"/>
        </w:rPr>
        <w:tab/>
        <w:t>Exceptions to Certification for Paperwork Reduction Act Submission</w:t>
      </w:r>
    </w:p>
    <w:p w:rsidR="00532F17" w:rsidRDefault="00532F17" w:rsidP="00532F17">
      <w:pPr>
        <w:widowControl w:val="0"/>
        <w:tabs>
          <w:tab w:val="left" w:pos="-734"/>
          <w:tab w:val="left" w:pos="544"/>
          <w:tab w:val="left" w:pos="814"/>
        </w:tabs>
        <w:rPr>
          <w:szCs w:val="24"/>
        </w:rPr>
      </w:pPr>
    </w:p>
    <w:p w:rsidR="00B45E24" w:rsidRPr="004238F4" w:rsidRDefault="00B45E24" w:rsidP="00532F17">
      <w:pPr>
        <w:widowControl w:val="0"/>
        <w:tabs>
          <w:tab w:val="left" w:pos="-734"/>
          <w:tab w:val="left" w:pos="544"/>
          <w:tab w:val="left" w:pos="814"/>
        </w:tabs>
        <w:rPr>
          <w:szCs w:val="24"/>
        </w:rPr>
      </w:pPr>
      <w:r>
        <w:rPr>
          <w:szCs w:val="24"/>
        </w:rPr>
        <w:t>None.</w:t>
      </w:r>
    </w:p>
    <w:p w:rsidR="00532F17" w:rsidRPr="004238F4" w:rsidRDefault="00532F17" w:rsidP="00532F17">
      <w:pPr>
        <w:widowControl w:val="0"/>
        <w:tabs>
          <w:tab w:val="left" w:pos="-734"/>
          <w:tab w:val="left" w:pos="544"/>
          <w:tab w:val="left" w:pos="814"/>
        </w:tabs>
        <w:ind w:left="562" w:hanging="562"/>
        <w:rPr>
          <w:szCs w:val="24"/>
        </w:rPr>
      </w:pPr>
    </w:p>
    <w:p w:rsidR="00532F17" w:rsidRPr="004238F4" w:rsidRDefault="00532F17" w:rsidP="00532F17">
      <w:pPr>
        <w:widowControl w:val="0"/>
        <w:tabs>
          <w:tab w:val="left" w:pos="918"/>
          <w:tab w:val="left" w:pos="1188"/>
        </w:tabs>
        <w:rPr>
          <w:b/>
          <w:szCs w:val="24"/>
        </w:rPr>
      </w:pPr>
      <w:r w:rsidRPr="004238F4">
        <w:rPr>
          <w:b/>
          <w:szCs w:val="24"/>
        </w:rPr>
        <w:t>B.  Collection of Information Employing Statistical Methods</w:t>
      </w:r>
    </w:p>
    <w:p w:rsidR="00552DD9" w:rsidRDefault="00552DD9">
      <w:pPr>
        <w:rPr>
          <w:szCs w:val="24"/>
        </w:rPr>
      </w:pPr>
    </w:p>
    <w:p w:rsidR="00D21E38" w:rsidRDefault="00D21E38" w:rsidP="00D21E38">
      <w:pPr>
        <w:rPr>
          <w:szCs w:val="24"/>
        </w:rPr>
      </w:pPr>
      <w:r>
        <w:rPr>
          <w:szCs w:val="24"/>
        </w:rPr>
        <w:t>The purpose of the LIHEAP Grantee Capacity Questionnaire is to develop a complete understanding of the number of grantees needing assistance in order to deliver targeted assistance to them.  Since feedback is required from all grantees in order to identify those who need this assistance, e</w:t>
      </w:r>
      <w:r w:rsidRPr="00286FD4">
        <w:rPr>
          <w:szCs w:val="24"/>
        </w:rPr>
        <w:t xml:space="preserve">ach of the 51 LIHEAP State Grantees is included in the respondent universe for this data collection effort.  </w:t>
      </w:r>
      <w:r>
        <w:rPr>
          <w:szCs w:val="24"/>
        </w:rPr>
        <w:t xml:space="preserve">Statistical methods will not be used in the administration </w:t>
      </w:r>
      <w:r>
        <w:rPr>
          <w:szCs w:val="24"/>
        </w:rPr>
        <w:lastRenderedPageBreak/>
        <w:t xml:space="preserve">of this needs assessment.  It is a census of some grantees for which inferences will only be made about this universe of respondents.  Therefore, it does not require use of any statistical methodology.  </w:t>
      </w:r>
    </w:p>
    <w:p w:rsidR="00D21E38" w:rsidRPr="00286FD4" w:rsidRDefault="00D21E38" w:rsidP="00D21E38">
      <w:pPr>
        <w:jc w:val="both"/>
        <w:rPr>
          <w:szCs w:val="24"/>
        </w:rPr>
      </w:pPr>
      <w:r w:rsidRPr="00286FD4">
        <w:rPr>
          <w:szCs w:val="24"/>
        </w:rPr>
        <w:t xml:space="preserve">Two pretests were </w:t>
      </w:r>
      <w:r>
        <w:rPr>
          <w:szCs w:val="24"/>
        </w:rPr>
        <w:t>conducted</w:t>
      </w:r>
      <w:r w:rsidRPr="00286FD4">
        <w:rPr>
          <w:szCs w:val="24"/>
        </w:rPr>
        <w:t xml:space="preserve">.  The first pretest was completed by members of the project team to confirm that the questionnaire functioned as intended.  The second pretest was conducted among a select group of State LIHEAP Directors to ensure that the protocol and questions were </w:t>
      </w:r>
      <w:r>
        <w:rPr>
          <w:szCs w:val="24"/>
        </w:rPr>
        <w:t>clear and unambiguous</w:t>
      </w:r>
      <w:r w:rsidRPr="00286FD4">
        <w:rPr>
          <w:szCs w:val="24"/>
        </w:rPr>
        <w:t>.</w:t>
      </w:r>
      <w:r>
        <w:rPr>
          <w:szCs w:val="24"/>
        </w:rPr>
        <w:t xml:space="preserve">  Findings from these pretests were incorporated into the final questionnaire.</w:t>
      </w:r>
    </w:p>
    <w:p w:rsidR="00D21E38" w:rsidRPr="00286FD4" w:rsidRDefault="00D21E38" w:rsidP="00D21E38">
      <w:pPr>
        <w:jc w:val="both"/>
        <w:rPr>
          <w:szCs w:val="24"/>
        </w:rPr>
      </w:pPr>
      <w:r w:rsidRPr="00286FD4">
        <w:rPr>
          <w:szCs w:val="24"/>
        </w:rPr>
        <w:t xml:space="preserve">An online questionnaire is employed to </w:t>
      </w:r>
      <w:r>
        <w:rPr>
          <w:szCs w:val="24"/>
        </w:rPr>
        <w:t>improve response to this self-administered questionnaire</w:t>
      </w:r>
      <w:r w:rsidRPr="00286FD4">
        <w:rPr>
          <w:szCs w:val="24"/>
        </w:rPr>
        <w:t xml:space="preserve">.  The online questionnaire is programmed to </w:t>
      </w:r>
      <w:r>
        <w:rPr>
          <w:szCs w:val="24"/>
        </w:rPr>
        <w:t xml:space="preserve">show only questions that are applicable to each grantee, and to </w:t>
      </w:r>
      <w:r w:rsidRPr="00286FD4">
        <w:rPr>
          <w:szCs w:val="24"/>
        </w:rPr>
        <w:t xml:space="preserve">allow each </w:t>
      </w:r>
      <w:r>
        <w:rPr>
          <w:szCs w:val="24"/>
        </w:rPr>
        <w:t xml:space="preserve">respondent to enter their data directly into the program, where data is stored automatically.  Furthermore, each </w:t>
      </w:r>
      <w:r w:rsidRPr="00286FD4">
        <w:rPr>
          <w:szCs w:val="24"/>
        </w:rPr>
        <w:t xml:space="preserve">LIHEAP Director </w:t>
      </w:r>
      <w:r>
        <w:rPr>
          <w:szCs w:val="24"/>
        </w:rPr>
        <w:t xml:space="preserve">has the ability </w:t>
      </w:r>
      <w:r w:rsidRPr="00286FD4">
        <w:rPr>
          <w:szCs w:val="24"/>
        </w:rPr>
        <w:t>to forward individual sections of the questionnaire to the most appropriate respondent(s) within their organization.</w:t>
      </w:r>
      <w:r>
        <w:rPr>
          <w:szCs w:val="24"/>
        </w:rPr>
        <w:t xml:space="preserve">  Based on response rates for similar information collections of the same universe by external stakeholders (such as the National Energy Directors’ Association), we anticipate a response rate of approximately 95 percent.</w:t>
      </w:r>
    </w:p>
    <w:p w:rsidR="00D21E38" w:rsidRDefault="00D21E38" w:rsidP="00D21E38">
      <w:pPr>
        <w:jc w:val="both"/>
        <w:rPr>
          <w:szCs w:val="24"/>
        </w:rPr>
      </w:pPr>
      <w:r>
        <w:rPr>
          <w:szCs w:val="24"/>
        </w:rPr>
        <w:t>Prior to launching this project, e</w:t>
      </w:r>
      <w:r w:rsidRPr="00286FD4">
        <w:rPr>
          <w:szCs w:val="24"/>
        </w:rPr>
        <w:t xml:space="preserve">ach Grantee will receive an advance communication outlining the objectives of this data collection request as well as instructions for completing the questionnaire.  The </w:t>
      </w:r>
      <w:r>
        <w:rPr>
          <w:szCs w:val="24"/>
        </w:rPr>
        <w:t xml:space="preserve">advance </w:t>
      </w:r>
      <w:r w:rsidRPr="00286FD4">
        <w:rPr>
          <w:szCs w:val="24"/>
        </w:rPr>
        <w:t>communication will include a deadline for completion</w:t>
      </w:r>
      <w:r>
        <w:rPr>
          <w:szCs w:val="24"/>
        </w:rPr>
        <w:t xml:space="preserve"> of this task</w:t>
      </w:r>
      <w:r w:rsidRPr="00286FD4">
        <w:rPr>
          <w:szCs w:val="24"/>
        </w:rPr>
        <w:t xml:space="preserve">.  Periodic reminders will be emailed to non-responding Grantees with </w:t>
      </w:r>
      <w:r>
        <w:rPr>
          <w:szCs w:val="24"/>
        </w:rPr>
        <w:t>the</w:t>
      </w:r>
      <w:r w:rsidRPr="00286FD4">
        <w:rPr>
          <w:szCs w:val="24"/>
        </w:rPr>
        <w:t xml:space="preserve"> final request for participation coming from the Office of Community Services (OCS).</w:t>
      </w:r>
    </w:p>
    <w:p w:rsidR="00D21E38" w:rsidRPr="000E5015" w:rsidRDefault="00D21E38" w:rsidP="00D21E38">
      <w:pPr>
        <w:jc w:val="both"/>
        <w:rPr>
          <w:szCs w:val="24"/>
        </w:rPr>
      </w:pPr>
      <w:r>
        <w:rPr>
          <w:szCs w:val="24"/>
        </w:rPr>
        <w:t xml:space="preserve">Members of the project team will follow up with grantees to collect missing data or confirm </w:t>
      </w:r>
      <w:r w:rsidRPr="000E5015">
        <w:rPr>
          <w:szCs w:val="24"/>
        </w:rPr>
        <w:t>inconsistent responses.</w:t>
      </w:r>
    </w:p>
    <w:p w:rsidR="00D21E38" w:rsidRDefault="00D21E38" w:rsidP="00D21E38">
      <w:pPr>
        <w:rPr>
          <w:szCs w:val="24"/>
        </w:rPr>
      </w:pPr>
      <w:r>
        <w:rPr>
          <w:szCs w:val="24"/>
        </w:rPr>
        <w:t>In addition to federal staff, l</w:t>
      </w:r>
      <w:r w:rsidRPr="000E5015">
        <w:rPr>
          <w:szCs w:val="24"/>
        </w:rPr>
        <w:t xml:space="preserve">isted below are the contractor(s), grantee(s) or other person(s) who will actually collect and/or analyze </w:t>
      </w:r>
      <w:r>
        <w:rPr>
          <w:szCs w:val="24"/>
        </w:rPr>
        <w:t>this</w:t>
      </w:r>
      <w:r w:rsidRPr="000E5015">
        <w:rPr>
          <w:szCs w:val="24"/>
        </w:rPr>
        <w:t xml:space="preserve"> information:  </w:t>
      </w:r>
    </w:p>
    <w:p w:rsidR="00D21E38" w:rsidRDefault="00D21E38" w:rsidP="00D21E38">
      <w:pPr>
        <w:pStyle w:val="ListParagraph"/>
        <w:numPr>
          <w:ilvl w:val="0"/>
          <w:numId w:val="18"/>
        </w:numP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 xml:space="preserve">David Carroll, APPRISE Incorporated </w:t>
      </w:r>
    </w:p>
    <w:p w:rsidR="00D21E38" w:rsidRDefault="00D21E38" w:rsidP="00D21E38">
      <w:pPr>
        <w:pStyle w:val="ListParagraph"/>
        <w:numPr>
          <w:ilvl w:val="0"/>
          <w:numId w:val="18"/>
        </w:numP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Ferit Ucar, APPRISE Incorporated</w:t>
      </w:r>
    </w:p>
    <w:p w:rsidR="00D21E38" w:rsidRDefault="00D21E38" w:rsidP="00D21E38">
      <w:pPr>
        <w:pStyle w:val="ListParagraph"/>
        <w:numPr>
          <w:ilvl w:val="0"/>
          <w:numId w:val="18"/>
        </w:numP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Melissa Torgerson, Verve Associates LLC</w:t>
      </w:r>
    </w:p>
    <w:p w:rsidR="00D21E38" w:rsidRDefault="00D21E38" w:rsidP="00D21E38">
      <w:pPr>
        <w:pStyle w:val="ListParagraph"/>
        <w:numPr>
          <w:ilvl w:val="0"/>
          <w:numId w:val="18"/>
        </w:numP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Cassandra Lovejoy, National Energy Assistance Directors’ Association (NEADA)</w:t>
      </w:r>
    </w:p>
    <w:p w:rsidR="00D21E38" w:rsidRPr="008760BD" w:rsidRDefault="00D21E38" w:rsidP="00D21E38">
      <w:pPr>
        <w:pStyle w:val="ListParagraph"/>
        <w:numPr>
          <w:ilvl w:val="0"/>
          <w:numId w:val="18"/>
        </w:numPr>
        <w:rPr>
          <w:rFonts w:asciiTheme="minorHAnsi" w:hAnsiTheme="minorHAnsi"/>
          <w:color w:val="000000" w:themeColor="text1"/>
          <w:szCs w:val="24"/>
          <w:shd w:val="clear" w:color="auto" w:fill="FFFFFF"/>
        </w:rPr>
      </w:pPr>
      <w:r>
        <w:rPr>
          <w:rFonts w:asciiTheme="minorHAnsi" w:hAnsiTheme="minorHAnsi"/>
          <w:color w:val="000000" w:themeColor="text1"/>
          <w:szCs w:val="24"/>
          <w:shd w:val="clear" w:color="auto" w:fill="FFFFFF"/>
        </w:rPr>
        <w:t>Ron Garnett, NEADA consultant</w:t>
      </w:r>
    </w:p>
    <w:p w:rsidR="00D21E38" w:rsidRPr="000E5015" w:rsidRDefault="00D21E38" w:rsidP="00D21E38">
      <w:pPr>
        <w:pStyle w:val="ListParagraph"/>
        <w:numPr>
          <w:ilvl w:val="0"/>
          <w:numId w:val="18"/>
        </w:numPr>
        <w:rPr>
          <w:rFonts w:asciiTheme="minorHAnsi" w:hAnsiTheme="minorHAnsi"/>
          <w:color w:val="000000" w:themeColor="text1"/>
          <w:szCs w:val="24"/>
          <w:shd w:val="clear" w:color="auto" w:fill="FFFFFF"/>
        </w:rPr>
      </w:pPr>
      <w:r w:rsidRPr="000E5015">
        <w:rPr>
          <w:rFonts w:asciiTheme="minorHAnsi" w:hAnsiTheme="minorHAnsi"/>
          <w:color w:val="000000" w:themeColor="text1"/>
          <w:szCs w:val="24"/>
        </w:rPr>
        <w:t xml:space="preserve">Wendy Bailey-Hooks, </w:t>
      </w:r>
      <w:r w:rsidRPr="000E5015">
        <w:rPr>
          <w:rFonts w:asciiTheme="minorHAnsi" w:hAnsiTheme="minorHAnsi"/>
          <w:color w:val="000000" w:themeColor="text1"/>
          <w:szCs w:val="24"/>
          <w:shd w:val="clear" w:color="auto" w:fill="FFFFFF"/>
        </w:rPr>
        <w:t>Business Operations Specialist</w:t>
      </w:r>
      <w:r w:rsidRPr="000E5015">
        <w:rPr>
          <w:rFonts w:asciiTheme="minorHAnsi" w:hAnsiTheme="minorHAnsi"/>
          <w:color w:val="000000" w:themeColor="text1"/>
          <w:szCs w:val="24"/>
        </w:rPr>
        <w:t xml:space="preserve">, </w:t>
      </w:r>
      <w:r w:rsidRPr="000E5015">
        <w:rPr>
          <w:rFonts w:asciiTheme="minorHAnsi" w:hAnsiTheme="minorHAnsi"/>
          <w:color w:val="000000" w:themeColor="text1"/>
          <w:szCs w:val="24"/>
          <w:shd w:val="clear" w:color="auto" w:fill="FFFFFF"/>
        </w:rPr>
        <w:t>Georgia Department of Human Services;</w:t>
      </w:r>
    </w:p>
    <w:p w:rsidR="00D21E38" w:rsidRPr="000E5015" w:rsidRDefault="00D21E38" w:rsidP="00D21E38">
      <w:pPr>
        <w:pStyle w:val="PlainText"/>
        <w:numPr>
          <w:ilvl w:val="0"/>
          <w:numId w:val="18"/>
        </w:numPr>
        <w:rPr>
          <w:rFonts w:asciiTheme="minorHAnsi" w:hAnsiTheme="minorHAnsi" w:cs="Times New Roman"/>
          <w:color w:val="000000" w:themeColor="text1"/>
          <w:sz w:val="24"/>
          <w:szCs w:val="24"/>
        </w:rPr>
      </w:pPr>
      <w:r w:rsidRPr="000E5015">
        <w:rPr>
          <w:rFonts w:asciiTheme="minorHAnsi" w:hAnsiTheme="minorHAnsi" w:cs="Times New Roman"/>
          <w:color w:val="000000" w:themeColor="text1"/>
          <w:sz w:val="24"/>
          <w:szCs w:val="24"/>
        </w:rPr>
        <w:t>Amanda Baker, Financial Specialist, Michigan Department of Human Services;</w:t>
      </w:r>
    </w:p>
    <w:p w:rsidR="00D21E38" w:rsidRPr="000E5015" w:rsidRDefault="00D21E38" w:rsidP="00D21E38">
      <w:pPr>
        <w:pStyle w:val="ListParagraph"/>
        <w:widowControl w:val="0"/>
        <w:numPr>
          <w:ilvl w:val="0"/>
          <w:numId w:val="18"/>
        </w:numPr>
        <w:rPr>
          <w:rFonts w:asciiTheme="minorHAnsi" w:hAnsiTheme="minorHAnsi"/>
          <w:color w:val="000000" w:themeColor="text1"/>
          <w:szCs w:val="24"/>
          <w:shd w:val="clear" w:color="auto" w:fill="FFFFFF"/>
        </w:rPr>
      </w:pPr>
      <w:r w:rsidRPr="000E5015">
        <w:rPr>
          <w:rFonts w:asciiTheme="minorHAnsi" w:hAnsiTheme="minorHAnsi"/>
          <w:color w:val="000000" w:themeColor="text1"/>
          <w:szCs w:val="24"/>
        </w:rPr>
        <w:t>Jane Blank, Lead WHEAP Admin Review Monitor, Division of Energy Services, Wisconsin Home Energy Plus Bureau;</w:t>
      </w:r>
    </w:p>
    <w:p w:rsidR="00D21E38" w:rsidRPr="000E5015" w:rsidRDefault="00D21E38" w:rsidP="00D21E38">
      <w:pPr>
        <w:pStyle w:val="ListParagraph"/>
        <w:widowControl w:val="0"/>
        <w:numPr>
          <w:ilvl w:val="0"/>
          <w:numId w:val="18"/>
        </w:numPr>
        <w:rPr>
          <w:rFonts w:asciiTheme="minorHAnsi" w:hAnsiTheme="minorHAnsi"/>
          <w:color w:val="2D261A"/>
          <w:szCs w:val="24"/>
        </w:rPr>
      </w:pPr>
      <w:r w:rsidRPr="000E5015">
        <w:rPr>
          <w:rFonts w:asciiTheme="minorHAnsi" w:hAnsiTheme="minorHAnsi"/>
          <w:color w:val="000000" w:themeColor="text1"/>
          <w:szCs w:val="24"/>
          <w:shd w:val="clear" w:color="auto" w:fill="FFFFFF"/>
        </w:rPr>
        <w:t>Sylmia Britt</w:t>
      </w:r>
      <w:r w:rsidRPr="000E5015">
        <w:rPr>
          <w:rFonts w:asciiTheme="minorHAnsi" w:hAnsiTheme="minorHAnsi"/>
          <w:color w:val="000000" w:themeColor="text1"/>
          <w:szCs w:val="24"/>
        </w:rPr>
        <w:t xml:space="preserve">, </w:t>
      </w:r>
      <w:r w:rsidRPr="000E5015">
        <w:rPr>
          <w:rFonts w:asciiTheme="minorHAnsi" w:hAnsiTheme="minorHAnsi"/>
          <w:color w:val="000000" w:themeColor="text1"/>
          <w:szCs w:val="24"/>
          <w:shd w:val="clear" w:color="auto" w:fill="FFFFFF"/>
        </w:rPr>
        <w:t>LIHEAP Coordinator,</w:t>
      </w:r>
      <w:r w:rsidRPr="000E5015">
        <w:rPr>
          <w:rFonts w:asciiTheme="minorHAnsi" w:hAnsiTheme="minorHAnsi"/>
          <w:color w:val="000000" w:themeColor="text1"/>
          <w:szCs w:val="24"/>
        </w:rPr>
        <w:t xml:space="preserve"> California </w:t>
      </w:r>
      <w:r w:rsidRPr="000E5015">
        <w:rPr>
          <w:rFonts w:asciiTheme="minorHAnsi" w:hAnsiTheme="minorHAnsi"/>
          <w:color w:val="000000" w:themeColor="text1"/>
          <w:szCs w:val="24"/>
          <w:shd w:val="clear" w:color="auto" w:fill="FFFFFF"/>
        </w:rPr>
        <w:t>Department of Community Services and Development;</w:t>
      </w:r>
    </w:p>
    <w:p w:rsidR="00D21E38" w:rsidRPr="000E5015" w:rsidRDefault="00D21E38" w:rsidP="00D21E38">
      <w:pPr>
        <w:pStyle w:val="ListParagraph"/>
        <w:widowControl w:val="0"/>
        <w:numPr>
          <w:ilvl w:val="0"/>
          <w:numId w:val="18"/>
        </w:numPr>
        <w:rPr>
          <w:rFonts w:asciiTheme="minorHAnsi" w:hAnsiTheme="minorHAnsi"/>
          <w:color w:val="000000" w:themeColor="text1"/>
          <w:szCs w:val="24"/>
        </w:rPr>
      </w:pPr>
      <w:r w:rsidRPr="000E5015">
        <w:rPr>
          <w:rFonts w:asciiTheme="minorHAnsi" w:hAnsiTheme="minorHAnsi"/>
          <w:color w:val="2D261A"/>
          <w:szCs w:val="24"/>
        </w:rPr>
        <w:t>Cari Crittenden, Program Field Representative, Oklahoma Department of Human Services;</w:t>
      </w:r>
    </w:p>
    <w:p w:rsidR="00D21E38" w:rsidRPr="000E5015" w:rsidRDefault="00D21E38" w:rsidP="00D21E38">
      <w:pPr>
        <w:pStyle w:val="ListParagraph"/>
        <w:widowControl w:val="0"/>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Taura Edwards, Energy Assistance Program Manager, Indiana Housing and Community Development Authority;</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Heather Jones, LIHEAP Manager, Department of Social Services;</w:t>
      </w:r>
      <w:r w:rsidRPr="000E5015">
        <w:rPr>
          <w:rFonts w:asciiTheme="minorHAnsi" w:hAnsiTheme="minorHAnsi"/>
          <w:color w:val="000000" w:themeColor="text1"/>
          <w:szCs w:val="24"/>
        </w:rPr>
        <w:br/>
        <w:t xml:space="preserve">Kimberly </w:t>
      </w:r>
      <w:proofErr w:type="spellStart"/>
      <w:r w:rsidRPr="000E5015">
        <w:rPr>
          <w:rFonts w:asciiTheme="minorHAnsi" w:hAnsiTheme="minorHAnsi"/>
          <w:color w:val="000000" w:themeColor="text1"/>
          <w:szCs w:val="24"/>
        </w:rPr>
        <w:t>Keilen</w:t>
      </w:r>
      <w:proofErr w:type="spellEnd"/>
      <w:r w:rsidRPr="000E5015">
        <w:rPr>
          <w:rFonts w:asciiTheme="minorHAnsi" w:hAnsiTheme="minorHAnsi"/>
          <w:color w:val="000000" w:themeColor="text1"/>
          <w:szCs w:val="24"/>
        </w:rPr>
        <w:t>, Director, Family Services Division, Michigan Department of Human Services;</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 xml:space="preserve">Jennifer Lee, </w:t>
      </w:r>
      <w:r w:rsidRPr="000E5015">
        <w:rPr>
          <w:rFonts w:asciiTheme="minorHAnsi" w:hAnsiTheme="minorHAnsi"/>
          <w:color w:val="000000" w:themeColor="text1"/>
          <w:szCs w:val="24"/>
          <w:shd w:val="clear" w:color="auto" w:fill="FFFFFF"/>
        </w:rPr>
        <w:t>Alabama Department of Economic and Community Affairs;</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lastRenderedPageBreak/>
        <w:t>Leslie Lee, Energy Program Manager, Delaware Department of Health and Social Services;</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Marcia Lemon, Program Officer, Montana Department of Public Health and Human Services;</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Susan Marshall, LIHEAP Program Coordinator, Alaska Department of Health and Social Services;</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Akm M. Rahman, Senior Information &amp; Program Coordinator, Massachusetts Department of Housing and Community Development;</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Michael Schmitz</w:t>
      </w:r>
      <w:bookmarkStart w:id="0" w:name="title"/>
      <w:bookmarkEnd w:id="0"/>
      <w:r w:rsidRPr="000E5015">
        <w:rPr>
          <w:rFonts w:asciiTheme="minorHAnsi" w:hAnsiTheme="minorHAnsi"/>
          <w:color w:val="000000" w:themeColor="text1"/>
          <w:szCs w:val="24"/>
        </w:rPr>
        <w:t xml:space="preserve">, </w:t>
      </w:r>
      <w:r w:rsidRPr="000E5015">
        <w:rPr>
          <w:rFonts w:asciiTheme="minorHAnsi" w:hAnsiTheme="minorHAnsi"/>
          <w:color w:val="000000" w:themeColor="text1"/>
          <w:szCs w:val="24"/>
          <w:bdr w:val="none" w:sz="0" w:space="0" w:color="auto" w:frame="1"/>
        </w:rPr>
        <w:t>Program Evaluation &amp; Capacity Development Specialist</w:t>
      </w:r>
      <w:r w:rsidRPr="000E5015">
        <w:rPr>
          <w:rFonts w:asciiTheme="minorHAnsi" w:hAnsiTheme="minorHAnsi"/>
          <w:color w:val="000000" w:themeColor="text1"/>
          <w:szCs w:val="24"/>
        </w:rPr>
        <w:t>, Minnesota Department of Commerce; and</w:t>
      </w:r>
    </w:p>
    <w:p w:rsidR="00D21E38" w:rsidRPr="000E5015" w:rsidRDefault="00D21E38" w:rsidP="00D21E38">
      <w:pPr>
        <w:pStyle w:val="ListParagraph"/>
        <w:numPr>
          <w:ilvl w:val="0"/>
          <w:numId w:val="18"/>
        </w:numPr>
        <w:rPr>
          <w:rFonts w:asciiTheme="minorHAnsi" w:hAnsiTheme="minorHAnsi"/>
          <w:color w:val="000000" w:themeColor="text1"/>
          <w:szCs w:val="24"/>
        </w:rPr>
      </w:pPr>
      <w:r w:rsidRPr="000E5015">
        <w:rPr>
          <w:rFonts w:asciiTheme="minorHAnsi" w:hAnsiTheme="minorHAnsi"/>
          <w:color w:val="000000" w:themeColor="text1"/>
          <w:szCs w:val="24"/>
        </w:rPr>
        <w:t xml:space="preserve">Jenni Sullivan, Project Manager, Northrop Grumman </w:t>
      </w:r>
      <w:r w:rsidRPr="000E5015">
        <w:rPr>
          <w:rFonts w:asciiTheme="minorHAnsi" w:hAnsiTheme="minorHAnsi"/>
          <w:i/>
          <w:color w:val="000000" w:themeColor="text1"/>
          <w:szCs w:val="24"/>
        </w:rPr>
        <w:t>under contract to</w:t>
      </w:r>
      <w:r w:rsidRPr="000E5015">
        <w:rPr>
          <w:rFonts w:asciiTheme="minorHAnsi" w:hAnsiTheme="minorHAnsi"/>
          <w:color w:val="000000" w:themeColor="text1"/>
          <w:szCs w:val="24"/>
        </w:rPr>
        <w:t xml:space="preserve"> Montana Department of Public Health and Human Services.</w:t>
      </w:r>
    </w:p>
    <w:p w:rsidR="00745B5E" w:rsidRDefault="00745B5E">
      <w:pPr>
        <w:rPr>
          <w:szCs w:val="24"/>
        </w:rPr>
      </w:pPr>
      <w:bookmarkStart w:id="1" w:name="_GoBack"/>
      <w:bookmarkEnd w:id="1"/>
      <w:r>
        <w:rPr>
          <w:szCs w:val="24"/>
        </w:rPr>
        <w:br w:type="page"/>
      </w:r>
    </w:p>
    <w:p w:rsidR="00305326" w:rsidRDefault="00305326">
      <w:pPr>
        <w:rPr>
          <w:szCs w:val="24"/>
        </w:rPr>
      </w:pPr>
    </w:p>
    <w:p w:rsidR="00745B5E" w:rsidRDefault="00745B5E">
      <w:pPr>
        <w:rPr>
          <w:szCs w:val="24"/>
        </w:rPr>
      </w:pPr>
    </w:p>
    <w:p w:rsidR="00305326" w:rsidRPr="00305326" w:rsidRDefault="00305326" w:rsidP="00305326">
      <w:pPr>
        <w:widowControl w:val="0"/>
        <w:tabs>
          <w:tab w:val="left" w:pos="918"/>
          <w:tab w:val="left" w:pos="1188"/>
        </w:tabs>
        <w:ind w:left="450" w:hanging="90"/>
        <w:jc w:val="center"/>
        <w:rPr>
          <w:b/>
          <w:szCs w:val="24"/>
          <w:u w:val="single"/>
        </w:rPr>
      </w:pPr>
      <w:r w:rsidRPr="00305326">
        <w:rPr>
          <w:b/>
          <w:szCs w:val="24"/>
          <w:u w:val="single"/>
        </w:rPr>
        <w:t>Attachment 1</w:t>
      </w:r>
    </w:p>
    <w:p w:rsidR="00305326" w:rsidRDefault="00305326" w:rsidP="00305326">
      <w:pPr>
        <w:widowControl w:val="0"/>
        <w:tabs>
          <w:tab w:val="left" w:pos="918"/>
          <w:tab w:val="left" w:pos="1188"/>
        </w:tabs>
        <w:ind w:left="450" w:hanging="90"/>
        <w:jc w:val="center"/>
        <w:rPr>
          <w:szCs w:val="24"/>
        </w:rPr>
      </w:pPr>
    </w:p>
    <w:p w:rsidR="00E41A32" w:rsidRDefault="00305326" w:rsidP="00305326">
      <w:pPr>
        <w:widowControl w:val="0"/>
        <w:tabs>
          <w:tab w:val="left" w:pos="918"/>
          <w:tab w:val="left" w:pos="1188"/>
        </w:tabs>
        <w:ind w:left="450" w:hanging="90"/>
        <w:jc w:val="center"/>
        <w:rPr>
          <w:b/>
          <w:bCs/>
          <w:color w:val="000000"/>
          <w:shd w:val="clear" w:color="auto" w:fill="FFFFFF"/>
        </w:rPr>
      </w:pPr>
      <w:r w:rsidRPr="00305326">
        <w:rPr>
          <w:b/>
          <w:szCs w:val="24"/>
        </w:rPr>
        <w:t xml:space="preserve">Section 2610 of the </w:t>
      </w:r>
      <w:r w:rsidRPr="00305326">
        <w:rPr>
          <w:b/>
          <w:bCs/>
          <w:color w:val="000000"/>
          <w:shd w:val="clear" w:color="auto" w:fill="FFFFFF"/>
        </w:rPr>
        <w:t>Low-Income Home Energy Assistance Act of1981 (Title XXVI of the Omnibus Budget Reconciliation Act of 1981, Public Law 97-35, as amended)</w:t>
      </w:r>
    </w:p>
    <w:p w:rsidR="00305326" w:rsidRDefault="00305326" w:rsidP="00305326">
      <w:pPr>
        <w:widowControl w:val="0"/>
        <w:tabs>
          <w:tab w:val="left" w:pos="918"/>
          <w:tab w:val="left" w:pos="1188"/>
        </w:tabs>
        <w:ind w:left="450" w:hanging="90"/>
        <w:rPr>
          <w:b/>
          <w:szCs w:val="24"/>
        </w:rPr>
      </w:pPr>
    </w:p>
    <w:p w:rsidR="00305326" w:rsidRPr="00305326" w:rsidRDefault="00305326" w:rsidP="00305326">
      <w:pPr>
        <w:pStyle w:val="NormalWeb"/>
        <w:shd w:val="clear" w:color="auto" w:fill="FFFFFF"/>
        <w:spacing w:before="0" w:beforeAutospacing="0" w:after="192" w:afterAutospacing="0"/>
        <w:rPr>
          <w:color w:val="000000"/>
        </w:rPr>
      </w:pPr>
      <w:r w:rsidRPr="00305326">
        <w:rPr>
          <w:color w:val="000000"/>
        </w:rPr>
        <w:t>(a) The Secretary, after consultation with the Secretary of Energy, shall provide for the collection of data, including--</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(1) information concerning home energy consumption;</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(2) the amount, cost and type of fuels used for households eligible for assistance under this title;</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(3) the type of fuel used by various income groups;</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(4) the number and income levels of households assisted by this title;</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(5) the number of households which received such assistance and include one or more individuals who are 60 years or older or disabled or include young children; and</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(6) any other information which the Secretary determines to be reasonably necessary to carry out the provisions of this title. Nothing in this subsection may be construed to require the Secretary to collect data which has been collected and made available to the Secretary by any other agency of the Federal Government.</w:t>
      </w:r>
    </w:p>
    <w:p w:rsidR="00305326" w:rsidRPr="00305326" w:rsidRDefault="00305326" w:rsidP="00305326">
      <w:pPr>
        <w:pStyle w:val="NormalWeb"/>
        <w:shd w:val="clear" w:color="auto" w:fill="FFFFFF"/>
        <w:spacing w:before="0" w:beforeAutospacing="0" w:after="192" w:afterAutospacing="0"/>
        <w:rPr>
          <w:color w:val="000000"/>
        </w:rPr>
      </w:pPr>
      <w:r w:rsidRPr="00305326">
        <w:rPr>
          <w:color w:val="000000"/>
        </w:rPr>
        <w:t>(b) The Secretary shall, no later than June 30 of each fiscal year, submit a report to the Congress containing a detailed compilation of the data under subsection (a) with respect to the prior fiscal year, and a report that describes for the prior fiscal year--</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(1) the manner in which States carry out the requirements of clauses (2), (5), (8), and (15) of section 2605(b); and</w:t>
      </w:r>
    </w:p>
    <w:p w:rsidR="00305326" w:rsidRPr="00305326" w:rsidRDefault="00305326" w:rsidP="00305326">
      <w:pPr>
        <w:pStyle w:val="NormalWeb"/>
        <w:shd w:val="clear" w:color="auto" w:fill="FFFFFF"/>
        <w:spacing w:before="0" w:beforeAutospacing="0" w:after="192" w:afterAutospacing="0"/>
        <w:ind w:left="720"/>
        <w:rPr>
          <w:color w:val="000000"/>
        </w:rPr>
      </w:pPr>
      <w:r w:rsidRPr="00305326">
        <w:rPr>
          <w:color w:val="000000"/>
        </w:rPr>
        <w:t>(2) the impact of each State's program on recipient and eligible households.</w:t>
      </w:r>
    </w:p>
    <w:p w:rsidR="00305326" w:rsidRPr="00305326" w:rsidRDefault="00305326" w:rsidP="00305326">
      <w:pPr>
        <w:widowControl w:val="0"/>
        <w:tabs>
          <w:tab w:val="left" w:pos="918"/>
          <w:tab w:val="left" w:pos="1188"/>
        </w:tabs>
        <w:ind w:left="450" w:hanging="90"/>
        <w:rPr>
          <w:b/>
          <w:szCs w:val="24"/>
        </w:rPr>
      </w:pPr>
    </w:p>
    <w:sectPr w:rsidR="00305326" w:rsidRPr="00305326" w:rsidSect="000810FA">
      <w:headerReference w:type="even" r:id="rId9"/>
      <w:headerReference w:type="default" r:id="rId10"/>
      <w:footerReference w:type="even" r:id="rId11"/>
      <w:endnotePr>
        <w:numFmt w:val="lowerLetter"/>
      </w:endnotePr>
      <w:pgSz w:w="12240" w:h="15840" w:code="1"/>
      <w:pgMar w:top="1440" w:right="1440" w:bottom="144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F1" w:rsidRDefault="00E723F1">
      <w:r>
        <w:separator/>
      </w:r>
    </w:p>
  </w:endnote>
  <w:endnote w:type="continuationSeparator" w:id="0">
    <w:p w:rsidR="00E723F1" w:rsidRDefault="00E7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F1" w:rsidRDefault="00E723F1" w:rsidP="00532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723F1" w:rsidRDefault="00E723F1" w:rsidP="00532F17">
    <w:pPr>
      <w:widowControl w:val="0"/>
      <w:tabs>
        <w:tab w:val="left" w:pos="34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F1" w:rsidRDefault="00E723F1">
      <w:r>
        <w:separator/>
      </w:r>
    </w:p>
  </w:footnote>
  <w:footnote w:type="continuationSeparator" w:id="0">
    <w:p w:rsidR="00E723F1" w:rsidRDefault="00E7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F1" w:rsidRDefault="00E723F1" w:rsidP="00532F17">
    <w:pPr>
      <w:framePr w:w="9360" w:h="210" w:hRule="exact" w:wrap="notBeside" w:vAnchor="page" w:hAnchor="text" w:y="1008"/>
      <w:widowControl w:val="0"/>
      <w:tabs>
        <w:tab w:val="left" w:pos="346"/>
      </w:tabs>
      <w:spacing w:line="0" w:lineRule="atLeast"/>
      <w:ind w:right="360"/>
      <w:jc w:val="right"/>
      <w:rPr>
        <w:vanish/>
      </w:rPr>
    </w:pPr>
    <w:r>
      <w:rPr>
        <w:rFonts w:ascii="Arial" w:hAnsi="Arial"/>
        <w:color w:val="000000"/>
        <w:sz w:val="18"/>
      </w:rPr>
      <w:pgNum/>
    </w:r>
  </w:p>
  <w:p w:rsidR="00E723F1" w:rsidRDefault="00E723F1" w:rsidP="00532F17">
    <w:pPr>
      <w:widowControl w:val="0"/>
      <w:tabs>
        <w:tab w:val="left" w:pos="34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F1" w:rsidRPr="007651D5" w:rsidRDefault="00E723F1" w:rsidP="00532F17">
    <w:pPr>
      <w:pStyle w:val="Header"/>
      <w:framePr w:wrap="around" w:vAnchor="text" w:hAnchor="margin" w:xAlign="right" w:y="1"/>
      <w:rPr>
        <w:rStyle w:val="PageNumber"/>
        <w:sz w:val="18"/>
        <w:szCs w:val="16"/>
      </w:rPr>
    </w:pPr>
    <w:r w:rsidRPr="007651D5">
      <w:rPr>
        <w:rStyle w:val="PageNumber"/>
        <w:sz w:val="18"/>
        <w:szCs w:val="16"/>
      </w:rPr>
      <w:fldChar w:fldCharType="begin"/>
    </w:r>
    <w:r w:rsidRPr="007651D5">
      <w:rPr>
        <w:rStyle w:val="PageNumber"/>
        <w:sz w:val="18"/>
        <w:szCs w:val="16"/>
      </w:rPr>
      <w:instrText xml:space="preserve">PAGE  </w:instrText>
    </w:r>
    <w:r w:rsidRPr="007651D5">
      <w:rPr>
        <w:rStyle w:val="PageNumber"/>
        <w:sz w:val="18"/>
        <w:szCs w:val="16"/>
      </w:rPr>
      <w:fldChar w:fldCharType="separate"/>
    </w:r>
    <w:r w:rsidR="00D21E38">
      <w:rPr>
        <w:rStyle w:val="PageNumber"/>
        <w:noProof/>
        <w:sz w:val="18"/>
        <w:szCs w:val="16"/>
      </w:rPr>
      <w:t>2</w:t>
    </w:r>
    <w:r w:rsidRPr="007651D5">
      <w:rPr>
        <w:rStyle w:val="PageNumber"/>
        <w:sz w:val="18"/>
        <w:szCs w:val="16"/>
      </w:rPr>
      <w:fldChar w:fldCharType="end"/>
    </w:r>
  </w:p>
  <w:p w:rsidR="00E723F1" w:rsidRPr="00946166" w:rsidRDefault="00E723F1" w:rsidP="00532F17">
    <w:pPr>
      <w:pStyle w:val="Header"/>
      <w:ind w:right="360"/>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5">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8">
    <w:nsid w:val="33A02FFE"/>
    <w:multiLevelType w:val="hybridMultilevel"/>
    <w:tmpl w:val="8AFC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1">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6">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16"/>
  </w:num>
  <w:num w:numId="2">
    <w:abstractNumId w:val="3"/>
  </w:num>
  <w:num w:numId="3">
    <w:abstractNumId w:val="4"/>
  </w:num>
  <w:num w:numId="4">
    <w:abstractNumId w:val="9"/>
  </w:num>
  <w:num w:numId="5">
    <w:abstractNumId w:val="7"/>
  </w:num>
  <w:num w:numId="6">
    <w:abstractNumId w:val="10"/>
  </w:num>
  <w:num w:numId="7">
    <w:abstractNumId w:val="5"/>
  </w:num>
  <w:num w:numId="8">
    <w:abstractNumId w:val="17"/>
  </w:num>
  <w:num w:numId="9">
    <w:abstractNumId w:val="1"/>
  </w:num>
  <w:num w:numId="10">
    <w:abstractNumId w:val="2"/>
  </w:num>
  <w:num w:numId="11">
    <w:abstractNumId w:val="14"/>
  </w:num>
  <w:num w:numId="12">
    <w:abstractNumId w:val="0"/>
  </w:num>
  <w:num w:numId="13">
    <w:abstractNumId w:val="13"/>
  </w:num>
  <w:num w:numId="14">
    <w:abstractNumId w:val="15"/>
  </w:num>
  <w:num w:numId="15">
    <w:abstractNumId w:val="11"/>
  </w:num>
  <w:num w:numId="16">
    <w:abstractNumId w:val="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17"/>
    <w:rsid w:val="000810FA"/>
    <w:rsid w:val="00087BDC"/>
    <w:rsid w:val="000947B0"/>
    <w:rsid w:val="0009542E"/>
    <w:rsid w:val="000C65CF"/>
    <w:rsid w:val="000D44F1"/>
    <w:rsid w:val="000D594E"/>
    <w:rsid w:val="000F7665"/>
    <w:rsid w:val="001011B3"/>
    <w:rsid w:val="00101E17"/>
    <w:rsid w:val="00111C27"/>
    <w:rsid w:val="00112DE7"/>
    <w:rsid w:val="0012461C"/>
    <w:rsid w:val="00130ACA"/>
    <w:rsid w:val="00144DDC"/>
    <w:rsid w:val="00147073"/>
    <w:rsid w:val="00176763"/>
    <w:rsid w:val="001B00C4"/>
    <w:rsid w:val="001B1990"/>
    <w:rsid w:val="001B787A"/>
    <w:rsid w:val="001C4B98"/>
    <w:rsid w:val="0020797C"/>
    <w:rsid w:val="0021012D"/>
    <w:rsid w:val="002376A2"/>
    <w:rsid w:val="00282E23"/>
    <w:rsid w:val="00285DE9"/>
    <w:rsid w:val="00291D2B"/>
    <w:rsid w:val="002A45A2"/>
    <w:rsid w:val="002A69C6"/>
    <w:rsid w:val="002C4996"/>
    <w:rsid w:val="002E0D17"/>
    <w:rsid w:val="00305326"/>
    <w:rsid w:val="0030636D"/>
    <w:rsid w:val="0031349D"/>
    <w:rsid w:val="00320DE9"/>
    <w:rsid w:val="00361117"/>
    <w:rsid w:val="003636E6"/>
    <w:rsid w:val="0036619D"/>
    <w:rsid w:val="003662C8"/>
    <w:rsid w:val="00372DBF"/>
    <w:rsid w:val="00384315"/>
    <w:rsid w:val="00396295"/>
    <w:rsid w:val="003B41A1"/>
    <w:rsid w:val="00433FCE"/>
    <w:rsid w:val="0044499C"/>
    <w:rsid w:val="00466E5F"/>
    <w:rsid w:val="0047290A"/>
    <w:rsid w:val="004A0B6F"/>
    <w:rsid w:val="004D1B1D"/>
    <w:rsid w:val="004D1BBA"/>
    <w:rsid w:val="00504BA6"/>
    <w:rsid w:val="00532906"/>
    <w:rsid w:val="00532F17"/>
    <w:rsid w:val="0053499B"/>
    <w:rsid w:val="00552163"/>
    <w:rsid w:val="00552DD9"/>
    <w:rsid w:val="00553A6B"/>
    <w:rsid w:val="0055462B"/>
    <w:rsid w:val="00567C2D"/>
    <w:rsid w:val="00573C9E"/>
    <w:rsid w:val="00580AA5"/>
    <w:rsid w:val="005C2DD6"/>
    <w:rsid w:val="00621A41"/>
    <w:rsid w:val="006477C4"/>
    <w:rsid w:val="006611A1"/>
    <w:rsid w:val="00666006"/>
    <w:rsid w:val="00694E07"/>
    <w:rsid w:val="006F6B86"/>
    <w:rsid w:val="00712F85"/>
    <w:rsid w:val="00740AFC"/>
    <w:rsid w:val="00745B5E"/>
    <w:rsid w:val="007564C5"/>
    <w:rsid w:val="007651D5"/>
    <w:rsid w:val="007A7FB0"/>
    <w:rsid w:val="007B4446"/>
    <w:rsid w:val="007B681E"/>
    <w:rsid w:val="0082158E"/>
    <w:rsid w:val="008510C2"/>
    <w:rsid w:val="008653EE"/>
    <w:rsid w:val="00874674"/>
    <w:rsid w:val="00884ED3"/>
    <w:rsid w:val="008A0F2B"/>
    <w:rsid w:val="008E058F"/>
    <w:rsid w:val="0091116B"/>
    <w:rsid w:val="00911785"/>
    <w:rsid w:val="00914194"/>
    <w:rsid w:val="00920611"/>
    <w:rsid w:val="009223A5"/>
    <w:rsid w:val="00941376"/>
    <w:rsid w:val="009477E7"/>
    <w:rsid w:val="00950A9F"/>
    <w:rsid w:val="00952125"/>
    <w:rsid w:val="00980852"/>
    <w:rsid w:val="009A0DEF"/>
    <w:rsid w:val="009B1651"/>
    <w:rsid w:val="009B3F1A"/>
    <w:rsid w:val="009C7AEE"/>
    <w:rsid w:val="009D13CE"/>
    <w:rsid w:val="009E5531"/>
    <w:rsid w:val="00A063C1"/>
    <w:rsid w:val="00A16977"/>
    <w:rsid w:val="00A43E54"/>
    <w:rsid w:val="00A80865"/>
    <w:rsid w:val="00B04082"/>
    <w:rsid w:val="00B45E24"/>
    <w:rsid w:val="00B638EB"/>
    <w:rsid w:val="00B74203"/>
    <w:rsid w:val="00B76968"/>
    <w:rsid w:val="00BC1A73"/>
    <w:rsid w:val="00BC4B72"/>
    <w:rsid w:val="00C534AD"/>
    <w:rsid w:val="00C6619F"/>
    <w:rsid w:val="00C834DC"/>
    <w:rsid w:val="00C86F36"/>
    <w:rsid w:val="00CB6877"/>
    <w:rsid w:val="00CC5F99"/>
    <w:rsid w:val="00CF4860"/>
    <w:rsid w:val="00CF4E51"/>
    <w:rsid w:val="00CF70F3"/>
    <w:rsid w:val="00D17337"/>
    <w:rsid w:val="00D21E38"/>
    <w:rsid w:val="00D30DE3"/>
    <w:rsid w:val="00E41A32"/>
    <w:rsid w:val="00E5397D"/>
    <w:rsid w:val="00E67826"/>
    <w:rsid w:val="00E71051"/>
    <w:rsid w:val="00E723F1"/>
    <w:rsid w:val="00EB01D4"/>
    <w:rsid w:val="00F03F87"/>
    <w:rsid w:val="00F24287"/>
    <w:rsid w:val="00F27C24"/>
    <w:rsid w:val="00F62AF7"/>
    <w:rsid w:val="00F818E1"/>
    <w:rsid w:val="00F81A1E"/>
    <w:rsid w:val="00F834A3"/>
    <w:rsid w:val="00FD511B"/>
    <w:rsid w:val="00F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21E38"/>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D21E38"/>
    <w:rPr>
      <w:rFonts w:ascii="Consolas" w:eastAsiaTheme="minorEastAsia"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21E38"/>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D21E38"/>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5A73F-5CA1-46FA-9AD0-ECCB0A24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Request of Information Collection Approval</vt:lpstr>
    </vt:vector>
  </TitlesOfParts>
  <Company>DHHS/OS</Company>
  <LinksUpToDate>false</LinksUpToDate>
  <CharactersWithSpaces>13585</CharactersWithSpaces>
  <SharedDoc>false</SharedDoc>
  <HLinks>
    <vt:vector size="30" baseType="variant">
      <vt:variant>
        <vt:i4>6160499</vt:i4>
      </vt:variant>
      <vt:variant>
        <vt:i4>12</vt:i4>
      </vt:variant>
      <vt:variant>
        <vt:i4>0</vt:i4>
      </vt:variant>
      <vt:variant>
        <vt:i4>5</vt:i4>
      </vt:variant>
      <vt:variant>
        <vt:lpwstr>mailto:aweisman@communityactionpartnership.com</vt:lpwstr>
      </vt:variant>
      <vt:variant>
        <vt:lpwstr/>
      </vt:variant>
      <vt:variant>
        <vt:i4>3080201</vt:i4>
      </vt:variant>
      <vt:variant>
        <vt:i4>9</vt:i4>
      </vt:variant>
      <vt:variant>
        <vt:i4>0</vt:i4>
      </vt:variant>
      <vt:variant>
        <vt:i4>5</vt:i4>
      </vt:variant>
      <vt:variant>
        <vt:lpwstr>mailto:megpower@ncaf.org</vt:lpwstr>
      </vt:variant>
      <vt:variant>
        <vt:lpwstr/>
      </vt:variant>
      <vt:variant>
        <vt:i4>3080201</vt:i4>
      </vt:variant>
      <vt:variant>
        <vt:i4>6</vt:i4>
      </vt:variant>
      <vt:variant>
        <vt:i4>0</vt:i4>
      </vt:variant>
      <vt:variant>
        <vt:i4>5</vt:i4>
      </vt:variant>
      <vt:variant>
        <vt:lpwstr>mailto:megpower@ncaf.org</vt:lpwstr>
      </vt:variant>
      <vt:variant>
        <vt:lpwstr/>
      </vt:variant>
      <vt:variant>
        <vt:i4>3407942</vt:i4>
      </vt:variant>
      <vt:variant>
        <vt:i4>3</vt:i4>
      </vt:variant>
      <vt:variant>
        <vt:i4>0</vt:i4>
      </vt:variant>
      <vt:variant>
        <vt:i4>5</vt:i4>
      </vt:variant>
      <vt:variant>
        <vt:lpwstr>mailto:warfield@nascp.%20org</vt:lpwstr>
      </vt:variant>
      <vt:variant>
        <vt:lpwstr/>
      </vt:variant>
      <vt:variant>
        <vt:i4>262191</vt:i4>
      </vt:variant>
      <vt:variant>
        <vt:i4>0</vt:i4>
      </vt:variant>
      <vt:variant>
        <vt:i4>0</vt:i4>
      </vt:variant>
      <vt:variant>
        <vt:i4>5</vt:i4>
      </vt:variant>
      <vt:variant>
        <vt:lpwstr>www.acf.hhs.gov/programs/ocs/liheap/grantees/forms.html%23household_report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of Information Collection Approval</dc:title>
  <dc:creator>thairston</dc:creator>
  <cp:lastModifiedBy>LC</cp:lastModifiedBy>
  <cp:revision>2</cp:revision>
  <dcterms:created xsi:type="dcterms:W3CDTF">2013-12-03T18:22:00Z</dcterms:created>
  <dcterms:modified xsi:type="dcterms:W3CDTF">2013-12-03T18:22:00Z</dcterms:modified>
</cp:coreProperties>
</file>