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B039AD">
      <w:pPr>
        <w:tabs>
          <w:tab w:val="center" w:pos="4680"/>
        </w:tabs>
        <w:jc w:val="center"/>
        <w:rPr>
          <w:b/>
          <w:bCs/>
          <w:sz w:val="32"/>
          <w:szCs w:val="32"/>
        </w:rPr>
      </w:pPr>
      <w:r>
        <w:rPr>
          <w:b/>
          <w:bCs/>
          <w:sz w:val="32"/>
          <w:szCs w:val="32"/>
        </w:rPr>
        <w:t xml:space="preserve">Supporting Statement </w:t>
      </w:r>
      <w:r w:rsidR="00BA1A0C">
        <w:rPr>
          <w:b/>
          <w:bCs/>
          <w:sz w:val="32"/>
          <w:szCs w:val="32"/>
        </w:rPr>
        <w:t>A</w:t>
      </w:r>
    </w:p>
    <w:p w:rsidR="00B039AD" w:rsidRDefault="00B039AD" w:rsidP="00B039AD">
      <w:pPr>
        <w:pStyle w:val="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color w:val="auto"/>
          <w:sz w:val="32"/>
          <w:szCs w:val="32"/>
        </w:rPr>
      </w:pPr>
    </w:p>
    <w:p w:rsidR="004F0F45" w:rsidRPr="004F0F45" w:rsidRDefault="004F0F45" w:rsidP="003D55E1">
      <w:pPr>
        <w:pStyle w:val="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Times New Roman" w:eastAsia="Times New Roman" w:hAnsi="Times New Roman" w:cs="Times New Roman"/>
          <w:color w:val="auto"/>
          <w:sz w:val="32"/>
          <w:szCs w:val="32"/>
        </w:rPr>
      </w:pPr>
      <w:r w:rsidRPr="004F0F45">
        <w:rPr>
          <w:rFonts w:ascii="Times New Roman" w:eastAsia="Times New Roman" w:hAnsi="Times New Roman" w:cs="Times New Roman"/>
          <w:color w:val="auto"/>
          <w:sz w:val="32"/>
          <w:szCs w:val="32"/>
        </w:rPr>
        <w:t>National Hospital Organ Donation Campaign’s Activity Scorecard</w:t>
      </w:r>
    </w:p>
    <w:p w:rsidR="00B039AD" w:rsidRDefault="00B039AD" w:rsidP="00194EE9">
      <w:pPr>
        <w:tabs>
          <w:tab w:val="center" w:pos="4680"/>
        </w:tabs>
        <w:spacing w:before="120"/>
        <w:jc w:val="center"/>
        <w:rPr>
          <w:b/>
          <w:bCs/>
          <w:sz w:val="32"/>
          <w:szCs w:val="32"/>
        </w:rPr>
      </w:pPr>
    </w:p>
    <w:p w:rsidR="00BA1A0C" w:rsidRDefault="00BA1A0C" w:rsidP="00194EE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r w:rsidR="004F0F45">
        <w:rPr>
          <w:b/>
          <w:bCs/>
          <w:sz w:val="32"/>
          <w:szCs w:val="32"/>
        </w:rPr>
        <w:t xml:space="preserve"> (NEW)</w:t>
      </w:r>
    </w:p>
    <w:p w:rsidR="009B3794" w:rsidRPr="00BA1A0C" w:rsidRDefault="009B3794" w:rsidP="00BC0CA7">
      <w:pPr>
        <w:tabs>
          <w:tab w:val="center" w:pos="4680"/>
        </w:tabs>
        <w:spacing w:before="120"/>
        <w:jc w:val="center"/>
        <w:rPr>
          <w:b/>
          <w:bCs/>
          <w:sz w:val="32"/>
          <w:szCs w:val="32"/>
        </w:rPr>
      </w:pPr>
    </w:p>
    <w:p w:rsidR="009B3794" w:rsidRPr="00CE5AA9" w:rsidRDefault="00DE3A45" w:rsidP="00BC0CA7">
      <w:pPr>
        <w:spacing w:before="120"/>
        <w:rPr>
          <w:b/>
          <w:sz w:val="24"/>
        </w:rPr>
      </w:pPr>
      <w:r>
        <w:rPr>
          <w:b/>
          <w:sz w:val="24"/>
        </w:rPr>
        <w:t>Terms of Clearance</w:t>
      </w:r>
      <w:r w:rsidR="00BA1A0C" w:rsidRPr="00BA1A0C">
        <w:rPr>
          <w:b/>
          <w:sz w:val="24"/>
        </w:rPr>
        <w:t>:</w:t>
      </w:r>
      <w:r w:rsidR="00BA1A0C">
        <w:rPr>
          <w:sz w:val="24"/>
        </w:rPr>
        <w:t xml:space="preserve">  </w:t>
      </w:r>
      <w:r w:rsidR="004F0F45">
        <w:rPr>
          <w:sz w:val="24"/>
        </w:rPr>
        <w:t>None</w:t>
      </w:r>
      <w:r w:rsidR="00BA1A0C" w:rsidRPr="00CE5AA9">
        <w:rPr>
          <w:b/>
          <w:sz w:val="24"/>
        </w:rPr>
        <w:t xml:space="preserve"> </w:t>
      </w:r>
    </w:p>
    <w:p w:rsidR="009B3794" w:rsidRDefault="009B3794" w:rsidP="00BC0CA7">
      <w:pPr>
        <w:spacing w:before="120"/>
        <w:rPr>
          <w:b/>
          <w:bCs/>
          <w:sz w:val="24"/>
        </w:rPr>
      </w:pPr>
      <w:r>
        <w:rPr>
          <w:b/>
          <w:bCs/>
          <w:sz w:val="24"/>
        </w:rPr>
        <w:t>A.</w:t>
      </w:r>
      <w:r>
        <w:rPr>
          <w:b/>
          <w:bCs/>
          <w:sz w:val="24"/>
        </w:rPr>
        <w:tab/>
        <w:t>Justification</w:t>
      </w:r>
    </w:p>
    <w:p w:rsidR="009B3794" w:rsidRPr="00194EE9" w:rsidRDefault="009B3794" w:rsidP="00F66F67">
      <w:pPr>
        <w:numPr>
          <w:ilvl w:val="0"/>
          <w:numId w:val="1"/>
        </w:numPr>
        <w:tabs>
          <w:tab w:val="clear" w:pos="1080"/>
          <w:tab w:val="num" w:pos="360"/>
        </w:tabs>
        <w:spacing w:before="240"/>
        <w:ind w:left="360"/>
        <w:rPr>
          <w:b/>
          <w:sz w:val="24"/>
        </w:rPr>
      </w:pPr>
      <w:r>
        <w:rPr>
          <w:b/>
          <w:sz w:val="24"/>
          <w:u w:val="single"/>
        </w:rPr>
        <w:t>Circumstances Making the Collection of Information Necessary</w:t>
      </w:r>
    </w:p>
    <w:p w:rsidR="00194EE9" w:rsidRDefault="00194EE9" w:rsidP="00194EE9">
      <w:pPr>
        <w:widowControl/>
        <w:rPr>
          <w:sz w:val="24"/>
        </w:rPr>
      </w:pPr>
    </w:p>
    <w:p w:rsidR="00747E71" w:rsidRDefault="00B039AD" w:rsidP="003D55E1">
      <w:pPr>
        <w:widowControl/>
        <w:rPr>
          <w:sz w:val="24"/>
        </w:rPr>
      </w:pPr>
      <w:r>
        <w:rPr>
          <w:sz w:val="24"/>
        </w:rPr>
        <w:t xml:space="preserve">The Health </w:t>
      </w:r>
      <w:r w:rsidR="006A4AA1">
        <w:rPr>
          <w:sz w:val="24"/>
        </w:rPr>
        <w:t xml:space="preserve">Resources </w:t>
      </w:r>
      <w:r>
        <w:rPr>
          <w:sz w:val="24"/>
        </w:rPr>
        <w:t xml:space="preserve">and </w:t>
      </w:r>
      <w:r w:rsidR="006A4AA1">
        <w:rPr>
          <w:sz w:val="24"/>
        </w:rPr>
        <w:t xml:space="preserve">Services </w:t>
      </w:r>
      <w:r>
        <w:rPr>
          <w:sz w:val="24"/>
        </w:rPr>
        <w:t>Administration,</w:t>
      </w:r>
      <w:r w:rsidRPr="004F0F45">
        <w:rPr>
          <w:sz w:val="24"/>
        </w:rPr>
        <w:t xml:space="preserve"> </w:t>
      </w:r>
      <w:r w:rsidR="004F0F45" w:rsidRPr="004F0F45">
        <w:rPr>
          <w:sz w:val="24"/>
        </w:rPr>
        <w:t xml:space="preserve">Healthcare Systems Bureau, Division of Transplantation </w:t>
      </w:r>
      <w:r>
        <w:rPr>
          <w:sz w:val="24"/>
        </w:rPr>
        <w:t xml:space="preserve">(HRSA/HSB/DoT) </w:t>
      </w:r>
      <w:r w:rsidR="004F0F45" w:rsidRPr="004F0F45">
        <w:rPr>
          <w:sz w:val="24"/>
        </w:rPr>
        <w:t>administers the Workplace Partnership for Life program under the authority of Section 377A(a) of the Public Health Service (PHS) Act. The Workplace Partnership for Life program seeks to increase the number of registered organ, eye, and tissue donors and to increase awareness about organ donation.</w:t>
      </w:r>
      <w:r w:rsidR="00747E71">
        <w:rPr>
          <w:sz w:val="24"/>
        </w:rPr>
        <w:t xml:space="preserve"> </w:t>
      </w:r>
    </w:p>
    <w:p w:rsidR="00194EE9" w:rsidRDefault="00194EE9" w:rsidP="00194EE9">
      <w:pPr>
        <w:widowControl/>
        <w:rPr>
          <w:sz w:val="24"/>
        </w:rPr>
      </w:pPr>
    </w:p>
    <w:p w:rsidR="00002B7D" w:rsidRDefault="003D55E1" w:rsidP="003D55E1">
      <w:pPr>
        <w:widowControl/>
        <w:rPr>
          <w:sz w:val="24"/>
        </w:rPr>
      </w:pPr>
      <w:r>
        <w:rPr>
          <w:sz w:val="24"/>
        </w:rPr>
        <w:t>DoT</w:t>
      </w:r>
      <w:r w:rsidR="00747E71" w:rsidRPr="00747E71">
        <w:rPr>
          <w:sz w:val="24"/>
        </w:rPr>
        <w:t xml:space="preserve"> launched </w:t>
      </w:r>
      <w:r>
        <w:rPr>
          <w:sz w:val="24"/>
        </w:rPr>
        <w:t>the National Hospital Organ Donation Campaign</w:t>
      </w:r>
      <w:r w:rsidR="00747E71" w:rsidRPr="00747E71">
        <w:rPr>
          <w:sz w:val="24"/>
        </w:rPr>
        <w:t xml:space="preserve"> in June 2011 to </w:t>
      </w:r>
      <w:r>
        <w:rPr>
          <w:sz w:val="24"/>
        </w:rPr>
        <w:t xml:space="preserve">involve hospitals in a national </w:t>
      </w:r>
      <w:r w:rsidR="00747E71" w:rsidRPr="00747E71">
        <w:rPr>
          <w:sz w:val="24"/>
        </w:rPr>
        <w:t xml:space="preserve">effort </w:t>
      </w:r>
      <w:r>
        <w:rPr>
          <w:sz w:val="24"/>
        </w:rPr>
        <w:t>to increase</w:t>
      </w:r>
      <w:r w:rsidR="00747E71" w:rsidRPr="00747E71">
        <w:rPr>
          <w:sz w:val="24"/>
        </w:rPr>
        <w:t xml:space="preserve"> donor registry enrollment </w:t>
      </w:r>
      <w:r>
        <w:rPr>
          <w:sz w:val="24"/>
        </w:rPr>
        <w:t xml:space="preserve">by collaborating with their local organ procurement organizations (OPO) to conduct </w:t>
      </w:r>
      <w:r w:rsidR="00572596">
        <w:rPr>
          <w:sz w:val="24"/>
        </w:rPr>
        <w:t xml:space="preserve">donation education </w:t>
      </w:r>
      <w:r w:rsidR="00747E71" w:rsidRPr="00747E71">
        <w:rPr>
          <w:sz w:val="24"/>
        </w:rPr>
        <w:t>events in their hospitals and communities.</w:t>
      </w:r>
      <w:r w:rsidR="00D87527">
        <w:rPr>
          <w:sz w:val="24"/>
        </w:rPr>
        <w:t xml:space="preserve"> The </w:t>
      </w:r>
      <w:r w:rsidR="00572596">
        <w:rPr>
          <w:sz w:val="24"/>
        </w:rPr>
        <w:t xml:space="preserve">main organizing and information dissemination arm of the campaign is a series of </w:t>
      </w:r>
      <w:r w:rsidR="00D87527">
        <w:rPr>
          <w:sz w:val="24"/>
        </w:rPr>
        <w:t xml:space="preserve">monthly </w:t>
      </w:r>
      <w:r w:rsidR="00572596">
        <w:rPr>
          <w:sz w:val="24"/>
        </w:rPr>
        <w:t xml:space="preserve">1-hour </w:t>
      </w:r>
      <w:r w:rsidR="00D87527">
        <w:rPr>
          <w:sz w:val="24"/>
        </w:rPr>
        <w:t xml:space="preserve">webinars where </w:t>
      </w:r>
      <w:r w:rsidR="00572596">
        <w:rPr>
          <w:sz w:val="24"/>
        </w:rPr>
        <w:t xml:space="preserve">a few select </w:t>
      </w:r>
      <w:r w:rsidR="00D87527">
        <w:rPr>
          <w:sz w:val="24"/>
        </w:rPr>
        <w:t>hospital</w:t>
      </w:r>
      <w:r w:rsidR="00340EDE">
        <w:rPr>
          <w:sz w:val="24"/>
        </w:rPr>
        <w:t>/</w:t>
      </w:r>
      <w:r w:rsidR="00D87527">
        <w:rPr>
          <w:sz w:val="24"/>
        </w:rPr>
        <w:t xml:space="preserve">OPO </w:t>
      </w:r>
      <w:r w:rsidR="00572596">
        <w:rPr>
          <w:sz w:val="24"/>
        </w:rPr>
        <w:t>teams</w:t>
      </w:r>
      <w:r w:rsidR="00D87527">
        <w:rPr>
          <w:sz w:val="24"/>
        </w:rPr>
        <w:t xml:space="preserve"> </w:t>
      </w:r>
      <w:r w:rsidR="00572596">
        <w:rPr>
          <w:sz w:val="24"/>
        </w:rPr>
        <w:t>make presentations about</w:t>
      </w:r>
      <w:r w:rsidR="00C42793">
        <w:rPr>
          <w:sz w:val="24"/>
        </w:rPr>
        <w:t xml:space="preserve"> their </w:t>
      </w:r>
      <w:r w:rsidR="00D87527">
        <w:rPr>
          <w:sz w:val="24"/>
        </w:rPr>
        <w:t>successful</w:t>
      </w:r>
      <w:r w:rsidR="00C42793">
        <w:rPr>
          <w:sz w:val="24"/>
        </w:rPr>
        <w:t xml:space="preserve"> outre</w:t>
      </w:r>
      <w:r w:rsidR="00D87527">
        <w:rPr>
          <w:sz w:val="24"/>
        </w:rPr>
        <w:t xml:space="preserve">ach </w:t>
      </w:r>
      <w:r w:rsidR="00C42793">
        <w:rPr>
          <w:sz w:val="24"/>
        </w:rPr>
        <w:t>strategies</w:t>
      </w:r>
      <w:r w:rsidR="00D87527">
        <w:rPr>
          <w:sz w:val="24"/>
        </w:rPr>
        <w:t xml:space="preserve"> </w:t>
      </w:r>
      <w:r w:rsidR="00C42793">
        <w:rPr>
          <w:sz w:val="24"/>
        </w:rPr>
        <w:t xml:space="preserve">so that all participants can learn from each other.  </w:t>
      </w:r>
      <w:r w:rsidR="00A346D6" w:rsidRPr="00A346D6">
        <w:rPr>
          <w:sz w:val="24"/>
        </w:rPr>
        <w:t xml:space="preserve">The campaign </w:t>
      </w:r>
      <w:r w:rsidR="00C42793">
        <w:rPr>
          <w:sz w:val="24"/>
        </w:rPr>
        <w:t xml:space="preserve">also </w:t>
      </w:r>
      <w:r w:rsidR="00A346D6" w:rsidRPr="00A346D6">
        <w:rPr>
          <w:sz w:val="24"/>
        </w:rPr>
        <w:t xml:space="preserve">supports a leadership team comprised of representatives from OPOs, Donate Life America </w:t>
      </w:r>
      <w:r w:rsidR="00A346D6">
        <w:rPr>
          <w:sz w:val="24"/>
        </w:rPr>
        <w:t>(DLA) affiliates, and hospitals, who provide suggestions for continuous campaign development and execution.</w:t>
      </w:r>
      <w:r w:rsidR="00A346D6" w:rsidRPr="00A346D6">
        <w:rPr>
          <w:sz w:val="24"/>
        </w:rPr>
        <w:t xml:space="preserve"> </w:t>
      </w:r>
      <w:r w:rsidR="00747E71">
        <w:rPr>
          <w:sz w:val="24"/>
        </w:rPr>
        <w:t xml:space="preserve"> </w:t>
      </w:r>
      <w:r w:rsidR="00A346D6">
        <w:rPr>
          <w:sz w:val="24"/>
        </w:rPr>
        <w:t>Based on the</w:t>
      </w:r>
      <w:r w:rsidR="004D3A02">
        <w:rPr>
          <w:sz w:val="24"/>
        </w:rPr>
        <w:t>ir</w:t>
      </w:r>
      <w:r w:rsidR="00A346D6">
        <w:rPr>
          <w:sz w:val="24"/>
        </w:rPr>
        <w:t xml:space="preserve"> </w:t>
      </w:r>
      <w:r w:rsidR="00A346D6" w:rsidRPr="00A346D6">
        <w:rPr>
          <w:sz w:val="24"/>
        </w:rPr>
        <w:t>experience of hospital receptivity to</w:t>
      </w:r>
      <w:r w:rsidR="004D3A02" w:rsidRPr="004D3A02">
        <w:t xml:space="preserve"> </w:t>
      </w:r>
      <w:r w:rsidR="004D3A02" w:rsidRPr="004D3A02">
        <w:rPr>
          <w:sz w:val="24"/>
        </w:rPr>
        <w:t>the opportunity to be recognized among their pe</w:t>
      </w:r>
      <w:r w:rsidR="004D3A02">
        <w:rPr>
          <w:sz w:val="24"/>
        </w:rPr>
        <w:t>ers in</w:t>
      </w:r>
      <w:r w:rsidR="00A346D6" w:rsidRPr="00A346D6">
        <w:rPr>
          <w:sz w:val="24"/>
        </w:rPr>
        <w:t xml:space="preserve"> HRSA/DoT’s previous and very successful Donation and Transplantation Collaborative, </w:t>
      </w:r>
      <w:r w:rsidR="004D3A02">
        <w:rPr>
          <w:sz w:val="24"/>
        </w:rPr>
        <w:t>t</w:t>
      </w:r>
      <w:r w:rsidR="00A346D6" w:rsidRPr="00A346D6">
        <w:rPr>
          <w:sz w:val="24"/>
        </w:rPr>
        <w:t xml:space="preserve">he leadership </w:t>
      </w:r>
      <w:r w:rsidR="004D3A02">
        <w:rPr>
          <w:sz w:val="24"/>
        </w:rPr>
        <w:t>team</w:t>
      </w:r>
      <w:r w:rsidR="00A346D6" w:rsidRPr="00A346D6">
        <w:rPr>
          <w:sz w:val="24"/>
        </w:rPr>
        <w:t xml:space="preserve"> recommended </w:t>
      </w:r>
      <w:r w:rsidR="004D3A02">
        <w:rPr>
          <w:sz w:val="24"/>
        </w:rPr>
        <w:t xml:space="preserve">that a system of awards </w:t>
      </w:r>
      <w:r w:rsidR="00C42793">
        <w:rPr>
          <w:sz w:val="24"/>
        </w:rPr>
        <w:t xml:space="preserve">and recognition </w:t>
      </w:r>
      <w:r w:rsidR="004D3A02">
        <w:rPr>
          <w:sz w:val="24"/>
        </w:rPr>
        <w:t xml:space="preserve">be developed so that hospitals could </w:t>
      </w:r>
      <w:r w:rsidR="00572596">
        <w:rPr>
          <w:sz w:val="24"/>
        </w:rPr>
        <w:t>work toward specific</w:t>
      </w:r>
      <w:r w:rsidR="004D3A02">
        <w:rPr>
          <w:sz w:val="24"/>
        </w:rPr>
        <w:t xml:space="preserve"> goals </w:t>
      </w:r>
      <w:r w:rsidR="00572596">
        <w:rPr>
          <w:sz w:val="24"/>
        </w:rPr>
        <w:t xml:space="preserve">by </w:t>
      </w:r>
      <w:r w:rsidR="004D3A02">
        <w:rPr>
          <w:sz w:val="24"/>
        </w:rPr>
        <w:t>obtain</w:t>
      </w:r>
      <w:r w:rsidR="00572596">
        <w:rPr>
          <w:sz w:val="24"/>
        </w:rPr>
        <w:t>ing</w:t>
      </w:r>
      <w:r w:rsidR="004D3A02">
        <w:rPr>
          <w:sz w:val="24"/>
        </w:rPr>
        <w:t xml:space="preserve"> credit</w:t>
      </w:r>
      <w:r w:rsidR="00572596">
        <w:rPr>
          <w:sz w:val="24"/>
        </w:rPr>
        <w:t>s</w:t>
      </w:r>
      <w:r w:rsidR="004D3A02">
        <w:rPr>
          <w:sz w:val="24"/>
        </w:rPr>
        <w:t xml:space="preserve"> for the various activities they implement.  The </w:t>
      </w:r>
      <w:r w:rsidR="00340EDE">
        <w:rPr>
          <w:sz w:val="24"/>
        </w:rPr>
        <w:t xml:space="preserve">resulting </w:t>
      </w:r>
      <w:r w:rsidR="00EC7B1C">
        <w:rPr>
          <w:sz w:val="24"/>
        </w:rPr>
        <w:t xml:space="preserve">Hospital Campaign </w:t>
      </w:r>
      <w:r w:rsidR="00D2356A">
        <w:rPr>
          <w:sz w:val="24"/>
        </w:rPr>
        <w:t>Activit</w:t>
      </w:r>
      <w:r w:rsidR="00EC7B1C">
        <w:rPr>
          <w:sz w:val="24"/>
        </w:rPr>
        <w:t>y</w:t>
      </w:r>
      <w:r w:rsidR="00D2356A">
        <w:rPr>
          <w:sz w:val="24"/>
        </w:rPr>
        <w:t xml:space="preserve"> Scorecard (Appendix A) </w:t>
      </w:r>
      <w:r w:rsidR="00C42793">
        <w:rPr>
          <w:sz w:val="24"/>
        </w:rPr>
        <w:t xml:space="preserve">was developed </w:t>
      </w:r>
      <w:r w:rsidR="00340EDE">
        <w:rPr>
          <w:sz w:val="24"/>
        </w:rPr>
        <w:t>for two purposes</w:t>
      </w:r>
      <w:r w:rsidR="00254B71">
        <w:rPr>
          <w:sz w:val="24"/>
        </w:rPr>
        <w:t xml:space="preserve">: 1)  </w:t>
      </w:r>
      <w:r w:rsidR="00ED4217">
        <w:rPr>
          <w:sz w:val="24"/>
        </w:rPr>
        <w:t xml:space="preserve">to </w:t>
      </w:r>
      <w:r w:rsidR="00340EDE">
        <w:rPr>
          <w:sz w:val="24"/>
        </w:rPr>
        <w:t>motivate and assist hospitals</w:t>
      </w:r>
      <w:r w:rsidR="00FE08AE">
        <w:rPr>
          <w:sz w:val="24"/>
        </w:rPr>
        <w:t xml:space="preserve"> </w:t>
      </w:r>
      <w:r w:rsidR="00ED4217">
        <w:rPr>
          <w:sz w:val="24"/>
        </w:rPr>
        <w:t xml:space="preserve">to conduct donor registration </w:t>
      </w:r>
      <w:r w:rsidR="00340EDE">
        <w:rPr>
          <w:sz w:val="24"/>
        </w:rPr>
        <w:t xml:space="preserve">activities </w:t>
      </w:r>
      <w:r w:rsidR="00ED4217">
        <w:rPr>
          <w:sz w:val="24"/>
        </w:rPr>
        <w:t>by pro</w:t>
      </w:r>
      <w:r w:rsidR="000B1D31">
        <w:rPr>
          <w:sz w:val="24"/>
        </w:rPr>
        <w:t xml:space="preserve">viding a </w:t>
      </w:r>
      <w:r w:rsidR="00002B7D">
        <w:rPr>
          <w:sz w:val="24"/>
        </w:rPr>
        <w:t xml:space="preserve">turn-key </w:t>
      </w:r>
      <w:r w:rsidR="000B1D31">
        <w:rPr>
          <w:sz w:val="24"/>
        </w:rPr>
        <w:t>menu of outreach strategies</w:t>
      </w:r>
      <w:r w:rsidR="00D2356A">
        <w:rPr>
          <w:sz w:val="24"/>
        </w:rPr>
        <w:t xml:space="preserve"> </w:t>
      </w:r>
      <w:r w:rsidR="00511F53">
        <w:rPr>
          <w:sz w:val="24"/>
        </w:rPr>
        <w:t>to</w:t>
      </w:r>
      <w:r w:rsidR="00002B7D">
        <w:rPr>
          <w:sz w:val="24"/>
        </w:rPr>
        <w:t xml:space="preserve"> simplify </w:t>
      </w:r>
      <w:r w:rsidR="00511F53">
        <w:rPr>
          <w:sz w:val="24"/>
        </w:rPr>
        <w:t xml:space="preserve">and facilitate </w:t>
      </w:r>
      <w:r w:rsidR="00340EDE">
        <w:rPr>
          <w:sz w:val="24"/>
        </w:rPr>
        <w:t>activity implementation</w:t>
      </w:r>
      <w:r w:rsidR="00254B71">
        <w:rPr>
          <w:sz w:val="24"/>
        </w:rPr>
        <w:t xml:space="preserve">, </w:t>
      </w:r>
      <w:r w:rsidR="00FE08AE">
        <w:rPr>
          <w:sz w:val="24"/>
        </w:rPr>
        <w:t xml:space="preserve">and </w:t>
      </w:r>
      <w:r w:rsidR="00254B71">
        <w:rPr>
          <w:sz w:val="24"/>
        </w:rPr>
        <w:t xml:space="preserve">2) to </w:t>
      </w:r>
      <w:r w:rsidR="00ED4217">
        <w:rPr>
          <w:sz w:val="24"/>
        </w:rPr>
        <w:t>provid</w:t>
      </w:r>
      <w:r w:rsidR="00C42793">
        <w:rPr>
          <w:sz w:val="24"/>
        </w:rPr>
        <w:t>e</w:t>
      </w:r>
      <w:r w:rsidR="00002B7D">
        <w:rPr>
          <w:sz w:val="24"/>
        </w:rPr>
        <w:t xml:space="preserve"> a</w:t>
      </w:r>
      <w:r w:rsidR="00FE08AE">
        <w:rPr>
          <w:sz w:val="24"/>
        </w:rPr>
        <w:t xml:space="preserve"> basis for reward and recognition</w:t>
      </w:r>
      <w:r w:rsidR="00ED4217">
        <w:rPr>
          <w:sz w:val="24"/>
        </w:rPr>
        <w:t xml:space="preserve">. </w:t>
      </w:r>
    </w:p>
    <w:p w:rsidR="003D55E1" w:rsidRDefault="003D55E1" w:rsidP="003D55E1">
      <w:pPr>
        <w:widowControl/>
        <w:rPr>
          <w:sz w:val="24"/>
        </w:rPr>
      </w:pPr>
    </w:p>
    <w:p w:rsidR="00747E71" w:rsidRPr="00747E71" w:rsidRDefault="00FE08AE" w:rsidP="003D55E1">
      <w:pPr>
        <w:widowControl/>
        <w:rPr>
          <w:sz w:val="24"/>
        </w:rPr>
      </w:pPr>
      <w:r>
        <w:rPr>
          <w:sz w:val="24"/>
        </w:rPr>
        <w:t>E</w:t>
      </w:r>
      <w:r w:rsidR="00747E71" w:rsidRPr="00747E71">
        <w:rPr>
          <w:sz w:val="24"/>
        </w:rPr>
        <w:t xml:space="preserve">ach activity on the programmable PDF is assigned a particular number of points based on the activity’s potential for generating registrations. Hospitals can complete the Activity Scorecard and submit it </w:t>
      </w:r>
      <w:r w:rsidR="00511F53">
        <w:rPr>
          <w:sz w:val="24"/>
        </w:rPr>
        <w:t xml:space="preserve">annually </w:t>
      </w:r>
      <w:r w:rsidR="00747E71" w:rsidRPr="00747E71">
        <w:rPr>
          <w:sz w:val="24"/>
        </w:rPr>
        <w:t xml:space="preserve">by email to </w:t>
      </w:r>
      <w:r w:rsidR="005A2D06">
        <w:rPr>
          <w:sz w:val="24"/>
        </w:rPr>
        <w:t>DoT</w:t>
      </w:r>
      <w:r w:rsidR="00747E71" w:rsidRPr="00747E71">
        <w:rPr>
          <w:sz w:val="24"/>
        </w:rPr>
        <w:t xml:space="preserve"> or to their OPO or DLA. This is a voluntary activity. Hospitals can participate in the campaign without using </w:t>
      </w:r>
      <w:r w:rsidR="008F518F">
        <w:rPr>
          <w:sz w:val="24"/>
        </w:rPr>
        <w:t xml:space="preserve">or submitting </w:t>
      </w:r>
      <w:r w:rsidR="00747E71" w:rsidRPr="00747E71">
        <w:rPr>
          <w:sz w:val="24"/>
        </w:rPr>
        <w:t xml:space="preserve">the Activity Scorecard. </w:t>
      </w:r>
      <w:r w:rsidR="00EC7B1C">
        <w:rPr>
          <w:sz w:val="24"/>
        </w:rPr>
        <w:lastRenderedPageBreak/>
        <w:t>DoT</w:t>
      </w:r>
      <w:r w:rsidR="00747E71" w:rsidRPr="00747E71">
        <w:rPr>
          <w:sz w:val="24"/>
        </w:rPr>
        <w:t xml:space="preserve"> anticipates that most hospitals enrolled in the campaign (currently 926) will submit a completed Activity Scorecard once a year</w:t>
      </w:r>
      <w:r w:rsidR="00D656A4">
        <w:rPr>
          <w:sz w:val="24"/>
        </w:rPr>
        <w:t xml:space="preserve"> for the next </w:t>
      </w:r>
      <w:r w:rsidR="00EC7B1C">
        <w:rPr>
          <w:sz w:val="24"/>
        </w:rPr>
        <w:t>3</w:t>
      </w:r>
      <w:r w:rsidR="00D656A4">
        <w:rPr>
          <w:sz w:val="24"/>
        </w:rPr>
        <w:t xml:space="preserve"> years</w:t>
      </w:r>
      <w:r w:rsidR="00747E71" w:rsidRPr="00747E71">
        <w:rPr>
          <w:sz w:val="24"/>
        </w:rPr>
        <w:t>.</w:t>
      </w:r>
    </w:p>
    <w:p w:rsidR="00194EE9" w:rsidRDefault="00194EE9" w:rsidP="00DC5AF8">
      <w:pPr>
        <w:rPr>
          <w:sz w:val="24"/>
        </w:rPr>
      </w:pPr>
    </w:p>
    <w:p w:rsidR="00747E71" w:rsidRPr="00747E71" w:rsidRDefault="00747E71" w:rsidP="003D55E1">
      <w:pPr>
        <w:rPr>
          <w:sz w:val="24"/>
        </w:rPr>
      </w:pPr>
      <w:r w:rsidRPr="00747E71">
        <w:rPr>
          <w:sz w:val="24"/>
        </w:rPr>
        <w:t xml:space="preserve">A list of hospitals that reach </w:t>
      </w:r>
      <w:r w:rsidR="00254B71">
        <w:rPr>
          <w:sz w:val="24"/>
        </w:rPr>
        <w:t>recognition</w:t>
      </w:r>
      <w:r w:rsidRPr="00747E71">
        <w:rPr>
          <w:sz w:val="24"/>
        </w:rPr>
        <w:t xml:space="preserve"> levels will be shared with campaign participants during monthly webinars, in monthly campaign e-newsletters from </w:t>
      </w:r>
      <w:r w:rsidR="00D87527">
        <w:rPr>
          <w:sz w:val="24"/>
        </w:rPr>
        <w:t>DoT</w:t>
      </w:r>
      <w:r w:rsidRPr="00747E71">
        <w:rPr>
          <w:sz w:val="24"/>
        </w:rPr>
        <w:t xml:space="preserve">, and in communications pieces sent out by </w:t>
      </w:r>
      <w:r w:rsidRPr="00DC5AF8">
        <w:rPr>
          <w:sz w:val="24"/>
        </w:rPr>
        <w:t xml:space="preserve">the campaign’s ten national partners, which include the American Hospital Association, the Association of Organ Procurement Organizations, and the American Society of Transplant </w:t>
      </w:r>
      <w:r w:rsidRPr="003D55E1">
        <w:rPr>
          <w:sz w:val="24"/>
        </w:rPr>
        <w:t>Surgeons</w:t>
      </w:r>
      <w:r w:rsidR="00204E2D" w:rsidRPr="003D55E1">
        <w:rPr>
          <w:sz w:val="24"/>
        </w:rPr>
        <w:t xml:space="preserve"> (see </w:t>
      </w:r>
      <w:r w:rsidR="00F03782" w:rsidRPr="003D55E1">
        <w:rPr>
          <w:sz w:val="24"/>
        </w:rPr>
        <w:t>A</w:t>
      </w:r>
      <w:r w:rsidR="00333C9E" w:rsidRPr="003D55E1">
        <w:rPr>
          <w:sz w:val="24"/>
        </w:rPr>
        <w:t>ttachment B</w:t>
      </w:r>
      <w:r w:rsidR="00204E2D" w:rsidRPr="003D55E1">
        <w:rPr>
          <w:sz w:val="24"/>
        </w:rPr>
        <w:t>)</w:t>
      </w:r>
      <w:r w:rsidRPr="003D55E1">
        <w:rPr>
          <w:sz w:val="24"/>
        </w:rPr>
        <w:t>.</w:t>
      </w:r>
      <w:r w:rsidRPr="00DC5AF8">
        <w:rPr>
          <w:sz w:val="24"/>
        </w:rPr>
        <w:t xml:space="preserve"> In addition, OPOs, DLA affiliates, participating state hospital associations, </w:t>
      </w:r>
      <w:r w:rsidR="00D87527">
        <w:rPr>
          <w:sz w:val="24"/>
        </w:rPr>
        <w:t>DoT</w:t>
      </w:r>
      <w:r w:rsidRPr="00747E71">
        <w:rPr>
          <w:sz w:val="24"/>
        </w:rPr>
        <w:t xml:space="preserve">, and the national partners can use the results to recognize hospital participation and successes. </w:t>
      </w:r>
      <w:r w:rsidR="00D87527">
        <w:rPr>
          <w:sz w:val="24"/>
        </w:rPr>
        <w:t>A</w:t>
      </w:r>
      <w:r w:rsidRPr="00747E71">
        <w:rPr>
          <w:sz w:val="24"/>
        </w:rPr>
        <w:t xml:space="preserve"> ‘‘write-in’’ option that allows hospitals to list additional activities will </w:t>
      </w:r>
      <w:r w:rsidR="00254B71">
        <w:rPr>
          <w:sz w:val="24"/>
        </w:rPr>
        <w:t xml:space="preserve">also </w:t>
      </w:r>
      <w:r w:rsidRPr="00747E71">
        <w:rPr>
          <w:sz w:val="24"/>
        </w:rPr>
        <w:t xml:space="preserve">help to identify </w:t>
      </w:r>
      <w:r w:rsidR="008F518F">
        <w:rPr>
          <w:sz w:val="24"/>
        </w:rPr>
        <w:t xml:space="preserve">new </w:t>
      </w:r>
      <w:r w:rsidRPr="00747E71">
        <w:rPr>
          <w:sz w:val="24"/>
        </w:rPr>
        <w:t xml:space="preserve"> practices that can be shared with all hospital partners on monthly webinars. </w:t>
      </w:r>
    </w:p>
    <w:p w:rsidR="009B3794" w:rsidRDefault="009B3794" w:rsidP="00F66F67">
      <w:pPr>
        <w:numPr>
          <w:ilvl w:val="0"/>
          <w:numId w:val="1"/>
        </w:numPr>
        <w:tabs>
          <w:tab w:val="clear" w:pos="1080"/>
          <w:tab w:val="num" w:pos="360"/>
        </w:tabs>
        <w:spacing w:before="240"/>
        <w:ind w:left="360"/>
        <w:rPr>
          <w:b/>
          <w:sz w:val="24"/>
        </w:rPr>
      </w:pPr>
      <w:r>
        <w:rPr>
          <w:b/>
          <w:sz w:val="24"/>
          <w:u w:val="single"/>
        </w:rPr>
        <w:t>Purpose and Use of Information Collection</w:t>
      </w:r>
    </w:p>
    <w:p w:rsidR="00194EE9" w:rsidRDefault="00194EE9">
      <w:pPr>
        <w:widowControl/>
        <w:autoSpaceDE/>
        <w:autoSpaceDN/>
        <w:adjustRightInd/>
        <w:rPr>
          <w:color w:val="000000"/>
          <w:sz w:val="24"/>
        </w:rPr>
      </w:pPr>
    </w:p>
    <w:p w:rsidR="00F14FB3" w:rsidRDefault="00B87F22" w:rsidP="00511F53">
      <w:pPr>
        <w:widowControl/>
        <w:autoSpaceDE/>
        <w:autoSpaceDN/>
        <w:adjustRightInd/>
        <w:spacing w:before="120"/>
        <w:rPr>
          <w:color w:val="000000"/>
          <w:sz w:val="24"/>
        </w:rPr>
      </w:pPr>
      <w:r>
        <w:rPr>
          <w:color w:val="000000"/>
          <w:sz w:val="24"/>
        </w:rPr>
        <w:t xml:space="preserve">The overall purpose of collecting this information is two-fold:  1) to incentivize and reward hospital </w:t>
      </w:r>
      <w:r w:rsidR="00044E9E">
        <w:rPr>
          <w:color w:val="000000"/>
          <w:sz w:val="24"/>
        </w:rPr>
        <w:t xml:space="preserve">and OPO </w:t>
      </w:r>
      <w:r>
        <w:rPr>
          <w:color w:val="000000"/>
          <w:sz w:val="24"/>
        </w:rPr>
        <w:t xml:space="preserve">participation in the campaign, and 2) to enable DoT/HRSA to obtain outcome data regarding the impact of the campaign. </w:t>
      </w:r>
    </w:p>
    <w:p w:rsidR="002D0EA6" w:rsidRDefault="002D0EA6" w:rsidP="00511F53">
      <w:pPr>
        <w:widowControl/>
        <w:autoSpaceDE/>
        <w:autoSpaceDN/>
        <w:adjustRightInd/>
        <w:spacing w:before="120"/>
        <w:rPr>
          <w:color w:val="000000"/>
          <w:sz w:val="24"/>
        </w:rPr>
      </w:pPr>
      <w:r>
        <w:rPr>
          <w:color w:val="000000"/>
          <w:sz w:val="24"/>
        </w:rPr>
        <w:t xml:space="preserve">The Scorecards themselves will be an instrument of motivation for hospitals to participate in the campaign even before data are collected.  The Scorecards provide a roadmap to success and recognition. Participants can see the activities and their point values and easily determine a course of action that will get them to their goal.  </w:t>
      </w:r>
    </w:p>
    <w:p w:rsidR="00F36CE0" w:rsidRDefault="00044E9E" w:rsidP="00511F53">
      <w:pPr>
        <w:widowControl/>
        <w:autoSpaceDE/>
        <w:autoSpaceDN/>
        <w:adjustRightInd/>
        <w:spacing w:before="120"/>
        <w:rPr>
          <w:color w:val="000000"/>
          <w:sz w:val="24"/>
        </w:rPr>
      </w:pPr>
      <w:r>
        <w:rPr>
          <w:color w:val="000000"/>
          <w:sz w:val="24"/>
        </w:rPr>
        <w:t xml:space="preserve">After Scorecards are submitted, </w:t>
      </w:r>
      <w:r w:rsidR="00F36CE0">
        <w:rPr>
          <w:color w:val="000000"/>
          <w:sz w:val="24"/>
        </w:rPr>
        <w:t>D</w:t>
      </w:r>
      <w:r w:rsidR="00F36CE0" w:rsidRPr="00F36CE0">
        <w:rPr>
          <w:color w:val="000000"/>
          <w:sz w:val="24"/>
        </w:rPr>
        <w:t xml:space="preserve">oT will create </w:t>
      </w:r>
      <w:r w:rsidR="0064726E">
        <w:rPr>
          <w:color w:val="000000"/>
          <w:sz w:val="24"/>
        </w:rPr>
        <w:t xml:space="preserve">a </w:t>
      </w:r>
      <w:r w:rsidR="00F36CE0" w:rsidRPr="00F36CE0">
        <w:rPr>
          <w:color w:val="000000"/>
          <w:sz w:val="24"/>
        </w:rPr>
        <w:t>certificate for each hospital earning recognition and mail them to the OPOs to present to the hospitals in their donation service area</w:t>
      </w:r>
      <w:r w:rsidR="0064726E">
        <w:rPr>
          <w:color w:val="000000"/>
          <w:sz w:val="24"/>
        </w:rPr>
        <w:t xml:space="preserve">. This presentation can be made in </w:t>
      </w:r>
      <w:r w:rsidR="00F36CE0">
        <w:rPr>
          <w:color w:val="000000"/>
          <w:sz w:val="24"/>
        </w:rPr>
        <w:t>special meetings</w:t>
      </w:r>
      <w:r w:rsidR="0064726E">
        <w:rPr>
          <w:color w:val="000000"/>
          <w:sz w:val="24"/>
        </w:rPr>
        <w:t xml:space="preserve">, </w:t>
      </w:r>
      <w:r w:rsidR="00F36CE0">
        <w:rPr>
          <w:color w:val="000000"/>
          <w:sz w:val="24"/>
        </w:rPr>
        <w:t>press conferences</w:t>
      </w:r>
      <w:r w:rsidR="0064726E">
        <w:rPr>
          <w:color w:val="000000"/>
          <w:sz w:val="24"/>
        </w:rPr>
        <w:t>, or other ways.</w:t>
      </w:r>
      <w:r w:rsidR="00F36CE0">
        <w:rPr>
          <w:color w:val="000000"/>
          <w:sz w:val="24"/>
        </w:rPr>
        <w:t xml:space="preserve"> </w:t>
      </w:r>
      <w:r w:rsidR="0064726E">
        <w:rPr>
          <w:color w:val="000000"/>
          <w:sz w:val="24"/>
        </w:rPr>
        <w:t xml:space="preserve"> A</w:t>
      </w:r>
      <w:r>
        <w:rPr>
          <w:color w:val="000000"/>
          <w:sz w:val="24"/>
        </w:rPr>
        <w:t xml:space="preserve"> list will be developed </w:t>
      </w:r>
      <w:r w:rsidR="00887010">
        <w:rPr>
          <w:color w:val="000000"/>
          <w:sz w:val="24"/>
        </w:rPr>
        <w:t xml:space="preserve">of </w:t>
      </w:r>
      <w:r>
        <w:rPr>
          <w:color w:val="000000"/>
          <w:sz w:val="24"/>
        </w:rPr>
        <w:t xml:space="preserve">hospitals that </w:t>
      </w:r>
      <w:r w:rsidR="00887010">
        <w:rPr>
          <w:color w:val="000000"/>
          <w:sz w:val="24"/>
        </w:rPr>
        <w:t xml:space="preserve">achieved </w:t>
      </w:r>
      <w:r w:rsidR="00887010" w:rsidRPr="00887010">
        <w:rPr>
          <w:color w:val="000000"/>
          <w:sz w:val="24"/>
        </w:rPr>
        <w:t xml:space="preserve">gold, silver, </w:t>
      </w:r>
      <w:r>
        <w:rPr>
          <w:color w:val="000000"/>
          <w:sz w:val="24"/>
        </w:rPr>
        <w:t>and</w:t>
      </w:r>
      <w:r w:rsidR="00887010" w:rsidRPr="00887010">
        <w:rPr>
          <w:color w:val="000000"/>
          <w:sz w:val="24"/>
        </w:rPr>
        <w:t xml:space="preserve"> bronze</w:t>
      </w:r>
      <w:r>
        <w:rPr>
          <w:color w:val="000000"/>
          <w:sz w:val="24"/>
        </w:rPr>
        <w:t xml:space="preserve"> recognition levels </w:t>
      </w:r>
      <w:r w:rsidR="0064726E">
        <w:rPr>
          <w:color w:val="000000"/>
          <w:sz w:val="24"/>
        </w:rPr>
        <w:t xml:space="preserve">that </w:t>
      </w:r>
      <w:r w:rsidR="000032CF" w:rsidRPr="00E63CE9">
        <w:rPr>
          <w:color w:val="000000"/>
          <w:sz w:val="24"/>
        </w:rPr>
        <w:t>will be</w:t>
      </w:r>
      <w:r w:rsidR="00747E71" w:rsidRPr="00E63CE9">
        <w:rPr>
          <w:color w:val="000000"/>
          <w:sz w:val="24"/>
        </w:rPr>
        <w:t xml:space="preserve"> </w:t>
      </w:r>
      <w:r w:rsidR="00E704AE">
        <w:rPr>
          <w:color w:val="000000"/>
          <w:sz w:val="24"/>
        </w:rPr>
        <w:t>used in several ways</w:t>
      </w:r>
      <w:r>
        <w:rPr>
          <w:color w:val="000000"/>
          <w:sz w:val="24"/>
        </w:rPr>
        <w:t xml:space="preserve"> by various entities</w:t>
      </w:r>
      <w:r w:rsidR="00E704AE">
        <w:rPr>
          <w:color w:val="000000"/>
          <w:sz w:val="24"/>
        </w:rPr>
        <w:t xml:space="preserve">. </w:t>
      </w:r>
      <w:r w:rsidR="0064726E">
        <w:rPr>
          <w:color w:val="000000"/>
          <w:sz w:val="24"/>
        </w:rPr>
        <w:t>As examples, t</w:t>
      </w:r>
      <w:r>
        <w:rPr>
          <w:color w:val="000000"/>
          <w:sz w:val="24"/>
        </w:rPr>
        <w:t>he list</w:t>
      </w:r>
      <w:r w:rsidR="00E704AE">
        <w:rPr>
          <w:color w:val="000000"/>
          <w:sz w:val="24"/>
        </w:rPr>
        <w:t xml:space="preserve"> will be </w:t>
      </w:r>
      <w:r w:rsidR="00747E71" w:rsidRPr="00E63CE9">
        <w:rPr>
          <w:color w:val="000000"/>
          <w:sz w:val="24"/>
        </w:rPr>
        <w:t>posted on organdonor.gov</w:t>
      </w:r>
      <w:r w:rsidR="00E704AE">
        <w:rPr>
          <w:color w:val="000000"/>
          <w:sz w:val="24"/>
        </w:rPr>
        <w:t xml:space="preserve">, and distributed to national partners to publicize </w:t>
      </w:r>
      <w:r w:rsidR="00F36CE0">
        <w:rPr>
          <w:color w:val="000000"/>
          <w:sz w:val="24"/>
        </w:rPr>
        <w:t xml:space="preserve">as they wish, such as </w:t>
      </w:r>
      <w:r w:rsidR="00E704AE">
        <w:rPr>
          <w:color w:val="000000"/>
          <w:sz w:val="24"/>
        </w:rPr>
        <w:t xml:space="preserve">in </w:t>
      </w:r>
      <w:r w:rsidR="00F36CE0">
        <w:rPr>
          <w:color w:val="000000"/>
          <w:sz w:val="24"/>
        </w:rPr>
        <w:t xml:space="preserve">in </w:t>
      </w:r>
      <w:r w:rsidR="00E704AE">
        <w:rPr>
          <w:color w:val="000000"/>
          <w:sz w:val="24"/>
        </w:rPr>
        <w:t>newsletters, websites, meetings, etc.  Hospitals themselves</w:t>
      </w:r>
      <w:r w:rsidR="00253279">
        <w:rPr>
          <w:color w:val="000000"/>
          <w:sz w:val="24"/>
        </w:rPr>
        <w:t xml:space="preserve"> </w:t>
      </w:r>
      <w:r w:rsidR="00E704AE">
        <w:rPr>
          <w:color w:val="000000"/>
          <w:sz w:val="24"/>
        </w:rPr>
        <w:t xml:space="preserve">will likely post information on their websites, newsletters, and social media </w:t>
      </w:r>
      <w:r w:rsidR="00F36CE0">
        <w:rPr>
          <w:color w:val="000000"/>
          <w:sz w:val="24"/>
        </w:rPr>
        <w:t>outlets</w:t>
      </w:r>
      <w:r>
        <w:rPr>
          <w:color w:val="000000"/>
          <w:sz w:val="24"/>
        </w:rPr>
        <w:t>.</w:t>
      </w:r>
      <w:r w:rsidR="00747E71" w:rsidRPr="00E63CE9">
        <w:rPr>
          <w:color w:val="000000"/>
          <w:sz w:val="24"/>
        </w:rPr>
        <w:t xml:space="preserve"> </w:t>
      </w:r>
      <w:r w:rsidR="00DC6907" w:rsidRPr="00DC5AF8">
        <w:rPr>
          <w:sz w:val="24"/>
        </w:rPr>
        <w:t xml:space="preserve"> </w:t>
      </w:r>
      <w:r w:rsidR="00D656A4" w:rsidRPr="00DC5AF8">
        <w:rPr>
          <w:color w:val="000000"/>
          <w:sz w:val="24"/>
        </w:rPr>
        <w:t xml:space="preserve">Also, OPOs </w:t>
      </w:r>
      <w:r w:rsidR="005D1D41">
        <w:rPr>
          <w:color w:val="000000"/>
          <w:sz w:val="24"/>
        </w:rPr>
        <w:t xml:space="preserve">whose service area hospitals meet recognition levels </w:t>
      </w:r>
      <w:r w:rsidR="00D656A4" w:rsidRPr="00DC5AF8">
        <w:rPr>
          <w:color w:val="000000"/>
          <w:sz w:val="24"/>
        </w:rPr>
        <w:t xml:space="preserve">will be recognized </w:t>
      </w:r>
      <w:r w:rsidR="005D1D41">
        <w:rPr>
          <w:color w:val="000000"/>
          <w:sz w:val="24"/>
        </w:rPr>
        <w:t xml:space="preserve">each year </w:t>
      </w:r>
      <w:r w:rsidR="00D656A4" w:rsidRPr="00DC5AF8">
        <w:rPr>
          <w:color w:val="000000"/>
          <w:sz w:val="24"/>
        </w:rPr>
        <w:t>at the</w:t>
      </w:r>
      <w:r w:rsidR="00D656A4" w:rsidRPr="00E63CE9">
        <w:rPr>
          <w:color w:val="000000"/>
          <w:sz w:val="24"/>
        </w:rPr>
        <w:t xml:space="preserve"> annual meeting </w:t>
      </w:r>
      <w:r w:rsidR="00B32BD8" w:rsidRPr="00DC5AF8">
        <w:rPr>
          <w:color w:val="000000"/>
          <w:sz w:val="24"/>
        </w:rPr>
        <w:t>of the Association of Organ Procurement Organizations</w:t>
      </w:r>
      <w:r w:rsidR="00F36CE0">
        <w:rPr>
          <w:color w:val="000000"/>
          <w:sz w:val="24"/>
        </w:rPr>
        <w:t xml:space="preserve"> and </w:t>
      </w:r>
      <w:r w:rsidR="00253279">
        <w:rPr>
          <w:color w:val="000000"/>
          <w:sz w:val="24"/>
        </w:rPr>
        <w:t xml:space="preserve">a list will be </w:t>
      </w:r>
      <w:r w:rsidR="00F36CE0">
        <w:rPr>
          <w:color w:val="000000"/>
          <w:sz w:val="24"/>
        </w:rPr>
        <w:t>posted on organdonor.gov.</w:t>
      </w:r>
      <w:r w:rsidR="00D656A4" w:rsidRPr="00DC5AF8">
        <w:rPr>
          <w:color w:val="000000"/>
          <w:sz w:val="24"/>
        </w:rPr>
        <w:t xml:space="preserve"> </w:t>
      </w:r>
      <w:r w:rsidR="00F36CE0">
        <w:rPr>
          <w:color w:val="000000"/>
          <w:sz w:val="24"/>
        </w:rPr>
        <w:t xml:space="preserve">A </w:t>
      </w:r>
      <w:r w:rsidR="00E704AE" w:rsidRPr="00E704AE">
        <w:rPr>
          <w:color w:val="000000"/>
          <w:sz w:val="24"/>
        </w:rPr>
        <w:t>re</w:t>
      </w:r>
      <w:bookmarkStart w:id="0" w:name="_GoBack"/>
      <w:bookmarkEnd w:id="0"/>
      <w:r w:rsidR="00E704AE" w:rsidRPr="00E704AE">
        <w:rPr>
          <w:color w:val="000000"/>
          <w:sz w:val="24"/>
        </w:rPr>
        <w:t xml:space="preserve">cord </w:t>
      </w:r>
      <w:r w:rsidR="00F36CE0">
        <w:rPr>
          <w:color w:val="000000"/>
          <w:sz w:val="24"/>
        </w:rPr>
        <w:t xml:space="preserve">will be made of </w:t>
      </w:r>
      <w:r w:rsidR="00E704AE" w:rsidRPr="00E704AE">
        <w:rPr>
          <w:color w:val="000000"/>
          <w:sz w:val="24"/>
        </w:rPr>
        <w:t xml:space="preserve">any “write-in” activities provided and </w:t>
      </w:r>
      <w:r w:rsidR="00253279">
        <w:rPr>
          <w:color w:val="000000"/>
          <w:sz w:val="24"/>
        </w:rPr>
        <w:t xml:space="preserve">the respective participants may be asked to discuss those activities on a subsequent webinar. </w:t>
      </w:r>
      <w:r w:rsidR="00F36CE0">
        <w:rPr>
          <w:color w:val="000000"/>
          <w:sz w:val="24"/>
        </w:rPr>
        <w:t xml:space="preserve"> </w:t>
      </w:r>
    </w:p>
    <w:p w:rsidR="00253279" w:rsidRDefault="00253279" w:rsidP="00511F53">
      <w:pPr>
        <w:widowControl/>
        <w:autoSpaceDE/>
        <w:autoSpaceDN/>
        <w:adjustRightInd/>
        <w:spacing w:before="120"/>
        <w:rPr>
          <w:color w:val="000000"/>
          <w:sz w:val="24"/>
        </w:rPr>
      </w:pPr>
    </w:p>
    <w:p w:rsidR="00253279" w:rsidRDefault="00253279" w:rsidP="00194EE9">
      <w:pPr>
        <w:widowControl/>
        <w:autoSpaceDE/>
        <w:autoSpaceDN/>
        <w:adjustRightInd/>
        <w:rPr>
          <w:sz w:val="24"/>
        </w:rPr>
      </w:pPr>
      <w:r w:rsidRPr="00253279">
        <w:rPr>
          <w:sz w:val="24"/>
        </w:rPr>
        <w:t>In addition, this information</w:t>
      </w:r>
      <w:r>
        <w:rPr>
          <w:sz w:val="24"/>
        </w:rPr>
        <w:t xml:space="preserve"> will be used by DoT t</w:t>
      </w:r>
      <w:r w:rsidRPr="00253279">
        <w:rPr>
          <w:sz w:val="24"/>
        </w:rPr>
        <w:t>o assess the impact of this campaign for programmatic, accountability, and budgeting purposes.</w:t>
      </w:r>
      <w:r>
        <w:rPr>
          <w:sz w:val="24"/>
        </w:rPr>
        <w:t xml:space="preserve">  </w:t>
      </w:r>
    </w:p>
    <w:p w:rsidR="00253279" w:rsidRDefault="00253279" w:rsidP="00194EE9">
      <w:pPr>
        <w:widowControl/>
        <w:autoSpaceDE/>
        <w:autoSpaceDN/>
        <w:adjustRightInd/>
        <w:rPr>
          <w:sz w:val="24"/>
        </w:rPr>
      </w:pPr>
    </w:p>
    <w:p w:rsidR="009B3794" w:rsidRPr="00A7659B" w:rsidRDefault="009B3794" w:rsidP="00F66F67">
      <w:pPr>
        <w:pStyle w:val="ListParagraph"/>
        <w:widowControl/>
        <w:numPr>
          <w:ilvl w:val="0"/>
          <w:numId w:val="3"/>
        </w:numPr>
        <w:tabs>
          <w:tab w:val="clear" w:pos="1080"/>
        </w:tabs>
        <w:autoSpaceDE/>
        <w:autoSpaceDN/>
        <w:adjustRightInd/>
        <w:ind w:left="360"/>
        <w:rPr>
          <w:b/>
          <w:sz w:val="24"/>
          <w:u w:val="single"/>
        </w:rPr>
      </w:pPr>
      <w:r w:rsidRPr="00A7659B">
        <w:rPr>
          <w:b/>
          <w:sz w:val="24"/>
          <w:u w:val="single"/>
        </w:rPr>
        <w:t>Use of Improved Information Technology and Burden Reduction</w:t>
      </w:r>
    </w:p>
    <w:p w:rsidR="009B3794" w:rsidRDefault="00DC5B24" w:rsidP="003D55E1">
      <w:pPr>
        <w:widowControl/>
        <w:spacing w:before="120"/>
        <w:rPr>
          <w:sz w:val="24"/>
        </w:rPr>
      </w:pPr>
      <w:r>
        <w:rPr>
          <w:sz w:val="24"/>
        </w:rPr>
        <w:t xml:space="preserve">This form will be a reader-enabled PDF. It can be emailed by OPOs to their hospitals or it can be downloaded electronically from the </w:t>
      </w:r>
      <w:r w:rsidR="00DB5798">
        <w:rPr>
          <w:color w:val="000000"/>
          <w:sz w:val="24"/>
        </w:rPr>
        <w:t xml:space="preserve">organdonor.gov hospital campaign </w:t>
      </w:r>
      <w:r w:rsidR="00DC6907" w:rsidRPr="003D55E1">
        <w:t>web</w:t>
      </w:r>
      <w:r w:rsidR="00DC6907">
        <w:rPr>
          <w:sz w:val="24"/>
        </w:rPr>
        <w:t xml:space="preserve">page. </w:t>
      </w:r>
      <w:r>
        <w:rPr>
          <w:sz w:val="24"/>
        </w:rPr>
        <w:t xml:space="preserve"> </w:t>
      </w:r>
      <w:r w:rsidR="0006109C">
        <w:rPr>
          <w:sz w:val="24"/>
        </w:rPr>
        <w:t>Participants</w:t>
      </w:r>
      <w:r>
        <w:rPr>
          <w:sz w:val="24"/>
        </w:rPr>
        <w:t xml:space="preserve"> with a free version of Adobe Reader can open the form electronically</w:t>
      </w:r>
      <w:r w:rsidR="00204E2D">
        <w:rPr>
          <w:sz w:val="24"/>
        </w:rPr>
        <w:t xml:space="preserve"> and</w:t>
      </w:r>
      <w:r>
        <w:rPr>
          <w:sz w:val="24"/>
        </w:rPr>
        <w:t xml:space="preserve"> fill i</w:t>
      </w:r>
      <w:r w:rsidR="00204E2D">
        <w:rPr>
          <w:sz w:val="24"/>
        </w:rPr>
        <w:t>n their hospital name, contact name</w:t>
      </w:r>
      <w:r w:rsidR="008E24E3">
        <w:rPr>
          <w:sz w:val="24"/>
        </w:rPr>
        <w:t>,</w:t>
      </w:r>
      <w:r w:rsidR="00204E2D">
        <w:rPr>
          <w:sz w:val="24"/>
        </w:rPr>
        <w:t xml:space="preserve"> and email</w:t>
      </w:r>
      <w:r w:rsidR="008E24E3">
        <w:rPr>
          <w:sz w:val="24"/>
        </w:rPr>
        <w:t xml:space="preserve"> address</w:t>
      </w:r>
      <w:r w:rsidR="00204E2D">
        <w:rPr>
          <w:sz w:val="24"/>
        </w:rPr>
        <w:t xml:space="preserve">. They can then indicate the number of times they </w:t>
      </w:r>
      <w:r w:rsidR="00204E2D">
        <w:rPr>
          <w:sz w:val="24"/>
        </w:rPr>
        <w:lastRenderedPageBreak/>
        <w:t>performed each activity</w:t>
      </w:r>
      <w:r w:rsidR="00FD0C08">
        <w:rPr>
          <w:sz w:val="24"/>
        </w:rPr>
        <w:t>,</w:t>
      </w:r>
      <w:r w:rsidR="00204E2D">
        <w:rPr>
          <w:sz w:val="24"/>
        </w:rPr>
        <w:t xml:space="preserve"> and the form will total the number of points</w:t>
      </w:r>
      <w:r w:rsidR="008E24E3">
        <w:rPr>
          <w:sz w:val="24"/>
        </w:rPr>
        <w:t xml:space="preserve"> toward recognition</w:t>
      </w:r>
      <w:r w:rsidR="00204E2D">
        <w:rPr>
          <w:sz w:val="24"/>
        </w:rPr>
        <w:t xml:space="preserve"> automatically</w:t>
      </w:r>
      <w:r w:rsidR="00DB5798">
        <w:rPr>
          <w:sz w:val="24"/>
        </w:rPr>
        <w:t>.</w:t>
      </w:r>
      <w:r w:rsidR="00FD0C08">
        <w:rPr>
          <w:sz w:val="24"/>
        </w:rPr>
        <w:t xml:space="preserve"> (Note: this feature </w:t>
      </w:r>
      <w:r w:rsidR="00DB5798">
        <w:rPr>
          <w:sz w:val="24"/>
        </w:rPr>
        <w:t>will</w:t>
      </w:r>
      <w:r w:rsidR="00FD0C08">
        <w:rPr>
          <w:sz w:val="24"/>
        </w:rPr>
        <w:t xml:space="preserve"> be programmed </w:t>
      </w:r>
      <w:r w:rsidR="00DB5798">
        <w:rPr>
          <w:sz w:val="24"/>
        </w:rPr>
        <w:t xml:space="preserve">upon </w:t>
      </w:r>
      <w:r w:rsidR="00FD0C08">
        <w:rPr>
          <w:sz w:val="24"/>
        </w:rPr>
        <w:t>approval</w:t>
      </w:r>
      <w:r w:rsidR="00204E2D">
        <w:rPr>
          <w:sz w:val="24"/>
        </w:rPr>
        <w:t>.</w:t>
      </w:r>
      <w:r w:rsidR="00FD0C08">
        <w:rPr>
          <w:sz w:val="24"/>
        </w:rPr>
        <w:t>)</w:t>
      </w:r>
      <w:r w:rsidR="00204E2D">
        <w:rPr>
          <w:sz w:val="24"/>
        </w:rPr>
        <w:t xml:space="preserve"> When </w:t>
      </w:r>
      <w:r w:rsidR="00FC1DCB">
        <w:rPr>
          <w:sz w:val="24"/>
        </w:rPr>
        <w:t>hospitals</w:t>
      </w:r>
      <w:r w:rsidR="00204E2D">
        <w:rPr>
          <w:sz w:val="24"/>
        </w:rPr>
        <w:t xml:space="preserve"> have completed the document, they can save </w:t>
      </w:r>
      <w:r w:rsidR="008E24E3">
        <w:rPr>
          <w:sz w:val="24"/>
        </w:rPr>
        <w:t>it</w:t>
      </w:r>
      <w:r w:rsidR="00204E2D">
        <w:rPr>
          <w:sz w:val="24"/>
        </w:rPr>
        <w:t xml:space="preserve"> to their computers and attach it to an email to their OPO. The OPO can then forward the completed PDF to </w:t>
      </w:r>
      <w:r w:rsidR="00D5288E">
        <w:rPr>
          <w:sz w:val="24"/>
        </w:rPr>
        <w:t>DoT</w:t>
      </w:r>
      <w:r w:rsidR="00204E2D">
        <w:rPr>
          <w:sz w:val="24"/>
        </w:rPr>
        <w:t>.</w:t>
      </w:r>
    </w:p>
    <w:p w:rsidR="00204E2D" w:rsidRPr="00CA3DA6" w:rsidRDefault="00204E2D" w:rsidP="003D55E1">
      <w:pPr>
        <w:widowControl/>
        <w:spacing w:before="120"/>
        <w:rPr>
          <w:sz w:val="24"/>
        </w:rPr>
      </w:pPr>
      <w:r>
        <w:rPr>
          <w:sz w:val="24"/>
        </w:rPr>
        <w:t>We considered adding a submit button to the form which w</w:t>
      </w:r>
      <w:r w:rsidR="00FD0C08">
        <w:rPr>
          <w:sz w:val="24"/>
        </w:rPr>
        <w:t>ould allow respondents to automatically email the form</w:t>
      </w:r>
      <w:r>
        <w:rPr>
          <w:sz w:val="24"/>
        </w:rPr>
        <w:t xml:space="preserve"> to a </w:t>
      </w:r>
      <w:r w:rsidR="00C075EF">
        <w:rPr>
          <w:sz w:val="24"/>
        </w:rPr>
        <w:t xml:space="preserve">specific </w:t>
      </w:r>
      <w:r>
        <w:rPr>
          <w:sz w:val="24"/>
        </w:rPr>
        <w:t>email address</w:t>
      </w:r>
      <w:r w:rsidR="00FD0C08">
        <w:rPr>
          <w:sz w:val="24"/>
        </w:rPr>
        <w:t xml:space="preserve"> by clicking the submit button</w:t>
      </w:r>
      <w:r>
        <w:rPr>
          <w:sz w:val="24"/>
        </w:rPr>
        <w:t xml:space="preserve">. While this would eliminate the need to save the document and open a new email message, it would not allow each hospital to send the document </w:t>
      </w:r>
      <w:r w:rsidR="00C075EF">
        <w:rPr>
          <w:sz w:val="24"/>
        </w:rPr>
        <w:t xml:space="preserve">to their individual OPO/DLA representative. We decided against doing this because it is important to keep the OPOs/DLAs in this process as they are the primary liaison with the hospitals. </w:t>
      </w:r>
    </w:p>
    <w:p w:rsidR="009B3794" w:rsidRPr="00A7659B" w:rsidRDefault="009B3794" w:rsidP="00F66F67">
      <w:pPr>
        <w:pStyle w:val="ListParagraph"/>
        <w:numPr>
          <w:ilvl w:val="0"/>
          <w:numId w:val="3"/>
        </w:numPr>
        <w:tabs>
          <w:tab w:val="clear" w:pos="1080"/>
        </w:tabs>
        <w:spacing w:before="240"/>
        <w:ind w:left="360"/>
        <w:rPr>
          <w:b/>
          <w:sz w:val="24"/>
        </w:rPr>
      </w:pPr>
      <w:r w:rsidRPr="00A7659B">
        <w:rPr>
          <w:b/>
          <w:sz w:val="24"/>
          <w:u w:val="single"/>
        </w:rPr>
        <w:t>Efforts to Identify Duplication and Use of Similar Information</w:t>
      </w:r>
    </w:p>
    <w:p w:rsidR="00A7659B" w:rsidRDefault="00D5288E" w:rsidP="00A7659B">
      <w:pPr>
        <w:spacing w:before="240"/>
        <w:rPr>
          <w:sz w:val="24"/>
        </w:rPr>
      </w:pPr>
      <w:r w:rsidRPr="00D5288E">
        <w:rPr>
          <w:sz w:val="24"/>
        </w:rPr>
        <w:t xml:space="preserve">To our knowledge, no </w:t>
      </w:r>
      <w:r>
        <w:rPr>
          <w:sz w:val="24"/>
        </w:rPr>
        <w:t xml:space="preserve">other </w:t>
      </w:r>
      <w:r w:rsidRPr="00D5288E">
        <w:rPr>
          <w:sz w:val="24"/>
        </w:rPr>
        <w:t>entity collects this type of information from hospitals nationally and no other known entity recognizes hospitals nationally for their efforts to educate the public about the need for organ, eye, and tissue donors</w:t>
      </w:r>
      <w:r>
        <w:rPr>
          <w:sz w:val="24"/>
        </w:rPr>
        <w:t xml:space="preserve"> and encourage enrollment in state donor registries.</w:t>
      </w:r>
      <w:r w:rsidRPr="00D5288E">
        <w:rPr>
          <w:sz w:val="24"/>
        </w:rPr>
        <w:t xml:space="preserve">   </w:t>
      </w:r>
      <w:r w:rsidR="00577BA8">
        <w:rPr>
          <w:sz w:val="24"/>
        </w:rPr>
        <w:t>Th</w:t>
      </w:r>
      <w:r>
        <w:rPr>
          <w:sz w:val="24"/>
        </w:rPr>
        <w:t>e</w:t>
      </w:r>
      <w:r w:rsidR="00577BA8">
        <w:rPr>
          <w:sz w:val="24"/>
        </w:rPr>
        <w:t xml:space="preserve"> </w:t>
      </w:r>
      <w:r>
        <w:rPr>
          <w:sz w:val="24"/>
        </w:rPr>
        <w:t xml:space="preserve">Scorecard </w:t>
      </w:r>
      <w:r w:rsidR="00577BA8">
        <w:rPr>
          <w:sz w:val="24"/>
        </w:rPr>
        <w:t>and recognition</w:t>
      </w:r>
      <w:r w:rsidR="00C075EF">
        <w:rPr>
          <w:sz w:val="24"/>
        </w:rPr>
        <w:t xml:space="preserve"> </w:t>
      </w:r>
      <w:r>
        <w:rPr>
          <w:sz w:val="24"/>
        </w:rPr>
        <w:t xml:space="preserve">strategy </w:t>
      </w:r>
      <w:r w:rsidR="00577BA8">
        <w:rPr>
          <w:sz w:val="24"/>
        </w:rPr>
        <w:t xml:space="preserve">were created based on </w:t>
      </w:r>
      <w:r w:rsidR="0098455C">
        <w:rPr>
          <w:sz w:val="24"/>
        </w:rPr>
        <w:t>recommendations from</w:t>
      </w:r>
      <w:r w:rsidR="00577BA8">
        <w:rPr>
          <w:sz w:val="24"/>
        </w:rPr>
        <w:t xml:space="preserve"> the </w:t>
      </w:r>
      <w:r w:rsidR="00C075EF">
        <w:rPr>
          <w:sz w:val="24"/>
        </w:rPr>
        <w:t xml:space="preserve">Hospital Campaign Leadership Team </w:t>
      </w:r>
      <w:r w:rsidR="00C075EF" w:rsidRPr="00F03782">
        <w:rPr>
          <w:sz w:val="24"/>
        </w:rPr>
        <w:t>(</w:t>
      </w:r>
      <w:r w:rsidR="00F03782" w:rsidRPr="00F03782">
        <w:rPr>
          <w:sz w:val="24"/>
        </w:rPr>
        <w:t>A</w:t>
      </w:r>
      <w:r w:rsidR="00333C9E" w:rsidRPr="00F03782">
        <w:rPr>
          <w:sz w:val="24"/>
        </w:rPr>
        <w:t>ttachment C</w:t>
      </w:r>
      <w:r w:rsidR="00C075EF" w:rsidRPr="00F03782">
        <w:rPr>
          <w:sz w:val="24"/>
        </w:rPr>
        <w:t>)</w:t>
      </w:r>
      <w:r w:rsidR="00577BA8" w:rsidRPr="00F03782">
        <w:rPr>
          <w:sz w:val="24"/>
        </w:rPr>
        <w:t>.</w:t>
      </w:r>
      <w:r w:rsidR="00577BA8">
        <w:rPr>
          <w:sz w:val="24"/>
        </w:rPr>
        <w:t xml:space="preserve"> </w:t>
      </w:r>
      <w:r>
        <w:rPr>
          <w:sz w:val="24"/>
        </w:rPr>
        <w:t>A few</w:t>
      </w:r>
      <w:r w:rsidR="00577BA8">
        <w:rPr>
          <w:sz w:val="24"/>
        </w:rPr>
        <w:t xml:space="preserve"> OPOs </w:t>
      </w:r>
      <w:r w:rsidR="00FC2D53">
        <w:rPr>
          <w:sz w:val="24"/>
        </w:rPr>
        <w:t>report</w:t>
      </w:r>
      <w:r w:rsidR="0098455C">
        <w:rPr>
          <w:sz w:val="24"/>
        </w:rPr>
        <w:t>ed</w:t>
      </w:r>
      <w:r w:rsidR="00FC2D53">
        <w:rPr>
          <w:sz w:val="24"/>
        </w:rPr>
        <w:t xml:space="preserve"> doing </w:t>
      </w:r>
      <w:r w:rsidR="00577BA8">
        <w:rPr>
          <w:sz w:val="24"/>
        </w:rPr>
        <w:t xml:space="preserve">similar incentive-based </w:t>
      </w:r>
      <w:r w:rsidR="00694437">
        <w:rPr>
          <w:sz w:val="24"/>
        </w:rPr>
        <w:t>programs</w:t>
      </w:r>
      <w:r w:rsidR="00FC2D53">
        <w:rPr>
          <w:sz w:val="24"/>
        </w:rPr>
        <w:t xml:space="preserve"> with their hospitals and encouraged </w:t>
      </w:r>
      <w:r>
        <w:rPr>
          <w:sz w:val="24"/>
        </w:rPr>
        <w:t>DoT</w:t>
      </w:r>
      <w:r w:rsidR="00FC2D53">
        <w:rPr>
          <w:sz w:val="24"/>
        </w:rPr>
        <w:t xml:space="preserve"> to replicate these efforts at a national level. Specifically, representatives from Louisiana Organ Procurement Organization a</w:t>
      </w:r>
      <w:r w:rsidR="0098455C">
        <w:rPr>
          <w:sz w:val="24"/>
        </w:rPr>
        <w:t>nd Donate Life Ohio shared</w:t>
      </w:r>
      <w:r w:rsidR="00FC2D53">
        <w:rPr>
          <w:sz w:val="24"/>
        </w:rPr>
        <w:t xml:space="preserve"> </w:t>
      </w:r>
      <w:r w:rsidR="0098455C">
        <w:rPr>
          <w:sz w:val="24"/>
        </w:rPr>
        <w:t>their lists of recommended activities for their hospitals</w:t>
      </w:r>
      <w:r w:rsidR="009244C3">
        <w:rPr>
          <w:sz w:val="24"/>
        </w:rPr>
        <w:t xml:space="preserve"> as a guideline for the federal </w:t>
      </w:r>
      <w:r w:rsidR="00694437">
        <w:rPr>
          <w:sz w:val="24"/>
        </w:rPr>
        <w:t>program</w:t>
      </w:r>
      <w:r w:rsidR="00A7659B">
        <w:rPr>
          <w:sz w:val="24"/>
        </w:rPr>
        <w:t xml:space="preserve">. </w:t>
      </w:r>
    </w:p>
    <w:p w:rsidR="009B3794" w:rsidRPr="00A7659B" w:rsidRDefault="009B3794" w:rsidP="00F66F67">
      <w:pPr>
        <w:pStyle w:val="ListParagraph"/>
        <w:numPr>
          <w:ilvl w:val="0"/>
          <w:numId w:val="3"/>
        </w:numPr>
        <w:tabs>
          <w:tab w:val="clear" w:pos="1080"/>
          <w:tab w:val="num" w:pos="360"/>
        </w:tabs>
        <w:spacing w:before="240"/>
        <w:ind w:hanging="1080"/>
        <w:rPr>
          <w:color w:val="000000"/>
          <w:sz w:val="24"/>
        </w:rPr>
      </w:pPr>
      <w:r w:rsidRPr="00A7659B">
        <w:rPr>
          <w:b/>
          <w:sz w:val="24"/>
          <w:u w:val="single"/>
        </w:rPr>
        <w:t>Impact on Small Businesses or Other Small Entities</w:t>
      </w:r>
    </w:p>
    <w:p w:rsidR="009B3794" w:rsidRDefault="009244C3" w:rsidP="003D55E1">
      <w:pPr>
        <w:tabs>
          <w:tab w:val="left" w:pos="3060"/>
        </w:tabs>
        <w:spacing w:before="120"/>
        <w:rPr>
          <w:color w:val="000000"/>
          <w:sz w:val="24"/>
        </w:rPr>
      </w:pPr>
      <w:r>
        <w:rPr>
          <w:color w:val="000000"/>
          <w:sz w:val="24"/>
        </w:rPr>
        <w:t>T</w:t>
      </w:r>
      <w:r w:rsidR="009B3794">
        <w:rPr>
          <w:color w:val="000000"/>
          <w:sz w:val="24"/>
        </w:rPr>
        <w:t xml:space="preserve">he information being requested </w:t>
      </w:r>
      <w:r w:rsidR="00B94003">
        <w:rPr>
          <w:color w:val="000000"/>
          <w:sz w:val="24"/>
        </w:rPr>
        <w:t>is</w:t>
      </w:r>
      <w:r w:rsidR="009B3794">
        <w:rPr>
          <w:color w:val="000000"/>
          <w:sz w:val="24"/>
        </w:rPr>
        <w:t xml:space="preserve"> the minimum required for the intended use of the data.  </w:t>
      </w:r>
    </w:p>
    <w:p w:rsidR="009B3794" w:rsidRPr="00A7659B" w:rsidRDefault="009B3794" w:rsidP="00F66F67">
      <w:pPr>
        <w:pStyle w:val="ListParagraph"/>
        <w:numPr>
          <w:ilvl w:val="0"/>
          <w:numId w:val="3"/>
        </w:numPr>
        <w:tabs>
          <w:tab w:val="clear" w:pos="1080"/>
          <w:tab w:val="num" w:pos="360"/>
        </w:tabs>
        <w:spacing w:before="240"/>
        <w:ind w:hanging="1080"/>
        <w:rPr>
          <w:b/>
          <w:sz w:val="24"/>
        </w:rPr>
      </w:pPr>
      <w:r w:rsidRPr="00A7659B">
        <w:rPr>
          <w:b/>
          <w:sz w:val="24"/>
          <w:u w:val="single"/>
        </w:rPr>
        <w:t>Consequences of Collecting the Information Less Frequent</w:t>
      </w:r>
      <w:r w:rsidR="001325B2" w:rsidRPr="00A7659B">
        <w:rPr>
          <w:b/>
          <w:sz w:val="24"/>
          <w:u w:val="single"/>
        </w:rPr>
        <w:t>ly</w:t>
      </w:r>
    </w:p>
    <w:p w:rsidR="005E3763" w:rsidRDefault="00694437" w:rsidP="003D55E1">
      <w:pPr>
        <w:widowControl/>
        <w:autoSpaceDE/>
        <w:autoSpaceDN/>
        <w:adjustRightInd/>
        <w:spacing w:before="240"/>
        <w:rPr>
          <w:sz w:val="24"/>
        </w:rPr>
      </w:pPr>
      <w:r>
        <w:rPr>
          <w:sz w:val="24"/>
        </w:rPr>
        <w:t xml:space="preserve">We are proposing to collect the information only once per year so that participants can be recognized once per year.  Recognition on a less frequent basis would likely be too infrequent to have the same </w:t>
      </w:r>
      <w:r w:rsidR="005E3763">
        <w:rPr>
          <w:sz w:val="24"/>
        </w:rPr>
        <w:t>motivating</w:t>
      </w:r>
      <w:r>
        <w:rPr>
          <w:sz w:val="24"/>
        </w:rPr>
        <w:t xml:space="preserve"> potential.  </w:t>
      </w:r>
    </w:p>
    <w:p w:rsidR="009B3794" w:rsidRPr="00A7659B" w:rsidRDefault="009B3794" w:rsidP="00F66F67">
      <w:pPr>
        <w:pStyle w:val="ListParagraph"/>
        <w:widowControl/>
        <w:numPr>
          <w:ilvl w:val="0"/>
          <w:numId w:val="3"/>
        </w:numPr>
        <w:tabs>
          <w:tab w:val="clear" w:pos="1080"/>
        </w:tabs>
        <w:autoSpaceDE/>
        <w:autoSpaceDN/>
        <w:adjustRightInd/>
        <w:spacing w:before="240"/>
        <w:ind w:left="360"/>
        <w:rPr>
          <w:b/>
          <w:sz w:val="24"/>
        </w:rPr>
      </w:pPr>
      <w:r w:rsidRPr="00A7659B">
        <w:rPr>
          <w:b/>
          <w:sz w:val="24"/>
          <w:u w:val="single"/>
        </w:rPr>
        <w:t>Special Circumstances Relating to the Guidelines of 5 CFR 1320.5</w:t>
      </w:r>
    </w:p>
    <w:p w:rsidR="009B3794" w:rsidRPr="008E24E3" w:rsidRDefault="008E24E3" w:rsidP="003D55E1">
      <w:pPr>
        <w:widowControl/>
        <w:tabs>
          <w:tab w:val="num" w:pos="360"/>
        </w:tabs>
        <w:spacing w:before="120"/>
        <w:rPr>
          <w:b/>
          <w:sz w:val="24"/>
        </w:rPr>
      </w:pPr>
      <w:r w:rsidRPr="008E24E3">
        <w:rPr>
          <w:sz w:val="24"/>
        </w:rPr>
        <w:t>This request fully complies with the regulations outlined in 5 CFR 1320.5.</w:t>
      </w:r>
    </w:p>
    <w:p w:rsidR="009B3794" w:rsidRPr="00A7659B" w:rsidRDefault="009B3794" w:rsidP="00F66F67">
      <w:pPr>
        <w:pStyle w:val="ListParagraph"/>
        <w:numPr>
          <w:ilvl w:val="0"/>
          <w:numId w:val="3"/>
        </w:numPr>
        <w:tabs>
          <w:tab w:val="clear" w:pos="1080"/>
          <w:tab w:val="num" w:pos="360"/>
        </w:tabs>
        <w:spacing w:before="240"/>
        <w:ind w:hanging="1080"/>
        <w:rPr>
          <w:b/>
          <w:sz w:val="24"/>
        </w:rPr>
      </w:pPr>
      <w:r w:rsidRPr="00A7659B">
        <w:rPr>
          <w:b/>
          <w:iCs/>
          <w:sz w:val="24"/>
          <w:u w:val="single"/>
        </w:rPr>
        <w:t>Comments in Response to the Federal Register</w:t>
      </w:r>
      <w:r w:rsidRPr="00A7659B">
        <w:rPr>
          <w:b/>
          <w:sz w:val="24"/>
          <w:u w:val="single"/>
        </w:rPr>
        <w:t xml:space="preserve"> Notice/Outside Consultation</w:t>
      </w:r>
    </w:p>
    <w:p w:rsidR="00DE3A45" w:rsidRPr="00DE3A45" w:rsidRDefault="00DE3A45" w:rsidP="006C136E">
      <w:pPr>
        <w:spacing w:before="120"/>
        <w:rPr>
          <w:b/>
          <w:sz w:val="24"/>
        </w:rPr>
      </w:pPr>
      <w:r w:rsidRPr="00DE3A45">
        <w:rPr>
          <w:b/>
          <w:sz w:val="24"/>
        </w:rPr>
        <w:t>Section 8A:</w:t>
      </w:r>
    </w:p>
    <w:p w:rsidR="00333C9E" w:rsidRPr="00333C9E" w:rsidRDefault="00333C9E" w:rsidP="000A1E38">
      <w:pPr>
        <w:spacing w:before="120"/>
        <w:rPr>
          <w:sz w:val="24"/>
        </w:rPr>
      </w:pPr>
      <w:r w:rsidRPr="00333C9E">
        <w:rPr>
          <w:sz w:val="24"/>
        </w:rPr>
        <w:t xml:space="preserve">A 60-day Federal Register Notice was published in the </w:t>
      </w:r>
      <w:r w:rsidRPr="00333C9E">
        <w:rPr>
          <w:i/>
          <w:iCs/>
          <w:sz w:val="24"/>
        </w:rPr>
        <w:t xml:space="preserve">Federal Register </w:t>
      </w:r>
      <w:r w:rsidRPr="00333C9E">
        <w:rPr>
          <w:sz w:val="24"/>
        </w:rPr>
        <w:t>on July 15, 2013, vol. 78, No. 135; pp. 42088-42089</w:t>
      </w:r>
      <w:r w:rsidRPr="00F03782">
        <w:rPr>
          <w:sz w:val="24"/>
        </w:rPr>
        <w:t>.</w:t>
      </w:r>
      <w:r w:rsidRPr="00333C9E">
        <w:rPr>
          <w:sz w:val="24"/>
        </w:rPr>
        <w:t xml:space="preserve"> There were no public comments.</w:t>
      </w:r>
    </w:p>
    <w:p w:rsidR="00DE3A45" w:rsidRPr="00333C9E" w:rsidRDefault="00DE3A45" w:rsidP="00194EE9">
      <w:pPr>
        <w:spacing w:before="120"/>
        <w:rPr>
          <w:b/>
          <w:sz w:val="24"/>
        </w:rPr>
      </w:pPr>
      <w:r w:rsidRPr="00333C9E">
        <w:rPr>
          <w:b/>
          <w:sz w:val="24"/>
        </w:rPr>
        <w:t>Section 8B:</w:t>
      </w:r>
    </w:p>
    <w:p w:rsidR="009B3794" w:rsidRDefault="00333C9E" w:rsidP="003D55E1">
      <w:pPr>
        <w:spacing w:before="120"/>
        <w:rPr>
          <w:sz w:val="24"/>
        </w:rPr>
      </w:pPr>
      <w:r>
        <w:rPr>
          <w:sz w:val="24"/>
        </w:rPr>
        <w:t xml:space="preserve">Members of the campaign’s leadership team were consulted regularly during the development of the document. </w:t>
      </w:r>
      <w:r w:rsidR="00545B72">
        <w:rPr>
          <w:sz w:val="24"/>
        </w:rPr>
        <w:t>DoT</w:t>
      </w:r>
      <w:r>
        <w:rPr>
          <w:sz w:val="24"/>
        </w:rPr>
        <w:t xml:space="preserve"> </w:t>
      </w:r>
      <w:r w:rsidR="00C724CC">
        <w:rPr>
          <w:sz w:val="24"/>
        </w:rPr>
        <w:t xml:space="preserve">requested feedback on </w:t>
      </w:r>
      <w:r>
        <w:rPr>
          <w:sz w:val="24"/>
        </w:rPr>
        <w:t xml:space="preserve">the draft document </w:t>
      </w:r>
      <w:r w:rsidR="00C724CC">
        <w:rPr>
          <w:sz w:val="24"/>
        </w:rPr>
        <w:t>from</w:t>
      </w:r>
      <w:r>
        <w:rPr>
          <w:sz w:val="24"/>
        </w:rPr>
        <w:t xml:space="preserve"> representatives from the </w:t>
      </w:r>
      <w:r>
        <w:rPr>
          <w:sz w:val="24"/>
        </w:rPr>
        <w:lastRenderedPageBreak/>
        <w:t>campaign’s national partner</w:t>
      </w:r>
      <w:r w:rsidRPr="00F03782">
        <w:rPr>
          <w:sz w:val="24"/>
        </w:rPr>
        <w:t>s</w:t>
      </w:r>
      <w:r w:rsidR="00FD0C08">
        <w:rPr>
          <w:sz w:val="24"/>
        </w:rPr>
        <w:t xml:space="preserve"> as w</w:t>
      </w:r>
      <w:r w:rsidR="00B94003">
        <w:rPr>
          <w:sz w:val="24"/>
        </w:rPr>
        <w:t>e</w:t>
      </w:r>
      <w:r w:rsidR="00FD0C08">
        <w:rPr>
          <w:sz w:val="24"/>
        </w:rPr>
        <w:t>ll</w:t>
      </w:r>
      <w:r w:rsidRPr="00F03782">
        <w:rPr>
          <w:sz w:val="24"/>
        </w:rPr>
        <w:t xml:space="preserve">. </w:t>
      </w:r>
      <w:r w:rsidR="00F03782" w:rsidRPr="00F03782">
        <w:rPr>
          <w:sz w:val="24"/>
        </w:rPr>
        <w:t>See A</w:t>
      </w:r>
      <w:r w:rsidR="00C724CC" w:rsidRPr="00F03782">
        <w:rPr>
          <w:sz w:val="24"/>
        </w:rPr>
        <w:t xml:space="preserve">ttachment </w:t>
      </w:r>
      <w:r w:rsidR="00E63CE9">
        <w:rPr>
          <w:sz w:val="24"/>
        </w:rPr>
        <w:t xml:space="preserve">C </w:t>
      </w:r>
      <w:r w:rsidR="00C724CC">
        <w:rPr>
          <w:sz w:val="24"/>
        </w:rPr>
        <w:t>for the names, titles, telephone numbers and e-mail addresses of those consulted.</w:t>
      </w:r>
    </w:p>
    <w:p w:rsidR="009B3794" w:rsidRDefault="009B3794" w:rsidP="00F66F67">
      <w:pPr>
        <w:numPr>
          <w:ilvl w:val="0"/>
          <w:numId w:val="3"/>
        </w:numPr>
        <w:spacing w:before="240"/>
        <w:ind w:left="360"/>
        <w:rPr>
          <w:b/>
          <w:sz w:val="24"/>
        </w:rPr>
      </w:pPr>
      <w:r>
        <w:rPr>
          <w:b/>
          <w:sz w:val="24"/>
          <w:u w:val="single"/>
        </w:rPr>
        <w:t>Explanation of any Payment/Gift to Respondents</w:t>
      </w:r>
    </w:p>
    <w:p w:rsidR="002764B2" w:rsidRDefault="00C724CC" w:rsidP="003D55E1">
      <w:pPr>
        <w:spacing w:before="120"/>
        <w:rPr>
          <w:sz w:val="24"/>
        </w:rPr>
      </w:pPr>
      <w:r>
        <w:rPr>
          <w:sz w:val="24"/>
        </w:rPr>
        <w:t>There will be no monetary payment</w:t>
      </w:r>
      <w:r w:rsidR="00CE5A63">
        <w:rPr>
          <w:sz w:val="24"/>
        </w:rPr>
        <w:t>/gift</w:t>
      </w:r>
      <w:r>
        <w:rPr>
          <w:sz w:val="24"/>
        </w:rPr>
        <w:t xml:space="preserve"> to respondents. Those who respond will be recognized by HRSA</w:t>
      </w:r>
      <w:r w:rsidR="00545B72">
        <w:rPr>
          <w:sz w:val="24"/>
        </w:rPr>
        <w:t>\DoT</w:t>
      </w:r>
      <w:r>
        <w:rPr>
          <w:sz w:val="24"/>
        </w:rPr>
        <w:t xml:space="preserve"> and the campaign’s national partners through publicity</w:t>
      </w:r>
      <w:r w:rsidR="00545B72">
        <w:rPr>
          <w:sz w:val="24"/>
        </w:rPr>
        <w:t xml:space="preserve">. </w:t>
      </w:r>
      <w:r>
        <w:rPr>
          <w:sz w:val="24"/>
        </w:rPr>
        <w:t xml:space="preserve">In addition, HRSA will provide OPOs with certificates for each hospital that earned recognition. </w:t>
      </w:r>
    </w:p>
    <w:p w:rsidR="009B3794" w:rsidRPr="00A7659B" w:rsidRDefault="009B3794" w:rsidP="00F66F67">
      <w:pPr>
        <w:pStyle w:val="ListParagraph"/>
        <w:numPr>
          <w:ilvl w:val="0"/>
          <w:numId w:val="3"/>
        </w:numPr>
        <w:tabs>
          <w:tab w:val="clear" w:pos="1080"/>
          <w:tab w:val="num" w:pos="360"/>
        </w:tabs>
        <w:spacing w:before="120"/>
        <w:ind w:hanging="1080"/>
        <w:rPr>
          <w:b/>
          <w:sz w:val="24"/>
        </w:rPr>
      </w:pPr>
      <w:r w:rsidRPr="00A7659B">
        <w:rPr>
          <w:b/>
          <w:sz w:val="24"/>
          <w:u w:val="single"/>
        </w:rPr>
        <w:t>Assurance of Confidentiality Provided to Respondents</w:t>
      </w:r>
    </w:p>
    <w:p w:rsidR="009B3794" w:rsidRDefault="00965CBB" w:rsidP="003D55E1">
      <w:pPr>
        <w:spacing w:before="120"/>
        <w:rPr>
          <w:sz w:val="24"/>
        </w:rPr>
      </w:pPr>
      <w:r w:rsidRPr="00D20F0F">
        <w:rPr>
          <w:sz w:val="24"/>
        </w:rPr>
        <w:t xml:space="preserve">The collection of the </w:t>
      </w:r>
      <w:r w:rsidR="004104EE">
        <w:rPr>
          <w:sz w:val="24"/>
        </w:rPr>
        <w:t>A</w:t>
      </w:r>
      <w:r>
        <w:rPr>
          <w:sz w:val="24"/>
        </w:rPr>
        <w:t xml:space="preserve">ctivity </w:t>
      </w:r>
      <w:r w:rsidR="004104EE">
        <w:rPr>
          <w:sz w:val="24"/>
        </w:rPr>
        <w:t>S</w:t>
      </w:r>
      <w:r>
        <w:rPr>
          <w:sz w:val="24"/>
        </w:rPr>
        <w:t>corecard</w:t>
      </w:r>
      <w:r w:rsidRPr="00D20F0F">
        <w:rPr>
          <w:sz w:val="24"/>
        </w:rPr>
        <w:t xml:space="preserve"> is for </w:t>
      </w:r>
      <w:r>
        <w:rPr>
          <w:sz w:val="24"/>
        </w:rPr>
        <w:t>public recognition of the hospital efforts</w:t>
      </w:r>
      <w:r w:rsidRPr="00D20F0F">
        <w:rPr>
          <w:sz w:val="24"/>
        </w:rPr>
        <w:t xml:space="preserve"> by DoT</w:t>
      </w:r>
      <w:r>
        <w:rPr>
          <w:sz w:val="24"/>
        </w:rPr>
        <w:t xml:space="preserve"> and national partners</w:t>
      </w:r>
      <w:r w:rsidRPr="00D20F0F">
        <w:rPr>
          <w:sz w:val="24"/>
        </w:rPr>
        <w:t xml:space="preserve">.  People </w:t>
      </w:r>
      <w:r w:rsidR="00545B72">
        <w:rPr>
          <w:sz w:val="24"/>
        </w:rPr>
        <w:t xml:space="preserve">will </w:t>
      </w:r>
      <w:r w:rsidRPr="00D20F0F">
        <w:rPr>
          <w:sz w:val="24"/>
        </w:rPr>
        <w:t xml:space="preserve">respond to the form because they wish to </w:t>
      </w:r>
      <w:r>
        <w:rPr>
          <w:sz w:val="24"/>
        </w:rPr>
        <w:t>receive recognition</w:t>
      </w:r>
      <w:r w:rsidRPr="00D20F0F">
        <w:rPr>
          <w:sz w:val="24"/>
        </w:rPr>
        <w:t>.</w:t>
      </w:r>
      <w:r>
        <w:rPr>
          <w:sz w:val="24"/>
        </w:rPr>
        <w:t xml:space="preserve"> </w:t>
      </w:r>
      <w:r w:rsidRPr="00D20F0F">
        <w:rPr>
          <w:sz w:val="24"/>
        </w:rPr>
        <w:t xml:space="preserve"> </w:t>
      </w:r>
      <w:r>
        <w:rPr>
          <w:sz w:val="24"/>
        </w:rPr>
        <w:t xml:space="preserve">A contact name and email is requested for both the hospital and the affiliated OPO or DLA.  These names will not be publicized.   </w:t>
      </w:r>
    </w:p>
    <w:p w:rsidR="009B3794" w:rsidRDefault="009B3794" w:rsidP="00F66F67">
      <w:pPr>
        <w:numPr>
          <w:ilvl w:val="0"/>
          <w:numId w:val="3"/>
        </w:numPr>
        <w:spacing w:before="240"/>
        <w:ind w:left="360"/>
        <w:rPr>
          <w:b/>
          <w:sz w:val="24"/>
        </w:rPr>
      </w:pPr>
      <w:r>
        <w:rPr>
          <w:b/>
          <w:sz w:val="24"/>
          <w:u w:val="single"/>
        </w:rPr>
        <w:t>Justification for Sensitive Questions</w:t>
      </w:r>
    </w:p>
    <w:p w:rsidR="00C724CC" w:rsidRDefault="00CE5A63" w:rsidP="000A1E38">
      <w:pPr>
        <w:widowControl/>
        <w:spacing w:before="120"/>
        <w:rPr>
          <w:sz w:val="24"/>
        </w:rPr>
      </w:pPr>
      <w:r>
        <w:rPr>
          <w:sz w:val="24"/>
        </w:rPr>
        <w:t>N</w:t>
      </w:r>
      <w:r w:rsidR="00C724CC">
        <w:rPr>
          <w:sz w:val="24"/>
        </w:rPr>
        <w:t>o sensitive questions</w:t>
      </w:r>
      <w:r>
        <w:rPr>
          <w:sz w:val="24"/>
        </w:rPr>
        <w:t xml:space="preserve"> are</w:t>
      </w:r>
      <w:r w:rsidR="00C724CC">
        <w:rPr>
          <w:sz w:val="24"/>
        </w:rPr>
        <w:t xml:space="preserve"> included in the form.</w:t>
      </w:r>
    </w:p>
    <w:p w:rsidR="000A1E38" w:rsidRDefault="000A1E38" w:rsidP="000A1E38">
      <w:pPr>
        <w:widowControl/>
        <w:spacing w:before="120"/>
        <w:rPr>
          <w:sz w:val="24"/>
        </w:rPr>
      </w:pPr>
    </w:p>
    <w:p w:rsidR="009B3794" w:rsidRPr="00495737" w:rsidRDefault="009B3794" w:rsidP="00F66F67">
      <w:pPr>
        <w:pStyle w:val="ListParagraph"/>
        <w:widowControl/>
        <w:numPr>
          <w:ilvl w:val="0"/>
          <w:numId w:val="3"/>
        </w:numPr>
        <w:spacing w:before="120"/>
        <w:ind w:left="360"/>
        <w:rPr>
          <w:sz w:val="24"/>
        </w:rPr>
      </w:pPr>
      <w:r w:rsidRPr="00495737">
        <w:rPr>
          <w:b/>
          <w:sz w:val="24"/>
          <w:u w:val="single"/>
        </w:rPr>
        <w:t xml:space="preserve">Estimates of Annualized Hour and Cost Burden  </w:t>
      </w:r>
    </w:p>
    <w:p w:rsidR="009B3794" w:rsidRDefault="009B3794" w:rsidP="006C136E">
      <w:pPr>
        <w:widowControl/>
        <w:tabs>
          <w:tab w:val="num" w:pos="720"/>
        </w:tabs>
        <w:spacing w:before="120"/>
        <w:rPr>
          <w:b/>
          <w:sz w:val="24"/>
        </w:rPr>
      </w:pPr>
      <w:r>
        <w:rPr>
          <w:b/>
          <w:sz w:val="24"/>
        </w:rPr>
        <w:t>12A.</w:t>
      </w:r>
      <w:r>
        <w:rPr>
          <w:sz w:val="24"/>
        </w:rPr>
        <w:t xml:space="preserve">        </w:t>
      </w:r>
      <w:r>
        <w:rPr>
          <w:b/>
          <w:sz w:val="24"/>
        </w:rPr>
        <w:t>Estimated Annualized Burden Hours</w:t>
      </w:r>
    </w:p>
    <w:p w:rsidR="00965CBB" w:rsidRDefault="00965CBB" w:rsidP="006C136E">
      <w:pPr>
        <w:widowControl/>
        <w:tabs>
          <w:tab w:val="num" w:pos="720"/>
        </w:tabs>
        <w:spacing w:before="120"/>
        <w:rPr>
          <w:b/>
          <w:sz w:val="24"/>
        </w:rPr>
      </w:pPr>
    </w:p>
    <w:p w:rsidR="00965CBB" w:rsidRPr="00487CE6" w:rsidRDefault="00965CBB" w:rsidP="00965CBB">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sz w:val="24"/>
        </w:rPr>
      </w:pPr>
      <w:r w:rsidRPr="00487CE6">
        <w:rPr>
          <w:sz w:val="24"/>
        </w:rPr>
        <w:t xml:space="preserve">The total number of completed </w:t>
      </w:r>
      <w:r>
        <w:rPr>
          <w:sz w:val="24"/>
        </w:rPr>
        <w:t>forms</w:t>
      </w:r>
      <w:r w:rsidRPr="00487CE6">
        <w:rPr>
          <w:sz w:val="24"/>
        </w:rPr>
        <w:t xml:space="preserve"> </w:t>
      </w:r>
      <w:r>
        <w:rPr>
          <w:sz w:val="24"/>
        </w:rPr>
        <w:t>is estimated to</w:t>
      </w:r>
      <w:r w:rsidRPr="00487CE6">
        <w:rPr>
          <w:sz w:val="24"/>
        </w:rPr>
        <w:t xml:space="preserve"> be </w:t>
      </w:r>
      <w:r>
        <w:rPr>
          <w:sz w:val="24"/>
        </w:rPr>
        <w:t>1000 each year</w:t>
      </w:r>
      <w:r w:rsidRPr="00487CE6">
        <w:rPr>
          <w:sz w:val="24"/>
        </w:rPr>
        <w:t xml:space="preserve"> </w:t>
      </w:r>
      <w:r>
        <w:rPr>
          <w:sz w:val="24"/>
        </w:rPr>
        <w:t>and form completion is expected</w:t>
      </w:r>
      <w:r w:rsidRPr="00487CE6">
        <w:rPr>
          <w:sz w:val="24"/>
        </w:rPr>
        <w:t xml:space="preserve"> to average about </w:t>
      </w:r>
      <w:r>
        <w:rPr>
          <w:sz w:val="24"/>
        </w:rPr>
        <w:t>22</w:t>
      </w:r>
      <w:r w:rsidRPr="00487CE6">
        <w:rPr>
          <w:sz w:val="24"/>
        </w:rPr>
        <w:t xml:space="preserve"> minutes.  Therefore, </w:t>
      </w:r>
      <w:r>
        <w:rPr>
          <w:sz w:val="24"/>
        </w:rPr>
        <w:t>1000</w:t>
      </w:r>
      <w:r w:rsidRPr="00487CE6">
        <w:rPr>
          <w:sz w:val="24"/>
        </w:rPr>
        <w:t xml:space="preserve"> respondents times </w:t>
      </w:r>
      <w:r>
        <w:rPr>
          <w:sz w:val="24"/>
        </w:rPr>
        <w:t>.36</w:t>
      </w:r>
      <w:r w:rsidRPr="00487CE6">
        <w:rPr>
          <w:sz w:val="24"/>
        </w:rPr>
        <w:t xml:space="preserve"> of an hour (i.e., </w:t>
      </w:r>
      <w:r>
        <w:rPr>
          <w:sz w:val="24"/>
        </w:rPr>
        <w:t>22</w:t>
      </w:r>
      <w:r w:rsidRPr="00487CE6">
        <w:rPr>
          <w:sz w:val="24"/>
        </w:rPr>
        <w:t xml:space="preserve"> minutes) would equal a total of </w:t>
      </w:r>
      <w:r>
        <w:rPr>
          <w:sz w:val="24"/>
        </w:rPr>
        <w:t>366.67</w:t>
      </w:r>
      <w:r w:rsidRPr="00487CE6">
        <w:rPr>
          <w:sz w:val="24"/>
        </w:rPr>
        <w:t xml:space="preserve"> hours. </w:t>
      </w:r>
      <w:r>
        <w:rPr>
          <w:sz w:val="24"/>
        </w:rPr>
        <w:t xml:space="preserve">  The average burden hour was estimated based on a sample of 8 potential respondents.  These individuals were asked to time how long it took them to </w:t>
      </w:r>
      <w:r w:rsidR="00545B72">
        <w:rPr>
          <w:sz w:val="24"/>
        </w:rPr>
        <w:t xml:space="preserve">complete </w:t>
      </w:r>
      <w:r>
        <w:rPr>
          <w:sz w:val="24"/>
        </w:rPr>
        <w:t xml:space="preserve">the form. </w:t>
      </w:r>
    </w:p>
    <w:p w:rsidR="00DC5AF8" w:rsidRDefault="00DC5AF8">
      <w:pPr>
        <w:widowControl/>
        <w:autoSpaceDE/>
        <w:autoSpaceDN/>
        <w:adjustRightInd/>
        <w:rPr>
          <w:sz w:val="24"/>
        </w:rPr>
      </w:pPr>
      <w:r>
        <w:rPr>
          <w:sz w:val="24"/>
        </w:rPr>
        <w:br w:type="page"/>
      </w:r>
    </w:p>
    <w:p w:rsidR="00965CBB" w:rsidRDefault="00965CBB" w:rsidP="006C136E">
      <w:pPr>
        <w:widowControl/>
        <w:tabs>
          <w:tab w:val="num" w:pos="720"/>
        </w:tabs>
        <w:spacing w:before="120"/>
        <w:rPr>
          <w:sz w:val="24"/>
        </w:rPr>
      </w:pPr>
    </w:p>
    <w:tbl>
      <w:tblPr>
        <w:tblpPr w:leftFromText="180" w:rightFromText="180" w:vertAnchor="text" w:horzAnchor="margin" w:tblpXSpec="center" w:tblpY="3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710"/>
        <w:gridCol w:w="1530"/>
        <w:gridCol w:w="1440"/>
        <w:gridCol w:w="1294"/>
        <w:gridCol w:w="1316"/>
      </w:tblGrid>
      <w:tr w:rsidR="00C2311D" w:rsidRPr="00015505" w:rsidTr="00F93ABC">
        <w:trPr>
          <w:trHeight w:val="1967"/>
        </w:trPr>
        <w:tc>
          <w:tcPr>
            <w:tcW w:w="1818" w:type="dxa"/>
          </w:tcPr>
          <w:p w:rsidR="00C2311D" w:rsidRPr="00015505" w:rsidRDefault="00C2311D" w:rsidP="00BC0CA7">
            <w:pPr>
              <w:widowControl/>
              <w:tabs>
                <w:tab w:val="num" w:pos="1080"/>
              </w:tabs>
              <w:spacing w:before="120"/>
              <w:rPr>
                <w:b/>
                <w:bCs/>
                <w:sz w:val="24"/>
              </w:rPr>
            </w:pPr>
            <w:r w:rsidRPr="00015505">
              <w:rPr>
                <w:b/>
                <w:bCs/>
                <w:sz w:val="24"/>
              </w:rPr>
              <w:t>Type of</w:t>
            </w:r>
          </w:p>
          <w:p w:rsidR="00C2311D" w:rsidRPr="00015505" w:rsidRDefault="00C2311D" w:rsidP="00BC0CA7">
            <w:pPr>
              <w:widowControl/>
              <w:tabs>
                <w:tab w:val="num" w:pos="1080"/>
              </w:tabs>
              <w:spacing w:before="120"/>
              <w:rPr>
                <w:b/>
                <w:bCs/>
                <w:sz w:val="24"/>
              </w:rPr>
            </w:pPr>
            <w:r w:rsidRPr="00015505">
              <w:rPr>
                <w:b/>
                <w:bCs/>
                <w:sz w:val="24"/>
              </w:rPr>
              <w:t>Respondent</w:t>
            </w:r>
          </w:p>
        </w:tc>
        <w:tc>
          <w:tcPr>
            <w:tcW w:w="1710" w:type="dxa"/>
          </w:tcPr>
          <w:p w:rsidR="00C2311D" w:rsidRPr="00015505" w:rsidRDefault="00C2311D" w:rsidP="00BC0CA7">
            <w:pPr>
              <w:widowControl/>
              <w:tabs>
                <w:tab w:val="num" w:pos="1080"/>
              </w:tabs>
              <w:spacing w:before="120"/>
              <w:rPr>
                <w:b/>
                <w:bCs/>
                <w:sz w:val="24"/>
              </w:rPr>
            </w:pPr>
            <w:r w:rsidRPr="00015505">
              <w:rPr>
                <w:b/>
                <w:bCs/>
                <w:sz w:val="24"/>
              </w:rPr>
              <w:t>Form</w:t>
            </w:r>
          </w:p>
          <w:p w:rsidR="00C2311D" w:rsidRPr="00015505" w:rsidRDefault="00C2311D" w:rsidP="00BC0CA7">
            <w:pPr>
              <w:widowControl/>
              <w:tabs>
                <w:tab w:val="num" w:pos="1080"/>
              </w:tabs>
              <w:spacing w:before="120"/>
              <w:rPr>
                <w:b/>
                <w:bCs/>
                <w:sz w:val="24"/>
              </w:rPr>
            </w:pPr>
            <w:r w:rsidRPr="00015505">
              <w:rPr>
                <w:b/>
                <w:bCs/>
                <w:sz w:val="24"/>
              </w:rPr>
              <w:t>Name</w:t>
            </w:r>
          </w:p>
        </w:tc>
        <w:tc>
          <w:tcPr>
            <w:tcW w:w="1530" w:type="dxa"/>
          </w:tcPr>
          <w:p w:rsidR="00C2311D" w:rsidRPr="00015505" w:rsidRDefault="00C2311D" w:rsidP="00BC0CA7">
            <w:pPr>
              <w:widowControl/>
              <w:tabs>
                <w:tab w:val="num" w:pos="1080"/>
              </w:tabs>
              <w:spacing w:before="120"/>
              <w:rPr>
                <w:b/>
                <w:bCs/>
                <w:sz w:val="24"/>
              </w:rPr>
            </w:pPr>
            <w:r w:rsidRPr="00015505">
              <w:rPr>
                <w:b/>
                <w:bCs/>
                <w:sz w:val="24"/>
              </w:rPr>
              <w:t>No. of</w:t>
            </w:r>
          </w:p>
          <w:p w:rsidR="00C2311D" w:rsidRPr="00015505" w:rsidRDefault="00C2311D" w:rsidP="00BC0CA7">
            <w:pPr>
              <w:widowControl/>
              <w:tabs>
                <w:tab w:val="num" w:pos="1080"/>
              </w:tabs>
              <w:spacing w:before="120"/>
              <w:rPr>
                <w:b/>
                <w:bCs/>
                <w:sz w:val="24"/>
              </w:rPr>
            </w:pPr>
            <w:r w:rsidRPr="00015505">
              <w:rPr>
                <w:b/>
                <w:bCs/>
                <w:sz w:val="24"/>
              </w:rPr>
              <w:t>Respondents</w:t>
            </w:r>
          </w:p>
        </w:tc>
        <w:tc>
          <w:tcPr>
            <w:tcW w:w="1440" w:type="dxa"/>
          </w:tcPr>
          <w:p w:rsidR="00C2311D" w:rsidRPr="00015505" w:rsidRDefault="00C2311D" w:rsidP="00BC0CA7">
            <w:pPr>
              <w:widowControl/>
              <w:tabs>
                <w:tab w:val="num" w:pos="1080"/>
              </w:tabs>
              <w:spacing w:before="120"/>
              <w:rPr>
                <w:b/>
                <w:bCs/>
                <w:sz w:val="24"/>
              </w:rPr>
            </w:pPr>
            <w:r w:rsidRPr="00015505">
              <w:rPr>
                <w:b/>
                <w:bCs/>
                <w:sz w:val="24"/>
              </w:rPr>
              <w:t>No.</w:t>
            </w:r>
          </w:p>
          <w:p w:rsidR="00C2311D" w:rsidRPr="00015505" w:rsidRDefault="00C2311D" w:rsidP="00BC0CA7">
            <w:pPr>
              <w:widowControl/>
              <w:tabs>
                <w:tab w:val="num" w:pos="1080"/>
              </w:tabs>
              <w:spacing w:before="120"/>
              <w:rPr>
                <w:b/>
                <w:bCs/>
                <w:sz w:val="24"/>
              </w:rPr>
            </w:pPr>
            <w:r w:rsidRPr="00015505">
              <w:rPr>
                <w:b/>
                <w:bCs/>
                <w:sz w:val="24"/>
              </w:rPr>
              <w:t>Responses</w:t>
            </w:r>
          </w:p>
          <w:p w:rsidR="00C2311D" w:rsidRPr="00015505" w:rsidRDefault="00C2311D" w:rsidP="00BC0CA7">
            <w:pPr>
              <w:widowControl/>
              <w:tabs>
                <w:tab w:val="num" w:pos="1080"/>
              </w:tabs>
              <w:spacing w:before="120"/>
              <w:rPr>
                <w:b/>
                <w:bCs/>
                <w:sz w:val="24"/>
              </w:rPr>
            </w:pPr>
            <w:r w:rsidRPr="00015505">
              <w:rPr>
                <w:b/>
                <w:bCs/>
                <w:sz w:val="24"/>
              </w:rPr>
              <w:t>per</w:t>
            </w:r>
          </w:p>
          <w:p w:rsidR="00C2311D" w:rsidRPr="00015505" w:rsidRDefault="00C2311D" w:rsidP="00BC0CA7">
            <w:pPr>
              <w:widowControl/>
              <w:tabs>
                <w:tab w:val="num" w:pos="1080"/>
              </w:tabs>
              <w:spacing w:before="120"/>
              <w:rPr>
                <w:b/>
                <w:bCs/>
                <w:sz w:val="24"/>
              </w:rPr>
            </w:pPr>
            <w:r w:rsidRPr="00015505">
              <w:rPr>
                <w:b/>
                <w:bCs/>
                <w:sz w:val="24"/>
              </w:rPr>
              <w:t>Respondent</w:t>
            </w:r>
          </w:p>
        </w:tc>
        <w:tc>
          <w:tcPr>
            <w:tcW w:w="1294" w:type="dxa"/>
          </w:tcPr>
          <w:p w:rsidR="00C2311D" w:rsidRPr="00015505" w:rsidRDefault="00C2311D" w:rsidP="00BC0CA7">
            <w:pPr>
              <w:widowControl/>
              <w:tabs>
                <w:tab w:val="num" w:pos="1080"/>
              </w:tabs>
              <w:spacing w:before="120"/>
              <w:rPr>
                <w:b/>
                <w:bCs/>
                <w:sz w:val="24"/>
              </w:rPr>
            </w:pPr>
            <w:r w:rsidRPr="00015505">
              <w:rPr>
                <w:b/>
                <w:bCs/>
                <w:sz w:val="24"/>
              </w:rPr>
              <w:t>Average</w:t>
            </w:r>
          </w:p>
          <w:p w:rsidR="00C2311D" w:rsidRPr="00015505" w:rsidRDefault="00C2311D" w:rsidP="00BC0CA7">
            <w:pPr>
              <w:widowControl/>
              <w:tabs>
                <w:tab w:val="num" w:pos="1080"/>
              </w:tabs>
              <w:spacing w:before="120"/>
              <w:rPr>
                <w:b/>
                <w:bCs/>
                <w:sz w:val="24"/>
              </w:rPr>
            </w:pPr>
            <w:r w:rsidRPr="00015505">
              <w:rPr>
                <w:b/>
                <w:bCs/>
                <w:sz w:val="24"/>
              </w:rPr>
              <w:t>Burden per</w:t>
            </w:r>
          </w:p>
          <w:p w:rsidR="00C2311D" w:rsidRPr="00015505" w:rsidRDefault="00C2311D" w:rsidP="00BC0CA7">
            <w:pPr>
              <w:widowControl/>
              <w:tabs>
                <w:tab w:val="num" w:pos="1080"/>
              </w:tabs>
              <w:spacing w:before="120"/>
              <w:rPr>
                <w:b/>
                <w:bCs/>
                <w:sz w:val="24"/>
              </w:rPr>
            </w:pPr>
            <w:r w:rsidRPr="00015505">
              <w:rPr>
                <w:b/>
                <w:bCs/>
                <w:sz w:val="24"/>
              </w:rPr>
              <w:t>Response</w:t>
            </w:r>
          </w:p>
          <w:p w:rsidR="00C2311D" w:rsidRPr="00015505" w:rsidRDefault="00C2311D" w:rsidP="00BC0CA7">
            <w:pPr>
              <w:widowControl/>
              <w:tabs>
                <w:tab w:val="num" w:pos="1080"/>
              </w:tabs>
              <w:spacing w:before="120"/>
              <w:rPr>
                <w:b/>
                <w:bCs/>
                <w:sz w:val="24"/>
              </w:rPr>
            </w:pPr>
            <w:r w:rsidRPr="00015505">
              <w:rPr>
                <w:b/>
                <w:bCs/>
                <w:sz w:val="24"/>
              </w:rPr>
              <w:t>(in hours)</w:t>
            </w:r>
          </w:p>
        </w:tc>
        <w:tc>
          <w:tcPr>
            <w:tcW w:w="1316" w:type="dxa"/>
          </w:tcPr>
          <w:p w:rsidR="00C2311D" w:rsidRPr="00015505" w:rsidRDefault="00C2311D" w:rsidP="00BC0CA7">
            <w:pPr>
              <w:widowControl/>
              <w:tabs>
                <w:tab w:val="num" w:pos="1080"/>
              </w:tabs>
              <w:spacing w:before="120"/>
              <w:rPr>
                <w:b/>
                <w:bCs/>
                <w:sz w:val="24"/>
              </w:rPr>
            </w:pPr>
            <w:r w:rsidRPr="00015505">
              <w:rPr>
                <w:b/>
                <w:bCs/>
                <w:sz w:val="24"/>
              </w:rPr>
              <w:t>Total Burden Hours</w:t>
            </w:r>
          </w:p>
        </w:tc>
      </w:tr>
      <w:tr w:rsidR="00C2311D" w:rsidRPr="00015505" w:rsidTr="00F93ABC">
        <w:trPr>
          <w:trHeight w:val="679"/>
        </w:trPr>
        <w:tc>
          <w:tcPr>
            <w:tcW w:w="1818" w:type="dxa"/>
          </w:tcPr>
          <w:p w:rsidR="00C2311D" w:rsidRPr="00015505" w:rsidRDefault="00C2311D" w:rsidP="00F93ABC">
            <w:pPr>
              <w:widowControl/>
              <w:tabs>
                <w:tab w:val="num" w:pos="1080"/>
              </w:tabs>
              <w:spacing w:before="120"/>
              <w:rPr>
                <w:b/>
                <w:bCs/>
                <w:sz w:val="24"/>
              </w:rPr>
            </w:pPr>
            <w:r w:rsidRPr="0049411B">
              <w:rPr>
                <w:bCs/>
                <w:sz w:val="24"/>
              </w:rPr>
              <w:t>OPO representatives, hospital nurse practitioners</w:t>
            </w:r>
            <w:r w:rsidR="00F93ABC">
              <w:rPr>
                <w:bCs/>
                <w:sz w:val="24"/>
              </w:rPr>
              <w:t>,</w:t>
            </w:r>
            <w:r w:rsidRPr="0049411B">
              <w:rPr>
                <w:bCs/>
                <w:sz w:val="24"/>
              </w:rPr>
              <w:t xml:space="preserve"> and administrative  assistants</w:t>
            </w:r>
          </w:p>
        </w:tc>
        <w:tc>
          <w:tcPr>
            <w:tcW w:w="1710" w:type="dxa"/>
          </w:tcPr>
          <w:p w:rsidR="00C2311D" w:rsidRPr="00C11407" w:rsidRDefault="00C2311D" w:rsidP="00BC0CA7">
            <w:pPr>
              <w:widowControl/>
              <w:tabs>
                <w:tab w:val="num" w:pos="1080"/>
              </w:tabs>
              <w:spacing w:before="120"/>
              <w:rPr>
                <w:b/>
                <w:bCs/>
                <w:sz w:val="24"/>
              </w:rPr>
            </w:pPr>
            <w:r w:rsidRPr="00C11407">
              <w:rPr>
                <w:sz w:val="24"/>
              </w:rPr>
              <w:t>National Hospital Organ Donation Campaign’s Activity Scorecard</w:t>
            </w:r>
          </w:p>
        </w:tc>
        <w:tc>
          <w:tcPr>
            <w:tcW w:w="1530" w:type="dxa"/>
          </w:tcPr>
          <w:p w:rsidR="00C2311D" w:rsidRPr="00015505" w:rsidRDefault="00C2311D" w:rsidP="00BC0CA7">
            <w:pPr>
              <w:widowControl/>
              <w:tabs>
                <w:tab w:val="num" w:pos="1080"/>
              </w:tabs>
              <w:spacing w:before="120"/>
              <w:rPr>
                <w:b/>
                <w:bCs/>
                <w:sz w:val="24"/>
              </w:rPr>
            </w:pPr>
            <w:r>
              <w:rPr>
                <w:sz w:val="24"/>
              </w:rPr>
              <w:t>1000</w:t>
            </w:r>
          </w:p>
        </w:tc>
        <w:tc>
          <w:tcPr>
            <w:tcW w:w="1440" w:type="dxa"/>
          </w:tcPr>
          <w:p w:rsidR="00C2311D" w:rsidRPr="00015505" w:rsidRDefault="00C2311D" w:rsidP="00BC0CA7">
            <w:pPr>
              <w:widowControl/>
              <w:tabs>
                <w:tab w:val="num" w:pos="1080"/>
              </w:tabs>
              <w:spacing w:before="120"/>
              <w:rPr>
                <w:b/>
                <w:bCs/>
                <w:sz w:val="24"/>
              </w:rPr>
            </w:pPr>
            <w:r>
              <w:rPr>
                <w:sz w:val="24"/>
              </w:rPr>
              <w:t>1</w:t>
            </w:r>
          </w:p>
        </w:tc>
        <w:tc>
          <w:tcPr>
            <w:tcW w:w="1294" w:type="dxa"/>
          </w:tcPr>
          <w:p w:rsidR="00C2311D" w:rsidRPr="00015505" w:rsidRDefault="00C2311D" w:rsidP="00BC0CA7">
            <w:pPr>
              <w:widowControl/>
              <w:tabs>
                <w:tab w:val="num" w:pos="1080"/>
              </w:tabs>
              <w:spacing w:before="120"/>
              <w:rPr>
                <w:b/>
                <w:bCs/>
                <w:sz w:val="24"/>
              </w:rPr>
            </w:pPr>
            <w:r>
              <w:rPr>
                <w:sz w:val="24"/>
              </w:rPr>
              <w:t>0.36</w:t>
            </w:r>
          </w:p>
        </w:tc>
        <w:tc>
          <w:tcPr>
            <w:tcW w:w="1316" w:type="dxa"/>
          </w:tcPr>
          <w:p w:rsidR="00C2311D" w:rsidRPr="00015505" w:rsidRDefault="00C2311D" w:rsidP="00BC0CA7">
            <w:pPr>
              <w:widowControl/>
              <w:tabs>
                <w:tab w:val="num" w:pos="1080"/>
              </w:tabs>
              <w:spacing w:before="120"/>
              <w:rPr>
                <w:b/>
                <w:bCs/>
                <w:sz w:val="24"/>
              </w:rPr>
            </w:pPr>
            <w:r>
              <w:rPr>
                <w:b/>
                <w:bCs/>
                <w:sz w:val="24"/>
              </w:rPr>
              <w:t>366.67</w:t>
            </w:r>
          </w:p>
        </w:tc>
      </w:tr>
      <w:tr w:rsidR="00C2311D" w:rsidRPr="00015505" w:rsidTr="00F93ABC">
        <w:trPr>
          <w:trHeight w:val="599"/>
        </w:trPr>
        <w:tc>
          <w:tcPr>
            <w:tcW w:w="1818" w:type="dxa"/>
          </w:tcPr>
          <w:p w:rsidR="00C2311D" w:rsidRDefault="00C2311D" w:rsidP="00BC0CA7">
            <w:pPr>
              <w:widowControl/>
              <w:tabs>
                <w:tab w:val="num" w:pos="1080"/>
              </w:tabs>
              <w:spacing w:before="120"/>
              <w:rPr>
                <w:b/>
                <w:bCs/>
                <w:sz w:val="24"/>
              </w:rPr>
            </w:pPr>
            <w:r>
              <w:rPr>
                <w:b/>
                <w:bCs/>
                <w:sz w:val="24"/>
              </w:rPr>
              <w:t>Total</w:t>
            </w:r>
          </w:p>
        </w:tc>
        <w:tc>
          <w:tcPr>
            <w:tcW w:w="1710" w:type="dxa"/>
          </w:tcPr>
          <w:p w:rsidR="00C2311D" w:rsidRPr="00C11407" w:rsidRDefault="00C2311D" w:rsidP="00BC0CA7">
            <w:pPr>
              <w:widowControl/>
              <w:tabs>
                <w:tab w:val="num" w:pos="1080"/>
              </w:tabs>
              <w:spacing w:before="120"/>
              <w:rPr>
                <w:sz w:val="24"/>
              </w:rPr>
            </w:pPr>
          </w:p>
        </w:tc>
        <w:tc>
          <w:tcPr>
            <w:tcW w:w="1530" w:type="dxa"/>
          </w:tcPr>
          <w:p w:rsidR="00C2311D" w:rsidRDefault="00C2311D" w:rsidP="00BC0CA7">
            <w:pPr>
              <w:widowControl/>
              <w:tabs>
                <w:tab w:val="num" w:pos="1080"/>
              </w:tabs>
              <w:spacing w:before="120"/>
              <w:rPr>
                <w:sz w:val="24"/>
              </w:rPr>
            </w:pPr>
            <w:r>
              <w:rPr>
                <w:sz w:val="24"/>
              </w:rPr>
              <w:t>1000</w:t>
            </w:r>
          </w:p>
        </w:tc>
        <w:tc>
          <w:tcPr>
            <w:tcW w:w="1440" w:type="dxa"/>
          </w:tcPr>
          <w:p w:rsidR="00C2311D" w:rsidRDefault="00C2311D" w:rsidP="00BC0CA7">
            <w:pPr>
              <w:widowControl/>
              <w:tabs>
                <w:tab w:val="num" w:pos="1080"/>
              </w:tabs>
              <w:spacing w:before="120"/>
              <w:rPr>
                <w:sz w:val="24"/>
              </w:rPr>
            </w:pPr>
            <w:r>
              <w:rPr>
                <w:sz w:val="24"/>
              </w:rPr>
              <w:t>1</w:t>
            </w:r>
          </w:p>
        </w:tc>
        <w:tc>
          <w:tcPr>
            <w:tcW w:w="1294" w:type="dxa"/>
          </w:tcPr>
          <w:p w:rsidR="00C2311D" w:rsidRDefault="00C2311D" w:rsidP="00BC0CA7">
            <w:pPr>
              <w:widowControl/>
              <w:tabs>
                <w:tab w:val="num" w:pos="1080"/>
              </w:tabs>
              <w:spacing w:before="120"/>
              <w:rPr>
                <w:sz w:val="24"/>
              </w:rPr>
            </w:pPr>
            <w:r>
              <w:rPr>
                <w:sz w:val="24"/>
              </w:rPr>
              <w:t>0.36</w:t>
            </w:r>
          </w:p>
        </w:tc>
        <w:tc>
          <w:tcPr>
            <w:tcW w:w="1316" w:type="dxa"/>
          </w:tcPr>
          <w:p w:rsidR="00C2311D" w:rsidRDefault="00C2311D" w:rsidP="00BC0CA7">
            <w:pPr>
              <w:widowControl/>
              <w:tabs>
                <w:tab w:val="num" w:pos="1080"/>
              </w:tabs>
              <w:spacing w:before="120"/>
              <w:rPr>
                <w:b/>
                <w:bCs/>
                <w:sz w:val="24"/>
              </w:rPr>
            </w:pPr>
            <w:r>
              <w:rPr>
                <w:b/>
                <w:bCs/>
                <w:sz w:val="24"/>
              </w:rPr>
              <w:t>366.67</w:t>
            </w:r>
          </w:p>
        </w:tc>
      </w:tr>
    </w:tbl>
    <w:p w:rsidR="009B3794" w:rsidRDefault="009B3794" w:rsidP="00194EE9">
      <w:pPr>
        <w:widowControl/>
        <w:tabs>
          <w:tab w:val="num" w:pos="1080"/>
        </w:tabs>
        <w:spacing w:before="120"/>
        <w:rPr>
          <w:b/>
          <w:bCs/>
          <w:sz w:val="24"/>
        </w:rPr>
      </w:pPr>
    </w:p>
    <w:p w:rsidR="00D92E1D" w:rsidRDefault="009B3794" w:rsidP="00DB5798">
      <w:pPr>
        <w:widowControl/>
        <w:spacing w:before="120"/>
        <w:rPr>
          <w:sz w:val="24"/>
        </w:rPr>
      </w:pPr>
      <w:r>
        <w:rPr>
          <w:b/>
          <w:sz w:val="24"/>
        </w:rPr>
        <w:t>12B</w:t>
      </w:r>
      <w:r>
        <w:rPr>
          <w:sz w:val="24"/>
        </w:rPr>
        <w:t xml:space="preserve">.  </w:t>
      </w:r>
    </w:p>
    <w:p w:rsidR="009B3794" w:rsidRDefault="009B3794" w:rsidP="00DB5798">
      <w:pPr>
        <w:widowControl/>
        <w:spacing w:before="120"/>
        <w:ind w:left="270"/>
        <w:rPr>
          <w:b/>
          <w:sz w:val="24"/>
        </w:rPr>
      </w:pPr>
      <w:r>
        <w:rPr>
          <w:b/>
          <w:sz w:val="24"/>
        </w:rPr>
        <w:t>Estimated Annualized Burden Costs</w:t>
      </w:r>
    </w:p>
    <w:tbl>
      <w:tblPr>
        <w:tblW w:w="73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264"/>
        <w:gridCol w:w="1336"/>
        <w:gridCol w:w="2519"/>
      </w:tblGrid>
      <w:tr w:rsidR="009B3794" w:rsidRPr="00015505" w:rsidTr="00F93ABC">
        <w:trPr>
          <w:trHeight w:val="1115"/>
        </w:trPr>
        <w:tc>
          <w:tcPr>
            <w:tcW w:w="2261" w:type="dxa"/>
          </w:tcPr>
          <w:p w:rsidR="009B3794" w:rsidRPr="00015505" w:rsidRDefault="009B3794" w:rsidP="006C136E">
            <w:pPr>
              <w:widowControl/>
              <w:spacing w:before="120"/>
              <w:rPr>
                <w:b/>
                <w:bCs/>
                <w:sz w:val="24"/>
              </w:rPr>
            </w:pPr>
            <w:r w:rsidRPr="00015505">
              <w:rPr>
                <w:b/>
                <w:bCs/>
                <w:sz w:val="24"/>
              </w:rPr>
              <w:t>Type of</w:t>
            </w:r>
          </w:p>
          <w:p w:rsidR="009B3794" w:rsidRPr="00F93ABC" w:rsidRDefault="009B3794" w:rsidP="006C136E">
            <w:pPr>
              <w:widowControl/>
              <w:spacing w:before="120"/>
              <w:rPr>
                <w:sz w:val="24"/>
              </w:rPr>
            </w:pPr>
            <w:r w:rsidRPr="00015505">
              <w:rPr>
                <w:b/>
                <w:bCs/>
                <w:sz w:val="24"/>
              </w:rPr>
              <w:t>Respondent</w:t>
            </w:r>
          </w:p>
        </w:tc>
        <w:tc>
          <w:tcPr>
            <w:tcW w:w="1264" w:type="dxa"/>
          </w:tcPr>
          <w:p w:rsidR="009B3794" w:rsidRPr="00015505" w:rsidRDefault="009B3794" w:rsidP="006C136E">
            <w:pPr>
              <w:widowControl/>
              <w:spacing w:before="120"/>
              <w:rPr>
                <w:b/>
                <w:bCs/>
                <w:sz w:val="24"/>
              </w:rPr>
            </w:pPr>
            <w:r w:rsidRPr="00015505">
              <w:rPr>
                <w:b/>
                <w:bCs/>
                <w:sz w:val="24"/>
              </w:rPr>
              <w:t>Total Burden</w:t>
            </w:r>
          </w:p>
          <w:p w:rsidR="009B3794" w:rsidRPr="00F93ABC" w:rsidRDefault="009B3794" w:rsidP="00BC0CA7">
            <w:pPr>
              <w:widowControl/>
              <w:spacing w:before="120"/>
              <w:rPr>
                <w:sz w:val="24"/>
              </w:rPr>
            </w:pPr>
            <w:r w:rsidRPr="00015505">
              <w:rPr>
                <w:b/>
                <w:bCs/>
                <w:sz w:val="24"/>
              </w:rPr>
              <w:t>Hours</w:t>
            </w:r>
          </w:p>
        </w:tc>
        <w:tc>
          <w:tcPr>
            <w:tcW w:w="1336" w:type="dxa"/>
          </w:tcPr>
          <w:p w:rsidR="009B3794" w:rsidRPr="00015505" w:rsidRDefault="009B3794" w:rsidP="00BC0CA7">
            <w:pPr>
              <w:widowControl/>
              <w:spacing w:before="120"/>
              <w:rPr>
                <w:b/>
                <w:bCs/>
                <w:sz w:val="24"/>
              </w:rPr>
            </w:pPr>
            <w:r w:rsidRPr="00015505">
              <w:rPr>
                <w:b/>
                <w:bCs/>
                <w:sz w:val="24"/>
              </w:rPr>
              <w:t>Hourly</w:t>
            </w:r>
          </w:p>
          <w:p w:rsidR="009B3794" w:rsidRPr="00F93ABC" w:rsidRDefault="009B3794" w:rsidP="00BC0CA7">
            <w:pPr>
              <w:widowControl/>
              <w:spacing w:before="120"/>
              <w:rPr>
                <w:sz w:val="24"/>
              </w:rPr>
            </w:pPr>
            <w:r w:rsidRPr="00015505">
              <w:rPr>
                <w:b/>
                <w:bCs/>
                <w:sz w:val="24"/>
              </w:rPr>
              <w:t>Wage Rate</w:t>
            </w:r>
          </w:p>
        </w:tc>
        <w:tc>
          <w:tcPr>
            <w:tcW w:w="2519" w:type="dxa"/>
          </w:tcPr>
          <w:p w:rsidR="009B3794" w:rsidRPr="00F93ABC" w:rsidRDefault="009B3794" w:rsidP="00BC0CA7">
            <w:pPr>
              <w:widowControl/>
              <w:spacing w:before="120"/>
              <w:rPr>
                <w:sz w:val="24"/>
              </w:rPr>
            </w:pPr>
            <w:r w:rsidRPr="00015505">
              <w:rPr>
                <w:b/>
                <w:bCs/>
                <w:sz w:val="24"/>
              </w:rPr>
              <w:t>Total Respondent Costs</w:t>
            </w:r>
          </w:p>
        </w:tc>
      </w:tr>
      <w:tr w:rsidR="009B3794" w:rsidRPr="00015505" w:rsidTr="00F93ABC">
        <w:tc>
          <w:tcPr>
            <w:tcW w:w="2261" w:type="dxa"/>
          </w:tcPr>
          <w:p w:rsidR="009B3794" w:rsidRPr="00015505" w:rsidRDefault="0049411B" w:rsidP="00194EE9">
            <w:pPr>
              <w:spacing w:before="120"/>
              <w:rPr>
                <w:sz w:val="24"/>
              </w:rPr>
            </w:pPr>
            <w:r>
              <w:rPr>
                <w:sz w:val="24"/>
              </w:rPr>
              <w:t>Admin Assistants</w:t>
            </w:r>
            <w:r w:rsidR="009B3794" w:rsidRPr="00015505">
              <w:rPr>
                <w:sz w:val="24"/>
              </w:rPr>
              <w:t xml:space="preserve"> </w:t>
            </w:r>
          </w:p>
        </w:tc>
        <w:tc>
          <w:tcPr>
            <w:tcW w:w="1264" w:type="dxa"/>
          </w:tcPr>
          <w:p w:rsidR="009B3794" w:rsidRPr="00015505" w:rsidRDefault="00F93ABC" w:rsidP="00DB5798">
            <w:pPr>
              <w:spacing w:before="120"/>
              <w:rPr>
                <w:sz w:val="24"/>
              </w:rPr>
            </w:pPr>
            <w:r>
              <w:rPr>
                <w:sz w:val="24"/>
              </w:rPr>
              <w:t>250</w:t>
            </w:r>
          </w:p>
        </w:tc>
        <w:tc>
          <w:tcPr>
            <w:tcW w:w="1336" w:type="dxa"/>
          </w:tcPr>
          <w:p w:rsidR="009B3794" w:rsidRPr="00015505" w:rsidRDefault="0083310E" w:rsidP="00DB5798">
            <w:pPr>
              <w:spacing w:before="120"/>
              <w:jc w:val="right"/>
              <w:rPr>
                <w:sz w:val="24"/>
              </w:rPr>
            </w:pPr>
            <w:r>
              <w:rPr>
                <w:sz w:val="24"/>
              </w:rPr>
              <w:t>$14.63</w:t>
            </w:r>
            <w:r w:rsidR="009B3794" w:rsidRPr="00015505">
              <w:rPr>
                <w:sz w:val="24"/>
              </w:rPr>
              <w:t xml:space="preserve"> </w:t>
            </w:r>
          </w:p>
        </w:tc>
        <w:tc>
          <w:tcPr>
            <w:tcW w:w="2519" w:type="dxa"/>
          </w:tcPr>
          <w:p w:rsidR="009B3794" w:rsidRPr="00015505" w:rsidRDefault="009B3794" w:rsidP="006C136E">
            <w:pPr>
              <w:spacing w:before="120"/>
              <w:jc w:val="right"/>
              <w:rPr>
                <w:sz w:val="24"/>
              </w:rPr>
            </w:pPr>
            <w:r w:rsidRPr="00015505">
              <w:rPr>
                <w:sz w:val="24"/>
              </w:rPr>
              <w:t xml:space="preserve"> $</w:t>
            </w:r>
            <w:r w:rsidR="0083310E">
              <w:rPr>
                <w:sz w:val="24"/>
              </w:rPr>
              <w:t>3.66</w:t>
            </w:r>
          </w:p>
        </w:tc>
      </w:tr>
      <w:tr w:rsidR="009B3794" w:rsidRPr="00015505" w:rsidTr="00F93ABC">
        <w:tc>
          <w:tcPr>
            <w:tcW w:w="2261" w:type="dxa"/>
          </w:tcPr>
          <w:p w:rsidR="009B3794" w:rsidRPr="00015505" w:rsidRDefault="0083310E" w:rsidP="00194EE9">
            <w:pPr>
              <w:spacing w:before="120"/>
              <w:rPr>
                <w:sz w:val="24"/>
              </w:rPr>
            </w:pPr>
            <w:r>
              <w:rPr>
                <w:sz w:val="24"/>
              </w:rPr>
              <w:t>Nurse Practitioners</w:t>
            </w:r>
            <w:r w:rsidR="009B3794" w:rsidRPr="00015505">
              <w:rPr>
                <w:sz w:val="24"/>
              </w:rPr>
              <w:t xml:space="preserve"> </w:t>
            </w:r>
          </w:p>
        </w:tc>
        <w:tc>
          <w:tcPr>
            <w:tcW w:w="1264" w:type="dxa"/>
          </w:tcPr>
          <w:p w:rsidR="009B3794" w:rsidRPr="00015505" w:rsidRDefault="00F93ABC" w:rsidP="00DB5798">
            <w:pPr>
              <w:spacing w:before="120"/>
              <w:rPr>
                <w:sz w:val="24"/>
              </w:rPr>
            </w:pPr>
            <w:r>
              <w:rPr>
                <w:sz w:val="24"/>
              </w:rPr>
              <w:t>330</w:t>
            </w:r>
            <w:r w:rsidR="009B3794" w:rsidRPr="00015505">
              <w:rPr>
                <w:sz w:val="24"/>
              </w:rPr>
              <w:t xml:space="preserve"> </w:t>
            </w:r>
          </w:p>
        </w:tc>
        <w:tc>
          <w:tcPr>
            <w:tcW w:w="1336" w:type="dxa"/>
          </w:tcPr>
          <w:p w:rsidR="009B3794" w:rsidRPr="00015505" w:rsidRDefault="009B3794" w:rsidP="00DB5798">
            <w:pPr>
              <w:spacing w:before="120"/>
              <w:jc w:val="right"/>
              <w:rPr>
                <w:sz w:val="24"/>
              </w:rPr>
            </w:pPr>
            <w:r w:rsidRPr="00015505">
              <w:rPr>
                <w:sz w:val="24"/>
              </w:rPr>
              <w:t xml:space="preserve"> $</w:t>
            </w:r>
            <w:r w:rsidR="0083310E">
              <w:rPr>
                <w:sz w:val="24"/>
              </w:rPr>
              <w:t>43.25</w:t>
            </w:r>
            <w:r w:rsidRPr="00015505">
              <w:rPr>
                <w:sz w:val="24"/>
              </w:rPr>
              <w:t xml:space="preserve"> </w:t>
            </w:r>
          </w:p>
        </w:tc>
        <w:tc>
          <w:tcPr>
            <w:tcW w:w="2519" w:type="dxa"/>
          </w:tcPr>
          <w:p w:rsidR="009B3794" w:rsidRPr="00015505" w:rsidRDefault="0083310E" w:rsidP="006C136E">
            <w:pPr>
              <w:spacing w:before="120"/>
              <w:jc w:val="right"/>
              <w:rPr>
                <w:sz w:val="24"/>
              </w:rPr>
            </w:pPr>
            <w:r>
              <w:rPr>
                <w:sz w:val="24"/>
              </w:rPr>
              <w:t>$32.44</w:t>
            </w:r>
          </w:p>
        </w:tc>
      </w:tr>
      <w:tr w:rsidR="009B3794" w:rsidRPr="00015505" w:rsidTr="00F93ABC">
        <w:trPr>
          <w:trHeight w:val="440"/>
        </w:trPr>
        <w:tc>
          <w:tcPr>
            <w:tcW w:w="2261" w:type="dxa"/>
          </w:tcPr>
          <w:p w:rsidR="009B3794" w:rsidRPr="00015505" w:rsidRDefault="0083310E" w:rsidP="00194EE9">
            <w:pPr>
              <w:widowControl/>
              <w:spacing w:before="120"/>
              <w:rPr>
                <w:sz w:val="24"/>
              </w:rPr>
            </w:pPr>
            <w:r>
              <w:rPr>
                <w:sz w:val="24"/>
              </w:rPr>
              <w:t>OPO representatives</w:t>
            </w:r>
          </w:p>
        </w:tc>
        <w:tc>
          <w:tcPr>
            <w:tcW w:w="1264" w:type="dxa"/>
          </w:tcPr>
          <w:p w:rsidR="009B3794" w:rsidRPr="00015505" w:rsidRDefault="00F93ABC" w:rsidP="00DB5798">
            <w:pPr>
              <w:widowControl/>
              <w:spacing w:before="120"/>
              <w:rPr>
                <w:sz w:val="24"/>
              </w:rPr>
            </w:pPr>
            <w:r>
              <w:rPr>
                <w:sz w:val="24"/>
              </w:rPr>
              <w:t>420</w:t>
            </w:r>
          </w:p>
        </w:tc>
        <w:tc>
          <w:tcPr>
            <w:tcW w:w="1336" w:type="dxa"/>
          </w:tcPr>
          <w:p w:rsidR="009B3794" w:rsidRPr="00015505" w:rsidRDefault="0083310E" w:rsidP="00DB5798">
            <w:pPr>
              <w:widowControl/>
              <w:spacing w:before="120"/>
              <w:jc w:val="right"/>
              <w:rPr>
                <w:sz w:val="24"/>
              </w:rPr>
            </w:pPr>
            <w:r>
              <w:rPr>
                <w:sz w:val="24"/>
              </w:rPr>
              <w:t>$19.74</w:t>
            </w:r>
          </w:p>
        </w:tc>
        <w:tc>
          <w:tcPr>
            <w:tcW w:w="2519" w:type="dxa"/>
          </w:tcPr>
          <w:p w:rsidR="009B3794" w:rsidRPr="00015505" w:rsidRDefault="009B3794" w:rsidP="006C136E">
            <w:pPr>
              <w:widowControl/>
              <w:spacing w:before="120"/>
              <w:jc w:val="right"/>
              <w:rPr>
                <w:sz w:val="24"/>
              </w:rPr>
            </w:pPr>
            <w:r w:rsidRPr="00015505">
              <w:rPr>
                <w:sz w:val="24"/>
              </w:rPr>
              <w:t>$</w:t>
            </w:r>
            <w:r w:rsidR="0083310E">
              <w:rPr>
                <w:sz w:val="24"/>
              </w:rPr>
              <w:t>24.64</w:t>
            </w:r>
          </w:p>
        </w:tc>
      </w:tr>
    </w:tbl>
    <w:p w:rsidR="009B3794" w:rsidRPr="0083310E" w:rsidRDefault="009B3794" w:rsidP="00F66F67">
      <w:pPr>
        <w:numPr>
          <w:ilvl w:val="0"/>
          <w:numId w:val="3"/>
        </w:numPr>
        <w:spacing w:before="240"/>
        <w:ind w:left="360"/>
        <w:rPr>
          <w:b/>
          <w:sz w:val="24"/>
        </w:rPr>
      </w:pPr>
      <w:r>
        <w:rPr>
          <w:b/>
          <w:sz w:val="24"/>
          <w:u w:val="single"/>
        </w:rPr>
        <w:t>Estimates of other Total Annual Cost Burden to Respondents or Recordkeepers/Capital Costs</w:t>
      </w:r>
    </w:p>
    <w:p w:rsidR="0083310E" w:rsidRPr="0083310E" w:rsidRDefault="0083310E" w:rsidP="00DB5798">
      <w:pPr>
        <w:spacing w:before="240"/>
        <w:ind w:left="360"/>
        <w:rPr>
          <w:sz w:val="24"/>
        </w:rPr>
      </w:pPr>
      <w:r w:rsidRPr="0083310E">
        <w:rPr>
          <w:sz w:val="24"/>
        </w:rPr>
        <w:t>N/A</w:t>
      </w:r>
    </w:p>
    <w:p w:rsidR="009B3794" w:rsidRDefault="009B3794" w:rsidP="00F66F67">
      <w:pPr>
        <w:numPr>
          <w:ilvl w:val="0"/>
          <w:numId w:val="3"/>
        </w:numPr>
        <w:spacing w:before="240"/>
        <w:ind w:left="360"/>
        <w:rPr>
          <w:b/>
          <w:sz w:val="24"/>
        </w:rPr>
      </w:pPr>
      <w:r>
        <w:rPr>
          <w:b/>
          <w:sz w:val="24"/>
          <w:u w:val="single"/>
        </w:rPr>
        <w:t>Annualized Cost to Federal Government</w:t>
      </w:r>
    </w:p>
    <w:p w:rsidR="009B3794" w:rsidRDefault="009457B4" w:rsidP="00F66F67">
      <w:pPr>
        <w:pStyle w:val="BodyTextIndent"/>
        <w:numPr>
          <w:ilvl w:val="0"/>
          <w:numId w:val="2"/>
        </w:numPr>
        <w:tabs>
          <w:tab w:val="clear" w:pos="1800"/>
          <w:tab w:val="num" w:pos="360"/>
        </w:tabs>
        <w:spacing w:before="120"/>
        <w:ind w:left="360"/>
        <w:rPr>
          <w:rFonts w:ascii="Times New Roman" w:hAnsi="Times New Roman"/>
        </w:rPr>
      </w:pPr>
      <w:r>
        <w:rPr>
          <w:rFonts w:ascii="Times New Roman" w:hAnsi="Times New Roman"/>
        </w:rPr>
        <w:t>The cost for d</w:t>
      </w:r>
      <w:r w:rsidR="009F67CB">
        <w:rPr>
          <w:rFonts w:ascii="Times New Roman" w:hAnsi="Times New Roman"/>
        </w:rPr>
        <w:t xml:space="preserve">evelopment and design of the scorecard was $2,900. This includes 23 ($126 hourly average) hours of work by a government contractor to gather input from the leadership team and national partners, design the form, get feedback from government personnel and make changes to the form. </w:t>
      </w:r>
    </w:p>
    <w:p w:rsidR="009F67CB" w:rsidRDefault="009457B4" w:rsidP="00F66F67">
      <w:pPr>
        <w:pStyle w:val="BodyTextIndent"/>
        <w:numPr>
          <w:ilvl w:val="0"/>
          <w:numId w:val="2"/>
        </w:numPr>
        <w:tabs>
          <w:tab w:val="clear" w:pos="1800"/>
          <w:tab w:val="num" w:pos="360"/>
        </w:tabs>
        <w:spacing w:before="120"/>
        <w:ind w:left="360"/>
        <w:rPr>
          <w:rFonts w:ascii="Times New Roman" w:hAnsi="Times New Roman"/>
        </w:rPr>
      </w:pPr>
      <w:r>
        <w:rPr>
          <w:rFonts w:ascii="Times New Roman" w:hAnsi="Times New Roman"/>
        </w:rPr>
        <w:t>G</w:t>
      </w:r>
      <w:r w:rsidR="009F67CB">
        <w:rPr>
          <w:rFonts w:ascii="Times New Roman" w:hAnsi="Times New Roman"/>
        </w:rPr>
        <w:t xml:space="preserve">athering completed scorecards from the OPOs and hospital partners and creating the recognition lists </w:t>
      </w:r>
      <w:r>
        <w:rPr>
          <w:rFonts w:ascii="Times New Roman" w:hAnsi="Times New Roman"/>
        </w:rPr>
        <w:t xml:space="preserve">will require </w:t>
      </w:r>
      <w:r w:rsidR="009F67CB">
        <w:rPr>
          <w:rFonts w:ascii="Times New Roman" w:hAnsi="Times New Roman"/>
        </w:rPr>
        <w:t>approximate</w:t>
      </w:r>
      <w:r>
        <w:rPr>
          <w:rFonts w:ascii="Times New Roman" w:hAnsi="Times New Roman"/>
        </w:rPr>
        <w:t>ly</w:t>
      </w:r>
      <w:r w:rsidR="009F67CB">
        <w:rPr>
          <w:rFonts w:ascii="Times New Roman" w:hAnsi="Times New Roman"/>
        </w:rPr>
        <w:t xml:space="preserve"> at 80 hours </w:t>
      </w:r>
      <w:r>
        <w:rPr>
          <w:rFonts w:ascii="Times New Roman" w:hAnsi="Times New Roman"/>
        </w:rPr>
        <w:t xml:space="preserve">of contractor time at a total cost of </w:t>
      </w:r>
      <w:r w:rsidR="009F67CB">
        <w:rPr>
          <w:rFonts w:ascii="Times New Roman" w:hAnsi="Times New Roman"/>
        </w:rPr>
        <w:lastRenderedPageBreak/>
        <w:t>$10,080 (using the government contractor hourly average of $126)</w:t>
      </w:r>
      <w:r w:rsidR="009F415E">
        <w:rPr>
          <w:rFonts w:ascii="Times New Roman" w:hAnsi="Times New Roman"/>
        </w:rPr>
        <w:t>.</w:t>
      </w:r>
      <w:r w:rsidR="009F67CB">
        <w:rPr>
          <w:rFonts w:ascii="Times New Roman" w:hAnsi="Times New Roman"/>
        </w:rPr>
        <w:t xml:space="preserve">  </w:t>
      </w:r>
    </w:p>
    <w:p w:rsidR="000F6FE6" w:rsidRDefault="009F67CB" w:rsidP="00F66F67">
      <w:pPr>
        <w:pStyle w:val="BodyTextIndent"/>
        <w:numPr>
          <w:ilvl w:val="0"/>
          <w:numId w:val="2"/>
        </w:numPr>
        <w:tabs>
          <w:tab w:val="clear" w:pos="1800"/>
          <w:tab w:val="num" w:pos="360"/>
        </w:tabs>
        <w:spacing w:before="120"/>
        <w:ind w:left="360"/>
        <w:rPr>
          <w:rFonts w:ascii="Times New Roman" w:hAnsi="Times New Roman"/>
        </w:rPr>
      </w:pPr>
      <w:r>
        <w:rPr>
          <w:rFonts w:ascii="Times New Roman" w:hAnsi="Times New Roman"/>
        </w:rPr>
        <w:t xml:space="preserve">Total </w:t>
      </w:r>
      <w:r w:rsidR="006A6099">
        <w:rPr>
          <w:rFonts w:ascii="Times New Roman" w:hAnsi="Times New Roman"/>
        </w:rPr>
        <w:t xml:space="preserve">estimated </w:t>
      </w:r>
      <w:r>
        <w:rPr>
          <w:rFonts w:ascii="Times New Roman" w:hAnsi="Times New Roman"/>
        </w:rPr>
        <w:t xml:space="preserve">cost over </w:t>
      </w:r>
      <w:r w:rsidR="006A6099">
        <w:rPr>
          <w:rFonts w:ascii="Times New Roman" w:hAnsi="Times New Roman"/>
        </w:rPr>
        <w:t>3</w:t>
      </w:r>
      <w:r>
        <w:rPr>
          <w:rFonts w:ascii="Times New Roman" w:hAnsi="Times New Roman"/>
        </w:rPr>
        <w:t xml:space="preserve"> years </w:t>
      </w:r>
      <w:r w:rsidR="006A6099">
        <w:rPr>
          <w:rFonts w:ascii="Times New Roman" w:hAnsi="Times New Roman"/>
        </w:rPr>
        <w:t>is</w:t>
      </w:r>
      <w:r w:rsidR="00D15A07">
        <w:rPr>
          <w:rFonts w:ascii="Times New Roman" w:hAnsi="Times New Roman"/>
        </w:rPr>
        <w:t xml:space="preserve"> </w:t>
      </w:r>
      <w:r w:rsidR="000F6FE6">
        <w:rPr>
          <w:rFonts w:ascii="Times New Roman" w:hAnsi="Times New Roman"/>
        </w:rPr>
        <w:t>$46,331, or $15,444 per year.</w:t>
      </w:r>
    </w:p>
    <w:p w:rsidR="009F67CB" w:rsidRDefault="000F6FE6" w:rsidP="00BA5E51">
      <w:pPr>
        <w:pStyle w:val="BodyTextIndent"/>
        <w:spacing w:before="120"/>
        <w:ind w:left="360"/>
        <w:rPr>
          <w:rFonts w:ascii="Times New Roman" w:hAnsi="Times New Roman"/>
        </w:rPr>
      </w:pPr>
      <w:r>
        <w:rPr>
          <w:rFonts w:ascii="Times New Roman" w:hAnsi="Times New Roman"/>
        </w:rPr>
        <w:t xml:space="preserve">Itemized estimates are below. </w:t>
      </w:r>
    </w:p>
    <w:p w:rsidR="006A6099" w:rsidRDefault="006A6099" w:rsidP="00BA5E51">
      <w:pPr>
        <w:pStyle w:val="BodyTextIndent"/>
        <w:spacing w:before="120"/>
        <w:rPr>
          <w:rFonts w:ascii="Times New Roman" w:hAnsi="Times New Roman"/>
        </w:rPr>
      </w:pPr>
      <w:r>
        <w:rPr>
          <w:rFonts w:ascii="Times New Roman" w:hAnsi="Times New Roman"/>
        </w:rPr>
        <w:t>Contractor costs:</w:t>
      </w:r>
    </w:p>
    <w:p w:rsidR="009F67CB" w:rsidRDefault="009F67CB" w:rsidP="00965CBB">
      <w:pPr>
        <w:pStyle w:val="BodyTextIndent"/>
        <w:spacing w:before="120"/>
        <w:ind w:left="2160"/>
        <w:rPr>
          <w:rFonts w:ascii="Times New Roman" w:hAnsi="Times New Roman"/>
        </w:rPr>
      </w:pPr>
      <w:r>
        <w:rPr>
          <w:rFonts w:ascii="Times New Roman" w:hAnsi="Times New Roman"/>
        </w:rPr>
        <w:t>$30,240 for collection and recognition (</w:t>
      </w:r>
      <w:r w:rsidR="009F415E">
        <w:rPr>
          <w:rFonts w:ascii="Times New Roman" w:hAnsi="Times New Roman"/>
        </w:rPr>
        <w:t>$</w:t>
      </w:r>
      <w:r>
        <w:rPr>
          <w:rFonts w:ascii="Times New Roman" w:hAnsi="Times New Roman"/>
        </w:rPr>
        <w:t>10,080 per year)</w:t>
      </w:r>
    </w:p>
    <w:p w:rsidR="009F67CB" w:rsidRDefault="009F67CB" w:rsidP="00BC0CA7">
      <w:pPr>
        <w:pStyle w:val="BodyTextIndent"/>
        <w:spacing w:before="120"/>
        <w:ind w:left="2160"/>
        <w:rPr>
          <w:rFonts w:ascii="Times New Roman" w:hAnsi="Times New Roman"/>
        </w:rPr>
      </w:pPr>
      <w:r>
        <w:rPr>
          <w:rFonts w:ascii="Times New Roman" w:hAnsi="Times New Roman"/>
        </w:rPr>
        <w:t xml:space="preserve">                          +</w:t>
      </w:r>
    </w:p>
    <w:p w:rsidR="009F67CB" w:rsidRDefault="009F67CB" w:rsidP="00BC0CA7">
      <w:pPr>
        <w:pStyle w:val="BodyTextIndent"/>
        <w:spacing w:before="120"/>
        <w:ind w:left="2160"/>
        <w:rPr>
          <w:rFonts w:ascii="Times New Roman" w:hAnsi="Times New Roman"/>
        </w:rPr>
      </w:pPr>
      <w:r>
        <w:rPr>
          <w:rFonts w:ascii="Times New Roman" w:hAnsi="Times New Roman"/>
        </w:rPr>
        <w:t>$2,900 for first year development and design</w:t>
      </w:r>
    </w:p>
    <w:p w:rsidR="00F03782" w:rsidRDefault="00F03782" w:rsidP="00BC0CA7">
      <w:pPr>
        <w:pStyle w:val="BodyTextIndent"/>
        <w:spacing w:before="120"/>
        <w:ind w:left="2160"/>
        <w:rPr>
          <w:rFonts w:ascii="Times New Roman" w:hAnsi="Times New Roman"/>
        </w:rPr>
      </w:pPr>
      <w:r>
        <w:rPr>
          <w:rFonts w:ascii="Times New Roman" w:hAnsi="Times New Roman"/>
        </w:rPr>
        <w:t>=</w:t>
      </w:r>
    </w:p>
    <w:p w:rsidR="00F03782" w:rsidRDefault="00F03782" w:rsidP="00BC0CA7">
      <w:pPr>
        <w:pStyle w:val="BodyTextIndent"/>
        <w:spacing w:before="120"/>
        <w:ind w:left="2160"/>
        <w:rPr>
          <w:rFonts w:ascii="Times New Roman" w:hAnsi="Times New Roman"/>
        </w:rPr>
      </w:pPr>
      <w:r>
        <w:rPr>
          <w:rFonts w:ascii="Times New Roman" w:hAnsi="Times New Roman"/>
        </w:rPr>
        <w:t>$33,140</w:t>
      </w:r>
      <w:r w:rsidR="00BA5E51">
        <w:rPr>
          <w:rFonts w:ascii="Times New Roman" w:hAnsi="Times New Roman"/>
        </w:rPr>
        <w:t xml:space="preserve"> = 3-year total</w:t>
      </w:r>
    </w:p>
    <w:p w:rsidR="000F6FE6" w:rsidRDefault="000F6FE6" w:rsidP="00F93ABC">
      <w:pPr>
        <w:pStyle w:val="BodyTextIndent"/>
        <w:spacing w:before="120"/>
        <w:rPr>
          <w:rFonts w:ascii="Times New Roman" w:hAnsi="Times New Roman"/>
          <w:color w:val="000000"/>
        </w:rPr>
      </w:pPr>
      <w:r>
        <w:rPr>
          <w:rFonts w:ascii="Times New Roman" w:hAnsi="Times New Roman"/>
          <w:color w:val="000000"/>
        </w:rPr>
        <w:t xml:space="preserve">Government costs:  </w:t>
      </w:r>
    </w:p>
    <w:p w:rsidR="001D479D" w:rsidRPr="003D55E1" w:rsidRDefault="001D479D" w:rsidP="00BA5E51">
      <w:pPr>
        <w:pStyle w:val="BodyTextIndent"/>
        <w:spacing w:before="120"/>
        <w:ind w:left="0"/>
        <w:rPr>
          <w:color w:val="000000"/>
        </w:rPr>
      </w:pPr>
      <w:r w:rsidRPr="003D55E1">
        <w:rPr>
          <w:rFonts w:ascii="Times New Roman" w:hAnsi="Times New Roman"/>
          <w:color w:val="000000"/>
        </w:rPr>
        <w:t xml:space="preserve">The cost </w:t>
      </w:r>
      <w:r w:rsidR="00D15A07">
        <w:rPr>
          <w:rFonts w:ascii="Times New Roman" w:hAnsi="Times New Roman"/>
          <w:color w:val="000000"/>
        </w:rPr>
        <w:t xml:space="preserve">for 3 years </w:t>
      </w:r>
      <w:r w:rsidRPr="003D55E1">
        <w:rPr>
          <w:rFonts w:ascii="Times New Roman" w:hAnsi="Times New Roman"/>
          <w:color w:val="000000"/>
        </w:rPr>
        <w:t>of the data collection for government personnel is estimated at $</w:t>
      </w:r>
      <w:r w:rsidR="00B11964">
        <w:rPr>
          <w:rFonts w:ascii="Times New Roman" w:hAnsi="Times New Roman"/>
          <w:color w:val="000000"/>
        </w:rPr>
        <w:t>13,191.00</w:t>
      </w:r>
      <w:r w:rsidR="00D15A07">
        <w:rPr>
          <w:rFonts w:ascii="Times New Roman" w:hAnsi="Times New Roman"/>
          <w:color w:val="000000"/>
        </w:rPr>
        <w:t xml:space="preserve">.The </w:t>
      </w:r>
      <w:r w:rsidRPr="003D55E1">
        <w:rPr>
          <w:rFonts w:ascii="Times New Roman" w:hAnsi="Times New Roman"/>
          <w:color w:val="000000"/>
        </w:rPr>
        <w:t xml:space="preserve">estimated annualized cost per year </w:t>
      </w:r>
      <w:r w:rsidR="00D15A07">
        <w:rPr>
          <w:rFonts w:ascii="Times New Roman" w:hAnsi="Times New Roman"/>
          <w:color w:val="000000"/>
        </w:rPr>
        <w:t xml:space="preserve">  is</w:t>
      </w:r>
      <w:r w:rsidRPr="003D55E1">
        <w:rPr>
          <w:rFonts w:ascii="Times New Roman" w:hAnsi="Times New Roman"/>
          <w:color w:val="000000"/>
        </w:rPr>
        <w:t xml:space="preserve"> $4,</w:t>
      </w:r>
      <w:r w:rsidR="00B11964">
        <w:rPr>
          <w:rFonts w:ascii="Times New Roman" w:hAnsi="Times New Roman"/>
          <w:color w:val="000000"/>
        </w:rPr>
        <w:t>397.00</w:t>
      </w:r>
      <w:r w:rsidRPr="003D55E1">
        <w:rPr>
          <w:rFonts w:ascii="Times New Roman" w:hAnsi="Times New Roman"/>
          <w:color w:val="000000"/>
        </w:rPr>
        <w:t xml:space="preserve"> (</w:t>
      </w:r>
      <w:r w:rsidR="00B11964">
        <w:rPr>
          <w:rFonts w:ascii="Times New Roman" w:hAnsi="Times New Roman"/>
          <w:color w:val="000000"/>
        </w:rPr>
        <w:t>1.</w:t>
      </w:r>
      <w:r w:rsidRPr="003D55E1">
        <w:rPr>
          <w:rFonts w:ascii="Times New Roman" w:hAnsi="Times New Roman"/>
          <w:color w:val="000000"/>
        </w:rPr>
        <w:t>5 percent FTE @ $136,771 = $</w:t>
      </w:r>
      <w:r w:rsidR="00B11964">
        <w:rPr>
          <w:rFonts w:ascii="Times New Roman" w:hAnsi="Times New Roman"/>
          <w:color w:val="000000"/>
        </w:rPr>
        <w:t>2,517</w:t>
      </w:r>
      <w:r w:rsidR="001F48E1">
        <w:rPr>
          <w:rFonts w:ascii="Times New Roman" w:hAnsi="Times New Roman"/>
          <w:color w:val="000000"/>
        </w:rPr>
        <w:t>.00</w:t>
      </w:r>
      <w:r w:rsidRPr="003D55E1">
        <w:rPr>
          <w:rFonts w:ascii="Times New Roman" w:hAnsi="Times New Roman"/>
          <w:color w:val="000000"/>
        </w:rPr>
        <w:t xml:space="preserve">  and </w:t>
      </w:r>
      <w:r w:rsidR="001F48E1">
        <w:rPr>
          <w:rFonts w:ascii="Times New Roman" w:hAnsi="Times New Roman"/>
          <w:color w:val="000000"/>
        </w:rPr>
        <w:t>2</w:t>
      </w:r>
      <w:r w:rsidR="00D15A07">
        <w:rPr>
          <w:rFonts w:ascii="Times New Roman" w:hAnsi="Times New Roman"/>
          <w:color w:val="000000"/>
        </w:rPr>
        <w:t>.0</w:t>
      </w:r>
      <w:r w:rsidRPr="003D55E1">
        <w:rPr>
          <w:rFonts w:ascii="Times New Roman" w:hAnsi="Times New Roman"/>
          <w:color w:val="000000"/>
        </w:rPr>
        <w:t xml:space="preserve"> percent FTE @ $94,969 = $</w:t>
      </w:r>
      <w:r w:rsidR="001F48E1">
        <w:rPr>
          <w:rFonts w:ascii="Times New Roman" w:hAnsi="Times New Roman"/>
          <w:color w:val="000000"/>
        </w:rPr>
        <w:t>1,880.00</w:t>
      </w:r>
      <w:r w:rsidRPr="003D55E1">
        <w:rPr>
          <w:rFonts w:ascii="Times New Roman" w:hAnsi="Times New Roman"/>
          <w:color w:val="000000"/>
        </w:rPr>
        <w:t xml:space="preserve"> per year). </w:t>
      </w:r>
    </w:p>
    <w:p w:rsidR="001D479D" w:rsidRDefault="001D479D" w:rsidP="003D55E1">
      <w:pPr>
        <w:pStyle w:val="BodyTextIndent"/>
        <w:spacing w:before="120"/>
        <w:ind w:left="360"/>
        <w:rPr>
          <w:rFonts w:ascii="Times New Roman" w:hAnsi="Times New Roman"/>
        </w:rPr>
      </w:pPr>
    </w:p>
    <w:p w:rsidR="009B3794" w:rsidRDefault="009B3794" w:rsidP="00F66F67">
      <w:pPr>
        <w:numPr>
          <w:ilvl w:val="0"/>
          <w:numId w:val="3"/>
        </w:numPr>
        <w:spacing w:before="240"/>
        <w:ind w:left="360"/>
        <w:rPr>
          <w:b/>
          <w:sz w:val="24"/>
        </w:rPr>
      </w:pPr>
      <w:r>
        <w:rPr>
          <w:b/>
          <w:sz w:val="24"/>
          <w:u w:val="single"/>
        </w:rPr>
        <w:t>Explanation for Program Changes or Adjustments</w:t>
      </w:r>
    </w:p>
    <w:p w:rsidR="002C4C69" w:rsidRPr="002C4C69" w:rsidRDefault="002C4C69" w:rsidP="000A1E38">
      <w:pPr>
        <w:pStyle w:val="BodyTextIndent"/>
        <w:spacing w:before="120"/>
        <w:ind w:left="0"/>
        <w:rPr>
          <w:rFonts w:ascii="Times New Roman" w:hAnsi="Times New Roman"/>
        </w:rPr>
      </w:pPr>
      <w:r w:rsidRPr="002C4C69">
        <w:rPr>
          <w:rFonts w:ascii="Times New Roman" w:hAnsi="Times New Roman"/>
        </w:rPr>
        <w:t>This</w:t>
      </w:r>
      <w:r w:rsidR="00BA5E51">
        <w:rPr>
          <w:rFonts w:ascii="Times New Roman" w:hAnsi="Times New Roman"/>
        </w:rPr>
        <w:t xml:space="preserve"> is a new information collection. </w:t>
      </w:r>
      <w:r w:rsidR="001F48E1">
        <w:rPr>
          <w:rFonts w:ascii="Times New Roman" w:hAnsi="Times New Roman"/>
        </w:rPr>
        <w:t xml:space="preserve"> </w:t>
      </w:r>
    </w:p>
    <w:p w:rsidR="009B3794" w:rsidRDefault="009B3794" w:rsidP="00F66F67">
      <w:pPr>
        <w:numPr>
          <w:ilvl w:val="0"/>
          <w:numId w:val="3"/>
        </w:numPr>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2C4C69" w:rsidRDefault="00741C84" w:rsidP="003D55E1">
      <w:pPr>
        <w:widowControl/>
        <w:autoSpaceDE/>
        <w:autoSpaceDN/>
        <w:adjustRightInd/>
        <w:spacing w:before="120"/>
        <w:ind w:left="90"/>
        <w:rPr>
          <w:color w:val="000000"/>
          <w:sz w:val="24"/>
        </w:rPr>
      </w:pPr>
      <w:r>
        <w:rPr>
          <w:color w:val="000000"/>
          <w:sz w:val="24"/>
        </w:rPr>
        <w:t>Each of the three years, beginning with 2014</w:t>
      </w:r>
      <w:r w:rsidR="00181200">
        <w:rPr>
          <w:color w:val="000000"/>
          <w:sz w:val="24"/>
        </w:rPr>
        <w:t>,</w:t>
      </w:r>
      <w:r>
        <w:rPr>
          <w:color w:val="000000"/>
          <w:sz w:val="24"/>
        </w:rPr>
        <w:t xml:space="preserve"> </w:t>
      </w:r>
      <w:r w:rsidR="002764B2">
        <w:rPr>
          <w:color w:val="000000"/>
          <w:sz w:val="24"/>
        </w:rPr>
        <w:t>DoT</w:t>
      </w:r>
      <w:r w:rsidR="00181200">
        <w:rPr>
          <w:color w:val="000000"/>
          <w:sz w:val="24"/>
        </w:rPr>
        <w:t xml:space="preserve"> will</w:t>
      </w:r>
      <w:r w:rsidR="002C4C69">
        <w:rPr>
          <w:color w:val="000000"/>
          <w:sz w:val="24"/>
        </w:rPr>
        <w:t xml:space="preserve"> </w:t>
      </w:r>
      <w:r w:rsidR="00181200">
        <w:rPr>
          <w:color w:val="000000"/>
          <w:sz w:val="24"/>
        </w:rPr>
        <w:t xml:space="preserve">ask hospitals to record their activities from February 1 through April 30. This period includes two </w:t>
      </w:r>
      <w:r w:rsidR="004B5EDB">
        <w:rPr>
          <w:color w:val="000000"/>
          <w:sz w:val="24"/>
        </w:rPr>
        <w:t xml:space="preserve">national </w:t>
      </w:r>
      <w:r w:rsidR="00181200">
        <w:rPr>
          <w:color w:val="000000"/>
          <w:sz w:val="24"/>
        </w:rPr>
        <w:t xml:space="preserve">outreach events for organ, eye, and tissue donation, National Donor Day (February 14) and Donate Life Month (April).   The </w:t>
      </w:r>
      <w:r w:rsidR="002C4C69">
        <w:rPr>
          <w:color w:val="000000"/>
          <w:sz w:val="24"/>
        </w:rPr>
        <w:t xml:space="preserve">deadline for submitting a form will be May 31. </w:t>
      </w:r>
      <w:r w:rsidR="00FD67F5">
        <w:rPr>
          <w:color w:val="000000"/>
          <w:sz w:val="24"/>
        </w:rPr>
        <w:t xml:space="preserve"> </w:t>
      </w:r>
      <w:r w:rsidR="002764B2">
        <w:rPr>
          <w:color w:val="000000"/>
          <w:sz w:val="24"/>
        </w:rPr>
        <w:t>DoT</w:t>
      </w:r>
      <w:r>
        <w:rPr>
          <w:color w:val="000000"/>
          <w:sz w:val="24"/>
        </w:rPr>
        <w:t>’s contractor</w:t>
      </w:r>
      <w:r w:rsidR="002C4C69">
        <w:rPr>
          <w:color w:val="000000"/>
          <w:sz w:val="24"/>
        </w:rPr>
        <w:t xml:space="preserve"> will compile </w:t>
      </w:r>
      <w:r w:rsidR="001F5B42">
        <w:rPr>
          <w:color w:val="000000"/>
          <w:sz w:val="24"/>
        </w:rPr>
        <w:t xml:space="preserve">the </w:t>
      </w:r>
      <w:r w:rsidR="004B5EDB">
        <w:rPr>
          <w:color w:val="000000"/>
          <w:sz w:val="24"/>
        </w:rPr>
        <w:t xml:space="preserve">information and develop a list of recognized hospitals and </w:t>
      </w:r>
      <w:r w:rsidR="001F5B42">
        <w:rPr>
          <w:color w:val="000000"/>
          <w:sz w:val="24"/>
        </w:rPr>
        <w:t>OPO</w:t>
      </w:r>
      <w:r w:rsidR="004B5EDB">
        <w:rPr>
          <w:color w:val="000000"/>
          <w:sz w:val="24"/>
        </w:rPr>
        <w:t>s. Organ procurement organizations will be recognized at the June annual meeting of their national association, the Association of Organ Procurement Organizations.  T</w:t>
      </w:r>
      <w:r w:rsidR="001F5B42">
        <w:rPr>
          <w:color w:val="000000"/>
          <w:sz w:val="24"/>
        </w:rPr>
        <w:t xml:space="preserve">he hospital </w:t>
      </w:r>
      <w:r w:rsidR="00F302F9">
        <w:rPr>
          <w:color w:val="000000"/>
          <w:sz w:val="24"/>
        </w:rPr>
        <w:t xml:space="preserve">awardees will be recognized by the AHA in its communication venues.  DoT will post OPO and </w:t>
      </w:r>
      <w:r w:rsidR="002764B2">
        <w:rPr>
          <w:color w:val="000000"/>
          <w:sz w:val="24"/>
        </w:rPr>
        <w:t>h</w:t>
      </w:r>
      <w:r w:rsidR="00F302F9">
        <w:rPr>
          <w:color w:val="000000"/>
          <w:sz w:val="24"/>
        </w:rPr>
        <w:t>ospital awardees on organdonor.gov in June each year.  Other recognition venues or events are likely to take place; for example, it is likely that some state hospital associations may provide recognition for their hospitals</w:t>
      </w:r>
      <w:r w:rsidR="002764B2">
        <w:rPr>
          <w:color w:val="000000"/>
          <w:sz w:val="24"/>
        </w:rPr>
        <w:t>, and that hospitals themselves will post information themselves</w:t>
      </w:r>
      <w:r w:rsidR="00F302F9">
        <w:rPr>
          <w:color w:val="000000"/>
          <w:sz w:val="24"/>
        </w:rPr>
        <w:t xml:space="preserve">. </w:t>
      </w:r>
      <w:r w:rsidR="001F5B42">
        <w:rPr>
          <w:color w:val="000000"/>
          <w:sz w:val="24"/>
        </w:rPr>
        <w:t xml:space="preserve"> The certificates </w:t>
      </w:r>
      <w:r w:rsidR="00102351">
        <w:rPr>
          <w:color w:val="000000"/>
          <w:sz w:val="24"/>
        </w:rPr>
        <w:t xml:space="preserve">will be printed and distributed </w:t>
      </w:r>
      <w:r w:rsidR="004C177E">
        <w:rPr>
          <w:color w:val="000000"/>
          <w:sz w:val="24"/>
        </w:rPr>
        <w:t>in</w:t>
      </w:r>
      <w:r w:rsidR="00102351">
        <w:rPr>
          <w:color w:val="000000"/>
          <w:sz w:val="24"/>
        </w:rPr>
        <w:t xml:space="preserve"> August</w:t>
      </w:r>
      <w:r w:rsidR="009E1940">
        <w:rPr>
          <w:color w:val="000000"/>
          <w:sz w:val="24"/>
        </w:rPr>
        <w:t>.</w:t>
      </w:r>
    </w:p>
    <w:p w:rsidR="009B3794" w:rsidRDefault="009B3794" w:rsidP="00F66F67">
      <w:pPr>
        <w:numPr>
          <w:ilvl w:val="0"/>
          <w:numId w:val="3"/>
        </w:numPr>
        <w:spacing w:before="240"/>
        <w:ind w:left="360"/>
        <w:rPr>
          <w:b/>
          <w:sz w:val="24"/>
        </w:rPr>
      </w:pPr>
      <w:r>
        <w:rPr>
          <w:b/>
          <w:sz w:val="24"/>
          <w:u w:val="single"/>
        </w:rPr>
        <w:t>Reason(s) Display of OMB Expiration Date is Inappropriate</w:t>
      </w:r>
    </w:p>
    <w:p w:rsidR="009B3794" w:rsidRDefault="00DC5B24" w:rsidP="00DB5798">
      <w:pPr>
        <w:pStyle w:val="BodyTextIndent"/>
        <w:spacing w:before="120"/>
        <w:ind w:left="360"/>
        <w:rPr>
          <w:rFonts w:ascii="Times New Roman" w:hAnsi="Times New Roman"/>
        </w:rPr>
      </w:pPr>
      <w:r>
        <w:rPr>
          <w:rFonts w:ascii="Times New Roman" w:hAnsi="Times New Roman"/>
        </w:rPr>
        <w:t>N/A</w:t>
      </w:r>
    </w:p>
    <w:p w:rsidR="009B3794" w:rsidRDefault="009B3794" w:rsidP="00F66F67">
      <w:pPr>
        <w:numPr>
          <w:ilvl w:val="0"/>
          <w:numId w:val="3"/>
        </w:numPr>
        <w:spacing w:before="240"/>
        <w:ind w:left="360"/>
        <w:rPr>
          <w:b/>
          <w:sz w:val="24"/>
        </w:rPr>
      </w:pPr>
      <w:r>
        <w:rPr>
          <w:b/>
          <w:sz w:val="24"/>
          <w:u w:val="single"/>
        </w:rPr>
        <w:t>Exceptions to Certification for Paperwork Reduction Act Submissions</w:t>
      </w:r>
    </w:p>
    <w:p w:rsidR="009B3794" w:rsidRDefault="009B3794" w:rsidP="00DB5798">
      <w:pPr>
        <w:pStyle w:val="BodyTextIndent"/>
        <w:spacing w:before="120"/>
        <w:ind w:left="360"/>
        <w:rPr>
          <w:rFonts w:ascii="Times New Roman" w:hAnsi="Times New Roman"/>
        </w:rPr>
      </w:pPr>
      <w:r w:rsidRPr="00DC5B24">
        <w:rPr>
          <w:rFonts w:ascii="Times New Roman" w:hAnsi="Times New Roman"/>
        </w:rPr>
        <w:t>There are no exceptions to the certification.</w:t>
      </w:r>
    </w:p>
    <w:p w:rsidR="00F03782" w:rsidRPr="00F93ABC" w:rsidRDefault="00F03782" w:rsidP="00F93ABC">
      <w:pPr>
        <w:widowControl/>
        <w:autoSpaceDE/>
        <w:autoSpaceDN/>
        <w:adjustRightInd/>
        <w:rPr>
          <w:sz w:val="24"/>
        </w:rPr>
      </w:pPr>
    </w:p>
    <w:sectPr w:rsidR="00F03782" w:rsidRPr="00F93ABC"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A0" w:rsidRDefault="005F73A0">
      <w:r>
        <w:separator/>
      </w:r>
    </w:p>
  </w:endnote>
  <w:endnote w:type="continuationSeparator" w:id="0">
    <w:p w:rsidR="005F73A0" w:rsidRDefault="005F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27973">
      <w:rPr>
        <w:noProof/>
        <w:sz w:val="24"/>
      </w:rPr>
      <w:t>2</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A0" w:rsidRDefault="005F73A0">
      <w:r>
        <w:separator/>
      </w:r>
    </w:p>
  </w:footnote>
  <w:footnote w:type="continuationSeparator" w:id="0">
    <w:p w:rsidR="005F73A0" w:rsidRDefault="005F7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C311A"/>
    <w:multiLevelType w:val="hybridMultilevel"/>
    <w:tmpl w:val="32CE66D2"/>
    <w:lvl w:ilvl="0" w:tplc="F66297C2">
      <w:start w:val="3"/>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B7D"/>
    <w:rsid w:val="000032CF"/>
    <w:rsid w:val="00015505"/>
    <w:rsid w:val="00044E9E"/>
    <w:rsid w:val="0006109C"/>
    <w:rsid w:val="000A1E38"/>
    <w:rsid w:val="000B1D31"/>
    <w:rsid w:val="000F6FE6"/>
    <w:rsid w:val="00102351"/>
    <w:rsid w:val="0013228B"/>
    <w:rsid w:val="001325B2"/>
    <w:rsid w:val="00134BFC"/>
    <w:rsid w:val="0015720F"/>
    <w:rsid w:val="00181200"/>
    <w:rsid w:val="00194EE9"/>
    <w:rsid w:val="001D479D"/>
    <w:rsid w:val="001D4856"/>
    <w:rsid w:val="001F48E1"/>
    <w:rsid w:val="001F5B42"/>
    <w:rsid w:val="00204E2D"/>
    <w:rsid w:val="002118B4"/>
    <w:rsid w:val="00253279"/>
    <w:rsid w:val="00254B71"/>
    <w:rsid w:val="002640E7"/>
    <w:rsid w:val="002764B2"/>
    <w:rsid w:val="002C4C69"/>
    <w:rsid w:val="002D0EA6"/>
    <w:rsid w:val="002F7D1E"/>
    <w:rsid w:val="00322313"/>
    <w:rsid w:val="00333C9E"/>
    <w:rsid w:val="00340EDE"/>
    <w:rsid w:val="00374308"/>
    <w:rsid w:val="00391E16"/>
    <w:rsid w:val="003D23B1"/>
    <w:rsid w:val="003D55E1"/>
    <w:rsid w:val="004104EE"/>
    <w:rsid w:val="00472847"/>
    <w:rsid w:val="004746CA"/>
    <w:rsid w:val="00490720"/>
    <w:rsid w:val="0049411B"/>
    <w:rsid w:val="00495737"/>
    <w:rsid w:val="004B5EDB"/>
    <w:rsid w:val="004C177E"/>
    <w:rsid w:val="004C7A78"/>
    <w:rsid w:val="004D3A02"/>
    <w:rsid w:val="004E687D"/>
    <w:rsid w:val="004F0F45"/>
    <w:rsid w:val="00503BAB"/>
    <w:rsid w:val="00511F53"/>
    <w:rsid w:val="00545B72"/>
    <w:rsid w:val="00572596"/>
    <w:rsid w:val="00575A76"/>
    <w:rsid w:val="00577BA8"/>
    <w:rsid w:val="005A2D06"/>
    <w:rsid w:val="005D1D41"/>
    <w:rsid w:val="005E1765"/>
    <w:rsid w:val="005E3763"/>
    <w:rsid w:val="005F73A0"/>
    <w:rsid w:val="00624019"/>
    <w:rsid w:val="0064726E"/>
    <w:rsid w:val="00680D76"/>
    <w:rsid w:val="00694437"/>
    <w:rsid w:val="00694B0D"/>
    <w:rsid w:val="006A4AA1"/>
    <w:rsid w:val="006A6099"/>
    <w:rsid w:val="006B6053"/>
    <w:rsid w:val="006C136E"/>
    <w:rsid w:val="007341B0"/>
    <w:rsid w:val="00741C84"/>
    <w:rsid w:val="00747E71"/>
    <w:rsid w:val="007711ED"/>
    <w:rsid w:val="0077447D"/>
    <w:rsid w:val="00775830"/>
    <w:rsid w:val="007A57AA"/>
    <w:rsid w:val="007F047A"/>
    <w:rsid w:val="00826BA4"/>
    <w:rsid w:val="0083310E"/>
    <w:rsid w:val="00887010"/>
    <w:rsid w:val="008D2D67"/>
    <w:rsid w:val="008E24E3"/>
    <w:rsid w:val="008F518F"/>
    <w:rsid w:val="009244C3"/>
    <w:rsid w:val="00936EA5"/>
    <w:rsid w:val="009457B4"/>
    <w:rsid w:val="009507A6"/>
    <w:rsid w:val="009566FE"/>
    <w:rsid w:val="00965CBB"/>
    <w:rsid w:val="0098455C"/>
    <w:rsid w:val="0098655D"/>
    <w:rsid w:val="009B3794"/>
    <w:rsid w:val="009B7E4D"/>
    <w:rsid w:val="009E1940"/>
    <w:rsid w:val="009F415E"/>
    <w:rsid w:val="009F67CB"/>
    <w:rsid w:val="00A01136"/>
    <w:rsid w:val="00A0721D"/>
    <w:rsid w:val="00A07992"/>
    <w:rsid w:val="00A346D6"/>
    <w:rsid w:val="00A7659B"/>
    <w:rsid w:val="00A92CAB"/>
    <w:rsid w:val="00AE7154"/>
    <w:rsid w:val="00B039AD"/>
    <w:rsid w:val="00B11964"/>
    <w:rsid w:val="00B32BD8"/>
    <w:rsid w:val="00B65389"/>
    <w:rsid w:val="00B655C6"/>
    <w:rsid w:val="00B87F22"/>
    <w:rsid w:val="00B94003"/>
    <w:rsid w:val="00BA1A0C"/>
    <w:rsid w:val="00BA5E51"/>
    <w:rsid w:val="00BC0CA7"/>
    <w:rsid w:val="00BC5871"/>
    <w:rsid w:val="00C075EF"/>
    <w:rsid w:val="00C11407"/>
    <w:rsid w:val="00C2311D"/>
    <w:rsid w:val="00C42793"/>
    <w:rsid w:val="00C50853"/>
    <w:rsid w:val="00C64C7E"/>
    <w:rsid w:val="00C724CC"/>
    <w:rsid w:val="00C74B86"/>
    <w:rsid w:val="00CA3DA6"/>
    <w:rsid w:val="00CA3DCD"/>
    <w:rsid w:val="00CA5598"/>
    <w:rsid w:val="00CD36E7"/>
    <w:rsid w:val="00CE5A63"/>
    <w:rsid w:val="00CE5AA9"/>
    <w:rsid w:val="00D15A07"/>
    <w:rsid w:val="00D226FA"/>
    <w:rsid w:val="00D2356A"/>
    <w:rsid w:val="00D27973"/>
    <w:rsid w:val="00D45007"/>
    <w:rsid w:val="00D46313"/>
    <w:rsid w:val="00D5288E"/>
    <w:rsid w:val="00D656A4"/>
    <w:rsid w:val="00D74B86"/>
    <w:rsid w:val="00D87527"/>
    <w:rsid w:val="00D92E1D"/>
    <w:rsid w:val="00DB5798"/>
    <w:rsid w:val="00DC151D"/>
    <w:rsid w:val="00DC5AF8"/>
    <w:rsid w:val="00DC5B24"/>
    <w:rsid w:val="00DC6907"/>
    <w:rsid w:val="00DD441E"/>
    <w:rsid w:val="00DE3A45"/>
    <w:rsid w:val="00E161E3"/>
    <w:rsid w:val="00E203FA"/>
    <w:rsid w:val="00E27880"/>
    <w:rsid w:val="00E34A1F"/>
    <w:rsid w:val="00E63CE9"/>
    <w:rsid w:val="00E67642"/>
    <w:rsid w:val="00E704AE"/>
    <w:rsid w:val="00E962DB"/>
    <w:rsid w:val="00EC7B1C"/>
    <w:rsid w:val="00ED18EA"/>
    <w:rsid w:val="00ED4217"/>
    <w:rsid w:val="00EE529C"/>
    <w:rsid w:val="00F03782"/>
    <w:rsid w:val="00F11EEF"/>
    <w:rsid w:val="00F14FB3"/>
    <w:rsid w:val="00F302F9"/>
    <w:rsid w:val="00F36CE0"/>
    <w:rsid w:val="00F4221E"/>
    <w:rsid w:val="00F51115"/>
    <w:rsid w:val="00F66F67"/>
    <w:rsid w:val="00F93ABC"/>
    <w:rsid w:val="00F9409A"/>
    <w:rsid w:val="00FB63E8"/>
    <w:rsid w:val="00FC1DCB"/>
    <w:rsid w:val="00FC2D53"/>
    <w:rsid w:val="00FD0C08"/>
    <w:rsid w:val="00FD67F5"/>
    <w:rsid w:val="00FE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4F0F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4F0F45"/>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747E71"/>
    <w:rPr>
      <w:sz w:val="16"/>
      <w:szCs w:val="16"/>
    </w:rPr>
  </w:style>
  <w:style w:type="paragraph" w:styleId="CommentText">
    <w:name w:val="annotation text"/>
    <w:basedOn w:val="Normal"/>
    <w:link w:val="CommentTextChar"/>
    <w:rsid w:val="00747E71"/>
    <w:rPr>
      <w:szCs w:val="20"/>
    </w:rPr>
  </w:style>
  <w:style w:type="character" w:customStyle="1" w:styleId="CommentTextChar">
    <w:name w:val="Comment Text Char"/>
    <w:basedOn w:val="DefaultParagraphFont"/>
    <w:link w:val="CommentText"/>
    <w:rsid w:val="00747E71"/>
  </w:style>
  <w:style w:type="paragraph" w:styleId="CommentSubject">
    <w:name w:val="annotation subject"/>
    <w:basedOn w:val="CommentText"/>
    <w:next w:val="CommentText"/>
    <w:link w:val="CommentSubjectChar"/>
    <w:rsid w:val="00747E71"/>
    <w:rPr>
      <w:b/>
      <w:bCs/>
    </w:rPr>
  </w:style>
  <w:style w:type="character" w:customStyle="1" w:styleId="CommentSubjectChar">
    <w:name w:val="Comment Subject Char"/>
    <w:basedOn w:val="CommentTextChar"/>
    <w:link w:val="CommentSubject"/>
    <w:rsid w:val="00747E71"/>
    <w:rPr>
      <w:b/>
      <w:bCs/>
    </w:rPr>
  </w:style>
  <w:style w:type="character" w:styleId="FollowedHyperlink">
    <w:name w:val="FollowedHyperlink"/>
    <w:basedOn w:val="DefaultParagraphFont"/>
    <w:rsid w:val="00204E2D"/>
    <w:rPr>
      <w:color w:val="800080" w:themeColor="followedHyperlink"/>
      <w:u w:val="single"/>
    </w:rPr>
  </w:style>
  <w:style w:type="paragraph" w:styleId="Revision">
    <w:name w:val="Revision"/>
    <w:hidden/>
    <w:uiPriority w:val="99"/>
    <w:semiHidden/>
    <w:rsid w:val="00BC0CA7"/>
    <w:rPr>
      <w:szCs w:val="24"/>
    </w:rPr>
  </w:style>
  <w:style w:type="paragraph" w:styleId="Header">
    <w:name w:val="header"/>
    <w:basedOn w:val="Normal"/>
    <w:link w:val="HeaderChar"/>
    <w:rsid w:val="00F93ABC"/>
    <w:pPr>
      <w:tabs>
        <w:tab w:val="center" w:pos="4680"/>
        <w:tab w:val="right" w:pos="9360"/>
      </w:tabs>
    </w:pPr>
  </w:style>
  <w:style w:type="character" w:customStyle="1" w:styleId="HeaderChar">
    <w:name w:val="Header Char"/>
    <w:basedOn w:val="DefaultParagraphFont"/>
    <w:link w:val="Header"/>
    <w:rsid w:val="00F93ABC"/>
    <w:rPr>
      <w:szCs w:val="24"/>
    </w:rPr>
  </w:style>
  <w:style w:type="paragraph" w:styleId="Footer">
    <w:name w:val="footer"/>
    <w:basedOn w:val="Normal"/>
    <w:link w:val="FooterChar"/>
    <w:rsid w:val="00F93ABC"/>
    <w:pPr>
      <w:tabs>
        <w:tab w:val="center" w:pos="4680"/>
        <w:tab w:val="right" w:pos="9360"/>
      </w:tabs>
    </w:pPr>
  </w:style>
  <w:style w:type="character" w:customStyle="1" w:styleId="FooterChar">
    <w:name w:val="Footer Char"/>
    <w:basedOn w:val="DefaultParagraphFont"/>
    <w:link w:val="Footer"/>
    <w:rsid w:val="00F93AB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4F0F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4F0F45"/>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747E71"/>
    <w:rPr>
      <w:sz w:val="16"/>
      <w:szCs w:val="16"/>
    </w:rPr>
  </w:style>
  <w:style w:type="paragraph" w:styleId="CommentText">
    <w:name w:val="annotation text"/>
    <w:basedOn w:val="Normal"/>
    <w:link w:val="CommentTextChar"/>
    <w:rsid w:val="00747E71"/>
    <w:rPr>
      <w:szCs w:val="20"/>
    </w:rPr>
  </w:style>
  <w:style w:type="character" w:customStyle="1" w:styleId="CommentTextChar">
    <w:name w:val="Comment Text Char"/>
    <w:basedOn w:val="DefaultParagraphFont"/>
    <w:link w:val="CommentText"/>
    <w:rsid w:val="00747E71"/>
  </w:style>
  <w:style w:type="paragraph" w:styleId="CommentSubject">
    <w:name w:val="annotation subject"/>
    <w:basedOn w:val="CommentText"/>
    <w:next w:val="CommentText"/>
    <w:link w:val="CommentSubjectChar"/>
    <w:rsid w:val="00747E71"/>
    <w:rPr>
      <w:b/>
      <w:bCs/>
    </w:rPr>
  </w:style>
  <w:style w:type="character" w:customStyle="1" w:styleId="CommentSubjectChar">
    <w:name w:val="Comment Subject Char"/>
    <w:basedOn w:val="CommentTextChar"/>
    <w:link w:val="CommentSubject"/>
    <w:rsid w:val="00747E71"/>
    <w:rPr>
      <w:b/>
      <w:bCs/>
    </w:rPr>
  </w:style>
  <w:style w:type="character" w:styleId="FollowedHyperlink">
    <w:name w:val="FollowedHyperlink"/>
    <w:basedOn w:val="DefaultParagraphFont"/>
    <w:rsid w:val="00204E2D"/>
    <w:rPr>
      <w:color w:val="800080" w:themeColor="followedHyperlink"/>
      <w:u w:val="single"/>
    </w:rPr>
  </w:style>
  <w:style w:type="paragraph" w:styleId="Revision">
    <w:name w:val="Revision"/>
    <w:hidden/>
    <w:uiPriority w:val="99"/>
    <w:semiHidden/>
    <w:rsid w:val="00BC0CA7"/>
    <w:rPr>
      <w:szCs w:val="24"/>
    </w:rPr>
  </w:style>
  <w:style w:type="paragraph" w:styleId="Header">
    <w:name w:val="header"/>
    <w:basedOn w:val="Normal"/>
    <w:link w:val="HeaderChar"/>
    <w:rsid w:val="00F93ABC"/>
    <w:pPr>
      <w:tabs>
        <w:tab w:val="center" w:pos="4680"/>
        <w:tab w:val="right" w:pos="9360"/>
      </w:tabs>
    </w:pPr>
  </w:style>
  <w:style w:type="character" w:customStyle="1" w:styleId="HeaderChar">
    <w:name w:val="Header Char"/>
    <w:basedOn w:val="DefaultParagraphFont"/>
    <w:link w:val="Header"/>
    <w:rsid w:val="00F93ABC"/>
    <w:rPr>
      <w:szCs w:val="24"/>
    </w:rPr>
  </w:style>
  <w:style w:type="paragraph" w:styleId="Footer">
    <w:name w:val="footer"/>
    <w:basedOn w:val="Normal"/>
    <w:link w:val="FooterChar"/>
    <w:rsid w:val="00F93ABC"/>
    <w:pPr>
      <w:tabs>
        <w:tab w:val="center" w:pos="4680"/>
        <w:tab w:val="right" w:pos="9360"/>
      </w:tabs>
    </w:pPr>
  </w:style>
  <w:style w:type="character" w:customStyle="1" w:styleId="FooterChar">
    <w:name w:val="Footer Char"/>
    <w:basedOn w:val="DefaultParagraphFont"/>
    <w:link w:val="Footer"/>
    <w:rsid w:val="00F93AB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9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93118DCE7FB44F8A44A15B107DBABC" ma:contentTypeVersion="0" ma:contentTypeDescription="Create a new document." ma:contentTypeScope="" ma:versionID="fed1061de016eb990e68ac694c119bd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91E9B-3C9C-4E03-94B3-D3D488D84B5C}">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985E44C-D9BD-412F-B9AA-1A9B9F9F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3101A6-D011-4B48-9022-A5D417C75129}">
  <ds:schemaRefs>
    <ds:schemaRef ds:uri="http://schemas.microsoft.com/sharepoint/v3/contenttype/forms"/>
  </ds:schemaRefs>
</ds:datastoreItem>
</file>

<file path=customXml/itemProps4.xml><?xml version="1.0" encoding="utf-8"?>
<ds:datastoreItem xmlns:ds="http://schemas.openxmlformats.org/officeDocument/2006/customXml" ds:itemID="{70919044-4600-4CFD-BE79-94D8AEE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1959</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12945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4</cp:revision>
  <cp:lastPrinted>2010-10-14T13:41:00Z</cp:lastPrinted>
  <dcterms:created xsi:type="dcterms:W3CDTF">2013-09-16T17:24:00Z</dcterms:created>
  <dcterms:modified xsi:type="dcterms:W3CDTF">2013-10-23T17:18:00Z</dcterms:modified>
</cp:coreProperties>
</file>