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4F26E9" w:rsidRDefault="00C556E5">
      <w:pPr>
        <w:jc w:val="center"/>
        <w:rPr>
          <w:b/>
          <w:bCs/>
          <w:sz w:val="24"/>
          <w:szCs w:val="24"/>
        </w:rPr>
      </w:pPr>
      <w:r>
        <w:rPr>
          <w:b/>
          <w:bCs/>
          <w:sz w:val="24"/>
          <w:szCs w:val="24"/>
        </w:rPr>
        <w:t xml:space="preserve">NOAA </w:t>
      </w:r>
      <w:r w:rsidR="00074837">
        <w:rPr>
          <w:b/>
          <w:bCs/>
          <w:sz w:val="24"/>
          <w:szCs w:val="24"/>
        </w:rPr>
        <w:t xml:space="preserve">Constituent </w:t>
      </w:r>
      <w:r>
        <w:rPr>
          <w:b/>
          <w:bCs/>
          <w:sz w:val="24"/>
          <w:szCs w:val="24"/>
        </w:rPr>
        <w:t>Engagement Survey</w:t>
      </w:r>
    </w:p>
    <w:p w:rsidR="004F26E9" w:rsidRPr="009C1382" w:rsidRDefault="00B25C95">
      <w:pPr>
        <w:jc w:val="center"/>
        <w:rPr>
          <w:sz w:val="24"/>
          <w:szCs w:val="24"/>
          <w:lang w:val="es-MX"/>
        </w:rPr>
      </w:pPr>
      <w:r w:rsidRPr="00B25C95">
        <w:rPr>
          <w:b/>
          <w:bCs/>
          <w:sz w:val="24"/>
          <w:szCs w:val="24"/>
          <w:lang w:val="es-MX"/>
        </w:rPr>
        <w:t>OMB CONTROL NO. 0648-</w:t>
      </w:r>
      <w:r w:rsidR="00220A14">
        <w:rPr>
          <w:b/>
          <w:bCs/>
          <w:sz w:val="24"/>
          <w:szCs w:val="24"/>
          <w:lang w:val="es-MX"/>
        </w:rPr>
        <w:t>0615</w:t>
      </w:r>
    </w:p>
    <w:p w:rsidR="004F26E9" w:rsidRPr="009C1382" w:rsidRDefault="004F26E9">
      <w:pPr>
        <w:rPr>
          <w:sz w:val="24"/>
          <w:szCs w:val="24"/>
          <w:lang w:val="es-MX"/>
        </w:rPr>
      </w:pPr>
    </w:p>
    <w:p w:rsidR="004F26E9" w:rsidRPr="009C1382" w:rsidRDefault="004F26E9">
      <w:pPr>
        <w:rPr>
          <w:sz w:val="24"/>
          <w:szCs w:val="24"/>
          <w:lang w:val="es-MX"/>
        </w:rPr>
      </w:pPr>
    </w:p>
    <w:p w:rsidR="004F26E9" w:rsidRDefault="00B25C95">
      <w:pPr>
        <w:tabs>
          <w:tab w:val="left" w:pos="720"/>
        </w:tabs>
        <w:ind w:left="720" w:hanging="720"/>
        <w:rPr>
          <w:sz w:val="24"/>
          <w:szCs w:val="24"/>
        </w:rPr>
      </w:pPr>
      <w:r w:rsidRPr="00B25C95">
        <w:rPr>
          <w:b/>
          <w:bCs/>
          <w:sz w:val="24"/>
          <w:szCs w:val="24"/>
          <w:lang w:val="es-MX"/>
        </w:rPr>
        <w:t xml:space="preserve">A. </w:t>
      </w:r>
      <w:r w:rsidRPr="00B25C95">
        <w:rPr>
          <w:b/>
          <w:bCs/>
          <w:sz w:val="24"/>
          <w:szCs w:val="24"/>
          <w:lang w:val="es-MX"/>
        </w:rPr>
        <w:tab/>
      </w:r>
      <w:r w:rsidR="004F26E9">
        <w:rPr>
          <w:b/>
          <w:bCs/>
          <w:sz w:val="24"/>
          <w:szCs w:val="24"/>
        </w:rPr>
        <w:t>JUSTIFICATION</w:t>
      </w:r>
    </w:p>
    <w:p w:rsidR="000378ED" w:rsidRDefault="000378ED">
      <w:pPr>
        <w:rPr>
          <w:b/>
          <w:bCs/>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843BE9" w:rsidRDefault="00843BE9" w:rsidP="0014747F">
      <w:pPr>
        <w:pStyle w:val="NoSpacing"/>
      </w:pPr>
    </w:p>
    <w:p w:rsidR="0014747F" w:rsidRDefault="001B056D" w:rsidP="0014747F">
      <w:pPr>
        <w:pStyle w:val="NoSpacing"/>
      </w:pPr>
      <w:r>
        <w:t xml:space="preserve">This supporting statement is for a request to revise and extend an existing NOAA engagement survey.  The revision is a request by the NOAA National Sea Grant College </w:t>
      </w:r>
      <w:proofErr w:type="gramStart"/>
      <w:r>
        <w:t xml:space="preserve">Program </w:t>
      </w:r>
      <w:r w:rsidR="00775D36">
        <w:t>,</w:t>
      </w:r>
      <w:proofErr w:type="gramEnd"/>
      <w:r w:rsidR="00775D36">
        <w:t xml:space="preserve"> created by the </w:t>
      </w:r>
      <w:hyperlink r:id="rId9" w:history="1">
        <w:r w:rsidR="00775D36" w:rsidRPr="00775D36">
          <w:rPr>
            <w:rStyle w:val="Hyperlink"/>
          </w:rPr>
          <w:t>Sea Grant Act,</w:t>
        </w:r>
      </w:hyperlink>
      <w:r w:rsidR="00775D36">
        <w:t xml:space="preserve"> </w:t>
      </w:r>
      <w:r w:rsidR="00A73FC1">
        <w:t>to</w:t>
      </w:r>
      <w:r w:rsidR="00074837">
        <w:t xml:space="preserve"> e</w:t>
      </w:r>
      <w:r w:rsidR="00A73FC1">
        <w:t>xtend the existing engagement survey (</w:t>
      </w:r>
      <w:r w:rsidR="00E51B0D" w:rsidRPr="00E51B0D">
        <w:t>OMB</w:t>
      </w:r>
      <w:r w:rsidR="001E2246">
        <w:t xml:space="preserve"> Control No.</w:t>
      </w:r>
      <w:r w:rsidR="00E51B0D" w:rsidRPr="00E51B0D">
        <w:t>0648-0615</w:t>
      </w:r>
      <w:r w:rsidR="00A73FC1">
        <w:t>) f</w:t>
      </w:r>
      <w:r w:rsidR="00775D36">
        <w:t>or its use, focusing on Sea Grant engagement</w:t>
      </w:r>
      <w:r w:rsidR="00A73FC1">
        <w:t>.  The current engagement survey was developed b</w:t>
      </w:r>
      <w:r w:rsidR="0014747F">
        <w:t xml:space="preserve">ecause NOAA services, products and </w:t>
      </w:r>
      <w:r w:rsidR="00A73FC1">
        <w:t>sciences are</w:t>
      </w:r>
      <w:r w:rsidR="0014747F">
        <w:t xml:space="preserve"> important to both the nation as a whole, and to the daily lives of US citizens</w:t>
      </w:r>
      <w:r w:rsidR="00A73FC1">
        <w:t xml:space="preserve">.  </w:t>
      </w:r>
      <w:r w:rsidR="0014747F">
        <w:t>NOAA’s Science Advisory Board</w:t>
      </w:r>
      <w:r w:rsidR="00220A14">
        <w:t xml:space="preserve"> (SAB)</w:t>
      </w:r>
      <w:r w:rsidR="0014747F">
        <w:t xml:space="preserve"> identified a need for more effective two-way communication between its </w:t>
      </w:r>
      <w:r w:rsidR="00302633">
        <w:t>programs</w:t>
      </w:r>
      <w:r w:rsidR="0014747F">
        <w:t xml:space="preserve"> and the customers and clients it serves.  NOAA’s </w:t>
      </w:r>
      <w:r w:rsidR="007267AC">
        <w:t>National Sea Grant College Program invests</w:t>
      </w:r>
      <w:r w:rsidR="00A73FC1">
        <w:t xml:space="preserve"> in sustaining a two-way communication channel between its sponsored research and its customers through a robust con</w:t>
      </w:r>
      <w:r w:rsidR="007267AC">
        <w:t xml:space="preserve">stituent engagement </w:t>
      </w:r>
      <w:r w:rsidR="00A73FC1">
        <w:t xml:space="preserve">program.  The goal of Sea Grant’s engagement program is </w:t>
      </w:r>
      <w:r w:rsidR="00074837">
        <w:t xml:space="preserve">to </w:t>
      </w:r>
      <w:r w:rsidR="00A73FC1">
        <w:t>solve problems through university-based research, extension, outreach and education programs.</w:t>
      </w:r>
      <w:r w:rsidR="0014747F">
        <w:t xml:space="preserve"> </w:t>
      </w:r>
      <w:r w:rsidR="00007173">
        <w:t xml:space="preserve"> </w:t>
      </w:r>
      <w:r w:rsidR="003A4A4F">
        <w:t xml:space="preserve">Sea Grant </w:t>
      </w:r>
      <w:r w:rsidR="007267AC">
        <w:t xml:space="preserve">regularly </w:t>
      </w:r>
      <w:r w:rsidR="0014747F">
        <w:t>analyz</w:t>
      </w:r>
      <w:r w:rsidR="007267AC">
        <w:t xml:space="preserve">es </w:t>
      </w:r>
      <w:r w:rsidR="0014747F">
        <w:t xml:space="preserve">the way </w:t>
      </w:r>
      <w:r>
        <w:t xml:space="preserve">it </w:t>
      </w:r>
      <w:r w:rsidR="0014747F">
        <w:t>engages with its constituents and</w:t>
      </w:r>
      <w:r w:rsidR="00302633">
        <w:t xml:space="preserve"> </w:t>
      </w:r>
      <w:r w:rsidR="007267AC">
        <w:t xml:space="preserve">the results of the engagement survey will provide information to form </w:t>
      </w:r>
      <w:r w:rsidR="0014747F">
        <w:t xml:space="preserve">recommendations on ways to </w:t>
      </w:r>
      <w:r w:rsidR="00E55DB9">
        <w:t xml:space="preserve">continually </w:t>
      </w:r>
      <w:r w:rsidR="0014747F">
        <w:t xml:space="preserve">improve </w:t>
      </w:r>
      <w:r w:rsidR="00E55DB9">
        <w:t xml:space="preserve">its </w:t>
      </w:r>
      <w:r w:rsidR="0014747F">
        <w:t>two-way</w:t>
      </w:r>
      <w:r w:rsidR="00007173">
        <w:t xml:space="preserve"> communication with customers.  </w:t>
      </w:r>
      <w:r w:rsidR="0014747F">
        <w:t xml:space="preserve">To achieve this goal, </w:t>
      </w:r>
      <w:r>
        <w:t>extension, outreach and education</w:t>
      </w:r>
      <w:r w:rsidR="00E55DB9">
        <w:t xml:space="preserve"> s</w:t>
      </w:r>
      <w:r w:rsidR="0014747F">
        <w:t>taff</w:t>
      </w:r>
      <w:r w:rsidR="00302633">
        <w:t xml:space="preserve"> </w:t>
      </w:r>
      <w:r>
        <w:t xml:space="preserve">will use </w:t>
      </w:r>
      <w:r w:rsidR="00220A14">
        <w:t xml:space="preserve">the </w:t>
      </w:r>
      <w:r>
        <w:t xml:space="preserve">previously approved engagement survey </w:t>
      </w:r>
      <w:r w:rsidR="00E55DB9">
        <w:t xml:space="preserve">to assess Sea Grant’s success in engaging with a cross section of its </w:t>
      </w:r>
      <w:r w:rsidR="00302633">
        <w:t>constituents</w:t>
      </w:r>
      <w:r w:rsidR="0014747F">
        <w:t>.  The survey instrument assess</w:t>
      </w:r>
      <w:r w:rsidR="00E55DB9">
        <w:t>es</w:t>
      </w:r>
      <w:r w:rsidR="0014747F">
        <w:t xml:space="preserve"> NOAA</w:t>
      </w:r>
      <w:r w:rsidR="00E55DB9">
        <w:t xml:space="preserve"> Sea Grant</w:t>
      </w:r>
      <w:r w:rsidR="0014747F">
        <w:t xml:space="preserve">’s </w:t>
      </w:r>
      <w:r w:rsidR="0014747F" w:rsidRPr="003565DA">
        <w:t>accessibility, responsiveness and respect for partners</w:t>
      </w:r>
      <w:r w:rsidR="00E55DB9">
        <w:t>.  Th</w:t>
      </w:r>
      <w:r w:rsidR="00074837">
        <w:t>e three engagement characteristics</w:t>
      </w:r>
      <w:r w:rsidR="00E55DB9">
        <w:t xml:space="preserve"> were identified by NOAA’s </w:t>
      </w:r>
      <w:r w:rsidR="003565DA">
        <w:t xml:space="preserve">SAB </w:t>
      </w:r>
      <w:r w:rsidR="00E55DB9">
        <w:t>as three of seven engagement characteristics defined in the Kellogg Engagement Test</w:t>
      </w:r>
      <w:r w:rsidR="003A4A4F">
        <w:rPr>
          <w:rStyle w:val="FootnoteReference"/>
        </w:rPr>
        <w:footnoteReference w:id="1"/>
      </w:r>
      <w:r w:rsidR="00775D36">
        <w:t xml:space="preserve"> (an activity of the </w:t>
      </w:r>
      <w:hyperlink r:id="rId10" w:history="1">
        <w:r w:rsidR="00775D36" w:rsidRPr="00775D36">
          <w:rPr>
            <w:rStyle w:val="Hyperlink"/>
          </w:rPr>
          <w:t>Kellogg Commission</w:t>
        </w:r>
      </w:hyperlink>
      <w:r w:rsidR="00775D36">
        <w:t>)</w:t>
      </w:r>
      <w:r w:rsidR="0014747F" w:rsidRPr="003565DA">
        <w:t>.</w:t>
      </w:r>
    </w:p>
    <w:p w:rsidR="004F26E9" w:rsidRDefault="004F26E9">
      <w:pPr>
        <w:rPr>
          <w:sz w:val="24"/>
          <w:szCs w:val="24"/>
        </w:rPr>
      </w:pPr>
    </w:p>
    <w:p w:rsidR="004F26E9" w:rsidRDefault="004F26E9">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843BE9" w:rsidRDefault="00843BE9" w:rsidP="00832AC5">
      <w:pPr>
        <w:contextualSpacing/>
        <w:rPr>
          <w:sz w:val="24"/>
          <w:szCs w:val="24"/>
        </w:rPr>
      </w:pPr>
    </w:p>
    <w:p w:rsidR="00832AC5" w:rsidRDefault="00B5120B" w:rsidP="00832AC5">
      <w:pPr>
        <w:contextualSpacing/>
        <w:rPr>
          <w:sz w:val="24"/>
          <w:szCs w:val="24"/>
        </w:rPr>
      </w:pPr>
      <w:r w:rsidRPr="00832AC5">
        <w:rPr>
          <w:sz w:val="24"/>
          <w:szCs w:val="24"/>
        </w:rPr>
        <w:t>The information</w:t>
      </w:r>
      <w:r w:rsidR="00B76C6E">
        <w:rPr>
          <w:sz w:val="24"/>
          <w:szCs w:val="24"/>
        </w:rPr>
        <w:t xml:space="preserve"> will be </w:t>
      </w:r>
      <w:r w:rsidRPr="00832AC5">
        <w:rPr>
          <w:sz w:val="24"/>
          <w:szCs w:val="24"/>
        </w:rPr>
        <w:t xml:space="preserve">collected </w:t>
      </w:r>
      <w:r w:rsidR="00054CC9">
        <w:rPr>
          <w:sz w:val="24"/>
          <w:szCs w:val="24"/>
        </w:rPr>
        <w:t xml:space="preserve">by Sea Grant programs </w:t>
      </w:r>
      <w:r w:rsidRPr="00832AC5">
        <w:rPr>
          <w:sz w:val="24"/>
          <w:szCs w:val="24"/>
        </w:rPr>
        <w:t>to assess how well NOAA</w:t>
      </w:r>
      <w:r w:rsidR="00F0217E">
        <w:rPr>
          <w:sz w:val="24"/>
          <w:szCs w:val="24"/>
        </w:rPr>
        <w:t xml:space="preserve"> Sea Grant</w:t>
      </w:r>
      <w:r w:rsidRPr="00832AC5">
        <w:rPr>
          <w:sz w:val="24"/>
          <w:szCs w:val="24"/>
        </w:rPr>
        <w:t xml:space="preserve"> is meeting the needs of customers in </w:t>
      </w:r>
      <w:r w:rsidR="009D4281">
        <w:rPr>
          <w:sz w:val="24"/>
          <w:szCs w:val="24"/>
        </w:rPr>
        <w:t xml:space="preserve">terms of </w:t>
      </w:r>
      <w:r w:rsidRPr="00832AC5">
        <w:rPr>
          <w:sz w:val="24"/>
          <w:szCs w:val="24"/>
        </w:rPr>
        <w:t>accessibility, responsiveness and respect</w:t>
      </w:r>
      <w:r w:rsidR="00B76C6E">
        <w:rPr>
          <w:sz w:val="24"/>
          <w:szCs w:val="24"/>
        </w:rPr>
        <w:t xml:space="preserve"> for its partners</w:t>
      </w:r>
      <w:r w:rsidRPr="00832AC5">
        <w:rPr>
          <w:sz w:val="24"/>
          <w:szCs w:val="24"/>
        </w:rPr>
        <w:t xml:space="preserve">.  </w:t>
      </w:r>
      <w:r w:rsidR="00302633">
        <w:rPr>
          <w:sz w:val="24"/>
          <w:szCs w:val="24"/>
        </w:rPr>
        <w:t>The survey instrument will</w:t>
      </w:r>
      <w:r w:rsidR="00843BE9">
        <w:rPr>
          <w:sz w:val="24"/>
          <w:szCs w:val="24"/>
        </w:rPr>
        <w:t xml:space="preserve"> be</w:t>
      </w:r>
      <w:r w:rsidR="00302633">
        <w:rPr>
          <w:sz w:val="24"/>
          <w:szCs w:val="24"/>
        </w:rPr>
        <w:t xml:space="preserve"> </w:t>
      </w:r>
      <w:r w:rsidR="00054CC9">
        <w:rPr>
          <w:sz w:val="24"/>
          <w:szCs w:val="24"/>
        </w:rPr>
        <w:t xml:space="preserve">a </w:t>
      </w:r>
      <w:r w:rsidR="00302633" w:rsidRPr="00832AC5">
        <w:rPr>
          <w:sz w:val="24"/>
          <w:szCs w:val="24"/>
        </w:rPr>
        <w:t xml:space="preserve">tool </w:t>
      </w:r>
      <w:r w:rsidR="00054CC9">
        <w:rPr>
          <w:sz w:val="24"/>
          <w:szCs w:val="24"/>
        </w:rPr>
        <w:t xml:space="preserve">available to Sea Grant </w:t>
      </w:r>
      <w:r w:rsidR="00302633" w:rsidRPr="00832AC5">
        <w:rPr>
          <w:sz w:val="24"/>
          <w:szCs w:val="24"/>
        </w:rPr>
        <w:t xml:space="preserve">for measuring </w:t>
      </w:r>
      <w:r w:rsidR="00054CC9">
        <w:rPr>
          <w:sz w:val="24"/>
          <w:szCs w:val="24"/>
        </w:rPr>
        <w:t xml:space="preserve">how effectively Sea Grant </w:t>
      </w:r>
      <w:r w:rsidR="00302633" w:rsidRPr="00832AC5">
        <w:rPr>
          <w:sz w:val="24"/>
          <w:szCs w:val="24"/>
        </w:rPr>
        <w:t>engages its constituents</w:t>
      </w:r>
      <w:r w:rsidR="00054CC9">
        <w:rPr>
          <w:sz w:val="24"/>
          <w:szCs w:val="24"/>
        </w:rPr>
        <w:t>.</w:t>
      </w:r>
      <w:r w:rsidR="00302633" w:rsidRPr="00832AC5">
        <w:rPr>
          <w:sz w:val="24"/>
          <w:szCs w:val="24"/>
        </w:rPr>
        <w:t xml:space="preserve"> </w:t>
      </w:r>
      <w:r w:rsidR="00007173">
        <w:rPr>
          <w:sz w:val="24"/>
          <w:szCs w:val="24"/>
        </w:rPr>
        <w:t xml:space="preserve"> </w:t>
      </w:r>
      <w:r w:rsidR="00832AC5">
        <w:rPr>
          <w:sz w:val="24"/>
          <w:szCs w:val="24"/>
        </w:rPr>
        <w:t>T</w:t>
      </w:r>
      <w:r w:rsidR="00832AC5" w:rsidRPr="00832AC5">
        <w:rPr>
          <w:sz w:val="24"/>
          <w:szCs w:val="24"/>
        </w:rPr>
        <w:t>he survey instrument</w:t>
      </w:r>
      <w:r w:rsidR="00832AC5">
        <w:rPr>
          <w:sz w:val="24"/>
          <w:szCs w:val="24"/>
        </w:rPr>
        <w:t xml:space="preserve"> </w:t>
      </w:r>
      <w:r w:rsidR="001F4040">
        <w:rPr>
          <w:sz w:val="24"/>
          <w:szCs w:val="24"/>
        </w:rPr>
        <w:t xml:space="preserve">is flexible in design and </w:t>
      </w:r>
      <w:r w:rsidR="00F0217E">
        <w:rPr>
          <w:sz w:val="24"/>
          <w:szCs w:val="24"/>
        </w:rPr>
        <w:t xml:space="preserve">could </w:t>
      </w:r>
      <w:r w:rsidR="001F4040">
        <w:rPr>
          <w:sz w:val="24"/>
          <w:szCs w:val="24"/>
        </w:rPr>
        <w:t xml:space="preserve">be </w:t>
      </w:r>
      <w:r w:rsidR="00F0217E">
        <w:rPr>
          <w:sz w:val="24"/>
          <w:szCs w:val="24"/>
        </w:rPr>
        <w:t xml:space="preserve">used by </w:t>
      </w:r>
      <w:r w:rsidR="001F4040">
        <w:rPr>
          <w:sz w:val="24"/>
          <w:szCs w:val="24"/>
        </w:rPr>
        <w:t xml:space="preserve">other </w:t>
      </w:r>
      <w:r w:rsidR="00F0217E">
        <w:rPr>
          <w:sz w:val="24"/>
          <w:szCs w:val="24"/>
        </w:rPr>
        <w:t xml:space="preserve">NOAA </w:t>
      </w:r>
      <w:r w:rsidR="00054CC9">
        <w:rPr>
          <w:sz w:val="24"/>
          <w:szCs w:val="24"/>
        </w:rPr>
        <w:t>programs</w:t>
      </w:r>
      <w:r w:rsidR="001E2246">
        <w:rPr>
          <w:sz w:val="24"/>
          <w:szCs w:val="24"/>
        </w:rPr>
        <w:t xml:space="preserve"> submitting similar requests to OMB</w:t>
      </w:r>
      <w:r w:rsidR="00054CC9">
        <w:rPr>
          <w:sz w:val="24"/>
          <w:szCs w:val="24"/>
        </w:rPr>
        <w:t xml:space="preserve">. </w:t>
      </w:r>
      <w:r w:rsidR="00832AC5" w:rsidRPr="00832AC5">
        <w:rPr>
          <w:sz w:val="24"/>
          <w:szCs w:val="24"/>
        </w:rPr>
        <w:t>Results of the administered survey wi</w:t>
      </w:r>
      <w:r w:rsidR="00264489">
        <w:rPr>
          <w:sz w:val="24"/>
          <w:szCs w:val="24"/>
        </w:rPr>
        <w:t xml:space="preserve">ll provide </w:t>
      </w:r>
      <w:r w:rsidR="00F0217E">
        <w:rPr>
          <w:sz w:val="24"/>
          <w:szCs w:val="24"/>
        </w:rPr>
        <w:t xml:space="preserve">NOAA </w:t>
      </w:r>
      <w:r w:rsidR="00054CC9">
        <w:rPr>
          <w:sz w:val="24"/>
          <w:szCs w:val="24"/>
        </w:rPr>
        <w:t xml:space="preserve">Sea Grant </w:t>
      </w:r>
      <w:r w:rsidR="00264489">
        <w:rPr>
          <w:sz w:val="24"/>
          <w:szCs w:val="24"/>
        </w:rPr>
        <w:t xml:space="preserve">with </w:t>
      </w:r>
      <w:r w:rsidR="00832AC5" w:rsidRPr="00832AC5">
        <w:rPr>
          <w:sz w:val="24"/>
          <w:szCs w:val="24"/>
        </w:rPr>
        <w:t>valuable information and feedback from its constituents that can lead to:</w:t>
      </w:r>
    </w:p>
    <w:p w:rsidR="00775D36" w:rsidRDefault="00775D36" w:rsidP="00832AC5">
      <w:pPr>
        <w:contextualSpacing/>
        <w:rPr>
          <w:sz w:val="24"/>
          <w:szCs w:val="24"/>
        </w:rPr>
      </w:pPr>
    </w:p>
    <w:p w:rsidR="00775D36" w:rsidRDefault="00775D36">
      <w:pPr>
        <w:widowControl/>
        <w:autoSpaceDE/>
        <w:autoSpaceDN/>
        <w:adjustRightInd/>
        <w:rPr>
          <w:sz w:val="24"/>
          <w:szCs w:val="24"/>
        </w:rPr>
      </w:pPr>
      <w:r>
        <w:rPr>
          <w:sz w:val="24"/>
          <w:szCs w:val="24"/>
        </w:rPr>
        <w:br w:type="page"/>
      </w:r>
    </w:p>
    <w:p w:rsidR="00775D36" w:rsidRPr="00832AC5" w:rsidRDefault="00775D36" w:rsidP="00832AC5">
      <w:pPr>
        <w:contextualSpacing/>
        <w:rPr>
          <w:sz w:val="24"/>
          <w:szCs w:val="24"/>
        </w:rPr>
      </w:pPr>
    </w:p>
    <w:p w:rsidR="00832AC5" w:rsidRDefault="00E36B21" w:rsidP="00832AC5">
      <w:pPr>
        <w:pStyle w:val="ListParagraph"/>
        <w:numPr>
          <w:ilvl w:val="0"/>
          <w:numId w:val="2"/>
        </w:numPr>
      </w:pPr>
      <w:r>
        <w:t>Techniques to improve</w:t>
      </w:r>
      <w:r w:rsidR="00832AC5">
        <w:t xml:space="preserve"> </w:t>
      </w:r>
      <w:r w:rsidR="00054CC9">
        <w:t xml:space="preserve">NOAA Sea Grant’s </w:t>
      </w:r>
      <w:r w:rsidR="00832AC5">
        <w:t>products</w:t>
      </w:r>
      <w:r w:rsidR="00B76C6E">
        <w:t>,</w:t>
      </w:r>
      <w:r w:rsidR="00832AC5">
        <w:t xml:space="preserve"> services</w:t>
      </w:r>
      <w:r w:rsidR="00B76C6E">
        <w:t>, and information.</w:t>
      </w:r>
    </w:p>
    <w:p w:rsidR="00E36B21" w:rsidRDefault="00E36B21" w:rsidP="00832AC5">
      <w:pPr>
        <w:pStyle w:val="ListParagraph"/>
        <w:numPr>
          <w:ilvl w:val="0"/>
          <w:numId w:val="2"/>
        </w:numPr>
      </w:pPr>
      <w:r>
        <w:t>Improved accessibility and responsiveness throughout NOAA.</w:t>
      </w:r>
    </w:p>
    <w:p w:rsidR="00E36B21" w:rsidRDefault="00E36B21" w:rsidP="00832AC5">
      <w:pPr>
        <w:pStyle w:val="ListParagraph"/>
        <w:numPr>
          <w:ilvl w:val="0"/>
          <w:numId w:val="2"/>
        </w:numPr>
      </w:pPr>
      <w:r>
        <w:t xml:space="preserve">Greater emphasis on </w:t>
      </w:r>
      <w:r w:rsidR="000723E3">
        <w:t xml:space="preserve">engagement with </w:t>
      </w:r>
      <w:r>
        <w:t>NOAA partners.</w:t>
      </w:r>
    </w:p>
    <w:p w:rsidR="00832AC5" w:rsidRDefault="00E36B21" w:rsidP="00832AC5">
      <w:pPr>
        <w:pStyle w:val="ListParagraph"/>
        <w:numPr>
          <w:ilvl w:val="0"/>
          <w:numId w:val="2"/>
        </w:numPr>
      </w:pPr>
      <w:r>
        <w:t xml:space="preserve">Improved </w:t>
      </w:r>
      <w:r w:rsidR="00832AC5">
        <w:t>reputation among the public</w:t>
      </w:r>
    </w:p>
    <w:p w:rsidR="00074837" w:rsidRDefault="00E56E0F" w:rsidP="00074837">
      <w:pPr>
        <w:rPr>
          <w:sz w:val="24"/>
          <w:szCs w:val="24"/>
        </w:rPr>
      </w:pPr>
      <w:r>
        <w:rPr>
          <w:sz w:val="24"/>
          <w:szCs w:val="24"/>
        </w:rPr>
        <w:t xml:space="preserve">The survey focuses on three of the seven characteristics of engagement as defined by the Kellogg’s foundation work on university engagement.  The three defining categories are accessibility, responsiveness and respect for partners.  </w:t>
      </w:r>
      <w:r w:rsidR="000378ED">
        <w:rPr>
          <w:sz w:val="24"/>
          <w:szCs w:val="24"/>
        </w:rPr>
        <w:t>Volunteer participants who complete the survey are asked to respond to 24 questions divided unevenly among the three categories</w:t>
      </w:r>
      <w:r w:rsidR="00074837">
        <w:rPr>
          <w:sz w:val="24"/>
          <w:szCs w:val="24"/>
        </w:rPr>
        <w:t xml:space="preserve"> (Sections 2, 3 and 4)</w:t>
      </w:r>
      <w:r w:rsidR="000378ED">
        <w:rPr>
          <w:sz w:val="24"/>
          <w:szCs w:val="24"/>
        </w:rPr>
        <w:t xml:space="preserve"> and 9 additional demographic questions</w:t>
      </w:r>
      <w:r w:rsidR="00F0217E">
        <w:rPr>
          <w:sz w:val="24"/>
          <w:szCs w:val="24"/>
        </w:rPr>
        <w:t xml:space="preserve">.  </w:t>
      </w:r>
      <w:r w:rsidR="00074837">
        <w:rPr>
          <w:sz w:val="24"/>
          <w:szCs w:val="24"/>
        </w:rPr>
        <w:t>In the current survey, “Sea Grant” is appended after each reference to NOAA.</w:t>
      </w:r>
    </w:p>
    <w:p w:rsidR="00074837" w:rsidRDefault="00074837" w:rsidP="00074837">
      <w:pPr>
        <w:rPr>
          <w:sz w:val="24"/>
          <w:szCs w:val="24"/>
        </w:rPr>
      </w:pPr>
    </w:p>
    <w:p w:rsidR="00E516D6" w:rsidRDefault="00F0217E">
      <w:pPr>
        <w:rPr>
          <w:sz w:val="24"/>
          <w:szCs w:val="24"/>
        </w:rPr>
      </w:pPr>
      <w:r>
        <w:rPr>
          <w:noProof/>
        </w:rPr>
        <w:drawing>
          <wp:inline distT="0" distB="0" distL="0" distR="0" wp14:anchorId="28B58B30" wp14:editId="57A97D9D">
            <wp:extent cx="5283046" cy="33181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5894"/>
                    <a:stretch/>
                  </pic:blipFill>
                  <pic:spPr bwMode="auto">
                    <a:xfrm>
                      <a:off x="0" y="0"/>
                      <a:ext cx="5285509" cy="3319711"/>
                    </a:xfrm>
                    <a:prstGeom prst="rect">
                      <a:avLst/>
                    </a:prstGeom>
                    <a:ln>
                      <a:noFill/>
                    </a:ln>
                    <a:extLst>
                      <a:ext uri="{53640926-AAD7-44D8-BBD7-CCE9431645EC}">
                        <a14:shadowObscured xmlns:a14="http://schemas.microsoft.com/office/drawing/2010/main"/>
                      </a:ext>
                    </a:extLst>
                  </pic:spPr>
                </pic:pic>
              </a:graphicData>
            </a:graphic>
          </wp:inline>
        </w:drawing>
      </w:r>
    </w:p>
    <w:p w:rsidR="00F0217E" w:rsidRDefault="00F0217E">
      <w:pPr>
        <w:rPr>
          <w:sz w:val="24"/>
          <w:szCs w:val="24"/>
        </w:rPr>
      </w:pPr>
      <w:proofErr w:type="gramStart"/>
      <w:r>
        <w:rPr>
          <w:sz w:val="24"/>
          <w:szCs w:val="24"/>
        </w:rPr>
        <w:t>Figure 1.</w:t>
      </w:r>
      <w:proofErr w:type="gramEnd"/>
      <w:r>
        <w:rPr>
          <w:sz w:val="24"/>
          <w:szCs w:val="24"/>
        </w:rPr>
        <w:t xml:space="preserve"> </w:t>
      </w:r>
      <w:r w:rsidR="002E4D42">
        <w:rPr>
          <w:sz w:val="24"/>
          <w:szCs w:val="24"/>
        </w:rPr>
        <w:t xml:space="preserve"> </w:t>
      </w:r>
      <w:proofErr w:type="gramStart"/>
      <w:r w:rsidR="002E4D42">
        <w:rPr>
          <w:sz w:val="24"/>
          <w:szCs w:val="24"/>
        </w:rPr>
        <w:t xml:space="preserve">A screen capture of </w:t>
      </w:r>
      <w:r w:rsidR="00E516D6">
        <w:rPr>
          <w:sz w:val="24"/>
          <w:szCs w:val="24"/>
        </w:rPr>
        <w:t>the 6 accessibility s</w:t>
      </w:r>
      <w:r>
        <w:rPr>
          <w:sz w:val="24"/>
          <w:szCs w:val="24"/>
        </w:rPr>
        <w:t>urvey questions</w:t>
      </w:r>
      <w:r w:rsidR="00E516D6">
        <w:rPr>
          <w:sz w:val="24"/>
          <w:szCs w:val="24"/>
        </w:rPr>
        <w:t>.</w:t>
      </w:r>
      <w:proofErr w:type="gramEnd"/>
      <w:r w:rsidR="005D6795">
        <w:rPr>
          <w:sz w:val="24"/>
          <w:szCs w:val="24"/>
        </w:rPr>
        <w:t xml:space="preserve">  </w:t>
      </w:r>
    </w:p>
    <w:p w:rsidR="00F0217E" w:rsidRDefault="00F0217E">
      <w:pPr>
        <w:rPr>
          <w:sz w:val="24"/>
          <w:szCs w:val="24"/>
        </w:rPr>
      </w:pPr>
      <w:r w:rsidRPr="003A4A4F">
        <w:rPr>
          <w:noProof/>
          <w:sz w:val="24"/>
          <w:szCs w:val="24"/>
        </w:rPr>
        <w:lastRenderedPageBreak/>
        <w:drawing>
          <wp:inline distT="0" distB="0" distL="0" distR="0" wp14:anchorId="1C44CD53" wp14:editId="1685A21A">
            <wp:extent cx="5049982" cy="38292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3479"/>
                    <a:stretch/>
                  </pic:blipFill>
                  <pic:spPr bwMode="auto">
                    <a:xfrm>
                      <a:off x="0" y="0"/>
                      <a:ext cx="5050983" cy="3830032"/>
                    </a:xfrm>
                    <a:prstGeom prst="rect">
                      <a:avLst/>
                    </a:prstGeom>
                    <a:noFill/>
                    <a:ln>
                      <a:noFill/>
                    </a:ln>
                    <a:extLst>
                      <a:ext uri="{53640926-AAD7-44D8-BBD7-CCE9431645EC}">
                        <a14:shadowObscured xmlns:a14="http://schemas.microsoft.com/office/drawing/2010/main"/>
                      </a:ext>
                    </a:extLst>
                  </pic:spPr>
                </pic:pic>
              </a:graphicData>
            </a:graphic>
          </wp:inline>
        </w:drawing>
      </w:r>
    </w:p>
    <w:p w:rsidR="00F0217E" w:rsidRDefault="00F0217E">
      <w:pPr>
        <w:rPr>
          <w:sz w:val="24"/>
          <w:szCs w:val="24"/>
        </w:rPr>
      </w:pPr>
      <w:proofErr w:type="gramStart"/>
      <w:r>
        <w:rPr>
          <w:sz w:val="24"/>
          <w:szCs w:val="24"/>
        </w:rPr>
        <w:t>Figure 2.</w:t>
      </w:r>
      <w:proofErr w:type="gramEnd"/>
      <w:r w:rsidR="00E516D6" w:rsidRPr="00E516D6">
        <w:rPr>
          <w:sz w:val="24"/>
          <w:szCs w:val="24"/>
        </w:rPr>
        <w:t xml:space="preserve"> </w:t>
      </w:r>
      <w:r w:rsidR="002E4D42">
        <w:rPr>
          <w:sz w:val="24"/>
          <w:szCs w:val="24"/>
        </w:rPr>
        <w:t xml:space="preserve"> </w:t>
      </w:r>
      <w:proofErr w:type="gramStart"/>
      <w:r w:rsidR="002E4D42">
        <w:rPr>
          <w:sz w:val="24"/>
          <w:szCs w:val="24"/>
        </w:rPr>
        <w:t>A screen capture of</w:t>
      </w:r>
      <w:r w:rsidR="00E516D6">
        <w:rPr>
          <w:sz w:val="24"/>
          <w:szCs w:val="24"/>
        </w:rPr>
        <w:t xml:space="preserve"> the 10 responsiveness survey questions.</w:t>
      </w:r>
      <w:proofErr w:type="gramEnd"/>
      <w:r w:rsidR="005D6795">
        <w:rPr>
          <w:sz w:val="24"/>
          <w:szCs w:val="24"/>
        </w:rPr>
        <w:t xml:space="preserve">  </w:t>
      </w:r>
      <w:r w:rsidR="002247FD">
        <w:rPr>
          <w:sz w:val="24"/>
          <w:szCs w:val="24"/>
        </w:rPr>
        <w:t xml:space="preserve">The revised </w:t>
      </w:r>
      <w:proofErr w:type="gramStart"/>
      <w:r w:rsidR="002247FD">
        <w:rPr>
          <w:sz w:val="24"/>
          <w:szCs w:val="24"/>
        </w:rPr>
        <w:t xml:space="preserve">questions </w:t>
      </w:r>
      <w:r w:rsidR="005D6795" w:rsidRPr="005D6795">
        <w:rPr>
          <w:sz w:val="24"/>
          <w:szCs w:val="24"/>
        </w:rPr>
        <w:t xml:space="preserve"> append</w:t>
      </w:r>
      <w:proofErr w:type="gramEnd"/>
      <w:r w:rsidR="005D6795" w:rsidRPr="005D6795">
        <w:rPr>
          <w:sz w:val="24"/>
          <w:szCs w:val="24"/>
        </w:rPr>
        <w:t xml:space="preserve"> Sea Grant after each reference to NOAA in the survey.</w:t>
      </w:r>
    </w:p>
    <w:p w:rsidR="00F0217E" w:rsidRDefault="00F0217E">
      <w:pPr>
        <w:rPr>
          <w:sz w:val="24"/>
          <w:szCs w:val="24"/>
        </w:rPr>
      </w:pPr>
    </w:p>
    <w:p w:rsidR="00F0217E" w:rsidRDefault="00F0217E">
      <w:pPr>
        <w:rPr>
          <w:sz w:val="24"/>
          <w:szCs w:val="24"/>
        </w:rPr>
      </w:pPr>
      <w:r w:rsidRPr="003A4A4F">
        <w:rPr>
          <w:noProof/>
          <w:sz w:val="24"/>
          <w:szCs w:val="24"/>
        </w:rPr>
        <w:drawing>
          <wp:inline distT="0" distB="0" distL="0" distR="0" wp14:anchorId="1FA874B9" wp14:editId="1C92964E">
            <wp:extent cx="5014486" cy="32973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7213"/>
                    <a:stretch/>
                  </pic:blipFill>
                  <pic:spPr bwMode="auto">
                    <a:xfrm>
                      <a:off x="0" y="0"/>
                      <a:ext cx="5015448" cy="3298015"/>
                    </a:xfrm>
                    <a:prstGeom prst="rect">
                      <a:avLst/>
                    </a:prstGeom>
                    <a:noFill/>
                    <a:ln>
                      <a:noFill/>
                    </a:ln>
                    <a:extLst>
                      <a:ext uri="{53640926-AAD7-44D8-BBD7-CCE9431645EC}">
                        <a14:shadowObscured xmlns:a14="http://schemas.microsoft.com/office/drawing/2010/main"/>
                      </a:ext>
                    </a:extLst>
                  </pic:spPr>
                </pic:pic>
              </a:graphicData>
            </a:graphic>
          </wp:inline>
        </w:drawing>
      </w:r>
    </w:p>
    <w:p w:rsidR="00E516D6" w:rsidRDefault="00F0217E" w:rsidP="00E516D6">
      <w:pPr>
        <w:rPr>
          <w:sz w:val="24"/>
          <w:szCs w:val="24"/>
        </w:rPr>
      </w:pPr>
      <w:proofErr w:type="gramStart"/>
      <w:r>
        <w:rPr>
          <w:sz w:val="24"/>
          <w:szCs w:val="24"/>
        </w:rPr>
        <w:t>Figure 3.</w:t>
      </w:r>
      <w:proofErr w:type="gramEnd"/>
      <w:r w:rsidR="00E516D6" w:rsidRPr="00E516D6">
        <w:rPr>
          <w:sz w:val="24"/>
          <w:szCs w:val="24"/>
        </w:rPr>
        <w:t xml:space="preserve"> </w:t>
      </w:r>
      <w:proofErr w:type="gramStart"/>
      <w:r w:rsidR="002E4D42">
        <w:rPr>
          <w:sz w:val="24"/>
          <w:szCs w:val="24"/>
        </w:rPr>
        <w:t>A screen capture</w:t>
      </w:r>
      <w:proofErr w:type="gramEnd"/>
      <w:r w:rsidR="002E4D42">
        <w:rPr>
          <w:sz w:val="24"/>
          <w:szCs w:val="24"/>
        </w:rPr>
        <w:t xml:space="preserve"> of</w:t>
      </w:r>
      <w:r w:rsidR="00E516D6">
        <w:rPr>
          <w:sz w:val="24"/>
          <w:szCs w:val="24"/>
        </w:rPr>
        <w:t xml:space="preserve"> the 8 respect for partners survey questions.</w:t>
      </w:r>
      <w:r w:rsidR="005D6795">
        <w:rPr>
          <w:sz w:val="24"/>
          <w:szCs w:val="24"/>
        </w:rPr>
        <w:t xml:space="preserve">  </w:t>
      </w:r>
      <w:r w:rsidR="002E4D42">
        <w:rPr>
          <w:sz w:val="24"/>
          <w:szCs w:val="24"/>
        </w:rPr>
        <w:t xml:space="preserve">The revised </w:t>
      </w:r>
      <w:proofErr w:type="gramStart"/>
      <w:r w:rsidR="002E4D42">
        <w:rPr>
          <w:sz w:val="24"/>
          <w:szCs w:val="24"/>
        </w:rPr>
        <w:t xml:space="preserve">questions </w:t>
      </w:r>
      <w:r w:rsidR="005D6795" w:rsidRPr="005D6795">
        <w:rPr>
          <w:sz w:val="24"/>
          <w:szCs w:val="24"/>
        </w:rPr>
        <w:t xml:space="preserve"> append</w:t>
      </w:r>
      <w:proofErr w:type="gramEnd"/>
      <w:r w:rsidR="005D6795" w:rsidRPr="005D6795">
        <w:rPr>
          <w:sz w:val="24"/>
          <w:szCs w:val="24"/>
        </w:rPr>
        <w:t xml:space="preserve"> Sea Grant after each reference to NOAA in the survey.</w:t>
      </w:r>
    </w:p>
    <w:p w:rsidR="00F0217E" w:rsidRDefault="00F0217E">
      <w:pPr>
        <w:rPr>
          <w:sz w:val="24"/>
          <w:szCs w:val="24"/>
        </w:rPr>
      </w:pPr>
    </w:p>
    <w:p w:rsidR="002247FD" w:rsidRDefault="002247FD">
      <w:pPr>
        <w:widowControl/>
        <w:autoSpaceDE/>
        <w:autoSpaceDN/>
        <w:adjustRightInd/>
        <w:rPr>
          <w:sz w:val="24"/>
          <w:szCs w:val="24"/>
        </w:rPr>
      </w:pPr>
      <w:r>
        <w:rPr>
          <w:sz w:val="24"/>
          <w:szCs w:val="24"/>
        </w:rPr>
        <w:br w:type="page"/>
      </w:r>
    </w:p>
    <w:p w:rsidR="00A35283" w:rsidRDefault="00A35283">
      <w:pPr>
        <w:rPr>
          <w:sz w:val="24"/>
          <w:szCs w:val="24"/>
        </w:rPr>
      </w:pPr>
      <w:r>
        <w:rPr>
          <w:sz w:val="24"/>
          <w:szCs w:val="24"/>
        </w:rPr>
        <w:lastRenderedPageBreak/>
        <w:t xml:space="preserve">NOAA’s </w:t>
      </w:r>
      <w:r w:rsidR="00F708B9">
        <w:rPr>
          <w:sz w:val="24"/>
          <w:szCs w:val="24"/>
        </w:rPr>
        <w:t xml:space="preserve">National Sea Grant College Program </w:t>
      </w:r>
      <w:r>
        <w:rPr>
          <w:sz w:val="24"/>
          <w:szCs w:val="24"/>
        </w:rPr>
        <w:t xml:space="preserve">will retain control over the information and safeguard it from improper access, modification and destruction, consistent with NOAA standards for confidentiality, privacy and electronic information.  See </w:t>
      </w:r>
      <w:r w:rsidR="00616977">
        <w:rPr>
          <w:sz w:val="24"/>
          <w:szCs w:val="24"/>
        </w:rPr>
        <w:t>response to</w:t>
      </w:r>
      <w:r w:rsidR="001E2246">
        <w:rPr>
          <w:sz w:val="24"/>
          <w:szCs w:val="24"/>
        </w:rPr>
        <w:t xml:space="preserve"> Question</w:t>
      </w:r>
      <w:r>
        <w:rPr>
          <w:sz w:val="24"/>
          <w:szCs w:val="24"/>
        </w:rPr>
        <w:t xml:space="preserve">10 of this Supporting Statement for more information on confidentiality and privacy.  The information collected is designed to yield data that meet all applicable information quality guidelines.  </w:t>
      </w:r>
      <w:r w:rsidR="00E36B21">
        <w:rPr>
          <w:sz w:val="24"/>
          <w:szCs w:val="24"/>
        </w:rPr>
        <w:t xml:space="preserve">Individual responses will not be </w:t>
      </w:r>
      <w:r w:rsidR="001F4040">
        <w:rPr>
          <w:sz w:val="24"/>
          <w:szCs w:val="24"/>
        </w:rPr>
        <w:t>disseminated;</w:t>
      </w:r>
      <w:r>
        <w:rPr>
          <w:sz w:val="24"/>
          <w:szCs w:val="24"/>
        </w:rPr>
        <w:t xml:space="preserve"> </w:t>
      </w:r>
      <w:r w:rsidR="00E36B21">
        <w:rPr>
          <w:sz w:val="24"/>
          <w:szCs w:val="24"/>
        </w:rPr>
        <w:t xml:space="preserve">summary </w:t>
      </w:r>
      <w:r>
        <w:rPr>
          <w:sz w:val="24"/>
          <w:szCs w:val="24"/>
        </w:rPr>
        <w:t>results may be used in scientific, management, technical or general informational publications.  Should</w:t>
      </w:r>
      <w:r w:rsidR="00645E4F">
        <w:rPr>
          <w:sz w:val="24"/>
          <w:szCs w:val="24"/>
        </w:rPr>
        <w:t xml:space="preserve"> </w:t>
      </w:r>
      <w:r>
        <w:rPr>
          <w:sz w:val="24"/>
          <w:szCs w:val="24"/>
        </w:rPr>
        <w:t xml:space="preserve">NOAA </w:t>
      </w:r>
      <w:r w:rsidR="00F708B9">
        <w:rPr>
          <w:sz w:val="24"/>
          <w:szCs w:val="24"/>
        </w:rPr>
        <w:t xml:space="preserve">Sea Grant College Program </w:t>
      </w:r>
      <w:r>
        <w:rPr>
          <w:sz w:val="24"/>
          <w:szCs w:val="24"/>
        </w:rPr>
        <w:t xml:space="preserve">decide to disseminate the information, it will be subject to the quality control measures and pre-dissemination review pursuant to </w:t>
      </w:r>
      <w:hyperlink r:id="rId14" w:history="1">
        <w:r w:rsidRPr="00775D36">
          <w:rPr>
            <w:rStyle w:val="Hyperlink"/>
            <w:sz w:val="24"/>
            <w:szCs w:val="24"/>
          </w:rPr>
          <w:t>Section 515 of Public Law 106</w:t>
        </w:r>
        <w:r w:rsidR="00775D36" w:rsidRPr="00775D36">
          <w:rPr>
            <w:rStyle w:val="Hyperlink"/>
            <w:sz w:val="24"/>
            <w:szCs w:val="24"/>
          </w:rPr>
          <w:t>-</w:t>
        </w:r>
        <w:r w:rsidRPr="00775D36">
          <w:rPr>
            <w:rStyle w:val="Hyperlink"/>
            <w:sz w:val="24"/>
            <w:szCs w:val="24"/>
          </w:rPr>
          <w:t>554</w:t>
        </w:r>
      </w:hyperlink>
      <w:r>
        <w:rPr>
          <w:sz w:val="24"/>
          <w:szCs w:val="24"/>
        </w:rPr>
        <w:t xml:space="preserve">.  </w:t>
      </w:r>
    </w:p>
    <w:p w:rsidR="00A35283" w:rsidRDefault="00A35283">
      <w:pPr>
        <w:rPr>
          <w:sz w:val="24"/>
          <w:szCs w:val="24"/>
        </w:rPr>
      </w:pPr>
    </w:p>
    <w:p w:rsidR="004F26E9" w:rsidRDefault="004F26E9">
      <w:pPr>
        <w:rPr>
          <w:b/>
          <w:bCs/>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843BE9" w:rsidRDefault="00843BE9">
      <w:pPr>
        <w:rPr>
          <w:bCs/>
          <w:sz w:val="24"/>
          <w:szCs w:val="24"/>
        </w:rPr>
      </w:pPr>
    </w:p>
    <w:p w:rsidR="00282D2A" w:rsidRDefault="002D2908">
      <w:pPr>
        <w:rPr>
          <w:bCs/>
          <w:sz w:val="24"/>
          <w:szCs w:val="24"/>
        </w:rPr>
      </w:pPr>
      <w:r>
        <w:rPr>
          <w:bCs/>
          <w:sz w:val="24"/>
          <w:szCs w:val="24"/>
        </w:rPr>
        <w:t>Primarily, respondents will be asked to complete the survey online through the web-based survey tool “Survey Monkey” (</w:t>
      </w:r>
      <w:hyperlink r:id="rId15" w:history="1">
        <w:r w:rsidRPr="00A94DAB">
          <w:rPr>
            <w:rStyle w:val="Hyperlink"/>
            <w:bCs/>
            <w:color w:val="auto"/>
            <w:sz w:val="24"/>
            <w:szCs w:val="24"/>
          </w:rPr>
          <w:t>www.surveymonkey.com</w:t>
        </w:r>
      </w:hyperlink>
      <w:r w:rsidRPr="00A94DAB">
        <w:rPr>
          <w:bCs/>
          <w:sz w:val="24"/>
          <w:szCs w:val="24"/>
        </w:rPr>
        <w:t>).</w:t>
      </w:r>
      <w:r>
        <w:rPr>
          <w:bCs/>
          <w:sz w:val="24"/>
          <w:szCs w:val="24"/>
        </w:rPr>
        <w:t xml:space="preserve"> </w:t>
      </w:r>
      <w:r w:rsidR="00007173">
        <w:rPr>
          <w:bCs/>
          <w:sz w:val="24"/>
          <w:szCs w:val="24"/>
        </w:rPr>
        <w:t xml:space="preserve"> </w:t>
      </w:r>
      <w:r>
        <w:rPr>
          <w:bCs/>
          <w:sz w:val="24"/>
          <w:szCs w:val="24"/>
        </w:rPr>
        <w:t xml:space="preserve">Alternatively, a print version of the survey will be made available upon request, </w:t>
      </w:r>
      <w:r w:rsidR="00A24872">
        <w:rPr>
          <w:bCs/>
          <w:sz w:val="24"/>
          <w:szCs w:val="24"/>
        </w:rPr>
        <w:t xml:space="preserve">which can be returned by mail or facsimile. </w:t>
      </w:r>
    </w:p>
    <w:p w:rsidR="00A24872" w:rsidRDefault="00A24872">
      <w:pPr>
        <w:rPr>
          <w:b/>
          <w:bCs/>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843BE9" w:rsidRDefault="00843BE9" w:rsidP="00DB2D31">
      <w:pPr>
        <w:contextualSpacing/>
        <w:rPr>
          <w:sz w:val="24"/>
          <w:szCs w:val="24"/>
        </w:rPr>
      </w:pPr>
    </w:p>
    <w:p w:rsidR="00287251" w:rsidRDefault="00B5120B" w:rsidP="00DB2D31">
      <w:pPr>
        <w:contextualSpacing/>
        <w:rPr>
          <w:sz w:val="24"/>
          <w:szCs w:val="24"/>
        </w:rPr>
      </w:pPr>
      <w:r>
        <w:rPr>
          <w:sz w:val="24"/>
          <w:szCs w:val="24"/>
        </w:rPr>
        <w:t>Through research, cons</w:t>
      </w:r>
      <w:r w:rsidR="00007173">
        <w:rPr>
          <w:sz w:val="24"/>
          <w:szCs w:val="24"/>
        </w:rPr>
        <w:t>ultation with NOAA line offices</w:t>
      </w:r>
      <w:r>
        <w:rPr>
          <w:sz w:val="24"/>
          <w:szCs w:val="24"/>
        </w:rPr>
        <w:t xml:space="preserve"> and personal/professional experiences, it </w:t>
      </w:r>
      <w:r w:rsidR="00E36B21">
        <w:rPr>
          <w:sz w:val="24"/>
          <w:szCs w:val="24"/>
        </w:rPr>
        <w:t>appears</w:t>
      </w:r>
      <w:r>
        <w:rPr>
          <w:sz w:val="24"/>
          <w:szCs w:val="24"/>
        </w:rPr>
        <w:t xml:space="preserve"> that there are no other efforts that duplicate the </w:t>
      </w:r>
      <w:r w:rsidR="00E36B21">
        <w:rPr>
          <w:sz w:val="24"/>
          <w:szCs w:val="24"/>
        </w:rPr>
        <w:t>proposed questions</w:t>
      </w:r>
      <w:r>
        <w:rPr>
          <w:sz w:val="24"/>
          <w:szCs w:val="24"/>
        </w:rPr>
        <w:t>.</w:t>
      </w:r>
      <w:r w:rsidR="00DB2D31">
        <w:rPr>
          <w:sz w:val="24"/>
          <w:szCs w:val="24"/>
        </w:rPr>
        <w:t xml:space="preserve"> </w:t>
      </w:r>
      <w:r w:rsidR="00007173">
        <w:rPr>
          <w:sz w:val="24"/>
          <w:szCs w:val="24"/>
        </w:rPr>
        <w:t xml:space="preserve"> </w:t>
      </w:r>
      <w:r w:rsidR="00DB2D31" w:rsidRPr="00DB2D31">
        <w:rPr>
          <w:sz w:val="24"/>
          <w:szCs w:val="24"/>
        </w:rPr>
        <w:t>Guiding</w:t>
      </w:r>
      <w:r w:rsidR="00CB3E1A">
        <w:rPr>
          <w:sz w:val="24"/>
          <w:szCs w:val="24"/>
        </w:rPr>
        <w:t xml:space="preserve"> OMB</w:t>
      </w:r>
      <w:r w:rsidR="00843BE9">
        <w:rPr>
          <w:sz w:val="24"/>
          <w:szCs w:val="24"/>
        </w:rPr>
        <w:t xml:space="preserve"> </w:t>
      </w:r>
      <w:r w:rsidR="00CB3E1A">
        <w:rPr>
          <w:sz w:val="24"/>
          <w:szCs w:val="24"/>
        </w:rPr>
        <w:t>approved</w:t>
      </w:r>
      <w:r w:rsidR="00DB2D31" w:rsidRPr="00DB2D31">
        <w:rPr>
          <w:sz w:val="24"/>
          <w:szCs w:val="24"/>
        </w:rPr>
        <w:t xml:space="preserve"> survey documents </w:t>
      </w:r>
      <w:r w:rsidR="0015786B">
        <w:rPr>
          <w:sz w:val="24"/>
          <w:szCs w:val="24"/>
        </w:rPr>
        <w:t xml:space="preserve">were </w:t>
      </w:r>
      <w:r w:rsidR="00DB2D31" w:rsidRPr="00DB2D31">
        <w:rPr>
          <w:sz w:val="24"/>
          <w:szCs w:val="24"/>
        </w:rPr>
        <w:t xml:space="preserve">obtained and used </w:t>
      </w:r>
      <w:r w:rsidR="00CB3E1A">
        <w:rPr>
          <w:sz w:val="24"/>
          <w:szCs w:val="24"/>
        </w:rPr>
        <w:t xml:space="preserve">as a reference in creating the </w:t>
      </w:r>
      <w:r w:rsidR="00843BE9">
        <w:rPr>
          <w:sz w:val="24"/>
          <w:szCs w:val="24"/>
        </w:rPr>
        <w:t>survey instrument:</w:t>
      </w:r>
    </w:p>
    <w:p w:rsidR="00DB2D31" w:rsidRPr="00DB2D31" w:rsidRDefault="008B43A3" w:rsidP="00DB2D31">
      <w:pPr>
        <w:contextualSpacing/>
        <w:rPr>
          <w:sz w:val="24"/>
          <w:szCs w:val="24"/>
        </w:rPr>
      </w:pPr>
      <w:r>
        <w:rPr>
          <w:sz w:val="24"/>
          <w:szCs w:val="24"/>
        </w:rPr>
        <w:t xml:space="preserve"> </w:t>
      </w:r>
    </w:p>
    <w:p w:rsidR="00DB2D31" w:rsidRDefault="00DB2D31" w:rsidP="00DB2D31">
      <w:pPr>
        <w:pStyle w:val="ListParagraph"/>
        <w:numPr>
          <w:ilvl w:val="0"/>
          <w:numId w:val="1"/>
        </w:numPr>
      </w:pPr>
      <w:r>
        <w:t>Offi</w:t>
      </w:r>
      <w:r w:rsidR="0096686E">
        <w:t xml:space="preserve">ce of Management and Budget (OMB </w:t>
      </w:r>
      <w:r w:rsidR="001E2246">
        <w:t>Control No.</w:t>
      </w:r>
      <w:r w:rsidR="0096686E">
        <w:t>0648-0342</w:t>
      </w:r>
      <w:r>
        <w:t>) approved Quantitative Questions</w:t>
      </w:r>
      <w:r w:rsidR="001E1CC5">
        <w:t xml:space="preserve"> were used as </w:t>
      </w:r>
      <w:r w:rsidR="00287251">
        <w:t>a guideline</w:t>
      </w:r>
      <w:r w:rsidR="001E1CC5">
        <w:t xml:space="preserve"> for a table of specifications.</w:t>
      </w:r>
    </w:p>
    <w:p w:rsidR="00CB3E1A" w:rsidRPr="001C396A" w:rsidRDefault="001C396A" w:rsidP="00DB2D31">
      <w:pPr>
        <w:pStyle w:val="ListParagraph"/>
        <w:numPr>
          <w:ilvl w:val="0"/>
          <w:numId w:val="1"/>
        </w:numPr>
      </w:pPr>
      <w:r>
        <w:t xml:space="preserve">A 2009 </w:t>
      </w:r>
      <w:r w:rsidR="00886789" w:rsidRPr="001C396A">
        <w:t>Office of Education</w:t>
      </w:r>
      <w:r>
        <w:t xml:space="preserve"> survey regarding the Teacher at Sea Program was used as a guideline for questions pertaining to regions. </w:t>
      </w:r>
      <w:r w:rsidR="00007173">
        <w:t xml:space="preserve"> </w:t>
      </w:r>
      <w:r>
        <w:t xml:space="preserve">This collection targeted the measurement of professional development programs, and is not a duplicate of the proposed collection. </w:t>
      </w:r>
    </w:p>
    <w:p w:rsidR="00CB3E1A" w:rsidRDefault="00A20D81" w:rsidP="00DB2D31">
      <w:pPr>
        <w:pStyle w:val="ListParagraph"/>
        <w:numPr>
          <w:ilvl w:val="0"/>
          <w:numId w:val="1"/>
        </w:numPr>
      </w:pPr>
      <w:r>
        <w:t>We are aware of a collection entitled</w:t>
      </w:r>
      <w:r w:rsidR="002E4D42">
        <w:t xml:space="preserve"> the NOAA Awareness Study, OMB Control No.</w:t>
      </w:r>
      <w:r>
        <w:t xml:space="preserve"> 0648</w:t>
      </w:r>
      <w:r w:rsidR="00287251">
        <w:t xml:space="preserve">-0574, </w:t>
      </w:r>
      <w:r w:rsidR="002E4D42">
        <w:t>conducted from 2008-11</w:t>
      </w:r>
      <w:r w:rsidR="00287251">
        <w:t xml:space="preserve">. </w:t>
      </w:r>
      <w:r w:rsidR="00007173">
        <w:t xml:space="preserve"> </w:t>
      </w:r>
      <w:r w:rsidR="00287251">
        <w:t>The</w:t>
      </w:r>
      <w:r>
        <w:t xml:space="preserve"> proposed collection </w:t>
      </w:r>
      <w:r w:rsidR="00207D7B">
        <w:t xml:space="preserve">herein </w:t>
      </w:r>
      <w:r>
        <w:t xml:space="preserve">differs </w:t>
      </w:r>
      <w:r w:rsidR="002E4D42">
        <w:t xml:space="preserve">in that </w:t>
      </w:r>
      <w:r>
        <w:t xml:space="preserve">he </w:t>
      </w:r>
      <w:r w:rsidR="00872362">
        <w:t xml:space="preserve">NOAA </w:t>
      </w:r>
      <w:r>
        <w:t xml:space="preserve">Awareness Study is </w:t>
      </w:r>
      <w:r w:rsidR="00B76C6E">
        <w:t xml:space="preserve">focused on </w:t>
      </w:r>
      <w:r>
        <w:t>collecting information to assess the general public’s understanding and awareness of NOAA and its p</w:t>
      </w:r>
      <w:r w:rsidR="00872362">
        <w:t xml:space="preserve">rograms. </w:t>
      </w:r>
      <w:r w:rsidR="00007173">
        <w:t xml:space="preserve"> </w:t>
      </w:r>
      <w:r w:rsidR="00872362">
        <w:t xml:space="preserve">The proposed NOAA Engagement survey is designed to specifically measure NOAA accessibility, responsiveness and respect for partners in terms of two-way communications with customers. </w:t>
      </w:r>
      <w:r>
        <w:t xml:space="preserve">  </w:t>
      </w: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843BE9" w:rsidRDefault="00843BE9">
      <w:pPr>
        <w:rPr>
          <w:sz w:val="24"/>
          <w:szCs w:val="24"/>
        </w:rPr>
      </w:pPr>
    </w:p>
    <w:p w:rsidR="004F26E9" w:rsidRDefault="00DB2D31">
      <w:pPr>
        <w:rPr>
          <w:sz w:val="24"/>
          <w:szCs w:val="24"/>
        </w:rPr>
      </w:pPr>
      <w:r>
        <w:rPr>
          <w:sz w:val="24"/>
          <w:szCs w:val="24"/>
        </w:rPr>
        <w:t xml:space="preserve">The survey instrument will create minimal burden on small business owners </w:t>
      </w:r>
      <w:r w:rsidR="000B0588">
        <w:rPr>
          <w:sz w:val="24"/>
          <w:szCs w:val="24"/>
        </w:rPr>
        <w:t>becau</w:t>
      </w:r>
      <w:r w:rsidR="002E4D42">
        <w:rPr>
          <w:sz w:val="24"/>
          <w:szCs w:val="24"/>
        </w:rPr>
        <w:t xml:space="preserve">se the survey is brief, taking </w:t>
      </w:r>
      <w:r w:rsidR="00AC6ABD">
        <w:rPr>
          <w:sz w:val="24"/>
          <w:szCs w:val="24"/>
        </w:rPr>
        <w:t>15</w:t>
      </w:r>
      <w:r>
        <w:rPr>
          <w:sz w:val="24"/>
          <w:szCs w:val="24"/>
        </w:rPr>
        <w:t>minutes</w:t>
      </w:r>
      <w:r w:rsidR="0015786B">
        <w:rPr>
          <w:sz w:val="24"/>
          <w:szCs w:val="24"/>
        </w:rPr>
        <w:t xml:space="preserve"> to complete. There are also no required questions to answer before going to the next question</w:t>
      </w:r>
      <w:r w:rsidR="000B0588">
        <w:rPr>
          <w:sz w:val="24"/>
          <w:szCs w:val="24"/>
        </w:rPr>
        <w:t>.</w:t>
      </w:r>
      <w:r w:rsidR="00481342">
        <w:rPr>
          <w:sz w:val="24"/>
          <w:szCs w:val="24"/>
        </w:rPr>
        <w:t xml:space="preserve"> </w:t>
      </w:r>
      <w:r w:rsidR="00007173">
        <w:rPr>
          <w:sz w:val="24"/>
          <w:szCs w:val="24"/>
        </w:rPr>
        <w:t xml:space="preserve"> </w:t>
      </w:r>
      <w:r w:rsidR="00481342">
        <w:rPr>
          <w:sz w:val="24"/>
          <w:szCs w:val="24"/>
        </w:rPr>
        <w:t xml:space="preserve">The brevity of the survey is purposeful since NOAA </w:t>
      </w:r>
      <w:r w:rsidR="00F708B9">
        <w:rPr>
          <w:sz w:val="24"/>
          <w:szCs w:val="24"/>
        </w:rPr>
        <w:t xml:space="preserve">Sea Grant College Programs </w:t>
      </w:r>
      <w:r w:rsidR="00481342">
        <w:rPr>
          <w:sz w:val="24"/>
          <w:szCs w:val="24"/>
        </w:rPr>
        <w:t>seeks to repeat the survey over time to assess change.</w:t>
      </w:r>
      <w:r w:rsidR="000B0588">
        <w:rPr>
          <w:sz w:val="24"/>
          <w:szCs w:val="24"/>
        </w:rPr>
        <w:t xml:space="preserve"> </w:t>
      </w:r>
    </w:p>
    <w:p w:rsidR="004F26E9" w:rsidRDefault="004F26E9">
      <w:pPr>
        <w:rPr>
          <w:sz w:val="24"/>
          <w:szCs w:val="24"/>
        </w:rPr>
      </w:pPr>
    </w:p>
    <w:p w:rsidR="002E4D42" w:rsidRDefault="002E4D42">
      <w:pPr>
        <w:rPr>
          <w:b/>
          <w:bCs/>
          <w:sz w:val="24"/>
          <w:szCs w:val="24"/>
        </w:rPr>
      </w:pPr>
    </w:p>
    <w:p w:rsidR="002E4D42" w:rsidRDefault="002E4D42">
      <w:pPr>
        <w:rPr>
          <w:b/>
          <w:bCs/>
          <w:sz w:val="24"/>
          <w:szCs w:val="24"/>
        </w:rPr>
      </w:pPr>
    </w:p>
    <w:p w:rsidR="004F26E9" w:rsidRDefault="004F26E9">
      <w:pPr>
        <w:rPr>
          <w:sz w:val="24"/>
          <w:szCs w:val="24"/>
        </w:rPr>
      </w:pPr>
      <w:r>
        <w:rPr>
          <w:b/>
          <w:bCs/>
          <w:sz w:val="24"/>
          <w:szCs w:val="24"/>
        </w:rPr>
        <w:lastRenderedPageBreak/>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843BE9" w:rsidRDefault="00843BE9">
      <w:pPr>
        <w:rPr>
          <w:sz w:val="24"/>
          <w:szCs w:val="24"/>
        </w:rPr>
      </w:pPr>
    </w:p>
    <w:p w:rsidR="004F26E9" w:rsidRDefault="0076646C">
      <w:pPr>
        <w:rPr>
          <w:sz w:val="24"/>
          <w:szCs w:val="24"/>
        </w:rPr>
      </w:pPr>
      <w:r>
        <w:rPr>
          <w:sz w:val="24"/>
          <w:szCs w:val="24"/>
        </w:rPr>
        <w:t>If the collection were not conducted</w:t>
      </w:r>
      <w:r w:rsidR="00207D7B">
        <w:rPr>
          <w:sz w:val="24"/>
          <w:szCs w:val="24"/>
        </w:rPr>
        <w:t>,</w:t>
      </w:r>
      <w:r>
        <w:rPr>
          <w:sz w:val="24"/>
          <w:szCs w:val="24"/>
        </w:rPr>
        <w:t xml:space="preserve"> </w:t>
      </w:r>
      <w:r w:rsidR="00B91D70">
        <w:rPr>
          <w:sz w:val="24"/>
          <w:szCs w:val="24"/>
        </w:rPr>
        <w:t xml:space="preserve">NOAA’s two-way communications with its constituents would remain unchanged or improve incrementally because of the lack of </w:t>
      </w:r>
      <w:r w:rsidR="00A11AE0">
        <w:rPr>
          <w:sz w:val="24"/>
          <w:szCs w:val="24"/>
        </w:rPr>
        <w:t xml:space="preserve">quantifiable </w:t>
      </w:r>
      <w:r w:rsidR="00B91D70">
        <w:rPr>
          <w:sz w:val="24"/>
          <w:szCs w:val="24"/>
        </w:rPr>
        <w:t>input from constituents for the three constructs of this survey.</w:t>
      </w:r>
      <w:r w:rsidR="00A7448E">
        <w:rPr>
          <w:sz w:val="24"/>
          <w:szCs w:val="24"/>
        </w:rPr>
        <w:t xml:space="preserve"> </w:t>
      </w:r>
      <w:r w:rsidR="00007173">
        <w:rPr>
          <w:sz w:val="24"/>
          <w:szCs w:val="24"/>
        </w:rPr>
        <w:t xml:space="preserve"> </w:t>
      </w:r>
      <w:r w:rsidR="00B91D70">
        <w:rPr>
          <w:sz w:val="24"/>
          <w:szCs w:val="24"/>
        </w:rPr>
        <w:t>Collection of constituent input as frequently as annually will allow NOAA to monitor improvements in constituent engagement through time.</w:t>
      </w:r>
      <w:r w:rsidR="00A7448E">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843BE9" w:rsidRDefault="00843BE9">
      <w:pPr>
        <w:rPr>
          <w:sz w:val="24"/>
          <w:szCs w:val="24"/>
        </w:rPr>
      </w:pPr>
    </w:p>
    <w:p w:rsidR="004F26E9" w:rsidRPr="00843BE9" w:rsidRDefault="003E636B">
      <w:pPr>
        <w:rPr>
          <w:sz w:val="24"/>
          <w:szCs w:val="24"/>
        </w:rPr>
      </w:pPr>
      <w:proofErr w:type="gramStart"/>
      <w:r w:rsidRPr="00843BE9">
        <w:rPr>
          <w:sz w:val="24"/>
          <w:szCs w:val="24"/>
        </w:rPr>
        <w:t>N/A</w:t>
      </w:r>
      <w:r w:rsidR="00843BE9" w:rsidRPr="00843BE9">
        <w:rPr>
          <w:sz w:val="24"/>
          <w:szCs w:val="24"/>
        </w:rPr>
        <w:t>.</w:t>
      </w:r>
      <w:proofErr w:type="gramEnd"/>
    </w:p>
    <w:p w:rsidR="00725C5C" w:rsidRDefault="00725C5C">
      <w:pPr>
        <w:rPr>
          <w:b/>
          <w:bCs/>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843BE9" w:rsidRPr="00BC7461" w:rsidRDefault="00843BE9">
      <w:pPr>
        <w:rPr>
          <w:sz w:val="24"/>
          <w:szCs w:val="24"/>
          <w:u w:val="single"/>
        </w:rPr>
      </w:pPr>
    </w:p>
    <w:p w:rsidR="00A515E7" w:rsidRDefault="00843BE9">
      <w:pPr>
        <w:rPr>
          <w:sz w:val="24"/>
          <w:szCs w:val="24"/>
        </w:rPr>
      </w:pPr>
      <w:r w:rsidRPr="00BC7461">
        <w:rPr>
          <w:sz w:val="24"/>
          <w:szCs w:val="24"/>
        </w:rPr>
        <w:t xml:space="preserve">A </w:t>
      </w:r>
      <w:r w:rsidRPr="00BC7461">
        <w:rPr>
          <w:sz w:val="24"/>
          <w:szCs w:val="24"/>
          <w:u w:val="single"/>
        </w:rPr>
        <w:t>Federal Register</w:t>
      </w:r>
      <w:r>
        <w:rPr>
          <w:sz w:val="24"/>
          <w:szCs w:val="24"/>
        </w:rPr>
        <w:t xml:space="preserve"> </w:t>
      </w:r>
      <w:r w:rsidR="002F1D26">
        <w:rPr>
          <w:sz w:val="24"/>
          <w:szCs w:val="24"/>
        </w:rPr>
        <w:t>N</w:t>
      </w:r>
      <w:r>
        <w:rPr>
          <w:sz w:val="24"/>
          <w:szCs w:val="24"/>
        </w:rPr>
        <w:t>otice</w:t>
      </w:r>
      <w:r w:rsidR="002F1D26">
        <w:rPr>
          <w:sz w:val="24"/>
          <w:szCs w:val="24"/>
        </w:rPr>
        <w:t xml:space="preserve"> </w:t>
      </w:r>
      <w:r>
        <w:rPr>
          <w:sz w:val="24"/>
          <w:szCs w:val="24"/>
        </w:rPr>
        <w:t xml:space="preserve">published on August </w:t>
      </w:r>
      <w:r w:rsidR="001E2246">
        <w:rPr>
          <w:sz w:val="24"/>
          <w:szCs w:val="24"/>
        </w:rPr>
        <w:t>12</w:t>
      </w:r>
      <w:r>
        <w:rPr>
          <w:sz w:val="24"/>
          <w:szCs w:val="24"/>
        </w:rPr>
        <w:t xml:space="preserve">, 2013 (78 FR </w:t>
      </w:r>
      <w:r w:rsidR="001E2246">
        <w:rPr>
          <w:sz w:val="24"/>
          <w:szCs w:val="24"/>
        </w:rPr>
        <w:t>4885</w:t>
      </w:r>
      <w:r w:rsidR="00BC7461">
        <w:rPr>
          <w:sz w:val="24"/>
          <w:szCs w:val="24"/>
        </w:rPr>
        <w:t>9</w:t>
      </w:r>
      <w:r>
        <w:rPr>
          <w:sz w:val="24"/>
          <w:szCs w:val="24"/>
        </w:rPr>
        <w:t>)</w:t>
      </w:r>
      <w:r w:rsidR="00BC7461">
        <w:rPr>
          <w:sz w:val="24"/>
          <w:szCs w:val="24"/>
        </w:rPr>
        <w:t xml:space="preserve"> </w:t>
      </w:r>
      <w:r w:rsidR="002F1D26">
        <w:rPr>
          <w:sz w:val="24"/>
          <w:szCs w:val="24"/>
        </w:rPr>
        <w:t>solicit</w:t>
      </w:r>
      <w:r w:rsidR="00431F9E">
        <w:rPr>
          <w:sz w:val="24"/>
          <w:szCs w:val="24"/>
        </w:rPr>
        <w:t>ed</w:t>
      </w:r>
      <w:r w:rsidR="002F1D26">
        <w:rPr>
          <w:sz w:val="24"/>
          <w:szCs w:val="24"/>
        </w:rPr>
        <w:t xml:space="preserve"> public comments.</w:t>
      </w:r>
      <w:r w:rsidR="00431F9E">
        <w:rPr>
          <w:sz w:val="24"/>
          <w:szCs w:val="24"/>
        </w:rPr>
        <w:t xml:space="preserve"> None were received.</w:t>
      </w:r>
    </w:p>
    <w:p w:rsidR="002F1D26" w:rsidRDefault="002F1D26" w:rsidP="002F1D26">
      <w:pPr>
        <w:rPr>
          <w:sz w:val="24"/>
          <w:szCs w:val="24"/>
        </w:rPr>
      </w:pPr>
    </w:p>
    <w:p w:rsidR="00431F9E" w:rsidRDefault="00431F9E" w:rsidP="002F1D26">
      <w:pPr>
        <w:rPr>
          <w:sz w:val="24"/>
          <w:szCs w:val="24"/>
        </w:rPr>
      </w:pPr>
      <w:r>
        <w:rPr>
          <w:sz w:val="24"/>
          <w:szCs w:val="24"/>
        </w:rPr>
        <w:t>Since this survey was not implemented dur</w:t>
      </w:r>
      <w:r w:rsidR="00163660">
        <w:rPr>
          <w:sz w:val="24"/>
          <w:szCs w:val="24"/>
        </w:rPr>
        <w:t xml:space="preserve">ing the first three-year period – due to staff being unexpectedly occupied addressing </w:t>
      </w:r>
      <w:proofErr w:type="spellStart"/>
      <w:r w:rsidR="00163660">
        <w:rPr>
          <w:sz w:val="24"/>
          <w:szCs w:val="24"/>
        </w:rPr>
        <w:t>Deepwater</w:t>
      </w:r>
      <w:proofErr w:type="spellEnd"/>
      <w:r w:rsidR="00163660">
        <w:rPr>
          <w:sz w:val="24"/>
          <w:szCs w:val="24"/>
        </w:rPr>
        <w:t xml:space="preserve"> Horizon issues – </w:t>
      </w:r>
      <w:r>
        <w:rPr>
          <w:sz w:val="24"/>
          <w:szCs w:val="24"/>
        </w:rPr>
        <w:t>we were not able to collect feedback from respondents, but we</w:t>
      </w:r>
      <w:r w:rsidR="00163660">
        <w:rPr>
          <w:sz w:val="24"/>
          <w:szCs w:val="24"/>
        </w:rPr>
        <w:t xml:space="preserve"> recently</w:t>
      </w:r>
      <w:r>
        <w:rPr>
          <w:sz w:val="24"/>
          <w:szCs w:val="24"/>
        </w:rPr>
        <w:t xml:space="preserve"> received feedback </w:t>
      </w:r>
      <w:r w:rsidR="00616977">
        <w:rPr>
          <w:sz w:val="24"/>
          <w:szCs w:val="24"/>
        </w:rPr>
        <w:t xml:space="preserve">from three Sea Grant constituents (university scientist, </w:t>
      </w:r>
      <w:r w:rsidR="002E4D42">
        <w:rPr>
          <w:sz w:val="24"/>
          <w:szCs w:val="24"/>
        </w:rPr>
        <w:t xml:space="preserve">representative of the </w:t>
      </w:r>
      <w:r w:rsidR="00616977">
        <w:rPr>
          <w:sz w:val="24"/>
          <w:szCs w:val="24"/>
        </w:rPr>
        <w:t>tourism industry and county employee</w:t>
      </w:r>
      <w:r w:rsidR="002E4D42">
        <w:rPr>
          <w:sz w:val="24"/>
          <w:szCs w:val="24"/>
        </w:rPr>
        <w:t>)</w:t>
      </w:r>
      <w:r w:rsidR="00616977">
        <w:rPr>
          <w:sz w:val="24"/>
          <w:szCs w:val="24"/>
        </w:rPr>
        <w:t>.  Each pers</w:t>
      </w:r>
      <w:r w:rsidR="002E4D42">
        <w:rPr>
          <w:sz w:val="24"/>
          <w:szCs w:val="24"/>
        </w:rPr>
        <w:t xml:space="preserve">on said the estimated response time </w:t>
      </w:r>
      <w:r w:rsidR="00616977">
        <w:rPr>
          <w:sz w:val="24"/>
          <w:szCs w:val="24"/>
        </w:rPr>
        <w:t xml:space="preserve">was accurate and that they were </w:t>
      </w:r>
      <w:r w:rsidR="002E4D42">
        <w:rPr>
          <w:sz w:val="24"/>
          <w:szCs w:val="24"/>
        </w:rPr>
        <w:t>pleased that</w:t>
      </w:r>
      <w:r w:rsidR="00616977">
        <w:rPr>
          <w:sz w:val="24"/>
          <w:szCs w:val="24"/>
        </w:rPr>
        <w:t xml:space="preserve"> Sea Grant plans to use the survey to improve how it engages with its customers</w:t>
      </w:r>
      <w:r>
        <w:rPr>
          <w:sz w:val="24"/>
          <w:szCs w:val="24"/>
        </w:rPr>
        <w:t xml:space="preserve">. </w:t>
      </w:r>
    </w:p>
    <w:p w:rsidR="00334E35" w:rsidRDefault="00334E35">
      <w:pPr>
        <w:rPr>
          <w:sz w:val="24"/>
          <w:szCs w:val="24"/>
        </w:rPr>
      </w:pPr>
    </w:p>
    <w:p w:rsidR="00843BE9" w:rsidRDefault="004F26E9">
      <w:pPr>
        <w:rPr>
          <w:b/>
          <w:bCs/>
          <w:sz w:val="24"/>
          <w:szCs w:val="24"/>
          <w:u w:val="single"/>
        </w:rPr>
      </w:pPr>
      <w:r>
        <w:rPr>
          <w:b/>
          <w:bCs/>
          <w:sz w:val="24"/>
          <w:szCs w:val="24"/>
        </w:rPr>
        <w:t xml:space="preserve">9.  </w:t>
      </w:r>
      <w:r>
        <w:rPr>
          <w:b/>
          <w:bCs/>
          <w:sz w:val="24"/>
          <w:szCs w:val="24"/>
          <w:u w:val="single"/>
        </w:rPr>
        <w:t xml:space="preserve">Explain any decisions to provide payments or gifts to respondents, other than </w:t>
      </w:r>
    </w:p>
    <w:p w:rsidR="004F26E9" w:rsidRDefault="004F26E9">
      <w:pPr>
        <w:rPr>
          <w:sz w:val="24"/>
          <w:szCs w:val="24"/>
        </w:rPr>
      </w:pPr>
      <w:proofErr w:type="gramStart"/>
      <w:r>
        <w:rPr>
          <w:b/>
          <w:bCs/>
          <w:sz w:val="24"/>
          <w:szCs w:val="24"/>
          <w:u w:val="single"/>
        </w:rPr>
        <w:t>remuneration</w:t>
      </w:r>
      <w:proofErr w:type="gramEnd"/>
      <w:r>
        <w:rPr>
          <w:b/>
          <w:bCs/>
          <w:sz w:val="24"/>
          <w:szCs w:val="24"/>
          <w:u w:val="single"/>
        </w:rPr>
        <w:t xml:space="preserve"> of contractors or grantees</w:t>
      </w:r>
      <w:r>
        <w:rPr>
          <w:b/>
          <w:bCs/>
          <w:sz w:val="24"/>
          <w:szCs w:val="24"/>
        </w:rPr>
        <w:t>.</w:t>
      </w:r>
    </w:p>
    <w:p w:rsidR="00843BE9" w:rsidRDefault="00843BE9">
      <w:pPr>
        <w:rPr>
          <w:sz w:val="24"/>
          <w:szCs w:val="24"/>
        </w:rPr>
      </w:pPr>
    </w:p>
    <w:p w:rsidR="004F26E9" w:rsidRDefault="003E636B">
      <w:pPr>
        <w:rPr>
          <w:sz w:val="24"/>
          <w:szCs w:val="24"/>
        </w:rPr>
      </w:pPr>
      <w:proofErr w:type="gramStart"/>
      <w:r>
        <w:rPr>
          <w:sz w:val="24"/>
          <w:szCs w:val="24"/>
        </w:rPr>
        <w:t>N/A.</w:t>
      </w:r>
      <w:proofErr w:type="gramEnd"/>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843BE9" w:rsidRDefault="00843BE9">
      <w:pPr>
        <w:rPr>
          <w:sz w:val="24"/>
          <w:szCs w:val="24"/>
        </w:rPr>
      </w:pPr>
    </w:p>
    <w:p w:rsidR="004F26E9" w:rsidRDefault="005D34E7">
      <w:pPr>
        <w:rPr>
          <w:sz w:val="24"/>
          <w:szCs w:val="24"/>
        </w:rPr>
      </w:pPr>
      <w:r w:rsidRPr="005D34E7">
        <w:rPr>
          <w:sz w:val="24"/>
          <w:szCs w:val="24"/>
        </w:rPr>
        <w:t xml:space="preserve">There will be no assurance of confidentiality; </w:t>
      </w:r>
      <w:r w:rsidR="00AF1834">
        <w:rPr>
          <w:sz w:val="24"/>
          <w:szCs w:val="24"/>
        </w:rPr>
        <w:t xml:space="preserve">Summaries of </w:t>
      </w:r>
      <w:r w:rsidRPr="005D34E7">
        <w:rPr>
          <w:sz w:val="24"/>
          <w:szCs w:val="24"/>
        </w:rPr>
        <w:t xml:space="preserve">responses will be </w:t>
      </w:r>
      <w:r w:rsidR="00AF1834">
        <w:rPr>
          <w:sz w:val="24"/>
          <w:szCs w:val="24"/>
        </w:rPr>
        <w:t>used in as part of professional development programs for Sea Grant staff and on Sea Grant web sites.</w:t>
      </w:r>
    </w:p>
    <w:p w:rsidR="003A4A4F" w:rsidRDefault="003A4A4F">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843BE9" w:rsidRDefault="00843BE9">
      <w:pPr>
        <w:rPr>
          <w:sz w:val="24"/>
          <w:szCs w:val="24"/>
        </w:rPr>
      </w:pPr>
    </w:p>
    <w:p w:rsidR="004F26E9" w:rsidRDefault="003E636B">
      <w:pPr>
        <w:rPr>
          <w:sz w:val="24"/>
          <w:szCs w:val="24"/>
        </w:rPr>
      </w:pPr>
      <w:proofErr w:type="gramStart"/>
      <w:r>
        <w:rPr>
          <w:sz w:val="24"/>
          <w:szCs w:val="24"/>
        </w:rPr>
        <w:t>N/A</w:t>
      </w:r>
      <w:r w:rsidR="006626A7">
        <w:rPr>
          <w:sz w:val="24"/>
          <w:szCs w:val="24"/>
        </w:rPr>
        <w:t>.</w:t>
      </w:r>
      <w:proofErr w:type="gramEnd"/>
    </w:p>
    <w:p w:rsidR="004F26E9" w:rsidRDefault="004F26E9">
      <w:pPr>
        <w:rPr>
          <w:sz w:val="24"/>
          <w:szCs w:val="24"/>
        </w:rPr>
      </w:pPr>
      <w:r>
        <w:rPr>
          <w:b/>
          <w:bCs/>
          <w:sz w:val="24"/>
          <w:szCs w:val="24"/>
        </w:rPr>
        <w:lastRenderedPageBreak/>
        <w:t xml:space="preserve">12.  </w:t>
      </w:r>
      <w:r>
        <w:rPr>
          <w:b/>
          <w:bCs/>
          <w:sz w:val="24"/>
          <w:szCs w:val="24"/>
          <w:u w:val="single"/>
        </w:rPr>
        <w:t>Provide an estimate in hours of the burden of the collection of information</w:t>
      </w:r>
      <w:r>
        <w:rPr>
          <w:b/>
          <w:bCs/>
          <w:sz w:val="24"/>
          <w:szCs w:val="24"/>
        </w:rPr>
        <w:t>.</w:t>
      </w:r>
    </w:p>
    <w:p w:rsidR="00CC471A" w:rsidRDefault="00CC471A">
      <w:pPr>
        <w:rPr>
          <w:sz w:val="24"/>
          <w:szCs w:val="24"/>
        </w:rPr>
      </w:pPr>
    </w:p>
    <w:p w:rsidR="004F26E9" w:rsidRDefault="00723BD8">
      <w:pPr>
        <w:rPr>
          <w:sz w:val="24"/>
          <w:szCs w:val="24"/>
        </w:rPr>
      </w:pPr>
      <w:r>
        <w:rPr>
          <w:sz w:val="24"/>
          <w:szCs w:val="24"/>
        </w:rPr>
        <w:t>A</w:t>
      </w:r>
      <w:r w:rsidR="00D70AB9">
        <w:rPr>
          <w:sz w:val="24"/>
          <w:szCs w:val="24"/>
        </w:rPr>
        <w:t>n</w:t>
      </w:r>
      <w:r>
        <w:rPr>
          <w:sz w:val="24"/>
          <w:szCs w:val="24"/>
        </w:rPr>
        <w:t xml:space="preserve"> </w:t>
      </w:r>
      <w:r w:rsidR="009B1CFD">
        <w:rPr>
          <w:sz w:val="24"/>
          <w:szCs w:val="24"/>
        </w:rPr>
        <w:t xml:space="preserve">estimated </w:t>
      </w:r>
      <w:r w:rsidR="00AC6ABD">
        <w:rPr>
          <w:sz w:val="24"/>
          <w:szCs w:val="24"/>
        </w:rPr>
        <w:t>325</w:t>
      </w:r>
      <w:r>
        <w:rPr>
          <w:sz w:val="24"/>
          <w:szCs w:val="24"/>
        </w:rPr>
        <w:t xml:space="preserve"> respondents will spend </w:t>
      </w:r>
      <w:r w:rsidR="00AC6ABD">
        <w:rPr>
          <w:sz w:val="24"/>
          <w:szCs w:val="24"/>
        </w:rPr>
        <w:t>15</w:t>
      </w:r>
      <w:r w:rsidR="00BC7461">
        <w:rPr>
          <w:sz w:val="24"/>
          <w:szCs w:val="24"/>
        </w:rPr>
        <w:t xml:space="preserve"> </w:t>
      </w:r>
      <w:r>
        <w:rPr>
          <w:sz w:val="24"/>
          <w:szCs w:val="24"/>
        </w:rPr>
        <w:t>minutes</w:t>
      </w:r>
      <w:r w:rsidR="00AC6ABD">
        <w:rPr>
          <w:sz w:val="24"/>
          <w:szCs w:val="24"/>
        </w:rPr>
        <w:t xml:space="preserve"> </w:t>
      </w:r>
      <w:r>
        <w:rPr>
          <w:sz w:val="24"/>
          <w:szCs w:val="24"/>
        </w:rPr>
        <w:t>answering the survey</w:t>
      </w:r>
      <w:r w:rsidRPr="00723BD8">
        <w:rPr>
          <w:sz w:val="24"/>
          <w:szCs w:val="24"/>
        </w:rPr>
        <w:t xml:space="preserve"> </w:t>
      </w:r>
      <w:r w:rsidR="00775D36">
        <w:rPr>
          <w:sz w:val="24"/>
          <w:szCs w:val="24"/>
        </w:rPr>
        <w:t>annually: 3</w:t>
      </w:r>
      <w:r w:rsidR="00AC6ABD">
        <w:rPr>
          <w:sz w:val="24"/>
          <w:szCs w:val="24"/>
        </w:rPr>
        <w:t>25</w:t>
      </w:r>
      <w:r w:rsidR="00D70AB9">
        <w:rPr>
          <w:sz w:val="24"/>
          <w:szCs w:val="24"/>
        </w:rPr>
        <w:t xml:space="preserve"> </w:t>
      </w:r>
      <w:r w:rsidR="00924816">
        <w:rPr>
          <w:sz w:val="24"/>
          <w:szCs w:val="24"/>
        </w:rPr>
        <w:t>x</w:t>
      </w:r>
      <w:r w:rsidR="00D70AB9">
        <w:rPr>
          <w:sz w:val="24"/>
          <w:szCs w:val="24"/>
        </w:rPr>
        <w:t xml:space="preserve"> </w:t>
      </w:r>
      <w:r w:rsidR="00AC6ABD">
        <w:rPr>
          <w:sz w:val="24"/>
          <w:szCs w:val="24"/>
        </w:rPr>
        <w:t>15</w:t>
      </w:r>
      <w:r w:rsidR="00924816">
        <w:rPr>
          <w:sz w:val="24"/>
          <w:szCs w:val="24"/>
        </w:rPr>
        <w:t xml:space="preserve"> minutes</w:t>
      </w:r>
      <w:r w:rsidR="00BC7461">
        <w:rPr>
          <w:sz w:val="24"/>
          <w:szCs w:val="24"/>
        </w:rPr>
        <w:t>/60</w:t>
      </w:r>
      <w:r w:rsidR="00924816">
        <w:rPr>
          <w:sz w:val="24"/>
          <w:szCs w:val="24"/>
        </w:rPr>
        <w:t xml:space="preserve"> minutes</w:t>
      </w:r>
      <w:r w:rsidR="00565C01">
        <w:rPr>
          <w:sz w:val="24"/>
          <w:szCs w:val="24"/>
        </w:rPr>
        <w:t>,</w:t>
      </w:r>
      <w:r w:rsidR="00924816">
        <w:rPr>
          <w:sz w:val="24"/>
          <w:szCs w:val="24"/>
        </w:rPr>
        <w:t xml:space="preserve"> which</w:t>
      </w:r>
      <w:r>
        <w:rPr>
          <w:sz w:val="24"/>
          <w:szCs w:val="24"/>
        </w:rPr>
        <w:t xml:space="preserve"> is a total of </w:t>
      </w:r>
      <w:r w:rsidR="00AC6ABD">
        <w:rPr>
          <w:sz w:val="24"/>
          <w:szCs w:val="24"/>
        </w:rPr>
        <w:t>81.25</w:t>
      </w:r>
      <w:r w:rsidR="00BC7461">
        <w:rPr>
          <w:sz w:val="24"/>
          <w:szCs w:val="24"/>
        </w:rPr>
        <w:t xml:space="preserve"> (81)</w:t>
      </w:r>
      <w:r>
        <w:rPr>
          <w:sz w:val="24"/>
          <w:szCs w:val="24"/>
        </w:rPr>
        <w:t xml:space="preserve"> burden hours/year to obtain the information from NOAA</w:t>
      </w:r>
      <w:r w:rsidR="00AC6ABD">
        <w:rPr>
          <w:sz w:val="24"/>
          <w:szCs w:val="24"/>
        </w:rPr>
        <w:t xml:space="preserve"> Sea Grant</w:t>
      </w:r>
      <w:r>
        <w:rPr>
          <w:sz w:val="24"/>
          <w:szCs w:val="24"/>
        </w:rPr>
        <w:t xml:space="preserve"> constituents.</w:t>
      </w: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CC471A" w:rsidRDefault="00CC471A">
      <w:pPr>
        <w:rPr>
          <w:sz w:val="24"/>
          <w:szCs w:val="24"/>
        </w:rPr>
      </w:pPr>
    </w:p>
    <w:p w:rsidR="004F26E9" w:rsidRDefault="00CC471A">
      <w:pPr>
        <w:rPr>
          <w:sz w:val="24"/>
          <w:szCs w:val="24"/>
        </w:rPr>
      </w:pPr>
      <w:r>
        <w:rPr>
          <w:sz w:val="24"/>
          <w:szCs w:val="24"/>
        </w:rPr>
        <w:t>There will be no reporting/recordkeeping costs to respondents</w:t>
      </w:r>
      <w:r w:rsidR="00BC7461">
        <w:rPr>
          <w:sz w:val="24"/>
          <w:szCs w:val="24"/>
        </w:rPr>
        <w:t>. For those respondents replying by mail, postage-paid envelopes will be supplied.</w:t>
      </w:r>
      <w:r>
        <w:rPr>
          <w:sz w:val="24"/>
          <w:szCs w:val="24"/>
        </w:rPr>
        <w:t xml:space="preserve"> </w:t>
      </w:r>
    </w:p>
    <w:p w:rsidR="00BC7461" w:rsidRDefault="00BC7461">
      <w:pPr>
        <w:rPr>
          <w:sz w:val="24"/>
          <w:szCs w:val="24"/>
        </w:rPr>
      </w:pPr>
    </w:p>
    <w:p w:rsidR="009B1CFD" w:rsidRDefault="004F26E9">
      <w:pPr>
        <w:rPr>
          <w:b/>
          <w:bCs/>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BC7461" w:rsidRDefault="00BC7461">
      <w:pPr>
        <w:rPr>
          <w:bCs/>
          <w:sz w:val="24"/>
          <w:szCs w:val="24"/>
        </w:rPr>
      </w:pPr>
    </w:p>
    <w:p w:rsidR="00EA5337" w:rsidRPr="003A4A4F" w:rsidRDefault="00AC6ABD">
      <w:pPr>
        <w:rPr>
          <w:bCs/>
          <w:sz w:val="24"/>
          <w:szCs w:val="24"/>
        </w:rPr>
      </w:pPr>
      <w:r>
        <w:rPr>
          <w:bCs/>
          <w:sz w:val="24"/>
          <w:szCs w:val="24"/>
        </w:rPr>
        <w:t xml:space="preserve">The estimated annualized cost to the federal government </w:t>
      </w:r>
      <w:r w:rsidR="00194A03">
        <w:rPr>
          <w:bCs/>
          <w:sz w:val="24"/>
          <w:szCs w:val="24"/>
        </w:rPr>
        <w:t>to administer the survey and summarize the requests is $3,250 or $10 per completed survey.</w:t>
      </w:r>
    </w:p>
    <w:p w:rsidR="00EA5337" w:rsidRDefault="00EA5337">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BC7461" w:rsidRDefault="00BC7461">
      <w:pPr>
        <w:rPr>
          <w:sz w:val="24"/>
          <w:szCs w:val="24"/>
        </w:rPr>
      </w:pPr>
    </w:p>
    <w:p w:rsidR="00BC7461" w:rsidRPr="00BC7461" w:rsidRDefault="00BC7461">
      <w:pPr>
        <w:rPr>
          <w:b/>
          <w:sz w:val="24"/>
          <w:szCs w:val="24"/>
        </w:rPr>
      </w:pPr>
      <w:r>
        <w:rPr>
          <w:b/>
          <w:sz w:val="24"/>
          <w:szCs w:val="24"/>
        </w:rPr>
        <w:t>Program change</w:t>
      </w:r>
      <w:r w:rsidRPr="00BC7461">
        <w:rPr>
          <w:b/>
          <w:sz w:val="24"/>
          <w:szCs w:val="24"/>
        </w:rPr>
        <w:t>:</w:t>
      </w:r>
      <w:r>
        <w:rPr>
          <w:b/>
          <w:sz w:val="24"/>
          <w:szCs w:val="24"/>
        </w:rPr>
        <w:t xml:space="preserve"> </w:t>
      </w:r>
      <w:r>
        <w:rPr>
          <w:sz w:val="24"/>
          <w:szCs w:val="24"/>
        </w:rPr>
        <w:t>The responses and hourly burden have been changed to reflect current plans.</w:t>
      </w:r>
      <w:r w:rsidR="00F11957">
        <w:rPr>
          <w:sz w:val="24"/>
          <w:szCs w:val="24"/>
        </w:rPr>
        <w:t xml:space="preserve"> This removes </w:t>
      </w:r>
      <w:r w:rsidR="002247FD">
        <w:rPr>
          <w:sz w:val="24"/>
          <w:szCs w:val="24"/>
        </w:rPr>
        <w:t>3</w:t>
      </w:r>
      <w:r w:rsidR="00F11957">
        <w:rPr>
          <w:sz w:val="24"/>
          <w:szCs w:val="24"/>
        </w:rPr>
        <w:t>25 respondents and responses, and 109 hours.</w:t>
      </w:r>
    </w:p>
    <w:p w:rsidR="00BC7461" w:rsidRDefault="00BC7461">
      <w:pPr>
        <w:rPr>
          <w:sz w:val="24"/>
          <w:szCs w:val="24"/>
        </w:rPr>
      </w:pPr>
    </w:p>
    <w:p w:rsidR="00BC7461" w:rsidRDefault="00BC7461">
      <w:pPr>
        <w:rPr>
          <w:sz w:val="24"/>
          <w:szCs w:val="24"/>
        </w:rPr>
      </w:pPr>
      <w:r w:rsidRPr="00BC7461">
        <w:rPr>
          <w:b/>
          <w:sz w:val="24"/>
          <w:szCs w:val="24"/>
        </w:rPr>
        <w:t>Adjustment:</w:t>
      </w:r>
      <w:r>
        <w:rPr>
          <w:sz w:val="24"/>
          <w:szCs w:val="24"/>
        </w:rPr>
        <w:t xml:space="preserve"> The response time has been changed from 20 minutes to 15 minutes, to be more accurate.</w:t>
      </w:r>
      <w:r w:rsidR="00F11957">
        <w:rPr>
          <w:sz w:val="24"/>
          <w:szCs w:val="24"/>
        </w:rPr>
        <w:t xml:space="preserve"> This removes 27 hours.</w:t>
      </w: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BC7461" w:rsidRDefault="00BC7461">
      <w:pPr>
        <w:rPr>
          <w:sz w:val="24"/>
          <w:szCs w:val="24"/>
        </w:rPr>
      </w:pPr>
      <w:bookmarkStart w:id="0" w:name="_GoBack"/>
      <w:bookmarkEnd w:id="0"/>
    </w:p>
    <w:p w:rsidR="004F26E9" w:rsidRPr="004A358E" w:rsidRDefault="00BC7461">
      <w:pPr>
        <w:rPr>
          <w:sz w:val="24"/>
          <w:szCs w:val="24"/>
        </w:rPr>
      </w:pPr>
      <w:r>
        <w:rPr>
          <w:sz w:val="24"/>
          <w:szCs w:val="24"/>
        </w:rPr>
        <w:t xml:space="preserve">N/A. </w:t>
      </w:r>
      <w:r w:rsidR="00AF1834">
        <w:rPr>
          <w:sz w:val="24"/>
          <w:szCs w:val="24"/>
        </w:rPr>
        <w:t>Individual r</w:t>
      </w:r>
      <w:r w:rsidR="004A358E">
        <w:rPr>
          <w:sz w:val="24"/>
          <w:szCs w:val="24"/>
        </w:rPr>
        <w:t xml:space="preserve">esults will </w:t>
      </w:r>
      <w:r w:rsidR="00481342">
        <w:rPr>
          <w:sz w:val="24"/>
          <w:szCs w:val="24"/>
        </w:rPr>
        <w:t>not</w:t>
      </w:r>
      <w:r w:rsidR="004A358E">
        <w:rPr>
          <w:sz w:val="24"/>
          <w:szCs w:val="24"/>
        </w:rPr>
        <w:t xml:space="preserve"> be published.</w:t>
      </w:r>
      <w:r w:rsidR="00AF1834">
        <w:rPr>
          <w:sz w:val="24"/>
          <w:szCs w:val="24"/>
        </w:rPr>
        <w:t xml:space="preserve">  Summary statistics will be made available to the Sea Grant network and NOAA to monitor changes in Sea Grant engagement.</w:t>
      </w:r>
    </w:p>
    <w:p w:rsidR="00EB7B1C" w:rsidRDefault="00EB7B1C">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A456FD" w:rsidRDefault="00A456FD">
      <w:pPr>
        <w:rPr>
          <w:sz w:val="24"/>
          <w:szCs w:val="24"/>
        </w:rPr>
      </w:pPr>
    </w:p>
    <w:p w:rsidR="004F26E9" w:rsidRDefault="00EB7B1C">
      <w:pPr>
        <w:rPr>
          <w:sz w:val="24"/>
          <w:szCs w:val="24"/>
        </w:rPr>
      </w:pPr>
      <w:proofErr w:type="gramStart"/>
      <w:r>
        <w:rPr>
          <w:sz w:val="24"/>
          <w:szCs w:val="24"/>
        </w:rPr>
        <w:t>N/A</w:t>
      </w:r>
      <w:r w:rsidR="00A456FD">
        <w:rPr>
          <w:sz w:val="24"/>
          <w:szCs w:val="24"/>
        </w:rPr>
        <w:t>.</w:t>
      </w:r>
      <w:proofErr w:type="gramEnd"/>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A456FD" w:rsidRDefault="00A456FD">
      <w:pPr>
        <w:rPr>
          <w:sz w:val="24"/>
          <w:szCs w:val="24"/>
        </w:rPr>
      </w:pPr>
    </w:p>
    <w:p w:rsidR="002E4D42" w:rsidRDefault="00EB7B1C" w:rsidP="007B59EB">
      <w:pPr>
        <w:rPr>
          <w:b/>
          <w:bCs/>
          <w:sz w:val="24"/>
          <w:szCs w:val="24"/>
        </w:rPr>
      </w:pPr>
      <w:proofErr w:type="gramStart"/>
      <w:r>
        <w:rPr>
          <w:sz w:val="24"/>
          <w:szCs w:val="24"/>
        </w:rPr>
        <w:t>N/A</w:t>
      </w:r>
      <w:r w:rsidR="00A456FD">
        <w:rPr>
          <w:sz w:val="24"/>
          <w:szCs w:val="24"/>
        </w:rPr>
        <w:t>.</w:t>
      </w:r>
      <w:proofErr w:type="gramEnd"/>
      <w:r w:rsidR="007B59EB">
        <w:rPr>
          <w:sz w:val="24"/>
          <w:szCs w:val="24"/>
        </w:rPr>
        <w:t xml:space="preserve">  </w:t>
      </w:r>
    </w:p>
    <w:sectPr w:rsidR="002E4D42" w:rsidSect="00E7318B">
      <w:footerReference w:type="default" r:id="rId16"/>
      <w:footnotePr>
        <w:numRestart w:val="eachSect"/>
      </w:footnotePr>
      <w:endnotePr>
        <w:numFmt w:val="decimal"/>
      </w:endnotePr>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B61" w:rsidRDefault="002B1B61">
      <w:r>
        <w:separator/>
      </w:r>
    </w:p>
  </w:endnote>
  <w:endnote w:type="continuationSeparator" w:id="0">
    <w:p w:rsidR="002B1B61" w:rsidRDefault="002B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335" w:rsidRDefault="00846CD0">
    <w:pPr>
      <w:pStyle w:val="Footer"/>
      <w:framePr w:w="576" w:wrap="auto" w:vAnchor="page" w:hAnchor="page" w:x="5545" w:y="15121"/>
      <w:jc w:val="right"/>
      <w:rPr>
        <w:rStyle w:val="PageNumber"/>
        <w:sz w:val="24"/>
        <w:szCs w:val="24"/>
      </w:rPr>
    </w:pPr>
    <w:r>
      <w:rPr>
        <w:rStyle w:val="PageNumber"/>
        <w:sz w:val="24"/>
        <w:szCs w:val="24"/>
      </w:rPr>
      <w:fldChar w:fldCharType="begin"/>
    </w:r>
    <w:r w:rsidR="00214335">
      <w:rPr>
        <w:rStyle w:val="PageNumber"/>
        <w:sz w:val="24"/>
        <w:szCs w:val="24"/>
      </w:rPr>
      <w:instrText xml:space="preserve">PAGE  </w:instrText>
    </w:r>
    <w:r>
      <w:rPr>
        <w:rStyle w:val="PageNumber"/>
        <w:sz w:val="24"/>
        <w:szCs w:val="24"/>
      </w:rPr>
      <w:fldChar w:fldCharType="separate"/>
    </w:r>
    <w:r w:rsidR="002247FD">
      <w:rPr>
        <w:rStyle w:val="PageNumber"/>
        <w:noProof/>
        <w:sz w:val="24"/>
        <w:szCs w:val="24"/>
      </w:rPr>
      <w:t>6</w:t>
    </w:r>
    <w:r>
      <w:rPr>
        <w:rStyle w:val="PageNumber"/>
        <w:sz w:val="24"/>
        <w:szCs w:val="24"/>
      </w:rPr>
      <w:fldChar w:fldCharType="end"/>
    </w:r>
  </w:p>
  <w:p w:rsidR="00214335" w:rsidRDefault="00214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B61" w:rsidRDefault="002B1B61">
      <w:r>
        <w:separator/>
      </w:r>
    </w:p>
  </w:footnote>
  <w:footnote w:type="continuationSeparator" w:id="0">
    <w:p w:rsidR="002B1B61" w:rsidRDefault="002B1B61">
      <w:r>
        <w:continuationSeparator/>
      </w:r>
    </w:p>
  </w:footnote>
  <w:footnote w:id="1">
    <w:p w:rsidR="003A4A4F" w:rsidRDefault="003A4A4F">
      <w:pPr>
        <w:pStyle w:val="FootnoteText"/>
      </w:pPr>
      <w:r>
        <w:rPr>
          <w:rStyle w:val="FootnoteReference"/>
        </w:rPr>
        <w:footnoteRef/>
      </w:r>
      <w:r>
        <w:t xml:space="preserve"> </w:t>
      </w:r>
      <w:r w:rsidRPr="003A4A4F">
        <w:t xml:space="preserve">The commission was charged not only with defining and bringing to public attention the kinds of changes occurring at public universities today, but with analyzing necessary reforms and suggesting ways to accomplish them and monitor the results. </w:t>
      </w:r>
      <w:proofErr w:type="gramStart"/>
      <w:r w:rsidRPr="003A4A4F">
        <w:t>A series of reports doc</w:t>
      </w:r>
      <w:r>
        <w:t>ument the commission's findings (</w:t>
      </w:r>
      <w:r w:rsidRPr="003A4A4F">
        <w:t>http://www.aplu.org/page.aspx?pid=305</w:t>
      </w:r>
      <w: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719C9"/>
    <w:multiLevelType w:val="hybridMultilevel"/>
    <w:tmpl w:val="EA7A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B69E3"/>
    <w:multiLevelType w:val="hybridMultilevel"/>
    <w:tmpl w:val="01BE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4E4DC9"/>
    <w:multiLevelType w:val="hybridMultilevel"/>
    <w:tmpl w:val="A9FA8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8353DA"/>
    <w:multiLevelType w:val="hybridMultilevel"/>
    <w:tmpl w:val="C02C09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C0B12EE"/>
    <w:multiLevelType w:val="hybridMultilevel"/>
    <w:tmpl w:val="C71C1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7173"/>
    <w:rsid w:val="00034D7F"/>
    <w:rsid w:val="000378ED"/>
    <w:rsid w:val="00045991"/>
    <w:rsid w:val="0004749A"/>
    <w:rsid w:val="00054CC9"/>
    <w:rsid w:val="000723E3"/>
    <w:rsid w:val="00074837"/>
    <w:rsid w:val="00087161"/>
    <w:rsid w:val="000916FC"/>
    <w:rsid w:val="00095AA4"/>
    <w:rsid w:val="000A0C73"/>
    <w:rsid w:val="000A6CF6"/>
    <w:rsid w:val="000A70A9"/>
    <w:rsid w:val="000B0588"/>
    <w:rsid w:val="000C3DF6"/>
    <w:rsid w:val="000D2886"/>
    <w:rsid w:val="00107F5D"/>
    <w:rsid w:val="00110320"/>
    <w:rsid w:val="00114CE6"/>
    <w:rsid w:val="00115227"/>
    <w:rsid w:val="00127DC9"/>
    <w:rsid w:val="00130B14"/>
    <w:rsid w:val="0014747F"/>
    <w:rsid w:val="0015786B"/>
    <w:rsid w:val="00163660"/>
    <w:rsid w:val="00172AFD"/>
    <w:rsid w:val="00173060"/>
    <w:rsid w:val="00180A08"/>
    <w:rsid w:val="001915D2"/>
    <w:rsid w:val="00194A03"/>
    <w:rsid w:val="00195172"/>
    <w:rsid w:val="001A68BE"/>
    <w:rsid w:val="001B056D"/>
    <w:rsid w:val="001C396A"/>
    <w:rsid w:val="001E1CC5"/>
    <w:rsid w:val="001E2246"/>
    <w:rsid w:val="001E2EFC"/>
    <w:rsid w:val="001E5FB2"/>
    <w:rsid w:val="001E6F72"/>
    <w:rsid w:val="001E7D69"/>
    <w:rsid w:val="001F2DD7"/>
    <w:rsid w:val="001F4040"/>
    <w:rsid w:val="002001DB"/>
    <w:rsid w:val="00206CED"/>
    <w:rsid w:val="00207D7B"/>
    <w:rsid w:val="002138FB"/>
    <w:rsid w:val="00214335"/>
    <w:rsid w:val="00215954"/>
    <w:rsid w:val="00220A14"/>
    <w:rsid w:val="002247FD"/>
    <w:rsid w:val="00250861"/>
    <w:rsid w:val="0026011E"/>
    <w:rsid w:val="00262331"/>
    <w:rsid w:val="00264489"/>
    <w:rsid w:val="002674DF"/>
    <w:rsid w:val="00272053"/>
    <w:rsid w:val="002722EF"/>
    <w:rsid w:val="002732C0"/>
    <w:rsid w:val="00282D2A"/>
    <w:rsid w:val="0028649C"/>
    <w:rsid w:val="00287251"/>
    <w:rsid w:val="002958EB"/>
    <w:rsid w:val="002A6A0B"/>
    <w:rsid w:val="002B1B61"/>
    <w:rsid w:val="002B4004"/>
    <w:rsid w:val="002C2600"/>
    <w:rsid w:val="002D22AE"/>
    <w:rsid w:val="002D2908"/>
    <w:rsid w:val="002D4233"/>
    <w:rsid w:val="002E4D42"/>
    <w:rsid w:val="002F1D26"/>
    <w:rsid w:val="00302633"/>
    <w:rsid w:val="00307751"/>
    <w:rsid w:val="0032431D"/>
    <w:rsid w:val="00334E35"/>
    <w:rsid w:val="0033584F"/>
    <w:rsid w:val="003565DA"/>
    <w:rsid w:val="00356668"/>
    <w:rsid w:val="00373AED"/>
    <w:rsid w:val="00384AD2"/>
    <w:rsid w:val="003A4A4F"/>
    <w:rsid w:val="003A60C5"/>
    <w:rsid w:val="003B270F"/>
    <w:rsid w:val="003D7CF5"/>
    <w:rsid w:val="003E58B5"/>
    <w:rsid w:val="003E636B"/>
    <w:rsid w:val="00431F9E"/>
    <w:rsid w:val="004358AD"/>
    <w:rsid w:val="00446845"/>
    <w:rsid w:val="00451D67"/>
    <w:rsid w:val="00454294"/>
    <w:rsid w:val="0047320F"/>
    <w:rsid w:val="00474B36"/>
    <w:rsid w:val="004773F2"/>
    <w:rsid w:val="00481342"/>
    <w:rsid w:val="004A358E"/>
    <w:rsid w:val="004A46EA"/>
    <w:rsid w:val="004A57BD"/>
    <w:rsid w:val="004B73F7"/>
    <w:rsid w:val="004C2844"/>
    <w:rsid w:val="004F26E9"/>
    <w:rsid w:val="004F382A"/>
    <w:rsid w:val="00512393"/>
    <w:rsid w:val="005225B1"/>
    <w:rsid w:val="00532DD5"/>
    <w:rsid w:val="00534FE9"/>
    <w:rsid w:val="00545C98"/>
    <w:rsid w:val="00547F19"/>
    <w:rsid w:val="00565C01"/>
    <w:rsid w:val="005969AC"/>
    <w:rsid w:val="005A4D4B"/>
    <w:rsid w:val="005B4F76"/>
    <w:rsid w:val="005D34E7"/>
    <w:rsid w:val="005D6795"/>
    <w:rsid w:val="005E2F30"/>
    <w:rsid w:val="005E5548"/>
    <w:rsid w:val="00604B6E"/>
    <w:rsid w:val="00606BC2"/>
    <w:rsid w:val="00607C9D"/>
    <w:rsid w:val="00616977"/>
    <w:rsid w:val="00635E78"/>
    <w:rsid w:val="00645388"/>
    <w:rsid w:val="00645E4F"/>
    <w:rsid w:val="006626A7"/>
    <w:rsid w:val="00682DA3"/>
    <w:rsid w:val="00695440"/>
    <w:rsid w:val="006A2AD3"/>
    <w:rsid w:val="006B6EF0"/>
    <w:rsid w:val="006E3496"/>
    <w:rsid w:val="0070014A"/>
    <w:rsid w:val="00716501"/>
    <w:rsid w:val="00716EF5"/>
    <w:rsid w:val="00720FBE"/>
    <w:rsid w:val="00723BD8"/>
    <w:rsid w:val="00723EA2"/>
    <w:rsid w:val="00725C5C"/>
    <w:rsid w:val="007267AC"/>
    <w:rsid w:val="00732B30"/>
    <w:rsid w:val="00765A66"/>
    <w:rsid w:val="0076646C"/>
    <w:rsid w:val="007750A9"/>
    <w:rsid w:val="00775597"/>
    <w:rsid w:val="00775D36"/>
    <w:rsid w:val="00776048"/>
    <w:rsid w:val="00780C64"/>
    <w:rsid w:val="007962C5"/>
    <w:rsid w:val="007A4A5D"/>
    <w:rsid w:val="007A4F12"/>
    <w:rsid w:val="007B0EA5"/>
    <w:rsid w:val="007B59EB"/>
    <w:rsid w:val="007C51F9"/>
    <w:rsid w:val="007C7F64"/>
    <w:rsid w:val="007D30E1"/>
    <w:rsid w:val="007F20ED"/>
    <w:rsid w:val="007F3E74"/>
    <w:rsid w:val="008307B0"/>
    <w:rsid w:val="00832AC5"/>
    <w:rsid w:val="008371D7"/>
    <w:rsid w:val="008373EC"/>
    <w:rsid w:val="00843BE9"/>
    <w:rsid w:val="00846CD0"/>
    <w:rsid w:val="00846E81"/>
    <w:rsid w:val="0085314C"/>
    <w:rsid w:val="00872362"/>
    <w:rsid w:val="00881FFA"/>
    <w:rsid w:val="00886789"/>
    <w:rsid w:val="00893E21"/>
    <w:rsid w:val="008A003B"/>
    <w:rsid w:val="008A5F1D"/>
    <w:rsid w:val="008B43A3"/>
    <w:rsid w:val="008C5B59"/>
    <w:rsid w:val="008D1B4E"/>
    <w:rsid w:val="008D4683"/>
    <w:rsid w:val="008E2433"/>
    <w:rsid w:val="0090616B"/>
    <w:rsid w:val="00924816"/>
    <w:rsid w:val="00950A2F"/>
    <w:rsid w:val="009573DD"/>
    <w:rsid w:val="0096686E"/>
    <w:rsid w:val="0098023F"/>
    <w:rsid w:val="00996DB5"/>
    <w:rsid w:val="009A6338"/>
    <w:rsid w:val="009B1CFD"/>
    <w:rsid w:val="009C1382"/>
    <w:rsid w:val="009C334F"/>
    <w:rsid w:val="009C3A66"/>
    <w:rsid w:val="009C5FD0"/>
    <w:rsid w:val="009C6CC2"/>
    <w:rsid w:val="009D3EFE"/>
    <w:rsid w:val="009D4281"/>
    <w:rsid w:val="009D44F0"/>
    <w:rsid w:val="009E24C8"/>
    <w:rsid w:val="009E2F97"/>
    <w:rsid w:val="009E6249"/>
    <w:rsid w:val="00A03AD4"/>
    <w:rsid w:val="00A11AE0"/>
    <w:rsid w:val="00A15C74"/>
    <w:rsid w:val="00A20D81"/>
    <w:rsid w:val="00A24872"/>
    <w:rsid w:val="00A33B9D"/>
    <w:rsid w:val="00A35283"/>
    <w:rsid w:val="00A440B3"/>
    <w:rsid w:val="00A456FD"/>
    <w:rsid w:val="00A515E7"/>
    <w:rsid w:val="00A52249"/>
    <w:rsid w:val="00A73FC1"/>
    <w:rsid w:val="00A7448E"/>
    <w:rsid w:val="00A94DAB"/>
    <w:rsid w:val="00A952B2"/>
    <w:rsid w:val="00A96A84"/>
    <w:rsid w:val="00AC2BB2"/>
    <w:rsid w:val="00AC6ABD"/>
    <w:rsid w:val="00AD6707"/>
    <w:rsid w:val="00AF1834"/>
    <w:rsid w:val="00AF4760"/>
    <w:rsid w:val="00B02CA3"/>
    <w:rsid w:val="00B20C85"/>
    <w:rsid w:val="00B25C95"/>
    <w:rsid w:val="00B45AA4"/>
    <w:rsid w:val="00B46850"/>
    <w:rsid w:val="00B5120B"/>
    <w:rsid w:val="00B52607"/>
    <w:rsid w:val="00B53047"/>
    <w:rsid w:val="00B660A9"/>
    <w:rsid w:val="00B76C6E"/>
    <w:rsid w:val="00B82B76"/>
    <w:rsid w:val="00B87A9F"/>
    <w:rsid w:val="00B91D70"/>
    <w:rsid w:val="00BB049F"/>
    <w:rsid w:val="00BC7461"/>
    <w:rsid w:val="00BE0F13"/>
    <w:rsid w:val="00C060FC"/>
    <w:rsid w:val="00C556E5"/>
    <w:rsid w:val="00C56758"/>
    <w:rsid w:val="00C625CF"/>
    <w:rsid w:val="00C6499B"/>
    <w:rsid w:val="00C657B7"/>
    <w:rsid w:val="00C6647B"/>
    <w:rsid w:val="00C74B72"/>
    <w:rsid w:val="00C830C1"/>
    <w:rsid w:val="00C975D0"/>
    <w:rsid w:val="00CA136B"/>
    <w:rsid w:val="00CB3E1A"/>
    <w:rsid w:val="00CC471A"/>
    <w:rsid w:val="00CC628E"/>
    <w:rsid w:val="00CE1E61"/>
    <w:rsid w:val="00CF2D8F"/>
    <w:rsid w:val="00CF68A6"/>
    <w:rsid w:val="00D21C0F"/>
    <w:rsid w:val="00D26E12"/>
    <w:rsid w:val="00D46F1C"/>
    <w:rsid w:val="00D70AB9"/>
    <w:rsid w:val="00D81B0D"/>
    <w:rsid w:val="00DB2D31"/>
    <w:rsid w:val="00DB7A08"/>
    <w:rsid w:val="00DC682C"/>
    <w:rsid w:val="00DD6442"/>
    <w:rsid w:val="00DE1DD5"/>
    <w:rsid w:val="00DE2E06"/>
    <w:rsid w:val="00DE3F60"/>
    <w:rsid w:val="00E166E6"/>
    <w:rsid w:val="00E17400"/>
    <w:rsid w:val="00E36B21"/>
    <w:rsid w:val="00E516D6"/>
    <w:rsid w:val="00E51B0D"/>
    <w:rsid w:val="00E55DB9"/>
    <w:rsid w:val="00E56E0F"/>
    <w:rsid w:val="00E677D4"/>
    <w:rsid w:val="00E7318B"/>
    <w:rsid w:val="00E845D1"/>
    <w:rsid w:val="00E865FD"/>
    <w:rsid w:val="00E87DF0"/>
    <w:rsid w:val="00E92FAD"/>
    <w:rsid w:val="00E96296"/>
    <w:rsid w:val="00E96EFA"/>
    <w:rsid w:val="00EA5337"/>
    <w:rsid w:val="00EB7B1C"/>
    <w:rsid w:val="00EC1E7E"/>
    <w:rsid w:val="00ED3391"/>
    <w:rsid w:val="00EF326D"/>
    <w:rsid w:val="00EF48EF"/>
    <w:rsid w:val="00F0217E"/>
    <w:rsid w:val="00F11957"/>
    <w:rsid w:val="00F11E52"/>
    <w:rsid w:val="00F16BFA"/>
    <w:rsid w:val="00F243A6"/>
    <w:rsid w:val="00F2637B"/>
    <w:rsid w:val="00F277BB"/>
    <w:rsid w:val="00F469B3"/>
    <w:rsid w:val="00F54A00"/>
    <w:rsid w:val="00F708B9"/>
    <w:rsid w:val="00F713C0"/>
    <w:rsid w:val="00F77919"/>
    <w:rsid w:val="00F96D51"/>
    <w:rsid w:val="00FB2F49"/>
    <w:rsid w:val="00FB439F"/>
    <w:rsid w:val="00FB5CFD"/>
    <w:rsid w:val="00FD0C56"/>
    <w:rsid w:val="00FE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18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7318B"/>
    <w:pPr>
      <w:widowControl w:val="0"/>
      <w:autoSpaceDE w:val="0"/>
      <w:autoSpaceDN w:val="0"/>
      <w:adjustRightInd w:val="0"/>
      <w:ind w:left="-1440"/>
      <w:jc w:val="both"/>
    </w:pPr>
    <w:rPr>
      <w:sz w:val="24"/>
      <w:szCs w:val="24"/>
    </w:rPr>
  </w:style>
  <w:style w:type="paragraph" w:customStyle="1" w:styleId="2AutoList1">
    <w:name w:val="2AutoList1"/>
    <w:rsid w:val="00E7318B"/>
    <w:pPr>
      <w:widowControl w:val="0"/>
      <w:autoSpaceDE w:val="0"/>
      <w:autoSpaceDN w:val="0"/>
      <w:adjustRightInd w:val="0"/>
      <w:ind w:left="-1440"/>
      <w:jc w:val="both"/>
    </w:pPr>
    <w:rPr>
      <w:sz w:val="24"/>
      <w:szCs w:val="24"/>
    </w:rPr>
  </w:style>
  <w:style w:type="paragraph" w:customStyle="1" w:styleId="3AutoList1">
    <w:name w:val="3AutoList1"/>
    <w:rsid w:val="00E7318B"/>
    <w:pPr>
      <w:widowControl w:val="0"/>
      <w:autoSpaceDE w:val="0"/>
      <w:autoSpaceDN w:val="0"/>
      <w:adjustRightInd w:val="0"/>
      <w:ind w:left="-1440"/>
      <w:jc w:val="both"/>
    </w:pPr>
    <w:rPr>
      <w:sz w:val="24"/>
      <w:szCs w:val="24"/>
    </w:rPr>
  </w:style>
  <w:style w:type="paragraph" w:customStyle="1" w:styleId="4AutoList1">
    <w:name w:val="4AutoList1"/>
    <w:rsid w:val="00E7318B"/>
    <w:pPr>
      <w:widowControl w:val="0"/>
      <w:autoSpaceDE w:val="0"/>
      <w:autoSpaceDN w:val="0"/>
      <w:adjustRightInd w:val="0"/>
      <w:ind w:left="-1440"/>
      <w:jc w:val="both"/>
    </w:pPr>
    <w:rPr>
      <w:sz w:val="24"/>
      <w:szCs w:val="24"/>
    </w:rPr>
  </w:style>
  <w:style w:type="paragraph" w:customStyle="1" w:styleId="5AutoList1">
    <w:name w:val="5AutoList1"/>
    <w:rsid w:val="00E7318B"/>
    <w:pPr>
      <w:widowControl w:val="0"/>
      <w:autoSpaceDE w:val="0"/>
      <w:autoSpaceDN w:val="0"/>
      <w:adjustRightInd w:val="0"/>
      <w:ind w:left="-1440"/>
      <w:jc w:val="both"/>
    </w:pPr>
    <w:rPr>
      <w:sz w:val="24"/>
      <w:szCs w:val="24"/>
    </w:rPr>
  </w:style>
  <w:style w:type="paragraph" w:customStyle="1" w:styleId="6AutoList1">
    <w:name w:val="6AutoList1"/>
    <w:rsid w:val="00E7318B"/>
    <w:pPr>
      <w:widowControl w:val="0"/>
      <w:autoSpaceDE w:val="0"/>
      <w:autoSpaceDN w:val="0"/>
      <w:adjustRightInd w:val="0"/>
      <w:ind w:left="-1440"/>
      <w:jc w:val="both"/>
    </w:pPr>
    <w:rPr>
      <w:sz w:val="24"/>
      <w:szCs w:val="24"/>
    </w:rPr>
  </w:style>
  <w:style w:type="paragraph" w:customStyle="1" w:styleId="7AutoList1">
    <w:name w:val="7AutoList1"/>
    <w:rsid w:val="00E7318B"/>
    <w:pPr>
      <w:widowControl w:val="0"/>
      <w:autoSpaceDE w:val="0"/>
      <w:autoSpaceDN w:val="0"/>
      <w:adjustRightInd w:val="0"/>
      <w:ind w:left="-1440"/>
      <w:jc w:val="both"/>
    </w:pPr>
    <w:rPr>
      <w:sz w:val="24"/>
      <w:szCs w:val="24"/>
    </w:rPr>
  </w:style>
  <w:style w:type="paragraph" w:customStyle="1" w:styleId="8AutoList1">
    <w:name w:val="8AutoList1"/>
    <w:rsid w:val="00E7318B"/>
    <w:pPr>
      <w:widowControl w:val="0"/>
      <w:autoSpaceDE w:val="0"/>
      <w:autoSpaceDN w:val="0"/>
      <w:adjustRightInd w:val="0"/>
      <w:ind w:left="-1440"/>
      <w:jc w:val="both"/>
    </w:pPr>
    <w:rPr>
      <w:sz w:val="24"/>
      <w:szCs w:val="24"/>
    </w:rPr>
  </w:style>
  <w:style w:type="paragraph" w:styleId="Footer">
    <w:name w:val="footer"/>
    <w:basedOn w:val="Normal"/>
    <w:rsid w:val="00E7318B"/>
    <w:pPr>
      <w:tabs>
        <w:tab w:val="center" w:pos="4320"/>
        <w:tab w:val="right" w:pos="8640"/>
      </w:tabs>
    </w:pPr>
  </w:style>
  <w:style w:type="character" w:styleId="PageNumber">
    <w:name w:val="page number"/>
    <w:basedOn w:val="DefaultParagraphFont"/>
    <w:rsid w:val="00E7318B"/>
  </w:style>
  <w:style w:type="paragraph" w:styleId="Header">
    <w:name w:val="header"/>
    <w:basedOn w:val="Normal"/>
    <w:rsid w:val="00E7318B"/>
    <w:pPr>
      <w:tabs>
        <w:tab w:val="center" w:pos="4320"/>
        <w:tab w:val="right" w:pos="8640"/>
      </w:tabs>
    </w:pPr>
  </w:style>
  <w:style w:type="paragraph" w:styleId="NoSpacing">
    <w:name w:val="No Spacing"/>
    <w:uiPriority w:val="1"/>
    <w:qFormat/>
    <w:rsid w:val="0014747F"/>
    <w:rPr>
      <w:rFonts w:eastAsia="Calibri"/>
      <w:sz w:val="24"/>
      <w:szCs w:val="24"/>
    </w:rPr>
  </w:style>
  <w:style w:type="paragraph" w:styleId="ListParagraph">
    <w:name w:val="List Paragraph"/>
    <w:basedOn w:val="Normal"/>
    <w:uiPriority w:val="34"/>
    <w:qFormat/>
    <w:rsid w:val="00DB2D31"/>
    <w:pPr>
      <w:widowControl/>
      <w:autoSpaceDE/>
      <w:autoSpaceDN/>
      <w:adjustRightInd/>
      <w:spacing w:after="200"/>
      <w:ind w:left="720"/>
      <w:contextualSpacing/>
    </w:pPr>
    <w:rPr>
      <w:rFonts w:eastAsia="Calibri"/>
      <w:sz w:val="24"/>
      <w:szCs w:val="24"/>
    </w:rPr>
  </w:style>
  <w:style w:type="character" w:customStyle="1" w:styleId="ptext-1">
    <w:name w:val="ptext-1"/>
    <w:basedOn w:val="DefaultParagraphFont"/>
    <w:rsid w:val="00775597"/>
    <w:rPr>
      <w:b w:val="0"/>
      <w:bCs w:val="0"/>
    </w:rPr>
  </w:style>
  <w:style w:type="table" w:styleId="TableGrid">
    <w:name w:val="Table Grid"/>
    <w:basedOn w:val="TableNormal"/>
    <w:rsid w:val="00E87D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9C1382"/>
    <w:rPr>
      <w:rFonts w:ascii="Tahoma" w:hAnsi="Tahoma" w:cs="Tahoma"/>
      <w:sz w:val="16"/>
      <w:szCs w:val="16"/>
    </w:rPr>
  </w:style>
  <w:style w:type="character" w:customStyle="1" w:styleId="BalloonTextChar">
    <w:name w:val="Balloon Text Char"/>
    <w:basedOn w:val="DefaultParagraphFont"/>
    <w:link w:val="BalloonText"/>
    <w:rsid w:val="009C1382"/>
    <w:rPr>
      <w:rFonts w:ascii="Tahoma" w:hAnsi="Tahoma" w:cs="Tahoma"/>
      <w:sz w:val="16"/>
      <w:szCs w:val="16"/>
    </w:rPr>
  </w:style>
  <w:style w:type="character" w:styleId="CommentReference">
    <w:name w:val="annotation reference"/>
    <w:basedOn w:val="DefaultParagraphFont"/>
    <w:rsid w:val="00E36B21"/>
    <w:rPr>
      <w:sz w:val="16"/>
      <w:szCs w:val="16"/>
    </w:rPr>
  </w:style>
  <w:style w:type="paragraph" w:styleId="CommentText">
    <w:name w:val="annotation text"/>
    <w:basedOn w:val="Normal"/>
    <w:link w:val="CommentTextChar"/>
    <w:rsid w:val="00E36B21"/>
  </w:style>
  <w:style w:type="character" w:customStyle="1" w:styleId="CommentTextChar">
    <w:name w:val="Comment Text Char"/>
    <w:basedOn w:val="DefaultParagraphFont"/>
    <w:link w:val="CommentText"/>
    <w:rsid w:val="00E36B21"/>
  </w:style>
  <w:style w:type="paragraph" w:styleId="CommentSubject">
    <w:name w:val="annotation subject"/>
    <w:basedOn w:val="CommentText"/>
    <w:next w:val="CommentText"/>
    <w:link w:val="CommentSubjectChar"/>
    <w:rsid w:val="00E36B21"/>
    <w:rPr>
      <w:b/>
      <w:bCs/>
    </w:rPr>
  </w:style>
  <w:style w:type="character" w:customStyle="1" w:styleId="CommentSubjectChar">
    <w:name w:val="Comment Subject Char"/>
    <w:basedOn w:val="CommentTextChar"/>
    <w:link w:val="CommentSubject"/>
    <w:rsid w:val="00E36B21"/>
    <w:rPr>
      <w:b/>
      <w:bCs/>
    </w:rPr>
  </w:style>
  <w:style w:type="paragraph" w:styleId="Revision">
    <w:name w:val="Revision"/>
    <w:hidden/>
    <w:uiPriority w:val="99"/>
    <w:semiHidden/>
    <w:rsid w:val="00CB3E1A"/>
  </w:style>
  <w:style w:type="character" w:styleId="Hyperlink">
    <w:name w:val="Hyperlink"/>
    <w:basedOn w:val="DefaultParagraphFont"/>
    <w:rsid w:val="002D2908"/>
    <w:rPr>
      <w:color w:val="0000FF" w:themeColor="hyperlink"/>
      <w:u w:val="single"/>
    </w:rPr>
  </w:style>
  <w:style w:type="paragraph" w:styleId="FootnoteText">
    <w:name w:val="footnote text"/>
    <w:basedOn w:val="Normal"/>
    <w:link w:val="FootnoteTextChar"/>
    <w:rsid w:val="003A4A4F"/>
  </w:style>
  <w:style w:type="character" w:customStyle="1" w:styleId="FootnoteTextChar">
    <w:name w:val="Footnote Text Char"/>
    <w:basedOn w:val="DefaultParagraphFont"/>
    <w:link w:val="FootnoteText"/>
    <w:rsid w:val="003A4A4F"/>
  </w:style>
  <w:style w:type="character" w:styleId="FootnoteReference">
    <w:name w:val="footnote reference"/>
    <w:basedOn w:val="DefaultParagraphFont"/>
    <w:rsid w:val="003A4A4F"/>
    <w:rPr>
      <w:vertAlign w:val="superscript"/>
    </w:rPr>
  </w:style>
  <w:style w:type="character" w:styleId="FollowedHyperlink">
    <w:name w:val="FollowedHyperlink"/>
    <w:basedOn w:val="DefaultParagraphFont"/>
    <w:rsid w:val="007B59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18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7318B"/>
    <w:pPr>
      <w:widowControl w:val="0"/>
      <w:autoSpaceDE w:val="0"/>
      <w:autoSpaceDN w:val="0"/>
      <w:adjustRightInd w:val="0"/>
      <w:ind w:left="-1440"/>
      <w:jc w:val="both"/>
    </w:pPr>
    <w:rPr>
      <w:sz w:val="24"/>
      <w:szCs w:val="24"/>
    </w:rPr>
  </w:style>
  <w:style w:type="paragraph" w:customStyle="1" w:styleId="2AutoList1">
    <w:name w:val="2AutoList1"/>
    <w:rsid w:val="00E7318B"/>
    <w:pPr>
      <w:widowControl w:val="0"/>
      <w:autoSpaceDE w:val="0"/>
      <w:autoSpaceDN w:val="0"/>
      <w:adjustRightInd w:val="0"/>
      <w:ind w:left="-1440"/>
      <w:jc w:val="both"/>
    </w:pPr>
    <w:rPr>
      <w:sz w:val="24"/>
      <w:szCs w:val="24"/>
    </w:rPr>
  </w:style>
  <w:style w:type="paragraph" w:customStyle="1" w:styleId="3AutoList1">
    <w:name w:val="3AutoList1"/>
    <w:rsid w:val="00E7318B"/>
    <w:pPr>
      <w:widowControl w:val="0"/>
      <w:autoSpaceDE w:val="0"/>
      <w:autoSpaceDN w:val="0"/>
      <w:adjustRightInd w:val="0"/>
      <w:ind w:left="-1440"/>
      <w:jc w:val="both"/>
    </w:pPr>
    <w:rPr>
      <w:sz w:val="24"/>
      <w:szCs w:val="24"/>
    </w:rPr>
  </w:style>
  <w:style w:type="paragraph" w:customStyle="1" w:styleId="4AutoList1">
    <w:name w:val="4AutoList1"/>
    <w:rsid w:val="00E7318B"/>
    <w:pPr>
      <w:widowControl w:val="0"/>
      <w:autoSpaceDE w:val="0"/>
      <w:autoSpaceDN w:val="0"/>
      <w:adjustRightInd w:val="0"/>
      <w:ind w:left="-1440"/>
      <w:jc w:val="both"/>
    </w:pPr>
    <w:rPr>
      <w:sz w:val="24"/>
      <w:szCs w:val="24"/>
    </w:rPr>
  </w:style>
  <w:style w:type="paragraph" w:customStyle="1" w:styleId="5AutoList1">
    <w:name w:val="5AutoList1"/>
    <w:rsid w:val="00E7318B"/>
    <w:pPr>
      <w:widowControl w:val="0"/>
      <w:autoSpaceDE w:val="0"/>
      <w:autoSpaceDN w:val="0"/>
      <w:adjustRightInd w:val="0"/>
      <w:ind w:left="-1440"/>
      <w:jc w:val="both"/>
    </w:pPr>
    <w:rPr>
      <w:sz w:val="24"/>
      <w:szCs w:val="24"/>
    </w:rPr>
  </w:style>
  <w:style w:type="paragraph" w:customStyle="1" w:styleId="6AutoList1">
    <w:name w:val="6AutoList1"/>
    <w:rsid w:val="00E7318B"/>
    <w:pPr>
      <w:widowControl w:val="0"/>
      <w:autoSpaceDE w:val="0"/>
      <w:autoSpaceDN w:val="0"/>
      <w:adjustRightInd w:val="0"/>
      <w:ind w:left="-1440"/>
      <w:jc w:val="both"/>
    </w:pPr>
    <w:rPr>
      <w:sz w:val="24"/>
      <w:szCs w:val="24"/>
    </w:rPr>
  </w:style>
  <w:style w:type="paragraph" w:customStyle="1" w:styleId="7AutoList1">
    <w:name w:val="7AutoList1"/>
    <w:rsid w:val="00E7318B"/>
    <w:pPr>
      <w:widowControl w:val="0"/>
      <w:autoSpaceDE w:val="0"/>
      <w:autoSpaceDN w:val="0"/>
      <w:adjustRightInd w:val="0"/>
      <w:ind w:left="-1440"/>
      <w:jc w:val="both"/>
    </w:pPr>
    <w:rPr>
      <w:sz w:val="24"/>
      <w:szCs w:val="24"/>
    </w:rPr>
  </w:style>
  <w:style w:type="paragraph" w:customStyle="1" w:styleId="8AutoList1">
    <w:name w:val="8AutoList1"/>
    <w:rsid w:val="00E7318B"/>
    <w:pPr>
      <w:widowControl w:val="0"/>
      <w:autoSpaceDE w:val="0"/>
      <w:autoSpaceDN w:val="0"/>
      <w:adjustRightInd w:val="0"/>
      <w:ind w:left="-1440"/>
      <w:jc w:val="both"/>
    </w:pPr>
    <w:rPr>
      <w:sz w:val="24"/>
      <w:szCs w:val="24"/>
    </w:rPr>
  </w:style>
  <w:style w:type="paragraph" w:styleId="Footer">
    <w:name w:val="footer"/>
    <w:basedOn w:val="Normal"/>
    <w:rsid w:val="00E7318B"/>
    <w:pPr>
      <w:tabs>
        <w:tab w:val="center" w:pos="4320"/>
        <w:tab w:val="right" w:pos="8640"/>
      </w:tabs>
    </w:pPr>
  </w:style>
  <w:style w:type="character" w:styleId="PageNumber">
    <w:name w:val="page number"/>
    <w:basedOn w:val="DefaultParagraphFont"/>
    <w:rsid w:val="00E7318B"/>
  </w:style>
  <w:style w:type="paragraph" w:styleId="Header">
    <w:name w:val="header"/>
    <w:basedOn w:val="Normal"/>
    <w:rsid w:val="00E7318B"/>
    <w:pPr>
      <w:tabs>
        <w:tab w:val="center" w:pos="4320"/>
        <w:tab w:val="right" w:pos="8640"/>
      </w:tabs>
    </w:pPr>
  </w:style>
  <w:style w:type="paragraph" w:styleId="NoSpacing">
    <w:name w:val="No Spacing"/>
    <w:uiPriority w:val="1"/>
    <w:qFormat/>
    <w:rsid w:val="0014747F"/>
    <w:rPr>
      <w:rFonts w:eastAsia="Calibri"/>
      <w:sz w:val="24"/>
      <w:szCs w:val="24"/>
    </w:rPr>
  </w:style>
  <w:style w:type="paragraph" w:styleId="ListParagraph">
    <w:name w:val="List Paragraph"/>
    <w:basedOn w:val="Normal"/>
    <w:uiPriority w:val="34"/>
    <w:qFormat/>
    <w:rsid w:val="00DB2D31"/>
    <w:pPr>
      <w:widowControl/>
      <w:autoSpaceDE/>
      <w:autoSpaceDN/>
      <w:adjustRightInd/>
      <w:spacing w:after="200"/>
      <w:ind w:left="720"/>
      <w:contextualSpacing/>
    </w:pPr>
    <w:rPr>
      <w:rFonts w:eastAsia="Calibri"/>
      <w:sz w:val="24"/>
      <w:szCs w:val="24"/>
    </w:rPr>
  </w:style>
  <w:style w:type="character" w:customStyle="1" w:styleId="ptext-1">
    <w:name w:val="ptext-1"/>
    <w:basedOn w:val="DefaultParagraphFont"/>
    <w:rsid w:val="00775597"/>
    <w:rPr>
      <w:b w:val="0"/>
      <w:bCs w:val="0"/>
    </w:rPr>
  </w:style>
  <w:style w:type="table" w:styleId="TableGrid">
    <w:name w:val="Table Grid"/>
    <w:basedOn w:val="TableNormal"/>
    <w:rsid w:val="00E87D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9C1382"/>
    <w:rPr>
      <w:rFonts w:ascii="Tahoma" w:hAnsi="Tahoma" w:cs="Tahoma"/>
      <w:sz w:val="16"/>
      <w:szCs w:val="16"/>
    </w:rPr>
  </w:style>
  <w:style w:type="character" w:customStyle="1" w:styleId="BalloonTextChar">
    <w:name w:val="Balloon Text Char"/>
    <w:basedOn w:val="DefaultParagraphFont"/>
    <w:link w:val="BalloonText"/>
    <w:rsid w:val="009C1382"/>
    <w:rPr>
      <w:rFonts w:ascii="Tahoma" w:hAnsi="Tahoma" w:cs="Tahoma"/>
      <w:sz w:val="16"/>
      <w:szCs w:val="16"/>
    </w:rPr>
  </w:style>
  <w:style w:type="character" w:styleId="CommentReference">
    <w:name w:val="annotation reference"/>
    <w:basedOn w:val="DefaultParagraphFont"/>
    <w:rsid w:val="00E36B21"/>
    <w:rPr>
      <w:sz w:val="16"/>
      <w:szCs w:val="16"/>
    </w:rPr>
  </w:style>
  <w:style w:type="paragraph" w:styleId="CommentText">
    <w:name w:val="annotation text"/>
    <w:basedOn w:val="Normal"/>
    <w:link w:val="CommentTextChar"/>
    <w:rsid w:val="00E36B21"/>
  </w:style>
  <w:style w:type="character" w:customStyle="1" w:styleId="CommentTextChar">
    <w:name w:val="Comment Text Char"/>
    <w:basedOn w:val="DefaultParagraphFont"/>
    <w:link w:val="CommentText"/>
    <w:rsid w:val="00E36B21"/>
  </w:style>
  <w:style w:type="paragraph" w:styleId="CommentSubject">
    <w:name w:val="annotation subject"/>
    <w:basedOn w:val="CommentText"/>
    <w:next w:val="CommentText"/>
    <w:link w:val="CommentSubjectChar"/>
    <w:rsid w:val="00E36B21"/>
    <w:rPr>
      <w:b/>
      <w:bCs/>
    </w:rPr>
  </w:style>
  <w:style w:type="character" w:customStyle="1" w:styleId="CommentSubjectChar">
    <w:name w:val="Comment Subject Char"/>
    <w:basedOn w:val="CommentTextChar"/>
    <w:link w:val="CommentSubject"/>
    <w:rsid w:val="00E36B21"/>
    <w:rPr>
      <w:b/>
      <w:bCs/>
    </w:rPr>
  </w:style>
  <w:style w:type="paragraph" w:styleId="Revision">
    <w:name w:val="Revision"/>
    <w:hidden/>
    <w:uiPriority w:val="99"/>
    <w:semiHidden/>
    <w:rsid w:val="00CB3E1A"/>
  </w:style>
  <w:style w:type="character" w:styleId="Hyperlink">
    <w:name w:val="Hyperlink"/>
    <w:basedOn w:val="DefaultParagraphFont"/>
    <w:rsid w:val="002D2908"/>
    <w:rPr>
      <w:color w:val="0000FF" w:themeColor="hyperlink"/>
      <w:u w:val="single"/>
    </w:rPr>
  </w:style>
  <w:style w:type="paragraph" w:styleId="FootnoteText">
    <w:name w:val="footnote text"/>
    <w:basedOn w:val="Normal"/>
    <w:link w:val="FootnoteTextChar"/>
    <w:rsid w:val="003A4A4F"/>
  </w:style>
  <w:style w:type="character" w:customStyle="1" w:styleId="FootnoteTextChar">
    <w:name w:val="Footnote Text Char"/>
    <w:basedOn w:val="DefaultParagraphFont"/>
    <w:link w:val="FootnoteText"/>
    <w:rsid w:val="003A4A4F"/>
  </w:style>
  <w:style w:type="character" w:styleId="FootnoteReference">
    <w:name w:val="footnote reference"/>
    <w:basedOn w:val="DefaultParagraphFont"/>
    <w:rsid w:val="003A4A4F"/>
    <w:rPr>
      <w:vertAlign w:val="superscript"/>
    </w:rPr>
  </w:style>
  <w:style w:type="character" w:styleId="FollowedHyperlink">
    <w:name w:val="FollowedHyperlink"/>
    <w:basedOn w:val="DefaultParagraphFont"/>
    <w:rsid w:val="007B59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surveymonkey.com" TargetMode="External"/><Relationship Id="rId10" Type="http://schemas.openxmlformats.org/officeDocument/2006/relationships/hyperlink" Target="http://www.aplu.org/page.aspx?pid=305" TargetMode="External"/><Relationship Id="rId4" Type="http://schemas.microsoft.com/office/2007/relationships/stylesWithEffects" Target="stylesWithEffects.xml"/><Relationship Id="rId9" Type="http://schemas.openxmlformats.org/officeDocument/2006/relationships/hyperlink" Target="http://seagrant.noaa.gov/Portals/0/Documents/who_we_are/legislation/docs/USC%20as%20amended%20by%202008.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41479-335E-4D5F-AD9E-F575C8B5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14</cp:revision>
  <cp:lastPrinted>2010-02-24T22:56:00Z</cp:lastPrinted>
  <dcterms:created xsi:type="dcterms:W3CDTF">2013-10-29T13:55:00Z</dcterms:created>
  <dcterms:modified xsi:type="dcterms:W3CDTF">2013-10-31T20:29:00Z</dcterms:modified>
</cp:coreProperties>
</file>