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14D" w:rsidRDefault="0044714D" w:rsidP="0044714D">
      <w:pPr>
        <w:jc w:val="center"/>
        <w:rPr>
          <w:b/>
          <w:bCs/>
          <w:sz w:val="24"/>
          <w:szCs w:val="24"/>
        </w:rPr>
      </w:pPr>
      <w:r>
        <w:rPr>
          <w:b/>
          <w:bCs/>
          <w:sz w:val="24"/>
          <w:szCs w:val="24"/>
        </w:rPr>
        <w:t>SUPPORTING STATEMENT</w:t>
      </w:r>
    </w:p>
    <w:p w:rsidR="0044714D" w:rsidRDefault="0044714D" w:rsidP="0044714D">
      <w:pPr>
        <w:jc w:val="center"/>
        <w:rPr>
          <w:b/>
          <w:bCs/>
          <w:sz w:val="24"/>
          <w:szCs w:val="24"/>
        </w:rPr>
      </w:pPr>
      <w:r>
        <w:rPr>
          <w:b/>
          <w:bCs/>
          <w:sz w:val="24"/>
          <w:szCs w:val="24"/>
        </w:rPr>
        <w:t>NOAA Engagement Survey Instrument</w:t>
      </w:r>
    </w:p>
    <w:p w:rsidR="0044714D" w:rsidRPr="009C1382" w:rsidRDefault="0044714D" w:rsidP="0044714D">
      <w:pPr>
        <w:jc w:val="center"/>
        <w:rPr>
          <w:sz w:val="24"/>
          <w:szCs w:val="24"/>
          <w:lang w:val="es-MX"/>
        </w:rPr>
      </w:pPr>
      <w:r w:rsidRPr="00B25C95">
        <w:rPr>
          <w:b/>
          <w:bCs/>
          <w:sz w:val="24"/>
          <w:szCs w:val="24"/>
          <w:lang w:val="es-MX"/>
        </w:rPr>
        <w:t>OMB CONTROL NO. 0648-</w:t>
      </w:r>
      <w:r>
        <w:rPr>
          <w:b/>
          <w:bCs/>
          <w:sz w:val="24"/>
          <w:szCs w:val="24"/>
          <w:lang w:val="es-MX"/>
        </w:rPr>
        <w:t>0615</w:t>
      </w:r>
    </w:p>
    <w:p w:rsidR="0044714D" w:rsidRDefault="0044714D" w:rsidP="00F62CD9">
      <w:pPr>
        <w:rPr>
          <w:b/>
          <w:bCs/>
          <w:sz w:val="24"/>
          <w:szCs w:val="24"/>
        </w:rPr>
      </w:pPr>
    </w:p>
    <w:p w:rsidR="0044714D" w:rsidRDefault="0044714D" w:rsidP="00F62CD9">
      <w:pPr>
        <w:rPr>
          <w:b/>
          <w:bCs/>
          <w:sz w:val="24"/>
          <w:szCs w:val="24"/>
        </w:rPr>
      </w:pPr>
    </w:p>
    <w:p w:rsidR="00F62CD9" w:rsidRDefault="00F62CD9" w:rsidP="00F62CD9">
      <w:pPr>
        <w:rPr>
          <w:sz w:val="24"/>
          <w:szCs w:val="24"/>
        </w:rPr>
      </w:pPr>
      <w:r>
        <w:rPr>
          <w:b/>
          <w:bCs/>
          <w:sz w:val="24"/>
          <w:szCs w:val="24"/>
        </w:rPr>
        <w:t>B.  COLLECTIONS OF INFORMATION EMPLOYING STATISTICAL METHODS</w:t>
      </w:r>
    </w:p>
    <w:p w:rsidR="00F62CD9" w:rsidRDefault="00F62CD9" w:rsidP="00F62CD9">
      <w:pPr>
        <w:rPr>
          <w:sz w:val="24"/>
          <w:szCs w:val="24"/>
        </w:rPr>
      </w:pPr>
    </w:p>
    <w:p w:rsidR="00F62CD9" w:rsidRPr="00214335" w:rsidRDefault="00F62CD9" w:rsidP="00F62CD9">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214335">
        <w:rPr>
          <w:b/>
          <w:bCs/>
        </w:rPr>
        <w:t>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F62CD9" w:rsidRDefault="00F62CD9" w:rsidP="00F62CD9">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rsidR="00F62CD9" w:rsidRDefault="00F62CD9" w:rsidP="00F62CD9">
      <w:pPr>
        <w:pStyle w:val="CommentText"/>
        <w:rPr>
          <w:bCs/>
          <w:sz w:val="24"/>
          <w:szCs w:val="24"/>
        </w:rPr>
      </w:pPr>
      <w:r w:rsidRPr="00A456FD">
        <w:rPr>
          <w:bCs/>
          <w:sz w:val="24"/>
          <w:szCs w:val="24"/>
        </w:rPr>
        <w:t xml:space="preserve">Potential respondents are constituent groups located within any of the coastal and Great Lakes states with Sea Grant Programs.  There are 32 Sea Grant Programs.  The survey will be implemented by NOAA Sea Grant Programs.  The </w:t>
      </w:r>
      <w:r>
        <w:rPr>
          <w:bCs/>
          <w:sz w:val="24"/>
          <w:szCs w:val="24"/>
        </w:rPr>
        <w:t xml:space="preserve">desired </w:t>
      </w:r>
      <w:r w:rsidRPr="00A456FD">
        <w:rPr>
          <w:bCs/>
          <w:sz w:val="24"/>
          <w:szCs w:val="24"/>
        </w:rPr>
        <w:t>response rate is 25%</w:t>
      </w:r>
      <w:r>
        <w:rPr>
          <w:bCs/>
          <w:sz w:val="24"/>
          <w:szCs w:val="24"/>
        </w:rPr>
        <w:t xml:space="preserve"> based on a 5-40% range for customer surveys</w:t>
      </w:r>
      <w:r w:rsidRPr="00A456FD">
        <w:rPr>
          <w:bCs/>
          <w:sz w:val="24"/>
          <w:szCs w:val="24"/>
        </w:rPr>
        <w:t xml:space="preserve">. </w:t>
      </w:r>
      <w:r>
        <w:rPr>
          <w:bCs/>
          <w:sz w:val="24"/>
          <w:szCs w:val="24"/>
        </w:rPr>
        <w:t>The estimated sample size for the 7 constituent groups to be sampled is provided in Table 1.  Each group represents a cross section of the groups with which Sea Grant works.  The higher the estimated sample, the more variability we expect within each group.</w:t>
      </w:r>
    </w:p>
    <w:p w:rsidR="00F62CD9" w:rsidRDefault="00F62CD9" w:rsidP="00F62CD9">
      <w:pPr>
        <w:pStyle w:val="CommentText"/>
        <w:rPr>
          <w:bCs/>
          <w:sz w:val="24"/>
          <w:szCs w:val="24"/>
        </w:rPr>
      </w:pPr>
    </w:p>
    <w:p w:rsidR="00F62CD9" w:rsidRPr="00A456FD" w:rsidRDefault="00F62CD9" w:rsidP="00F62CD9">
      <w:pPr>
        <w:pStyle w:val="CommentText"/>
        <w:rPr>
          <w:sz w:val="24"/>
          <w:szCs w:val="24"/>
        </w:rPr>
      </w:pPr>
      <w:r w:rsidRPr="00A456FD">
        <w:rPr>
          <w:sz w:val="24"/>
          <w:szCs w:val="24"/>
        </w:rPr>
        <w:t xml:space="preserve">The survey approval came within months of the </w:t>
      </w:r>
      <w:proofErr w:type="spellStart"/>
      <w:r w:rsidRPr="00A456FD">
        <w:rPr>
          <w:sz w:val="24"/>
          <w:szCs w:val="24"/>
        </w:rPr>
        <w:t>Deepwater</w:t>
      </w:r>
      <w:proofErr w:type="spellEnd"/>
      <w:r w:rsidRPr="00A456FD">
        <w:rPr>
          <w:sz w:val="24"/>
          <w:szCs w:val="24"/>
        </w:rPr>
        <w:t xml:space="preserve"> Horizon Oil Spill.  As a result the necessary changes in job duties associated with responding to the spill, the survey was not administered; therefore we have no prior response rate.  </w:t>
      </w:r>
    </w:p>
    <w:p w:rsidR="00F62CD9" w:rsidRPr="00886789" w:rsidRDefault="00F62CD9" w:rsidP="00F62CD9">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bCs/>
        </w:rPr>
      </w:pPr>
      <w:r w:rsidRPr="00886789">
        <w:rPr>
          <w:bCs/>
        </w:rPr>
        <w:br/>
      </w:r>
      <w:proofErr w:type="gramStart"/>
      <w:r>
        <w:rPr>
          <w:bCs/>
        </w:rPr>
        <w:t>Table 1.</w:t>
      </w:r>
      <w:proofErr w:type="gramEnd"/>
      <w:r>
        <w:rPr>
          <w:bCs/>
        </w:rPr>
        <w:t xml:space="preserve">  Seven Constituent Groups to be sampled: Estimated sample size and number of completed responses based on an estimated 25% response rate.  The larger estimated samples indicate strata with larger populations.</w:t>
      </w:r>
    </w:p>
    <w:tbl>
      <w:tblPr>
        <w:tblStyle w:val="TableGrid"/>
        <w:tblW w:w="0" w:type="auto"/>
        <w:tblInd w:w="18" w:type="dxa"/>
        <w:tblLook w:val="04A0" w:firstRow="1" w:lastRow="0" w:firstColumn="1" w:lastColumn="0" w:noHBand="0" w:noVBand="1"/>
      </w:tblPr>
      <w:tblGrid>
        <w:gridCol w:w="4140"/>
        <w:gridCol w:w="1980"/>
        <w:gridCol w:w="3438"/>
      </w:tblGrid>
      <w:tr w:rsidR="00F62CD9" w:rsidTr="003A3F53">
        <w:tc>
          <w:tcPr>
            <w:tcW w:w="4140" w:type="dxa"/>
            <w:shd w:val="clear" w:color="auto" w:fill="F2F2F2" w:themeFill="background1" w:themeFillShade="F2"/>
            <w:vAlign w:val="center"/>
          </w:tcPr>
          <w:p w:rsidR="00F62CD9" w:rsidRDefault="00F62CD9" w:rsidP="003A3F53">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0"/>
              <w:jc w:val="center"/>
              <w:rPr>
                <w:b/>
              </w:rPr>
            </w:pPr>
            <w:r w:rsidRPr="00AC2BB2">
              <w:rPr>
                <w:b/>
              </w:rPr>
              <w:t>Constituent Group</w:t>
            </w:r>
          </w:p>
        </w:tc>
        <w:tc>
          <w:tcPr>
            <w:tcW w:w="1980" w:type="dxa"/>
            <w:shd w:val="clear" w:color="auto" w:fill="F2F2F2" w:themeFill="background1" w:themeFillShade="F2"/>
          </w:tcPr>
          <w:p w:rsidR="00F62CD9" w:rsidRPr="00723EA2" w:rsidRDefault="00F62CD9" w:rsidP="003A3F53">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0"/>
              <w:jc w:val="center"/>
              <w:rPr>
                <w:b/>
              </w:rPr>
            </w:pPr>
            <w:r>
              <w:rPr>
                <w:b/>
              </w:rPr>
              <w:t xml:space="preserve">Estimated </w:t>
            </w:r>
            <w:r>
              <w:rPr>
                <w:b/>
              </w:rPr>
              <w:br/>
              <w:t>Sample</w:t>
            </w:r>
          </w:p>
        </w:tc>
        <w:tc>
          <w:tcPr>
            <w:tcW w:w="3438" w:type="dxa"/>
            <w:shd w:val="clear" w:color="auto" w:fill="F2F2F2" w:themeFill="background1" w:themeFillShade="F2"/>
            <w:vAlign w:val="center"/>
          </w:tcPr>
          <w:p w:rsidR="00F62CD9" w:rsidRDefault="00F62CD9" w:rsidP="003A3F53">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0"/>
              <w:jc w:val="center"/>
              <w:rPr>
                <w:b/>
              </w:rPr>
            </w:pPr>
            <w:r w:rsidRPr="00AC2BB2">
              <w:rPr>
                <w:b/>
              </w:rPr>
              <w:t>Estimated Number</w:t>
            </w:r>
            <w:r>
              <w:rPr>
                <w:b/>
              </w:rPr>
              <w:t xml:space="preserve"> of Completed Surveys</w:t>
            </w:r>
          </w:p>
        </w:tc>
      </w:tr>
      <w:tr w:rsidR="00F62CD9" w:rsidRPr="00723EA2" w:rsidTr="003A3F53">
        <w:tc>
          <w:tcPr>
            <w:tcW w:w="4140" w:type="dxa"/>
          </w:tcPr>
          <w:p w:rsidR="00F62CD9" w:rsidRPr="00723EA2" w:rsidRDefault="00F62CD9" w:rsidP="003A3F53">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0"/>
            </w:pPr>
            <w:r w:rsidRPr="00AC2BB2">
              <w:t>Non-profit organizations</w:t>
            </w:r>
          </w:p>
        </w:tc>
        <w:tc>
          <w:tcPr>
            <w:tcW w:w="1980" w:type="dxa"/>
          </w:tcPr>
          <w:p w:rsidR="00F62CD9" w:rsidRDefault="00F62CD9" w:rsidP="003A3F53">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0"/>
              <w:jc w:val="center"/>
            </w:pPr>
            <w:r>
              <w:t>50</w:t>
            </w:r>
          </w:p>
        </w:tc>
        <w:tc>
          <w:tcPr>
            <w:tcW w:w="3438" w:type="dxa"/>
          </w:tcPr>
          <w:p w:rsidR="00F62CD9" w:rsidRDefault="00F62CD9" w:rsidP="003A3F53">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0"/>
              <w:jc w:val="center"/>
            </w:pPr>
            <w:r>
              <w:t>13</w:t>
            </w:r>
          </w:p>
        </w:tc>
      </w:tr>
      <w:tr w:rsidR="00F62CD9" w:rsidTr="003A3F53">
        <w:tc>
          <w:tcPr>
            <w:tcW w:w="4140" w:type="dxa"/>
          </w:tcPr>
          <w:p w:rsidR="00F62CD9" w:rsidRDefault="00F62CD9" w:rsidP="003A3F53">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0"/>
            </w:pPr>
            <w:r>
              <w:t>Other Federal Agencies</w:t>
            </w:r>
          </w:p>
        </w:tc>
        <w:tc>
          <w:tcPr>
            <w:tcW w:w="1980" w:type="dxa"/>
          </w:tcPr>
          <w:p w:rsidR="00F62CD9" w:rsidRDefault="00F62CD9" w:rsidP="003A3F53">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0"/>
              <w:jc w:val="center"/>
            </w:pPr>
            <w:r>
              <w:t>100</w:t>
            </w:r>
          </w:p>
        </w:tc>
        <w:tc>
          <w:tcPr>
            <w:tcW w:w="3438" w:type="dxa"/>
          </w:tcPr>
          <w:p w:rsidR="00F62CD9" w:rsidRDefault="00F62CD9" w:rsidP="003A3F53">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0"/>
              <w:jc w:val="center"/>
            </w:pPr>
            <w:r>
              <w:t>25</w:t>
            </w:r>
          </w:p>
        </w:tc>
      </w:tr>
      <w:tr w:rsidR="00F62CD9" w:rsidTr="003A3F53">
        <w:tc>
          <w:tcPr>
            <w:tcW w:w="4140" w:type="dxa"/>
          </w:tcPr>
          <w:p w:rsidR="00F62CD9" w:rsidRDefault="00F62CD9" w:rsidP="003A3F53">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0"/>
            </w:pPr>
            <w:r>
              <w:t>NOAA Partners</w:t>
            </w:r>
          </w:p>
        </w:tc>
        <w:tc>
          <w:tcPr>
            <w:tcW w:w="1980" w:type="dxa"/>
          </w:tcPr>
          <w:p w:rsidR="00F62CD9" w:rsidRDefault="00F62CD9" w:rsidP="003A3F53">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0"/>
              <w:jc w:val="center"/>
            </w:pPr>
            <w:r>
              <w:t>150</w:t>
            </w:r>
          </w:p>
        </w:tc>
        <w:tc>
          <w:tcPr>
            <w:tcW w:w="3438" w:type="dxa"/>
          </w:tcPr>
          <w:p w:rsidR="00F62CD9" w:rsidRDefault="00F62CD9" w:rsidP="003A3F53">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0"/>
              <w:jc w:val="center"/>
            </w:pPr>
            <w:r>
              <w:t>37</w:t>
            </w:r>
          </w:p>
        </w:tc>
      </w:tr>
      <w:tr w:rsidR="00F62CD9" w:rsidRPr="00723EA2" w:rsidTr="003A3F53">
        <w:tc>
          <w:tcPr>
            <w:tcW w:w="4140" w:type="dxa"/>
          </w:tcPr>
          <w:p w:rsidR="00F62CD9" w:rsidRPr="00723EA2" w:rsidRDefault="00F62CD9" w:rsidP="003A3F53">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0"/>
            </w:pPr>
            <w:r w:rsidRPr="00AC2BB2">
              <w:t>State and local governments</w:t>
            </w:r>
          </w:p>
        </w:tc>
        <w:tc>
          <w:tcPr>
            <w:tcW w:w="1980" w:type="dxa"/>
          </w:tcPr>
          <w:p w:rsidR="00F62CD9" w:rsidRDefault="00F62CD9" w:rsidP="003A3F53">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0"/>
              <w:jc w:val="center"/>
            </w:pPr>
            <w:r>
              <w:t>200</w:t>
            </w:r>
          </w:p>
        </w:tc>
        <w:tc>
          <w:tcPr>
            <w:tcW w:w="3438" w:type="dxa"/>
          </w:tcPr>
          <w:p w:rsidR="00F62CD9" w:rsidRDefault="00F62CD9" w:rsidP="003A3F53">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0"/>
              <w:jc w:val="center"/>
            </w:pPr>
            <w:r>
              <w:t>50</w:t>
            </w:r>
          </w:p>
        </w:tc>
      </w:tr>
      <w:tr w:rsidR="00F62CD9" w:rsidRPr="00723EA2" w:rsidTr="003A3F53">
        <w:tc>
          <w:tcPr>
            <w:tcW w:w="4140" w:type="dxa"/>
          </w:tcPr>
          <w:p w:rsidR="00F62CD9" w:rsidRPr="00723EA2" w:rsidRDefault="00F62CD9" w:rsidP="003A3F53">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0"/>
            </w:pPr>
            <w:r>
              <w:t>K-12 Education Professionals</w:t>
            </w:r>
          </w:p>
        </w:tc>
        <w:tc>
          <w:tcPr>
            <w:tcW w:w="1980" w:type="dxa"/>
          </w:tcPr>
          <w:p w:rsidR="00F62CD9" w:rsidRDefault="00F62CD9" w:rsidP="003A3F53">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0"/>
              <w:jc w:val="center"/>
            </w:pPr>
            <w:r>
              <w:t>200</w:t>
            </w:r>
          </w:p>
        </w:tc>
        <w:tc>
          <w:tcPr>
            <w:tcW w:w="3438" w:type="dxa"/>
          </w:tcPr>
          <w:p w:rsidR="00F62CD9" w:rsidRDefault="00F62CD9" w:rsidP="003A3F53">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0"/>
              <w:jc w:val="center"/>
            </w:pPr>
            <w:r>
              <w:t>50</w:t>
            </w:r>
          </w:p>
        </w:tc>
      </w:tr>
      <w:tr w:rsidR="00F62CD9" w:rsidRPr="00723EA2" w:rsidTr="003A3F53">
        <w:tc>
          <w:tcPr>
            <w:tcW w:w="4140" w:type="dxa"/>
          </w:tcPr>
          <w:p w:rsidR="00F62CD9" w:rsidRDefault="00F62CD9" w:rsidP="003A3F53">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0"/>
            </w:pPr>
            <w:r>
              <w:t>Higher Education Professionals</w:t>
            </w:r>
          </w:p>
        </w:tc>
        <w:tc>
          <w:tcPr>
            <w:tcW w:w="1980" w:type="dxa"/>
          </w:tcPr>
          <w:p w:rsidR="00F62CD9" w:rsidRDefault="00F62CD9" w:rsidP="003A3F53">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0"/>
              <w:jc w:val="center"/>
            </w:pPr>
            <w:r>
              <w:t>200</w:t>
            </w:r>
          </w:p>
        </w:tc>
        <w:tc>
          <w:tcPr>
            <w:tcW w:w="3438" w:type="dxa"/>
          </w:tcPr>
          <w:p w:rsidR="00F62CD9" w:rsidRDefault="00F62CD9" w:rsidP="003A3F53">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0"/>
              <w:jc w:val="center"/>
            </w:pPr>
            <w:r>
              <w:t>50</w:t>
            </w:r>
          </w:p>
        </w:tc>
      </w:tr>
      <w:tr w:rsidR="00F62CD9" w:rsidTr="003A3F53">
        <w:tc>
          <w:tcPr>
            <w:tcW w:w="4140" w:type="dxa"/>
          </w:tcPr>
          <w:p w:rsidR="00F62CD9" w:rsidRDefault="00F62CD9" w:rsidP="003A3F53">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0"/>
            </w:pPr>
            <w:r>
              <w:t>Business and Industry</w:t>
            </w:r>
          </w:p>
        </w:tc>
        <w:tc>
          <w:tcPr>
            <w:tcW w:w="1980" w:type="dxa"/>
          </w:tcPr>
          <w:p w:rsidR="00F62CD9" w:rsidRDefault="00F62CD9" w:rsidP="003A3F53">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0"/>
              <w:jc w:val="center"/>
            </w:pPr>
            <w:r>
              <w:t>400</w:t>
            </w:r>
          </w:p>
        </w:tc>
        <w:tc>
          <w:tcPr>
            <w:tcW w:w="3438" w:type="dxa"/>
          </w:tcPr>
          <w:p w:rsidR="00F62CD9" w:rsidRDefault="00F62CD9" w:rsidP="003A3F53">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0"/>
              <w:jc w:val="center"/>
            </w:pPr>
            <w:r>
              <w:t>100</w:t>
            </w:r>
          </w:p>
        </w:tc>
      </w:tr>
      <w:tr w:rsidR="00F62CD9" w:rsidRPr="00723EA2" w:rsidTr="003A3F53">
        <w:tc>
          <w:tcPr>
            <w:tcW w:w="4140" w:type="dxa"/>
          </w:tcPr>
          <w:p w:rsidR="00F62CD9" w:rsidRDefault="00F62CD9" w:rsidP="003A3F53">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afterAutospacing="1"/>
              <w:ind w:left="0"/>
              <w:jc w:val="right"/>
            </w:pPr>
            <w:r>
              <w:t>Total</w:t>
            </w:r>
          </w:p>
        </w:tc>
        <w:tc>
          <w:tcPr>
            <w:tcW w:w="1980" w:type="dxa"/>
          </w:tcPr>
          <w:p w:rsidR="00F62CD9" w:rsidRDefault="00F62CD9" w:rsidP="003A3F53">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afterAutospacing="1"/>
              <w:ind w:left="0"/>
              <w:jc w:val="center"/>
            </w:pPr>
            <w:r>
              <w:t>1,300</w:t>
            </w:r>
          </w:p>
        </w:tc>
        <w:tc>
          <w:tcPr>
            <w:tcW w:w="3438" w:type="dxa"/>
          </w:tcPr>
          <w:p w:rsidR="00F62CD9" w:rsidRPr="00723EA2" w:rsidRDefault="00F62CD9" w:rsidP="003A3F53">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afterAutospacing="1"/>
              <w:ind w:left="0"/>
              <w:jc w:val="center"/>
            </w:pPr>
            <w:r>
              <w:t>325</w:t>
            </w:r>
          </w:p>
        </w:tc>
      </w:tr>
      <w:tr w:rsidR="00F62CD9" w:rsidRPr="00723EA2" w:rsidTr="003A3F53">
        <w:tc>
          <w:tcPr>
            <w:tcW w:w="4140" w:type="dxa"/>
          </w:tcPr>
          <w:p w:rsidR="00F62CD9" w:rsidRDefault="00F62CD9" w:rsidP="003A3F53">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afterAutospacing="1"/>
              <w:ind w:left="0"/>
              <w:jc w:val="right"/>
            </w:pPr>
            <w:r>
              <w:t>Expected response rate</w:t>
            </w:r>
          </w:p>
        </w:tc>
        <w:tc>
          <w:tcPr>
            <w:tcW w:w="1980" w:type="dxa"/>
          </w:tcPr>
          <w:p w:rsidR="00F62CD9" w:rsidRDefault="00F62CD9" w:rsidP="003A3F53">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afterAutospacing="1"/>
              <w:ind w:left="0"/>
              <w:jc w:val="center"/>
            </w:pPr>
            <w:r>
              <w:t>25%</w:t>
            </w:r>
          </w:p>
        </w:tc>
        <w:tc>
          <w:tcPr>
            <w:tcW w:w="3438" w:type="dxa"/>
          </w:tcPr>
          <w:p w:rsidR="00F62CD9" w:rsidRDefault="00F62CD9" w:rsidP="003A3F53">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afterAutospacing="1"/>
              <w:ind w:left="0"/>
              <w:jc w:val="center"/>
            </w:pPr>
          </w:p>
        </w:tc>
      </w:tr>
    </w:tbl>
    <w:p w:rsidR="00F62CD9" w:rsidRDefault="00F62CD9" w:rsidP="00F62C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4714D" w:rsidRDefault="0044714D" w:rsidP="00F62C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44714D" w:rsidRDefault="0044714D" w:rsidP="00F62C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44714D" w:rsidRDefault="0044714D" w:rsidP="00F62C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44714D" w:rsidRDefault="0044714D" w:rsidP="00F62C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44714D" w:rsidRDefault="0044714D" w:rsidP="00F62C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44714D" w:rsidRDefault="0044714D">
      <w:pPr>
        <w:widowControl/>
        <w:autoSpaceDE/>
        <w:autoSpaceDN/>
        <w:adjustRightInd/>
        <w:spacing w:after="200" w:line="276" w:lineRule="auto"/>
        <w:rPr>
          <w:b/>
          <w:bCs/>
          <w:sz w:val="24"/>
          <w:szCs w:val="24"/>
        </w:rPr>
      </w:pPr>
      <w:r>
        <w:rPr>
          <w:b/>
          <w:bCs/>
          <w:sz w:val="24"/>
          <w:szCs w:val="24"/>
        </w:rPr>
        <w:br w:type="page"/>
      </w:r>
    </w:p>
    <w:p w:rsidR="00F62CD9" w:rsidRDefault="00F62CD9" w:rsidP="00F62C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lastRenderedPageBreak/>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F62CD9" w:rsidRDefault="00F62CD9" w:rsidP="00F62C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F62CD9" w:rsidRDefault="00F62CD9" w:rsidP="00F62C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C6647B">
        <w:rPr>
          <w:sz w:val="24"/>
          <w:szCs w:val="24"/>
        </w:rPr>
        <w:t>Since the sample population is divided into seven subgroups (see Question 1 above) that are more homogeneous as individual groups than as a whole population, we will use the seve</w:t>
      </w:r>
      <w:r>
        <w:rPr>
          <w:sz w:val="24"/>
          <w:szCs w:val="24"/>
        </w:rPr>
        <w:t>n strata identified in Part B, Q</w:t>
      </w:r>
      <w:r w:rsidRPr="00C6647B">
        <w:rPr>
          <w:sz w:val="24"/>
          <w:szCs w:val="24"/>
        </w:rPr>
        <w:t xml:space="preserve">uestion 1.  Simple random sampling will then be used to obtain the expected sample size within each stratum.  By using a stratified random sampling scheme we </w:t>
      </w:r>
    </w:p>
    <w:p w:rsidR="00F62CD9" w:rsidRDefault="00F62CD9" w:rsidP="00F62C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roofErr w:type="gramStart"/>
      <w:r w:rsidRPr="00C6647B">
        <w:rPr>
          <w:sz w:val="24"/>
          <w:szCs w:val="24"/>
        </w:rPr>
        <w:t>will</w:t>
      </w:r>
      <w:proofErr w:type="gramEnd"/>
      <w:r w:rsidRPr="00C6647B">
        <w:rPr>
          <w:sz w:val="24"/>
          <w:szCs w:val="24"/>
        </w:rPr>
        <w:t xml:space="preserve"> be able to develop a weighted mean for strata with larger populations with which Sea Grant engages the most.  </w:t>
      </w:r>
    </w:p>
    <w:p w:rsidR="00F62CD9" w:rsidRDefault="00F62CD9" w:rsidP="00F62C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F62CD9" w:rsidRDefault="00F62CD9" w:rsidP="00F62C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C6647B">
        <w:rPr>
          <w:sz w:val="24"/>
          <w:szCs w:val="24"/>
        </w:rPr>
        <w:t xml:space="preserve">Email addresses will be collected over a period of 90 days.  The email list will be drawn from databases maintained by individual Sea Grant programs and consists of constituents who previously used Sea Grant products or services. The survey instrument will be emailed to members in the subgroups identified in Question 1 above using a stratified sampling technique.  As noted in the table above, more samples will be taken in subgroups that have more potential respondents (larger population).  </w:t>
      </w:r>
    </w:p>
    <w:p w:rsidR="00F62CD9" w:rsidRDefault="00F62CD9" w:rsidP="00F62C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F62CD9" w:rsidRDefault="00F62CD9" w:rsidP="00F62C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F62CD9" w:rsidRDefault="00F62CD9" w:rsidP="00F62CD9">
      <w:pPr>
        <w:contextualSpacing/>
        <w:rPr>
          <w:sz w:val="24"/>
          <w:szCs w:val="24"/>
        </w:rPr>
      </w:pPr>
    </w:p>
    <w:p w:rsidR="00F62CD9" w:rsidRPr="00C6647B" w:rsidRDefault="00F62CD9" w:rsidP="00F62CD9">
      <w:pPr>
        <w:contextualSpacing/>
        <w:rPr>
          <w:sz w:val="24"/>
          <w:szCs w:val="24"/>
        </w:rPr>
      </w:pPr>
      <w:r w:rsidRPr="00C6647B">
        <w:rPr>
          <w:sz w:val="24"/>
          <w:szCs w:val="24"/>
        </w:rPr>
        <w:t>We will send an email a few days prior to distributing the survey and inform the participant that they will receive the engagement survey shortly. The participant will receive the surv</w:t>
      </w:r>
      <w:r w:rsidR="00766E89">
        <w:rPr>
          <w:sz w:val="24"/>
          <w:szCs w:val="24"/>
        </w:rPr>
        <w:t>ey two to three days later.  Three</w:t>
      </w:r>
      <w:r w:rsidRPr="00C6647B">
        <w:rPr>
          <w:sz w:val="24"/>
          <w:szCs w:val="24"/>
        </w:rPr>
        <w:t xml:space="preserve"> weeks later we will follow-up with an email thanking those </w:t>
      </w:r>
      <w:r w:rsidR="00A60CB0">
        <w:rPr>
          <w:sz w:val="24"/>
          <w:szCs w:val="24"/>
        </w:rPr>
        <w:t>who</w:t>
      </w:r>
      <w:bookmarkStart w:id="0" w:name="_GoBack"/>
      <w:bookmarkEnd w:id="0"/>
      <w:r w:rsidRPr="00C6647B">
        <w:rPr>
          <w:sz w:val="24"/>
          <w:szCs w:val="24"/>
        </w:rPr>
        <w:t xml:space="preserve"> have completed the survey and ask non-respondents a final time to take the survey.  </w:t>
      </w:r>
    </w:p>
    <w:p w:rsidR="00F62CD9" w:rsidRPr="00C6647B" w:rsidRDefault="00F62CD9" w:rsidP="00F62CD9">
      <w:pPr>
        <w:contextualSpacing/>
        <w:rPr>
          <w:sz w:val="24"/>
          <w:szCs w:val="24"/>
        </w:rPr>
      </w:pPr>
    </w:p>
    <w:p w:rsidR="00F62CD9" w:rsidRPr="00C6647B" w:rsidRDefault="00F62CD9" w:rsidP="00F62CD9">
      <w:pPr>
        <w:contextualSpacing/>
        <w:rPr>
          <w:sz w:val="24"/>
          <w:szCs w:val="24"/>
        </w:rPr>
      </w:pPr>
      <w:r>
        <w:rPr>
          <w:sz w:val="24"/>
          <w:szCs w:val="24"/>
        </w:rPr>
        <w:t>We will</w:t>
      </w:r>
      <w:r w:rsidRPr="00C6647B">
        <w:rPr>
          <w:sz w:val="24"/>
          <w:szCs w:val="24"/>
        </w:rPr>
        <w:t xml:space="preserve"> </w:t>
      </w:r>
      <w:r>
        <w:rPr>
          <w:sz w:val="24"/>
          <w:szCs w:val="24"/>
        </w:rPr>
        <w:t>compare</w:t>
      </w:r>
      <w:r w:rsidRPr="00C6647B">
        <w:rPr>
          <w:sz w:val="24"/>
          <w:szCs w:val="24"/>
        </w:rPr>
        <w:t xml:space="preserve"> the type</w:t>
      </w:r>
      <w:r>
        <w:rPr>
          <w:sz w:val="24"/>
          <w:szCs w:val="24"/>
        </w:rPr>
        <w:t xml:space="preserve">s of constituent and </w:t>
      </w:r>
      <w:r w:rsidRPr="00C6647B">
        <w:rPr>
          <w:sz w:val="24"/>
          <w:szCs w:val="24"/>
        </w:rPr>
        <w:t>demographic information</w:t>
      </w:r>
      <w:r>
        <w:rPr>
          <w:sz w:val="24"/>
          <w:szCs w:val="24"/>
        </w:rPr>
        <w:t xml:space="preserve"> of respondents and </w:t>
      </w:r>
      <w:proofErr w:type="spellStart"/>
      <w:r>
        <w:rPr>
          <w:sz w:val="24"/>
          <w:szCs w:val="24"/>
        </w:rPr>
        <w:t>nonrespondents</w:t>
      </w:r>
      <w:proofErr w:type="spellEnd"/>
      <w:r>
        <w:rPr>
          <w:sz w:val="24"/>
          <w:szCs w:val="24"/>
        </w:rPr>
        <w:t>.</w:t>
      </w:r>
      <w:r w:rsidRPr="00C6647B">
        <w:rPr>
          <w:sz w:val="24"/>
          <w:szCs w:val="24"/>
        </w:rPr>
        <w:t xml:space="preserve">  If we observe a</w:t>
      </w:r>
      <w:r>
        <w:rPr>
          <w:sz w:val="24"/>
          <w:szCs w:val="24"/>
        </w:rPr>
        <w:t xml:space="preserve"> potential</w:t>
      </w:r>
      <w:r w:rsidRPr="00C6647B">
        <w:rPr>
          <w:sz w:val="24"/>
          <w:szCs w:val="24"/>
        </w:rPr>
        <w:t xml:space="preserve"> non-response bias</w:t>
      </w:r>
      <w:r>
        <w:rPr>
          <w:sz w:val="24"/>
          <w:szCs w:val="24"/>
        </w:rPr>
        <w:t>,</w:t>
      </w:r>
      <w:r w:rsidRPr="00C6647B">
        <w:rPr>
          <w:sz w:val="24"/>
          <w:szCs w:val="24"/>
        </w:rPr>
        <w:t xml:space="preserve"> we will </w:t>
      </w:r>
      <w:proofErr w:type="spellStart"/>
      <w:r w:rsidRPr="00C6647B">
        <w:rPr>
          <w:sz w:val="24"/>
          <w:szCs w:val="24"/>
        </w:rPr>
        <w:t>weigh</w:t>
      </w:r>
      <w:r>
        <w:rPr>
          <w:sz w:val="24"/>
          <w:szCs w:val="24"/>
        </w:rPr>
        <w:t>t</w:t>
      </w:r>
      <w:proofErr w:type="spellEnd"/>
      <w:r w:rsidRPr="00C6647B">
        <w:rPr>
          <w:sz w:val="24"/>
          <w:szCs w:val="24"/>
        </w:rPr>
        <w:t xml:space="preserve"> the responses </w:t>
      </w:r>
      <w:r>
        <w:rPr>
          <w:sz w:val="24"/>
          <w:szCs w:val="24"/>
        </w:rPr>
        <w:t>accordingly</w:t>
      </w:r>
      <w:r w:rsidRPr="00C6647B">
        <w:rPr>
          <w:sz w:val="24"/>
          <w:szCs w:val="24"/>
        </w:rPr>
        <w:t xml:space="preserve">.  </w:t>
      </w:r>
    </w:p>
    <w:p w:rsidR="00F62CD9" w:rsidRDefault="00F62CD9" w:rsidP="00F62CD9">
      <w:pPr>
        <w:contextualSpacing/>
        <w:rPr>
          <w:sz w:val="24"/>
          <w:szCs w:val="24"/>
        </w:rPr>
      </w:pPr>
      <w:r w:rsidRPr="00C6647B">
        <w:rPr>
          <w:sz w:val="24"/>
          <w:szCs w:val="24"/>
        </w:rPr>
        <w:t xml:space="preserve">The survey questions were developed using primarily a five-point </w:t>
      </w:r>
      <w:proofErr w:type="spellStart"/>
      <w:r w:rsidRPr="00C6647B">
        <w:rPr>
          <w:sz w:val="24"/>
          <w:szCs w:val="24"/>
        </w:rPr>
        <w:t>Likert</w:t>
      </w:r>
      <w:proofErr w:type="spellEnd"/>
      <w:r w:rsidRPr="00C6647B">
        <w:rPr>
          <w:sz w:val="24"/>
          <w:szCs w:val="24"/>
        </w:rPr>
        <w:t xml:space="preserve"> scale instead of open ended questions to maximize the response </w:t>
      </w:r>
      <w:r>
        <w:rPr>
          <w:sz w:val="24"/>
          <w:szCs w:val="24"/>
        </w:rPr>
        <w:t xml:space="preserve">rate.  </w:t>
      </w:r>
    </w:p>
    <w:p w:rsidR="00F62CD9" w:rsidRPr="00C6647B" w:rsidRDefault="00F62CD9" w:rsidP="00F62CD9">
      <w:pPr>
        <w:contextualSpacing/>
        <w:rPr>
          <w:sz w:val="24"/>
          <w:szCs w:val="24"/>
        </w:rPr>
      </w:pPr>
    </w:p>
    <w:p w:rsidR="00F62CD9" w:rsidRDefault="00F62CD9" w:rsidP="00F62CD9">
      <w:pPr>
        <w:contextualSpacing/>
        <w:rPr>
          <w:sz w:val="24"/>
          <w:szCs w:val="24"/>
        </w:rPr>
      </w:pPr>
      <w:r w:rsidRPr="00C6647B">
        <w:rPr>
          <w:sz w:val="24"/>
          <w:szCs w:val="24"/>
        </w:rPr>
        <w:t xml:space="preserve">A workshop which included a panel of experts in social sciences was held with multiple follow-up conference calls to generate survey questions tailored to determine how well NOAA engages with constituents.  This panel of experts addressed threats to content validity by developing a list of questions that when answered match outcomes and conditions identified in a table of specifications.  The survey instrument was piloted with 9 non-NOAA constituents to determine question reliability and ease of use.  A 0.8 </w:t>
      </w:r>
      <w:proofErr w:type="spellStart"/>
      <w:r w:rsidRPr="00C6647B">
        <w:rPr>
          <w:sz w:val="24"/>
          <w:szCs w:val="24"/>
        </w:rPr>
        <w:t>Cronbach</w:t>
      </w:r>
      <w:proofErr w:type="spellEnd"/>
      <w:r w:rsidRPr="00C6647B">
        <w:rPr>
          <w:sz w:val="24"/>
          <w:szCs w:val="24"/>
        </w:rPr>
        <w:t xml:space="preserve"> alpha for question reliability will be considered acceptable.  </w:t>
      </w:r>
    </w:p>
    <w:p w:rsidR="00F62CD9" w:rsidRDefault="00F62CD9" w:rsidP="00F62CD9">
      <w:pPr>
        <w:contextualSpacing/>
        <w:rPr>
          <w:sz w:val="24"/>
          <w:szCs w:val="24"/>
        </w:rPr>
      </w:pPr>
    </w:p>
    <w:p w:rsidR="0044714D" w:rsidRDefault="0044714D" w:rsidP="00F62C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44714D" w:rsidRDefault="0044714D" w:rsidP="00F62C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44714D" w:rsidRDefault="0044714D">
      <w:pPr>
        <w:widowControl/>
        <w:autoSpaceDE/>
        <w:autoSpaceDN/>
        <w:adjustRightInd/>
        <w:spacing w:after="200" w:line="276" w:lineRule="auto"/>
        <w:rPr>
          <w:b/>
          <w:bCs/>
          <w:sz w:val="24"/>
          <w:szCs w:val="24"/>
        </w:rPr>
      </w:pPr>
      <w:r>
        <w:rPr>
          <w:b/>
          <w:bCs/>
          <w:sz w:val="24"/>
          <w:szCs w:val="24"/>
        </w:rPr>
        <w:br w:type="page"/>
      </w:r>
    </w:p>
    <w:p w:rsidR="00F62CD9" w:rsidRDefault="00F62CD9" w:rsidP="00F62C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Pr>
          <w:b/>
          <w:bCs/>
          <w:sz w:val="24"/>
          <w:szCs w:val="24"/>
        </w:rPr>
        <w:lastRenderedPageBreak/>
        <w:t>4.  Describe any tests of procedures or methods to be undertaken. Tests are encouraged as effective means to refine collections, but if ten or more test respondents are involved OMB must give prior approval.</w:t>
      </w:r>
    </w:p>
    <w:p w:rsidR="00F62CD9" w:rsidRDefault="00F62CD9" w:rsidP="00F62CD9">
      <w:pPr>
        <w:contextualSpacing/>
        <w:rPr>
          <w:sz w:val="24"/>
          <w:szCs w:val="24"/>
        </w:rPr>
      </w:pPr>
    </w:p>
    <w:p w:rsidR="00F62CD9" w:rsidRPr="004A358E" w:rsidRDefault="00F62CD9" w:rsidP="00F62CD9">
      <w:pPr>
        <w:contextualSpacing/>
        <w:rPr>
          <w:sz w:val="24"/>
          <w:szCs w:val="24"/>
        </w:rPr>
      </w:pPr>
      <w:r>
        <w:rPr>
          <w:sz w:val="24"/>
          <w:szCs w:val="24"/>
        </w:rPr>
        <w:t xml:space="preserve">The survey was piloted by 9 non-federal employees serving on a NOAA Gulf of Mexico Regional Collaboration Team Engagement Working Group to check for functionality of survey instrument, ease of use and internal reliability. </w:t>
      </w:r>
      <w:r w:rsidRPr="00EF48EF">
        <w:rPr>
          <w:sz w:val="24"/>
          <w:szCs w:val="24"/>
        </w:rPr>
        <w:t xml:space="preserve">Based on feedback from the pilot </w:t>
      </w:r>
      <w:r w:rsidRPr="00384AD2">
        <w:rPr>
          <w:sz w:val="24"/>
          <w:szCs w:val="24"/>
        </w:rPr>
        <w:t>respondents,</w:t>
      </w:r>
      <w:r w:rsidRPr="00EF48EF">
        <w:rPr>
          <w:sz w:val="24"/>
          <w:szCs w:val="24"/>
        </w:rPr>
        <w:t xml:space="preserve"> minor rev</w:t>
      </w:r>
      <w:r>
        <w:rPr>
          <w:sz w:val="24"/>
          <w:szCs w:val="24"/>
        </w:rPr>
        <w:t>isions were made to the survey.</w:t>
      </w:r>
    </w:p>
    <w:p w:rsidR="00F62CD9" w:rsidRDefault="00F62CD9" w:rsidP="00F62CD9">
      <w:pPr>
        <w:widowControl/>
        <w:autoSpaceDE/>
        <w:autoSpaceDN/>
        <w:adjustRightInd/>
        <w:rPr>
          <w:b/>
          <w:bCs/>
          <w:sz w:val="24"/>
          <w:szCs w:val="24"/>
        </w:rPr>
      </w:pPr>
    </w:p>
    <w:p w:rsidR="00F62CD9" w:rsidRDefault="00F62CD9" w:rsidP="00F62C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Pr>
          <w:b/>
          <w:bCs/>
          <w:sz w:val="24"/>
          <w:szCs w:val="24"/>
        </w:rPr>
        <w:t>5.  Provide the name and telephone number of individuals consulted on the statistical aspects of the design, and the name of the agency unit, contractor(s), grantee(s), or other person(s) who will actually collect and/or analyze the information for the agency.</w:t>
      </w:r>
    </w:p>
    <w:p w:rsidR="00F62CD9" w:rsidRDefault="00F62CD9" w:rsidP="00F62C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p>
    <w:p w:rsidR="00F62CD9" w:rsidRDefault="00F62CD9" w:rsidP="00F62C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r>
        <w:rPr>
          <w:bCs/>
          <w:sz w:val="24"/>
          <w:szCs w:val="24"/>
        </w:rPr>
        <w:t xml:space="preserve">Statistical methods and data analysis: </w:t>
      </w:r>
      <w:proofErr w:type="spellStart"/>
      <w:r>
        <w:rPr>
          <w:bCs/>
          <w:sz w:val="24"/>
          <w:szCs w:val="24"/>
        </w:rPr>
        <w:t>LaDon</w:t>
      </w:r>
      <w:proofErr w:type="spellEnd"/>
      <w:r>
        <w:rPr>
          <w:bCs/>
          <w:sz w:val="24"/>
          <w:szCs w:val="24"/>
        </w:rPr>
        <w:t xml:space="preserve"> Swann, Ph.D. (251) 64-5877 or ladon.swann@noaa.gov.</w:t>
      </w:r>
    </w:p>
    <w:p w:rsidR="00F62CD9" w:rsidRDefault="00F62CD9" w:rsidP="00F62C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p>
    <w:p w:rsidR="00F62CD9" w:rsidRDefault="00F62CD9" w:rsidP="00F62C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r>
        <w:rPr>
          <w:bCs/>
          <w:sz w:val="24"/>
          <w:szCs w:val="24"/>
        </w:rPr>
        <w:t xml:space="preserve">Survey administration; Sami </w:t>
      </w:r>
      <w:proofErr w:type="gramStart"/>
      <w:r>
        <w:rPr>
          <w:bCs/>
          <w:sz w:val="24"/>
          <w:szCs w:val="24"/>
        </w:rPr>
        <w:t>Grimes ,</w:t>
      </w:r>
      <w:proofErr w:type="gramEnd"/>
      <w:r>
        <w:rPr>
          <w:bCs/>
          <w:sz w:val="24"/>
          <w:szCs w:val="24"/>
        </w:rPr>
        <w:t xml:space="preserve"> </w:t>
      </w:r>
      <w:r w:rsidRPr="003E58B5">
        <w:rPr>
          <w:bCs/>
          <w:sz w:val="24"/>
          <w:szCs w:val="24"/>
        </w:rPr>
        <w:t>(301) 734-1073</w:t>
      </w:r>
      <w:r>
        <w:rPr>
          <w:bCs/>
          <w:sz w:val="24"/>
          <w:szCs w:val="24"/>
        </w:rPr>
        <w:t xml:space="preserve"> or </w:t>
      </w:r>
      <w:r w:rsidRPr="003E58B5">
        <w:rPr>
          <w:bCs/>
          <w:sz w:val="24"/>
          <w:szCs w:val="24"/>
        </w:rPr>
        <w:t>sami.grimes@noaa.gov</w:t>
      </w:r>
      <w:r>
        <w:rPr>
          <w:bCs/>
          <w:sz w:val="24"/>
          <w:szCs w:val="24"/>
        </w:rPr>
        <w:t>.</w:t>
      </w:r>
    </w:p>
    <w:p w:rsidR="00F62CD9" w:rsidRDefault="00F62CD9" w:rsidP="00F62CD9">
      <w:pPr>
        <w:rPr>
          <w:sz w:val="24"/>
          <w:szCs w:val="24"/>
        </w:rPr>
      </w:pPr>
    </w:p>
    <w:p w:rsidR="00F62CD9" w:rsidRDefault="00F62CD9" w:rsidP="00F62CD9">
      <w:pPr>
        <w:rPr>
          <w:sz w:val="24"/>
          <w:szCs w:val="24"/>
        </w:rPr>
      </w:pPr>
    </w:p>
    <w:p w:rsidR="005725F8" w:rsidRDefault="00642341"/>
    <w:sectPr w:rsidR="005725F8" w:rsidSect="00F62CD9">
      <w:footerReference w:type="default" r:id="rId9"/>
      <w:footnotePr>
        <w:numRestart w:val="eachSect"/>
      </w:footnotePr>
      <w:endnotePr>
        <w:numFmt w:val="decimal"/>
      </w:endnotePr>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341" w:rsidRDefault="00642341">
      <w:r>
        <w:separator/>
      </w:r>
    </w:p>
  </w:endnote>
  <w:endnote w:type="continuationSeparator" w:id="0">
    <w:p w:rsidR="00642341" w:rsidRDefault="00642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335" w:rsidRDefault="0044714D">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A60CB0">
      <w:rPr>
        <w:rStyle w:val="PageNumber"/>
        <w:noProof/>
        <w:sz w:val="24"/>
        <w:szCs w:val="24"/>
      </w:rPr>
      <w:t>2</w:t>
    </w:r>
    <w:r>
      <w:rPr>
        <w:rStyle w:val="PageNumber"/>
        <w:sz w:val="24"/>
        <w:szCs w:val="24"/>
      </w:rPr>
      <w:fldChar w:fldCharType="end"/>
    </w:r>
  </w:p>
  <w:p w:rsidR="00214335" w:rsidRDefault="006423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341" w:rsidRDefault="00642341">
      <w:r>
        <w:separator/>
      </w:r>
    </w:p>
  </w:footnote>
  <w:footnote w:type="continuationSeparator" w:id="0">
    <w:p w:rsidR="00642341" w:rsidRDefault="006423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8353DA"/>
    <w:multiLevelType w:val="hybridMultilevel"/>
    <w:tmpl w:val="C02C09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CD9"/>
    <w:rsid w:val="002666F4"/>
    <w:rsid w:val="0044714D"/>
    <w:rsid w:val="005A7096"/>
    <w:rsid w:val="00642341"/>
    <w:rsid w:val="00766E89"/>
    <w:rsid w:val="007C6674"/>
    <w:rsid w:val="00A60CB0"/>
    <w:rsid w:val="00F62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CD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62CD9"/>
    <w:pPr>
      <w:tabs>
        <w:tab w:val="center" w:pos="4320"/>
        <w:tab w:val="right" w:pos="8640"/>
      </w:tabs>
    </w:pPr>
  </w:style>
  <w:style w:type="character" w:customStyle="1" w:styleId="FooterChar">
    <w:name w:val="Footer Char"/>
    <w:basedOn w:val="DefaultParagraphFont"/>
    <w:link w:val="Footer"/>
    <w:rsid w:val="00F62CD9"/>
    <w:rPr>
      <w:rFonts w:ascii="Times New Roman" w:eastAsia="Times New Roman" w:hAnsi="Times New Roman" w:cs="Times New Roman"/>
      <w:sz w:val="20"/>
      <w:szCs w:val="20"/>
    </w:rPr>
  </w:style>
  <w:style w:type="character" w:styleId="PageNumber">
    <w:name w:val="page number"/>
    <w:basedOn w:val="DefaultParagraphFont"/>
    <w:rsid w:val="00F62CD9"/>
  </w:style>
  <w:style w:type="paragraph" w:styleId="ListParagraph">
    <w:name w:val="List Paragraph"/>
    <w:basedOn w:val="Normal"/>
    <w:uiPriority w:val="34"/>
    <w:qFormat/>
    <w:rsid w:val="00F62CD9"/>
    <w:pPr>
      <w:widowControl/>
      <w:autoSpaceDE/>
      <w:autoSpaceDN/>
      <w:adjustRightInd/>
      <w:spacing w:after="200"/>
      <w:ind w:left="720"/>
      <w:contextualSpacing/>
    </w:pPr>
    <w:rPr>
      <w:rFonts w:eastAsia="Calibri"/>
      <w:sz w:val="24"/>
      <w:szCs w:val="24"/>
    </w:rPr>
  </w:style>
  <w:style w:type="table" w:styleId="TableGrid">
    <w:name w:val="Table Grid"/>
    <w:basedOn w:val="TableNormal"/>
    <w:rsid w:val="00F62CD9"/>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mmentText">
    <w:name w:val="annotation text"/>
    <w:basedOn w:val="Normal"/>
    <w:link w:val="CommentTextChar"/>
    <w:rsid w:val="00F62CD9"/>
  </w:style>
  <w:style w:type="character" w:customStyle="1" w:styleId="CommentTextChar">
    <w:name w:val="Comment Text Char"/>
    <w:basedOn w:val="DefaultParagraphFont"/>
    <w:link w:val="CommentText"/>
    <w:rsid w:val="00F62CD9"/>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CD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62CD9"/>
    <w:pPr>
      <w:tabs>
        <w:tab w:val="center" w:pos="4320"/>
        <w:tab w:val="right" w:pos="8640"/>
      </w:tabs>
    </w:pPr>
  </w:style>
  <w:style w:type="character" w:customStyle="1" w:styleId="FooterChar">
    <w:name w:val="Footer Char"/>
    <w:basedOn w:val="DefaultParagraphFont"/>
    <w:link w:val="Footer"/>
    <w:rsid w:val="00F62CD9"/>
    <w:rPr>
      <w:rFonts w:ascii="Times New Roman" w:eastAsia="Times New Roman" w:hAnsi="Times New Roman" w:cs="Times New Roman"/>
      <w:sz w:val="20"/>
      <w:szCs w:val="20"/>
    </w:rPr>
  </w:style>
  <w:style w:type="character" w:styleId="PageNumber">
    <w:name w:val="page number"/>
    <w:basedOn w:val="DefaultParagraphFont"/>
    <w:rsid w:val="00F62CD9"/>
  </w:style>
  <w:style w:type="paragraph" w:styleId="ListParagraph">
    <w:name w:val="List Paragraph"/>
    <w:basedOn w:val="Normal"/>
    <w:uiPriority w:val="34"/>
    <w:qFormat/>
    <w:rsid w:val="00F62CD9"/>
    <w:pPr>
      <w:widowControl/>
      <w:autoSpaceDE/>
      <w:autoSpaceDN/>
      <w:adjustRightInd/>
      <w:spacing w:after="200"/>
      <w:ind w:left="720"/>
      <w:contextualSpacing/>
    </w:pPr>
    <w:rPr>
      <w:rFonts w:eastAsia="Calibri"/>
      <w:sz w:val="24"/>
      <w:szCs w:val="24"/>
    </w:rPr>
  </w:style>
  <w:style w:type="table" w:styleId="TableGrid">
    <w:name w:val="Table Grid"/>
    <w:basedOn w:val="TableNormal"/>
    <w:rsid w:val="00F62CD9"/>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mmentText">
    <w:name w:val="annotation text"/>
    <w:basedOn w:val="Normal"/>
    <w:link w:val="CommentTextChar"/>
    <w:rsid w:val="00F62CD9"/>
  </w:style>
  <w:style w:type="character" w:customStyle="1" w:styleId="CommentTextChar">
    <w:name w:val="Comment Text Char"/>
    <w:basedOn w:val="DefaultParagraphFont"/>
    <w:link w:val="CommentText"/>
    <w:rsid w:val="00F62CD9"/>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D5941-14F5-4857-8FEB-2F4D02BD7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899</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6017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5</cp:revision>
  <dcterms:created xsi:type="dcterms:W3CDTF">2013-10-29T13:55:00Z</dcterms:created>
  <dcterms:modified xsi:type="dcterms:W3CDTF">2013-10-31T18:49:00Z</dcterms:modified>
</cp:coreProperties>
</file>