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17F" w:rsidRPr="0033117F" w:rsidRDefault="0033117F" w:rsidP="0033117F">
      <w:pPr>
        <w:jc w:val="center"/>
        <w:rPr>
          <w:b/>
          <w:smallCaps/>
          <w:sz w:val="24"/>
          <w:szCs w:val="24"/>
        </w:rPr>
      </w:pPr>
      <w:r w:rsidRPr="0033117F">
        <w:rPr>
          <w:b/>
          <w:sz w:val="24"/>
          <w:szCs w:val="24"/>
        </w:rPr>
        <w:t>OMB Supporting Statement</w:t>
      </w:r>
      <w:r w:rsidRPr="0033117F">
        <w:rPr>
          <w:b/>
          <w:smallCaps/>
          <w:sz w:val="24"/>
          <w:szCs w:val="24"/>
        </w:rPr>
        <w:t xml:space="preserve"> </w:t>
      </w:r>
      <w:r w:rsidRPr="0033117F">
        <w:rPr>
          <w:b/>
          <w:sz w:val="24"/>
          <w:szCs w:val="24"/>
        </w:rPr>
        <w:t>for</w:t>
      </w:r>
      <w:r w:rsidRPr="0033117F">
        <w:rPr>
          <w:b/>
          <w:smallCaps/>
          <w:sz w:val="24"/>
          <w:szCs w:val="24"/>
        </w:rPr>
        <w:t xml:space="preserve"> </w:t>
      </w:r>
      <w:r w:rsidRPr="0033117F">
        <w:rPr>
          <w:b/>
          <w:sz w:val="24"/>
          <w:szCs w:val="24"/>
        </w:rPr>
        <w:t>the</w:t>
      </w:r>
    </w:p>
    <w:p w:rsidR="0033117F" w:rsidRPr="0033117F" w:rsidRDefault="00C803FC" w:rsidP="0033117F">
      <w:pPr>
        <w:ind w:left="1080" w:right="-90" w:hanging="1080"/>
        <w:jc w:val="center"/>
        <w:rPr>
          <w:b/>
          <w:sz w:val="24"/>
          <w:szCs w:val="24"/>
        </w:rPr>
      </w:pPr>
      <w:r w:rsidRPr="0033117F">
        <w:rPr>
          <w:b/>
          <w:sz w:val="24"/>
          <w:szCs w:val="24"/>
        </w:rPr>
        <w:t>Annual Company-</w:t>
      </w:r>
      <w:r w:rsidR="008640E7" w:rsidRPr="0033117F">
        <w:rPr>
          <w:b/>
          <w:sz w:val="24"/>
          <w:szCs w:val="24"/>
        </w:rPr>
        <w:t>R</w:t>
      </w:r>
      <w:r w:rsidRPr="0033117F">
        <w:rPr>
          <w:b/>
          <w:sz w:val="24"/>
          <w:szCs w:val="24"/>
        </w:rPr>
        <w:t>un Stress Test P</w:t>
      </w:r>
      <w:r w:rsidR="003451DB" w:rsidRPr="0033117F">
        <w:rPr>
          <w:b/>
          <w:sz w:val="24"/>
          <w:szCs w:val="24"/>
        </w:rPr>
        <w:t>rojections</w:t>
      </w:r>
    </w:p>
    <w:p w:rsidR="0033117F" w:rsidRPr="0033117F" w:rsidRDefault="0033117F" w:rsidP="0033117F">
      <w:pPr>
        <w:tabs>
          <w:tab w:val="left" w:pos="360"/>
        </w:tabs>
        <w:jc w:val="center"/>
        <w:rPr>
          <w:b/>
          <w:smallCaps/>
          <w:sz w:val="24"/>
          <w:szCs w:val="24"/>
        </w:rPr>
      </w:pPr>
      <w:r w:rsidRPr="0033117F">
        <w:rPr>
          <w:b/>
          <w:sz w:val="24"/>
          <w:szCs w:val="24"/>
        </w:rPr>
        <w:t xml:space="preserve">(FR Y-16; OMB No. </w:t>
      </w:r>
      <w:r w:rsidR="001E2496">
        <w:rPr>
          <w:b/>
          <w:sz w:val="24"/>
          <w:szCs w:val="24"/>
        </w:rPr>
        <w:t>7100-0356</w:t>
      </w:r>
      <w:r w:rsidRPr="0033117F">
        <w:rPr>
          <w:b/>
          <w:sz w:val="24"/>
          <w:szCs w:val="24"/>
        </w:rPr>
        <w:t>)</w:t>
      </w:r>
    </w:p>
    <w:p w:rsidR="0033117F" w:rsidRDefault="0033117F" w:rsidP="003451DB">
      <w:pPr>
        <w:tabs>
          <w:tab w:val="left" w:pos="360"/>
        </w:tabs>
        <w:rPr>
          <w:b/>
          <w:color w:val="000000"/>
          <w:sz w:val="24"/>
          <w:szCs w:val="24"/>
        </w:rPr>
      </w:pPr>
    </w:p>
    <w:p w:rsidR="003451DB" w:rsidRPr="00840172" w:rsidRDefault="003451DB" w:rsidP="003451DB">
      <w:pPr>
        <w:tabs>
          <w:tab w:val="left" w:pos="360"/>
        </w:tabs>
        <w:rPr>
          <w:b/>
          <w:color w:val="000000"/>
          <w:sz w:val="24"/>
          <w:szCs w:val="24"/>
        </w:rPr>
      </w:pPr>
      <w:r w:rsidRPr="00840172">
        <w:rPr>
          <w:b/>
          <w:color w:val="000000"/>
          <w:sz w:val="24"/>
          <w:szCs w:val="24"/>
        </w:rPr>
        <w:t>Summary</w:t>
      </w:r>
    </w:p>
    <w:p w:rsidR="009552B5" w:rsidRPr="00840172" w:rsidRDefault="009552B5" w:rsidP="00175C39">
      <w:pPr>
        <w:ind w:firstLine="720"/>
        <w:rPr>
          <w:sz w:val="24"/>
          <w:szCs w:val="24"/>
        </w:rPr>
      </w:pPr>
    </w:p>
    <w:p w:rsidR="00175C39" w:rsidRPr="00840172" w:rsidRDefault="0033117F" w:rsidP="00175C39">
      <w:pPr>
        <w:ind w:firstLine="720"/>
        <w:rPr>
          <w:sz w:val="24"/>
          <w:szCs w:val="24"/>
        </w:rPr>
      </w:pPr>
      <w:r w:rsidRPr="00013E65">
        <w:rPr>
          <w:sz w:val="24"/>
          <w:szCs w:val="24"/>
        </w:rPr>
        <w:t>The Board of Governors of the Federal Reserve System</w:t>
      </w:r>
      <w:r>
        <w:rPr>
          <w:sz w:val="24"/>
          <w:szCs w:val="24"/>
        </w:rPr>
        <w:t xml:space="preserve"> (Board)</w:t>
      </w:r>
      <w:r w:rsidRPr="00013E65">
        <w:rPr>
          <w:sz w:val="24"/>
          <w:szCs w:val="24"/>
        </w:rPr>
        <w:t xml:space="preserve">, under delegated authority from the Office of Management and Budget (OMB), </w:t>
      </w:r>
      <w:r w:rsidRPr="00D142BE">
        <w:rPr>
          <w:sz w:val="24"/>
          <w:szCs w:val="24"/>
        </w:rPr>
        <w:t xml:space="preserve">proposes to </w:t>
      </w:r>
      <w:r w:rsidR="00C803FC" w:rsidRPr="00840172">
        <w:rPr>
          <w:sz w:val="24"/>
          <w:szCs w:val="24"/>
        </w:rPr>
        <w:t>implement the Annual Company-</w:t>
      </w:r>
      <w:r w:rsidR="008640E7" w:rsidRPr="00840172">
        <w:rPr>
          <w:sz w:val="24"/>
          <w:szCs w:val="24"/>
        </w:rPr>
        <w:t>R</w:t>
      </w:r>
      <w:r w:rsidR="00C803FC" w:rsidRPr="00840172">
        <w:rPr>
          <w:sz w:val="24"/>
          <w:szCs w:val="24"/>
        </w:rPr>
        <w:t>un Stress Test P</w:t>
      </w:r>
      <w:r w:rsidR="003451DB" w:rsidRPr="00840172">
        <w:rPr>
          <w:sz w:val="24"/>
          <w:szCs w:val="24"/>
        </w:rPr>
        <w:t xml:space="preserve">rojections </w:t>
      </w:r>
      <w:r w:rsidR="00392D02" w:rsidRPr="00840172">
        <w:rPr>
          <w:sz w:val="24"/>
          <w:szCs w:val="24"/>
        </w:rPr>
        <w:t>information</w:t>
      </w:r>
      <w:r w:rsidR="00C86194" w:rsidRPr="00840172">
        <w:rPr>
          <w:sz w:val="24"/>
          <w:szCs w:val="24"/>
        </w:rPr>
        <w:t xml:space="preserve"> </w:t>
      </w:r>
      <w:r w:rsidR="00C803FC" w:rsidRPr="00840172">
        <w:rPr>
          <w:sz w:val="24"/>
          <w:szCs w:val="24"/>
        </w:rPr>
        <w:t xml:space="preserve">collection </w:t>
      </w:r>
      <w:r w:rsidR="003451DB" w:rsidRPr="00840172">
        <w:rPr>
          <w:sz w:val="24"/>
          <w:szCs w:val="24"/>
        </w:rPr>
        <w:t>(FR Y-16</w:t>
      </w:r>
      <w:r w:rsidR="001235DD">
        <w:rPr>
          <w:sz w:val="24"/>
          <w:szCs w:val="24"/>
        </w:rPr>
        <w:t>;</w:t>
      </w:r>
      <w:r w:rsidR="003451DB" w:rsidRPr="00840172">
        <w:rPr>
          <w:sz w:val="24"/>
          <w:szCs w:val="24"/>
        </w:rPr>
        <w:t xml:space="preserve"> OMB No. </w:t>
      </w:r>
      <w:r w:rsidR="00300993">
        <w:rPr>
          <w:sz w:val="24"/>
          <w:szCs w:val="24"/>
        </w:rPr>
        <w:t>7100-0356</w:t>
      </w:r>
      <w:r w:rsidR="00175C39" w:rsidRPr="00840172">
        <w:rPr>
          <w:sz w:val="24"/>
          <w:szCs w:val="24"/>
        </w:rPr>
        <w:t>).  The respondent panel would include any bank holding company (BHC) or savings and loan holding company (SLHC)</w:t>
      </w:r>
      <w:r w:rsidR="00175C39" w:rsidRPr="00840172">
        <w:rPr>
          <w:rStyle w:val="FootnoteReference"/>
          <w:sz w:val="24"/>
          <w:szCs w:val="24"/>
          <w:vertAlign w:val="superscript"/>
        </w:rPr>
        <w:footnoteReference w:id="2"/>
      </w:r>
      <w:r w:rsidR="00AD18E7" w:rsidRPr="00840172">
        <w:rPr>
          <w:sz w:val="24"/>
          <w:szCs w:val="24"/>
        </w:rPr>
        <w:t xml:space="preserve"> w</w:t>
      </w:r>
      <w:r w:rsidR="00175C39" w:rsidRPr="00840172">
        <w:rPr>
          <w:sz w:val="24"/>
          <w:szCs w:val="24"/>
        </w:rPr>
        <w:t xml:space="preserve">ith average total consolidated assets of greater than $10 billion but less than $50 billion, and any </w:t>
      </w:r>
      <w:r w:rsidR="00C42A9B" w:rsidRPr="00840172">
        <w:rPr>
          <w:sz w:val="24"/>
          <w:szCs w:val="24"/>
        </w:rPr>
        <w:t xml:space="preserve">affiliated or unaffiliated </w:t>
      </w:r>
      <w:r w:rsidR="00175C39" w:rsidRPr="00840172">
        <w:rPr>
          <w:sz w:val="24"/>
          <w:szCs w:val="24"/>
        </w:rPr>
        <w:t>state member bank (SMB) that has average total consolidated assets of greater than $10 billion but less than $50 billion excluding SMB subsidiaries of covered companies</w:t>
      </w:r>
      <w:r w:rsidR="00392D02" w:rsidRPr="00840172">
        <w:rPr>
          <w:rStyle w:val="FootnoteReference"/>
          <w:sz w:val="24"/>
          <w:szCs w:val="24"/>
          <w:vertAlign w:val="superscript"/>
        </w:rPr>
        <w:footnoteReference w:id="3"/>
      </w:r>
      <w:r w:rsidR="00C86194" w:rsidRPr="00840172">
        <w:rPr>
          <w:sz w:val="24"/>
          <w:szCs w:val="24"/>
        </w:rPr>
        <w:t>.</w:t>
      </w:r>
      <w:r w:rsidR="00175C39" w:rsidRPr="00840172">
        <w:rPr>
          <w:sz w:val="24"/>
          <w:szCs w:val="24"/>
        </w:rPr>
        <w:t xml:space="preserve">  The initial respondent panel</w:t>
      </w:r>
      <w:r w:rsidR="00B10FF7" w:rsidRPr="00840172">
        <w:rPr>
          <w:rStyle w:val="FootnoteReference"/>
          <w:sz w:val="24"/>
          <w:szCs w:val="24"/>
          <w:vertAlign w:val="superscript"/>
        </w:rPr>
        <w:footnoteReference w:id="4"/>
      </w:r>
      <w:r w:rsidR="00175C39" w:rsidRPr="00840172">
        <w:rPr>
          <w:sz w:val="24"/>
          <w:szCs w:val="24"/>
        </w:rPr>
        <w:t xml:space="preserve"> </w:t>
      </w:r>
      <w:r w:rsidR="00FC309F" w:rsidRPr="00840172">
        <w:rPr>
          <w:sz w:val="24"/>
          <w:szCs w:val="24"/>
        </w:rPr>
        <w:t xml:space="preserve">of “other financial companies” </w:t>
      </w:r>
      <w:r w:rsidR="00175C39" w:rsidRPr="00840172">
        <w:rPr>
          <w:sz w:val="24"/>
          <w:szCs w:val="24"/>
        </w:rPr>
        <w:t xml:space="preserve">is expected to include </w:t>
      </w:r>
      <w:r w:rsidR="00392D02" w:rsidRPr="00840172">
        <w:rPr>
          <w:sz w:val="24"/>
          <w:szCs w:val="24"/>
        </w:rPr>
        <w:t>4</w:t>
      </w:r>
      <w:r w:rsidR="001235DD">
        <w:rPr>
          <w:sz w:val="24"/>
          <w:szCs w:val="24"/>
        </w:rPr>
        <w:t>3</w:t>
      </w:r>
      <w:r w:rsidR="00175C39" w:rsidRPr="00840172">
        <w:rPr>
          <w:sz w:val="24"/>
          <w:szCs w:val="24"/>
        </w:rPr>
        <w:t xml:space="preserve"> BHCs, </w:t>
      </w:r>
      <w:r w:rsidR="00392D02" w:rsidRPr="00840172">
        <w:rPr>
          <w:sz w:val="24"/>
          <w:szCs w:val="24"/>
        </w:rPr>
        <w:t xml:space="preserve">8 </w:t>
      </w:r>
      <w:r w:rsidR="00175C39" w:rsidRPr="00840172">
        <w:rPr>
          <w:sz w:val="24"/>
          <w:szCs w:val="24"/>
        </w:rPr>
        <w:t xml:space="preserve">SLHCs and </w:t>
      </w:r>
      <w:r w:rsidR="00392D02" w:rsidRPr="00840172">
        <w:rPr>
          <w:sz w:val="24"/>
          <w:szCs w:val="24"/>
        </w:rPr>
        <w:t>1</w:t>
      </w:r>
      <w:r w:rsidR="001235DD">
        <w:rPr>
          <w:sz w:val="24"/>
          <w:szCs w:val="24"/>
        </w:rPr>
        <w:t>1</w:t>
      </w:r>
      <w:r w:rsidR="00175C39" w:rsidRPr="00840172">
        <w:rPr>
          <w:sz w:val="24"/>
          <w:szCs w:val="24"/>
        </w:rPr>
        <w:t xml:space="preserve"> SMBs.</w:t>
      </w:r>
      <w:r w:rsidR="001052D0" w:rsidRPr="00840172">
        <w:rPr>
          <w:rStyle w:val="FootnoteReference"/>
          <w:sz w:val="24"/>
          <w:szCs w:val="24"/>
          <w:vertAlign w:val="superscript"/>
        </w:rPr>
        <w:footnoteReference w:id="5"/>
      </w:r>
    </w:p>
    <w:p w:rsidR="00392D02" w:rsidRPr="00840172" w:rsidRDefault="00392D02" w:rsidP="00392D02">
      <w:pPr>
        <w:ind w:firstLine="720"/>
        <w:rPr>
          <w:sz w:val="24"/>
          <w:szCs w:val="24"/>
        </w:rPr>
      </w:pPr>
    </w:p>
    <w:p w:rsidR="00392D02" w:rsidRPr="00840172" w:rsidRDefault="00392D02" w:rsidP="00392D02">
      <w:pPr>
        <w:ind w:firstLine="720"/>
        <w:rPr>
          <w:sz w:val="24"/>
          <w:szCs w:val="24"/>
        </w:rPr>
      </w:pPr>
      <w:r w:rsidRPr="00840172">
        <w:rPr>
          <w:sz w:val="24"/>
          <w:szCs w:val="24"/>
        </w:rPr>
        <w:t>In October 2012</w:t>
      </w:r>
      <w:r w:rsidR="004904E1" w:rsidRPr="00840172">
        <w:rPr>
          <w:sz w:val="24"/>
          <w:szCs w:val="24"/>
        </w:rPr>
        <w:t>,</w:t>
      </w:r>
      <w:r w:rsidRPr="00840172">
        <w:rPr>
          <w:sz w:val="24"/>
          <w:szCs w:val="24"/>
        </w:rPr>
        <w:t xml:space="preserve"> the Federal Reserve Board approved two final rules for capital stress testing requirements pursuant </w:t>
      </w:r>
      <w:r w:rsidR="00C42900">
        <w:rPr>
          <w:sz w:val="24"/>
          <w:szCs w:val="24"/>
        </w:rPr>
        <w:t xml:space="preserve">to </w:t>
      </w:r>
      <w:r w:rsidRPr="00840172">
        <w:rPr>
          <w:sz w:val="24"/>
          <w:szCs w:val="24"/>
        </w:rPr>
        <w:t>the Dodd-Frank Wall Street Reform and Consumer Protection Act (Dodd-Frank Act).  The final rules implemented the Dodd-Frank Act Stress Testing (DFAST) requirements, one for “covered companies”</w:t>
      </w:r>
      <w:r w:rsidRPr="00840172">
        <w:rPr>
          <w:rStyle w:val="FootnoteReference"/>
          <w:sz w:val="24"/>
          <w:szCs w:val="24"/>
          <w:vertAlign w:val="superscript"/>
        </w:rPr>
        <w:t xml:space="preserve"> </w:t>
      </w:r>
      <w:r w:rsidRPr="00840172">
        <w:rPr>
          <w:sz w:val="24"/>
          <w:szCs w:val="24"/>
        </w:rPr>
        <w:t>and one for “other financial companies.”  The Federal Deposit Insurance Corporation (FDIC) and</w:t>
      </w:r>
      <w:r w:rsidR="008B7BB6">
        <w:rPr>
          <w:sz w:val="24"/>
          <w:szCs w:val="24"/>
        </w:rPr>
        <w:t xml:space="preserve"> the</w:t>
      </w:r>
      <w:r w:rsidRPr="00840172">
        <w:rPr>
          <w:sz w:val="24"/>
          <w:szCs w:val="24"/>
        </w:rPr>
        <w:t xml:space="preserve"> Office of the Comptroller of the Currency (OCC) also issued final rules for DFAST in October 2012 that are nearly identical to the requirements for “other financial companies” issued by the Federal Reserve Board. </w:t>
      </w:r>
    </w:p>
    <w:p w:rsidR="003451DB" w:rsidRPr="00840172" w:rsidRDefault="00C803FC" w:rsidP="003451DB">
      <w:pPr>
        <w:spacing w:before="240"/>
        <w:ind w:firstLine="720"/>
        <w:rPr>
          <w:sz w:val="24"/>
          <w:szCs w:val="24"/>
        </w:rPr>
      </w:pPr>
      <w:r w:rsidRPr="00840172">
        <w:rPr>
          <w:sz w:val="24"/>
          <w:szCs w:val="24"/>
        </w:rPr>
        <w:t xml:space="preserve">This proposed </w:t>
      </w:r>
      <w:r w:rsidR="00392D02" w:rsidRPr="00840172">
        <w:rPr>
          <w:sz w:val="24"/>
          <w:szCs w:val="24"/>
        </w:rPr>
        <w:t>information</w:t>
      </w:r>
      <w:r w:rsidR="00DE0DD6" w:rsidRPr="00840172">
        <w:rPr>
          <w:sz w:val="24"/>
          <w:szCs w:val="24"/>
        </w:rPr>
        <w:t xml:space="preserve"> </w:t>
      </w:r>
      <w:r w:rsidRPr="00840172">
        <w:rPr>
          <w:sz w:val="24"/>
          <w:szCs w:val="24"/>
        </w:rPr>
        <w:t>collection is</w:t>
      </w:r>
      <w:r w:rsidR="003451DB" w:rsidRPr="00840172">
        <w:rPr>
          <w:sz w:val="24"/>
          <w:szCs w:val="24"/>
        </w:rPr>
        <w:t xml:space="preserve"> required under Section 165(i)(2) of the </w:t>
      </w:r>
      <w:r w:rsidRPr="00840172">
        <w:rPr>
          <w:sz w:val="24"/>
          <w:szCs w:val="24"/>
        </w:rPr>
        <w:t xml:space="preserve">Dodd-Frank Act and </w:t>
      </w:r>
      <w:r w:rsidR="003451DB" w:rsidRPr="00840172">
        <w:rPr>
          <w:sz w:val="24"/>
          <w:szCs w:val="24"/>
        </w:rPr>
        <w:t xml:space="preserve">the Federal Reserve’s final rule on annual company-run stress tests for organizations with total consolidated assets over $10 billion </w:t>
      </w:r>
      <w:r w:rsidRPr="00840172">
        <w:rPr>
          <w:sz w:val="24"/>
          <w:szCs w:val="24"/>
        </w:rPr>
        <w:t>(</w:t>
      </w:r>
      <w:r w:rsidR="003451DB" w:rsidRPr="00840172">
        <w:rPr>
          <w:sz w:val="24"/>
          <w:szCs w:val="24"/>
        </w:rPr>
        <w:t>other than covered companies</w:t>
      </w:r>
      <w:r w:rsidRPr="00840172">
        <w:rPr>
          <w:sz w:val="24"/>
          <w:szCs w:val="24"/>
        </w:rPr>
        <w:t>)</w:t>
      </w:r>
      <w:r w:rsidR="003451DB" w:rsidRPr="00840172">
        <w:rPr>
          <w:sz w:val="24"/>
          <w:szCs w:val="24"/>
        </w:rPr>
        <w:t xml:space="preserve">, which was published in the </w:t>
      </w:r>
      <w:r w:rsidR="003451DB" w:rsidRPr="00840172">
        <w:rPr>
          <w:i/>
          <w:sz w:val="24"/>
          <w:szCs w:val="24"/>
        </w:rPr>
        <w:t>Federal Register</w:t>
      </w:r>
      <w:r w:rsidR="003451DB" w:rsidRPr="00840172">
        <w:rPr>
          <w:sz w:val="24"/>
          <w:szCs w:val="24"/>
        </w:rPr>
        <w:t xml:space="preserve"> on October 12, 2012 (77 FR 62396) (12 C.F.R. Part 252, Subpart H).  The annual FR Y-16 would collect quantitative projections of balance sheet, income, losses, and capital across three scenarios (baseline, adverse, and severely adverse) </w:t>
      </w:r>
      <w:r w:rsidR="003451DB" w:rsidRPr="00840172">
        <w:rPr>
          <w:sz w:val="24"/>
          <w:szCs w:val="24"/>
        </w:rPr>
        <w:lastRenderedPageBreak/>
        <w:t>and qualitative information on methodologies used to develop internal projections of capital across these scenarios.</w:t>
      </w:r>
      <w:r w:rsidR="003A61C6" w:rsidRPr="00840172">
        <w:rPr>
          <w:sz w:val="24"/>
          <w:szCs w:val="24"/>
        </w:rPr>
        <w:t xml:space="preserve">  Each of the banking agencies </w:t>
      </w:r>
      <w:r w:rsidR="002A345E" w:rsidRPr="00840172">
        <w:rPr>
          <w:sz w:val="24"/>
          <w:szCs w:val="24"/>
        </w:rPr>
        <w:t>is</w:t>
      </w:r>
      <w:r w:rsidR="003A61C6" w:rsidRPr="00840172">
        <w:rPr>
          <w:sz w:val="24"/>
          <w:szCs w:val="24"/>
        </w:rPr>
        <w:t xml:space="preserve"> developing </w:t>
      </w:r>
      <w:r w:rsidR="002A345E" w:rsidRPr="00840172">
        <w:rPr>
          <w:sz w:val="24"/>
          <w:szCs w:val="24"/>
        </w:rPr>
        <w:t>its</w:t>
      </w:r>
      <w:r w:rsidR="003A61C6" w:rsidRPr="00840172">
        <w:rPr>
          <w:sz w:val="24"/>
          <w:szCs w:val="24"/>
        </w:rPr>
        <w:t xml:space="preserve"> own reporting templates for the institutions they supervise, and each agency </w:t>
      </w:r>
      <w:r w:rsidR="00873DC9" w:rsidRPr="00840172">
        <w:rPr>
          <w:sz w:val="24"/>
          <w:szCs w:val="24"/>
        </w:rPr>
        <w:t xml:space="preserve">plans to </w:t>
      </w:r>
      <w:r w:rsidR="003A61C6" w:rsidRPr="00840172">
        <w:rPr>
          <w:sz w:val="24"/>
          <w:szCs w:val="24"/>
        </w:rPr>
        <w:t xml:space="preserve">publish its own </w:t>
      </w:r>
      <w:r w:rsidR="00F40DCE" w:rsidRPr="00840172">
        <w:rPr>
          <w:sz w:val="24"/>
          <w:szCs w:val="24"/>
        </w:rPr>
        <w:t xml:space="preserve">proposal in the </w:t>
      </w:r>
      <w:r w:rsidR="00F40DCE" w:rsidRPr="00840172">
        <w:rPr>
          <w:i/>
          <w:sz w:val="24"/>
          <w:szCs w:val="24"/>
        </w:rPr>
        <w:t>Federal Register</w:t>
      </w:r>
      <w:r w:rsidR="00F40DCE" w:rsidRPr="00840172">
        <w:rPr>
          <w:sz w:val="24"/>
          <w:szCs w:val="24"/>
        </w:rPr>
        <w:t>.  The banking agencies have committed to develop</w:t>
      </w:r>
      <w:r w:rsidR="00D95610" w:rsidRPr="00840172">
        <w:rPr>
          <w:sz w:val="24"/>
          <w:szCs w:val="24"/>
        </w:rPr>
        <w:t>ing</w:t>
      </w:r>
      <w:r w:rsidR="00F40DCE" w:rsidRPr="00840172">
        <w:rPr>
          <w:sz w:val="24"/>
          <w:szCs w:val="24"/>
        </w:rPr>
        <w:t xml:space="preserve"> very similar, if not </w:t>
      </w:r>
      <w:r w:rsidR="00AD18E7" w:rsidRPr="00840172">
        <w:rPr>
          <w:sz w:val="24"/>
          <w:szCs w:val="24"/>
        </w:rPr>
        <w:t>identical, reporting templates.</w:t>
      </w:r>
    </w:p>
    <w:p w:rsidR="003451DB" w:rsidRPr="00840172" w:rsidRDefault="003451DB" w:rsidP="003451DB">
      <w:pPr>
        <w:rPr>
          <w:sz w:val="24"/>
          <w:szCs w:val="24"/>
        </w:rPr>
      </w:pPr>
    </w:p>
    <w:p w:rsidR="003451DB" w:rsidRPr="00840172" w:rsidRDefault="003451DB" w:rsidP="003451DB">
      <w:pPr>
        <w:ind w:firstLine="720"/>
        <w:rPr>
          <w:sz w:val="24"/>
          <w:szCs w:val="24"/>
        </w:rPr>
      </w:pPr>
      <w:r w:rsidRPr="00840172">
        <w:rPr>
          <w:sz w:val="24"/>
          <w:szCs w:val="24"/>
        </w:rPr>
        <w:t xml:space="preserve">  The total annual burden for </w:t>
      </w:r>
      <w:r w:rsidR="00501F97" w:rsidRPr="00840172">
        <w:rPr>
          <w:sz w:val="24"/>
          <w:szCs w:val="24"/>
        </w:rPr>
        <w:t xml:space="preserve">the </w:t>
      </w:r>
      <w:r w:rsidRPr="00840172">
        <w:rPr>
          <w:sz w:val="24"/>
          <w:szCs w:val="24"/>
        </w:rPr>
        <w:t xml:space="preserve">FR Y-16 is estimated to be </w:t>
      </w:r>
      <w:r w:rsidR="00175C39" w:rsidRPr="00840172">
        <w:rPr>
          <w:sz w:val="24"/>
          <w:szCs w:val="24"/>
        </w:rPr>
        <w:t xml:space="preserve">28,768 hours.  The initial implementation burden is estimated to be </w:t>
      </w:r>
      <w:r w:rsidR="000A37EF" w:rsidRPr="00840172">
        <w:rPr>
          <w:sz w:val="24"/>
          <w:szCs w:val="24"/>
        </w:rPr>
        <w:t>223,200</w:t>
      </w:r>
      <w:r w:rsidRPr="00840172">
        <w:rPr>
          <w:sz w:val="24"/>
          <w:szCs w:val="24"/>
        </w:rPr>
        <w:t xml:space="preserve"> hours.</w:t>
      </w:r>
      <w:r w:rsidR="000B0B62" w:rsidRPr="00840172">
        <w:rPr>
          <w:sz w:val="24"/>
          <w:szCs w:val="24"/>
        </w:rPr>
        <w:t xml:space="preserve">  The proposed </w:t>
      </w:r>
      <w:r w:rsidR="00392D02" w:rsidRPr="00840172">
        <w:rPr>
          <w:sz w:val="24"/>
          <w:szCs w:val="24"/>
        </w:rPr>
        <w:t>reporting form</w:t>
      </w:r>
      <w:r w:rsidR="000B0B62" w:rsidRPr="00840172">
        <w:rPr>
          <w:sz w:val="24"/>
          <w:szCs w:val="24"/>
        </w:rPr>
        <w:t xml:space="preserve"> and instructions are provided in the attachments.</w:t>
      </w:r>
    </w:p>
    <w:p w:rsidR="000B0B62" w:rsidRPr="00840172" w:rsidRDefault="000B0B62" w:rsidP="003451DB">
      <w:pPr>
        <w:rPr>
          <w:rFonts w:eastAsiaTheme="minorHAnsi"/>
          <w:sz w:val="24"/>
          <w:szCs w:val="24"/>
        </w:rPr>
      </w:pPr>
    </w:p>
    <w:p w:rsidR="003451DB" w:rsidRPr="00840172" w:rsidRDefault="003451DB" w:rsidP="003451DB">
      <w:pPr>
        <w:rPr>
          <w:b/>
          <w:sz w:val="24"/>
          <w:szCs w:val="24"/>
        </w:rPr>
      </w:pPr>
      <w:r w:rsidRPr="00840172">
        <w:rPr>
          <w:b/>
          <w:sz w:val="24"/>
          <w:szCs w:val="24"/>
        </w:rPr>
        <w:t>Background and Justification</w:t>
      </w:r>
    </w:p>
    <w:p w:rsidR="003451DB" w:rsidRPr="00840172" w:rsidRDefault="003451DB" w:rsidP="003451DB">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szCs w:val="24"/>
        </w:rPr>
      </w:pPr>
    </w:p>
    <w:p w:rsidR="003451DB" w:rsidRPr="00840172" w:rsidRDefault="003451DB" w:rsidP="003451DB">
      <w:pPr>
        <w:ind w:firstLine="720"/>
        <w:rPr>
          <w:color w:val="000000"/>
          <w:sz w:val="24"/>
          <w:szCs w:val="24"/>
        </w:rPr>
      </w:pPr>
      <w:r w:rsidRPr="00840172">
        <w:rPr>
          <w:sz w:val="24"/>
          <w:szCs w:val="24"/>
        </w:rPr>
        <w:t xml:space="preserve">On October 12, 2012, the Federal Reserve published a final rule in the </w:t>
      </w:r>
      <w:r w:rsidRPr="00840172">
        <w:rPr>
          <w:i/>
          <w:sz w:val="24"/>
          <w:szCs w:val="24"/>
        </w:rPr>
        <w:t>Federal Register</w:t>
      </w:r>
      <w:r w:rsidRPr="00840172">
        <w:rPr>
          <w:sz w:val="24"/>
          <w:szCs w:val="24"/>
        </w:rPr>
        <w:t xml:space="preserve"> (77 FR 62396) (12 C.F.R. Part 252, Subpart H) outlining the annual company-run stress testing requirements for banking organizations with total consolidated assets over $10 billion other than covered companies.  The rule implements the company-run stress testing requirement promulgated by</w:t>
      </w:r>
      <w:r w:rsidRPr="00840172">
        <w:rPr>
          <w:color w:val="000000"/>
          <w:sz w:val="24"/>
          <w:szCs w:val="24"/>
        </w:rPr>
        <w:t xml:space="preserve"> the Dodd-Frank Act, Pub. L. No. 111-203, </w:t>
      </w:r>
      <w:r w:rsidR="00AD18E7" w:rsidRPr="00840172">
        <w:rPr>
          <w:color w:val="000000"/>
          <w:sz w:val="24"/>
          <w:szCs w:val="24"/>
        </w:rPr>
        <w:t>§</w:t>
      </w:r>
      <w:r w:rsidRPr="00840172">
        <w:rPr>
          <w:color w:val="000000"/>
          <w:sz w:val="24"/>
          <w:szCs w:val="24"/>
        </w:rPr>
        <w:t> 165(i</w:t>
      </w:r>
      <w:proofErr w:type="gramStart"/>
      <w:r w:rsidRPr="00840172">
        <w:rPr>
          <w:color w:val="000000"/>
          <w:sz w:val="24"/>
          <w:szCs w:val="24"/>
        </w:rPr>
        <w:t>)(</w:t>
      </w:r>
      <w:proofErr w:type="gramEnd"/>
      <w:r w:rsidRPr="00840172">
        <w:rPr>
          <w:color w:val="000000"/>
          <w:sz w:val="24"/>
          <w:szCs w:val="24"/>
        </w:rPr>
        <w:t>2).  Under the f</w:t>
      </w:r>
      <w:r w:rsidR="007150E4" w:rsidRPr="00840172">
        <w:rPr>
          <w:color w:val="000000"/>
          <w:sz w:val="24"/>
          <w:szCs w:val="24"/>
        </w:rPr>
        <w:t>inal rule a BHC</w:t>
      </w:r>
      <w:r w:rsidRPr="00840172">
        <w:rPr>
          <w:color w:val="000000"/>
          <w:sz w:val="24"/>
          <w:szCs w:val="24"/>
        </w:rPr>
        <w:t xml:space="preserve">, </w:t>
      </w:r>
      <w:r w:rsidR="007150E4" w:rsidRPr="00840172">
        <w:rPr>
          <w:color w:val="000000"/>
          <w:sz w:val="24"/>
          <w:szCs w:val="24"/>
        </w:rPr>
        <w:t>SLHC</w:t>
      </w:r>
      <w:r w:rsidRPr="00840172">
        <w:rPr>
          <w:color w:val="000000"/>
          <w:sz w:val="24"/>
          <w:szCs w:val="24"/>
        </w:rPr>
        <w:t>, or a</w:t>
      </w:r>
      <w:r w:rsidR="004904E1" w:rsidRPr="00840172">
        <w:rPr>
          <w:color w:val="000000"/>
          <w:sz w:val="24"/>
          <w:szCs w:val="24"/>
        </w:rPr>
        <w:t>n</w:t>
      </w:r>
      <w:r w:rsidRPr="00840172">
        <w:rPr>
          <w:color w:val="000000"/>
          <w:sz w:val="24"/>
          <w:szCs w:val="24"/>
        </w:rPr>
        <w:t xml:space="preserve"> SMB that meets the asset threshold will be required to conduct an annual stress test using scenarios provided by the Board.</w:t>
      </w:r>
      <w:r w:rsidRPr="00840172">
        <w:rPr>
          <w:rStyle w:val="FootnoteReference"/>
          <w:color w:val="000000"/>
          <w:sz w:val="24"/>
          <w:szCs w:val="24"/>
          <w:vertAlign w:val="superscript"/>
        </w:rPr>
        <w:footnoteReference w:id="6"/>
      </w:r>
    </w:p>
    <w:p w:rsidR="003451DB" w:rsidRPr="00840172" w:rsidRDefault="003451DB" w:rsidP="003451DB">
      <w:pPr>
        <w:rPr>
          <w:color w:val="000000"/>
          <w:sz w:val="24"/>
          <w:szCs w:val="24"/>
        </w:rPr>
      </w:pPr>
    </w:p>
    <w:p w:rsidR="003451DB" w:rsidRPr="00840172" w:rsidRDefault="000A37EF" w:rsidP="001A5DD1">
      <w:pPr>
        <w:ind w:firstLine="720"/>
        <w:rPr>
          <w:sz w:val="24"/>
          <w:szCs w:val="24"/>
        </w:rPr>
      </w:pPr>
      <w:r w:rsidRPr="00840172">
        <w:rPr>
          <w:color w:val="000000"/>
          <w:sz w:val="24"/>
          <w:szCs w:val="24"/>
        </w:rPr>
        <w:t>Under the final rule, r</w:t>
      </w:r>
      <w:r w:rsidR="003451DB" w:rsidRPr="00840172">
        <w:rPr>
          <w:color w:val="000000"/>
          <w:sz w:val="24"/>
          <w:szCs w:val="24"/>
        </w:rPr>
        <w:t>esults of the company-run annual stress test must be reported to the Federal Reserve by March 31</w:t>
      </w:r>
      <w:r w:rsidR="00C53FF2" w:rsidRPr="00840172">
        <w:rPr>
          <w:color w:val="000000"/>
          <w:sz w:val="24"/>
          <w:szCs w:val="24"/>
          <w:vertAlign w:val="superscript"/>
        </w:rPr>
        <w:t>st</w:t>
      </w:r>
      <w:r w:rsidR="007150E4" w:rsidRPr="00840172">
        <w:rPr>
          <w:color w:val="000000"/>
          <w:sz w:val="24"/>
          <w:szCs w:val="24"/>
        </w:rPr>
        <w:t xml:space="preserve"> of each year</w:t>
      </w:r>
      <w:r w:rsidR="003451DB" w:rsidRPr="00840172">
        <w:rPr>
          <w:color w:val="000000"/>
          <w:sz w:val="24"/>
          <w:szCs w:val="24"/>
        </w:rPr>
        <w:t xml:space="preserve">.  As required by the Dodd-Frank Act, the final rule requires each </w:t>
      </w:r>
      <w:r w:rsidR="007150E4" w:rsidRPr="00840172">
        <w:rPr>
          <w:color w:val="000000"/>
          <w:sz w:val="24"/>
          <w:szCs w:val="24"/>
        </w:rPr>
        <w:t>BHC</w:t>
      </w:r>
      <w:r w:rsidR="003451DB" w:rsidRPr="00840172">
        <w:rPr>
          <w:color w:val="000000"/>
          <w:sz w:val="24"/>
          <w:szCs w:val="24"/>
        </w:rPr>
        <w:t xml:space="preserve">, SMB, </w:t>
      </w:r>
      <w:r w:rsidR="007150E4" w:rsidRPr="00840172">
        <w:rPr>
          <w:color w:val="000000"/>
          <w:sz w:val="24"/>
          <w:szCs w:val="24"/>
        </w:rPr>
        <w:t>and SLHC</w:t>
      </w:r>
      <w:r w:rsidR="003451DB" w:rsidRPr="00840172">
        <w:rPr>
          <w:color w:val="000000"/>
          <w:sz w:val="24"/>
          <w:szCs w:val="24"/>
        </w:rPr>
        <w:t xml:space="preserve"> to report the results of the stress tests conducted by the company in the manner and form prescribed by the Board.  </w:t>
      </w:r>
      <w:r w:rsidR="004461A4" w:rsidRPr="00840172">
        <w:rPr>
          <w:color w:val="000000"/>
          <w:sz w:val="24"/>
          <w:szCs w:val="24"/>
        </w:rPr>
        <w:t>Under the rule, t</w:t>
      </w:r>
      <w:r w:rsidR="003451DB" w:rsidRPr="00840172">
        <w:rPr>
          <w:color w:val="000000"/>
          <w:sz w:val="24"/>
          <w:szCs w:val="24"/>
        </w:rPr>
        <w:t>he Board may also request supplemental information, as needed.</w:t>
      </w:r>
    </w:p>
    <w:p w:rsidR="003451DB" w:rsidRPr="00840172" w:rsidRDefault="003451DB" w:rsidP="003451DB">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eastAsiaTheme="minorHAnsi" w:hAnsi="Times New Roman"/>
          <w:szCs w:val="24"/>
          <w:highlight w:val="yellow"/>
        </w:rPr>
      </w:pPr>
    </w:p>
    <w:p w:rsidR="003451DB" w:rsidRPr="001668EC" w:rsidRDefault="003451DB" w:rsidP="003451DB">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rPr>
          <w:rFonts w:ascii="Times New Roman" w:hAnsi="Times New Roman"/>
          <w:szCs w:val="24"/>
        </w:rPr>
      </w:pPr>
      <w:r w:rsidRPr="00840172">
        <w:rPr>
          <w:rFonts w:ascii="Times New Roman" w:hAnsi="Times New Roman"/>
          <w:szCs w:val="24"/>
        </w:rPr>
        <w:t xml:space="preserve">Information received in the FR Y-16 report would be used to form supervisory assessments of how effectively these banking organizations internally plan for their capital needs, identify risk, and measure and assess their own capital </w:t>
      </w:r>
      <w:r w:rsidR="004461A4" w:rsidRPr="00840172">
        <w:rPr>
          <w:rFonts w:ascii="Times New Roman" w:hAnsi="Times New Roman"/>
          <w:szCs w:val="24"/>
        </w:rPr>
        <w:t xml:space="preserve">adequacy.  </w:t>
      </w:r>
      <w:r w:rsidR="00AA23B3" w:rsidRPr="00840172">
        <w:rPr>
          <w:rFonts w:ascii="Times New Roman" w:hAnsi="Times New Roman"/>
          <w:color w:val="000000"/>
          <w:szCs w:val="24"/>
        </w:rPr>
        <w:t>D</w:t>
      </w:r>
      <w:r w:rsidR="004461A4" w:rsidRPr="00840172">
        <w:rPr>
          <w:rFonts w:ascii="Times New Roman" w:hAnsi="Times New Roman"/>
          <w:color w:val="000000"/>
          <w:szCs w:val="24"/>
        </w:rPr>
        <w:t>ata collected on the FR Y-16</w:t>
      </w:r>
      <w:r w:rsidR="004461A4" w:rsidRPr="00840172" w:rsidDel="00EE08DF">
        <w:rPr>
          <w:rFonts w:ascii="Times New Roman" w:hAnsi="Times New Roman"/>
          <w:color w:val="000000"/>
          <w:szCs w:val="24"/>
        </w:rPr>
        <w:t xml:space="preserve"> </w:t>
      </w:r>
      <w:r w:rsidR="004461A4" w:rsidRPr="00840172">
        <w:rPr>
          <w:rFonts w:ascii="Times New Roman" w:hAnsi="Times New Roman"/>
          <w:color w:val="000000"/>
          <w:szCs w:val="24"/>
        </w:rPr>
        <w:t xml:space="preserve">report would provide the Federal Reserve with the additional information and perspective needed to help assess how these banking organizations manage their capital relative </w:t>
      </w:r>
      <w:r w:rsidR="004461A4" w:rsidRPr="001668EC">
        <w:rPr>
          <w:rFonts w:ascii="Times New Roman" w:hAnsi="Times New Roman"/>
          <w:color w:val="000000"/>
          <w:szCs w:val="24"/>
        </w:rPr>
        <w:t>to the unique nuances of each company’s risk profile.  Information gathe</w:t>
      </w:r>
      <w:r w:rsidR="00C53FF2" w:rsidRPr="001668EC">
        <w:rPr>
          <w:rFonts w:ascii="Times New Roman" w:hAnsi="Times New Roman"/>
          <w:color w:val="000000"/>
          <w:szCs w:val="24"/>
        </w:rPr>
        <w:t>red in this data collection would</w:t>
      </w:r>
      <w:r w:rsidR="004461A4" w:rsidRPr="001668EC">
        <w:rPr>
          <w:rFonts w:ascii="Times New Roman" w:hAnsi="Times New Roman"/>
          <w:color w:val="000000"/>
          <w:szCs w:val="24"/>
        </w:rPr>
        <w:t xml:space="preserve"> also be used in connection with </w:t>
      </w:r>
      <w:r w:rsidR="00AA23B3" w:rsidRPr="001668EC">
        <w:rPr>
          <w:rFonts w:ascii="Times New Roman" w:hAnsi="Times New Roman"/>
          <w:color w:val="000000"/>
          <w:szCs w:val="24"/>
        </w:rPr>
        <w:t xml:space="preserve">the Federal Reserve’s </w:t>
      </w:r>
      <w:r w:rsidR="004461A4" w:rsidRPr="001668EC">
        <w:rPr>
          <w:rFonts w:ascii="Times New Roman" w:hAnsi="Times New Roman"/>
          <w:color w:val="000000"/>
          <w:szCs w:val="24"/>
        </w:rPr>
        <w:t>supervision and regulation of these financial institutions.</w:t>
      </w:r>
    </w:p>
    <w:p w:rsidR="003451DB" w:rsidRPr="001668EC" w:rsidRDefault="003451DB" w:rsidP="003451DB">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szCs w:val="24"/>
        </w:rPr>
      </w:pPr>
    </w:p>
    <w:p w:rsidR="003451DB" w:rsidRPr="001668EC" w:rsidRDefault="003451DB" w:rsidP="003451DB">
      <w:pPr>
        <w:rPr>
          <w:b/>
          <w:sz w:val="24"/>
          <w:szCs w:val="24"/>
        </w:rPr>
      </w:pPr>
      <w:r w:rsidRPr="001668EC">
        <w:rPr>
          <w:b/>
          <w:sz w:val="24"/>
          <w:szCs w:val="24"/>
        </w:rPr>
        <w:t>Description of Information Collection</w:t>
      </w:r>
    </w:p>
    <w:p w:rsidR="001668EC" w:rsidRPr="001668EC" w:rsidRDefault="001668EC" w:rsidP="001668EC">
      <w:pPr>
        <w:spacing w:before="240"/>
        <w:ind w:firstLine="720"/>
        <w:rPr>
          <w:color w:val="000000"/>
          <w:sz w:val="24"/>
          <w:szCs w:val="24"/>
        </w:rPr>
      </w:pPr>
      <w:r w:rsidRPr="001668EC">
        <w:rPr>
          <w:sz w:val="24"/>
          <w:szCs w:val="24"/>
        </w:rPr>
        <w:t xml:space="preserve">The proposed annual FR Y-16 reporting form would collect data through three primary schedules:  (1) Results Schedule (which includes the quantitative results of the stress tests under the baseline, adverse, and severely adverse scenarios </w:t>
      </w:r>
      <w:r w:rsidRPr="001668EC">
        <w:rPr>
          <w:color w:val="000000"/>
          <w:sz w:val="24"/>
          <w:szCs w:val="24"/>
        </w:rPr>
        <w:t xml:space="preserve">for each quarter of the planning horizon: i.e.; aggregate losses, pre-provision net revenue, provision for loan and lease losses, net income, and pro forma capital ratios (including regulatory and any other capital ratios specified by the </w:t>
      </w:r>
      <w:r w:rsidRPr="001668EC">
        <w:rPr>
          <w:color w:val="000000"/>
          <w:sz w:val="24"/>
          <w:szCs w:val="24"/>
        </w:rPr>
        <w:lastRenderedPageBreak/>
        <w:t>Board</w:t>
      </w:r>
      <w:r w:rsidRPr="001668EC">
        <w:rPr>
          <w:sz w:val="24"/>
          <w:szCs w:val="24"/>
        </w:rPr>
        <w:t xml:space="preserve">)), (2) Scenario Variables Schedule, and (3) Contact Information Schedule.  </w:t>
      </w:r>
      <w:r w:rsidRPr="001668EC">
        <w:rPr>
          <w:color w:val="000000"/>
          <w:sz w:val="24"/>
          <w:szCs w:val="24"/>
        </w:rPr>
        <w:t>The supplemental report of the results of the stress test, as required under the Board’s rule, would include, the following qualitative information under the baseline, adverse, and severely adverse scenarios:</w:t>
      </w:r>
    </w:p>
    <w:p w:rsidR="001668EC" w:rsidRPr="001668EC" w:rsidRDefault="001668EC" w:rsidP="001668EC">
      <w:pPr>
        <w:pStyle w:val="ListParagraph"/>
        <w:numPr>
          <w:ilvl w:val="0"/>
          <w:numId w:val="3"/>
        </w:numPr>
        <w:ind w:left="360"/>
        <w:rPr>
          <w:rFonts w:ascii="Times New Roman" w:hAnsi="Times New Roman" w:cs="Times New Roman"/>
          <w:sz w:val="24"/>
          <w:szCs w:val="24"/>
        </w:rPr>
      </w:pPr>
      <w:r w:rsidRPr="001668EC">
        <w:rPr>
          <w:rFonts w:ascii="Times New Roman" w:hAnsi="Times New Roman" w:cs="Times New Roman"/>
          <w:color w:val="000000"/>
          <w:sz w:val="24"/>
          <w:szCs w:val="24"/>
        </w:rPr>
        <w:t>a description of the types of risks included in the stress test;</w:t>
      </w:r>
    </w:p>
    <w:p w:rsidR="001668EC" w:rsidRPr="001668EC" w:rsidRDefault="001668EC" w:rsidP="001668EC">
      <w:pPr>
        <w:pStyle w:val="ListParagraph"/>
        <w:numPr>
          <w:ilvl w:val="0"/>
          <w:numId w:val="3"/>
        </w:numPr>
        <w:ind w:left="360"/>
        <w:rPr>
          <w:rFonts w:ascii="Times New Roman" w:hAnsi="Times New Roman" w:cs="Times New Roman"/>
          <w:sz w:val="24"/>
          <w:szCs w:val="24"/>
        </w:rPr>
      </w:pPr>
      <w:r w:rsidRPr="001668EC">
        <w:rPr>
          <w:rFonts w:ascii="Times New Roman" w:hAnsi="Times New Roman" w:cs="Times New Roman"/>
          <w:color w:val="000000"/>
          <w:sz w:val="24"/>
          <w:szCs w:val="24"/>
        </w:rPr>
        <w:t>a summary description of the methodologies used in the stress test;</w:t>
      </w:r>
    </w:p>
    <w:p w:rsidR="001668EC" w:rsidRPr="001668EC" w:rsidRDefault="001668EC" w:rsidP="001668EC">
      <w:pPr>
        <w:pStyle w:val="ListParagraph"/>
        <w:numPr>
          <w:ilvl w:val="0"/>
          <w:numId w:val="3"/>
        </w:numPr>
        <w:ind w:left="360"/>
        <w:rPr>
          <w:rFonts w:ascii="Times New Roman" w:hAnsi="Times New Roman" w:cs="Times New Roman"/>
          <w:sz w:val="24"/>
          <w:szCs w:val="24"/>
        </w:rPr>
      </w:pPr>
      <w:r w:rsidRPr="001668EC">
        <w:rPr>
          <w:rFonts w:ascii="Times New Roman" w:hAnsi="Times New Roman" w:cs="Times New Roman"/>
          <w:color w:val="000000"/>
          <w:sz w:val="24"/>
          <w:szCs w:val="24"/>
        </w:rPr>
        <w:t xml:space="preserve">an explanation of the most significant causes for the changes in regulatory capital ratios, and </w:t>
      </w:r>
    </w:p>
    <w:p w:rsidR="001668EC" w:rsidRPr="001668EC" w:rsidRDefault="001668EC" w:rsidP="001668EC">
      <w:pPr>
        <w:pStyle w:val="ListParagraph"/>
        <w:numPr>
          <w:ilvl w:val="0"/>
          <w:numId w:val="3"/>
        </w:numPr>
        <w:ind w:left="360"/>
        <w:rPr>
          <w:rFonts w:ascii="Times New Roman" w:hAnsi="Times New Roman" w:cs="Times New Roman"/>
          <w:sz w:val="24"/>
          <w:szCs w:val="24"/>
        </w:rPr>
      </w:pPr>
      <w:proofErr w:type="gramStart"/>
      <w:r w:rsidRPr="001668EC">
        <w:rPr>
          <w:rFonts w:ascii="Times New Roman" w:hAnsi="Times New Roman" w:cs="Times New Roman"/>
          <w:color w:val="000000"/>
          <w:sz w:val="24"/>
          <w:szCs w:val="24"/>
        </w:rPr>
        <w:t>any</w:t>
      </w:r>
      <w:proofErr w:type="gramEnd"/>
      <w:r w:rsidRPr="001668EC">
        <w:rPr>
          <w:rFonts w:ascii="Times New Roman" w:hAnsi="Times New Roman" w:cs="Times New Roman"/>
          <w:color w:val="000000"/>
          <w:sz w:val="24"/>
          <w:szCs w:val="24"/>
        </w:rPr>
        <w:t xml:space="preserve"> other information required by the Board.</w:t>
      </w:r>
      <w:r w:rsidRPr="001668EC">
        <w:rPr>
          <w:rFonts w:ascii="Times New Roman" w:hAnsi="Times New Roman" w:cs="Times New Roman"/>
          <w:sz w:val="24"/>
          <w:szCs w:val="24"/>
        </w:rPr>
        <w:t xml:space="preserve">  </w:t>
      </w:r>
    </w:p>
    <w:p w:rsidR="00B42DBE" w:rsidRPr="001668EC" w:rsidRDefault="00B42DBE" w:rsidP="00B42DBE">
      <w:pPr>
        <w:rPr>
          <w:color w:val="000000"/>
          <w:sz w:val="24"/>
          <w:szCs w:val="24"/>
        </w:rPr>
      </w:pPr>
    </w:p>
    <w:p w:rsidR="00C53FF2" w:rsidRPr="00B42DBE" w:rsidRDefault="00C53FF2" w:rsidP="00B42DBE">
      <w:pPr>
        <w:rPr>
          <w:sz w:val="24"/>
          <w:szCs w:val="24"/>
        </w:rPr>
      </w:pPr>
      <w:r w:rsidRPr="001668EC">
        <w:rPr>
          <w:color w:val="000000"/>
          <w:sz w:val="24"/>
          <w:szCs w:val="24"/>
        </w:rPr>
        <w:t>It is also expected that, i</w:t>
      </w:r>
      <w:r w:rsidRPr="001668EC">
        <w:rPr>
          <w:sz w:val="24"/>
          <w:szCs w:val="24"/>
        </w:rPr>
        <w:t>n order to fully evaluate the data submissions, the Federal Reserve may conduct follow up discussions with or request responses to follow up questions from</w:t>
      </w:r>
      <w:r w:rsidRPr="00B42DBE">
        <w:rPr>
          <w:sz w:val="24"/>
          <w:szCs w:val="24"/>
        </w:rPr>
        <w:t xml:space="preserve"> respondents, as needed.</w:t>
      </w:r>
    </w:p>
    <w:p w:rsidR="00C53FF2" w:rsidRPr="00B42DBE" w:rsidRDefault="00C53FF2" w:rsidP="00C53FF2">
      <w:pPr>
        <w:tabs>
          <w:tab w:val="left" w:pos="-1080"/>
          <w:tab w:val="left" w:pos="-90"/>
          <w:tab w:val="left" w:pos="720"/>
          <w:tab w:val="left" w:pos="1440"/>
          <w:tab w:val="left" w:pos="1980"/>
          <w:tab w:val="left" w:pos="3960"/>
          <w:tab w:val="left" w:pos="5760"/>
          <w:tab w:val="left" w:pos="7740"/>
          <w:tab w:val="left" w:pos="8640"/>
        </w:tabs>
        <w:rPr>
          <w:sz w:val="24"/>
          <w:szCs w:val="24"/>
        </w:rPr>
      </w:pPr>
    </w:p>
    <w:p w:rsidR="003451DB" w:rsidRPr="00840172" w:rsidRDefault="000956F1" w:rsidP="003451DB">
      <w:pPr>
        <w:autoSpaceDE w:val="0"/>
        <w:autoSpaceDN w:val="0"/>
        <w:adjustRightInd w:val="0"/>
        <w:ind w:firstLine="720"/>
        <w:rPr>
          <w:b/>
          <w:sz w:val="24"/>
          <w:szCs w:val="24"/>
        </w:rPr>
      </w:pPr>
      <w:r w:rsidRPr="00840172">
        <w:rPr>
          <w:b/>
          <w:sz w:val="24"/>
          <w:szCs w:val="24"/>
        </w:rPr>
        <w:t xml:space="preserve">Results </w:t>
      </w:r>
      <w:r w:rsidR="003451DB" w:rsidRPr="00840172">
        <w:rPr>
          <w:b/>
          <w:sz w:val="24"/>
          <w:szCs w:val="24"/>
        </w:rPr>
        <w:t>Schedule</w:t>
      </w:r>
      <w:r w:rsidR="003E2934" w:rsidRPr="00840172">
        <w:rPr>
          <w:b/>
          <w:sz w:val="24"/>
          <w:szCs w:val="24"/>
        </w:rPr>
        <w:t xml:space="preserve"> (Baseline, Adverse, and Severely Adverse</w:t>
      </w:r>
      <w:r w:rsidRPr="00840172">
        <w:rPr>
          <w:b/>
          <w:sz w:val="24"/>
          <w:szCs w:val="24"/>
        </w:rPr>
        <w:t xml:space="preserve"> Scenario</w:t>
      </w:r>
      <w:r w:rsidR="0055490D" w:rsidRPr="00840172">
        <w:rPr>
          <w:b/>
          <w:sz w:val="24"/>
          <w:szCs w:val="24"/>
        </w:rPr>
        <w:t xml:space="preserve">s </w:t>
      </w:r>
      <w:r w:rsidR="002D76F2" w:rsidRPr="00840172">
        <w:rPr>
          <w:b/>
          <w:sz w:val="24"/>
          <w:szCs w:val="24"/>
        </w:rPr>
        <w:t>and Summary</w:t>
      </w:r>
      <w:r w:rsidR="00BE2FF2" w:rsidRPr="00840172">
        <w:rPr>
          <w:b/>
          <w:sz w:val="24"/>
          <w:szCs w:val="24"/>
        </w:rPr>
        <w:t xml:space="preserve"> of Results</w:t>
      </w:r>
      <w:r w:rsidR="003E2934" w:rsidRPr="00840172">
        <w:rPr>
          <w:b/>
          <w:sz w:val="24"/>
          <w:szCs w:val="24"/>
        </w:rPr>
        <w:t>)</w:t>
      </w:r>
    </w:p>
    <w:p w:rsidR="003451DB" w:rsidRPr="00840172" w:rsidRDefault="003451DB" w:rsidP="003451DB">
      <w:pPr>
        <w:autoSpaceDE w:val="0"/>
        <w:autoSpaceDN w:val="0"/>
        <w:adjustRightInd w:val="0"/>
        <w:rPr>
          <w:sz w:val="24"/>
          <w:szCs w:val="24"/>
        </w:rPr>
      </w:pPr>
    </w:p>
    <w:p w:rsidR="003451DB" w:rsidRPr="00840172" w:rsidRDefault="003451DB" w:rsidP="003451DB">
      <w:pPr>
        <w:autoSpaceDE w:val="0"/>
        <w:autoSpaceDN w:val="0"/>
        <w:adjustRightInd w:val="0"/>
        <w:ind w:firstLine="720"/>
        <w:rPr>
          <w:sz w:val="24"/>
          <w:szCs w:val="24"/>
        </w:rPr>
      </w:pPr>
      <w:r w:rsidRPr="00840172">
        <w:rPr>
          <w:sz w:val="24"/>
          <w:szCs w:val="24"/>
        </w:rPr>
        <w:t>Fo</w:t>
      </w:r>
      <w:r w:rsidR="00C53FF2" w:rsidRPr="00840172">
        <w:rPr>
          <w:sz w:val="24"/>
          <w:szCs w:val="24"/>
        </w:rPr>
        <w:t xml:space="preserve">r each of the three </w:t>
      </w:r>
      <w:r w:rsidR="00BE2FF2" w:rsidRPr="00840172">
        <w:rPr>
          <w:sz w:val="24"/>
          <w:szCs w:val="24"/>
        </w:rPr>
        <w:t>s</w:t>
      </w:r>
      <w:r w:rsidR="00C53FF2" w:rsidRPr="00840172">
        <w:rPr>
          <w:sz w:val="24"/>
          <w:szCs w:val="24"/>
        </w:rPr>
        <w:t>cenario</w:t>
      </w:r>
      <w:r w:rsidR="00BE2FF2" w:rsidRPr="00840172">
        <w:rPr>
          <w:sz w:val="24"/>
          <w:szCs w:val="24"/>
        </w:rPr>
        <w:t>s</w:t>
      </w:r>
      <w:r w:rsidR="003E2934" w:rsidRPr="00840172">
        <w:rPr>
          <w:sz w:val="24"/>
          <w:szCs w:val="24"/>
        </w:rPr>
        <w:t xml:space="preserve"> (Baseline, Adverse, </w:t>
      </w:r>
      <w:r w:rsidR="007E7D91" w:rsidRPr="00840172">
        <w:rPr>
          <w:sz w:val="24"/>
          <w:szCs w:val="24"/>
        </w:rPr>
        <w:t xml:space="preserve">and </w:t>
      </w:r>
      <w:r w:rsidR="003E2934" w:rsidRPr="00840172">
        <w:rPr>
          <w:sz w:val="24"/>
          <w:szCs w:val="24"/>
        </w:rPr>
        <w:t>Severely A</w:t>
      </w:r>
      <w:r w:rsidR="00C53FF2" w:rsidRPr="00840172">
        <w:rPr>
          <w:sz w:val="24"/>
          <w:szCs w:val="24"/>
        </w:rPr>
        <w:t>dverse), data would</w:t>
      </w:r>
      <w:r w:rsidRPr="00840172">
        <w:rPr>
          <w:sz w:val="24"/>
          <w:szCs w:val="24"/>
        </w:rPr>
        <w:t xml:space="preserve"> be reported for the (1) income statement</w:t>
      </w:r>
      <w:r w:rsidR="005A60E0" w:rsidRPr="00840172">
        <w:rPr>
          <w:sz w:val="24"/>
          <w:szCs w:val="24"/>
        </w:rPr>
        <w:t xml:space="preserve"> and</w:t>
      </w:r>
      <w:r w:rsidRPr="00840172">
        <w:rPr>
          <w:sz w:val="24"/>
          <w:szCs w:val="24"/>
        </w:rPr>
        <w:t xml:space="preserve"> (2) balance sheet and capital.  Therefor</w:t>
      </w:r>
      <w:r w:rsidR="00C53FF2" w:rsidRPr="00840172">
        <w:rPr>
          <w:sz w:val="24"/>
          <w:szCs w:val="24"/>
        </w:rPr>
        <w:t>e, t</w:t>
      </w:r>
      <w:r w:rsidR="005A60E0" w:rsidRPr="00840172">
        <w:rPr>
          <w:sz w:val="24"/>
          <w:szCs w:val="24"/>
        </w:rPr>
        <w:t>wo</w:t>
      </w:r>
      <w:r w:rsidR="00C53FF2" w:rsidRPr="00840172">
        <w:rPr>
          <w:sz w:val="24"/>
          <w:szCs w:val="24"/>
        </w:rPr>
        <w:t xml:space="preserve"> sets of worksheets </w:t>
      </w:r>
      <w:r w:rsidR="005A60E0" w:rsidRPr="00840172">
        <w:rPr>
          <w:sz w:val="24"/>
          <w:szCs w:val="24"/>
        </w:rPr>
        <w:t xml:space="preserve">for each scenario (baseline, adverse, and severely adverse) </w:t>
      </w:r>
      <w:r w:rsidR="00C53FF2" w:rsidRPr="00840172">
        <w:rPr>
          <w:sz w:val="24"/>
          <w:szCs w:val="24"/>
        </w:rPr>
        <w:t>would</w:t>
      </w:r>
      <w:r w:rsidRPr="00840172">
        <w:rPr>
          <w:sz w:val="24"/>
          <w:szCs w:val="24"/>
        </w:rPr>
        <w:t xml:space="preserve"> be completed and submitted, along with the </w:t>
      </w:r>
      <w:r w:rsidR="00E95FB7" w:rsidRPr="00840172">
        <w:rPr>
          <w:sz w:val="24"/>
          <w:szCs w:val="24"/>
        </w:rPr>
        <w:t>submission cover</w:t>
      </w:r>
      <w:r w:rsidRPr="00840172">
        <w:rPr>
          <w:sz w:val="24"/>
          <w:szCs w:val="24"/>
        </w:rPr>
        <w:t xml:space="preserve"> sheet</w:t>
      </w:r>
      <w:r w:rsidR="002D76F2" w:rsidRPr="00840172">
        <w:rPr>
          <w:sz w:val="24"/>
          <w:szCs w:val="24"/>
        </w:rPr>
        <w:t xml:space="preserve"> and a summary of results</w:t>
      </w:r>
      <w:r w:rsidR="00EB62AA" w:rsidRPr="00840172">
        <w:rPr>
          <w:sz w:val="24"/>
          <w:szCs w:val="24"/>
        </w:rPr>
        <w:t xml:space="preserve"> worksheet</w:t>
      </w:r>
      <w:r w:rsidRPr="00840172">
        <w:rPr>
          <w:sz w:val="24"/>
          <w:szCs w:val="24"/>
        </w:rPr>
        <w:t>.</w:t>
      </w:r>
    </w:p>
    <w:p w:rsidR="003451DB" w:rsidRPr="00840172" w:rsidRDefault="003451DB" w:rsidP="003451DB">
      <w:pPr>
        <w:autoSpaceDE w:val="0"/>
        <w:autoSpaceDN w:val="0"/>
        <w:adjustRightInd w:val="0"/>
        <w:rPr>
          <w:sz w:val="24"/>
          <w:szCs w:val="24"/>
        </w:rPr>
      </w:pPr>
    </w:p>
    <w:p w:rsidR="003451DB" w:rsidRPr="00840172" w:rsidRDefault="003451DB" w:rsidP="003451DB">
      <w:pPr>
        <w:autoSpaceDE w:val="0"/>
        <w:autoSpaceDN w:val="0"/>
        <w:adjustRightInd w:val="0"/>
        <w:ind w:firstLine="720"/>
        <w:rPr>
          <w:sz w:val="24"/>
          <w:szCs w:val="24"/>
        </w:rPr>
      </w:pPr>
      <w:r w:rsidRPr="00840172">
        <w:rPr>
          <w:sz w:val="24"/>
          <w:szCs w:val="24"/>
        </w:rPr>
        <w:t xml:space="preserve">Income statement data </w:t>
      </w:r>
      <w:r w:rsidR="00873DC9" w:rsidRPr="00840172">
        <w:rPr>
          <w:sz w:val="24"/>
          <w:szCs w:val="24"/>
        </w:rPr>
        <w:t xml:space="preserve">would </w:t>
      </w:r>
      <w:r w:rsidRPr="00840172">
        <w:rPr>
          <w:sz w:val="24"/>
          <w:szCs w:val="24"/>
        </w:rPr>
        <w:t xml:space="preserve">be collected on a projected quarterly basis showing both projections of revenues and losses.  </w:t>
      </w:r>
      <w:r w:rsidR="004904E1" w:rsidRPr="00840172">
        <w:rPr>
          <w:sz w:val="24"/>
          <w:szCs w:val="24"/>
        </w:rPr>
        <w:t xml:space="preserve">These data are </w:t>
      </w:r>
      <w:r w:rsidRPr="00840172">
        <w:rPr>
          <w:sz w:val="24"/>
          <w:szCs w:val="24"/>
        </w:rPr>
        <w:t xml:space="preserve">organized </w:t>
      </w:r>
      <w:r w:rsidR="00501F97" w:rsidRPr="00840172">
        <w:rPr>
          <w:sz w:val="24"/>
          <w:szCs w:val="24"/>
        </w:rPr>
        <w:t xml:space="preserve">in a </w:t>
      </w:r>
      <w:r w:rsidRPr="00840172">
        <w:rPr>
          <w:sz w:val="24"/>
          <w:szCs w:val="24"/>
        </w:rPr>
        <w:t>similar</w:t>
      </w:r>
      <w:r w:rsidR="00501F97" w:rsidRPr="00840172">
        <w:rPr>
          <w:sz w:val="24"/>
          <w:szCs w:val="24"/>
        </w:rPr>
        <w:t xml:space="preserve"> (</w:t>
      </w:r>
      <w:r w:rsidRPr="00840172">
        <w:rPr>
          <w:sz w:val="24"/>
          <w:szCs w:val="24"/>
        </w:rPr>
        <w:t>but not identical</w:t>
      </w:r>
      <w:r w:rsidR="00501F97" w:rsidRPr="00840172">
        <w:rPr>
          <w:sz w:val="24"/>
          <w:szCs w:val="24"/>
        </w:rPr>
        <w:t>) fashion</w:t>
      </w:r>
      <w:r w:rsidRPr="00840172">
        <w:rPr>
          <w:sz w:val="24"/>
          <w:szCs w:val="24"/>
        </w:rPr>
        <w:t xml:space="preserve"> to the mandatory Consolidated Financial Statements for Bank Holding Companies (FR Y-9C; OMB No. 7100-0128) </w:t>
      </w:r>
      <w:r w:rsidR="008640E7" w:rsidRPr="00840172">
        <w:rPr>
          <w:sz w:val="24"/>
          <w:szCs w:val="24"/>
        </w:rPr>
        <w:t xml:space="preserve">and </w:t>
      </w:r>
      <w:r w:rsidRPr="00840172">
        <w:rPr>
          <w:sz w:val="24"/>
          <w:szCs w:val="24"/>
        </w:rPr>
        <w:t>Schedule HI - Income Statement or the Consolidated Report of Condition and Income (FFIEC </w:t>
      </w:r>
      <w:r w:rsidR="00501F97" w:rsidRPr="00840172">
        <w:rPr>
          <w:sz w:val="24"/>
          <w:szCs w:val="24"/>
        </w:rPr>
        <w:t>031/</w:t>
      </w:r>
      <w:r w:rsidRPr="00840172">
        <w:rPr>
          <w:sz w:val="24"/>
          <w:szCs w:val="24"/>
        </w:rPr>
        <w:t xml:space="preserve">041; OMB No. 7100-0036), Schedule RI - Income Statement.  For example, respondents </w:t>
      </w:r>
      <w:r w:rsidR="00873DC9" w:rsidRPr="00840172">
        <w:rPr>
          <w:sz w:val="24"/>
          <w:szCs w:val="24"/>
        </w:rPr>
        <w:t xml:space="preserve">would </w:t>
      </w:r>
      <w:r w:rsidRPr="00840172">
        <w:rPr>
          <w:sz w:val="24"/>
          <w:szCs w:val="24"/>
        </w:rPr>
        <w:t>project net charge-offs by loan type (stratified into twelve specific loan types); gains and losses on securities; pre-provision net revenue; and other key components of revenue (i.e., net interest income, provision for loan and lease losses, taxes, etc.).</w:t>
      </w:r>
    </w:p>
    <w:p w:rsidR="003451DB" w:rsidRPr="00840172" w:rsidRDefault="003451DB" w:rsidP="003451DB">
      <w:pPr>
        <w:autoSpaceDE w:val="0"/>
        <w:autoSpaceDN w:val="0"/>
        <w:adjustRightInd w:val="0"/>
        <w:rPr>
          <w:sz w:val="24"/>
          <w:szCs w:val="24"/>
        </w:rPr>
      </w:pPr>
    </w:p>
    <w:p w:rsidR="003451DB" w:rsidRPr="00840172" w:rsidRDefault="003451DB" w:rsidP="003451DB">
      <w:pPr>
        <w:autoSpaceDE w:val="0"/>
        <w:autoSpaceDN w:val="0"/>
        <w:adjustRightInd w:val="0"/>
        <w:ind w:firstLine="720"/>
        <w:rPr>
          <w:sz w:val="24"/>
          <w:szCs w:val="24"/>
        </w:rPr>
      </w:pPr>
      <w:r w:rsidRPr="00840172">
        <w:rPr>
          <w:sz w:val="24"/>
          <w:szCs w:val="24"/>
        </w:rPr>
        <w:t>Balance sheet data</w:t>
      </w:r>
      <w:r w:rsidR="003E2934" w:rsidRPr="00840172">
        <w:rPr>
          <w:sz w:val="24"/>
          <w:szCs w:val="24"/>
        </w:rPr>
        <w:t xml:space="preserve"> would</w:t>
      </w:r>
      <w:r w:rsidRPr="00840172">
        <w:rPr>
          <w:sz w:val="24"/>
          <w:szCs w:val="24"/>
        </w:rPr>
        <w:t xml:space="preserve"> be collected on a quarterly basis for projections of certain assets, liabilities, and capital.  </w:t>
      </w:r>
      <w:r w:rsidR="00D50414" w:rsidRPr="00840172">
        <w:rPr>
          <w:sz w:val="24"/>
          <w:szCs w:val="24"/>
        </w:rPr>
        <w:t>Fo</w:t>
      </w:r>
      <w:r w:rsidR="004D74BB" w:rsidRPr="00840172">
        <w:rPr>
          <w:sz w:val="24"/>
          <w:szCs w:val="24"/>
        </w:rPr>
        <w:t xml:space="preserve">r example, respondents </w:t>
      </w:r>
      <w:r w:rsidR="00873DC9" w:rsidRPr="00840172">
        <w:rPr>
          <w:sz w:val="24"/>
          <w:szCs w:val="24"/>
        </w:rPr>
        <w:t>would</w:t>
      </w:r>
      <w:r w:rsidR="004D74BB" w:rsidRPr="00840172">
        <w:rPr>
          <w:sz w:val="24"/>
          <w:szCs w:val="24"/>
        </w:rPr>
        <w:t xml:space="preserve"> pro</w:t>
      </w:r>
      <w:r w:rsidR="00D50414" w:rsidRPr="00840172">
        <w:rPr>
          <w:sz w:val="24"/>
          <w:szCs w:val="24"/>
        </w:rPr>
        <w:t xml:space="preserve">ject loans, allowance for loan and lease losses, </w:t>
      </w:r>
      <w:r w:rsidR="004A4CE5" w:rsidRPr="00840172">
        <w:rPr>
          <w:sz w:val="24"/>
          <w:szCs w:val="24"/>
        </w:rPr>
        <w:t>deposits</w:t>
      </w:r>
      <w:r w:rsidR="00D50414" w:rsidRPr="00840172">
        <w:rPr>
          <w:sz w:val="24"/>
          <w:szCs w:val="24"/>
        </w:rPr>
        <w:t xml:space="preserve">, </w:t>
      </w:r>
      <w:r w:rsidR="004A4CE5" w:rsidRPr="00840172">
        <w:rPr>
          <w:sz w:val="24"/>
          <w:szCs w:val="24"/>
        </w:rPr>
        <w:t xml:space="preserve">and </w:t>
      </w:r>
      <w:r w:rsidR="00D50414" w:rsidRPr="00840172">
        <w:rPr>
          <w:sz w:val="24"/>
          <w:szCs w:val="24"/>
        </w:rPr>
        <w:t>unrealized gains (losses) on securities</w:t>
      </w:r>
      <w:r w:rsidR="004A4CE5" w:rsidRPr="00840172">
        <w:rPr>
          <w:sz w:val="24"/>
          <w:szCs w:val="24"/>
        </w:rPr>
        <w:t>.</w:t>
      </w:r>
      <w:r w:rsidR="00D50414" w:rsidRPr="00840172">
        <w:rPr>
          <w:sz w:val="24"/>
          <w:szCs w:val="24"/>
        </w:rPr>
        <w:t xml:space="preserve"> </w:t>
      </w:r>
      <w:r w:rsidR="004904E1" w:rsidRPr="00840172">
        <w:rPr>
          <w:sz w:val="24"/>
          <w:szCs w:val="24"/>
        </w:rPr>
        <w:t xml:space="preserve"> These data are</w:t>
      </w:r>
      <w:r w:rsidRPr="00840172">
        <w:rPr>
          <w:sz w:val="24"/>
          <w:szCs w:val="24"/>
        </w:rPr>
        <w:t xml:space="preserve"> organized </w:t>
      </w:r>
      <w:r w:rsidR="00501F97" w:rsidRPr="00840172">
        <w:rPr>
          <w:sz w:val="24"/>
          <w:szCs w:val="24"/>
        </w:rPr>
        <w:t xml:space="preserve">in a </w:t>
      </w:r>
      <w:r w:rsidRPr="00840172">
        <w:rPr>
          <w:sz w:val="24"/>
          <w:szCs w:val="24"/>
        </w:rPr>
        <w:t>similar</w:t>
      </w:r>
      <w:r w:rsidR="00501F97" w:rsidRPr="00840172">
        <w:rPr>
          <w:sz w:val="24"/>
          <w:szCs w:val="24"/>
        </w:rPr>
        <w:t xml:space="preserve"> (</w:t>
      </w:r>
      <w:r w:rsidRPr="00840172">
        <w:rPr>
          <w:sz w:val="24"/>
          <w:szCs w:val="24"/>
        </w:rPr>
        <w:t>but not identical</w:t>
      </w:r>
      <w:r w:rsidR="00501F97" w:rsidRPr="00840172">
        <w:rPr>
          <w:sz w:val="24"/>
          <w:szCs w:val="24"/>
        </w:rPr>
        <w:t>) fashion to the</w:t>
      </w:r>
      <w:r w:rsidRPr="00840172">
        <w:rPr>
          <w:sz w:val="24"/>
          <w:szCs w:val="24"/>
        </w:rPr>
        <w:t xml:space="preserve"> FR Y-9C, Schedule HC - Balance Sheet </w:t>
      </w:r>
      <w:r w:rsidR="002E4FB3" w:rsidRPr="00840172">
        <w:rPr>
          <w:sz w:val="24"/>
          <w:szCs w:val="24"/>
        </w:rPr>
        <w:t>and</w:t>
      </w:r>
      <w:r w:rsidRPr="00840172">
        <w:rPr>
          <w:sz w:val="24"/>
          <w:szCs w:val="24"/>
        </w:rPr>
        <w:t xml:space="preserve"> FFIEC </w:t>
      </w:r>
      <w:r w:rsidR="00501F97" w:rsidRPr="00840172">
        <w:rPr>
          <w:sz w:val="24"/>
          <w:szCs w:val="24"/>
        </w:rPr>
        <w:t>031/</w:t>
      </w:r>
      <w:r w:rsidRPr="00840172">
        <w:rPr>
          <w:sz w:val="24"/>
          <w:szCs w:val="24"/>
        </w:rPr>
        <w:t>041, Schedule RC - Balance Sheet.</w:t>
      </w:r>
    </w:p>
    <w:p w:rsidR="003451DB" w:rsidRPr="00840172" w:rsidRDefault="003451DB" w:rsidP="003451DB">
      <w:pPr>
        <w:autoSpaceDE w:val="0"/>
        <w:autoSpaceDN w:val="0"/>
        <w:adjustRightInd w:val="0"/>
        <w:rPr>
          <w:sz w:val="24"/>
          <w:szCs w:val="24"/>
        </w:rPr>
      </w:pPr>
    </w:p>
    <w:p w:rsidR="003451DB" w:rsidRPr="00840172" w:rsidRDefault="003451DB" w:rsidP="003451DB">
      <w:pPr>
        <w:autoSpaceDE w:val="0"/>
        <w:autoSpaceDN w:val="0"/>
        <w:adjustRightInd w:val="0"/>
        <w:ind w:firstLine="720"/>
        <w:rPr>
          <w:sz w:val="24"/>
          <w:szCs w:val="24"/>
        </w:rPr>
      </w:pPr>
      <w:r w:rsidRPr="00840172">
        <w:rPr>
          <w:sz w:val="24"/>
          <w:szCs w:val="24"/>
        </w:rPr>
        <w:t>Capital data</w:t>
      </w:r>
      <w:r w:rsidR="003E2934" w:rsidRPr="00840172">
        <w:rPr>
          <w:sz w:val="24"/>
          <w:szCs w:val="24"/>
        </w:rPr>
        <w:t xml:space="preserve"> would</w:t>
      </w:r>
      <w:r w:rsidRPr="00840172">
        <w:rPr>
          <w:sz w:val="24"/>
          <w:szCs w:val="24"/>
        </w:rPr>
        <w:t xml:space="preserve"> be collected on a projected quarterly basis and include components of equity and regulatory capital.  Additionally, the capital data </w:t>
      </w:r>
      <w:r w:rsidR="00873DC9" w:rsidRPr="00840172">
        <w:rPr>
          <w:sz w:val="24"/>
          <w:szCs w:val="24"/>
        </w:rPr>
        <w:t xml:space="preserve">would </w:t>
      </w:r>
      <w:r w:rsidRPr="00840172">
        <w:rPr>
          <w:sz w:val="24"/>
          <w:szCs w:val="24"/>
        </w:rPr>
        <w:t xml:space="preserve">capture projections of </w:t>
      </w:r>
      <w:r w:rsidR="00B218A5" w:rsidRPr="00840172">
        <w:rPr>
          <w:sz w:val="24"/>
          <w:szCs w:val="24"/>
        </w:rPr>
        <w:t xml:space="preserve">risk weighted assets and </w:t>
      </w:r>
      <w:r w:rsidRPr="00840172">
        <w:rPr>
          <w:sz w:val="24"/>
          <w:szCs w:val="24"/>
        </w:rPr>
        <w:t xml:space="preserve">capital actions such as common dividends and share repurchases that affect a respondent’s equity capital </w:t>
      </w:r>
      <w:r w:rsidR="006550CB" w:rsidRPr="00840172">
        <w:rPr>
          <w:sz w:val="24"/>
          <w:szCs w:val="24"/>
        </w:rPr>
        <w:t xml:space="preserve">and </w:t>
      </w:r>
      <w:r w:rsidRPr="00840172">
        <w:rPr>
          <w:sz w:val="24"/>
          <w:szCs w:val="24"/>
        </w:rPr>
        <w:t>projections and deductions necessary to estimate regulatory capital.</w:t>
      </w:r>
    </w:p>
    <w:p w:rsidR="003451DB" w:rsidRPr="00840172" w:rsidRDefault="003451DB" w:rsidP="003451DB">
      <w:pPr>
        <w:autoSpaceDE w:val="0"/>
        <w:autoSpaceDN w:val="0"/>
        <w:adjustRightInd w:val="0"/>
        <w:rPr>
          <w:sz w:val="24"/>
          <w:szCs w:val="24"/>
        </w:rPr>
      </w:pPr>
    </w:p>
    <w:p w:rsidR="003451DB" w:rsidRPr="00840172" w:rsidRDefault="00BE2FF2" w:rsidP="003D2C50">
      <w:pPr>
        <w:autoSpaceDE w:val="0"/>
        <w:autoSpaceDN w:val="0"/>
        <w:adjustRightInd w:val="0"/>
        <w:rPr>
          <w:sz w:val="24"/>
          <w:szCs w:val="24"/>
        </w:rPr>
      </w:pPr>
      <w:r w:rsidRPr="00840172">
        <w:rPr>
          <w:sz w:val="24"/>
          <w:szCs w:val="24"/>
        </w:rPr>
        <w:tab/>
        <w:t>The s</w:t>
      </w:r>
      <w:r w:rsidR="003E2934" w:rsidRPr="00840172">
        <w:rPr>
          <w:sz w:val="24"/>
          <w:szCs w:val="24"/>
        </w:rPr>
        <w:t xml:space="preserve">ummary </w:t>
      </w:r>
      <w:r w:rsidRPr="00840172">
        <w:rPr>
          <w:sz w:val="24"/>
          <w:szCs w:val="24"/>
        </w:rPr>
        <w:t xml:space="preserve">of results </w:t>
      </w:r>
      <w:r w:rsidR="00EB62AA" w:rsidRPr="00840172">
        <w:rPr>
          <w:sz w:val="24"/>
          <w:szCs w:val="24"/>
        </w:rPr>
        <w:t xml:space="preserve">worksheet </w:t>
      </w:r>
      <w:r w:rsidR="003E2934" w:rsidRPr="00840172">
        <w:rPr>
          <w:sz w:val="24"/>
          <w:szCs w:val="24"/>
        </w:rPr>
        <w:t xml:space="preserve">would be comprised of </w:t>
      </w:r>
      <w:r w:rsidR="00873DC9" w:rsidRPr="00840172">
        <w:rPr>
          <w:sz w:val="24"/>
          <w:szCs w:val="24"/>
        </w:rPr>
        <w:t>12</w:t>
      </w:r>
      <w:r w:rsidR="003451DB" w:rsidRPr="00840172">
        <w:rPr>
          <w:sz w:val="24"/>
          <w:szCs w:val="24"/>
        </w:rPr>
        <w:t xml:space="preserve"> key data points from </w:t>
      </w:r>
      <w:r w:rsidRPr="00840172">
        <w:rPr>
          <w:sz w:val="24"/>
          <w:szCs w:val="24"/>
        </w:rPr>
        <w:t>each s</w:t>
      </w:r>
      <w:r w:rsidR="003451DB" w:rsidRPr="00840172">
        <w:rPr>
          <w:sz w:val="24"/>
          <w:szCs w:val="24"/>
        </w:rPr>
        <w:t>cenario.  Therefore, all informat</w:t>
      </w:r>
      <w:r w:rsidR="003E2934" w:rsidRPr="00840172">
        <w:rPr>
          <w:sz w:val="24"/>
          <w:szCs w:val="24"/>
        </w:rPr>
        <w:t xml:space="preserve">ion on the summary </w:t>
      </w:r>
      <w:r w:rsidR="00EB62AA" w:rsidRPr="00840172">
        <w:rPr>
          <w:sz w:val="24"/>
          <w:szCs w:val="24"/>
        </w:rPr>
        <w:t xml:space="preserve">worksheet </w:t>
      </w:r>
      <w:r w:rsidR="003E2934" w:rsidRPr="00840172">
        <w:rPr>
          <w:sz w:val="24"/>
          <w:szCs w:val="24"/>
        </w:rPr>
        <w:t>would</w:t>
      </w:r>
      <w:r w:rsidR="003451DB" w:rsidRPr="00840172">
        <w:rPr>
          <w:sz w:val="24"/>
          <w:szCs w:val="24"/>
        </w:rPr>
        <w:t xml:space="preserve"> be automatically populated </w:t>
      </w:r>
      <w:r w:rsidR="003E2934" w:rsidRPr="00840172">
        <w:rPr>
          <w:sz w:val="24"/>
          <w:szCs w:val="24"/>
        </w:rPr>
        <w:t xml:space="preserve">when the </w:t>
      </w:r>
      <w:r w:rsidRPr="00840172">
        <w:rPr>
          <w:sz w:val="24"/>
          <w:szCs w:val="24"/>
        </w:rPr>
        <w:t>s</w:t>
      </w:r>
      <w:r w:rsidR="003E2934" w:rsidRPr="00840172">
        <w:rPr>
          <w:sz w:val="24"/>
          <w:szCs w:val="24"/>
        </w:rPr>
        <w:t>cenario</w:t>
      </w:r>
      <w:r w:rsidR="003451DB" w:rsidRPr="00840172">
        <w:rPr>
          <w:sz w:val="24"/>
          <w:szCs w:val="24"/>
        </w:rPr>
        <w:t xml:space="preserve"> </w:t>
      </w:r>
      <w:r w:rsidRPr="00840172">
        <w:rPr>
          <w:sz w:val="24"/>
          <w:szCs w:val="24"/>
        </w:rPr>
        <w:t xml:space="preserve">projections </w:t>
      </w:r>
      <w:r w:rsidR="003451DB" w:rsidRPr="00840172">
        <w:rPr>
          <w:sz w:val="24"/>
          <w:szCs w:val="24"/>
        </w:rPr>
        <w:t>are completed.</w:t>
      </w:r>
    </w:p>
    <w:p w:rsidR="003451DB" w:rsidRPr="00840172" w:rsidRDefault="003451DB" w:rsidP="003451DB">
      <w:pPr>
        <w:autoSpaceDE w:val="0"/>
        <w:autoSpaceDN w:val="0"/>
        <w:adjustRightInd w:val="0"/>
        <w:rPr>
          <w:sz w:val="24"/>
          <w:szCs w:val="24"/>
        </w:rPr>
      </w:pPr>
    </w:p>
    <w:p w:rsidR="003451DB" w:rsidRPr="00840172" w:rsidRDefault="002D76F2" w:rsidP="003451DB">
      <w:pPr>
        <w:autoSpaceDE w:val="0"/>
        <w:autoSpaceDN w:val="0"/>
        <w:adjustRightInd w:val="0"/>
        <w:ind w:firstLine="720"/>
        <w:rPr>
          <w:b/>
          <w:sz w:val="24"/>
          <w:szCs w:val="24"/>
        </w:rPr>
      </w:pPr>
      <w:r w:rsidRPr="00840172">
        <w:rPr>
          <w:b/>
          <w:sz w:val="24"/>
          <w:szCs w:val="24"/>
        </w:rPr>
        <w:t xml:space="preserve">Scenario </w:t>
      </w:r>
      <w:r w:rsidR="003451DB" w:rsidRPr="00840172">
        <w:rPr>
          <w:b/>
          <w:sz w:val="24"/>
          <w:szCs w:val="24"/>
        </w:rPr>
        <w:t>Variables Schedule</w:t>
      </w:r>
    </w:p>
    <w:p w:rsidR="003451DB" w:rsidRPr="00840172" w:rsidRDefault="003451DB" w:rsidP="003451DB">
      <w:pPr>
        <w:autoSpaceDE w:val="0"/>
        <w:autoSpaceDN w:val="0"/>
        <w:adjustRightInd w:val="0"/>
        <w:rPr>
          <w:sz w:val="24"/>
          <w:szCs w:val="24"/>
        </w:rPr>
      </w:pPr>
    </w:p>
    <w:p w:rsidR="003451DB" w:rsidRPr="00840172" w:rsidRDefault="003451DB" w:rsidP="00C22761">
      <w:pPr>
        <w:autoSpaceDE w:val="0"/>
        <w:autoSpaceDN w:val="0"/>
        <w:adjustRightInd w:val="0"/>
        <w:ind w:firstLine="720"/>
        <w:rPr>
          <w:color w:val="000000"/>
          <w:sz w:val="24"/>
          <w:szCs w:val="24"/>
        </w:rPr>
      </w:pPr>
      <w:r w:rsidRPr="00840172">
        <w:rPr>
          <w:sz w:val="24"/>
          <w:szCs w:val="24"/>
        </w:rPr>
        <w:t>To conduct the stress tests according to the O</w:t>
      </w:r>
      <w:r w:rsidR="003E2934" w:rsidRPr="00840172">
        <w:rPr>
          <w:sz w:val="24"/>
          <w:szCs w:val="24"/>
        </w:rPr>
        <w:t>ctober 12</w:t>
      </w:r>
      <w:r w:rsidR="00AD18E7" w:rsidRPr="00840172">
        <w:rPr>
          <w:sz w:val="24"/>
          <w:szCs w:val="24"/>
        </w:rPr>
        <w:t>,</w:t>
      </w:r>
      <w:r w:rsidR="003E2934" w:rsidRPr="00840172">
        <w:rPr>
          <w:sz w:val="24"/>
          <w:szCs w:val="24"/>
        </w:rPr>
        <w:t xml:space="preserve"> 2012</w:t>
      </w:r>
      <w:r w:rsidRPr="00840172">
        <w:rPr>
          <w:sz w:val="24"/>
          <w:szCs w:val="24"/>
        </w:rPr>
        <w:t xml:space="preserve"> final rule</w:t>
      </w:r>
      <w:r w:rsidR="003E2934" w:rsidRPr="00840172">
        <w:rPr>
          <w:sz w:val="24"/>
          <w:szCs w:val="24"/>
        </w:rPr>
        <w:t>, an institution would be able to</w:t>
      </w:r>
      <w:r w:rsidRPr="00840172">
        <w:rPr>
          <w:sz w:val="24"/>
          <w:szCs w:val="24"/>
        </w:rPr>
        <w:t xml:space="preserve"> choose to project additional economic and financial variables, beyond the mandatory supervisory scenarios provided, to estimate losses or revenues for some or all of its portfolios.  In</w:t>
      </w:r>
      <w:r w:rsidR="003E2934" w:rsidRPr="00840172">
        <w:rPr>
          <w:sz w:val="24"/>
          <w:szCs w:val="24"/>
        </w:rPr>
        <w:t xml:space="preserve"> such cases, the institution would be </w:t>
      </w:r>
      <w:r w:rsidRPr="00840172">
        <w:rPr>
          <w:sz w:val="24"/>
          <w:szCs w:val="24"/>
        </w:rPr>
        <w:t xml:space="preserve">required to complete the </w:t>
      </w:r>
      <w:r w:rsidR="002D76F2" w:rsidRPr="00840172">
        <w:rPr>
          <w:sz w:val="24"/>
          <w:szCs w:val="24"/>
        </w:rPr>
        <w:t xml:space="preserve">Scenario </w:t>
      </w:r>
      <w:r w:rsidRPr="00840172">
        <w:rPr>
          <w:sz w:val="24"/>
          <w:szCs w:val="24"/>
        </w:rPr>
        <w:t>Variables Schedule for each scen</w:t>
      </w:r>
      <w:r w:rsidR="003E2934" w:rsidRPr="00840172">
        <w:rPr>
          <w:sz w:val="24"/>
          <w:szCs w:val="24"/>
        </w:rPr>
        <w:t>ario where the institution chooses</w:t>
      </w:r>
      <w:r w:rsidRPr="00840172">
        <w:rPr>
          <w:sz w:val="24"/>
          <w:szCs w:val="24"/>
        </w:rPr>
        <w:t xml:space="preserve"> to use additional variables.</w:t>
      </w:r>
    </w:p>
    <w:p w:rsidR="002D76F2" w:rsidRPr="00840172" w:rsidRDefault="00C22761" w:rsidP="003451DB">
      <w:pPr>
        <w:rPr>
          <w:iCs/>
          <w:color w:val="000000"/>
          <w:sz w:val="24"/>
          <w:szCs w:val="24"/>
        </w:rPr>
      </w:pPr>
      <w:r w:rsidRPr="00840172">
        <w:rPr>
          <w:iCs/>
          <w:color w:val="000000"/>
          <w:sz w:val="24"/>
          <w:szCs w:val="24"/>
        </w:rPr>
        <w:tab/>
      </w:r>
    </w:p>
    <w:p w:rsidR="003451DB" w:rsidRPr="00840172" w:rsidRDefault="003451DB" w:rsidP="003451DB">
      <w:pPr>
        <w:ind w:firstLine="720"/>
        <w:rPr>
          <w:sz w:val="24"/>
          <w:szCs w:val="24"/>
        </w:rPr>
      </w:pPr>
      <w:r w:rsidRPr="00840172">
        <w:rPr>
          <w:b/>
          <w:sz w:val="24"/>
          <w:szCs w:val="24"/>
        </w:rPr>
        <w:t>Respondent Panel</w:t>
      </w:r>
    </w:p>
    <w:p w:rsidR="003451DB" w:rsidRPr="00840172" w:rsidRDefault="003451DB" w:rsidP="003451DB">
      <w:pPr>
        <w:tabs>
          <w:tab w:val="left" w:pos="-1080"/>
          <w:tab w:val="left" w:pos="-90"/>
          <w:tab w:val="left" w:pos="720"/>
          <w:tab w:val="left" w:pos="1440"/>
          <w:tab w:val="left" w:pos="1980"/>
          <w:tab w:val="left" w:pos="3960"/>
          <w:tab w:val="left" w:pos="5760"/>
          <w:tab w:val="left" w:pos="7740"/>
          <w:tab w:val="left" w:pos="8640"/>
        </w:tabs>
        <w:rPr>
          <w:sz w:val="24"/>
          <w:szCs w:val="24"/>
        </w:rPr>
      </w:pPr>
    </w:p>
    <w:p w:rsidR="003451DB" w:rsidRPr="00840172" w:rsidRDefault="003451DB" w:rsidP="003451DB">
      <w:pPr>
        <w:ind w:firstLine="720"/>
        <w:rPr>
          <w:sz w:val="24"/>
          <w:szCs w:val="24"/>
        </w:rPr>
      </w:pPr>
      <w:r w:rsidRPr="00840172">
        <w:rPr>
          <w:sz w:val="24"/>
          <w:szCs w:val="24"/>
        </w:rPr>
        <w:t>The respondent pane</w:t>
      </w:r>
      <w:r w:rsidR="003E2934" w:rsidRPr="00840172">
        <w:rPr>
          <w:sz w:val="24"/>
          <w:szCs w:val="24"/>
        </w:rPr>
        <w:t>l would</w:t>
      </w:r>
      <w:r w:rsidRPr="00840172">
        <w:rPr>
          <w:sz w:val="24"/>
          <w:szCs w:val="24"/>
        </w:rPr>
        <w:t xml:space="preserve"> include any BHC or SLHC</w:t>
      </w:r>
      <w:r w:rsidR="00FC526C" w:rsidRPr="00840172">
        <w:rPr>
          <w:rStyle w:val="FootnoteReference"/>
          <w:sz w:val="24"/>
          <w:szCs w:val="24"/>
          <w:vertAlign w:val="superscript"/>
        </w:rPr>
        <w:footnoteReference w:id="7"/>
      </w:r>
      <w:r w:rsidRPr="00840172">
        <w:rPr>
          <w:sz w:val="24"/>
          <w:szCs w:val="24"/>
        </w:rPr>
        <w:t xml:space="preserve"> with average total consolidated assets of greater than $10 billion but less than $50 billion, and any </w:t>
      </w:r>
      <w:r w:rsidR="00FC309F" w:rsidRPr="00840172">
        <w:rPr>
          <w:sz w:val="24"/>
          <w:szCs w:val="24"/>
        </w:rPr>
        <w:t xml:space="preserve">affiliated or unaffiliated </w:t>
      </w:r>
      <w:r w:rsidRPr="00840172">
        <w:rPr>
          <w:sz w:val="24"/>
          <w:szCs w:val="24"/>
        </w:rPr>
        <w:t xml:space="preserve">SMB with average total consolidated assets of more than $10 billion but less than $50 billion excluding SMB subsidiaries of covered companies.  Average total consolidated assets is based on the average of the total consolidated assets as reported on </w:t>
      </w:r>
      <w:r w:rsidR="00457556" w:rsidRPr="00840172">
        <w:rPr>
          <w:sz w:val="24"/>
          <w:szCs w:val="24"/>
        </w:rPr>
        <w:t>a</w:t>
      </w:r>
      <w:r w:rsidR="0055490D" w:rsidRPr="00840172">
        <w:rPr>
          <w:sz w:val="24"/>
          <w:szCs w:val="24"/>
        </w:rPr>
        <w:t xml:space="preserve"> </w:t>
      </w:r>
      <w:r w:rsidR="00501F97" w:rsidRPr="00840172">
        <w:rPr>
          <w:sz w:val="24"/>
          <w:szCs w:val="24"/>
        </w:rPr>
        <w:t>BHC’s</w:t>
      </w:r>
      <w:r w:rsidRPr="00840172">
        <w:rPr>
          <w:sz w:val="24"/>
          <w:szCs w:val="24"/>
        </w:rPr>
        <w:t xml:space="preserve"> four most recent FR Y-9C filings or a SMB</w:t>
      </w:r>
      <w:r w:rsidR="00501F97" w:rsidRPr="00840172">
        <w:rPr>
          <w:sz w:val="24"/>
          <w:szCs w:val="24"/>
        </w:rPr>
        <w:t>’</w:t>
      </w:r>
      <w:r w:rsidRPr="00840172">
        <w:rPr>
          <w:sz w:val="24"/>
          <w:szCs w:val="24"/>
        </w:rPr>
        <w:t>s four most recent Call Reports.</w:t>
      </w:r>
    </w:p>
    <w:p w:rsidR="003451DB" w:rsidRPr="00840172" w:rsidRDefault="003451DB" w:rsidP="003451DB">
      <w:pPr>
        <w:rPr>
          <w:sz w:val="24"/>
          <w:szCs w:val="24"/>
        </w:rPr>
      </w:pPr>
    </w:p>
    <w:p w:rsidR="003451DB" w:rsidRPr="00840172" w:rsidRDefault="003451DB" w:rsidP="003451DB">
      <w:pPr>
        <w:ind w:firstLine="720"/>
        <w:rPr>
          <w:sz w:val="24"/>
          <w:szCs w:val="24"/>
        </w:rPr>
      </w:pPr>
      <w:r w:rsidRPr="00840172">
        <w:rPr>
          <w:sz w:val="24"/>
          <w:szCs w:val="24"/>
        </w:rPr>
        <w:t>The final company-run stress testing rule does not apply to foreign banking organizations.  However, after October 1, 2015, a U</w:t>
      </w:r>
      <w:r w:rsidR="00B10FF7" w:rsidRPr="00840172">
        <w:rPr>
          <w:sz w:val="24"/>
          <w:szCs w:val="24"/>
        </w:rPr>
        <w:t>.</w:t>
      </w:r>
      <w:r w:rsidRPr="00840172">
        <w:rPr>
          <w:sz w:val="24"/>
          <w:szCs w:val="24"/>
        </w:rPr>
        <w:t>S</w:t>
      </w:r>
      <w:r w:rsidR="00B10FF7" w:rsidRPr="00840172">
        <w:rPr>
          <w:sz w:val="24"/>
          <w:szCs w:val="24"/>
        </w:rPr>
        <w:t>.</w:t>
      </w:r>
      <w:r w:rsidRPr="00840172">
        <w:rPr>
          <w:sz w:val="24"/>
          <w:szCs w:val="24"/>
        </w:rPr>
        <w:t xml:space="preserve">-domiciled </w:t>
      </w:r>
      <w:r w:rsidR="003E2934" w:rsidRPr="00840172">
        <w:rPr>
          <w:sz w:val="24"/>
          <w:szCs w:val="24"/>
        </w:rPr>
        <w:t>BHC</w:t>
      </w:r>
      <w:r w:rsidRPr="00840172">
        <w:rPr>
          <w:sz w:val="24"/>
          <w:szCs w:val="24"/>
        </w:rPr>
        <w:t xml:space="preserve"> subsidiary of a foreign banking organization that has total consolidated assets of </w:t>
      </w:r>
      <w:r w:rsidR="00C20C8F" w:rsidRPr="00840172">
        <w:rPr>
          <w:sz w:val="24"/>
          <w:szCs w:val="24"/>
        </w:rPr>
        <w:t xml:space="preserve">between </w:t>
      </w:r>
      <w:r w:rsidRPr="00840172">
        <w:rPr>
          <w:sz w:val="24"/>
          <w:szCs w:val="24"/>
        </w:rPr>
        <w:t xml:space="preserve">$10 billion </w:t>
      </w:r>
      <w:r w:rsidR="00C20C8F" w:rsidRPr="00840172">
        <w:rPr>
          <w:sz w:val="24"/>
          <w:szCs w:val="24"/>
        </w:rPr>
        <w:t xml:space="preserve">and $50 billion </w:t>
      </w:r>
      <w:r w:rsidRPr="00840172">
        <w:rPr>
          <w:sz w:val="24"/>
          <w:szCs w:val="24"/>
        </w:rPr>
        <w:t>is subject to the requirements of the final rule.</w:t>
      </w:r>
      <w:r w:rsidR="000A37EF" w:rsidRPr="00840172">
        <w:rPr>
          <w:sz w:val="24"/>
          <w:szCs w:val="24"/>
        </w:rPr>
        <w:t xml:space="preserve">  The </w:t>
      </w:r>
      <w:r w:rsidR="00E95FB7" w:rsidRPr="00840172">
        <w:rPr>
          <w:sz w:val="24"/>
          <w:szCs w:val="24"/>
        </w:rPr>
        <w:t>reporting requirements for</w:t>
      </w:r>
      <w:r w:rsidR="000A37EF" w:rsidRPr="00840172">
        <w:rPr>
          <w:sz w:val="24"/>
          <w:szCs w:val="24"/>
        </w:rPr>
        <w:t xml:space="preserve"> U</w:t>
      </w:r>
      <w:r w:rsidR="00A567E9" w:rsidRPr="00840172">
        <w:rPr>
          <w:sz w:val="24"/>
          <w:szCs w:val="24"/>
        </w:rPr>
        <w:t>.</w:t>
      </w:r>
      <w:r w:rsidR="000A37EF" w:rsidRPr="00840172">
        <w:rPr>
          <w:sz w:val="24"/>
          <w:szCs w:val="24"/>
        </w:rPr>
        <w:t>S</w:t>
      </w:r>
      <w:r w:rsidR="00A567E9" w:rsidRPr="00840172">
        <w:rPr>
          <w:sz w:val="24"/>
          <w:szCs w:val="24"/>
        </w:rPr>
        <w:t>.</w:t>
      </w:r>
      <w:r w:rsidR="000A37EF" w:rsidRPr="00840172">
        <w:rPr>
          <w:sz w:val="24"/>
          <w:szCs w:val="24"/>
        </w:rPr>
        <w:t xml:space="preserve">-domiciled BHC subsidiaries of foreign banking organizations </w:t>
      </w:r>
      <w:r w:rsidR="00873DC9" w:rsidRPr="00840172">
        <w:rPr>
          <w:sz w:val="24"/>
          <w:szCs w:val="24"/>
        </w:rPr>
        <w:t>would</w:t>
      </w:r>
      <w:r w:rsidR="000A37EF" w:rsidRPr="00840172">
        <w:rPr>
          <w:sz w:val="24"/>
          <w:szCs w:val="24"/>
        </w:rPr>
        <w:t xml:space="preserve"> </w:t>
      </w:r>
      <w:r w:rsidR="00E95FB7" w:rsidRPr="00840172">
        <w:rPr>
          <w:sz w:val="24"/>
          <w:szCs w:val="24"/>
        </w:rPr>
        <w:t xml:space="preserve">be proposed </w:t>
      </w:r>
      <w:r w:rsidR="000A37EF" w:rsidRPr="00840172">
        <w:rPr>
          <w:sz w:val="24"/>
          <w:szCs w:val="24"/>
        </w:rPr>
        <w:t>at a later date.</w:t>
      </w:r>
      <w:r w:rsidR="00EB62AA" w:rsidRPr="00840172">
        <w:rPr>
          <w:rStyle w:val="FootnoteReference"/>
          <w:sz w:val="24"/>
          <w:szCs w:val="24"/>
          <w:vertAlign w:val="superscript"/>
        </w:rPr>
        <w:footnoteReference w:id="8"/>
      </w:r>
    </w:p>
    <w:p w:rsidR="0033117F" w:rsidRDefault="0033117F" w:rsidP="003451DB">
      <w:pPr>
        <w:rPr>
          <w:b/>
          <w:sz w:val="24"/>
          <w:szCs w:val="24"/>
        </w:rPr>
      </w:pPr>
    </w:p>
    <w:p w:rsidR="003451DB" w:rsidRPr="00840172" w:rsidRDefault="003451DB" w:rsidP="003451DB">
      <w:pPr>
        <w:rPr>
          <w:b/>
          <w:sz w:val="24"/>
          <w:szCs w:val="24"/>
        </w:rPr>
      </w:pPr>
      <w:r w:rsidRPr="00840172">
        <w:rPr>
          <w:b/>
          <w:sz w:val="24"/>
          <w:szCs w:val="24"/>
        </w:rPr>
        <w:t xml:space="preserve">Time Schedule for </w:t>
      </w:r>
      <w:r w:rsidR="00873DC9" w:rsidRPr="00840172">
        <w:rPr>
          <w:b/>
          <w:sz w:val="24"/>
          <w:szCs w:val="24"/>
        </w:rPr>
        <w:t>Information</w:t>
      </w:r>
      <w:r w:rsidR="00457556" w:rsidRPr="00840172">
        <w:rPr>
          <w:b/>
          <w:sz w:val="24"/>
          <w:szCs w:val="24"/>
        </w:rPr>
        <w:t xml:space="preserve"> </w:t>
      </w:r>
      <w:r w:rsidR="00A45634" w:rsidRPr="00840172">
        <w:rPr>
          <w:b/>
          <w:sz w:val="24"/>
          <w:szCs w:val="24"/>
        </w:rPr>
        <w:t>Collection</w:t>
      </w:r>
      <w:r w:rsidR="001730CB" w:rsidRPr="00840172">
        <w:rPr>
          <w:b/>
          <w:sz w:val="24"/>
          <w:szCs w:val="24"/>
        </w:rPr>
        <w:t xml:space="preserve"> </w:t>
      </w:r>
      <w:r w:rsidR="001730CB" w:rsidRPr="00840172">
        <w:rPr>
          <w:b/>
          <w:bCs/>
          <w:sz w:val="24"/>
          <w:szCs w:val="24"/>
        </w:rPr>
        <w:t>and Publication</w:t>
      </w:r>
    </w:p>
    <w:p w:rsidR="00A45634" w:rsidRPr="00840172" w:rsidRDefault="00A45634" w:rsidP="003451DB">
      <w:pPr>
        <w:rPr>
          <w:sz w:val="24"/>
          <w:szCs w:val="24"/>
        </w:rPr>
      </w:pPr>
    </w:p>
    <w:p w:rsidR="004904E1" w:rsidRDefault="00C53FF2" w:rsidP="00C53FF2">
      <w:pPr>
        <w:ind w:firstLine="720"/>
        <w:rPr>
          <w:sz w:val="24"/>
          <w:szCs w:val="24"/>
        </w:rPr>
      </w:pPr>
      <w:r w:rsidRPr="00840172">
        <w:rPr>
          <w:sz w:val="24"/>
          <w:szCs w:val="24"/>
        </w:rPr>
        <w:t xml:space="preserve">Respondents would be required to submit </w:t>
      </w:r>
      <w:r w:rsidR="00457556" w:rsidRPr="00840172">
        <w:rPr>
          <w:sz w:val="24"/>
          <w:szCs w:val="24"/>
        </w:rPr>
        <w:t xml:space="preserve">data </w:t>
      </w:r>
      <w:r w:rsidRPr="00840172">
        <w:rPr>
          <w:sz w:val="24"/>
          <w:szCs w:val="24"/>
        </w:rPr>
        <w:t>annually, no later than March 31</w:t>
      </w:r>
      <w:r w:rsidRPr="00840172">
        <w:rPr>
          <w:sz w:val="24"/>
          <w:szCs w:val="24"/>
          <w:vertAlign w:val="superscript"/>
        </w:rPr>
        <w:t>st</w:t>
      </w:r>
      <w:r w:rsidRPr="00840172">
        <w:rPr>
          <w:sz w:val="24"/>
          <w:szCs w:val="24"/>
        </w:rPr>
        <w:t xml:space="preserve"> each year based on financial data as of September 30</w:t>
      </w:r>
      <w:r w:rsidRPr="00840172">
        <w:rPr>
          <w:sz w:val="24"/>
          <w:szCs w:val="24"/>
          <w:vertAlign w:val="superscript"/>
        </w:rPr>
        <w:t xml:space="preserve">th </w:t>
      </w:r>
      <w:r w:rsidRPr="00840172">
        <w:rPr>
          <w:sz w:val="24"/>
          <w:szCs w:val="24"/>
        </w:rPr>
        <w:t>of the prior year, beginning with the September 30, 2013</w:t>
      </w:r>
      <w:r w:rsidR="004D74BB" w:rsidRPr="00840172">
        <w:rPr>
          <w:sz w:val="24"/>
          <w:szCs w:val="24"/>
        </w:rPr>
        <w:t xml:space="preserve"> financial data and the March 31, 2014 submission date</w:t>
      </w:r>
      <w:r w:rsidRPr="00840172">
        <w:rPr>
          <w:sz w:val="24"/>
          <w:szCs w:val="24"/>
        </w:rPr>
        <w:t xml:space="preserve">.  </w:t>
      </w:r>
    </w:p>
    <w:p w:rsidR="00255969" w:rsidRPr="00840172" w:rsidRDefault="00255969" w:rsidP="00C53FF2">
      <w:pPr>
        <w:ind w:firstLine="720"/>
        <w:rPr>
          <w:color w:val="000000"/>
          <w:sz w:val="24"/>
          <w:szCs w:val="24"/>
        </w:rPr>
      </w:pPr>
    </w:p>
    <w:p w:rsidR="003451DB" w:rsidRPr="00840172" w:rsidRDefault="003451DB" w:rsidP="003451DB">
      <w:pPr>
        <w:rPr>
          <w:sz w:val="24"/>
          <w:szCs w:val="24"/>
        </w:rPr>
      </w:pPr>
      <w:r w:rsidRPr="00840172">
        <w:rPr>
          <w:b/>
          <w:sz w:val="24"/>
          <w:szCs w:val="24"/>
        </w:rPr>
        <w:t>Legal Status</w:t>
      </w:r>
    </w:p>
    <w:p w:rsidR="003451DB" w:rsidRPr="00840172" w:rsidRDefault="003451DB" w:rsidP="003451DB">
      <w:pPr>
        <w:rPr>
          <w:sz w:val="24"/>
          <w:szCs w:val="24"/>
        </w:rPr>
      </w:pPr>
    </w:p>
    <w:p w:rsidR="00840172" w:rsidRPr="00840172" w:rsidRDefault="00840172" w:rsidP="00840172">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szCs w:val="24"/>
        </w:rPr>
      </w:pPr>
      <w:r w:rsidRPr="00840172">
        <w:rPr>
          <w:rFonts w:ascii="Times New Roman" w:hAnsi="Times New Roman"/>
          <w:szCs w:val="24"/>
        </w:rPr>
        <w:tab/>
        <w:t>The Board’s Legal Division has determined that this information collection is authorized pursuant Section 165(i)(2) of the Dodd-Frank Act that specifically authorizes the Board to issue regulations implementing the annual stress testing requirements for its supervised institutions.  12 U.S.C. § 5365(i</w:t>
      </w:r>
      <w:proofErr w:type="gramStart"/>
      <w:r w:rsidRPr="00840172">
        <w:rPr>
          <w:rFonts w:ascii="Times New Roman" w:hAnsi="Times New Roman"/>
          <w:szCs w:val="24"/>
        </w:rPr>
        <w:t>)(</w:t>
      </w:r>
      <w:proofErr w:type="gramEnd"/>
      <w:r w:rsidRPr="00840172">
        <w:rPr>
          <w:rFonts w:ascii="Times New Roman" w:hAnsi="Times New Roman"/>
          <w:szCs w:val="24"/>
        </w:rPr>
        <w:t xml:space="preserve">2)(C).  More generally, with respect to </w:t>
      </w:r>
      <w:r w:rsidRPr="00840172">
        <w:rPr>
          <w:rFonts w:ascii="Times New Roman" w:hAnsi="Times New Roman"/>
          <w:szCs w:val="24"/>
          <w:u w:val="single"/>
        </w:rPr>
        <w:t>bank</w:t>
      </w:r>
      <w:r w:rsidRPr="00840172">
        <w:rPr>
          <w:rFonts w:ascii="Times New Roman" w:hAnsi="Times New Roman"/>
          <w:szCs w:val="24"/>
        </w:rPr>
        <w:t xml:space="preserve"> </w:t>
      </w:r>
      <w:r w:rsidRPr="00840172">
        <w:rPr>
          <w:rFonts w:ascii="Times New Roman" w:hAnsi="Times New Roman"/>
          <w:szCs w:val="24"/>
          <w:u w:val="single"/>
        </w:rPr>
        <w:t>holding</w:t>
      </w:r>
      <w:r w:rsidRPr="00840172">
        <w:rPr>
          <w:rFonts w:ascii="Times New Roman" w:hAnsi="Times New Roman"/>
          <w:szCs w:val="24"/>
        </w:rPr>
        <w:t xml:space="preserve"> </w:t>
      </w:r>
      <w:r w:rsidRPr="00840172">
        <w:rPr>
          <w:rFonts w:ascii="Times New Roman" w:hAnsi="Times New Roman"/>
          <w:szCs w:val="24"/>
          <w:u w:val="single"/>
        </w:rPr>
        <w:t>companies</w:t>
      </w:r>
      <w:r w:rsidRPr="00840172">
        <w:rPr>
          <w:rFonts w:ascii="Times New Roman" w:hAnsi="Times New Roman"/>
          <w:szCs w:val="24"/>
        </w:rPr>
        <w:t>, Section 5(c) of the Bank Holding Company Act, 12 U.S.C. § 1844(c), authorizes the Board to require a bank holding company and any subsidiary “to keep the Board informed as to – (i) its financial condition, [and] systems for monitoring and controlling financial and operating risks … .”</w:t>
      </w:r>
      <w:r w:rsidRPr="00840172">
        <w:rPr>
          <w:rFonts w:ascii="Times New Roman" w:hAnsi="Times New Roman"/>
          <w:szCs w:val="24"/>
          <w:vertAlign w:val="superscript"/>
        </w:rPr>
        <w:t xml:space="preserve"> </w:t>
      </w:r>
      <w:r w:rsidRPr="00840172">
        <w:rPr>
          <w:rFonts w:ascii="Times New Roman" w:hAnsi="Times New Roman"/>
          <w:szCs w:val="24"/>
        </w:rPr>
        <w:t xml:space="preserve"> Section 9(6) of the Federal Reserve Act, 12 U.S.C. § 324, requires </w:t>
      </w:r>
      <w:r w:rsidRPr="00840172">
        <w:rPr>
          <w:rFonts w:ascii="Times New Roman" w:hAnsi="Times New Roman"/>
          <w:szCs w:val="24"/>
          <w:u w:val="single"/>
        </w:rPr>
        <w:t>state</w:t>
      </w:r>
      <w:r w:rsidRPr="00840172">
        <w:rPr>
          <w:rFonts w:ascii="Times New Roman" w:hAnsi="Times New Roman"/>
          <w:szCs w:val="24"/>
        </w:rPr>
        <w:t xml:space="preserve"> </w:t>
      </w:r>
      <w:r w:rsidRPr="00840172">
        <w:rPr>
          <w:rFonts w:ascii="Times New Roman" w:hAnsi="Times New Roman"/>
          <w:szCs w:val="24"/>
          <w:u w:val="single"/>
        </w:rPr>
        <w:t>member</w:t>
      </w:r>
      <w:r w:rsidRPr="00840172">
        <w:rPr>
          <w:rFonts w:ascii="Times New Roman" w:hAnsi="Times New Roman"/>
          <w:szCs w:val="24"/>
        </w:rPr>
        <w:t xml:space="preserve"> </w:t>
      </w:r>
      <w:r w:rsidRPr="00840172">
        <w:rPr>
          <w:rFonts w:ascii="Times New Roman" w:hAnsi="Times New Roman"/>
          <w:szCs w:val="24"/>
          <w:u w:val="single"/>
        </w:rPr>
        <w:t>banks</w:t>
      </w:r>
      <w:r w:rsidRPr="00840172">
        <w:rPr>
          <w:rFonts w:ascii="Times New Roman" w:hAnsi="Times New Roman"/>
          <w:szCs w:val="24"/>
        </w:rPr>
        <w:t xml:space="preserve"> to make </w:t>
      </w:r>
      <w:r w:rsidRPr="00840172">
        <w:rPr>
          <w:rFonts w:ascii="Times New Roman" w:hAnsi="Times New Roman"/>
          <w:szCs w:val="24"/>
        </w:rPr>
        <w:lastRenderedPageBreak/>
        <w:t xml:space="preserve">reports of condition to their supervising Reserve Bank in such form and containing such information as the Board may require.  Finally, with respect to </w:t>
      </w:r>
      <w:r w:rsidRPr="00840172">
        <w:rPr>
          <w:rFonts w:ascii="Times New Roman" w:hAnsi="Times New Roman"/>
          <w:szCs w:val="24"/>
          <w:u w:val="single"/>
        </w:rPr>
        <w:t>savings</w:t>
      </w:r>
      <w:r w:rsidRPr="00840172">
        <w:rPr>
          <w:rFonts w:ascii="Times New Roman" w:hAnsi="Times New Roman"/>
          <w:szCs w:val="24"/>
        </w:rPr>
        <w:t xml:space="preserve"> </w:t>
      </w:r>
      <w:r w:rsidRPr="00840172">
        <w:rPr>
          <w:rFonts w:ascii="Times New Roman" w:hAnsi="Times New Roman"/>
          <w:szCs w:val="24"/>
          <w:u w:val="single"/>
        </w:rPr>
        <w:t>and</w:t>
      </w:r>
      <w:r w:rsidRPr="00840172">
        <w:rPr>
          <w:rFonts w:ascii="Times New Roman" w:hAnsi="Times New Roman"/>
          <w:szCs w:val="24"/>
        </w:rPr>
        <w:t xml:space="preserve"> </w:t>
      </w:r>
      <w:r w:rsidRPr="00840172">
        <w:rPr>
          <w:rFonts w:ascii="Times New Roman" w:hAnsi="Times New Roman"/>
          <w:szCs w:val="24"/>
          <w:u w:val="single"/>
        </w:rPr>
        <w:t>loan</w:t>
      </w:r>
      <w:r w:rsidRPr="00840172">
        <w:rPr>
          <w:rFonts w:ascii="Times New Roman" w:hAnsi="Times New Roman"/>
          <w:szCs w:val="24"/>
        </w:rPr>
        <w:t xml:space="preserve"> </w:t>
      </w:r>
      <w:r w:rsidRPr="00840172">
        <w:rPr>
          <w:rFonts w:ascii="Times New Roman" w:hAnsi="Times New Roman"/>
          <w:szCs w:val="24"/>
          <w:u w:val="single"/>
        </w:rPr>
        <w:t>holding</w:t>
      </w:r>
      <w:r w:rsidRPr="00840172">
        <w:rPr>
          <w:rFonts w:ascii="Times New Roman" w:hAnsi="Times New Roman"/>
          <w:szCs w:val="24"/>
        </w:rPr>
        <w:t xml:space="preserve"> </w:t>
      </w:r>
      <w:r w:rsidRPr="00840172">
        <w:rPr>
          <w:rFonts w:ascii="Times New Roman" w:hAnsi="Times New Roman"/>
          <w:szCs w:val="24"/>
          <w:u w:val="single"/>
        </w:rPr>
        <w:t>companies</w:t>
      </w:r>
      <w:r w:rsidRPr="00840172">
        <w:rPr>
          <w:rFonts w:ascii="Times New Roman" w:hAnsi="Times New Roman"/>
          <w:szCs w:val="24"/>
        </w:rPr>
        <w:t xml:space="preserve">, under Section 312 of the Dodd-Frank Act, 12 U.S.C. § 5412, the Board succeeded to all powers and authorities of the OTS and its Director, including the authority to require SLHCs to “file … such reports as may be required … in such form and for such periods as the [agency] may prescribe.”  12 U.S.C. § </w:t>
      </w:r>
      <w:proofErr w:type="gramStart"/>
      <w:r w:rsidRPr="00840172">
        <w:rPr>
          <w:rFonts w:ascii="Times New Roman" w:hAnsi="Times New Roman"/>
          <w:szCs w:val="24"/>
        </w:rPr>
        <w:t>1467a(</w:t>
      </w:r>
      <w:proofErr w:type="gramEnd"/>
      <w:r w:rsidRPr="00840172">
        <w:rPr>
          <w:rFonts w:ascii="Times New Roman" w:hAnsi="Times New Roman"/>
          <w:szCs w:val="24"/>
        </w:rPr>
        <w:t xml:space="preserve">b)(2).  </w:t>
      </w:r>
    </w:p>
    <w:p w:rsidR="00840172" w:rsidRPr="00840172" w:rsidRDefault="00840172" w:rsidP="00840172">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szCs w:val="24"/>
        </w:rPr>
      </w:pPr>
    </w:p>
    <w:p w:rsidR="00840172" w:rsidRPr="00840172" w:rsidRDefault="00840172" w:rsidP="00840172">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szCs w:val="24"/>
        </w:rPr>
      </w:pPr>
      <w:r w:rsidRPr="00840172">
        <w:rPr>
          <w:rFonts w:ascii="Times New Roman" w:hAnsi="Times New Roman"/>
          <w:szCs w:val="24"/>
        </w:rPr>
        <w:tab/>
      </w:r>
      <w:r w:rsidRPr="009403EE">
        <w:rPr>
          <w:rFonts w:ascii="Times New Roman" w:hAnsi="Times New Roman"/>
          <w:szCs w:val="24"/>
        </w:rPr>
        <w:t>Obligation to Respond is Mandatory</w:t>
      </w:r>
      <w:r w:rsidRPr="00840172">
        <w:rPr>
          <w:rFonts w:ascii="Times New Roman" w:hAnsi="Times New Roman"/>
          <w:szCs w:val="24"/>
        </w:rPr>
        <w:t>:</w:t>
      </w:r>
      <w:r w:rsidR="009403EE">
        <w:rPr>
          <w:rFonts w:ascii="Times New Roman" w:hAnsi="Times New Roman"/>
          <w:szCs w:val="24"/>
        </w:rPr>
        <w:t xml:space="preserve">  </w:t>
      </w:r>
      <w:r w:rsidRPr="00840172">
        <w:rPr>
          <w:rFonts w:ascii="Times New Roman" w:hAnsi="Times New Roman"/>
          <w:szCs w:val="24"/>
        </w:rPr>
        <w:t>Section 165(i</w:t>
      </w:r>
      <w:proofErr w:type="gramStart"/>
      <w:r w:rsidRPr="00840172">
        <w:rPr>
          <w:rFonts w:ascii="Times New Roman" w:hAnsi="Times New Roman"/>
          <w:szCs w:val="24"/>
        </w:rPr>
        <w:t>)(</w:t>
      </w:r>
      <w:proofErr w:type="gramEnd"/>
      <w:r w:rsidRPr="00840172">
        <w:rPr>
          <w:rFonts w:ascii="Times New Roman" w:hAnsi="Times New Roman"/>
          <w:szCs w:val="24"/>
        </w:rPr>
        <w:t>2)(A) provides that  “financial companies that have total consolidated assets [meeting the asset thresholds] … and are regulated by a primary  Federal financial regulatory agency shall conduct annual stress tests.” Section 165(i</w:t>
      </w:r>
      <w:proofErr w:type="gramStart"/>
      <w:r w:rsidRPr="00840172">
        <w:rPr>
          <w:rFonts w:ascii="Times New Roman" w:hAnsi="Times New Roman"/>
          <w:szCs w:val="24"/>
        </w:rPr>
        <w:t>)(</w:t>
      </w:r>
      <w:proofErr w:type="gramEnd"/>
      <w:r w:rsidRPr="00840172">
        <w:rPr>
          <w:rFonts w:ascii="Times New Roman" w:hAnsi="Times New Roman"/>
          <w:szCs w:val="24"/>
        </w:rPr>
        <w:t>2)(B) provides that a company required to conduct annual stress tests “shall submit a report to the Board of Governors and to its primary financial regulatory agency at such time, in such form, and containing such information as the primary financial regulatory agency shall require.”  12 U.S.C. § 5365(i</w:t>
      </w:r>
      <w:proofErr w:type="gramStart"/>
      <w:r w:rsidRPr="00840172">
        <w:rPr>
          <w:rFonts w:ascii="Times New Roman" w:hAnsi="Times New Roman"/>
          <w:szCs w:val="24"/>
        </w:rPr>
        <w:t>)(</w:t>
      </w:r>
      <w:proofErr w:type="gramEnd"/>
      <w:r w:rsidRPr="00840172">
        <w:rPr>
          <w:rFonts w:ascii="Times New Roman" w:hAnsi="Times New Roman"/>
          <w:szCs w:val="24"/>
        </w:rPr>
        <w:t xml:space="preserve">2)(B).  </w:t>
      </w:r>
    </w:p>
    <w:p w:rsidR="00840172" w:rsidRPr="00840172" w:rsidRDefault="00840172" w:rsidP="00840172">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szCs w:val="24"/>
        </w:rPr>
      </w:pPr>
    </w:p>
    <w:p w:rsidR="003451DB" w:rsidRPr="00840172" w:rsidRDefault="00840172" w:rsidP="00840172">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szCs w:val="24"/>
        </w:rPr>
      </w:pPr>
      <w:r w:rsidRPr="00840172">
        <w:rPr>
          <w:rFonts w:ascii="Times New Roman" w:hAnsi="Times New Roman"/>
          <w:szCs w:val="24"/>
        </w:rPr>
        <w:tab/>
      </w:r>
      <w:r w:rsidRPr="009403EE">
        <w:rPr>
          <w:rFonts w:ascii="Times New Roman" w:hAnsi="Times New Roman"/>
          <w:szCs w:val="24"/>
        </w:rPr>
        <w:t>Confidentiality</w:t>
      </w:r>
      <w:r w:rsidRPr="00840172">
        <w:rPr>
          <w:rFonts w:ascii="Times New Roman" w:hAnsi="Times New Roman"/>
          <w:szCs w:val="24"/>
        </w:rPr>
        <w:t>:  As noted under Section 165(i</w:t>
      </w:r>
      <w:proofErr w:type="gramStart"/>
      <w:r w:rsidRPr="00840172">
        <w:rPr>
          <w:rFonts w:ascii="Times New Roman" w:hAnsi="Times New Roman"/>
          <w:szCs w:val="24"/>
        </w:rPr>
        <w:t>)(</w:t>
      </w:r>
      <w:proofErr w:type="gramEnd"/>
      <w:r w:rsidRPr="00840172">
        <w:rPr>
          <w:rFonts w:ascii="Times New Roman" w:hAnsi="Times New Roman"/>
          <w:szCs w:val="24"/>
        </w:rPr>
        <w:t>2)(C)(iv),  companies conducting annual stress tests under these provisions are “require[d] … to publish a summary of the results of the required stress tests.”  12 U.S.C. § 5365(i</w:t>
      </w:r>
      <w:proofErr w:type="gramStart"/>
      <w:r w:rsidRPr="00840172">
        <w:rPr>
          <w:rFonts w:ascii="Times New Roman" w:hAnsi="Times New Roman"/>
          <w:szCs w:val="24"/>
        </w:rPr>
        <w:t>)(</w:t>
      </w:r>
      <w:proofErr w:type="gramEnd"/>
      <w:r w:rsidRPr="00840172">
        <w:rPr>
          <w:rFonts w:ascii="Times New Roman" w:hAnsi="Times New Roman"/>
          <w:szCs w:val="24"/>
        </w:rPr>
        <w:t xml:space="preserve">2)(C)(iv).  Regarding the information collected by the </w:t>
      </w:r>
      <w:r w:rsidRPr="00840172">
        <w:rPr>
          <w:rFonts w:ascii="Times New Roman" w:hAnsi="Times New Roman"/>
          <w:szCs w:val="24"/>
          <w:u w:val="single"/>
        </w:rPr>
        <w:t>Board</w:t>
      </w:r>
      <w:r w:rsidRPr="00840172">
        <w:rPr>
          <w:rFonts w:ascii="Times New Roman" w:hAnsi="Times New Roman"/>
          <w:szCs w:val="24"/>
        </w:rPr>
        <w:t>, however, as such information will be collected as part of the Board’s supervisory process, it may be accorded confidential treatment under Exemption 8 of the Freedom of Information Act (FOIA), 5 U.S.C. § 552(b)(8).  This information also is the type of confidential commercial and financial information that may be withheld under Exemption 4 of FOIA, 5 U.S.C. § 552(b</w:t>
      </w:r>
      <w:proofErr w:type="gramStart"/>
      <w:r w:rsidRPr="00840172">
        <w:rPr>
          <w:rFonts w:ascii="Times New Roman" w:hAnsi="Times New Roman"/>
          <w:szCs w:val="24"/>
        </w:rPr>
        <w:t>)(</w:t>
      </w:r>
      <w:proofErr w:type="gramEnd"/>
      <w:r w:rsidRPr="00840172">
        <w:rPr>
          <w:rFonts w:ascii="Times New Roman" w:hAnsi="Times New Roman"/>
          <w:szCs w:val="24"/>
        </w:rPr>
        <w:t xml:space="preserve">4).   As </w:t>
      </w:r>
      <w:r w:rsidRPr="00840172">
        <w:rPr>
          <w:rFonts w:ascii="Times New Roman" w:hAnsi="Times New Roman"/>
          <w:szCs w:val="24"/>
          <w:u w:val="single"/>
        </w:rPr>
        <w:t>required</w:t>
      </w:r>
      <w:r w:rsidRPr="00840172">
        <w:rPr>
          <w:rFonts w:ascii="Times New Roman" w:hAnsi="Times New Roman"/>
          <w:szCs w:val="24"/>
        </w:rPr>
        <w:t xml:space="preserve"> information, it may be withheld under Exemption 4 only if public disclosure could result in substantial competitive harm to the submitting institution, under </w:t>
      </w:r>
      <w:r w:rsidRPr="00840172">
        <w:rPr>
          <w:rFonts w:ascii="Times New Roman" w:hAnsi="Times New Roman"/>
          <w:szCs w:val="24"/>
          <w:u w:val="single"/>
        </w:rPr>
        <w:t>National Parks &amp; Conservation Ass’n v. Morton</w:t>
      </w:r>
      <w:r w:rsidRPr="00840172">
        <w:rPr>
          <w:rFonts w:ascii="Times New Roman" w:hAnsi="Times New Roman"/>
          <w:szCs w:val="24"/>
        </w:rPr>
        <w:t xml:space="preserve">, 498 F.2d 765 (D.C. Cir. 1974).  </w:t>
      </w:r>
    </w:p>
    <w:p w:rsidR="003451DB" w:rsidRPr="00840172" w:rsidRDefault="003451DB" w:rsidP="003451DB">
      <w:pPr>
        <w:rPr>
          <w:sz w:val="24"/>
          <w:szCs w:val="24"/>
        </w:rPr>
      </w:pPr>
    </w:p>
    <w:p w:rsidR="003451DB" w:rsidRPr="00840172" w:rsidRDefault="003451DB" w:rsidP="003451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40172">
        <w:rPr>
          <w:b/>
          <w:sz w:val="24"/>
          <w:szCs w:val="24"/>
        </w:rPr>
        <w:t xml:space="preserve">Consultation </w:t>
      </w:r>
      <w:proofErr w:type="gramStart"/>
      <w:r w:rsidRPr="00840172">
        <w:rPr>
          <w:b/>
          <w:sz w:val="24"/>
          <w:szCs w:val="24"/>
        </w:rPr>
        <w:t>Outside</w:t>
      </w:r>
      <w:proofErr w:type="gramEnd"/>
      <w:r w:rsidRPr="00840172">
        <w:rPr>
          <w:b/>
          <w:sz w:val="24"/>
          <w:szCs w:val="24"/>
        </w:rPr>
        <w:t xml:space="preserve"> the Agency</w:t>
      </w:r>
    </w:p>
    <w:p w:rsidR="003451DB" w:rsidRPr="00840172" w:rsidRDefault="003451DB" w:rsidP="003451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451DB" w:rsidRPr="002D6233" w:rsidRDefault="0033117F" w:rsidP="003451DB">
      <w:pPr>
        <w:ind w:firstLine="720"/>
        <w:rPr>
          <w:color w:val="000000"/>
          <w:sz w:val="24"/>
          <w:szCs w:val="24"/>
        </w:rPr>
      </w:pPr>
      <w:r w:rsidRPr="00013E65">
        <w:rPr>
          <w:sz w:val="24"/>
          <w:szCs w:val="24"/>
        </w:rPr>
        <w:t>The Federal Reserve</w:t>
      </w:r>
      <w:r>
        <w:rPr>
          <w:color w:val="000000"/>
          <w:sz w:val="24"/>
          <w:szCs w:val="24"/>
        </w:rPr>
        <w:t xml:space="preserve"> </w:t>
      </w:r>
      <w:r w:rsidR="003451DB" w:rsidRPr="00840172">
        <w:rPr>
          <w:color w:val="000000"/>
          <w:sz w:val="24"/>
          <w:szCs w:val="24"/>
        </w:rPr>
        <w:t xml:space="preserve">has consulted with other federal regulators, including the OCC and the FDIC in an effort to coordinate the stress testing reporting requirements for BHCs and their depository institution subsidiaries.  During the public comment </w:t>
      </w:r>
      <w:r w:rsidR="00A45634" w:rsidRPr="00840172">
        <w:rPr>
          <w:color w:val="000000"/>
          <w:sz w:val="24"/>
          <w:szCs w:val="24"/>
        </w:rPr>
        <w:t>period</w:t>
      </w:r>
      <w:r w:rsidR="00FE5A81" w:rsidRPr="00840172">
        <w:rPr>
          <w:color w:val="000000"/>
          <w:sz w:val="24"/>
          <w:szCs w:val="24"/>
        </w:rPr>
        <w:t xml:space="preserve">, </w:t>
      </w:r>
      <w:r>
        <w:rPr>
          <w:color w:val="000000"/>
          <w:sz w:val="24"/>
          <w:szCs w:val="24"/>
        </w:rPr>
        <w:t xml:space="preserve">the </w:t>
      </w:r>
      <w:r w:rsidR="00FE5A81" w:rsidRPr="00840172">
        <w:rPr>
          <w:color w:val="000000"/>
          <w:sz w:val="24"/>
          <w:szCs w:val="24"/>
        </w:rPr>
        <w:t>Federal</w:t>
      </w:r>
      <w:r w:rsidR="00A45634" w:rsidRPr="00840172">
        <w:rPr>
          <w:color w:val="000000"/>
          <w:sz w:val="24"/>
          <w:szCs w:val="24"/>
        </w:rPr>
        <w:t xml:space="preserve"> </w:t>
      </w:r>
      <w:r>
        <w:rPr>
          <w:color w:val="000000"/>
          <w:sz w:val="24"/>
          <w:szCs w:val="24"/>
        </w:rPr>
        <w:t xml:space="preserve">Reserve </w:t>
      </w:r>
      <w:r w:rsidR="00873DC9" w:rsidRPr="002D6233">
        <w:rPr>
          <w:color w:val="000000"/>
          <w:sz w:val="24"/>
          <w:szCs w:val="24"/>
        </w:rPr>
        <w:t>would</w:t>
      </w:r>
      <w:r w:rsidR="003451DB" w:rsidRPr="002D6233">
        <w:rPr>
          <w:color w:val="000000"/>
          <w:sz w:val="24"/>
          <w:szCs w:val="24"/>
        </w:rPr>
        <w:t xml:space="preserve"> engage industry groups and</w:t>
      </w:r>
      <w:r w:rsidR="001B21D3" w:rsidRPr="002D6233">
        <w:rPr>
          <w:color w:val="000000"/>
          <w:sz w:val="24"/>
          <w:szCs w:val="24"/>
        </w:rPr>
        <w:t xml:space="preserve"> possibly the respective</w:t>
      </w:r>
      <w:r w:rsidR="003451DB" w:rsidRPr="002D6233">
        <w:rPr>
          <w:color w:val="000000"/>
          <w:sz w:val="24"/>
          <w:szCs w:val="24"/>
        </w:rPr>
        <w:t xml:space="preserve"> respondents</w:t>
      </w:r>
      <w:r w:rsidR="003D7DBA" w:rsidRPr="002D6233">
        <w:rPr>
          <w:color w:val="000000"/>
          <w:sz w:val="24"/>
          <w:szCs w:val="24"/>
        </w:rPr>
        <w:t>.</w:t>
      </w:r>
      <w:r w:rsidR="00A45634" w:rsidRPr="002D6233">
        <w:rPr>
          <w:color w:val="000000"/>
          <w:sz w:val="24"/>
          <w:szCs w:val="24"/>
        </w:rPr>
        <w:t xml:space="preserve"> </w:t>
      </w:r>
      <w:r w:rsidR="00FC4394" w:rsidRPr="002D6233">
        <w:rPr>
          <w:color w:val="000000"/>
          <w:sz w:val="24"/>
          <w:szCs w:val="24"/>
        </w:rPr>
        <w:t xml:space="preserve"> </w:t>
      </w:r>
      <w:r w:rsidR="00A45634" w:rsidRPr="002D6233">
        <w:rPr>
          <w:color w:val="000000"/>
          <w:sz w:val="24"/>
          <w:szCs w:val="24"/>
        </w:rPr>
        <w:t>This outreach would</w:t>
      </w:r>
      <w:r w:rsidR="003451DB" w:rsidRPr="002D6233">
        <w:rPr>
          <w:color w:val="000000"/>
          <w:sz w:val="24"/>
          <w:szCs w:val="24"/>
        </w:rPr>
        <w:t xml:space="preserve"> help </w:t>
      </w:r>
      <w:r w:rsidRPr="002D6233">
        <w:rPr>
          <w:color w:val="000000"/>
          <w:sz w:val="24"/>
          <w:szCs w:val="24"/>
        </w:rPr>
        <w:t xml:space="preserve">to </w:t>
      </w:r>
      <w:r w:rsidR="003451DB" w:rsidRPr="002D6233">
        <w:rPr>
          <w:color w:val="000000"/>
          <w:sz w:val="24"/>
          <w:szCs w:val="24"/>
        </w:rPr>
        <w:t>refine the data items in the final schedules and clarify the accompanying instructions.</w:t>
      </w:r>
    </w:p>
    <w:p w:rsidR="0033117F" w:rsidRPr="002D6233" w:rsidRDefault="0033117F" w:rsidP="0033117F">
      <w:pPr>
        <w:ind w:firstLine="720"/>
        <w:rPr>
          <w:sz w:val="24"/>
          <w:szCs w:val="24"/>
        </w:rPr>
      </w:pPr>
    </w:p>
    <w:p w:rsidR="0033117F" w:rsidRPr="002D6233" w:rsidRDefault="0033117F" w:rsidP="002D6233">
      <w:pPr>
        <w:autoSpaceDE w:val="0"/>
        <w:autoSpaceDN w:val="0"/>
        <w:adjustRightInd w:val="0"/>
        <w:ind w:firstLine="720"/>
        <w:rPr>
          <w:snapToGrid w:val="0"/>
          <w:sz w:val="24"/>
          <w:szCs w:val="24"/>
        </w:rPr>
      </w:pPr>
      <w:r w:rsidRPr="002D6233">
        <w:rPr>
          <w:sz w:val="24"/>
          <w:szCs w:val="24"/>
        </w:rPr>
        <w:t xml:space="preserve">On March 15, 2013, the Federal Reserve published a notice in the </w:t>
      </w:r>
      <w:r w:rsidRPr="002D6233">
        <w:rPr>
          <w:i/>
          <w:sz w:val="24"/>
          <w:szCs w:val="24"/>
        </w:rPr>
        <w:t>Federal Register</w:t>
      </w:r>
      <w:r w:rsidRPr="002D6233">
        <w:rPr>
          <w:sz w:val="24"/>
          <w:szCs w:val="24"/>
        </w:rPr>
        <w:t xml:space="preserve"> (78 FR </w:t>
      </w:r>
      <w:r w:rsidR="00E60D50" w:rsidRPr="002D6233">
        <w:rPr>
          <w:sz w:val="24"/>
          <w:szCs w:val="24"/>
        </w:rPr>
        <w:t>16502)</w:t>
      </w:r>
      <w:r w:rsidRPr="002D6233">
        <w:rPr>
          <w:sz w:val="24"/>
          <w:szCs w:val="24"/>
        </w:rPr>
        <w:t xml:space="preserve"> requesting public comment for 60 days on the proposal to implement the Annual Company-Run Stress Test Projections information collection.  The comment period for this notice expire</w:t>
      </w:r>
      <w:r w:rsidR="00A97450" w:rsidRPr="002D6233">
        <w:rPr>
          <w:sz w:val="24"/>
          <w:szCs w:val="24"/>
        </w:rPr>
        <w:t>d</w:t>
      </w:r>
      <w:r w:rsidRPr="002D6233">
        <w:rPr>
          <w:sz w:val="24"/>
          <w:szCs w:val="24"/>
        </w:rPr>
        <w:t xml:space="preserve"> on May 14, 2013.</w:t>
      </w:r>
      <w:r w:rsidR="00C1230A" w:rsidRPr="002D6233">
        <w:rPr>
          <w:sz w:val="24"/>
          <w:szCs w:val="24"/>
        </w:rPr>
        <w:t xml:space="preserve">  </w:t>
      </w:r>
      <w:r w:rsidR="002D6233" w:rsidRPr="002D6233">
        <w:rPr>
          <w:snapToGrid w:val="0"/>
          <w:sz w:val="24"/>
          <w:szCs w:val="24"/>
        </w:rPr>
        <w:t xml:space="preserve">The Federal Reserve received </w:t>
      </w:r>
      <w:r w:rsidR="002D6233">
        <w:rPr>
          <w:snapToGrid w:val="0"/>
          <w:sz w:val="24"/>
          <w:szCs w:val="24"/>
        </w:rPr>
        <w:t>four</w:t>
      </w:r>
      <w:r w:rsidR="002D6233" w:rsidRPr="002D6233">
        <w:rPr>
          <w:snapToGrid w:val="0"/>
          <w:sz w:val="24"/>
          <w:szCs w:val="24"/>
        </w:rPr>
        <w:t xml:space="preserve"> comment letters addressing the </w:t>
      </w:r>
      <w:r w:rsidR="002D6233" w:rsidRPr="002D6233">
        <w:rPr>
          <w:sz w:val="24"/>
          <w:szCs w:val="24"/>
        </w:rPr>
        <w:t xml:space="preserve">proposed implementation of the FR Y-16: two from financial holding companies, one from a trade organization, and one from a modeling service provider.  </w:t>
      </w:r>
      <w:r w:rsidR="002D6233" w:rsidRPr="002D6233">
        <w:rPr>
          <w:snapToGrid w:val="0"/>
          <w:sz w:val="24"/>
          <w:szCs w:val="24"/>
        </w:rPr>
        <w:t>No comments specifically addressed the burden estimates.</w:t>
      </w:r>
      <w:r w:rsidR="002D6233">
        <w:rPr>
          <w:snapToGrid w:val="0"/>
          <w:sz w:val="24"/>
          <w:szCs w:val="24"/>
        </w:rPr>
        <w:t xml:space="preserve">  </w:t>
      </w:r>
      <w:r w:rsidR="002D6233" w:rsidRPr="002D6233">
        <w:rPr>
          <w:sz w:val="24"/>
          <w:szCs w:val="24"/>
        </w:rPr>
        <w:t xml:space="preserve">Some general comments were received regarding the report format, instructions, and the timing of implementation.  In addition, the commenters focused on specific data items proposed for collection on the results schedules.  In some cases, commenters compared the level of detail required in the proposed FR Y-16 to the requirements of the Capital Assessments and Stress Testing information collection (FR Y-14A/Q/M; OMB No. 7100-0341) </w:t>
      </w:r>
      <w:r w:rsidR="002D6233" w:rsidRPr="002D6233">
        <w:rPr>
          <w:sz w:val="24"/>
          <w:szCs w:val="24"/>
        </w:rPr>
        <w:lastRenderedPageBreak/>
        <w:t>applicable to BHCs with $50 billion or more in total assets.</w:t>
      </w:r>
      <w:r w:rsidR="002D6233" w:rsidRPr="001235DD">
        <w:rPr>
          <w:rStyle w:val="FootnoteReference"/>
          <w:sz w:val="24"/>
          <w:szCs w:val="24"/>
          <w:vertAlign w:val="superscript"/>
        </w:rPr>
        <w:footnoteReference w:id="9"/>
      </w:r>
      <w:r w:rsidR="002D6233" w:rsidRPr="001235DD">
        <w:rPr>
          <w:sz w:val="24"/>
          <w:szCs w:val="24"/>
          <w:vertAlign w:val="superscript"/>
        </w:rPr>
        <w:t xml:space="preserve"> </w:t>
      </w:r>
      <w:r w:rsidR="002D6233" w:rsidRPr="002D6233">
        <w:rPr>
          <w:sz w:val="24"/>
          <w:szCs w:val="24"/>
        </w:rPr>
        <w:t xml:space="preserve"> Lastly, one commenter asked for clarification regarding whether to incorporate changes from the Board’s rule revising </w:t>
      </w:r>
      <w:proofErr w:type="gramStart"/>
      <w:r w:rsidR="001235DD" w:rsidRPr="002D6233">
        <w:rPr>
          <w:sz w:val="24"/>
          <w:szCs w:val="24"/>
        </w:rPr>
        <w:t>its</w:t>
      </w:r>
      <w:proofErr w:type="gramEnd"/>
      <w:r w:rsidR="002D6233" w:rsidRPr="002D6233">
        <w:rPr>
          <w:sz w:val="24"/>
          <w:szCs w:val="24"/>
        </w:rPr>
        <w:t xml:space="preserve"> risk-based and leverage capital requirements for banking organizations (“revised capital rule”)</w:t>
      </w:r>
      <w:r w:rsidR="002D6233" w:rsidRPr="001235DD">
        <w:rPr>
          <w:rStyle w:val="FootnoteReference"/>
          <w:sz w:val="24"/>
          <w:szCs w:val="24"/>
          <w:vertAlign w:val="superscript"/>
        </w:rPr>
        <w:footnoteReference w:id="10"/>
      </w:r>
      <w:r w:rsidR="002D6233" w:rsidRPr="002D6233">
        <w:rPr>
          <w:sz w:val="24"/>
          <w:szCs w:val="24"/>
        </w:rPr>
        <w:t xml:space="preserve"> into their capital projections under the supervisory scenarios.</w:t>
      </w:r>
      <w:r w:rsidR="002D6233">
        <w:rPr>
          <w:snapToGrid w:val="0"/>
          <w:sz w:val="24"/>
          <w:szCs w:val="24"/>
        </w:rPr>
        <w:t xml:space="preserve">  </w:t>
      </w:r>
      <w:r w:rsidR="002D6233" w:rsidRPr="002D6233">
        <w:rPr>
          <w:sz w:val="24"/>
          <w:szCs w:val="24"/>
        </w:rPr>
        <w:t xml:space="preserve">On September 30, 2013, the Federal Reserve published a final notice in the </w:t>
      </w:r>
      <w:r w:rsidR="002D6233" w:rsidRPr="002D6233">
        <w:rPr>
          <w:i/>
          <w:sz w:val="24"/>
          <w:szCs w:val="24"/>
        </w:rPr>
        <w:t>Federal Register</w:t>
      </w:r>
      <w:r w:rsidR="002D6233" w:rsidRPr="002D6233">
        <w:rPr>
          <w:sz w:val="24"/>
          <w:szCs w:val="24"/>
        </w:rPr>
        <w:t xml:space="preserve"> (78 FR </w:t>
      </w:r>
      <w:r w:rsidR="001235DD">
        <w:rPr>
          <w:sz w:val="24"/>
          <w:szCs w:val="24"/>
        </w:rPr>
        <w:t>59930</w:t>
      </w:r>
      <w:r w:rsidR="002D6233" w:rsidRPr="002D6233">
        <w:rPr>
          <w:sz w:val="24"/>
          <w:szCs w:val="24"/>
        </w:rPr>
        <w:t xml:space="preserve">) implementing the </w:t>
      </w:r>
      <w:r w:rsidR="002D6233">
        <w:rPr>
          <w:sz w:val="24"/>
          <w:szCs w:val="24"/>
        </w:rPr>
        <w:t>FR Y-16</w:t>
      </w:r>
      <w:r w:rsidR="002D6233" w:rsidRPr="002D6233">
        <w:rPr>
          <w:sz w:val="24"/>
          <w:szCs w:val="24"/>
        </w:rPr>
        <w:t xml:space="preserve"> largely as proposed</w:t>
      </w:r>
      <w:r w:rsidR="002D6233">
        <w:rPr>
          <w:sz w:val="24"/>
          <w:szCs w:val="24"/>
        </w:rPr>
        <w:t>.</w:t>
      </w:r>
    </w:p>
    <w:p w:rsidR="0033117F" w:rsidRPr="002D6233" w:rsidRDefault="0033117F" w:rsidP="003451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3451DB" w:rsidRPr="002D6233" w:rsidRDefault="003451DB" w:rsidP="003451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2D6233">
        <w:rPr>
          <w:b/>
          <w:sz w:val="24"/>
          <w:szCs w:val="24"/>
        </w:rPr>
        <w:t>Estimate of Respondent Burden</w:t>
      </w:r>
    </w:p>
    <w:p w:rsidR="003451DB" w:rsidRPr="002D6233" w:rsidRDefault="003451DB" w:rsidP="003451DB">
      <w:pPr>
        <w:pStyle w:val="BodyText"/>
        <w:tabs>
          <w:tab w:val="left" w:pos="0"/>
        </w:tabs>
        <w:rPr>
          <w:rFonts w:ascii="Times New Roman" w:hAnsi="Times New Roman"/>
          <w:szCs w:val="24"/>
        </w:rPr>
      </w:pPr>
    </w:p>
    <w:p w:rsidR="003451DB" w:rsidRPr="00840172" w:rsidRDefault="003451DB" w:rsidP="003451DB">
      <w:pPr>
        <w:ind w:firstLine="720"/>
        <w:rPr>
          <w:sz w:val="24"/>
          <w:szCs w:val="24"/>
        </w:rPr>
      </w:pPr>
      <w:r w:rsidRPr="002D6233">
        <w:rPr>
          <w:sz w:val="24"/>
          <w:szCs w:val="24"/>
        </w:rPr>
        <w:t xml:space="preserve">The annual burden for the reporting requirements of this </w:t>
      </w:r>
      <w:r w:rsidR="00873DC9" w:rsidRPr="002D6233">
        <w:rPr>
          <w:sz w:val="24"/>
          <w:szCs w:val="24"/>
        </w:rPr>
        <w:t>information</w:t>
      </w:r>
      <w:r w:rsidR="00457556" w:rsidRPr="002D6233">
        <w:rPr>
          <w:sz w:val="24"/>
          <w:szCs w:val="24"/>
        </w:rPr>
        <w:t xml:space="preserve"> </w:t>
      </w:r>
      <w:r w:rsidRPr="002D6233">
        <w:rPr>
          <w:sz w:val="24"/>
          <w:szCs w:val="24"/>
        </w:rPr>
        <w:t>collection is estimated to be 464 hours per respondent, for a total of 28,768 hours annually.  The estimated total annual burden p</w:t>
      </w:r>
      <w:r w:rsidRPr="00840172">
        <w:rPr>
          <w:sz w:val="24"/>
          <w:szCs w:val="24"/>
        </w:rPr>
        <w:t xml:space="preserve">er respondent consists of 420 hours of work related to modeling efforts, 24 hours of work related to completion of the </w:t>
      </w:r>
      <w:r w:rsidR="00C20C8F" w:rsidRPr="00840172">
        <w:rPr>
          <w:sz w:val="24"/>
          <w:szCs w:val="24"/>
        </w:rPr>
        <w:t xml:space="preserve">Scenario </w:t>
      </w:r>
      <w:r w:rsidR="00501F97" w:rsidRPr="00840172">
        <w:rPr>
          <w:sz w:val="24"/>
          <w:szCs w:val="24"/>
        </w:rPr>
        <w:t>V</w:t>
      </w:r>
      <w:r w:rsidRPr="00840172">
        <w:rPr>
          <w:sz w:val="24"/>
          <w:szCs w:val="24"/>
        </w:rPr>
        <w:t>ariable</w:t>
      </w:r>
      <w:r w:rsidR="00C20C8F" w:rsidRPr="00840172">
        <w:rPr>
          <w:sz w:val="24"/>
          <w:szCs w:val="24"/>
        </w:rPr>
        <w:t>s</w:t>
      </w:r>
      <w:r w:rsidRPr="00840172">
        <w:rPr>
          <w:sz w:val="24"/>
          <w:szCs w:val="24"/>
        </w:rPr>
        <w:t xml:space="preserve"> </w:t>
      </w:r>
      <w:r w:rsidR="00501F97" w:rsidRPr="00840172">
        <w:rPr>
          <w:sz w:val="24"/>
          <w:szCs w:val="24"/>
        </w:rPr>
        <w:t>S</w:t>
      </w:r>
      <w:r w:rsidRPr="00840172">
        <w:rPr>
          <w:sz w:val="24"/>
          <w:szCs w:val="24"/>
        </w:rPr>
        <w:t xml:space="preserve">chedule, and 20 hours of data input.  In an effort to more accurately reflect the burden imposed on the companies for reporting the FR Y-16, the Federal Reserve has included estimates for annual one-time implementation burden.  The Federal Reserve estimates the automation burden for each new respondent would vary, but on average it is estimated to take approximately 3,600 hours (one-time implementation) per respondent to prepare their systems for submitting the data, for a total of </w:t>
      </w:r>
      <w:r w:rsidR="000B1458" w:rsidRPr="00840172">
        <w:rPr>
          <w:sz w:val="24"/>
          <w:szCs w:val="24"/>
        </w:rPr>
        <w:t>223,200</w:t>
      </w:r>
      <w:r w:rsidRPr="00840172">
        <w:rPr>
          <w:sz w:val="24"/>
          <w:szCs w:val="24"/>
        </w:rPr>
        <w:t xml:space="preserve"> hours.  The proposed annual burden for the FR Y-16 would represent </w:t>
      </w:r>
      <w:r w:rsidR="00E95FB7" w:rsidRPr="00840172">
        <w:rPr>
          <w:sz w:val="24"/>
          <w:szCs w:val="24"/>
        </w:rPr>
        <w:t>approximately 2</w:t>
      </w:r>
      <w:r w:rsidRPr="00840172">
        <w:rPr>
          <w:sz w:val="24"/>
          <w:szCs w:val="24"/>
        </w:rPr>
        <w:t xml:space="preserve"> percent of total Federal Reserve System paperwork burden.</w:t>
      </w:r>
    </w:p>
    <w:p w:rsidR="003451DB" w:rsidRPr="00840172" w:rsidRDefault="003451DB" w:rsidP="003451DB">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sz w:val="24"/>
          <w:szCs w:val="24"/>
        </w:rPr>
      </w:pPr>
    </w:p>
    <w:tbl>
      <w:tblPr>
        <w:tblW w:w="0" w:type="auto"/>
        <w:jc w:val="center"/>
        <w:tblInd w:w="18" w:type="dxa"/>
        <w:tblBorders>
          <w:top w:val="single" w:sz="4" w:space="0" w:color="auto"/>
          <w:bottom w:val="single" w:sz="4" w:space="0" w:color="auto"/>
        </w:tblBorders>
        <w:tblLayout w:type="fixed"/>
        <w:tblLook w:val="01E0" w:firstRow="1" w:lastRow="1" w:firstColumn="1" w:lastColumn="1" w:noHBand="0" w:noVBand="0"/>
      </w:tblPr>
      <w:tblGrid>
        <w:gridCol w:w="3070"/>
        <w:gridCol w:w="1577"/>
        <w:gridCol w:w="1578"/>
        <w:gridCol w:w="1577"/>
        <w:gridCol w:w="1578"/>
      </w:tblGrid>
      <w:tr w:rsidR="00191E2C" w:rsidRPr="00840172" w:rsidTr="003D2C50">
        <w:trPr>
          <w:jc w:val="center"/>
        </w:trPr>
        <w:tc>
          <w:tcPr>
            <w:tcW w:w="3070" w:type="dxa"/>
            <w:vAlign w:val="center"/>
          </w:tcPr>
          <w:p w:rsidR="00191E2C" w:rsidRPr="00840172" w:rsidRDefault="00191E2C" w:rsidP="00C803FC">
            <w:pPr>
              <w:jc w:val="center"/>
              <w:rPr>
                <w:i/>
                <w:sz w:val="24"/>
                <w:szCs w:val="24"/>
              </w:rPr>
            </w:pPr>
            <w:r w:rsidRPr="00840172">
              <w:rPr>
                <w:b/>
                <w:sz w:val="24"/>
                <w:szCs w:val="24"/>
              </w:rPr>
              <w:t>FR Y-16</w:t>
            </w:r>
          </w:p>
        </w:tc>
        <w:tc>
          <w:tcPr>
            <w:tcW w:w="1577" w:type="dxa"/>
            <w:vAlign w:val="center"/>
          </w:tcPr>
          <w:p w:rsidR="00191E2C" w:rsidRPr="00840172" w:rsidRDefault="00191E2C" w:rsidP="00C803FC">
            <w:pPr>
              <w:tabs>
                <w:tab w:val="left" w:pos="720"/>
              </w:tabs>
              <w:jc w:val="center"/>
              <w:rPr>
                <w:i/>
                <w:sz w:val="24"/>
                <w:szCs w:val="24"/>
              </w:rPr>
            </w:pPr>
            <w:r w:rsidRPr="00840172">
              <w:rPr>
                <w:i/>
                <w:sz w:val="24"/>
                <w:szCs w:val="24"/>
              </w:rPr>
              <w:t xml:space="preserve">Number </w:t>
            </w:r>
          </w:p>
          <w:p w:rsidR="00191E2C" w:rsidRPr="00840172" w:rsidRDefault="00191E2C" w:rsidP="00C803FC">
            <w:pPr>
              <w:tabs>
                <w:tab w:val="left" w:pos="720"/>
              </w:tabs>
              <w:jc w:val="center"/>
              <w:rPr>
                <w:i/>
                <w:sz w:val="24"/>
                <w:szCs w:val="24"/>
              </w:rPr>
            </w:pPr>
            <w:r w:rsidRPr="00840172">
              <w:rPr>
                <w:i/>
                <w:sz w:val="24"/>
                <w:szCs w:val="24"/>
              </w:rPr>
              <w:t>of</w:t>
            </w:r>
          </w:p>
          <w:p w:rsidR="00191E2C" w:rsidRPr="00840172" w:rsidRDefault="00191E2C" w:rsidP="00C803FC">
            <w:pPr>
              <w:tabs>
                <w:tab w:val="left" w:pos="720"/>
              </w:tabs>
              <w:jc w:val="center"/>
              <w:rPr>
                <w:i/>
                <w:sz w:val="24"/>
                <w:szCs w:val="24"/>
              </w:rPr>
            </w:pPr>
            <w:r w:rsidRPr="00840172">
              <w:rPr>
                <w:i/>
                <w:sz w:val="24"/>
                <w:szCs w:val="24"/>
              </w:rPr>
              <w:t>respondents</w:t>
            </w:r>
            <w:r w:rsidRPr="00840172">
              <w:rPr>
                <w:rStyle w:val="FootnoteReference"/>
                <w:i/>
                <w:sz w:val="24"/>
                <w:szCs w:val="24"/>
                <w:vertAlign w:val="superscript"/>
              </w:rPr>
              <w:footnoteReference w:id="11"/>
            </w:r>
          </w:p>
        </w:tc>
        <w:tc>
          <w:tcPr>
            <w:tcW w:w="1578" w:type="dxa"/>
            <w:vAlign w:val="center"/>
          </w:tcPr>
          <w:p w:rsidR="00191E2C" w:rsidRPr="00840172" w:rsidRDefault="00191E2C" w:rsidP="00C803FC">
            <w:pPr>
              <w:tabs>
                <w:tab w:val="left" w:pos="720"/>
              </w:tabs>
              <w:jc w:val="center"/>
              <w:rPr>
                <w:i/>
                <w:sz w:val="24"/>
                <w:szCs w:val="24"/>
              </w:rPr>
            </w:pPr>
            <w:r w:rsidRPr="00840172">
              <w:rPr>
                <w:i/>
                <w:sz w:val="24"/>
                <w:szCs w:val="24"/>
              </w:rPr>
              <w:t>Annual</w:t>
            </w:r>
          </w:p>
          <w:p w:rsidR="00191E2C" w:rsidRPr="00840172" w:rsidRDefault="00191E2C" w:rsidP="00C803FC">
            <w:pPr>
              <w:tabs>
                <w:tab w:val="left" w:pos="720"/>
              </w:tabs>
              <w:jc w:val="center"/>
              <w:rPr>
                <w:i/>
                <w:sz w:val="24"/>
                <w:szCs w:val="24"/>
              </w:rPr>
            </w:pPr>
            <w:r w:rsidRPr="00840172">
              <w:rPr>
                <w:i/>
                <w:sz w:val="24"/>
                <w:szCs w:val="24"/>
              </w:rPr>
              <w:t>frequency</w:t>
            </w:r>
          </w:p>
        </w:tc>
        <w:tc>
          <w:tcPr>
            <w:tcW w:w="1577" w:type="dxa"/>
            <w:vAlign w:val="center"/>
          </w:tcPr>
          <w:p w:rsidR="00191E2C" w:rsidRPr="00840172" w:rsidRDefault="00191E2C" w:rsidP="00C803FC">
            <w:pPr>
              <w:tabs>
                <w:tab w:val="left" w:pos="720"/>
              </w:tabs>
              <w:jc w:val="center"/>
              <w:rPr>
                <w:i/>
                <w:sz w:val="24"/>
                <w:szCs w:val="24"/>
              </w:rPr>
            </w:pPr>
            <w:r w:rsidRPr="00840172">
              <w:rPr>
                <w:i/>
                <w:sz w:val="24"/>
                <w:szCs w:val="24"/>
              </w:rPr>
              <w:t>Estimated</w:t>
            </w:r>
          </w:p>
          <w:p w:rsidR="00191E2C" w:rsidRPr="00840172" w:rsidRDefault="00191E2C" w:rsidP="00C803FC">
            <w:pPr>
              <w:tabs>
                <w:tab w:val="left" w:pos="720"/>
              </w:tabs>
              <w:jc w:val="center"/>
              <w:rPr>
                <w:i/>
                <w:sz w:val="24"/>
                <w:szCs w:val="24"/>
              </w:rPr>
            </w:pPr>
            <w:r w:rsidRPr="00840172">
              <w:rPr>
                <w:i/>
                <w:sz w:val="24"/>
                <w:szCs w:val="24"/>
              </w:rPr>
              <w:t>average hours</w:t>
            </w:r>
          </w:p>
          <w:p w:rsidR="00191E2C" w:rsidRPr="00840172" w:rsidRDefault="00191E2C" w:rsidP="00C803FC">
            <w:pPr>
              <w:tabs>
                <w:tab w:val="left" w:pos="720"/>
              </w:tabs>
              <w:jc w:val="center"/>
              <w:rPr>
                <w:i/>
                <w:sz w:val="24"/>
                <w:szCs w:val="24"/>
              </w:rPr>
            </w:pPr>
            <w:r w:rsidRPr="00840172">
              <w:rPr>
                <w:i/>
                <w:sz w:val="24"/>
                <w:szCs w:val="24"/>
              </w:rPr>
              <w:t>per response</w:t>
            </w:r>
          </w:p>
        </w:tc>
        <w:tc>
          <w:tcPr>
            <w:tcW w:w="1578" w:type="dxa"/>
            <w:vAlign w:val="center"/>
          </w:tcPr>
          <w:p w:rsidR="00191E2C" w:rsidRPr="00840172" w:rsidRDefault="00191E2C" w:rsidP="00C803FC">
            <w:pPr>
              <w:tabs>
                <w:tab w:val="left" w:pos="720"/>
              </w:tabs>
              <w:jc w:val="center"/>
              <w:rPr>
                <w:i/>
                <w:sz w:val="24"/>
                <w:szCs w:val="24"/>
              </w:rPr>
            </w:pPr>
            <w:r w:rsidRPr="00840172">
              <w:rPr>
                <w:i/>
                <w:sz w:val="24"/>
                <w:szCs w:val="24"/>
              </w:rPr>
              <w:t>Estimated</w:t>
            </w:r>
          </w:p>
          <w:p w:rsidR="00191E2C" w:rsidRPr="00840172" w:rsidRDefault="00191E2C" w:rsidP="00C803FC">
            <w:pPr>
              <w:tabs>
                <w:tab w:val="left" w:pos="720"/>
              </w:tabs>
              <w:jc w:val="center"/>
              <w:rPr>
                <w:i/>
                <w:sz w:val="24"/>
                <w:szCs w:val="24"/>
              </w:rPr>
            </w:pPr>
            <w:r w:rsidRPr="00840172">
              <w:rPr>
                <w:i/>
                <w:sz w:val="24"/>
                <w:szCs w:val="24"/>
              </w:rPr>
              <w:t>annual burden</w:t>
            </w:r>
          </w:p>
          <w:p w:rsidR="00191E2C" w:rsidRPr="00840172" w:rsidRDefault="00191E2C" w:rsidP="00C803FC">
            <w:pPr>
              <w:tabs>
                <w:tab w:val="left" w:pos="720"/>
              </w:tabs>
              <w:jc w:val="center"/>
              <w:rPr>
                <w:i/>
                <w:sz w:val="24"/>
                <w:szCs w:val="24"/>
              </w:rPr>
            </w:pPr>
            <w:r w:rsidRPr="00840172">
              <w:rPr>
                <w:i/>
                <w:sz w:val="24"/>
                <w:szCs w:val="24"/>
              </w:rPr>
              <w:t>hours</w:t>
            </w:r>
          </w:p>
        </w:tc>
      </w:tr>
      <w:tr w:rsidR="00191E2C" w:rsidRPr="00840172" w:rsidTr="003D2C50">
        <w:trPr>
          <w:trHeight w:val="288"/>
          <w:jc w:val="center"/>
        </w:trPr>
        <w:tc>
          <w:tcPr>
            <w:tcW w:w="3070" w:type="dxa"/>
            <w:vAlign w:val="center"/>
          </w:tcPr>
          <w:p w:rsidR="00191E2C" w:rsidRPr="00840172" w:rsidRDefault="00191E2C" w:rsidP="00C803FC">
            <w:pPr>
              <w:tabs>
                <w:tab w:val="left" w:pos="-1080"/>
                <w:tab w:val="left" w:pos="-90"/>
                <w:tab w:val="left" w:pos="1440"/>
                <w:tab w:val="left" w:pos="2880"/>
                <w:tab w:val="left" w:pos="4320"/>
              </w:tabs>
              <w:rPr>
                <w:b/>
                <w:sz w:val="24"/>
                <w:szCs w:val="24"/>
              </w:rPr>
            </w:pPr>
          </w:p>
        </w:tc>
        <w:tc>
          <w:tcPr>
            <w:tcW w:w="1577" w:type="dxa"/>
            <w:vAlign w:val="center"/>
          </w:tcPr>
          <w:p w:rsidR="00191E2C" w:rsidRPr="00840172" w:rsidRDefault="00191E2C" w:rsidP="00C803FC">
            <w:pPr>
              <w:tabs>
                <w:tab w:val="right" w:pos="972"/>
              </w:tabs>
              <w:rPr>
                <w:sz w:val="24"/>
                <w:szCs w:val="24"/>
              </w:rPr>
            </w:pPr>
          </w:p>
        </w:tc>
        <w:tc>
          <w:tcPr>
            <w:tcW w:w="1578" w:type="dxa"/>
          </w:tcPr>
          <w:p w:rsidR="00191E2C" w:rsidRPr="00840172" w:rsidRDefault="00191E2C" w:rsidP="00C803FC">
            <w:pPr>
              <w:jc w:val="center"/>
              <w:rPr>
                <w:sz w:val="24"/>
                <w:szCs w:val="24"/>
              </w:rPr>
            </w:pPr>
          </w:p>
        </w:tc>
        <w:tc>
          <w:tcPr>
            <w:tcW w:w="1577" w:type="dxa"/>
            <w:vAlign w:val="center"/>
          </w:tcPr>
          <w:p w:rsidR="00191E2C" w:rsidRPr="00840172" w:rsidRDefault="00191E2C" w:rsidP="00C803FC">
            <w:pPr>
              <w:tabs>
                <w:tab w:val="right" w:pos="882"/>
              </w:tabs>
              <w:rPr>
                <w:sz w:val="24"/>
                <w:szCs w:val="24"/>
              </w:rPr>
            </w:pPr>
          </w:p>
        </w:tc>
        <w:tc>
          <w:tcPr>
            <w:tcW w:w="1578" w:type="dxa"/>
            <w:vAlign w:val="bottom"/>
          </w:tcPr>
          <w:p w:rsidR="00191E2C" w:rsidRPr="00840172" w:rsidRDefault="00191E2C" w:rsidP="00C803FC">
            <w:pPr>
              <w:tabs>
                <w:tab w:val="left" w:pos="1088"/>
              </w:tabs>
              <w:rPr>
                <w:sz w:val="24"/>
                <w:szCs w:val="24"/>
              </w:rPr>
            </w:pPr>
          </w:p>
        </w:tc>
      </w:tr>
      <w:tr w:rsidR="00FB3BC0" w:rsidRPr="00840172" w:rsidTr="00191E2C">
        <w:trPr>
          <w:trHeight w:val="288"/>
          <w:jc w:val="center"/>
        </w:trPr>
        <w:tc>
          <w:tcPr>
            <w:tcW w:w="3070" w:type="dxa"/>
            <w:vAlign w:val="center"/>
          </w:tcPr>
          <w:p w:rsidR="00191E2C" w:rsidRPr="00840172" w:rsidRDefault="00191E2C" w:rsidP="00C803FC">
            <w:pPr>
              <w:rPr>
                <w:sz w:val="24"/>
                <w:szCs w:val="24"/>
              </w:rPr>
            </w:pPr>
            <w:r w:rsidRPr="00840172">
              <w:rPr>
                <w:sz w:val="24"/>
                <w:szCs w:val="24"/>
              </w:rPr>
              <w:t>BHCs</w:t>
            </w:r>
          </w:p>
        </w:tc>
        <w:tc>
          <w:tcPr>
            <w:tcW w:w="1577" w:type="dxa"/>
            <w:vAlign w:val="center"/>
          </w:tcPr>
          <w:p w:rsidR="00191E2C" w:rsidRPr="00840172" w:rsidRDefault="00191E2C" w:rsidP="001235DD">
            <w:pPr>
              <w:tabs>
                <w:tab w:val="right" w:pos="792"/>
              </w:tabs>
              <w:rPr>
                <w:sz w:val="24"/>
                <w:szCs w:val="24"/>
              </w:rPr>
            </w:pPr>
            <w:r w:rsidRPr="00840172">
              <w:rPr>
                <w:sz w:val="24"/>
                <w:szCs w:val="24"/>
              </w:rPr>
              <w:tab/>
              <w:t>4</w:t>
            </w:r>
            <w:r w:rsidR="001235DD">
              <w:rPr>
                <w:sz w:val="24"/>
                <w:szCs w:val="24"/>
              </w:rPr>
              <w:t>3</w:t>
            </w:r>
          </w:p>
        </w:tc>
        <w:tc>
          <w:tcPr>
            <w:tcW w:w="1578" w:type="dxa"/>
            <w:vAlign w:val="center"/>
          </w:tcPr>
          <w:p w:rsidR="00191E2C" w:rsidRPr="00840172" w:rsidRDefault="00191E2C" w:rsidP="00C803FC">
            <w:pPr>
              <w:jc w:val="center"/>
              <w:rPr>
                <w:sz w:val="24"/>
                <w:szCs w:val="24"/>
              </w:rPr>
            </w:pPr>
            <w:r w:rsidRPr="00840172">
              <w:rPr>
                <w:sz w:val="24"/>
                <w:szCs w:val="24"/>
              </w:rPr>
              <w:t>1</w:t>
            </w:r>
          </w:p>
        </w:tc>
        <w:tc>
          <w:tcPr>
            <w:tcW w:w="1577" w:type="dxa"/>
            <w:vAlign w:val="center"/>
          </w:tcPr>
          <w:p w:rsidR="00191E2C" w:rsidRPr="00840172" w:rsidRDefault="00191E2C" w:rsidP="00C803FC">
            <w:pPr>
              <w:tabs>
                <w:tab w:val="right" w:pos="882"/>
              </w:tabs>
              <w:rPr>
                <w:sz w:val="24"/>
                <w:szCs w:val="24"/>
              </w:rPr>
            </w:pPr>
            <w:r w:rsidRPr="00840172">
              <w:rPr>
                <w:sz w:val="24"/>
                <w:szCs w:val="24"/>
              </w:rPr>
              <w:tab/>
              <w:t>464</w:t>
            </w:r>
          </w:p>
        </w:tc>
        <w:tc>
          <w:tcPr>
            <w:tcW w:w="1578" w:type="dxa"/>
            <w:shd w:val="clear" w:color="auto" w:fill="auto"/>
            <w:vAlign w:val="bottom"/>
          </w:tcPr>
          <w:p w:rsidR="00191E2C" w:rsidRPr="00840172" w:rsidRDefault="00191E2C" w:rsidP="001A2AFC">
            <w:pPr>
              <w:tabs>
                <w:tab w:val="right" w:pos="1057"/>
              </w:tabs>
              <w:rPr>
                <w:sz w:val="24"/>
                <w:szCs w:val="24"/>
              </w:rPr>
            </w:pPr>
            <w:r w:rsidRPr="00840172">
              <w:rPr>
                <w:sz w:val="24"/>
                <w:szCs w:val="24"/>
              </w:rPr>
              <w:tab/>
            </w:r>
            <w:r w:rsidR="001A2AFC">
              <w:rPr>
                <w:sz w:val="24"/>
                <w:szCs w:val="24"/>
              </w:rPr>
              <w:t>19,952</w:t>
            </w:r>
          </w:p>
        </w:tc>
      </w:tr>
      <w:tr w:rsidR="00FB3BC0" w:rsidRPr="00840172" w:rsidTr="00191E2C">
        <w:trPr>
          <w:trHeight w:val="288"/>
          <w:jc w:val="center"/>
        </w:trPr>
        <w:tc>
          <w:tcPr>
            <w:tcW w:w="3070" w:type="dxa"/>
            <w:vAlign w:val="center"/>
          </w:tcPr>
          <w:p w:rsidR="00191E2C" w:rsidRPr="00840172" w:rsidRDefault="00191E2C" w:rsidP="00C803FC">
            <w:pPr>
              <w:rPr>
                <w:sz w:val="24"/>
                <w:szCs w:val="24"/>
              </w:rPr>
            </w:pPr>
            <w:r w:rsidRPr="00840172">
              <w:rPr>
                <w:sz w:val="24"/>
                <w:szCs w:val="24"/>
              </w:rPr>
              <w:t>SLHCs</w:t>
            </w:r>
          </w:p>
        </w:tc>
        <w:tc>
          <w:tcPr>
            <w:tcW w:w="1577" w:type="dxa"/>
            <w:vAlign w:val="center"/>
          </w:tcPr>
          <w:p w:rsidR="00191E2C" w:rsidRPr="00840172" w:rsidRDefault="00191E2C" w:rsidP="00C803FC">
            <w:pPr>
              <w:tabs>
                <w:tab w:val="right" w:pos="792"/>
              </w:tabs>
              <w:rPr>
                <w:sz w:val="24"/>
                <w:szCs w:val="24"/>
              </w:rPr>
            </w:pPr>
            <w:r w:rsidRPr="00840172">
              <w:rPr>
                <w:sz w:val="24"/>
                <w:szCs w:val="24"/>
              </w:rPr>
              <w:tab/>
              <w:t>8</w:t>
            </w:r>
          </w:p>
        </w:tc>
        <w:tc>
          <w:tcPr>
            <w:tcW w:w="1578" w:type="dxa"/>
            <w:vAlign w:val="center"/>
          </w:tcPr>
          <w:p w:rsidR="00191E2C" w:rsidRPr="00840172" w:rsidRDefault="00191E2C" w:rsidP="00C803FC">
            <w:pPr>
              <w:jc w:val="center"/>
              <w:rPr>
                <w:sz w:val="24"/>
                <w:szCs w:val="24"/>
              </w:rPr>
            </w:pPr>
            <w:r w:rsidRPr="00840172">
              <w:rPr>
                <w:sz w:val="24"/>
                <w:szCs w:val="24"/>
              </w:rPr>
              <w:t>1</w:t>
            </w:r>
          </w:p>
        </w:tc>
        <w:tc>
          <w:tcPr>
            <w:tcW w:w="1577" w:type="dxa"/>
            <w:vAlign w:val="center"/>
          </w:tcPr>
          <w:p w:rsidR="00191E2C" w:rsidRPr="00840172" w:rsidRDefault="00191E2C" w:rsidP="00C803FC">
            <w:pPr>
              <w:tabs>
                <w:tab w:val="right" w:pos="882"/>
              </w:tabs>
              <w:rPr>
                <w:sz w:val="24"/>
                <w:szCs w:val="24"/>
              </w:rPr>
            </w:pPr>
            <w:r w:rsidRPr="00840172">
              <w:rPr>
                <w:sz w:val="24"/>
                <w:szCs w:val="24"/>
              </w:rPr>
              <w:tab/>
              <w:t>464</w:t>
            </w:r>
          </w:p>
        </w:tc>
        <w:tc>
          <w:tcPr>
            <w:tcW w:w="1578" w:type="dxa"/>
            <w:shd w:val="clear" w:color="auto" w:fill="auto"/>
            <w:vAlign w:val="bottom"/>
          </w:tcPr>
          <w:p w:rsidR="00191E2C" w:rsidRPr="00840172" w:rsidRDefault="00191E2C" w:rsidP="00C803FC">
            <w:pPr>
              <w:tabs>
                <w:tab w:val="right" w:pos="1057"/>
              </w:tabs>
              <w:rPr>
                <w:sz w:val="24"/>
                <w:szCs w:val="24"/>
              </w:rPr>
            </w:pPr>
            <w:r w:rsidRPr="00840172">
              <w:rPr>
                <w:sz w:val="24"/>
                <w:szCs w:val="24"/>
              </w:rPr>
              <w:tab/>
            </w:r>
            <w:r w:rsidRPr="00840172">
              <w:rPr>
                <w:sz w:val="24"/>
                <w:szCs w:val="24"/>
              </w:rPr>
              <w:fldChar w:fldCharType="begin"/>
            </w:r>
            <w:r w:rsidRPr="00840172">
              <w:rPr>
                <w:sz w:val="24"/>
                <w:szCs w:val="24"/>
              </w:rPr>
              <w:instrText xml:space="preserve"> =b4*c4*d4 \# "#,##0" </w:instrText>
            </w:r>
            <w:r w:rsidRPr="00840172">
              <w:rPr>
                <w:sz w:val="24"/>
                <w:szCs w:val="24"/>
              </w:rPr>
              <w:fldChar w:fldCharType="separate"/>
            </w:r>
            <w:r w:rsidRPr="00840172">
              <w:rPr>
                <w:noProof/>
                <w:sz w:val="24"/>
                <w:szCs w:val="24"/>
              </w:rPr>
              <w:t>3,712</w:t>
            </w:r>
            <w:r w:rsidRPr="00840172">
              <w:rPr>
                <w:noProof/>
                <w:sz w:val="24"/>
                <w:szCs w:val="24"/>
              </w:rPr>
              <w:fldChar w:fldCharType="end"/>
            </w:r>
          </w:p>
        </w:tc>
      </w:tr>
      <w:tr w:rsidR="00FB3BC0" w:rsidRPr="00840172" w:rsidTr="00191E2C">
        <w:trPr>
          <w:trHeight w:val="288"/>
          <w:jc w:val="center"/>
        </w:trPr>
        <w:tc>
          <w:tcPr>
            <w:tcW w:w="3070" w:type="dxa"/>
            <w:vAlign w:val="center"/>
          </w:tcPr>
          <w:p w:rsidR="00191E2C" w:rsidRPr="00840172" w:rsidRDefault="00191E2C" w:rsidP="00C803FC">
            <w:pPr>
              <w:rPr>
                <w:sz w:val="24"/>
                <w:szCs w:val="24"/>
              </w:rPr>
            </w:pPr>
            <w:r w:rsidRPr="00840172">
              <w:rPr>
                <w:sz w:val="24"/>
                <w:szCs w:val="24"/>
              </w:rPr>
              <w:t>SMBs</w:t>
            </w:r>
          </w:p>
        </w:tc>
        <w:tc>
          <w:tcPr>
            <w:tcW w:w="1577" w:type="dxa"/>
            <w:vAlign w:val="center"/>
          </w:tcPr>
          <w:p w:rsidR="00191E2C" w:rsidRPr="00840172" w:rsidRDefault="00191E2C" w:rsidP="001235DD">
            <w:pPr>
              <w:tabs>
                <w:tab w:val="right" w:pos="792"/>
              </w:tabs>
              <w:rPr>
                <w:sz w:val="24"/>
                <w:szCs w:val="24"/>
              </w:rPr>
            </w:pPr>
            <w:r w:rsidRPr="00840172">
              <w:rPr>
                <w:sz w:val="24"/>
                <w:szCs w:val="24"/>
              </w:rPr>
              <w:tab/>
              <w:t>1</w:t>
            </w:r>
            <w:r w:rsidR="001235DD">
              <w:rPr>
                <w:sz w:val="24"/>
                <w:szCs w:val="24"/>
              </w:rPr>
              <w:t>1</w:t>
            </w:r>
          </w:p>
        </w:tc>
        <w:tc>
          <w:tcPr>
            <w:tcW w:w="1578" w:type="dxa"/>
            <w:vAlign w:val="center"/>
          </w:tcPr>
          <w:p w:rsidR="00191E2C" w:rsidRPr="00840172" w:rsidRDefault="00191E2C" w:rsidP="00C803FC">
            <w:pPr>
              <w:jc w:val="center"/>
              <w:rPr>
                <w:sz w:val="24"/>
                <w:szCs w:val="24"/>
              </w:rPr>
            </w:pPr>
            <w:r w:rsidRPr="00840172">
              <w:rPr>
                <w:sz w:val="24"/>
                <w:szCs w:val="24"/>
              </w:rPr>
              <w:t>1</w:t>
            </w:r>
          </w:p>
        </w:tc>
        <w:tc>
          <w:tcPr>
            <w:tcW w:w="1577" w:type="dxa"/>
            <w:vAlign w:val="center"/>
          </w:tcPr>
          <w:p w:rsidR="00191E2C" w:rsidRPr="00840172" w:rsidRDefault="00191E2C" w:rsidP="00C803FC">
            <w:pPr>
              <w:tabs>
                <w:tab w:val="right" w:pos="882"/>
              </w:tabs>
              <w:rPr>
                <w:sz w:val="24"/>
                <w:szCs w:val="24"/>
              </w:rPr>
            </w:pPr>
            <w:r w:rsidRPr="00840172">
              <w:rPr>
                <w:sz w:val="24"/>
                <w:szCs w:val="24"/>
              </w:rPr>
              <w:tab/>
              <w:t>464</w:t>
            </w:r>
          </w:p>
        </w:tc>
        <w:tc>
          <w:tcPr>
            <w:tcW w:w="1578" w:type="dxa"/>
            <w:shd w:val="clear" w:color="auto" w:fill="auto"/>
            <w:vAlign w:val="bottom"/>
          </w:tcPr>
          <w:p w:rsidR="00191E2C" w:rsidRPr="00840172" w:rsidRDefault="00191E2C" w:rsidP="001A2AFC">
            <w:pPr>
              <w:tabs>
                <w:tab w:val="right" w:pos="1057"/>
              </w:tabs>
              <w:rPr>
                <w:sz w:val="24"/>
                <w:szCs w:val="24"/>
                <w:u w:val="single"/>
              </w:rPr>
            </w:pPr>
            <w:r w:rsidRPr="00840172">
              <w:rPr>
                <w:sz w:val="24"/>
                <w:szCs w:val="24"/>
              </w:rPr>
              <w:tab/>
            </w:r>
            <w:r w:rsidR="001A2AFC">
              <w:rPr>
                <w:sz w:val="24"/>
                <w:szCs w:val="24"/>
                <w:u w:val="single"/>
              </w:rPr>
              <w:t>5,104</w:t>
            </w:r>
          </w:p>
        </w:tc>
      </w:tr>
      <w:tr w:rsidR="00FB3BC0" w:rsidRPr="00840172" w:rsidTr="00191E2C">
        <w:trPr>
          <w:trHeight w:val="288"/>
          <w:jc w:val="center"/>
        </w:trPr>
        <w:tc>
          <w:tcPr>
            <w:tcW w:w="3070" w:type="dxa"/>
            <w:vAlign w:val="center"/>
          </w:tcPr>
          <w:p w:rsidR="00191E2C" w:rsidRPr="00840172" w:rsidRDefault="00191E2C" w:rsidP="00C803FC">
            <w:pPr>
              <w:rPr>
                <w:sz w:val="24"/>
                <w:szCs w:val="24"/>
              </w:rPr>
            </w:pPr>
          </w:p>
        </w:tc>
        <w:tc>
          <w:tcPr>
            <w:tcW w:w="1577" w:type="dxa"/>
            <w:vAlign w:val="center"/>
          </w:tcPr>
          <w:p w:rsidR="00191E2C" w:rsidRPr="00840172" w:rsidRDefault="00191E2C" w:rsidP="00C803FC">
            <w:pPr>
              <w:tabs>
                <w:tab w:val="right" w:pos="792"/>
              </w:tabs>
              <w:rPr>
                <w:sz w:val="24"/>
                <w:szCs w:val="24"/>
              </w:rPr>
            </w:pPr>
          </w:p>
        </w:tc>
        <w:tc>
          <w:tcPr>
            <w:tcW w:w="1578" w:type="dxa"/>
            <w:vAlign w:val="center"/>
          </w:tcPr>
          <w:p w:rsidR="00191E2C" w:rsidRPr="00840172" w:rsidRDefault="00191E2C" w:rsidP="00C803FC">
            <w:pPr>
              <w:jc w:val="center"/>
              <w:rPr>
                <w:sz w:val="24"/>
                <w:szCs w:val="24"/>
              </w:rPr>
            </w:pPr>
          </w:p>
        </w:tc>
        <w:tc>
          <w:tcPr>
            <w:tcW w:w="1577" w:type="dxa"/>
            <w:vAlign w:val="center"/>
          </w:tcPr>
          <w:p w:rsidR="00191E2C" w:rsidRPr="00840172" w:rsidRDefault="00191E2C" w:rsidP="00C803FC">
            <w:pPr>
              <w:tabs>
                <w:tab w:val="right" w:pos="882"/>
              </w:tabs>
              <w:rPr>
                <w:sz w:val="24"/>
                <w:szCs w:val="24"/>
              </w:rPr>
            </w:pPr>
          </w:p>
        </w:tc>
        <w:tc>
          <w:tcPr>
            <w:tcW w:w="1578" w:type="dxa"/>
            <w:shd w:val="clear" w:color="auto" w:fill="auto"/>
            <w:vAlign w:val="bottom"/>
          </w:tcPr>
          <w:p w:rsidR="00191E2C" w:rsidRPr="00840172" w:rsidRDefault="00191E2C" w:rsidP="00C803FC">
            <w:pPr>
              <w:tabs>
                <w:tab w:val="right" w:pos="1057"/>
              </w:tabs>
              <w:rPr>
                <w:sz w:val="24"/>
                <w:szCs w:val="24"/>
              </w:rPr>
            </w:pPr>
            <w:r w:rsidRPr="00840172">
              <w:rPr>
                <w:sz w:val="24"/>
                <w:szCs w:val="24"/>
              </w:rPr>
              <w:tab/>
            </w:r>
            <w:r w:rsidRPr="00840172">
              <w:rPr>
                <w:sz w:val="24"/>
                <w:szCs w:val="24"/>
              </w:rPr>
              <w:fldChar w:fldCharType="begin"/>
            </w:r>
            <w:r w:rsidRPr="00840172">
              <w:rPr>
                <w:sz w:val="24"/>
                <w:szCs w:val="24"/>
              </w:rPr>
              <w:instrText xml:space="preserve"> =sum(e3:e5) \# "#,###" </w:instrText>
            </w:r>
            <w:r w:rsidRPr="00840172">
              <w:rPr>
                <w:sz w:val="24"/>
                <w:szCs w:val="24"/>
              </w:rPr>
              <w:fldChar w:fldCharType="separate"/>
            </w:r>
            <w:r w:rsidRPr="00840172">
              <w:rPr>
                <w:noProof/>
                <w:sz w:val="24"/>
                <w:szCs w:val="24"/>
              </w:rPr>
              <w:t>28,768</w:t>
            </w:r>
            <w:r w:rsidRPr="00840172">
              <w:rPr>
                <w:sz w:val="24"/>
                <w:szCs w:val="24"/>
              </w:rPr>
              <w:fldChar w:fldCharType="end"/>
            </w:r>
          </w:p>
        </w:tc>
      </w:tr>
      <w:tr w:rsidR="00FB3BC0" w:rsidRPr="00840172" w:rsidTr="00191E2C">
        <w:trPr>
          <w:trHeight w:val="288"/>
          <w:jc w:val="center"/>
        </w:trPr>
        <w:tc>
          <w:tcPr>
            <w:tcW w:w="3070" w:type="dxa"/>
            <w:vAlign w:val="center"/>
          </w:tcPr>
          <w:p w:rsidR="00191E2C" w:rsidRPr="00840172" w:rsidRDefault="00191E2C" w:rsidP="00C803FC">
            <w:pPr>
              <w:rPr>
                <w:sz w:val="24"/>
                <w:szCs w:val="24"/>
              </w:rPr>
            </w:pPr>
          </w:p>
        </w:tc>
        <w:tc>
          <w:tcPr>
            <w:tcW w:w="1577" w:type="dxa"/>
            <w:vAlign w:val="center"/>
          </w:tcPr>
          <w:p w:rsidR="00191E2C" w:rsidRPr="00840172" w:rsidRDefault="00191E2C" w:rsidP="00C803FC">
            <w:pPr>
              <w:tabs>
                <w:tab w:val="right" w:pos="792"/>
              </w:tabs>
              <w:rPr>
                <w:sz w:val="24"/>
                <w:szCs w:val="24"/>
              </w:rPr>
            </w:pPr>
          </w:p>
        </w:tc>
        <w:tc>
          <w:tcPr>
            <w:tcW w:w="1578" w:type="dxa"/>
            <w:vAlign w:val="center"/>
          </w:tcPr>
          <w:p w:rsidR="00191E2C" w:rsidRPr="00840172" w:rsidRDefault="00191E2C" w:rsidP="00C803FC">
            <w:pPr>
              <w:jc w:val="center"/>
              <w:rPr>
                <w:sz w:val="24"/>
                <w:szCs w:val="24"/>
              </w:rPr>
            </w:pPr>
          </w:p>
        </w:tc>
        <w:tc>
          <w:tcPr>
            <w:tcW w:w="1577" w:type="dxa"/>
            <w:vAlign w:val="center"/>
          </w:tcPr>
          <w:p w:rsidR="00191E2C" w:rsidRPr="00840172" w:rsidRDefault="00191E2C" w:rsidP="00C803FC">
            <w:pPr>
              <w:tabs>
                <w:tab w:val="right" w:pos="882"/>
              </w:tabs>
              <w:rPr>
                <w:sz w:val="24"/>
                <w:szCs w:val="24"/>
              </w:rPr>
            </w:pPr>
          </w:p>
        </w:tc>
        <w:tc>
          <w:tcPr>
            <w:tcW w:w="1578" w:type="dxa"/>
            <w:shd w:val="clear" w:color="auto" w:fill="auto"/>
            <w:vAlign w:val="bottom"/>
          </w:tcPr>
          <w:p w:rsidR="00191E2C" w:rsidRPr="00840172" w:rsidRDefault="00191E2C" w:rsidP="00C803FC">
            <w:pPr>
              <w:tabs>
                <w:tab w:val="left" w:pos="1088"/>
                <w:tab w:val="right" w:pos="1132"/>
              </w:tabs>
              <w:rPr>
                <w:sz w:val="24"/>
                <w:szCs w:val="24"/>
                <w:u w:val="single"/>
              </w:rPr>
            </w:pPr>
          </w:p>
        </w:tc>
      </w:tr>
      <w:tr w:rsidR="00FB3BC0" w:rsidRPr="00840172" w:rsidTr="00191E2C">
        <w:trPr>
          <w:trHeight w:val="288"/>
          <w:jc w:val="center"/>
        </w:trPr>
        <w:tc>
          <w:tcPr>
            <w:tcW w:w="3070" w:type="dxa"/>
            <w:vAlign w:val="center"/>
          </w:tcPr>
          <w:p w:rsidR="00191E2C" w:rsidRPr="00840172" w:rsidRDefault="00191E2C" w:rsidP="00C803FC">
            <w:pPr>
              <w:rPr>
                <w:sz w:val="24"/>
                <w:szCs w:val="24"/>
              </w:rPr>
            </w:pPr>
            <w:r w:rsidRPr="00840172">
              <w:rPr>
                <w:sz w:val="24"/>
                <w:szCs w:val="24"/>
              </w:rPr>
              <w:t>One-Time Implementation</w:t>
            </w:r>
          </w:p>
        </w:tc>
        <w:tc>
          <w:tcPr>
            <w:tcW w:w="1577" w:type="dxa"/>
            <w:vAlign w:val="center"/>
          </w:tcPr>
          <w:p w:rsidR="00191E2C" w:rsidRPr="00840172" w:rsidRDefault="00191E2C" w:rsidP="000B1458">
            <w:pPr>
              <w:tabs>
                <w:tab w:val="right" w:pos="792"/>
              </w:tabs>
              <w:rPr>
                <w:sz w:val="24"/>
                <w:szCs w:val="24"/>
              </w:rPr>
            </w:pPr>
            <w:r w:rsidRPr="00840172">
              <w:rPr>
                <w:sz w:val="24"/>
                <w:szCs w:val="24"/>
              </w:rPr>
              <w:tab/>
              <w:t>62</w:t>
            </w:r>
          </w:p>
        </w:tc>
        <w:tc>
          <w:tcPr>
            <w:tcW w:w="1578" w:type="dxa"/>
            <w:vAlign w:val="center"/>
          </w:tcPr>
          <w:p w:rsidR="00191E2C" w:rsidRPr="00840172" w:rsidRDefault="00191E2C" w:rsidP="00C803FC">
            <w:pPr>
              <w:jc w:val="center"/>
              <w:rPr>
                <w:sz w:val="24"/>
                <w:szCs w:val="24"/>
              </w:rPr>
            </w:pPr>
            <w:r w:rsidRPr="00840172">
              <w:rPr>
                <w:sz w:val="24"/>
                <w:szCs w:val="24"/>
              </w:rPr>
              <w:t>1</w:t>
            </w:r>
          </w:p>
        </w:tc>
        <w:tc>
          <w:tcPr>
            <w:tcW w:w="1577" w:type="dxa"/>
            <w:vAlign w:val="center"/>
          </w:tcPr>
          <w:p w:rsidR="00191E2C" w:rsidRPr="00840172" w:rsidRDefault="00191E2C" w:rsidP="00C803FC">
            <w:pPr>
              <w:tabs>
                <w:tab w:val="right" w:pos="882"/>
              </w:tabs>
              <w:rPr>
                <w:sz w:val="24"/>
                <w:szCs w:val="24"/>
              </w:rPr>
            </w:pPr>
            <w:r w:rsidRPr="00840172">
              <w:rPr>
                <w:sz w:val="24"/>
                <w:szCs w:val="24"/>
              </w:rPr>
              <w:tab/>
              <w:t>3,600</w:t>
            </w:r>
          </w:p>
        </w:tc>
        <w:tc>
          <w:tcPr>
            <w:tcW w:w="1578" w:type="dxa"/>
            <w:shd w:val="clear" w:color="auto" w:fill="auto"/>
            <w:vAlign w:val="bottom"/>
          </w:tcPr>
          <w:p w:rsidR="00191E2C" w:rsidRPr="00840172" w:rsidRDefault="00191E2C" w:rsidP="000B1458">
            <w:pPr>
              <w:tabs>
                <w:tab w:val="right" w:pos="1057"/>
              </w:tabs>
              <w:rPr>
                <w:sz w:val="24"/>
                <w:szCs w:val="24"/>
                <w:u w:val="single"/>
              </w:rPr>
            </w:pPr>
            <w:r w:rsidRPr="00840172">
              <w:rPr>
                <w:sz w:val="24"/>
                <w:szCs w:val="24"/>
              </w:rPr>
              <w:tab/>
            </w:r>
            <w:r w:rsidRPr="00840172">
              <w:rPr>
                <w:sz w:val="24"/>
                <w:szCs w:val="24"/>
                <w:u w:val="single"/>
              </w:rPr>
              <w:fldChar w:fldCharType="begin"/>
            </w:r>
            <w:r w:rsidRPr="00840172">
              <w:rPr>
                <w:sz w:val="24"/>
                <w:szCs w:val="24"/>
                <w:u w:val="single"/>
              </w:rPr>
              <w:instrText xml:space="preserve"> =b8*c8*d8 \# "#,##0" </w:instrText>
            </w:r>
            <w:r w:rsidRPr="00840172">
              <w:rPr>
                <w:sz w:val="24"/>
                <w:szCs w:val="24"/>
                <w:u w:val="single"/>
              </w:rPr>
              <w:fldChar w:fldCharType="separate"/>
            </w:r>
            <w:r w:rsidRPr="00840172">
              <w:rPr>
                <w:noProof/>
                <w:sz w:val="24"/>
                <w:szCs w:val="24"/>
                <w:u w:val="single"/>
              </w:rPr>
              <w:t>223,200</w:t>
            </w:r>
            <w:r w:rsidRPr="00840172">
              <w:rPr>
                <w:noProof/>
                <w:sz w:val="24"/>
                <w:szCs w:val="24"/>
                <w:u w:val="single"/>
              </w:rPr>
              <w:fldChar w:fldCharType="end"/>
            </w:r>
          </w:p>
        </w:tc>
      </w:tr>
      <w:tr w:rsidR="00FB3BC0" w:rsidRPr="00840172" w:rsidTr="00191E2C">
        <w:trPr>
          <w:trHeight w:val="288"/>
          <w:jc w:val="center"/>
        </w:trPr>
        <w:tc>
          <w:tcPr>
            <w:tcW w:w="3070" w:type="dxa"/>
            <w:vAlign w:val="center"/>
          </w:tcPr>
          <w:p w:rsidR="00191E2C" w:rsidRPr="00840172" w:rsidRDefault="00191E2C" w:rsidP="00C803FC">
            <w:pPr>
              <w:jc w:val="right"/>
              <w:rPr>
                <w:sz w:val="24"/>
                <w:szCs w:val="24"/>
              </w:rPr>
            </w:pPr>
            <w:r w:rsidRPr="00840172">
              <w:rPr>
                <w:i/>
                <w:sz w:val="24"/>
                <w:szCs w:val="24"/>
              </w:rPr>
              <w:t>Total</w:t>
            </w:r>
          </w:p>
        </w:tc>
        <w:tc>
          <w:tcPr>
            <w:tcW w:w="1577" w:type="dxa"/>
            <w:vAlign w:val="center"/>
          </w:tcPr>
          <w:p w:rsidR="00191E2C" w:rsidRPr="00840172" w:rsidRDefault="00191E2C" w:rsidP="00C803FC">
            <w:pPr>
              <w:tabs>
                <w:tab w:val="right" w:pos="792"/>
              </w:tabs>
              <w:rPr>
                <w:sz w:val="24"/>
                <w:szCs w:val="24"/>
              </w:rPr>
            </w:pPr>
          </w:p>
        </w:tc>
        <w:tc>
          <w:tcPr>
            <w:tcW w:w="1578" w:type="dxa"/>
          </w:tcPr>
          <w:p w:rsidR="00191E2C" w:rsidRPr="00840172" w:rsidRDefault="00191E2C" w:rsidP="00C803FC">
            <w:pPr>
              <w:jc w:val="center"/>
              <w:rPr>
                <w:sz w:val="24"/>
                <w:szCs w:val="24"/>
              </w:rPr>
            </w:pPr>
          </w:p>
        </w:tc>
        <w:tc>
          <w:tcPr>
            <w:tcW w:w="1577" w:type="dxa"/>
            <w:vAlign w:val="center"/>
          </w:tcPr>
          <w:p w:rsidR="00191E2C" w:rsidRPr="00840172" w:rsidRDefault="00191E2C" w:rsidP="00C803FC">
            <w:pPr>
              <w:tabs>
                <w:tab w:val="right" w:pos="882"/>
              </w:tabs>
              <w:rPr>
                <w:sz w:val="24"/>
                <w:szCs w:val="24"/>
              </w:rPr>
            </w:pPr>
          </w:p>
        </w:tc>
        <w:tc>
          <w:tcPr>
            <w:tcW w:w="1578" w:type="dxa"/>
            <w:shd w:val="clear" w:color="auto" w:fill="auto"/>
            <w:vAlign w:val="bottom"/>
          </w:tcPr>
          <w:p w:rsidR="00191E2C" w:rsidRPr="00840172" w:rsidRDefault="00191E2C" w:rsidP="000B1458">
            <w:pPr>
              <w:tabs>
                <w:tab w:val="right" w:pos="1057"/>
              </w:tabs>
              <w:rPr>
                <w:sz w:val="24"/>
                <w:szCs w:val="24"/>
              </w:rPr>
            </w:pPr>
            <w:r w:rsidRPr="00840172">
              <w:rPr>
                <w:sz w:val="24"/>
                <w:szCs w:val="24"/>
              </w:rPr>
              <w:tab/>
            </w:r>
            <w:r w:rsidRPr="00840172">
              <w:rPr>
                <w:sz w:val="24"/>
                <w:szCs w:val="24"/>
              </w:rPr>
              <w:fldChar w:fldCharType="begin"/>
            </w:r>
            <w:r w:rsidRPr="00840172">
              <w:rPr>
                <w:sz w:val="24"/>
                <w:szCs w:val="24"/>
              </w:rPr>
              <w:instrText xml:space="preserve"> =sum(e6, e8) \# "#,###" </w:instrText>
            </w:r>
            <w:r w:rsidRPr="00840172">
              <w:rPr>
                <w:sz w:val="24"/>
                <w:szCs w:val="24"/>
              </w:rPr>
              <w:fldChar w:fldCharType="separate"/>
            </w:r>
            <w:r w:rsidRPr="00840172">
              <w:rPr>
                <w:noProof/>
                <w:sz w:val="24"/>
                <w:szCs w:val="24"/>
              </w:rPr>
              <w:t>251,968</w:t>
            </w:r>
            <w:r w:rsidRPr="00840172">
              <w:rPr>
                <w:sz w:val="24"/>
                <w:szCs w:val="24"/>
              </w:rPr>
              <w:fldChar w:fldCharType="end"/>
            </w:r>
          </w:p>
        </w:tc>
      </w:tr>
    </w:tbl>
    <w:p w:rsidR="00002646" w:rsidRPr="00840172" w:rsidRDefault="00002646" w:rsidP="003451DB">
      <w:pPr>
        <w:rPr>
          <w:sz w:val="24"/>
          <w:szCs w:val="24"/>
        </w:rPr>
      </w:pPr>
    </w:p>
    <w:p w:rsidR="003451DB" w:rsidRPr="00840172" w:rsidRDefault="00191E2C" w:rsidP="003451DB">
      <w:pPr>
        <w:rPr>
          <w:bCs/>
          <w:sz w:val="24"/>
          <w:szCs w:val="24"/>
        </w:rPr>
      </w:pPr>
      <w:r w:rsidRPr="00840172">
        <w:rPr>
          <w:sz w:val="24"/>
          <w:szCs w:val="24"/>
        </w:rPr>
        <w:t>A</w:t>
      </w:r>
      <w:r w:rsidR="00FB7757" w:rsidRPr="00840172">
        <w:rPr>
          <w:sz w:val="24"/>
          <w:szCs w:val="24"/>
        </w:rPr>
        <w:t xml:space="preserve"> one-time implementation </w:t>
      </w:r>
      <w:r w:rsidR="003451DB" w:rsidRPr="00840172">
        <w:rPr>
          <w:sz w:val="24"/>
          <w:szCs w:val="24"/>
        </w:rPr>
        <w:t xml:space="preserve">cost to the public for this </w:t>
      </w:r>
      <w:r w:rsidR="00873DC9" w:rsidRPr="00840172">
        <w:rPr>
          <w:sz w:val="24"/>
          <w:szCs w:val="24"/>
        </w:rPr>
        <w:t>information</w:t>
      </w:r>
      <w:r w:rsidR="004A4CE5" w:rsidRPr="00840172">
        <w:rPr>
          <w:sz w:val="24"/>
          <w:szCs w:val="24"/>
        </w:rPr>
        <w:t xml:space="preserve"> </w:t>
      </w:r>
      <w:r w:rsidR="003451DB" w:rsidRPr="00840172">
        <w:rPr>
          <w:sz w:val="24"/>
          <w:szCs w:val="24"/>
        </w:rPr>
        <w:t xml:space="preserve">collection is </w:t>
      </w:r>
      <w:r w:rsidR="003451DB" w:rsidRPr="00840172">
        <w:rPr>
          <w:color w:val="000000"/>
          <w:sz w:val="24"/>
          <w:szCs w:val="24"/>
        </w:rPr>
        <w:t xml:space="preserve">estimated to be </w:t>
      </w:r>
      <w:bookmarkStart w:id="0" w:name="_GoBack"/>
      <w:bookmarkEnd w:id="0"/>
      <w:r w:rsidR="003451DB" w:rsidRPr="00840172">
        <w:rPr>
          <w:sz w:val="24"/>
          <w:szCs w:val="24"/>
        </w:rPr>
        <w:t>$</w:t>
      </w:r>
      <w:r w:rsidR="00934C0D" w:rsidRPr="00840172">
        <w:rPr>
          <w:sz w:val="24"/>
          <w:szCs w:val="24"/>
        </w:rPr>
        <w:t>1</w:t>
      </w:r>
      <w:r w:rsidR="00A97450">
        <w:rPr>
          <w:sz w:val="24"/>
          <w:szCs w:val="24"/>
        </w:rPr>
        <w:t>1</w:t>
      </w:r>
      <w:r w:rsidR="00934C0D" w:rsidRPr="00840172">
        <w:rPr>
          <w:sz w:val="24"/>
          <w:szCs w:val="24"/>
        </w:rPr>
        <w:t>,</w:t>
      </w:r>
      <w:r w:rsidR="00A97450">
        <w:rPr>
          <w:sz w:val="24"/>
          <w:szCs w:val="24"/>
        </w:rPr>
        <w:t>137</w:t>
      </w:r>
      <w:r w:rsidR="00934C0D" w:rsidRPr="00840172">
        <w:rPr>
          <w:sz w:val="24"/>
          <w:szCs w:val="24"/>
        </w:rPr>
        <w:t>,</w:t>
      </w:r>
      <w:r w:rsidR="00A97450">
        <w:rPr>
          <w:sz w:val="24"/>
          <w:szCs w:val="24"/>
        </w:rPr>
        <w:t>680</w:t>
      </w:r>
      <w:r w:rsidR="00FB7757" w:rsidRPr="00840172">
        <w:rPr>
          <w:sz w:val="24"/>
          <w:szCs w:val="24"/>
        </w:rPr>
        <w:t xml:space="preserve">.  On a continuing basis the </w:t>
      </w:r>
      <w:r w:rsidR="00934C0D" w:rsidRPr="00840172">
        <w:rPr>
          <w:sz w:val="24"/>
          <w:szCs w:val="24"/>
        </w:rPr>
        <w:t>annual cost</w:t>
      </w:r>
      <w:r w:rsidR="00FB7757" w:rsidRPr="00840172">
        <w:rPr>
          <w:sz w:val="24"/>
          <w:szCs w:val="24"/>
        </w:rPr>
        <w:t xml:space="preserve"> to the public is</w:t>
      </w:r>
      <w:r w:rsidR="00934C0D" w:rsidRPr="00840172">
        <w:rPr>
          <w:sz w:val="24"/>
          <w:szCs w:val="24"/>
        </w:rPr>
        <w:t xml:space="preserve"> estimated to be $1,</w:t>
      </w:r>
      <w:r w:rsidR="00A97450">
        <w:rPr>
          <w:sz w:val="24"/>
          <w:szCs w:val="24"/>
        </w:rPr>
        <w:t>435</w:t>
      </w:r>
      <w:r w:rsidR="00934C0D" w:rsidRPr="00840172">
        <w:rPr>
          <w:sz w:val="24"/>
          <w:szCs w:val="24"/>
        </w:rPr>
        <w:t>,</w:t>
      </w:r>
      <w:r w:rsidR="00A97450">
        <w:rPr>
          <w:sz w:val="24"/>
          <w:szCs w:val="24"/>
        </w:rPr>
        <w:t>523</w:t>
      </w:r>
      <w:r w:rsidR="00FC526C" w:rsidRPr="00840172">
        <w:rPr>
          <w:sz w:val="24"/>
          <w:szCs w:val="24"/>
        </w:rPr>
        <w:t>.</w:t>
      </w:r>
      <w:r w:rsidR="003451DB" w:rsidRPr="00840172">
        <w:rPr>
          <w:rStyle w:val="FootnoteReference"/>
          <w:sz w:val="24"/>
          <w:szCs w:val="24"/>
          <w:vertAlign w:val="superscript"/>
        </w:rPr>
        <w:footnoteReference w:id="12"/>
      </w:r>
    </w:p>
    <w:p w:rsidR="003451DB" w:rsidRPr="00840172" w:rsidRDefault="003451DB" w:rsidP="003451D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p>
    <w:p w:rsidR="003451DB" w:rsidRPr="00840172" w:rsidRDefault="003451DB" w:rsidP="003451DB">
      <w:pPr>
        <w:tabs>
          <w:tab w:val="left" w:pos="-1080"/>
          <w:tab w:val="left" w:pos="-90"/>
          <w:tab w:val="left" w:pos="720"/>
          <w:tab w:val="left" w:pos="1440"/>
          <w:tab w:val="left" w:pos="1980"/>
          <w:tab w:val="left" w:pos="3960"/>
          <w:tab w:val="left" w:pos="5760"/>
          <w:tab w:val="left" w:pos="7740"/>
          <w:tab w:val="left" w:pos="8640"/>
        </w:tabs>
        <w:rPr>
          <w:color w:val="000000"/>
          <w:sz w:val="24"/>
          <w:szCs w:val="24"/>
        </w:rPr>
      </w:pPr>
      <w:r w:rsidRPr="00840172">
        <w:rPr>
          <w:b/>
          <w:sz w:val="24"/>
          <w:szCs w:val="24"/>
        </w:rPr>
        <w:t>S</w:t>
      </w:r>
      <w:r w:rsidRPr="00840172">
        <w:rPr>
          <w:b/>
          <w:bCs/>
          <w:color w:val="000000"/>
          <w:sz w:val="24"/>
          <w:szCs w:val="24"/>
        </w:rPr>
        <w:t>ensitive Questions</w:t>
      </w:r>
    </w:p>
    <w:p w:rsidR="003451DB" w:rsidRPr="00840172" w:rsidRDefault="003451DB" w:rsidP="003451D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3451DB" w:rsidRPr="00840172" w:rsidRDefault="003451DB" w:rsidP="003451DB">
      <w:pPr>
        <w:ind w:firstLine="720"/>
        <w:rPr>
          <w:color w:val="000000"/>
          <w:sz w:val="24"/>
          <w:szCs w:val="24"/>
        </w:rPr>
      </w:pPr>
      <w:r w:rsidRPr="00840172">
        <w:rPr>
          <w:color w:val="000000"/>
          <w:sz w:val="24"/>
          <w:szCs w:val="24"/>
        </w:rPr>
        <w:t>This collection of information contains no questions of a sensitive nature, as defined by OMB guidelines.</w:t>
      </w:r>
    </w:p>
    <w:p w:rsidR="003451DB" w:rsidRPr="00840172" w:rsidRDefault="003451DB" w:rsidP="003451D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3451DB" w:rsidRPr="00840172" w:rsidRDefault="003451DB" w:rsidP="003451DB">
      <w:pPr>
        <w:rPr>
          <w:sz w:val="24"/>
          <w:szCs w:val="24"/>
        </w:rPr>
      </w:pPr>
      <w:r w:rsidRPr="00840172">
        <w:rPr>
          <w:b/>
          <w:sz w:val="24"/>
          <w:szCs w:val="24"/>
        </w:rPr>
        <w:t>Estimate of Cost to the Federal Reserve System</w:t>
      </w:r>
    </w:p>
    <w:p w:rsidR="003451DB" w:rsidRPr="00840172" w:rsidRDefault="003451DB" w:rsidP="003451DB">
      <w:pPr>
        <w:pStyle w:val="MemoHeade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mallCaps w:val="0"/>
          <w:szCs w:val="24"/>
        </w:rPr>
      </w:pPr>
    </w:p>
    <w:p w:rsidR="00300993" w:rsidRDefault="00300993" w:rsidP="00300993">
      <w:pPr>
        <w:ind w:firstLine="720"/>
        <w:rPr>
          <w:sz w:val="24"/>
          <w:szCs w:val="24"/>
        </w:rPr>
      </w:pPr>
      <w:r>
        <w:rPr>
          <w:sz w:val="24"/>
          <w:szCs w:val="24"/>
        </w:rPr>
        <w:t>F</w:t>
      </w:r>
      <w:r w:rsidRPr="00D82F2B">
        <w:rPr>
          <w:sz w:val="24"/>
          <w:szCs w:val="24"/>
        </w:rPr>
        <w:t xml:space="preserve">or the </w:t>
      </w:r>
      <w:r>
        <w:rPr>
          <w:sz w:val="24"/>
          <w:szCs w:val="24"/>
        </w:rPr>
        <w:t>September 30, 2013</w:t>
      </w:r>
      <w:r w:rsidRPr="00D82F2B">
        <w:rPr>
          <w:sz w:val="24"/>
          <w:szCs w:val="24"/>
        </w:rPr>
        <w:t>as-of-date</w:t>
      </w:r>
      <w:r>
        <w:rPr>
          <w:sz w:val="24"/>
          <w:szCs w:val="24"/>
        </w:rPr>
        <w:t xml:space="preserve">, the cost estimate </w:t>
      </w:r>
      <w:r w:rsidR="001235DD">
        <w:rPr>
          <w:sz w:val="24"/>
          <w:szCs w:val="24"/>
        </w:rPr>
        <w:t>to</w:t>
      </w:r>
      <w:r>
        <w:rPr>
          <w:sz w:val="24"/>
          <w:szCs w:val="24"/>
        </w:rPr>
        <w:t xml:space="preserve"> the Federal Reserve System for the implementation of the new reporting requirements is estimated to be $</w:t>
      </w:r>
      <w:r w:rsidR="001235DD">
        <w:rPr>
          <w:sz w:val="24"/>
          <w:szCs w:val="24"/>
        </w:rPr>
        <w:t>572,400;</w:t>
      </w:r>
      <w:r>
        <w:rPr>
          <w:sz w:val="24"/>
          <w:szCs w:val="24"/>
        </w:rPr>
        <w:t xml:space="preserve"> on a continuing basis </w:t>
      </w:r>
      <w:r w:rsidR="001235DD">
        <w:rPr>
          <w:sz w:val="24"/>
          <w:szCs w:val="24"/>
        </w:rPr>
        <w:t xml:space="preserve">the </w:t>
      </w:r>
      <w:r w:rsidR="001235DD">
        <w:rPr>
          <w:sz w:val="24"/>
          <w:szCs w:val="24"/>
        </w:rPr>
        <w:t xml:space="preserve">cost </w:t>
      </w:r>
      <w:r w:rsidR="001235DD">
        <w:rPr>
          <w:sz w:val="24"/>
          <w:szCs w:val="24"/>
        </w:rPr>
        <w:t xml:space="preserve">to </w:t>
      </w:r>
      <w:r w:rsidR="001235DD">
        <w:rPr>
          <w:sz w:val="24"/>
          <w:szCs w:val="24"/>
        </w:rPr>
        <w:t>the Federal Reserve System</w:t>
      </w:r>
      <w:r w:rsidR="001235DD">
        <w:rPr>
          <w:sz w:val="24"/>
          <w:szCs w:val="24"/>
        </w:rPr>
        <w:t xml:space="preserve"> </w:t>
      </w:r>
      <w:r>
        <w:rPr>
          <w:sz w:val="24"/>
          <w:szCs w:val="24"/>
        </w:rPr>
        <w:t>is estimated to be $3</w:t>
      </w:r>
      <w:r>
        <w:rPr>
          <w:sz w:val="24"/>
          <w:szCs w:val="24"/>
        </w:rPr>
        <w:t>24</w:t>
      </w:r>
      <w:r>
        <w:rPr>
          <w:sz w:val="24"/>
          <w:szCs w:val="24"/>
        </w:rPr>
        <w:t>,</w:t>
      </w:r>
      <w:r>
        <w:rPr>
          <w:sz w:val="24"/>
          <w:szCs w:val="24"/>
        </w:rPr>
        <w:t>590</w:t>
      </w:r>
      <w:r>
        <w:rPr>
          <w:sz w:val="24"/>
          <w:szCs w:val="24"/>
        </w:rPr>
        <w:t>.</w:t>
      </w:r>
    </w:p>
    <w:p w:rsidR="0033117F" w:rsidRDefault="0033117F">
      <w:pPr>
        <w:spacing w:after="200" w:line="276" w:lineRule="auto"/>
        <w:rPr>
          <w:b/>
          <w:sz w:val="24"/>
          <w:szCs w:val="24"/>
        </w:rPr>
      </w:pPr>
    </w:p>
    <w:sectPr w:rsidR="0033117F" w:rsidSect="00C803FC">
      <w:footerReference w:type="even" r:id="rId9"/>
      <w:footerReference w:type="default" r:id="rId10"/>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233" w:rsidRDefault="002D6233" w:rsidP="003451DB">
      <w:r>
        <w:separator/>
      </w:r>
    </w:p>
  </w:endnote>
  <w:endnote w:type="continuationSeparator" w:id="0">
    <w:p w:rsidR="002D6233" w:rsidRDefault="002D6233" w:rsidP="003451DB">
      <w:r>
        <w:continuationSeparator/>
      </w:r>
    </w:p>
  </w:endnote>
  <w:endnote w:type="continuationNotice" w:id="1">
    <w:p w:rsidR="002D6233" w:rsidRDefault="002D62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33" w:rsidRDefault="002D62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D6233" w:rsidRDefault="002D62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1101607557"/>
      <w:docPartObj>
        <w:docPartGallery w:val="Page Numbers (Bottom of Page)"/>
        <w:docPartUnique/>
      </w:docPartObj>
    </w:sdtPr>
    <w:sdtEndPr>
      <w:rPr>
        <w:noProof/>
      </w:rPr>
    </w:sdtEndPr>
    <w:sdtContent>
      <w:p w:rsidR="002D6233" w:rsidRPr="009234D5" w:rsidRDefault="002D6233">
        <w:pPr>
          <w:pStyle w:val="Footer"/>
          <w:jc w:val="center"/>
          <w:rPr>
            <w:sz w:val="24"/>
            <w:szCs w:val="24"/>
          </w:rPr>
        </w:pPr>
        <w:r w:rsidRPr="009234D5">
          <w:rPr>
            <w:sz w:val="24"/>
            <w:szCs w:val="24"/>
          </w:rPr>
          <w:fldChar w:fldCharType="begin"/>
        </w:r>
        <w:r w:rsidRPr="009234D5">
          <w:rPr>
            <w:sz w:val="24"/>
            <w:szCs w:val="24"/>
          </w:rPr>
          <w:instrText xml:space="preserve"> PAGE   \* MERGEFORMAT </w:instrText>
        </w:r>
        <w:r w:rsidRPr="009234D5">
          <w:rPr>
            <w:sz w:val="24"/>
            <w:szCs w:val="24"/>
          </w:rPr>
          <w:fldChar w:fldCharType="separate"/>
        </w:r>
        <w:r w:rsidR="003A20F5">
          <w:rPr>
            <w:noProof/>
            <w:sz w:val="24"/>
            <w:szCs w:val="24"/>
          </w:rPr>
          <w:t>2</w:t>
        </w:r>
        <w:r w:rsidRPr="009234D5">
          <w:rPr>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233" w:rsidRDefault="002D6233" w:rsidP="003451DB">
      <w:r>
        <w:separator/>
      </w:r>
    </w:p>
  </w:footnote>
  <w:footnote w:type="continuationSeparator" w:id="0">
    <w:p w:rsidR="002D6233" w:rsidRDefault="002D6233" w:rsidP="003451DB">
      <w:r>
        <w:continuationSeparator/>
      </w:r>
    </w:p>
  </w:footnote>
  <w:footnote w:type="continuationNotice" w:id="1">
    <w:p w:rsidR="002D6233" w:rsidRDefault="002D6233"/>
  </w:footnote>
  <w:footnote w:id="2">
    <w:p w:rsidR="002D6233" w:rsidRPr="001F415A" w:rsidRDefault="002D6233" w:rsidP="00AD18E7">
      <w:pPr>
        <w:pStyle w:val="FootnoteText"/>
        <w:rPr>
          <w:rFonts w:ascii="Times New Roman" w:hAnsi="Times New Roman"/>
        </w:rPr>
      </w:pPr>
      <w:r w:rsidRPr="001F415A">
        <w:rPr>
          <w:rStyle w:val="FootnoteReference"/>
          <w:rFonts w:ascii="Times New Roman" w:hAnsi="Times New Roman"/>
          <w:vertAlign w:val="superscript"/>
        </w:rPr>
        <w:footnoteRef/>
      </w:r>
      <w:r w:rsidRPr="001F415A">
        <w:rPr>
          <w:rFonts w:ascii="Times New Roman" w:hAnsi="Times New Roman"/>
        </w:rPr>
        <w:t xml:space="preserve">  SLHCs would not be subject to Dodd-Frank annual company-run stress testing requirements until the next calendar year after the SLHCs become subject to regulatory capital requirements.</w:t>
      </w:r>
    </w:p>
  </w:footnote>
  <w:footnote w:id="3">
    <w:p w:rsidR="002D6233" w:rsidRPr="001F415A" w:rsidRDefault="002D6233">
      <w:pPr>
        <w:pStyle w:val="FootnoteText"/>
        <w:rPr>
          <w:rFonts w:ascii="Times New Roman" w:hAnsi="Times New Roman"/>
        </w:rPr>
      </w:pPr>
      <w:r w:rsidRPr="001F415A">
        <w:rPr>
          <w:rStyle w:val="FootnoteReference"/>
          <w:rFonts w:ascii="Times New Roman" w:hAnsi="Times New Roman"/>
          <w:vertAlign w:val="superscript"/>
        </w:rPr>
        <w:footnoteRef/>
      </w:r>
      <w:r w:rsidRPr="001F415A">
        <w:rPr>
          <w:rFonts w:ascii="Times New Roman" w:hAnsi="Times New Roman"/>
          <w:vertAlign w:val="superscript"/>
        </w:rPr>
        <w:t xml:space="preserve"> </w:t>
      </w:r>
      <w:r w:rsidRPr="001F415A">
        <w:rPr>
          <w:rFonts w:ascii="Times New Roman" w:hAnsi="Times New Roman"/>
        </w:rPr>
        <w:t>“Covered companies” are defined as BHCs with at least $50 billion in total assets and nonbank systemically important financial institutions, subject to annual supervisory stress tests and semi-annual company-run stress tests; “other financial companies” are defined as BHCs with total consolidated assets over $10 billion but less than $50 billion, SLHCs with assets over $10 billion, and state-member banks with assets over $10 billion, subject to annual company-run stress tests.</w:t>
      </w:r>
    </w:p>
  </w:footnote>
  <w:footnote w:id="4">
    <w:p w:rsidR="002D6233" w:rsidRPr="001F415A" w:rsidRDefault="002D6233" w:rsidP="00B10FF7">
      <w:pPr>
        <w:pStyle w:val="FootnoteText"/>
        <w:rPr>
          <w:rFonts w:ascii="Times New Roman" w:hAnsi="Times New Roman"/>
        </w:rPr>
      </w:pPr>
      <w:r w:rsidRPr="001F415A">
        <w:rPr>
          <w:rStyle w:val="FootnoteReference"/>
          <w:rFonts w:ascii="Times New Roman" w:hAnsi="Times New Roman"/>
          <w:vertAlign w:val="superscript"/>
        </w:rPr>
        <w:footnoteRef/>
      </w:r>
      <w:r w:rsidRPr="001F415A">
        <w:rPr>
          <w:rFonts w:ascii="Times New Roman" w:hAnsi="Times New Roman"/>
        </w:rPr>
        <w:t xml:space="preserve">  The initial respondent panel is based on (average) total consolidated assets for four consecutive quarters up to and including the September 30, 2012, reporting period.  The actual list of respondents would be determined annually, effective as of September 30, 2013, by calculating the average assets over the prior four quarters (including the September 30, 2013 quarter end) as reported on Schedule RC-K of the Consolidated Reports of Condition and Income (Call Reports; FFIEC 031 and FFIEC 041; OMB No. 7100-0036) and Schedule HC-K of the</w:t>
      </w:r>
      <w:r w:rsidRPr="001F415A">
        <w:rPr>
          <w:rFonts w:ascii="Times New Roman" w:hAnsi="Times New Roman"/>
          <w:snapToGrid/>
        </w:rPr>
        <w:t xml:space="preserve"> </w:t>
      </w:r>
      <w:r w:rsidRPr="001F415A">
        <w:rPr>
          <w:rFonts w:ascii="Times New Roman" w:hAnsi="Times New Roman"/>
        </w:rPr>
        <w:t>Consolidated Financial Statements for Bank Holding Companies (FR Y-9C; OMB No. 7100-0128).</w:t>
      </w:r>
    </w:p>
  </w:footnote>
  <w:footnote w:id="5">
    <w:p w:rsidR="002D6233" w:rsidRPr="00834239" w:rsidRDefault="002D6233" w:rsidP="003D2C50">
      <w:pPr>
        <w:rPr>
          <w:color w:val="000000"/>
        </w:rPr>
      </w:pPr>
      <w:r w:rsidRPr="00834239">
        <w:rPr>
          <w:rStyle w:val="FootnoteReference"/>
          <w:vertAlign w:val="superscript"/>
        </w:rPr>
        <w:footnoteRef/>
      </w:r>
      <w:r w:rsidRPr="00834239">
        <w:t xml:space="preserve">  </w:t>
      </w:r>
      <w:r w:rsidRPr="00834239">
        <w:rPr>
          <w:color w:val="000000"/>
        </w:rPr>
        <w:t>A U.S.-domiciled bank holding company that is a subsidiary of a foreign banking organization that is currently relying on Supervision and Regulation Letter 01-01 issued by the FRB (as in effect on May 19, 2010) must comply with the final rule requirements beginning with the stress test cycle that commences on October 1, 2015, unless that time is extended by the FRB in writing.  The reporting requirements for U.S.-domiciled BHC subsidiaries of foreign banking organizations would be proposed at a later date.</w:t>
      </w:r>
    </w:p>
  </w:footnote>
  <w:footnote w:id="6">
    <w:p w:rsidR="002D6233" w:rsidRPr="001F415A" w:rsidRDefault="002D6233" w:rsidP="003451DB">
      <w:pPr>
        <w:pStyle w:val="FootnoteText"/>
        <w:rPr>
          <w:rFonts w:ascii="Times New Roman" w:hAnsi="Times New Roman"/>
        </w:rPr>
      </w:pPr>
      <w:r w:rsidRPr="00834239">
        <w:rPr>
          <w:rStyle w:val="FootnoteReference"/>
          <w:rFonts w:ascii="Times New Roman" w:hAnsi="Times New Roman"/>
          <w:vertAlign w:val="superscript"/>
        </w:rPr>
        <w:footnoteRef/>
      </w:r>
      <w:r w:rsidRPr="00834239">
        <w:rPr>
          <w:rFonts w:ascii="Times New Roman" w:hAnsi="Times New Roman"/>
        </w:rPr>
        <w:t xml:space="preserve">  Depending</w:t>
      </w:r>
      <w:r w:rsidRPr="001F415A">
        <w:rPr>
          <w:rFonts w:ascii="Times New Roman" w:hAnsi="Times New Roman"/>
        </w:rPr>
        <w:t xml:space="preserve"> on the systemic footprint and scope of operations and activities of a BHC, SLHC, or SMB, as described in the preamble to the final rule, the Board may require a company to include additional components in its adverse and severely adverse scenarios or to use additional scenarios that are designed to capture salient risks stemming from specific lines of business.</w:t>
      </w:r>
    </w:p>
  </w:footnote>
  <w:footnote w:id="7">
    <w:p w:rsidR="002D6233" w:rsidRDefault="002D6233" w:rsidP="00FE5A81">
      <w:r w:rsidRPr="00AD18E7">
        <w:rPr>
          <w:rStyle w:val="FootnoteReference"/>
          <w:vertAlign w:val="superscript"/>
        </w:rPr>
        <w:footnoteRef/>
      </w:r>
      <w:r w:rsidRPr="00AD18E7">
        <w:t xml:space="preserve">  SLHCs would not be subject to Dodd-Frank annual company-run stress testing requirements until the next calendar year after </w:t>
      </w:r>
      <w:r>
        <w:t>the SLHCs</w:t>
      </w:r>
      <w:r w:rsidRPr="00AD18E7">
        <w:t xml:space="preserve"> become subject to regulatory capital </w:t>
      </w:r>
      <w:r>
        <w:t>requirements</w:t>
      </w:r>
      <w:r w:rsidRPr="00AD18E7">
        <w:t>.</w:t>
      </w:r>
    </w:p>
  </w:footnote>
  <w:footnote w:id="8">
    <w:p w:rsidR="002D6233" w:rsidRPr="00FD5573" w:rsidDel="00EB62AA" w:rsidRDefault="002D6233" w:rsidP="00FE5A81">
      <w:pPr>
        <w:rPr>
          <w:rFonts w:ascii="Segoe UI" w:hAnsi="Segoe UI" w:cs="Segoe UI"/>
          <w:color w:val="000000"/>
        </w:rPr>
      </w:pPr>
      <w:r w:rsidRPr="00BC15DC">
        <w:rPr>
          <w:rStyle w:val="FootnoteReference"/>
          <w:vertAlign w:val="superscript"/>
        </w:rPr>
        <w:footnoteRef/>
      </w:r>
      <w:r w:rsidRPr="00BC15DC">
        <w:t xml:space="preserve">  </w:t>
      </w:r>
      <w:r w:rsidRPr="00EB62AA">
        <w:rPr>
          <w:color w:val="000000"/>
        </w:rPr>
        <w:t xml:space="preserve">A U.S. domiciled bank holding company that is a subsidiary of a foreign banking organization that is currently relying on Supervision and Regulation Letter 01-01 issued by the FRB (as in effect on May 19, 2010) must comply with the final rule requirements beginning with the stress test cycle that commences on October 1, 2015, unless that time is extended by the </w:t>
      </w:r>
      <w:r>
        <w:rPr>
          <w:color w:val="000000"/>
        </w:rPr>
        <w:t>Federal Reserve</w:t>
      </w:r>
      <w:r w:rsidRPr="00EB62AA">
        <w:rPr>
          <w:color w:val="000000"/>
        </w:rPr>
        <w:t xml:space="preserve"> in writing.</w:t>
      </w:r>
    </w:p>
  </w:footnote>
  <w:footnote w:id="9">
    <w:p w:rsidR="002D6233" w:rsidRPr="001235DD" w:rsidRDefault="002D6233" w:rsidP="002D6233">
      <w:pPr>
        <w:pStyle w:val="FootnoteText"/>
        <w:rPr>
          <w:rFonts w:ascii="Times New Roman" w:hAnsi="Times New Roman"/>
        </w:rPr>
      </w:pPr>
      <w:r w:rsidRPr="001235DD">
        <w:rPr>
          <w:rStyle w:val="FootnoteReference"/>
          <w:rFonts w:ascii="Times New Roman" w:hAnsi="Times New Roman"/>
          <w:vertAlign w:val="superscript"/>
        </w:rPr>
        <w:footnoteRef/>
      </w:r>
      <w:r w:rsidRPr="001235DD">
        <w:rPr>
          <w:rFonts w:ascii="Times New Roman" w:hAnsi="Times New Roman"/>
          <w:vertAlign w:val="superscript"/>
        </w:rPr>
        <w:t xml:space="preserve"> </w:t>
      </w:r>
      <w:r w:rsidRPr="001235DD">
        <w:rPr>
          <w:rFonts w:ascii="Times New Roman" w:hAnsi="Times New Roman"/>
        </w:rPr>
        <w:t>The FR Y-16 reporting requirements are tailored to the $10-$50 billion companies and require significantly less granular reporting segmentation relative to the FR Y-14A Summary Schedule that companies with greater than $50 billion in assets use to report the results of their company-run stress tests</w:t>
      </w:r>
      <w:proofErr w:type="gramStart"/>
      <w:r w:rsidRPr="001235DD">
        <w:rPr>
          <w:rFonts w:ascii="Times New Roman" w:hAnsi="Times New Roman"/>
        </w:rPr>
        <w:t>..</w:t>
      </w:r>
      <w:proofErr w:type="gramEnd"/>
    </w:p>
  </w:footnote>
  <w:footnote w:id="10">
    <w:p w:rsidR="002D6233" w:rsidRPr="001235DD" w:rsidRDefault="002D6233" w:rsidP="002D6233">
      <w:pPr>
        <w:pStyle w:val="FootnoteText"/>
        <w:rPr>
          <w:rFonts w:ascii="Times New Roman" w:hAnsi="Times New Roman"/>
        </w:rPr>
      </w:pPr>
      <w:r w:rsidRPr="001235DD">
        <w:rPr>
          <w:rStyle w:val="FootnoteReference"/>
          <w:rFonts w:ascii="Times New Roman" w:hAnsi="Times New Roman"/>
          <w:vertAlign w:val="superscript"/>
        </w:rPr>
        <w:footnoteRef/>
      </w:r>
      <w:r w:rsidRPr="001235DD">
        <w:rPr>
          <w:rFonts w:ascii="Times New Roman" w:hAnsi="Times New Roman"/>
          <w:vertAlign w:val="superscript"/>
        </w:rPr>
        <w:t xml:space="preserve"> </w:t>
      </w:r>
      <w:r w:rsidRPr="001235DD">
        <w:rPr>
          <w:rFonts w:ascii="Times New Roman" w:hAnsi="Times New Roman"/>
          <w:i/>
        </w:rPr>
        <w:t>See</w:t>
      </w:r>
      <w:r w:rsidRPr="001235DD">
        <w:rPr>
          <w:rFonts w:ascii="Times New Roman" w:hAnsi="Times New Roman"/>
        </w:rPr>
        <w:t xml:space="preserve"> 12 CFR Parts 208, 217, and 225 (July 2, 2013).</w:t>
      </w:r>
    </w:p>
  </w:footnote>
  <w:footnote w:id="11">
    <w:p w:rsidR="002D6233" w:rsidRPr="001235DD" w:rsidRDefault="002D6233" w:rsidP="003451DB">
      <w:pPr>
        <w:autoSpaceDE w:val="0"/>
        <w:autoSpaceDN w:val="0"/>
        <w:adjustRightInd w:val="0"/>
      </w:pPr>
      <w:r w:rsidRPr="001235DD">
        <w:rPr>
          <w:rStyle w:val="FootnoteReference"/>
          <w:vertAlign w:val="superscript"/>
        </w:rPr>
        <w:footnoteRef/>
      </w:r>
      <w:r w:rsidRPr="001235DD">
        <w:t xml:space="preserve">  Of these respondents, none are small entities as defined by the Small Business Administration (i.e., entities with less than $175 million in total assets) </w:t>
      </w:r>
      <w:hyperlink r:id="rId1" w:history="1">
        <w:r w:rsidRPr="001235DD">
          <w:rPr>
            <w:rStyle w:val="Hyperlink"/>
          </w:rPr>
          <w:t>www.sba.gov/content/table-small-business-size-standards</w:t>
        </w:r>
      </w:hyperlink>
      <w:r w:rsidRPr="001235DD">
        <w:t>.</w:t>
      </w:r>
    </w:p>
  </w:footnote>
  <w:footnote w:id="12">
    <w:p w:rsidR="002D6233" w:rsidRPr="00840172" w:rsidRDefault="002D6233" w:rsidP="003451DB">
      <w:pPr>
        <w:pStyle w:val="FootnoteText"/>
        <w:rPr>
          <w:rFonts w:ascii="Times New Roman" w:hAnsi="Times New Roman"/>
        </w:rPr>
      </w:pPr>
      <w:r w:rsidRPr="001235DD">
        <w:rPr>
          <w:rStyle w:val="FootnoteReference"/>
          <w:rFonts w:ascii="Times New Roman" w:hAnsi="Times New Roman"/>
          <w:vertAlign w:val="superscript"/>
        </w:rPr>
        <w:footnoteRef/>
      </w:r>
      <w:r w:rsidRPr="001235DD">
        <w:rPr>
          <w:rFonts w:ascii="Times New Roman" w:hAnsi="Times New Roman"/>
        </w:rPr>
        <w:t xml:space="preserve">  Total cost to the public was estimated using the following formula: percent of staff time, multiplied by annual</w:t>
      </w:r>
      <w:r w:rsidRPr="00A97450">
        <w:rPr>
          <w:rFonts w:ascii="Times New Roman" w:hAnsi="Times New Roman"/>
        </w:rPr>
        <w:t xml:space="preserve"> burden hours, multiplied by hourly rate (30% Office &amp; Administrative Support at $18, 45% Financial Managers at $59, 15% Lawyers at $63, and 10% Chief Executives at $85).  Hourly rate for each occupational group are the (rounded) mean hourly wages from the Bureau of Labor and Statistics (BLS), Occupational Employment and Wages 2012, </w:t>
      </w:r>
      <w:hyperlink r:id="rId2" w:history="1">
        <w:r w:rsidRPr="001216F3">
          <w:rPr>
            <w:rStyle w:val="Hyperlink"/>
            <w:rFonts w:ascii="Times New Roman" w:hAnsi="Times New Roman"/>
          </w:rPr>
          <w:t>www.bls.gov/news.release/ocwage.nr0.htm</w:t>
        </w:r>
      </w:hyperlink>
      <w:r>
        <w:rPr>
          <w:rFonts w:ascii="Times New Roman" w:hAnsi="Times New Roman"/>
        </w:rPr>
        <w:t xml:space="preserve">  </w:t>
      </w:r>
      <w:r w:rsidRPr="00A97450">
        <w:rPr>
          <w:rFonts w:ascii="Times New Roman" w:hAnsi="Times New Roman"/>
        </w:rPr>
        <w:t xml:space="preserve">Occupations are defined using the BLS Occupational Classification System, </w:t>
      </w:r>
      <w:hyperlink r:id="rId3" w:history="1">
        <w:r w:rsidRPr="001216F3">
          <w:rPr>
            <w:rStyle w:val="Hyperlink"/>
            <w:rFonts w:ascii="Times New Roman" w:hAnsi="Times New Roman"/>
          </w:rPr>
          <w:t>www.bls.gov/soc/</w:t>
        </w:r>
      </w:hyperlink>
      <w:r>
        <w:rPr>
          <w:rFonts w:ascii="Times New Roman" w:hAnsi="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069F6"/>
    <w:multiLevelType w:val="hybridMultilevel"/>
    <w:tmpl w:val="9EE09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3E527B2"/>
    <w:multiLevelType w:val="hybridMultilevel"/>
    <w:tmpl w:val="3976E1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FE90EAA"/>
    <w:multiLevelType w:val="hybridMultilevel"/>
    <w:tmpl w:val="ADCC0D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6446FB3"/>
    <w:multiLevelType w:val="hybridMultilevel"/>
    <w:tmpl w:val="576680D0"/>
    <w:lvl w:ilvl="0" w:tplc="08A0411C">
      <w:start w:val="1"/>
      <w:numFmt w:val="bullet"/>
      <w:pStyle w:val="Bulletpoint"/>
      <w:lvlText w:val=""/>
      <w:lvlJc w:val="left"/>
      <w:pPr>
        <w:tabs>
          <w:tab w:val="num" w:pos="851"/>
        </w:tabs>
        <w:ind w:left="851" w:hanging="851"/>
      </w:pPr>
      <w:rPr>
        <w:rFonts w:ascii="Symbol" w:hAnsi="Symbol" w:hint="default"/>
        <w:color w:val="auto"/>
      </w:rPr>
    </w:lvl>
    <w:lvl w:ilvl="1" w:tplc="B5AC37FC">
      <w:start w:val="1"/>
      <w:numFmt w:val="bullet"/>
      <w:lvlText w:val="–"/>
      <w:lvlJc w:val="left"/>
      <w:pPr>
        <w:tabs>
          <w:tab w:val="num" w:pos="1931"/>
        </w:tabs>
        <w:ind w:left="1931" w:hanging="851"/>
      </w:pPr>
      <w:rPr>
        <w:rFonts w:ascii="Arial" w:hAnsi="Arial" w:cs="Times New Roman" w:hint="default"/>
        <w:color w:val="auto"/>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4D65645B"/>
    <w:multiLevelType w:val="hybridMultilevel"/>
    <w:tmpl w:val="9D16C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1DB"/>
    <w:rsid w:val="00002646"/>
    <w:rsid w:val="00051A6F"/>
    <w:rsid w:val="000956F1"/>
    <w:rsid w:val="000A37EF"/>
    <w:rsid w:val="000A6F59"/>
    <w:rsid w:val="000B0B62"/>
    <w:rsid w:val="000B1458"/>
    <w:rsid w:val="000D2083"/>
    <w:rsid w:val="000F30AB"/>
    <w:rsid w:val="00102790"/>
    <w:rsid w:val="001052D0"/>
    <w:rsid w:val="001235DD"/>
    <w:rsid w:val="0012454F"/>
    <w:rsid w:val="001501C4"/>
    <w:rsid w:val="001668EC"/>
    <w:rsid w:val="001730CB"/>
    <w:rsid w:val="00175C39"/>
    <w:rsid w:val="00184BDF"/>
    <w:rsid w:val="00191E2C"/>
    <w:rsid w:val="001A2AFC"/>
    <w:rsid w:val="001A5DD1"/>
    <w:rsid w:val="001B21D3"/>
    <w:rsid w:val="001C0CFC"/>
    <w:rsid w:val="001D5D73"/>
    <w:rsid w:val="001E2496"/>
    <w:rsid w:val="001E674B"/>
    <w:rsid w:val="001F415A"/>
    <w:rsid w:val="00205D15"/>
    <w:rsid w:val="00245F9B"/>
    <w:rsid w:val="00255969"/>
    <w:rsid w:val="0027170E"/>
    <w:rsid w:val="00281033"/>
    <w:rsid w:val="00292A45"/>
    <w:rsid w:val="002A345E"/>
    <w:rsid w:val="002B46F5"/>
    <w:rsid w:val="002D6233"/>
    <w:rsid w:val="002D76F2"/>
    <w:rsid w:val="002E2461"/>
    <w:rsid w:val="002E4FB3"/>
    <w:rsid w:val="002F65B7"/>
    <w:rsid w:val="00300993"/>
    <w:rsid w:val="00325776"/>
    <w:rsid w:val="0033117F"/>
    <w:rsid w:val="003451DB"/>
    <w:rsid w:val="00363214"/>
    <w:rsid w:val="00380768"/>
    <w:rsid w:val="00392D02"/>
    <w:rsid w:val="003A20F5"/>
    <w:rsid w:val="003A61C6"/>
    <w:rsid w:val="003C7B03"/>
    <w:rsid w:val="003D2C50"/>
    <w:rsid w:val="003D7DBA"/>
    <w:rsid w:val="003E2934"/>
    <w:rsid w:val="003E6525"/>
    <w:rsid w:val="003F73B6"/>
    <w:rsid w:val="00405B55"/>
    <w:rsid w:val="004130E6"/>
    <w:rsid w:val="00416CE6"/>
    <w:rsid w:val="00422CFE"/>
    <w:rsid w:val="004412FB"/>
    <w:rsid w:val="004413AF"/>
    <w:rsid w:val="004461A4"/>
    <w:rsid w:val="00457556"/>
    <w:rsid w:val="004904E1"/>
    <w:rsid w:val="004A4CE5"/>
    <w:rsid w:val="004B7053"/>
    <w:rsid w:val="004C1419"/>
    <w:rsid w:val="004D74BB"/>
    <w:rsid w:val="004E6605"/>
    <w:rsid w:val="004F5A74"/>
    <w:rsid w:val="00501F97"/>
    <w:rsid w:val="00516EDC"/>
    <w:rsid w:val="00547950"/>
    <w:rsid w:val="0055490D"/>
    <w:rsid w:val="00561922"/>
    <w:rsid w:val="005A60E0"/>
    <w:rsid w:val="005C3C91"/>
    <w:rsid w:val="005F7196"/>
    <w:rsid w:val="005F747D"/>
    <w:rsid w:val="005F76AA"/>
    <w:rsid w:val="00654F3F"/>
    <w:rsid w:val="006550CB"/>
    <w:rsid w:val="00656EFD"/>
    <w:rsid w:val="006971C2"/>
    <w:rsid w:val="006B03F8"/>
    <w:rsid w:val="006B721E"/>
    <w:rsid w:val="0070260B"/>
    <w:rsid w:val="007150E4"/>
    <w:rsid w:val="007240A2"/>
    <w:rsid w:val="00760D83"/>
    <w:rsid w:val="00786D73"/>
    <w:rsid w:val="007B4E2B"/>
    <w:rsid w:val="007D2B9E"/>
    <w:rsid w:val="007E5F92"/>
    <w:rsid w:val="007E7D91"/>
    <w:rsid w:val="008078F4"/>
    <w:rsid w:val="00834239"/>
    <w:rsid w:val="0083463D"/>
    <w:rsid w:val="00840172"/>
    <w:rsid w:val="008640E7"/>
    <w:rsid w:val="00873DC9"/>
    <w:rsid w:val="00894569"/>
    <w:rsid w:val="008B7BB6"/>
    <w:rsid w:val="008E72BF"/>
    <w:rsid w:val="00914DEC"/>
    <w:rsid w:val="00934C0D"/>
    <w:rsid w:val="009403EE"/>
    <w:rsid w:val="0094156D"/>
    <w:rsid w:val="009442DC"/>
    <w:rsid w:val="009552B5"/>
    <w:rsid w:val="009B1489"/>
    <w:rsid w:val="009D109C"/>
    <w:rsid w:val="009F4FBC"/>
    <w:rsid w:val="00A45634"/>
    <w:rsid w:val="00A567E9"/>
    <w:rsid w:val="00A97450"/>
    <w:rsid w:val="00AA23B3"/>
    <w:rsid w:val="00AD18E7"/>
    <w:rsid w:val="00AD3254"/>
    <w:rsid w:val="00AD7E9E"/>
    <w:rsid w:val="00B10FF7"/>
    <w:rsid w:val="00B218A5"/>
    <w:rsid w:val="00B245B7"/>
    <w:rsid w:val="00B42DBE"/>
    <w:rsid w:val="00B73672"/>
    <w:rsid w:val="00BD561F"/>
    <w:rsid w:val="00BD57B9"/>
    <w:rsid w:val="00BE2FF2"/>
    <w:rsid w:val="00BF450E"/>
    <w:rsid w:val="00C1230A"/>
    <w:rsid w:val="00C20C8F"/>
    <w:rsid w:val="00C22761"/>
    <w:rsid w:val="00C42900"/>
    <w:rsid w:val="00C42A9B"/>
    <w:rsid w:val="00C477DF"/>
    <w:rsid w:val="00C53651"/>
    <w:rsid w:val="00C53FF2"/>
    <w:rsid w:val="00C646EB"/>
    <w:rsid w:val="00C803FC"/>
    <w:rsid w:val="00C86194"/>
    <w:rsid w:val="00C867DE"/>
    <w:rsid w:val="00C95E39"/>
    <w:rsid w:val="00D40204"/>
    <w:rsid w:val="00D50414"/>
    <w:rsid w:val="00D61A36"/>
    <w:rsid w:val="00D93B04"/>
    <w:rsid w:val="00D95610"/>
    <w:rsid w:val="00DE0DD6"/>
    <w:rsid w:val="00E1519F"/>
    <w:rsid w:val="00E4165F"/>
    <w:rsid w:val="00E60D50"/>
    <w:rsid w:val="00E95FB7"/>
    <w:rsid w:val="00EB3C75"/>
    <w:rsid w:val="00EB62AA"/>
    <w:rsid w:val="00EF4547"/>
    <w:rsid w:val="00F40DCE"/>
    <w:rsid w:val="00FB3BC0"/>
    <w:rsid w:val="00FB7757"/>
    <w:rsid w:val="00FC309F"/>
    <w:rsid w:val="00FC4394"/>
    <w:rsid w:val="00FC526C"/>
    <w:rsid w:val="00FD5573"/>
    <w:rsid w:val="00FE34FB"/>
    <w:rsid w:val="00FE5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1D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3451DB"/>
  </w:style>
  <w:style w:type="paragraph" w:styleId="FootnoteText">
    <w:name w:val="footnote text"/>
    <w:basedOn w:val="Normal"/>
    <w:link w:val="FootnoteTextChar"/>
    <w:uiPriority w:val="99"/>
    <w:rsid w:val="003451DB"/>
    <w:pPr>
      <w:widowControl w:val="0"/>
    </w:pPr>
    <w:rPr>
      <w:rFonts w:ascii="Courier" w:hAnsi="Courier"/>
      <w:snapToGrid w:val="0"/>
    </w:rPr>
  </w:style>
  <w:style w:type="character" w:customStyle="1" w:styleId="FootnoteTextChar">
    <w:name w:val="Footnote Text Char"/>
    <w:basedOn w:val="DefaultParagraphFont"/>
    <w:link w:val="FootnoteText"/>
    <w:uiPriority w:val="99"/>
    <w:rsid w:val="003451DB"/>
    <w:rPr>
      <w:rFonts w:ascii="Courier" w:eastAsia="Times New Roman" w:hAnsi="Courier" w:cs="Times New Roman"/>
      <w:snapToGrid w:val="0"/>
      <w:sz w:val="20"/>
      <w:szCs w:val="20"/>
    </w:rPr>
  </w:style>
  <w:style w:type="paragraph" w:styleId="BodyTextIndent">
    <w:name w:val="Body Text Indent"/>
    <w:basedOn w:val="Normal"/>
    <w:link w:val="BodyTextIndentChar"/>
    <w:rsid w:val="003451DB"/>
    <w:pPr>
      <w:ind w:firstLine="720"/>
    </w:pPr>
    <w:rPr>
      <w:rFonts w:ascii="Times" w:hAnsi="Times"/>
      <w:sz w:val="24"/>
    </w:rPr>
  </w:style>
  <w:style w:type="character" w:customStyle="1" w:styleId="BodyTextIndentChar">
    <w:name w:val="Body Text Indent Char"/>
    <w:basedOn w:val="DefaultParagraphFont"/>
    <w:link w:val="BodyTextIndent"/>
    <w:rsid w:val="003451DB"/>
    <w:rPr>
      <w:rFonts w:ascii="Times" w:eastAsia="Times New Roman" w:hAnsi="Times" w:cs="Times New Roman"/>
      <w:sz w:val="24"/>
      <w:szCs w:val="20"/>
    </w:rPr>
  </w:style>
  <w:style w:type="paragraph" w:styleId="BodyText">
    <w:name w:val="Body Text"/>
    <w:basedOn w:val="Normal"/>
    <w:link w:val="BodyTextChar"/>
    <w:uiPriority w:val="99"/>
    <w:rsid w:val="00345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w:hAnsi="Times"/>
      <w:sz w:val="24"/>
    </w:rPr>
  </w:style>
  <w:style w:type="character" w:customStyle="1" w:styleId="BodyTextChar">
    <w:name w:val="Body Text Char"/>
    <w:basedOn w:val="DefaultParagraphFont"/>
    <w:link w:val="BodyText"/>
    <w:uiPriority w:val="99"/>
    <w:rsid w:val="003451DB"/>
    <w:rPr>
      <w:rFonts w:ascii="Times" w:eastAsia="Times New Roman" w:hAnsi="Times" w:cs="Times New Roman"/>
      <w:sz w:val="24"/>
      <w:szCs w:val="20"/>
    </w:rPr>
  </w:style>
  <w:style w:type="paragraph" w:customStyle="1" w:styleId="MemoHeader">
    <w:name w:val="Memo Header"/>
    <w:basedOn w:val="Normal"/>
    <w:next w:val="Normal"/>
    <w:rsid w:val="003451DB"/>
    <w:rPr>
      <w:rFonts w:ascii="Arial" w:hAnsi="Arial"/>
      <w:smallCaps/>
      <w:sz w:val="24"/>
    </w:rPr>
  </w:style>
  <w:style w:type="paragraph" w:styleId="Footer">
    <w:name w:val="footer"/>
    <w:basedOn w:val="Normal"/>
    <w:link w:val="FooterChar"/>
    <w:uiPriority w:val="99"/>
    <w:rsid w:val="003451DB"/>
    <w:pPr>
      <w:tabs>
        <w:tab w:val="center" w:pos="4320"/>
        <w:tab w:val="right" w:pos="8640"/>
      </w:tabs>
    </w:pPr>
  </w:style>
  <w:style w:type="character" w:customStyle="1" w:styleId="FooterChar">
    <w:name w:val="Footer Char"/>
    <w:basedOn w:val="DefaultParagraphFont"/>
    <w:link w:val="Footer"/>
    <w:uiPriority w:val="99"/>
    <w:rsid w:val="003451DB"/>
    <w:rPr>
      <w:rFonts w:ascii="Times New Roman" w:eastAsia="Times New Roman" w:hAnsi="Times New Roman" w:cs="Times New Roman"/>
      <w:sz w:val="20"/>
      <w:szCs w:val="20"/>
    </w:rPr>
  </w:style>
  <w:style w:type="character" w:styleId="PageNumber">
    <w:name w:val="page number"/>
    <w:basedOn w:val="DefaultParagraphFont"/>
    <w:rsid w:val="003451DB"/>
  </w:style>
  <w:style w:type="character" w:styleId="CommentReference">
    <w:name w:val="annotation reference"/>
    <w:basedOn w:val="DefaultParagraphFont"/>
    <w:uiPriority w:val="99"/>
    <w:semiHidden/>
    <w:rsid w:val="003451DB"/>
    <w:rPr>
      <w:sz w:val="16"/>
      <w:szCs w:val="16"/>
    </w:rPr>
  </w:style>
  <w:style w:type="paragraph" w:styleId="CommentText">
    <w:name w:val="annotation text"/>
    <w:basedOn w:val="Normal"/>
    <w:link w:val="CommentTextChar"/>
    <w:uiPriority w:val="99"/>
    <w:rsid w:val="003451DB"/>
  </w:style>
  <w:style w:type="character" w:customStyle="1" w:styleId="CommentTextChar">
    <w:name w:val="Comment Text Char"/>
    <w:basedOn w:val="DefaultParagraphFont"/>
    <w:link w:val="CommentText"/>
    <w:uiPriority w:val="99"/>
    <w:rsid w:val="003451DB"/>
    <w:rPr>
      <w:rFonts w:ascii="Times New Roman" w:eastAsia="Times New Roman" w:hAnsi="Times New Roman" w:cs="Times New Roman"/>
      <w:sz w:val="20"/>
      <w:szCs w:val="20"/>
    </w:rPr>
  </w:style>
  <w:style w:type="paragraph" w:styleId="Header">
    <w:name w:val="header"/>
    <w:basedOn w:val="Normal"/>
    <w:link w:val="HeaderChar"/>
    <w:uiPriority w:val="99"/>
    <w:rsid w:val="003451DB"/>
    <w:pPr>
      <w:tabs>
        <w:tab w:val="center" w:pos="4320"/>
        <w:tab w:val="right" w:pos="8640"/>
      </w:tabs>
    </w:pPr>
  </w:style>
  <w:style w:type="character" w:customStyle="1" w:styleId="HeaderChar">
    <w:name w:val="Header Char"/>
    <w:basedOn w:val="DefaultParagraphFont"/>
    <w:link w:val="Header"/>
    <w:uiPriority w:val="99"/>
    <w:rsid w:val="003451DB"/>
    <w:rPr>
      <w:rFonts w:ascii="Times New Roman" w:eastAsia="Times New Roman" w:hAnsi="Times New Roman" w:cs="Times New Roman"/>
      <w:sz w:val="20"/>
      <w:szCs w:val="20"/>
    </w:rPr>
  </w:style>
  <w:style w:type="paragraph" w:styleId="ListParagraph">
    <w:name w:val="List Paragraph"/>
    <w:basedOn w:val="Normal"/>
    <w:uiPriority w:val="34"/>
    <w:qFormat/>
    <w:rsid w:val="003451DB"/>
    <w:pPr>
      <w:spacing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rsid w:val="003451DB"/>
    <w:rPr>
      <w:color w:val="0000FF"/>
      <w:u w:val="single"/>
    </w:rPr>
  </w:style>
  <w:style w:type="paragraph" w:customStyle="1" w:styleId="MemoAddress">
    <w:name w:val="Memo Address"/>
    <w:basedOn w:val="Normal"/>
    <w:next w:val="Normal"/>
    <w:rsid w:val="003451DB"/>
    <w:pPr>
      <w:spacing w:line="220" w:lineRule="exact"/>
      <w:ind w:left="1152" w:hanging="1152"/>
    </w:pPr>
    <w:rPr>
      <w:sz w:val="24"/>
    </w:rPr>
  </w:style>
  <w:style w:type="paragraph" w:styleId="BalloonText">
    <w:name w:val="Balloon Text"/>
    <w:basedOn w:val="Normal"/>
    <w:link w:val="BalloonTextChar"/>
    <w:uiPriority w:val="99"/>
    <w:semiHidden/>
    <w:unhideWhenUsed/>
    <w:rsid w:val="003451DB"/>
    <w:rPr>
      <w:rFonts w:ascii="Tahoma" w:hAnsi="Tahoma" w:cs="Tahoma"/>
      <w:sz w:val="16"/>
      <w:szCs w:val="16"/>
    </w:rPr>
  </w:style>
  <w:style w:type="character" w:customStyle="1" w:styleId="BalloonTextChar">
    <w:name w:val="Balloon Text Char"/>
    <w:basedOn w:val="DefaultParagraphFont"/>
    <w:link w:val="BalloonText"/>
    <w:uiPriority w:val="99"/>
    <w:semiHidden/>
    <w:rsid w:val="003451D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7150E4"/>
    <w:rPr>
      <w:b/>
      <w:bCs/>
    </w:rPr>
  </w:style>
  <w:style w:type="character" w:customStyle="1" w:styleId="CommentSubjectChar">
    <w:name w:val="Comment Subject Char"/>
    <w:basedOn w:val="CommentTextChar"/>
    <w:link w:val="CommentSubject"/>
    <w:uiPriority w:val="99"/>
    <w:semiHidden/>
    <w:rsid w:val="007150E4"/>
    <w:rPr>
      <w:rFonts w:ascii="Times New Roman" w:eastAsia="Times New Roman" w:hAnsi="Times New Roman" w:cs="Times New Roman"/>
      <w:b/>
      <w:bCs/>
      <w:sz w:val="20"/>
      <w:szCs w:val="20"/>
    </w:rPr>
  </w:style>
  <w:style w:type="paragraph" w:styleId="Revision">
    <w:name w:val="Revision"/>
    <w:hidden/>
    <w:uiPriority w:val="99"/>
    <w:semiHidden/>
    <w:rsid w:val="001730CB"/>
    <w:pPr>
      <w:spacing w:after="0" w:line="240" w:lineRule="auto"/>
    </w:pPr>
    <w:rPr>
      <w:rFonts w:ascii="Times New Roman" w:eastAsia="Times New Roman" w:hAnsi="Times New Roman" w:cs="Times New Roman"/>
      <w:sz w:val="20"/>
      <w:szCs w:val="20"/>
    </w:rPr>
  </w:style>
  <w:style w:type="paragraph" w:customStyle="1" w:styleId="Style0">
    <w:name w:val="Style0"/>
    <w:rsid w:val="000B0B62"/>
    <w:pPr>
      <w:spacing w:after="0" w:line="240" w:lineRule="auto"/>
    </w:pPr>
    <w:rPr>
      <w:rFonts w:ascii="Arial" w:eastAsia="Times New Roman" w:hAnsi="Arial" w:cs="Times New Roman"/>
      <w:snapToGrid w:val="0"/>
      <w:sz w:val="24"/>
      <w:szCs w:val="20"/>
    </w:rPr>
  </w:style>
  <w:style w:type="paragraph" w:styleId="BodyTextIndent2">
    <w:name w:val="Body Text Indent 2"/>
    <w:basedOn w:val="Normal"/>
    <w:link w:val="BodyTextIndent2Char"/>
    <w:uiPriority w:val="99"/>
    <w:semiHidden/>
    <w:unhideWhenUsed/>
    <w:rsid w:val="00840172"/>
    <w:pPr>
      <w:spacing w:after="120" w:line="480" w:lineRule="auto"/>
      <w:ind w:left="360"/>
    </w:pPr>
  </w:style>
  <w:style w:type="character" w:customStyle="1" w:styleId="BodyTextIndent2Char">
    <w:name w:val="Body Text Indent 2 Char"/>
    <w:basedOn w:val="DefaultParagraphFont"/>
    <w:link w:val="BodyTextIndent2"/>
    <w:uiPriority w:val="99"/>
    <w:semiHidden/>
    <w:rsid w:val="00840172"/>
    <w:rPr>
      <w:rFonts w:ascii="Times New Roman" w:eastAsia="Times New Roman" w:hAnsi="Times New Roman" w:cs="Times New Roman"/>
      <w:sz w:val="20"/>
      <w:szCs w:val="20"/>
    </w:rPr>
  </w:style>
  <w:style w:type="paragraph" w:customStyle="1" w:styleId="Bulletpoint">
    <w:name w:val="Bullet point"/>
    <w:basedOn w:val="Normal"/>
    <w:rsid w:val="00B42DBE"/>
    <w:pPr>
      <w:numPr>
        <w:numId w:val="5"/>
      </w:numPr>
      <w:spacing w:after="120"/>
      <w:jc w:val="both"/>
    </w:pPr>
    <w:rPr>
      <w:rFonts w:ascii="Arial" w:hAnsi="Arial"/>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1D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3451DB"/>
  </w:style>
  <w:style w:type="paragraph" w:styleId="FootnoteText">
    <w:name w:val="footnote text"/>
    <w:basedOn w:val="Normal"/>
    <w:link w:val="FootnoteTextChar"/>
    <w:uiPriority w:val="99"/>
    <w:rsid w:val="003451DB"/>
    <w:pPr>
      <w:widowControl w:val="0"/>
    </w:pPr>
    <w:rPr>
      <w:rFonts w:ascii="Courier" w:hAnsi="Courier"/>
      <w:snapToGrid w:val="0"/>
    </w:rPr>
  </w:style>
  <w:style w:type="character" w:customStyle="1" w:styleId="FootnoteTextChar">
    <w:name w:val="Footnote Text Char"/>
    <w:basedOn w:val="DefaultParagraphFont"/>
    <w:link w:val="FootnoteText"/>
    <w:uiPriority w:val="99"/>
    <w:rsid w:val="003451DB"/>
    <w:rPr>
      <w:rFonts w:ascii="Courier" w:eastAsia="Times New Roman" w:hAnsi="Courier" w:cs="Times New Roman"/>
      <w:snapToGrid w:val="0"/>
      <w:sz w:val="20"/>
      <w:szCs w:val="20"/>
    </w:rPr>
  </w:style>
  <w:style w:type="paragraph" w:styleId="BodyTextIndent">
    <w:name w:val="Body Text Indent"/>
    <w:basedOn w:val="Normal"/>
    <w:link w:val="BodyTextIndentChar"/>
    <w:rsid w:val="003451DB"/>
    <w:pPr>
      <w:ind w:firstLine="720"/>
    </w:pPr>
    <w:rPr>
      <w:rFonts w:ascii="Times" w:hAnsi="Times"/>
      <w:sz w:val="24"/>
    </w:rPr>
  </w:style>
  <w:style w:type="character" w:customStyle="1" w:styleId="BodyTextIndentChar">
    <w:name w:val="Body Text Indent Char"/>
    <w:basedOn w:val="DefaultParagraphFont"/>
    <w:link w:val="BodyTextIndent"/>
    <w:rsid w:val="003451DB"/>
    <w:rPr>
      <w:rFonts w:ascii="Times" w:eastAsia="Times New Roman" w:hAnsi="Times" w:cs="Times New Roman"/>
      <w:sz w:val="24"/>
      <w:szCs w:val="20"/>
    </w:rPr>
  </w:style>
  <w:style w:type="paragraph" w:styleId="BodyText">
    <w:name w:val="Body Text"/>
    <w:basedOn w:val="Normal"/>
    <w:link w:val="BodyTextChar"/>
    <w:uiPriority w:val="99"/>
    <w:rsid w:val="00345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w:hAnsi="Times"/>
      <w:sz w:val="24"/>
    </w:rPr>
  </w:style>
  <w:style w:type="character" w:customStyle="1" w:styleId="BodyTextChar">
    <w:name w:val="Body Text Char"/>
    <w:basedOn w:val="DefaultParagraphFont"/>
    <w:link w:val="BodyText"/>
    <w:uiPriority w:val="99"/>
    <w:rsid w:val="003451DB"/>
    <w:rPr>
      <w:rFonts w:ascii="Times" w:eastAsia="Times New Roman" w:hAnsi="Times" w:cs="Times New Roman"/>
      <w:sz w:val="24"/>
      <w:szCs w:val="20"/>
    </w:rPr>
  </w:style>
  <w:style w:type="paragraph" w:customStyle="1" w:styleId="MemoHeader">
    <w:name w:val="Memo Header"/>
    <w:basedOn w:val="Normal"/>
    <w:next w:val="Normal"/>
    <w:rsid w:val="003451DB"/>
    <w:rPr>
      <w:rFonts w:ascii="Arial" w:hAnsi="Arial"/>
      <w:smallCaps/>
      <w:sz w:val="24"/>
    </w:rPr>
  </w:style>
  <w:style w:type="paragraph" w:styleId="Footer">
    <w:name w:val="footer"/>
    <w:basedOn w:val="Normal"/>
    <w:link w:val="FooterChar"/>
    <w:uiPriority w:val="99"/>
    <w:rsid w:val="003451DB"/>
    <w:pPr>
      <w:tabs>
        <w:tab w:val="center" w:pos="4320"/>
        <w:tab w:val="right" w:pos="8640"/>
      </w:tabs>
    </w:pPr>
  </w:style>
  <w:style w:type="character" w:customStyle="1" w:styleId="FooterChar">
    <w:name w:val="Footer Char"/>
    <w:basedOn w:val="DefaultParagraphFont"/>
    <w:link w:val="Footer"/>
    <w:uiPriority w:val="99"/>
    <w:rsid w:val="003451DB"/>
    <w:rPr>
      <w:rFonts w:ascii="Times New Roman" w:eastAsia="Times New Roman" w:hAnsi="Times New Roman" w:cs="Times New Roman"/>
      <w:sz w:val="20"/>
      <w:szCs w:val="20"/>
    </w:rPr>
  </w:style>
  <w:style w:type="character" w:styleId="PageNumber">
    <w:name w:val="page number"/>
    <w:basedOn w:val="DefaultParagraphFont"/>
    <w:rsid w:val="003451DB"/>
  </w:style>
  <w:style w:type="character" w:styleId="CommentReference">
    <w:name w:val="annotation reference"/>
    <w:basedOn w:val="DefaultParagraphFont"/>
    <w:uiPriority w:val="99"/>
    <w:semiHidden/>
    <w:rsid w:val="003451DB"/>
    <w:rPr>
      <w:sz w:val="16"/>
      <w:szCs w:val="16"/>
    </w:rPr>
  </w:style>
  <w:style w:type="paragraph" w:styleId="CommentText">
    <w:name w:val="annotation text"/>
    <w:basedOn w:val="Normal"/>
    <w:link w:val="CommentTextChar"/>
    <w:uiPriority w:val="99"/>
    <w:rsid w:val="003451DB"/>
  </w:style>
  <w:style w:type="character" w:customStyle="1" w:styleId="CommentTextChar">
    <w:name w:val="Comment Text Char"/>
    <w:basedOn w:val="DefaultParagraphFont"/>
    <w:link w:val="CommentText"/>
    <w:uiPriority w:val="99"/>
    <w:rsid w:val="003451DB"/>
    <w:rPr>
      <w:rFonts w:ascii="Times New Roman" w:eastAsia="Times New Roman" w:hAnsi="Times New Roman" w:cs="Times New Roman"/>
      <w:sz w:val="20"/>
      <w:szCs w:val="20"/>
    </w:rPr>
  </w:style>
  <w:style w:type="paragraph" w:styleId="Header">
    <w:name w:val="header"/>
    <w:basedOn w:val="Normal"/>
    <w:link w:val="HeaderChar"/>
    <w:uiPriority w:val="99"/>
    <w:rsid w:val="003451DB"/>
    <w:pPr>
      <w:tabs>
        <w:tab w:val="center" w:pos="4320"/>
        <w:tab w:val="right" w:pos="8640"/>
      </w:tabs>
    </w:pPr>
  </w:style>
  <w:style w:type="character" w:customStyle="1" w:styleId="HeaderChar">
    <w:name w:val="Header Char"/>
    <w:basedOn w:val="DefaultParagraphFont"/>
    <w:link w:val="Header"/>
    <w:uiPriority w:val="99"/>
    <w:rsid w:val="003451DB"/>
    <w:rPr>
      <w:rFonts w:ascii="Times New Roman" w:eastAsia="Times New Roman" w:hAnsi="Times New Roman" w:cs="Times New Roman"/>
      <w:sz w:val="20"/>
      <w:szCs w:val="20"/>
    </w:rPr>
  </w:style>
  <w:style w:type="paragraph" w:styleId="ListParagraph">
    <w:name w:val="List Paragraph"/>
    <w:basedOn w:val="Normal"/>
    <w:uiPriority w:val="34"/>
    <w:qFormat/>
    <w:rsid w:val="003451DB"/>
    <w:pPr>
      <w:spacing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rsid w:val="003451DB"/>
    <w:rPr>
      <w:color w:val="0000FF"/>
      <w:u w:val="single"/>
    </w:rPr>
  </w:style>
  <w:style w:type="paragraph" w:customStyle="1" w:styleId="MemoAddress">
    <w:name w:val="Memo Address"/>
    <w:basedOn w:val="Normal"/>
    <w:next w:val="Normal"/>
    <w:rsid w:val="003451DB"/>
    <w:pPr>
      <w:spacing w:line="220" w:lineRule="exact"/>
      <w:ind w:left="1152" w:hanging="1152"/>
    </w:pPr>
    <w:rPr>
      <w:sz w:val="24"/>
    </w:rPr>
  </w:style>
  <w:style w:type="paragraph" w:styleId="BalloonText">
    <w:name w:val="Balloon Text"/>
    <w:basedOn w:val="Normal"/>
    <w:link w:val="BalloonTextChar"/>
    <w:uiPriority w:val="99"/>
    <w:semiHidden/>
    <w:unhideWhenUsed/>
    <w:rsid w:val="003451DB"/>
    <w:rPr>
      <w:rFonts w:ascii="Tahoma" w:hAnsi="Tahoma" w:cs="Tahoma"/>
      <w:sz w:val="16"/>
      <w:szCs w:val="16"/>
    </w:rPr>
  </w:style>
  <w:style w:type="character" w:customStyle="1" w:styleId="BalloonTextChar">
    <w:name w:val="Balloon Text Char"/>
    <w:basedOn w:val="DefaultParagraphFont"/>
    <w:link w:val="BalloonText"/>
    <w:uiPriority w:val="99"/>
    <w:semiHidden/>
    <w:rsid w:val="003451D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7150E4"/>
    <w:rPr>
      <w:b/>
      <w:bCs/>
    </w:rPr>
  </w:style>
  <w:style w:type="character" w:customStyle="1" w:styleId="CommentSubjectChar">
    <w:name w:val="Comment Subject Char"/>
    <w:basedOn w:val="CommentTextChar"/>
    <w:link w:val="CommentSubject"/>
    <w:uiPriority w:val="99"/>
    <w:semiHidden/>
    <w:rsid w:val="007150E4"/>
    <w:rPr>
      <w:rFonts w:ascii="Times New Roman" w:eastAsia="Times New Roman" w:hAnsi="Times New Roman" w:cs="Times New Roman"/>
      <w:b/>
      <w:bCs/>
      <w:sz w:val="20"/>
      <w:szCs w:val="20"/>
    </w:rPr>
  </w:style>
  <w:style w:type="paragraph" w:styleId="Revision">
    <w:name w:val="Revision"/>
    <w:hidden/>
    <w:uiPriority w:val="99"/>
    <w:semiHidden/>
    <w:rsid w:val="001730CB"/>
    <w:pPr>
      <w:spacing w:after="0" w:line="240" w:lineRule="auto"/>
    </w:pPr>
    <w:rPr>
      <w:rFonts w:ascii="Times New Roman" w:eastAsia="Times New Roman" w:hAnsi="Times New Roman" w:cs="Times New Roman"/>
      <w:sz w:val="20"/>
      <w:szCs w:val="20"/>
    </w:rPr>
  </w:style>
  <w:style w:type="paragraph" w:customStyle="1" w:styleId="Style0">
    <w:name w:val="Style0"/>
    <w:rsid w:val="000B0B62"/>
    <w:pPr>
      <w:spacing w:after="0" w:line="240" w:lineRule="auto"/>
    </w:pPr>
    <w:rPr>
      <w:rFonts w:ascii="Arial" w:eastAsia="Times New Roman" w:hAnsi="Arial" w:cs="Times New Roman"/>
      <w:snapToGrid w:val="0"/>
      <w:sz w:val="24"/>
      <w:szCs w:val="20"/>
    </w:rPr>
  </w:style>
  <w:style w:type="paragraph" w:styleId="BodyTextIndent2">
    <w:name w:val="Body Text Indent 2"/>
    <w:basedOn w:val="Normal"/>
    <w:link w:val="BodyTextIndent2Char"/>
    <w:uiPriority w:val="99"/>
    <w:semiHidden/>
    <w:unhideWhenUsed/>
    <w:rsid w:val="00840172"/>
    <w:pPr>
      <w:spacing w:after="120" w:line="480" w:lineRule="auto"/>
      <w:ind w:left="360"/>
    </w:pPr>
  </w:style>
  <w:style w:type="character" w:customStyle="1" w:styleId="BodyTextIndent2Char">
    <w:name w:val="Body Text Indent 2 Char"/>
    <w:basedOn w:val="DefaultParagraphFont"/>
    <w:link w:val="BodyTextIndent2"/>
    <w:uiPriority w:val="99"/>
    <w:semiHidden/>
    <w:rsid w:val="00840172"/>
    <w:rPr>
      <w:rFonts w:ascii="Times New Roman" w:eastAsia="Times New Roman" w:hAnsi="Times New Roman" w:cs="Times New Roman"/>
      <w:sz w:val="20"/>
      <w:szCs w:val="20"/>
    </w:rPr>
  </w:style>
  <w:style w:type="paragraph" w:customStyle="1" w:styleId="Bulletpoint">
    <w:name w:val="Bullet point"/>
    <w:basedOn w:val="Normal"/>
    <w:rsid w:val="00B42DBE"/>
    <w:pPr>
      <w:numPr>
        <w:numId w:val="5"/>
      </w:numPr>
      <w:spacing w:after="120"/>
      <w:jc w:val="both"/>
    </w:pPr>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soc/" TargetMode="External"/><Relationship Id="rId2" Type="http://schemas.openxmlformats.org/officeDocument/2006/relationships/hyperlink" Target="http://www.bls.gov/news.release/ocwage.nr0.htm" TargetMode="External"/><Relationship Id="rId1" Type="http://schemas.openxmlformats.org/officeDocument/2006/relationships/hyperlink" Target="file:///\\drslx1\fr-home\m1cmb00\www.sba.gov\content\table-small-business-size-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7AA081E-EE13-484E-9D2E-776948BA5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7</Pages>
  <Words>2467</Words>
  <Characters>14068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Federal Reserve Board</Company>
  <LinksUpToDate>false</LinksUpToDate>
  <CharactersWithSpaces>16502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l1njr01</dc:creator>
  <cp:lastModifiedBy>John A. Schmidt</cp:lastModifiedBy>
  <cp:revision>10</cp:revision>
  <cp:lastPrinted>2013-02-27T14:29:00Z</cp:lastPrinted>
  <dcterms:created xsi:type="dcterms:W3CDTF">2013-08-02T15:41:00Z</dcterms:created>
  <dcterms:modified xsi:type="dcterms:W3CDTF">2013-09-30T13:05:00Z</dcterms:modified>
</cp:coreProperties>
</file>