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F0D" w:rsidRPr="0084644C" w:rsidRDefault="00516D2F" w:rsidP="0084644C">
      <w:pPr>
        <w:jc w:val="both"/>
        <w:rPr>
          <w:sz w:val="20"/>
          <w:szCs w:val="20"/>
        </w:rPr>
      </w:pPr>
      <w:bookmarkStart w:id="0" w:name="_GoBack"/>
      <w:bookmarkEnd w:id="0"/>
      <w:r w:rsidRPr="0084644C">
        <w:rPr>
          <w:sz w:val="20"/>
          <w:szCs w:val="20"/>
        </w:rPr>
        <w:t xml:space="preserve">This attachment provides </w:t>
      </w:r>
      <w:r w:rsidR="00A82F0D" w:rsidRPr="0084644C">
        <w:rPr>
          <w:sz w:val="20"/>
          <w:szCs w:val="20"/>
        </w:rPr>
        <w:t>an overview of the questionnaire items to be used in this study and their relationship to study goals and traffic safety applications</w:t>
      </w:r>
      <w:r w:rsidR="00C90484" w:rsidRPr="0084644C">
        <w:rPr>
          <w:sz w:val="20"/>
          <w:szCs w:val="20"/>
        </w:rPr>
        <w:t xml:space="preserve"> and countermeasures (CMs)</w:t>
      </w:r>
      <w:r w:rsidR="009F0167" w:rsidRPr="0084644C">
        <w:rPr>
          <w:sz w:val="20"/>
          <w:szCs w:val="20"/>
        </w:rPr>
        <w:t>.</w:t>
      </w:r>
      <w:r w:rsidR="00906AC6">
        <w:rPr>
          <w:sz w:val="20"/>
          <w:szCs w:val="20"/>
        </w:rPr>
        <w:t xml:space="preserve">  </w:t>
      </w:r>
      <w:r w:rsidR="00C17E85" w:rsidRPr="0084644C">
        <w:rPr>
          <w:sz w:val="20"/>
          <w:szCs w:val="20"/>
        </w:rPr>
        <w:t xml:space="preserve">It is important to note that </w:t>
      </w:r>
      <w:r w:rsidR="00C2267B" w:rsidRPr="0084644C">
        <w:rPr>
          <w:sz w:val="20"/>
          <w:szCs w:val="20"/>
        </w:rPr>
        <w:t xml:space="preserve">self-report responses </w:t>
      </w:r>
      <w:r w:rsidR="00C17E85" w:rsidRPr="0084644C">
        <w:rPr>
          <w:sz w:val="20"/>
          <w:szCs w:val="20"/>
        </w:rPr>
        <w:t xml:space="preserve">from the </w:t>
      </w:r>
      <w:r w:rsidR="003D111B" w:rsidRPr="0084644C">
        <w:rPr>
          <w:sz w:val="20"/>
          <w:szCs w:val="20"/>
        </w:rPr>
        <w:t>questionnaire will</w:t>
      </w:r>
      <w:r w:rsidR="00C17E85" w:rsidRPr="0084644C">
        <w:rPr>
          <w:sz w:val="20"/>
          <w:szCs w:val="20"/>
        </w:rPr>
        <w:t xml:space="preserve"> be </w:t>
      </w:r>
      <w:r w:rsidR="003D111B" w:rsidRPr="0084644C">
        <w:rPr>
          <w:sz w:val="20"/>
          <w:szCs w:val="20"/>
        </w:rPr>
        <w:t xml:space="preserve">linked with and </w:t>
      </w:r>
      <w:r w:rsidR="00C17E85" w:rsidRPr="0084644C">
        <w:rPr>
          <w:sz w:val="20"/>
          <w:szCs w:val="20"/>
        </w:rPr>
        <w:t xml:space="preserve">compared </w:t>
      </w:r>
      <w:r w:rsidR="00C2267B" w:rsidRPr="0084644C">
        <w:rPr>
          <w:sz w:val="20"/>
          <w:szCs w:val="20"/>
        </w:rPr>
        <w:t xml:space="preserve">to </w:t>
      </w:r>
      <w:r w:rsidR="003D111B" w:rsidRPr="0084644C">
        <w:rPr>
          <w:sz w:val="20"/>
          <w:szCs w:val="20"/>
        </w:rPr>
        <w:t>actual driving records.</w:t>
      </w:r>
      <w:r w:rsidR="00C17E85" w:rsidRPr="0084644C">
        <w:rPr>
          <w:sz w:val="20"/>
          <w:szCs w:val="20"/>
        </w:rPr>
        <w:t xml:space="preserve">  Countermeasures developed from the information collected in this study will include trying to find effective ways to </w:t>
      </w:r>
      <w:r w:rsidR="003D111B" w:rsidRPr="0084644C">
        <w:rPr>
          <w:sz w:val="20"/>
          <w:szCs w:val="20"/>
        </w:rPr>
        <w:t>reduce speeding and speeding-related crashes and improve overall traffic safety</w:t>
      </w:r>
      <w:r w:rsidR="00C17E85" w:rsidRPr="0084644C">
        <w:rPr>
          <w:sz w:val="20"/>
          <w:szCs w:val="20"/>
        </w:rPr>
        <w:t>.</w:t>
      </w:r>
    </w:p>
    <w:tbl>
      <w:tblPr>
        <w:tblStyle w:val="TableGrid"/>
        <w:tblW w:w="9648" w:type="dxa"/>
        <w:tblLayout w:type="fixed"/>
        <w:tblLook w:val="04A0" w:firstRow="1" w:lastRow="0" w:firstColumn="1" w:lastColumn="0" w:noHBand="0" w:noVBand="1"/>
      </w:tblPr>
      <w:tblGrid>
        <w:gridCol w:w="1548"/>
        <w:gridCol w:w="2970"/>
        <w:gridCol w:w="2610"/>
        <w:gridCol w:w="2520"/>
      </w:tblGrid>
      <w:tr w:rsidR="009662A8" w:rsidTr="00F65F82">
        <w:trPr>
          <w:tblHeader/>
        </w:trPr>
        <w:tc>
          <w:tcPr>
            <w:tcW w:w="1548" w:type="dxa"/>
            <w:tcBorders>
              <w:top w:val="double" w:sz="4" w:space="0" w:color="auto"/>
              <w:bottom w:val="triple" w:sz="4" w:space="0" w:color="auto"/>
            </w:tcBorders>
            <w:shd w:val="pct10" w:color="auto" w:fill="auto"/>
            <w:vAlign w:val="center"/>
          </w:tcPr>
          <w:p w:rsidR="00A71ABA" w:rsidRPr="0005569E" w:rsidRDefault="00A71ABA" w:rsidP="00CE2707">
            <w:pPr>
              <w:jc w:val="center"/>
              <w:rPr>
                <w:rFonts w:ascii="Garamond" w:hAnsi="Garamond"/>
                <w:b/>
              </w:rPr>
            </w:pPr>
            <w:r w:rsidRPr="0005569E">
              <w:rPr>
                <w:rFonts w:ascii="Garamond" w:hAnsi="Garamond"/>
                <w:b/>
              </w:rPr>
              <w:t>Questionnaire Items</w:t>
            </w:r>
          </w:p>
        </w:tc>
        <w:tc>
          <w:tcPr>
            <w:tcW w:w="2970" w:type="dxa"/>
            <w:tcBorders>
              <w:top w:val="double" w:sz="4" w:space="0" w:color="auto"/>
              <w:bottom w:val="triple" w:sz="4" w:space="0" w:color="auto"/>
            </w:tcBorders>
            <w:shd w:val="pct10" w:color="auto" w:fill="auto"/>
            <w:vAlign w:val="center"/>
          </w:tcPr>
          <w:p w:rsidR="00DA0DBD" w:rsidRPr="0005569E" w:rsidRDefault="00CF25DD" w:rsidP="001B1C5E">
            <w:pPr>
              <w:jc w:val="center"/>
              <w:rPr>
                <w:rFonts w:ascii="Garamond" w:hAnsi="Garamond"/>
                <w:b/>
              </w:rPr>
            </w:pPr>
            <w:r w:rsidRPr="0005569E">
              <w:rPr>
                <w:rFonts w:ascii="Garamond" w:hAnsi="Garamond"/>
                <w:b/>
              </w:rPr>
              <w:t>Target Information</w:t>
            </w:r>
          </w:p>
        </w:tc>
        <w:tc>
          <w:tcPr>
            <w:tcW w:w="2610" w:type="dxa"/>
            <w:tcBorders>
              <w:top w:val="double" w:sz="4" w:space="0" w:color="auto"/>
              <w:bottom w:val="triple" w:sz="4" w:space="0" w:color="auto"/>
            </w:tcBorders>
            <w:shd w:val="pct10" w:color="auto" w:fill="auto"/>
            <w:vAlign w:val="center"/>
          </w:tcPr>
          <w:p w:rsidR="00DA0DBD" w:rsidRPr="0005569E" w:rsidRDefault="001B1C5E" w:rsidP="00A71ABA">
            <w:pPr>
              <w:jc w:val="center"/>
              <w:rPr>
                <w:rFonts w:ascii="Garamond" w:hAnsi="Garamond"/>
                <w:b/>
              </w:rPr>
            </w:pPr>
            <w:r w:rsidRPr="0005569E">
              <w:rPr>
                <w:rFonts w:ascii="Garamond" w:hAnsi="Garamond"/>
                <w:b/>
              </w:rPr>
              <w:t>Relevance</w:t>
            </w:r>
          </w:p>
        </w:tc>
        <w:tc>
          <w:tcPr>
            <w:tcW w:w="2520" w:type="dxa"/>
            <w:tcBorders>
              <w:top w:val="double" w:sz="4" w:space="0" w:color="auto"/>
              <w:bottom w:val="triple" w:sz="4" w:space="0" w:color="auto"/>
            </w:tcBorders>
            <w:shd w:val="pct10" w:color="auto" w:fill="auto"/>
            <w:vAlign w:val="center"/>
          </w:tcPr>
          <w:p w:rsidR="00DA0DBD" w:rsidRPr="0005569E" w:rsidRDefault="001B1C5E" w:rsidP="00A71ABA">
            <w:pPr>
              <w:jc w:val="center"/>
              <w:rPr>
                <w:rFonts w:ascii="Garamond" w:hAnsi="Garamond"/>
                <w:b/>
              </w:rPr>
            </w:pPr>
            <w:r w:rsidRPr="0005569E">
              <w:rPr>
                <w:rFonts w:ascii="Garamond" w:hAnsi="Garamond"/>
                <w:b/>
              </w:rPr>
              <w:t>Application</w:t>
            </w:r>
          </w:p>
        </w:tc>
      </w:tr>
      <w:tr w:rsidR="00627642" w:rsidTr="00F65F82">
        <w:tc>
          <w:tcPr>
            <w:tcW w:w="9648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D6E3BC" w:themeFill="accent3" w:themeFillTint="66"/>
            <w:vAlign w:val="center"/>
          </w:tcPr>
          <w:p w:rsidR="00FB7F86" w:rsidRPr="00152BC7" w:rsidRDefault="00FB7F86" w:rsidP="00FB7F86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  <w:p w:rsidR="00627642" w:rsidRDefault="00CF6B08" w:rsidP="00FB7F86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05569E">
              <w:rPr>
                <w:rFonts w:ascii="Garamond" w:hAnsi="Garamond"/>
                <w:b/>
                <w:sz w:val="20"/>
                <w:szCs w:val="20"/>
              </w:rPr>
              <w:t>Eligibility Questions</w:t>
            </w:r>
            <w:r w:rsidR="00FB7F86">
              <w:rPr>
                <w:rFonts w:ascii="Garamond" w:hAnsi="Garamond"/>
                <w:b/>
                <w:sz w:val="20"/>
                <w:szCs w:val="20"/>
              </w:rPr>
              <w:t xml:space="preserve"> &amp; Targeting Personal Driving Behavior</w:t>
            </w:r>
          </w:p>
          <w:p w:rsidR="00FB7F86" w:rsidRPr="00152BC7" w:rsidRDefault="00FB7F86" w:rsidP="00FB7F86">
            <w:pPr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  <w:tr w:rsidR="00DA0DBD" w:rsidTr="00F65F82">
        <w:tc>
          <w:tcPr>
            <w:tcW w:w="1548" w:type="dxa"/>
            <w:tcBorders>
              <w:top w:val="double" w:sz="4" w:space="0" w:color="auto"/>
            </w:tcBorders>
            <w:vAlign w:val="center"/>
          </w:tcPr>
          <w:p w:rsidR="00DA0DBD" w:rsidRPr="00CF6B08" w:rsidRDefault="004446EC" w:rsidP="00CF6B08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CF6B08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297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A0DBD" w:rsidRPr="00E2265E" w:rsidRDefault="00E2265E" w:rsidP="007D5D09">
            <w:pPr>
              <w:rPr>
                <w:rFonts w:ascii="Garamond" w:hAnsi="Garamond"/>
                <w:sz w:val="20"/>
                <w:szCs w:val="20"/>
              </w:rPr>
            </w:pPr>
            <w:r w:rsidRPr="00E2265E">
              <w:rPr>
                <w:rFonts w:ascii="Garamond" w:hAnsi="Garamond" w:cs="Arial"/>
                <w:sz w:val="20"/>
                <w:szCs w:val="20"/>
              </w:rPr>
              <w:t>Are you the person this survey was addressed to?</w:t>
            </w:r>
          </w:p>
        </w:tc>
        <w:tc>
          <w:tcPr>
            <w:tcW w:w="2610" w:type="dxa"/>
            <w:tcBorders>
              <w:top w:val="double" w:sz="4" w:space="0" w:color="auto"/>
            </w:tcBorders>
            <w:vAlign w:val="center"/>
          </w:tcPr>
          <w:p w:rsidR="00DA0DBD" w:rsidRPr="00E2265E" w:rsidRDefault="00E2265E" w:rsidP="007D5D09">
            <w:pPr>
              <w:rPr>
                <w:rFonts w:ascii="Garamond" w:hAnsi="Garamond"/>
                <w:sz w:val="20"/>
                <w:szCs w:val="20"/>
              </w:rPr>
            </w:pPr>
            <w:r w:rsidRPr="00E2265E">
              <w:rPr>
                <w:rFonts w:ascii="Garamond" w:hAnsi="Garamond"/>
                <w:sz w:val="20"/>
                <w:szCs w:val="20"/>
              </w:rPr>
              <w:t xml:space="preserve">Responses to be matched with driver records; </w:t>
            </w:r>
            <w:r w:rsidR="00F0778E">
              <w:rPr>
                <w:rFonts w:ascii="Garamond" w:hAnsi="Garamond"/>
                <w:sz w:val="20"/>
                <w:szCs w:val="20"/>
              </w:rPr>
              <w:t>need correct respondent for representative sample</w:t>
            </w:r>
          </w:p>
        </w:tc>
        <w:tc>
          <w:tcPr>
            <w:tcW w:w="2520" w:type="dxa"/>
            <w:tcBorders>
              <w:top w:val="double" w:sz="4" w:space="0" w:color="auto"/>
            </w:tcBorders>
            <w:vAlign w:val="center"/>
          </w:tcPr>
          <w:p w:rsidR="00DA0DBD" w:rsidRPr="00E2265E" w:rsidRDefault="00E2265E" w:rsidP="007D5D09">
            <w:pPr>
              <w:rPr>
                <w:rFonts w:ascii="Garamond" w:hAnsi="Garamond"/>
                <w:sz w:val="20"/>
                <w:szCs w:val="20"/>
              </w:rPr>
            </w:pPr>
            <w:r w:rsidRPr="00E2265E">
              <w:rPr>
                <w:rFonts w:ascii="Garamond" w:hAnsi="Garamond"/>
                <w:sz w:val="20"/>
                <w:szCs w:val="20"/>
              </w:rPr>
              <w:t xml:space="preserve">Confirm respondent is person actually selected in the random sample </w:t>
            </w:r>
          </w:p>
        </w:tc>
      </w:tr>
      <w:tr w:rsidR="00ED34A6" w:rsidTr="00F65F82"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:rsidR="001A4DD1" w:rsidRPr="00CF6B08" w:rsidRDefault="004446EC" w:rsidP="00CF6B08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CF6B08">
              <w:rPr>
                <w:rFonts w:ascii="Garamond" w:hAnsi="Garamond"/>
                <w:sz w:val="20"/>
                <w:szCs w:val="20"/>
              </w:rPr>
              <w:t>2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4DD1" w:rsidRPr="00CF6B08" w:rsidRDefault="00CF6B08" w:rsidP="007D5D09">
            <w:pPr>
              <w:rPr>
                <w:rFonts w:ascii="Garamond" w:hAnsi="Garamond"/>
                <w:sz w:val="20"/>
                <w:szCs w:val="20"/>
              </w:rPr>
            </w:pPr>
            <w:r w:rsidRPr="00CF6B08">
              <w:rPr>
                <w:rFonts w:ascii="Garamond" w:hAnsi="Garamond" w:cs="Arial"/>
                <w:sz w:val="20"/>
                <w:szCs w:val="20"/>
              </w:rPr>
              <w:t>Are you willing to complete the survey?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:rsidR="001A4DD1" w:rsidRPr="00CF6B08" w:rsidRDefault="009F557F" w:rsidP="007D5D0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Consent of participant is required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:rsidR="001A4DD1" w:rsidRPr="00CF6B08" w:rsidRDefault="009F557F" w:rsidP="007D5D0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Respondent indicates their consent to participate in survey</w:t>
            </w:r>
          </w:p>
        </w:tc>
      </w:tr>
      <w:tr w:rsidR="005311C0" w:rsidTr="00F65F82">
        <w:tc>
          <w:tcPr>
            <w:tcW w:w="1548" w:type="dxa"/>
            <w:tcBorders>
              <w:bottom w:val="double" w:sz="4" w:space="0" w:color="auto"/>
            </w:tcBorders>
            <w:vAlign w:val="center"/>
          </w:tcPr>
          <w:p w:rsidR="005311C0" w:rsidRPr="00CF6B08" w:rsidRDefault="005311C0" w:rsidP="00CF6B08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3</w:t>
            </w:r>
          </w:p>
        </w:tc>
        <w:tc>
          <w:tcPr>
            <w:tcW w:w="297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311C0" w:rsidRPr="005311C0" w:rsidRDefault="005311C0" w:rsidP="007D5D09">
            <w:pPr>
              <w:rPr>
                <w:rFonts w:ascii="Garamond" w:hAnsi="Garamond" w:cs="Arial"/>
                <w:sz w:val="20"/>
                <w:szCs w:val="20"/>
              </w:rPr>
            </w:pPr>
            <w:r w:rsidRPr="005311C0">
              <w:rPr>
                <w:rFonts w:ascii="Garamond" w:hAnsi="Garamond" w:cs="Arial"/>
                <w:sz w:val="20"/>
                <w:szCs w:val="20"/>
              </w:rPr>
              <w:t>Do you drive as part of your job (not including your commute to and from work?</w:t>
            </w:r>
          </w:p>
        </w:tc>
        <w:tc>
          <w:tcPr>
            <w:tcW w:w="2610" w:type="dxa"/>
            <w:tcBorders>
              <w:bottom w:val="double" w:sz="4" w:space="0" w:color="auto"/>
            </w:tcBorders>
            <w:vAlign w:val="center"/>
          </w:tcPr>
          <w:p w:rsidR="005311C0" w:rsidRDefault="004B354F" w:rsidP="007D5D0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Determine if respondent drives for job.</w:t>
            </w:r>
          </w:p>
        </w:tc>
        <w:tc>
          <w:tcPr>
            <w:tcW w:w="2520" w:type="dxa"/>
            <w:tcBorders>
              <w:bottom w:val="double" w:sz="4" w:space="0" w:color="auto"/>
            </w:tcBorders>
            <w:vAlign w:val="center"/>
          </w:tcPr>
          <w:p w:rsidR="005311C0" w:rsidRDefault="004B354F" w:rsidP="007D5D0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Ensure responses are focused on personal driving and not workplace driving</w:t>
            </w:r>
          </w:p>
        </w:tc>
      </w:tr>
      <w:tr w:rsidR="00CF6B08" w:rsidTr="00F65F82">
        <w:tc>
          <w:tcPr>
            <w:tcW w:w="9648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D6E3BC" w:themeFill="accent3" w:themeFillTint="66"/>
            <w:vAlign w:val="center"/>
          </w:tcPr>
          <w:p w:rsidR="00FB7F86" w:rsidRPr="00152BC7" w:rsidRDefault="00FB7F86" w:rsidP="00CF6B08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  <w:p w:rsidR="00CF6B08" w:rsidRDefault="00CF6B08" w:rsidP="00CF6B08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 xml:space="preserve">Section A: Driving </w:t>
            </w:r>
            <w:r w:rsidR="00FC3D41">
              <w:rPr>
                <w:rFonts w:ascii="Garamond" w:hAnsi="Garamond"/>
                <w:b/>
                <w:sz w:val="20"/>
                <w:szCs w:val="20"/>
              </w:rPr>
              <w:t>R</w:t>
            </w:r>
            <w:r>
              <w:rPr>
                <w:rFonts w:ascii="Garamond" w:hAnsi="Garamond"/>
                <w:b/>
                <w:sz w:val="20"/>
                <w:szCs w:val="20"/>
              </w:rPr>
              <w:t>elated Attitudes, Beliefs, and Habits</w:t>
            </w:r>
          </w:p>
          <w:p w:rsidR="00FB7F86" w:rsidRPr="00152BC7" w:rsidRDefault="00FB7F86" w:rsidP="00CF6B08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ED34A6" w:rsidTr="00F65F82">
        <w:tc>
          <w:tcPr>
            <w:tcW w:w="1548" w:type="dxa"/>
            <w:tcBorders>
              <w:top w:val="double" w:sz="4" w:space="0" w:color="auto"/>
            </w:tcBorders>
            <w:vAlign w:val="center"/>
          </w:tcPr>
          <w:p w:rsidR="001A4DD1" w:rsidRPr="00F25CA7" w:rsidRDefault="009F557F" w:rsidP="00F25CA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F25CA7">
              <w:rPr>
                <w:rFonts w:ascii="Garamond" w:hAnsi="Garamond"/>
                <w:sz w:val="20"/>
                <w:szCs w:val="20"/>
              </w:rPr>
              <w:t>A1 – A12</w:t>
            </w:r>
          </w:p>
        </w:tc>
        <w:tc>
          <w:tcPr>
            <w:tcW w:w="2970" w:type="dxa"/>
            <w:tcBorders>
              <w:top w:val="double" w:sz="4" w:space="0" w:color="auto"/>
            </w:tcBorders>
            <w:vAlign w:val="center"/>
          </w:tcPr>
          <w:p w:rsidR="001A4DD1" w:rsidRPr="00F25CA7" w:rsidRDefault="007E7BF4" w:rsidP="007D5D0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Basic beliefs and attitudes about driving and speed</w:t>
            </w:r>
          </w:p>
        </w:tc>
        <w:tc>
          <w:tcPr>
            <w:tcW w:w="261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A4DD1" w:rsidRPr="00F25CA7" w:rsidRDefault="00CD78C4" w:rsidP="007D5D0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Scale of questions that indicate</w:t>
            </w:r>
            <w:r w:rsidR="004F1190">
              <w:rPr>
                <w:rFonts w:ascii="Garamond" w:hAnsi="Garamond"/>
                <w:sz w:val="20"/>
                <w:szCs w:val="20"/>
              </w:rPr>
              <w:t>s</w:t>
            </w:r>
            <w:r>
              <w:rPr>
                <w:rFonts w:ascii="Garamond" w:hAnsi="Garamond"/>
                <w:sz w:val="20"/>
                <w:szCs w:val="20"/>
              </w:rPr>
              <w:t xml:space="preserve"> propensity to drive fast / speed</w:t>
            </w:r>
          </w:p>
        </w:tc>
        <w:tc>
          <w:tcPr>
            <w:tcW w:w="2520" w:type="dxa"/>
            <w:tcBorders>
              <w:top w:val="double" w:sz="4" w:space="0" w:color="auto"/>
            </w:tcBorders>
            <w:vAlign w:val="center"/>
          </w:tcPr>
          <w:p w:rsidR="001A4DD1" w:rsidRPr="00F25CA7" w:rsidRDefault="008D1650" w:rsidP="007D5D0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Useful for understanding drivers perspective on speed and appropriate targets for countermeasures (CMs)</w:t>
            </w:r>
          </w:p>
        </w:tc>
      </w:tr>
      <w:tr w:rsidR="00ED34A6" w:rsidTr="00F65F82">
        <w:tc>
          <w:tcPr>
            <w:tcW w:w="1548" w:type="dxa"/>
            <w:vAlign w:val="center"/>
          </w:tcPr>
          <w:p w:rsidR="001A4DD1" w:rsidRPr="00F25CA7" w:rsidRDefault="00C82D2B" w:rsidP="00F25CA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F25CA7">
              <w:rPr>
                <w:rFonts w:ascii="Garamond" w:hAnsi="Garamond"/>
                <w:sz w:val="20"/>
                <w:szCs w:val="20"/>
              </w:rPr>
              <w:t>A13</w:t>
            </w:r>
          </w:p>
        </w:tc>
        <w:tc>
          <w:tcPr>
            <w:tcW w:w="2970" w:type="dxa"/>
            <w:vAlign w:val="center"/>
          </w:tcPr>
          <w:p w:rsidR="001A4DD1" w:rsidRPr="00F25CA7" w:rsidRDefault="00C8700F" w:rsidP="007D5D0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Measure of driving speed tendency in relation to  other traffic</w:t>
            </w:r>
          </w:p>
        </w:tc>
        <w:tc>
          <w:tcPr>
            <w:tcW w:w="2610" w:type="dxa"/>
            <w:vAlign w:val="center"/>
          </w:tcPr>
          <w:p w:rsidR="001A4DD1" w:rsidRPr="00F25CA7" w:rsidRDefault="00C8700F" w:rsidP="007D5D0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Established speeding question; speeding-related crashes often related to differential speeds of vehicles  (Solomon’s Curve)</w:t>
            </w:r>
          </w:p>
        </w:tc>
        <w:tc>
          <w:tcPr>
            <w:tcW w:w="2520" w:type="dxa"/>
            <w:vAlign w:val="center"/>
          </w:tcPr>
          <w:p w:rsidR="00821B05" w:rsidRDefault="00821B05" w:rsidP="007D5D0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Measure of speeding tendency;</w:t>
            </w:r>
          </w:p>
          <w:p w:rsidR="001A4DD1" w:rsidRPr="00F25CA7" w:rsidRDefault="00C8700F" w:rsidP="007D5D0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One of 6 key questions from the NSSAB used to define driver speeding types</w:t>
            </w:r>
          </w:p>
        </w:tc>
      </w:tr>
      <w:tr w:rsidR="00ED34A6" w:rsidTr="00F65F82">
        <w:tc>
          <w:tcPr>
            <w:tcW w:w="1548" w:type="dxa"/>
            <w:vAlign w:val="center"/>
          </w:tcPr>
          <w:p w:rsidR="001A4DD1" w:rsidRPr="00F25CA7" w:rsidRDefault="00C82D2B" w:rsidP="00F25CA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F25CA7">
              <w:rPr>
                <w:rFonts w:ascii="Garamond" w:hAnsi="Garamond"/>
                <w:sz w:val="20"/>
                <w:szCs w:val="20"/>
              </w:rPr>
              <w:t>A14</w:t>
            </w:r>
          </w:p>
        </w:tc>
        <w:tc>
          <w:tcPr>
            <w:tcW w:w="2970" w:type="dxa"/>
            <w:vAlign w:val="center"/>
          </w:tcPr>
          <w:p w:rsidR="001A4DD1" w:rsidRPr="00F25CA7" w:rsidRDefault="00C8700F" w:rsidP="007D5D0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Measure of driving speed tendency in relation to other traffic</w:t>
            </w:r>
          </w:p>
        </w:tc>
        <w:tc>
          <w:tcPr>
            <w:tcW w:w="2610" w:type="dxa"/>
            <w:vAlign w:val="center"/>
          </w:tcPr>
          <w:p w:rsidR="001A4DD1" w:rsidRPr="00F25CA7" w:rsidRDefault="00C8700F" w:rsidP="007D5D0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Established speeding question; speeding-related crashes often related to differential speeds of vehicles  (Solomon’s Curve)</w:t>
            </w:r>
          </w:p>
        </w:tc>
        <w:tc>
          <w:tcPr>
            <w:tcW w:w="2520" w:type="dxa"/>
            <w:vAlign w:val="center"/>
          </w:tcPr>
          <w:p w:rsidR="00821B05" w:rsidRDefault="00821B05" w:rsidP="007D5D0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Measure of speeding tendency;</w:t>
            </w:r>
          </w:p>
          <w:p w:rsidR="001A4DD1" w:rsidRPr="00F25CA7" w:rsidRDefault="00C8700F" w:rsidP="007D5D0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One of 6 key questions from the NSSAB used to define driver speeding types</w:t>
            </w:r>
          </w:p>
        </w:tc>
      </w:tr>
      <w:tr w:rsidR="00ED34A6" w:rsidTr="00F65F82">
        <w:tc>
          <w:tcPr>
            <w:tcW w:w="1548" w:type="dxa"/>
            <w:vAlign w:val="center"/>
          </w:tcPr>
          <w:p w:rsidR="001A4DD1" w:rsidRPr="00F25CA7" w:rsidRDefault="00C82D2B" w:rsidP="00F25CA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F25CA7">
              <w:rPr>
                <w:rFonts w:ascii="Garamond" w:hAnsi="Garamond"/>
                <w:sz w:val="20"/>
                <w:szCs w:val="20"/>
              </w:rPr>
              <w:t>A15 – A20</w:t>
            </w:r>
          </w:p>
        </w:tc>
        <w:tc>
          <w:tcPr>
            <w:tcW w:w="2970" w:type="dxa"/>
            <w:vAlign w:val="center"/>
          </w:tcPr>
          <w:p w:rsidR="001A4DD1" w:rsidRPr="00F25CA7" w:rsidRDefault="00821B05" w:rsidP="007D5D0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Speeding behavior on various types of roadways</w:t>
            </w:r>
          </w:p>
        </w:tc>
        <w:tc>
          <w:tcPr>
            <w:tcW w:w="2610" w:type="dxa"/>
            <w:vAlign w:val="center"/>
          </w:tcPr>
          <w:p w:rsidR="001A4DD1" w:rsidRPr="00F25CA7" w:rsidRDefault="007B7FF2" w:rsidP="007D5D0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Many drivers tend to display different speeding behavior depending on the road type</w:t>
            </w:r>
          </w:p>
        </w:tc>
        <w:tc>
          <w:tcPr>
            <w:tcW w:w="2520" w:type="dxa"/>
            <w:vAlign w:val="center"/>
          </w:tcPr>
          <w:p w:rsidR="001A4DD1" w:rsidRDefault="00C31C6F" w:rsidP="007D5D0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Useful for understanding where drivers speed;</w:t>
            </w:r>
          </w:p>
          <w:p w:rsidR="00C31C6F" w:rsidRPr="00F25CA7" w:rsidRDefault="00C31C6F" w:rsidP="007D5D0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Q15, Q17, Q19 were 3 of 6 key questions from the NSSAB used to define driver speeding types</w:t>
            </w:r>
          </w:p>
        </w:tc>
      </w:tr>
      <w:tr w:rsidR="00ED34A6" w:rsidTr="00F65F82">
        <w:tc>
          <w:tcPr>
            <w:tcW w:w="1548" w:type="dxa"/>
            <w:vAlign w:val="center"/>
          </w:tcPr>
          <w:p w:rsidR="001A4DD1" w:rsidRPr="00F25CA7" w:rsidRDefault="00F25CA7" w:rsidP="00F25CA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F25CA7">
              <w:rPr>
                <w:rFonts w:ascii="Garamond" w:hAnsi="Garamond"/>
                <w:sz w:val="20"/>
                <w:szCs w:val="20"/>
              </w:rPr>
              <w:t>A21</w:t>
            </w:r>
          </w:p>
        </w:tc>
        <w:tc>
          <w:tcPr>
            <w:tcW w:w="2970" w:type="dxa"/>
            <w:vAlign w:val="center"/>
          </w:tcPr>
          <w:p w:rsidR="001A4DD1" w:rsidRPr="00F85571" w:rsidRDefault="00F85571" w:rsidP="007D5D09">
            <w:pPr>
              <w:rPr>
                <w:rFonts w:ascii="Garamond" w:hAnsi="Garamond"/>
                <w:sz w:val="20"/>
                <w:szCs w:val="20"/>
              </w:rPr>
            </w:pPr>
            <w:r w:rsidRPr="00F85571">
              <w:rPr>
                <w:rFonts w:ascii="Garamond" w:hAnsi="Garamond" w:cs="Arial"/>
                <w:sz w:val="20"/>
                <w:szCs w:val="20"/>
              </w:rPr>
              <w:t xml:space="preserve">How many times </w:t>
            </w:r>
            <w:r>
              <w:rPr>
                <w:rFonts w:ascii="Garamond" w:hAnsi="Garamond" w:cs="Arial"/>
                <w:sz w:val="20"/>
                <w:szCs w:val="20"/>
              </w:rPr>
              <w:t>has respondent</w:t>
            </w:r>
            <w:r w:rsidRPr="00F85571">
              <w:rPr>
                <w:rFonts w:ascii="Garamond" w:hAnsi="Garamond" w:cs="Arial"/>
                <w:sz w:val="20"/>
                <w:szCs w:val="20"/>
              </w:rPr>
              <w:t xml:space="preserve"> been stopped for speeding in the past twelve months</w:t>
            </w:r>
          </w:p>
        </w:tc>
        <w:tc>
          <w:tcPr>
            <w:tcW w:w="2610" w:type="dxa"/>
            <w:vAlign w:val="center"/>
          </w:tcPr>
          <w:p w:rsidR="001A4DD1" w:rsidRPr="00F25CA7" w:rsidRDefault="00AD5510" w:rsidP="007D5D0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Measure of how often driver has had speeding-related encounters with law enforcement in past year</w:t>
            </w:r>
          </w:p>
        </w:tc>
        <w:tc>
          <w:tcPr>
            <w:tcW w:w="2520" w:type="dxa"/>
            <w:vAlign w:val="center"/>
          </w:tcPr>
          <w:p w:rsidR="001A4DD1" w:rsidRPr="00F25CA7" w:rsidRDefault="00AD5510" w:rsidP="007D5D0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Useful for understanding driver experience with law enforcement; 1 of 6 key questions from the NSSAB used to define driver speeding types</w:t>
            </w:r>
          </w:p>
        </w:tc>
      </w:tr>
      <w:tr w:rsidR="00ED34A6" w:rsidTr="00F65F82">
        <w:tc>
          <w:tcPr>
            <w:tcW w:w="1548" w:type="dxa"/>
            <w:vAlign w:val="center"/>
          </w:tcPr>
          <w:p w:rsidR="001A4DD1" w:rsidRPr="00F25CA7" w:rsidRDefault="00F25CA7" w:rsidP="00F25CA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F25CA7">
              <w:rPr>
                <w:rFonts w:ascii="Garamond" w:hAnsi="Garamond"/>
                <w:sz w:val="20"/>
                <w:szCs w:val="20"/>
              </w:rPr>
              <w:t>A22</w:t>
            </w:r>
          </w:p>
        </w:tc>
        <w:tc>
          <w:tcPr>
            <w:tcW w:w="2970" w:type="dxa"/>
            <w:vAlign w:val="center"/>
          </w:tcPr>
          <w:p w:rsidR="001A4DD1" w:rsidRPr="00F85571" w:rsidRDefault="00F85571" w:rsidP="007D5D09">
            <w:pPr>
              <w:rPr>
                <w:rFonts w:ascii="Garamond" w:hAnsi="Garamond"/>
                <w:sz w:val="20"/>
                <w:szCs w:val="20"/>
              </w:rPr>
            </w:pPr>
            <w:r w:rsidRPr="00F85571">
              <w:rPr>
                <w:rFonts w:ascii="Garamond" w:hAnsi="Garamond" w:cs="Arial"/>
                <w:sz w:val="20"/>
                <w:szCs w:val="20"/>
              </w:rPr>
              <w:t xml:space="preserve">How many times </w:t>
            </w:r>
            <w:r>
              <w:rPr>
                <w:rFonts w:ascii="Garamond" w:hAnsi="Garamond" w:cs="Arial"/>
                <w:sz w:val="20"/>
                <w:szCs w:val="20"/>
              </w:rPr>
              <w:t>has res</w:t>
            </w:r>
            <w:r w:rsidR="00AD5510">
              <w:rPr>
                <w:rFonts w:ascii="Garamond" w:hAnsi="Garamond" w:cs="Arial"/>
                <w:sz w:val="20"/>
                <w:szCs w:val="20"/>
              </w:rPr>
              <w:t>p</w:t>
            </w:r>
            <w:r>
              <w:rPr>
                <w:rFonts w:ascii="Garamond" w:hAnsi="Garamond" w:cs="Arial"/>
                <w:sz w:val="20"/>
                <w:szCs w:val="20"/>
              </w:rPr>
              <w:t>ondent</w:t>
            </w:r>
            <w:r w:rsidRPr="00F85571">
              <w:rPr>
                <w:rFonts w:ascii="Garamond" w:hAnsi="Garamond" w:cs="Arial"/>
                <w:sz w:val="20"/>
                <w:szCs w:val="20"/>
              </w:rPr>
              <w:t xml:space="preserve"> been cited/fined for speeding in the past twelve months</w:t>
            </w:r>
          </w:p>
        </w:tc>
        <w:tc>
          <w:tcPr>
            <w:tcW w:w="2610" w:type="dxa"/>
            <w:vAlign w:val="center"/>
          </w:tcPr>
          <w:p w:rsidR="001A4DD1" w:rsidRPr="00F25CA7" w:rsidRDefault="000F12BB" w:rsidP="007D5D0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Measure of how often driver has had speeding-related encounters with law enforcement in past year</w:t>
            </w:r>
          </w:p>
        </w:tc>
        <w:tc>
          <w:tcPr>
            <w:tcW w:w="2520" w:type="dxa"/>
            <w:vAlign w:val="center"/>
          </w:tcPr>
          <w:p w:rsidR="0084644C" w:rsidRPr="00F25CA7" w:rsidRDefault="000F12BB" w:rsidP="00906AC6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Useful for understanding driver experience with law enforcement; will be compared with actual </w:t>
            </w:r>
            <w:r w:rsidR="004F6DE3">
              <w:rPr>
                <w:rFonts w:ascii="Garamond" w:hAnsi="Garamond"/>
                <w:sz w:val="20"/>
                <w:szCs w:val="20"/>
              </w:rPr>
              <w:t>c</w:t>
            </w:r>
            <w:r>
              <w:rPr>
                <w:rFonts w:ascii="Garamond" w:hAnsi="Garamond"/>
                <w:sz w:val="20"/>
                <w:szCs w:val="20"/>
              </w:rPr>
              <w:t>itations in driving records</w:t>
            </w:r>
          </w:p>
        </w:tc>
      </w:tr>
      <w:tr w:rsidR="00ED34A6" w:rsidTr="00F65F82">
        <w:tc>
          <w:tcPr>
            <w:tcW w:w="1548" w:type="dxa"/>
            <w:vAlign w:val="center"/>
          </w:tcPr>
          <w:p w:rsidR="001A4DD1" w:rsidRPr="00F25CA7" w:rsidRDefault="00F25CA7" w:rsidP="00F25CA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lastRenderedPageBreak/>
              <w:t>A23</w:t>
            </w:r>
          </w:p>
        </w:tc>
        <w:tc>
          <w:tcPr>
            <w:tcW w:w="2970" w:type="dxa"/>
            <w:vAlign w:val="center"/>
          </w:tcPr>
          <w:p w:rsidR="001A4DD1" w:rsidRPr="00F25CA7" w:rsidRDefault="000F12BB" w:rsidP="007D5D0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Miles driven per week</w:t>
            </w:r>
          </w:p>
        </w:tc>
        <w:tc>
          <w:tcPr>
            <w:tcW w:w="2610" w:type="dxa"/>
            <w:vAlign w:val="center"/>
          </w:tcPr>
          <w:p w:rsidR="001A4DD1" w:rsidRPr="00F25CA7" w:rsidRDefault="000F12BB" w:rsidP="007D5D0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The more often people drive, the more likely they are to encounter various driving situations and the more opportunity they have to engage in speeding</w:t>
            </w:r>
          </w:p>
        </w:tc>
        <w:tc>
          <w:tcPr>
            <w:tcW w:w="2520" w:type="dxa"/>
            <w:vAlign w:val="center"/>
          </w:tcPr>
          <w:p w:rsidR="001A4DD1" w:rsidRPr="00F25CA7" w:rsidRDefault="000F12BB" w:rsidP="007D5D0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Measure of driving exposure</w:t>
            </w:r>
          </w:p>
        </w:tc>
      </w:tr>
      <w:tr w:rsidR="004446EC" w:rsidTr="00F65F82">
        <w:tc>
          <w:tcPr>
            <w:tcW w:w="1548" w:type="dxa"/>
            <w:vAlign w:val="center"/>
          </w:tcPr>
          <w:p w:rsidR="004446EC" w:rsidRPr="00F25CA7" w:rsidRDefault="00F25CA7" w:rsidP="00F25CA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A24 - A</w:t>
            </w:r>
          </w:p>
        </w:tc>
        <w:tc>
          <w:tcPr>
            <w:tcW w:w="2970" w:type="dxa"/>
            <w:vAlign w:val="center"/>
          </w:tcPr>
          <w:p w:rsidR="004446EC" w:rsidRPr="00F25CA7" w:rsidRDefault="002625C6" w:rsidP="007D5D0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How often respondent drives in congested traffic environment</w:t>
            </w:r>
          </w:p>
        </w:tc>
        <w:tc>
          <w:tcPr>
            <w:tcW w:w="2610" w:type="dxa"/>
            <w:vAlign w:val="center"/>
          </w:tcPr>
          <w:p w:rsidR="004446EC" w:rsidRPr="00F25CA7" w:rsidRDefault="002625C6" w:rsidP="007D5D0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Congestion  limits opportunity to speed; may raise stress level of driver and desire to speed</w:t>
            </w:r>
          </w:p>
        </w:tc>
        <w:tc>
          <w:tcPr>
            <w:tcW w:w="2520" w:type="dxa"/>
            <w:vAlign w:val="center"/>
          </w:tcPr>
          <w:p w:rsidR="004446EC" w:rsidRPr="00F25CA7" w:rsidRDefault="002625C6" w:rsidP="007D5D0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Measure of opportunity to speed</w:t>
            </w:r>
          </w:p>
        </w:tc>
      </w:tr>
      <w:tr w:rsidR="004446EC" w:rsidTr="00F65F82">
        <w:tc>
          <w:tcPr>
            <w:tcW w:w="1548" w:type="dxa"/>
            <w:vAlign w:val="center"/>
          </w:tcPr>
          <w:p w:rsidR="004446EC" w:rsidRPr="00F25CA7" w:rsidRDefault="00F25CA7" w:rsidP="00F25CA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A24 - B</w:t>
            </w:r>
          </w:p>
        </w:tc>
        <w:tc>
          <w:tcPr>
            <w:tcW w:w="2970" w:type="dxa"/>
            <w:vAlign w:val="center"/>
          </w:tcPr>
          <w:p w:rsidR="004446EC" w:rsidRPr="00F25CA7" w:rsidRDefault="002625C6" w:rsidP="007D5D0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How often respondent drives in uncongested traffic environment</w:t>
            </w:r>
          </w:p>
        </w:tc>
        <w:tc>
          <w:tcPr>
            <w:tcW w:w="2610" w:type="dxa"/>
            <w:vAlign w:val="center"/>
          </w:tcPr>
          <w:p w:rsidR="004446EC" w:rsidRPr="00F25CA7" w:rsidRDefault="002625C6" w:rsidP="007D5D0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Lack of congestion presents opportunity to speed</w:t>
            </w:r>
          </w:p>
        </w:tc>
        <w:tc>
          <w:tcPr>
            <w:tcW w:w="2520" w:type="dxa"/>
            <w:vAlign w:val="center"/>
          </w:tcPr>
          <w:p w:rsidR="004446EC" w:rsidRPr="00F25CA7" w:rsidRDefault="002625C6" w:rsidP="007D5D0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Measure of opportunity to speed</w:t>
            </w:r>
          </w:p>
        </w:tc>
      </w:tr>
      <w:tr w:rsidR="00ED34A6" w:rsidTr="00F65F82">
        <w:tc>
          <w:tcPr>
            <w:tcW w:w="1548" w:type="dxa"/>
            <w:vAlign w:val="center"/>
          </w:tcPr>
          <w:p w:rsidR="001A4DD1" w:rsidRPr="00F25CA7" w:rsidRDefault="00F25CA7" w:rsidP="0084644C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A2</w:t>
            </w:r>
            <w:r w:rsidR="0084644C">
              <w:rPr>
                <w:rFonts w:ascii="Garamond" w:hAnsi="Garamond"/>
                <w:sz w:val="20"/>
                <w:szCs w:val="20"/>
              </w:rPr>
              <w:t>5</w:t>
            </w:r>
          </w:p>
        </w:tc>
        <w:tc>
          <w:tcPr>
            <w:tcW w:w="2970" w:type="dxa"/>
            <w:vAlign w:val="center"/>
          </w:tcPr>
          <w:p w:rsidR="001A4DD1" w:rsidRPr="00F25CA7" w:rsidRDefault="00AA6633" w:rsidP="007D5D0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Talk on phone while driving</w:t>
            </w:r>
          </w:p>
        </w:tc>
        <w:tc>
          <w:tcPr>
            <w:tcW w:w="2610" w:type="dxa"/>
            <w:vAlign w:val="center"/>
          </w:tcPr>
          <w:p w:rsidR="001A4DD1" w:rsidRPr="00F25CA7" w:rsidRDefault="00AA6633" w:rsidP="007D5D0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Talking on the phone is distracting and related to increased crashes</w:t>
            </w:r>
          </w:p>
        </w:tc>
        <w:tc>
          <w:tcPr>
            <w:tcW w:w="2520" w:type="dxa"/>
            <w:vAlign w:val="center"/>
          </w:tcPr>
          <w:p w:rsidR="001A4DD1" w:rsidRPr="00F25CA7" w:rsidRDefault="00AA6633" w:rsidP="007D5D0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Examine speeding behavior relative to </w:t>
            </w:r>
            <w:r w:rsidR="00221BE8" w:rsidRPr="00521052">
              <w:rPr>
                <w:rFonts w:ascii="Garamond" w:hAnsi="Garamond"/>
                <w:sz w:val="20"/>
                <w:szCs w:val="20"/>
              </w:rPr>
              <w:t>other risky driving behaviors</w:t>
            </w:r>
            <w:r w:rsidR="00221BE8">
              <w:rPr>
                <w:rFonts w:ascii="Garamond" w:hAnsi="Garamond"/>
                <w:sz w:val="20"/>
                <w:szCs w:val="20"/>
              </w:rPr>
              <w:t xml:space="preserve"> – using </w:t>
            </w:r>
            <w:r>
              <w:rPr>
                <w:rFonts w:ascii="Garamond" w:hAnsi="Garamond"/>
                <w:sz w:val="20"/>
                <w:szCs w:val="20"/>
              </w:rPr>
              <w:t xml:space="preserve">phone </w:t>
            </w:r>
            <w:r w:rsidR="00221BE8">
              <w:rPr>
                <w:rFonts w:ascii="Garamond" w:hAnsi="Garamond"/>
                <w:sz w:val="20"/>
                <w:szCs w:val="20"/>
              </w:rPr>
              <w:t xml:space="preserve">/ </w:t>
            </w:r>
            <w:r>
              <w:rPr>
                <w:rFonts w:ascii="Garamond" w:hAnsi="Garamond"/>
                <w:sz w:val="20"/>
                <w:szCs w:val="20"/>
              </w:rPr>
              <w:t>distraction</w:t>
            </w:r>
          </w:p>
        </w:tc>
      </w:tr>
      <w:tr w:rsidR="00ED34A6" w:rsidTr="00F65F82">
        <w:tc>
          <w:tcPr>
            <w:tcW w:w="1548" w:type="dxa"/>
            <w:vAlign w:val="center"/>
          </w:tcPr>
          <w:p w:rsidR="001A4DD1" w:rsidRPr="00F25CA7" w:rsidRDefault="00F25CA7" w:rsidP="0084644C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A2</w:t>
            </w:r>
            <w:r w:rsidR="0084644C">
              <w:rPr>
                <w:rFonts w:ascii="Garamond" w:hAnsi="Garamond"/>
                <w:sz w:val="20"/>
                <w:szCs w:val="20"/>
              </w:rPr>
              <w:t>6</w:t>
            </w:r>
          </w:p>
        </w:tc>
        <w:tc>
          <w:tcPr>
            <w:tcW w:w="2970" w:type="dxa"/>
            <w:vAlign w:val="center"/>
          </w:tcPr>
          <w:p w:rsidR="001A4DD1" w:rsidRPr="00F25CA7" w:rsidRDefault="00162673" w:rsidP="007D5D0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Has laser/radar detector in vehicle</w:t>
            </w:r>
          </w:p>
        </w:tc>
        <w:tc>
          <w:tcPr>
            <w:tcW w:w="2610" w:type="dxa"/>
            <w:vAlign w:val="center"/>
          </w:tcPr>
          <w:p w:rsidR="001A4DD1" w:rsidRPr="00F25CA7" w:rsidRDefault="00162673" w:rsidP="007D5D0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These detectors are used to avoid getting speeding tickets</w:t>
            </w:r>
          </w:p>
        </w:tc>
        <w:tc>
          <w:tcPr>
            <w:tcW w:w="2520" w:type="dxa"/>
            <w:vAlign w:val="center"/>
          </w:tcPr>
          <w:p w:rsidR="001A4DD1" w:rsidRPr="00F25CA7" w:rsidRDefault="00162673" w:rsidP="007D5D0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Examine this as a factor in tendency to speed and </w:t>
            </w:r>
            <w:r w:rsidR="00A71F02">
              <w:rPr>
                <w:rFonts w:ascii="Garamond" w:hAnsi="Garamond"/>
                <w:sz w:val="20"/>
                <w:szCs w:val="20"/>
              </w:rPr>
              <w:t>avoid</w:t>
            </w:r>
            <w:r w:rsidR="000D0A73">
              <w:rPr>
                <w:rFonts w:ascii="Garamond" w:hAnsi="Garamond"/>
                <w:sz w:val="20"/>
                <w:szCs w:val="20"/>
              </w:rPr>
              <w:t xml:space="preserve"> </w:t>
            </w:r>
            <w:r>
              <w:rPr>
                <w:rFonts w:ascii="Garamond" w:hAnsi="Garamond"/>
                <w:sz w:val="20"/>
                <w:szCs w:val="20"/>
              </w:rPr>
              <w:t>speeding stops and citations</w:t>
            </w:r>
          </w:p>
        </w:tc>
      </w:tr>
      <w:tr w:rsidR="00074148" w:rsidTr="00F65F82">
        <w:tc>
          <w:tcPr>
            <w:tcW w:w="1548" w:type="dxa"/>
            <w:vAlign w:val="center"/>
          </w:tcPr>
          <w:p w:rsidR="00074148" w:rsidRPr="00F25CA7" w:rsidRDefault="00074148" w:rsidP="0084644C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A2</w:t>
            </w:r>
            <w:r w:rsidR="0084644C">
              <w:rPr>
                <w:rFonts w:ascii="Garamond" w:hAnsi="Garamond"/>
                <w:sz w:val="20"/>
                <w:szCs w:val="20"/>
              </w:rPr>
              <w:t>7</w:t>
            </w:r>
            <w:r>
              <w:rPr>
                <w:rFonts w:ascii="Garamond" w:hAnsi="Garamond"/>
                <w:sz w:val="20"/>
                <w:szCs w:val="20"/>
              </w:rPr>
              <w:t xml:space="preserve"> – A4</w:t>
            </w:r>
            <w:r w:rsidR="0084644C">
              <w:rPr>
                <w:rFonts w:ascii="Garamond" w:hAnsi="Garamond"/>
                <w:sz w:val="20"/>
                <w:szCs w:val="20"/>
              </w:rPr>
              <w:t>2</w:t>
            </w:r>
          </w:p>
        </w:tc>
        <w:tc>
          <w:tcPr>
            <w:tcW w:w="2970" w:type="dxa"/>
            <w:vAlign w:val="center"/>
          </w:tcPr>
          <w:p w:rsidR="00074148" w:rsidRPr="00F25CA7" w:rsidRDefault="00074148" w:rsidP="007D5D0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Basic driving behaviors with regard to speed</w:t>
            </w:r>
          </w:p>
        </w:tc>
        <w:tc>
          <w:tcPr>
            <w:tcW w:w="2610" w:type="dxa"/>
            <w:vAlign w:val="center"/>
          </w:tcPr>
          <w:p w:rsidR="00074148" w:rsidRPr="00F25CA7" w:rsidRDefault="00074148" w:rsidP="007D5D0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Scale of questions that indicates tendency to drive fast / speed</w:t>
            </w:r>
          </w:p>
        </w:tc>
        <w:tc>
          <w:tcPr>
            <w:tcW w:w="2520" w:type="dxa"/>
            <w:vAlign w:val="center"/>
          </w:tcPr>
          <w:p w:rsidR="00074148" w:rsidRPr="00F25CA7" w:rsidRDefault="00074148" w:rsidP="007D5D0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Useful for understanding driver speeding behavior and appropriate targets for countermeasures (CMs)</w:t>
            </w:r>
          </w:p>
        </w:tc>
      </w:tr>
      <w:tr w:rsidR="00ED34A6" w:rsidTr="00F65F82">
        <w:tc>
          <w:tcPr>
            <w:tcW w:w="1548" w:type="dxa"/>
            <w:vAlign w:val="center"/>
          </w:tcPr>
          <w:p w:rsidR="001A4DD1" w:rsidRPr="00F25CA7" w:rsidRDefault="00CF743D" w:rsidP="0084644C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A4</w:t>
            </w:r>
            <w:r w:rsidR="0084644C">
              <w:rPr>
                <w:rFonts w:ascii="Garamond" w:hAnsi="Garamond"/>
                <w:sz w:val="20"/>
                <w:szCs w:val="20"/>
              </w:rPr>
              <w:t xml:space="preserve">3 </w:t>
            </w:r>
          </w:p>
        </w:tc>
        <w:tc>
          <w:tcPr>
            <w:tcW w:w="2970" w:type="dxa"/>
            <w:vAlign w:val="center"/>
          </w:tcPr>
          <w:p w:rsidR="001A4DD1" w:rsidRPr="0084644C" w:rsidRDefault="0084644C" w:rsidP="007D5D09">
            <w:pPr>
              <w:rPr>
                <w:rFonts w:ascii="Garamond" w:hAnsi="Garamond"/>
                <w:sz w:val="20"/>
                <w:szCs w:val="20"/>
              </w:rPr>
            </w:pPr>
            <w:r w:rsidRPr="0084644C">
              <w:rPr>
                <w:rFonts w:ascii="Garamond" w:hAnsi="Garamond"/>
                <w:sz w:val="20"/>
                <w:szCs w:val="20"/>
              </w:rPr>
              <w:t>Seat belt use</w:t>
            </w:r>
          </w:p>
        </w:tc>
        <w:tc>
          <w:tcPr>
            <w:tcW w:w="2610" w:type="dxa"/>
            <w:vAlign w:val="center"/>
          </w:tcPr>
          <w:p w:rsidR="001A4DD1" w:rsidRPr="0084644C" w:rsidRDefault="00295C23" w:rsidP="007D5D0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Large number of s</w:t>
            </w:r>
            <w:r w:rsidR="0084644C">
              <w:rPr>
                <w:rFonts w:ascii="Garamond" w:hAnsi="Garamond"/>
                <w:sz w:val="20"/>
                <w:szCs w:val="20"/>
              </w:rPr>
              <w:t xml:space="preserve">peeding-related </w:t>
            </w:r>
            <w:r w:rsidR="00646869">
              <w:rPr>
                <w:rFonts w:ascii="Garamond" w:hAnsi="Garamond"/>
                <w:sz w:val="20"/>
                <w:szCs w:val="20"/>
              </w:rPr>
              <w:t xml:space="preserve">fatal </w:t>
            </w:r>
            <w:r w:rsidR="0084644C">
              <w:rPr>
                <w:rFonts w:ascii="Garamond" w:hAnsi="Garamond"/>
                <w:sz w:val="20"/>
                <w:szCs w:val="20"/>
              </w:rPr>
              <w:t>crashes correlated to not wearing belts</w:t>
            </w:r>
          </w:p>
        </w:tc>
        <w:tc>
          <w:tcPr>
            <w:tcW w:w="2520" w:type="dxa"/>
            <w:vAlign w:val="center"/>
          </w:tcPr>
          <w:p w:rsidR="001A4DD1" w:rsidRPr="00521052" w:rsidRDefault="00221BE8" w:rsidP="007D5D0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Examine speeding behavior relative to </w:t>
            </w:r>
            <w:r w:rsidR="00521052" w:rsidRPr="00521052">
              <w:rPr>
                <w:rFonts w:ascii="Garamond" w:hAnsi="Garamond"/>
                <w:sz w:val="20"/>
                <w:szCs w:val="20"/>
              </w:rPr>
              <w:t>other risky driving behaviors</w:t>
            </w:r>
            <w:r>
              <w:rPr>
                <w:rFonts w:ascii="Garamond" w:hAnsi="Garamond"/>
                <w:sz w:val="20"/>
                <w:szCs w:val="20"/>
              </w:rPr>
              <w:t xml:space="preserve"> – not using seat belts</w:t>
            </w:r>
          </w:p>
        </w:tc>
      </w:tr>
      <w:tr w:rsidR="00CF743D" w:rsidTr="00F65F82"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:rsidR="00CF743D" w:rsidRPr="0084644C" w:rsidRDefault="0084644C" w:rsidP="00CF743D">
            <w:pPr>
              <w:jc w:val="center"/>
              <w:rPr>
                <w:rFonts w:ascii="Garamond" w:hAnsi="Garamond"/>
              </w:rPr>
            </w:pPr>
            <w:r w:rsidRPr="0084644C">
              <w:rPr>
                <w:rFonts w:ascii="Garamond" w:hAnsi="Garamond"/>
              </w:rPr>
              <w:t>A44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vAlign w:val="center"/>
          </w:tcPr>
          <w:p w:rsidR="00CF743D" w:rsidRPr="0084644C" w:rsidRDefault="0084644C" w:rsidP="007D5D0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Drinking and driving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:rsidR="00CF743D" w:rsidRPr="0084644C" w:rsidRDefault="00295C23" w:rsidP="007D5D0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Large number of s</w:t>
            </w:r>
            <w:r w:rsidR="0084644C">
              <w:rPr>
                <w:rFonts w:ascii="Garamond" w:hAnsi="Garamond"/>
                <w:sz w:val="20"/>
                <w:szCs w:val="20"/>
              </w:rPr>
              <w:t xml:space="preserve">peeding-related </w:t>
            </w:r>
            <w:r w:rsidR="00646869">
              <w:rPr>
                <w:rFonts w:ascii="Garamond" w:hAnsi="Garamond"/>
                <w:sz w:val="20"/>
                <w:szCs w:val="20"/>
              </w:rPr>
              <w:t xml:space="preserve">fatal </w:t>
            </w:r>
            <w:r w:rsidR="0084644C">
              <w:rPr>
                <w:rFonts w:ascii="Garamond" w:hAnsi="Garamond"/>
                <w:sz w:val="20"/>
                <w:szCs w:val="20"/>
              </w:rPr>
              <w:t>crashes correlated to impaired driving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:rsidR="00CF743D" w:rsidRPr="00521052" w:rsidRDefault="00221BE8" w:rsidP="007D5D0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Examine speeding behavior relative to</w:t>
            </w:r>
            <w:r w:rsidR="00521052" w:rsidRPr="00521052">
              <w:rPr>
                <w:rFonts w:ascii="Garamond" w:hAnsi="Garamond"/>
                <w:sz w:val="20"/>
                <w:szCs w:val="20"/>
              </w:rPr>
              <w:t xml:space="preserve"> other risky driving behaviors</w:t>
            </w:r>
            <w:r>
              <w:rPr>
                <w:rFonts w:ascii="Garamond" w:hAnsi="Garamond"/>
                <w:sz w:val="20"/>
                <w:szCs w:val="20"/>
              </w:rPr>
              <w:t xml:space="preserve"> – drinking and driving</w:t>
            </w:r>
          </w:p>
        </w:tc>
      </w:tr>
      <w:tr w:rsidR="00B94527" w:rsidTr="00F65F82"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:rsidR="00B94527" w:rsidRDefault="00B94527" w:rsidP="0018469C">
            <w:pPr>
              <w:jc w:val="center"/>
            </w:pPr>
            <w:r w:rsidRPr="00731D23">
              <w:rPr>
                <w:rFonts w:ascii="Garamond" w:hAnsi="Garamond"/>
                <w:sz w:val="20"/>
                <w:szCs w:val="20"/>
              </w:rPr>
              <w:t>A4</w:t>
            </w:r>
            <w:r>
              <w:rPr>
                <w:rFonts w:ascii="Garamond" w:hAnsi="Garamond"/>
                <w:sz w:val="20"/>
                <w:szCs w:val="20"/>
              </w:rPr>
              <w:t>5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vAlign w:val="center"/>
          </w:tcPr>
          <w:p w:rsidR="00B94527" w:rsidRPr="0084644C" w:rsidRDefault="00FC3F76" w:rsidP="007D5D0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Future intentions regarding speeding behavior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:rsidR="00B94527" w:rsidRPr="0084644C" w:rsidRDefault="007D092D" w:rsidP="007D5D0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Intentions may differ from actual behavior</w:t>
            </w:r>
            <w:r w:rsidR="009A45CF">
              <w:rPr>
                <w:rFonts w:ascii="Garamond" w:hAnsi="Garamond"/>
                <w:sz w:val="20"/>
                <w:szCs w:val="20"/>
              </w:rPr>
              <w:t xml:space="preserve"> 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:rsidR="00B94527" w:rsidRPr="00F25CA7" w:rsidRDefault="007D092D" w:rsidP="007D5D09">
            <w:pPr>
              <w:rPr>
                <w:rFonts w:ascii="Garamond" w:hAnsi="Garamond"/>
                <w:sz w:val="20"/>
                <w:szCs w:val="20"/>
                <w:highlight w:val="lightGray"/>
              </w:rPr>
            </w:pPr>
            <w:r w:rsidRPr="007D092D">
              <w:rPr>
                <w:rFonts w:ascii="Garamond" w:hAnsi="Garamond"/>
                <w:sz w:val="20"/>
                <w:szCs w:val="20"/>
              </w:rPr>
              <w:t>Compare intentions with speeding behavior</w:t>
            </w:r>
          </w:p>
        </w:tc>
      </w:tr>
      <w:tr w:rsidR="00B94527" w:rsidTr="00F65F82">
        <w:tc>
          <w:tcPr>
            <w:tcW w:w="1548" w:type="dxa"/>
            <w:vAlign w:val="center"/>
          </w:tcPr>
          <w:p w:rsidR="00B94527" w:rsidRDefault="00B94527" w:rsidP="0018469C">
            <w:pPr>
              <w:jc w:val="center"/>
            </w:pPr>
            <w:r w:rsidRPr="00731D23">
              <w:rPr>
                <w:rFonts w:ascii="Garamond" w:hAnsi="Garamond"/>
                <w:sz w:val="20"/>
                <w:szCs w:val="20"/>
              </w:rPr>
              <w:t>A4</w:t>
            </w:r>
            <w:r>
              <w:rPr>
                <w:rFonts w:ascii="Garamond" w:hAnsi="Garamond"/>
                <w:sz w:val="20"/>
                <w:szCs w:val="20"/>
              </w:rPr>
              <w:t>6</w:t>
            </w:r>
          </w:p>
        </w:tc>
        <w:tc>
          <w:tcPr>
            <w:tcW w:w="2970" w:type="dxa"/>
            <w:vAlign w:val="center"/>
          </w:tcPr>
          <w:p w:rsidR="00B94527" w:rsidRPr="0084644C" w:rsidRDefault="009A45CF" w:rsidP="007D5D0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Typical speed driven on a multi-lane divided interstate freeway with posted speed limit of 65 mph</w:t>
            </w:r>
          </w:p>
        </w:tc>
        <w:tc>
          <w:tcPr>
            <w:tcW w:w="2610" w:type="dxa"/>
            <w:vAlign w:val="center"/>
          </w:tcPr>
          <w:p w:rsidR="00B94527" w:rsidRPr="0084644C" w:rsidRDefault="007D5D09" w:rsidP="00CB2AA2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Drivers often differ in speeds they drive in relation to speed limit across road types</w:t>
            </w:r>
          </w:p>
        </w:tc>
        <w:tc>
          <w:tcPr>
            <w:tcW w:w="2520" w:type="dxa"/>
            <w:vAlign w:val="center"/>
          </w:tcPr>
          <w:p w:rsidR="00B94527" w:rsidRPr="00F25CA7" w:rsidRDefault="007D5D09" w:rsidP="007D5D09">
            <w:pPr>
              <w:rPr>
                <w:rFonts w:ascii="Garamond" w:hAnsi="Garamond"/>
                <w:sz w:val="20"/>
                <w:szCs w:val="20"/>
                <w:highlight w:val="lightGray"/>
              </w:rPr>
            </w:pPr>
            <w:r w:rsidRPr="007D5D09">
              <w:rPr>
                <w:rFonts w:ascii="Garamond" w:hAnsi="Garamond"/>
                <w:sz w:val="20"/>
                <w:szCs w:val="20"/>
              </w:rPr>
              <w:t>Compare self-report of driving speeds across driver types, road types, and other variables</w:t>
            </w:r>
          </w:p>
        </w:tc>
      </w:tr>
      <w:tr w:rsidR="00CB2AA2" w:rsidTr="00F65F82">
        <w:tc>
          <w:tcPr>
            <w:tcW w:w="1548" w:type="dxa"/>
            <w:vAlign w:val="center"/>
          </w:tcPr>
          <w:p w:rsidR="00CB2AA2" w:rsidRDefault="00CB2AA2" w:rsidP="0018469C">
            <w:pPr>
              <w:jc w:val="center"/>
            </w:pPr>
            <w:r w:rsidRPr="00731D23">
              <w:rPr>
                <w:rFonts w:ascii="Garamond" w:hAnsi="Garamond"/>
                <w:sz w:val="20"/>
                <w:szCs w:val="20"/>
              </w:rPr>
              <w:t>A4</w:t>
            </w:r>
            <w:r>
              <w:rPr>
                <w:rFonts w:ascii="Garamond" w:hAnsi="Garamond"/>
                <w:sz w:val="20"/>
                <w:szCs w:val="20"/>
              </w:rPr>
              <w:t>7</w:t>
            </w:r>
          </w:p>
        </w:tc>
        <w:tc>
          <w:tcPr>
            <w:tcW w:w="2970" w:type="dxa"/>
            <w:vAlign w:val="center"/>
          </w:tcPr>
          <w:p w:rsidR="00CB2AA2" w:rsidRPr="00F25CA7" w:rsidRDefault="00CB2AA2" w:rsidP="007D5D09">
            <w:pPr>
              <w:rPr>
                <w:rFonts w:ascii="Garamond" w:hAnsi="Garamond"/>
                <w:sz w:val="20"/>
                <w:szCs w:val="20"/>
                <w:highlight w:val="lightGray"/>
              </w:rPr>
            </w:pPr>
            <w:r>
              <w:rPr>
                <w:rFonts w:ascii="Garamond" w:hAnsi="Garamond"/>
                <w:sz w:val="20"/>
                <w:szCs w:val="20"/>
              </w:rPr>
              <w:t>Typical speed driven on a main arterial 2 lanes each direction with posted speed limit of 35 mph</w:t>
            </w:r>
          </w:p>
        </w:tc>
        <w:tc>
          <w:tcPr>
            <w:tcW w:w="2610" w:type="dxa"/>
            <w:vAlign w:val="center"/>
          </w:tcPr>
          <w:p w:rsidR="00CB2AA2" w:rsidRPr="0084644C" w:rsidRDefault="00CB2AA2" w:rsidP="00345CB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Drivers often differ in speeds they drive in relation to speed limit across road types</w:t>
            </w:r>
          </w:p>
        </w:tc>
        <w:tc>
          <w:tcPr>
            <w:tcW w:w="2520" w:type="dxa"/>
          </w:tcPr>
          <w:p w:rsidR="00CB2AA2" w:rsidRDefault="00CB2AA2" w:rsidP="007D5D09">
            <w:r w:rsidRPr="00571656">
              <w:rPr>
                <w:rFonts w:ascii="Garamond" w:hAnsi="Garamond"/>
                <w:sz w:val="20"/>
                <w:szCs w:val="20"/>
              </w:rPr>
              <w:t>Compare self-report of driving speeds across driver types, road types, and other variables</w:t>
            </w:r>
          </w:p>
        </w:tc>
      </w:tr>
      <w:tr w:rsidR="00CB2AA2" w:rsidTr="00F65F82">
        <w:tc>
          <w:tcPr>
            <w:tcW w:w="1548" w:type="dxa"/>
            <w:vAlign w:val="center"/>
          </w:tcPr>
          <w:p w:rsidR="00CB2AA2" w:rsidRDefault="00CB2AA2" w:rsidP="0018469C">
            <w:pPr>
              <w:jc w:val="center"/>
            </w:pPr>
            <w:r w:rsidRPr="00731D23">
              <w:rPr>
                <w:rFonts w:ascii="Garamond" w:hAnsi="Garamond"/>
                <w:sz w:val="20"/>
                <w:szCs w:val="20"/>
              </w:rPr>
              <w:t>A4</w:t>
            </w:r>
            <w:r>
              <w:rPr>
                <w:rFonts w:ascii="Garamond" w:hAnsi="Garamond"/>
                <w:sz w:val="20"/>
                <w:szCs w:val="20"/>
              </w:rPr>
              <w:t>8</w:t>
            </w:r>
          </w:p>
        </w:tc>
        <w:tc>
          <w:tcPr>
            <w:tcW w:w="2970" w:type="dxa"/>
            <w:vAlign w:val="center"/>
          </w:tcPr>
          <w:p w:rsidR="00CB2AA2" w:rsidRPr="00F25CA7" w:rsidRDefault="00CB2AA2" w:rsidP="007D5D0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Typical speed driven on a neighborhood road with posted speed limit of 20 mph</w:t>
            </w:r>
          </w:p>
        </w:tc>
        <w:tc>
          <w:tcPr>
            <w:tcW w:w="2610" w:type="dxa"/>
            <w:vAlign w:val="center"/>
          </w:tcPr>
          <w:p w:rsidR="00CB2AA2" w:rsidRPr="0084644C" w:rsidRDefault="00CB2AA2" w:rsidP="00345CB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Drivers often differ in speeds they drive in relation to speed limit across road types</w:t>
            </w:r>
          </w:p>
        </w:tc>
        <w:tc>
          <w:tcPr>
            <w:tcW w:w="2520" w:type="dxa"/>
          </w:tcPr>
          <w:p w:rsidR="00CB2AA2" w:rsidRDefault="00CB2AA2" w:rsidP="007D5D09">
            <w:r w:rsidRPr="00571656">
              <w:rPr>
                <w:rFonts w:ascii="Garamond" w:hAnsi="Garamond"/>
                <w:sz w:val="20"/>
                <w:szCs w:val="20"/>
              </w:rPr>
              <w:t>Compare self-report of driving speeds across driver types, road types, and other variables</w:t>
            </w:r>
          </w:p>
        </w:tc>
      </w:tr>
      <w:tr w:rsidR="00CB2AA2" w:rsidTr="00F65F82">
        <w:tc>
          <w:tcPr>
            <w:tcW w:w="1548" w:type="dxa"/>
            <w:vAlign w:val="center"/>
          </w:tcPr>
          <w:p w:rsidR="00CB2AA2" w:rsidRPr="00731D23" w:rsidRDefault="00CB2AA2" w:rsidP="0018469C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A49</w:t>
            </w:r>
          </w:p>
        </w:tc>
        <w:tc>
          <w:tcPr>
            <w:tcW w:w="2970" w:type="dxa"/>
            <w:vAlign w:val="center"/>
          </w:tcPr>
          <w:p w:rsidR="00CB2AA2" w:rsidRPr="00F25CA7" w:rsidRDefault="00CB2AA2" w:rsidP="007D5D0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Typical speed driven on a paved rural country road with posted speed limit of 45 mph</w:t>
            </w:r>
          </w:p>
        </w:tc>
        <w:tc>
          <w:tcPr>
            <w:tcW w:w="2610" w:type="dxa"/>
            <w:vAlign w:val="center"/>
          </w:tcPr>
          <w:p w:rsidR="00CB2AA2" w:rsidRPr="0084644C" w:rsidRDefault="00CB2AA2" w:rsidP="00345CB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Drivers often differ in speeds they drive in relation to speed limit across road types</w:t>
            </w:r>
          </w:p>
        </w:tc>
        <w:tc>
          <w:tcPr>
            <w:tcW w:w="2520" w:type="dxa"/>
          </w:tcPr>
          <w:p w:rsidR="00CB2AA2" w:rsidRDefault="00CB2AA2" w:rsidP="007D5D09">
            <w:r w:rsidRPr="00571656">
              <w:rPr>
                <w:rFonts w:ascii="Garamond" w:hAnsi="Garamond"/>
                <w:sz w:val="20"/>
                <w:szCs w:val="20"/>
              </w:rPr>
              <w:t>Compare self-report of driving speeds across driver types, road types, and other variables</w:t>
            </w:r>
          </w:p>
        </w:tc>
      </w:tr>
      <w:tr w:rsidR="00CB2AA2" w:rsidTr="00F65F82">
        <w:tc>
          <w:tcPr>
            <w:tcW w:w="1548" w:type="dxa"/>
            <w:vAlign w:val="center"/>
          </w:tcPr>
          <w:p w:rsidR="00CB2AA2" w:rsidRPr="00731D23" w:rsidRDefault="00CB2AA2" w:rsidP="0018469C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A50</w:t>
            </w:r>
          </w:p>
        </w:tc>
        <w:tc>
          <w:tcPr>
            <w:tcW w:w="2970" w:type="dxa"/>
            <w:vAlign w:val="center"/>
          </w:tcPr>
          <w:p w:rsidR="00CB2AA2" w:rsidRPr="00F25CA7" w:rsidRDefault="00CB2AA2" w:rsidP="007D5D0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Typical speed driven on a low-traffic rural State highway, one lane each way, with posted speed limit of 60 mph</w:t>
            </w:r>
          </w:p>
        </w:tc>
        <w:tc>
          <w:tcPr>
            <w:tcW w:w="2610" w:type="dxa"/>
            <w:vAlign w:val="center"/>
          </w:tcPr>
          <w:p w:rsidR="00CB2AA2" w:rsidRPr="0084644C" w:rsidRDefault="00CB2AA2" w:rsidP="00345CB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Drivers often differ in speeds they drive in relation to speed limit across road types</w:t>
            </w:r>
          </w:p>
        </w:tc>
        <w:tc>
          <w:tcPr>
            <w:tcW w:w="2520" w:type="dxa"/>
          </w:tcPr>
          <w:p w:rsidR="00CB2AA2" w:rsidRDefault="00CB2AA2" w:rsidP="007D5D09">
            <w:pPr>
              <w:rPr>
                <w:rFonts w:ascii="Garamond" w:hAnsi="Garamond"/>
                <w:sz w:val="20"/>
                <w:szCs w:val="20"/>
              </w:rPr>
            </w:pPr>
            <w:r w:rsidRPr="00571656">
              <w:rPr>
                <w:rFonts w:ascii="Garamond" w:hAnsi="Garamond"/>
                <w:sz w:val="20"/>
                <w:szCs w:val="20"/>
              </w:rPr>
              <w:t>Compare self-report of driving speeds across driver types, road types, and other variables</w:t>
            </w:r>
          </w:p>
          <w:p w:rsidR="00906AC6" w:rsidRDefault="00906AC6" w:rsidP="007D5D09">
            <w:pPr>
              <w:rPr>
                <w:rFonts w:ascii="Garamond" w:hAnsi="Garamond"/>
                <w:sz w:val="20"/>
                <w:szCs w:val="20"/>
              </w:rPr>
            </w:pPr>
          </w:p>
          <w:p w:rsidR="00906AC6" w:rsidRDefault="00906AC6" w:rsidP="007D5D09"/>
        </w:tc>
      </w:tr>
      <w:tr w:rsidR="00CB2AA2" w:rsidTr="00F65F82">
        <w:tc>
          <w:tcPr>
            <w:tcW w:w="1548" w:type="dxa"/>
            <w:tcBorders>
              <w:bottom w:val="double" w:sz="4" w:space="0" w:color="auto"/>
            </w:tcBorders>
            <w:vAlign w:val="center"/>
          </w:tcPr>
          <w:p w:rsidR="00CB2AA2" w:rsidRDefault="00CB2AA2" w:rsidP="00CF743D">
            <w:pPr>
              <w:jc w:val="center"/>
            </w:pPr>
            <w:r>
              <w:lastRenderedPageBreak/>
              <w:t>A51</w:t>
            </w:r>
          </w:p>
        </w:tc>
        <w:tc>
          <w:tcPr>
            <w:tcW w:w="2970" w:type="dxa"/>
            <w:tcBorders>
              <w:bottom w:val="double" w:sz="4" w:space="0" w:color="auto"/>
            </w:tcBorders>
            <w:vAlign w:val="center"/>
          </w:tcPr>
          <w:p w:rsidR="00CB2AA2" w:rsidRPr="00F25CA7" w:rsidRDefault="00CB2AA2" w:rsidP="007D5D0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Typical speed driven on a divided Interstate highway, two lanes in your direction with posted speed limit of 75 mph</w:t>
            </w:r>
          </w:p>
        </w:tc>
        <w:tc>
          <w:tcPr>
            <w:tcW w:w="2610" w:type="dxa"/>
            <w:tcBorders>
              <w:bottom w:val="double" w:sz="4" w:space="0" w:color="auto"/>
            </w:tcBorders>
            <w:vAlign w:val="center"/>
          </w:tcPr>
          <w:p w:rsidR="00CB2AA2" w:rsidRPr="0084644C" w:rsidRDefault="00CB2AA2" w:rsidP="00345CB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Drivers often differ in speeds they drive in relation to speed limit across road types</w:t>
            </w:r>
          </w:p>
        </w:tc>
        <w:tc>
          <w:tcPr>
            <w:tcW w:w="2520" w:type="dxa"/>
            <w:tcBorders>
              <w:bottom w:val="double" w:sz="4" w:space="0" w:color="auto"/>
            </w:tcBorders>
          </w:tcPr>
          <w:p w:rsidR="00CB2AA2" w:rsidRDefault="00CB2AA2" w:rsidP="007D5D09">
            <w:r w:rsidRPr="00571656">
              <w:rPr>
                <w:rFonts w:ascii="Garamond" w:hAnsi="Garamond"/>
                <w:sz w:val="20"/>
                <w:szCs w:val="20"/>
              </w:rPr>
              <w:t>Compare self-report of driving speeds across driver types, road types, and other variables</w:t>
            </w:r>
          </w:p>
        </w:tc>
      </w:tr>
      <w:tr w:rsidR="00CF743D" w:rsidTr="00F65F82">
        <w:tc>
          <w:tcPr>
            <w:tcW w:w="9648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D6E3BC" w:themeFill="accent3" w:themeFillTint="66"/>
            <w:vAlign w:val="center"/>
          </w:tcPr>
          <w:p w:rsidR="00FB7F86" w:rsidRPr="00244A4F" w:rsidRDefault="00FB7F86" w:rsidP="00F25CA7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  <w:p w:rsidR="00CF743D" w:rsidRDefault="0006401A" w:rsidP="00F25CA7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7B7DB8">
              <w:rPr>
                <w:rFonts w:ascii="Garamond" w:hAnsi="Garamond"/>
                <w:b/>
                <w:sz w:val="20"/>
                <w:szCs w:val="20"/>
              </w:rPr>
              <w:t>Section B: Attitudes and Beliefs about Speeding</w:t>
            </w:r>
          </w:p>
          <w:p w:rsidR="00FB7F86" w:rsidRPr="00244A4F" w:rsidRDefault="00FB7F86" w:rsidP="00F25CA7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ED34A6" w:rsidTr="00F65F82">
        <w:tc>
          <w:tcPr>
            <w:tcW w:w="1548" w:type="dxa"/>
            <w:tcBorders>
              <w:top w:val="double" w:sz="4" w:space="0" w:color="auto"/>
            </w:tcBorders>
            <w:vAlign w:val="center"/>
          </w:tcPr>
          <w:p w:rsidR="001A4DD1" w:rsidRPr="00F25CA7" w:rsidRDefault="007B7DB8" w:rsidP="00FB7F8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B1 – B</w:t>
            </w:r>
            <w:r w:rsidR="00FB7F86">
              <w:rPr>
                <w:rFonts w:ascii="Garamond" w:hAnsi="Garamond"/>
                <w:sz w:val="20"/>
                <w:szCs w:val="20"/>
              </w:rPr>
              <w:t>6</w:t>
            </w:r>
          </w:p>
        </w:tc>
        <w:tc>
          <w:tcPr>
            <w:tcW w:w="2970" w:type="dxa"/>
            <w:tcBorders>
              <w:top w:val="double" w:sz="4" w:space="0" w:color="auto"/>
            </w:tcBorders>
            <w:vAlign w:val="center"/>
          </w:tcPr>
          <w:p w:rsidR="001A4DD1" w:rsidRPr="00F25CA7" w:rsidRDefault="00FB7F86" w:rsidP="00510171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Factors considered by driver when setting their driving speed</w:t>
            </w:r>
          </w:p>
        </w:tc>
        <w:tc>
          <w:tcPr>
            <w:tcW w:w="2610" w:type="dxa"/>
            <w:tcBorders>
              <w:top w:val="double" w:sz="4" w:space="0" w:color="auto"/>
            </w:tcBorders>
            <w:vAlign w:val="center"/>
          </w:tcPr>
          <w:p w:rsidR="001A4DD1" w:rsidRPr="00F25CA7" w:rsidRDefault="00E36917" w:rsidP="00510171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Measure of countermeasures that drivers consider when selecting their driving speed</w:t>
            </w:r>
          </w:p>
        </w:tc>
        <w:tc>
          <w:tcPr>
            <w:tcW w:w="2520" w:type="dxa"/>
            <w:tcBorders>
              <w:top w:val="double" w:sz="4" w:space="0" w:color="auto"/>
            </w:tcBorders>
            <w:vAlign w:val="center"/>
          </w:tcPr>
          <w:p w:rsidR="001A4DD1" w:rsidRPr="00F25CA7" w:rsidRDefault="00EE1B31" w:rsidP="00EE1B31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Used to help match driver types with appropriate countermeasures </w:t>
            </w:r>
          </w:p>
        </w:tc>
      </w:tr>
      <w:tr w:rsidR="00ED34A6" w:rsidTr="00F65F82">
        <w:tc>
          <w:tcPr>
            <w:tcW w:w="1548" w:type="dxa"/>
            <w:vAlign w:val="center"/>
          </w:tcPr>
          <w:p w:rsidR="001A4DD1" w:rsidRPr="00F25CA7" w:rsidRDefault="007B7DB8" w:rsidP="00FB7F8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B</w:t>
            </w:r>
            <w:r w:rsidR="00FB7F86">
              <w:rPr>
                <w:rFonts w:ascii="Garamond" w:hAnsi="Garamond"/>
                <w:sz w:val="20"/>
                <w:szCs w:val="20"/>
              </w:rPr>
              <w:t>7</w:t>
            </w:r>
            <w:r>
              <w:rPr>
                <w:rFonts w:ascii="Garamond" w:hAnsi="Garamond"/>
                <w:sz w:val="20"/>
                <w:szCs w:val="20"/>
              </w:rPr>
              <w:t xml:space="preserve"> – B1</w:t>
            </w:r>
            <w:r w:rsidR="00FB7F86">
              <w:rPr>
                <w:rFonts w:ascii="Garamond" w:hAnsi="Garamond"/>
                <w:sz w:val="20"/>
                <w:szCs w:val="20"/>
              </w:rPr>
              <w:t>3</w:t>
            </w:r>
          </w:p>
        </w:tc>
        <w:tc>
          <w:tcPr>
            <w:tcW w:w="2970" w:type="dxa"/>
            <w:vAlign w:val="center"/>
          </w:tcPr>
          <w:p w:rsidR="001A4DD1" w:rsidRPr="00F25CA7" w:rsidRDefault="0018469C" w:rsidP="00510171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Views on effectiveness of higher speeding enforcement &amp; penalties for speeding violations</w:t>
            </w:r>
          </w:p>
        </w:tc>
        <w:tc>
          <w:tcPr>
            <w:tcW w:w="2610" w:type="dxa"/>
            <w:vAlign w:val="center"/>
          </w:tcPr>
          <w:p w:rsidR="001A4DD1" w:rsidRPr="00F25CA7" w:rsidRDefault="00EE1B31" w:rsidP="00B127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Measure of </w:t>
            </w:r>
            <w:r w:rsidR="00D84105">
              <w:rPr>
                <w:rFonts w:ascii="Garamond" w:hAnsi="Garamond"/>
                <w:sz w:val="20"/>
                <w:szCs w:val="20"/>
              </w:rPr>
              <w:t>enforcement &amp; penalties</w:t>
            </w:r>
            <w:r>
              <w:rPr>
                <w:rFonts w:ascii="Garamond" w:hAnsi="Garamond"/>
                <w:sz w:val="20"/>
                <w:szCs w:val="20"/>
              </w:rPr>
              <w:t xml:space="preserve"> drivers consider effective</w:t>
            </w:r>
            <w:r w:rsidR="00D84105">
              <w:rPr>
                <w:rFonts w:ascii="Garamond" w:hAnsi="Garamond"/>
                <w:sz w:val="20"/>
                <w:szCs w:val="20"/>
              </w:rPr>
              <w:t>/</w:t>
            </w:r>
            <w:r>
              <w:rPr>
                <w:rFonts w:ascii="Garamond" w:hAnsi="Garamond"/>
                <w:sz w:val="20"/>
                <w:szCs w:val="20"/>
              </w:rPr>
              <w:t>appropriate for speeders</w:t>
            </w:r>
          </w:p>
        </w:tc>
        <w:tc>
          <w:tcPr>
            <w:tcW w:w="2520" w:type="dxa"/>
            <w:vAlign w:val="center"/>
          </w:tcPr>
          <w:p w:rsidR="001A4DD1" w:rsidRPr="00F25CA7" w:rsidRDefault="00F65F82" w:rsidP="00510171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Used to help gauge views of enforcement and penalties for speeding as develop countermeasures</w:t>
            </w:r>
          </w:p>
        </w:tc>
      </w:tr>
      <w:tr w:rsidR="00264932" w:rsidTr="00F65F82">
        <w:tc>
          <w:tcPr>
            <w:tcW w:w="1548" w:type="dxa"/>
            <w:vAlign w:val="center"/>
          </w:tcPr>
          <w:p w:rsidR="00264932" w:rsidRPr="00F25CA7" w:rsidRDefault="007B7DB8" w:rsidP="00FB7F8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B1</w:t>
            </w:r>
            <w:r w:rsidR="00FB7F86">
              <w:rPr>
                <w:rFonts w:ascii="Garamond" w:hAnsi="Garamond"/>
                <w:sz w:val="20"/>
                <w:szCs w:val="20"/>
              </w:rPr>
              <w:t>4</w:t>
            </w:r>
            <w:r>
              <w:rPr>
                <w:rFonts w:ascii="Garamond" w:hAnsi="Garamond"/>
                <w:sz w:val="20"/>
                <w:szCs w:val="20"/>
              </w:rPr>
              <w:t xml:space="preserve"> – B2</w:t>
            </w:r>
            <w:r w:rsidR="00FB7F86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2970" w:type="dxa"/>
            <w:vAlign w:val="center"/>
          </w:tcPr>
          <w:p w:rsidR="00264932" w:rsidRPr="00F25CA7" w:rsidRDefault="0018469C" w:rsidP="00510171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Views on other speeding countermeasures for general public</w:t>
            </w:r>
          </w:p>
        </w:tc>
        <w:tc>
          <w:tcPr>
            <w:tcW w:w="2610" w:type="dxa"/>
            <w:vAlign w:val="center"/>
          </w:tcPr>
          <w:p w:rsidR="00264932" w:rsidRPr="00F25CA7" w:rsidRDefault="00B53072" w:rsidP="00B53072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Measure of driver attitudes on countermeasure effectiveness for general public</w:t>
            </w:r>
          </w:p>
        </w:tc>
        <w:tc>
          <w:tcPr>
            <w:tcW w:w="2520" w:type="dxa"/>
            <w:vAlign w:val="center"/>
          </w:tcPr>
          <w:p w:rsidR="00264932" w:rsidRPr="00F25CA7" w:rsidRDefault="00F65F82" w:rsidP="00510171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Used to help gauge views on countermeasure effectiveness as develop speeding countermeasures </w:t>
            </w:r>
          </w:p>
        </w:tc>
      </w:tr>
      <w:tr w:rsidR="00AA1EF8" w:rsidTr="00F65F82">
        <w:tc>
          <w:tcPr>
            <w:tcW w:w="1548" w:type="dxa"/>
            <w:vAlign w:val="center"/>
          </w:tcPr>
          <w:p w:rsidR="00AA1EF8" w:rsidRPr="00F25CA7" w:rsidRDefault="007B7DB8" w:rsidP="00FB7F8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B2</w:t>
            </w:r>
            <w:r w:rsidR="00FB7F86">
              <w:rPr>
                <w:rFonts w:ascii="Garamond" w:hAnsi="Garamond"/>
                <w:sz w:val="20"/>
                <w:szCs w:val="20"/>
              </w:rPr>
              <w:t>2</w:t>
            </w:r>
            <w:r>
              <w:rPr>
                <w:rFonts w:ascii="Garamond" w:hAnsi="Garamond"/>
                <w:sz w:val="20"/>
                <w:szCs w:val="20"/>
              </w:rPr>
              <w:t xml:space="preserve"> – B3</w:t>
            </w:r>
            <w:r w:rsidR="00FB7F86">
              <w:rPr>
                <w:rFonts w:ascii="Garamond" w:hAnsi="Garamond"/>
                <w:sz w:val="20"/>
                <w:szCs w:val="20"/>
              </w:rPr>
              <w:t>3</w:t>
            </w:r>
          </w:p>
        </w:tc>
        <w:tc>
          <w:tcPr>
            <w:tcW w:w="2970" w:type="dxa"/>
            <w:vAlign w:val="center"/>
          </w:tcPr>
          <w:p w:rsidR="00AA1EF8" w:rsidRPr="00F25CA7" w:rsidRDefault="0018469C" w:rsidP="00510171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General driving behavior</w:t>
            </w:r>
          </w:p>
        </w:tc>
        <w:tc>
          <w:tcPr>
            <w:tcW w:w="2610" w:type="dxa"/>
            <w:vAlign w:val="center"/>
          </w:tcPr>
          <w:p w:rsidR="00AA1EF8" w:rsidRPr="00F25CA7" w:rsidRDefault="0018469C" w:rsidP="00F65F82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Scale </w:t>
            </w:r>
            <w:r w:rsidR="00F65F82">
              <w:rPr>
                <w:rFonts w:ascii="Garamond" w:hAnsi="Garamond"/>
                <w:sz w:val="20"/>
                <w:szCs w:val="20"/>
              </w:rPr>
              <w:t>of driving behavior to measure of conformity to traffic laws &amp; road situations</w:t>
            </w:r>
          </w:p>
        </w:tc>
        <w:tc>
          <w:tcPr>
            <w:tcW w:w="2520" w:type="dxa"/>
            <w:vAlign w:val="center"/>
          </w:tcPr>
          <w:p w:rsidR="00AA1EF8" w:rsidRPr="00F25CA7" w:rsidRDefault="0037765C" w:rsidP="0037765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Used to help determine level of appropriate driving &amp; need for countermeasures </w:t>
            </w:r>
          </w:p>
        </w:tc>
      </w:tr>
      <w:tr w:rsidR="00AA1EF8" w:rsidTr="00F65F82">
        <w:tc>
          <w:tcPr>
            <w:tcW w:w="1548" w:type="dxa"/>
            <w:vAlign w:val="center"/>
          </w:tcPr>
          <w:p w:rsidR="00AA1EF8" w:rsidRPr="00F25CA7" w:rsidRDefault="007B7DB8" w:rsidP="00FB7F8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B3</w:t>
            </w:r>
            <w:r w:rsidR="00FB7F86">
              <w:rPr>
                <w:rFonts w:ascii="Garamond" w:hAnsi="Garamond"/>
                <w:sz w:val="20"/>
                <w:szCs w:val="20"/>
              </w:rPr>
              <w:t>4</w:t>
            </w:r>
            <w:r>
              <w:rPr>
                <w:rFonts w:ascii="Garamond" w:hAnsi="Garamond"/>
                <w:sz w:val="20"/>
                <w:szCs w:val="20"/>
              </w:rPr>
              <w:t xml:space="preserve"> – B3</w:t>
            </w:r>
            <w:r w:rsidR="00FB7F86">
              <w:rPr>
                <w:rFonts w:ascii="Garamond" w:hAnsi="Garamond"/>
                <w:sz w:val="20"/>
                <w:szCs w:val="20"/>
              </w:rPr>
              <w:t>8</w:t>
            </w:r>
          </w:p>
        </w:tc>
        <w:tc>
          <w:tcPr>
            <w:tcW w:w="2970" w:type="dxa"/>
            <w:vAlign w:val="center"/>
          </w:tcPr>
          <w:p w:rsidR="00AA1EF8" w:rsidRPr="00F25CA7" w:rsidRDefault="0018469C" w:rsidP="00510171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Thoughts on appropriate countermeasures for speeding</w:t>
            </w:r>
          </w:p>
        </w:tc>
        <w:tc>
          <w:tcPr>
            <w:tcW w:w="2610" w:type="dxa"/>
            <w:vAlign w:val="center"/>
          </w:tcPr>
          <w:p w:rsidR="00AA1EF8" w:rsidRPr="00F25CA7" w:rsidRDefault="005952FF" w:rsidP="00510171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Measures of driver views on appropriateness of countermeasures</w:t>
            </w:r>
          </w:p>
        </w:tc>
        <w:tc>
          <w:tcPr>
            <w:tcW w:w="2520" w:type="dxa"/>
            <w:vAlign w:val="center"/>
          </w:tcPr>
          <w:p w:rsidR="00AA1EF8" w:rsidRPr="00F25CA7" w:rsidRDefault="005952FF" w:rsidP="00510171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Used to help determine acceptability of various countermeasures</w:t>
            </w:r>
          </w:p>
        </w:tc>
      </w:tr>
      <w:tr w:rsidR="00264932" w:rsidTr="00F65F82">
        <w:tc>
          <w:tcPr>
            <w:tcW w:w="1548" w:type="dxa"/>
            <w:tcBorders>
              <w:bottom w:val="double" w:sz="4" w:space="0" w:color="auto"/>
            </w:tcBorders>
            <w:vAlign w:val="center"/>
          </w:tcPr>
          <w:p w:rsidR="00264932" w:rsidRPr="00F25CA7" w:rsidRDefault="007B7DB8" w:rsidP="00FB7F8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B3</w:t>
            </w:r>
            <w:r w:rsidR="00FB7F86">
              <w:rPr>
                <w:rFonts w:ascii="Garamond" w:hAnsi="Garamond"/>
                <w:sz w:val="20"/>
                <w:szCs w:val="20"/>
              </w:rPr>
              <w:t>9</w:t>
            </w:r>
          </w:p>
        </w:tc>
        <w:tc>
          <w:tcPr>
            <w:tcW w:w="2970" w:type="dxa"/>
            <w:tcBorders>
              <w:bottom w:val="double" w:sz="4" w:space="0" w:color="auto"/>
            </w:tcBorders>
            <w:vAlign w:val="center"/>
          </w:tcPr>
          <w:p w:rsidR="00264932" w:rsidRPr="00F25CA7" w:rsidRDefault="0018469C" w:rsidP="00510171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How important is it that something </w:t>
            </w:r>
            <w:proofErr w:type="gramStart"/>
            <w:r>
              <w:rPr>
                <w:rFonts w:ascii="Garamond" w:hAnsi="Garamond"/>
                <w:sz w:val="20"/>
                <w:szCs w:val="20"/>
              </w:rPr>
              <w:t>be</w:t>
            </w:r>
            <w:proofErr w:type="gramEnd"/>
            <w:r>
              <w:rPr>
                <w:rFonts w:ascii="Garamond" w:hAnsi="Garamond"/>
                <w:sz w:val="20"/>
                <w:szCs w:val="20"/>
              </w:rPr>
              <w:t xml:space="preserve"> done to reduce speeding?</w:t>
            </w:r>
          </w:p>
        </w:tc>
        <w:tc>
          <w:tcPr>
            <w:tcW w:w="2610" w:type="dxa"/>
            <w:tcBorders>
              <w:bottom w:val="double" w:sz="4" w:space="0" w:color="auto"/>
            </w:tcBorders>
            <w:vAlign w:val="center"/>
          </w:tcPr>
          <w:p w:rsidR="00264932" w:rsidRPr="00F25CA7" w:rsidRDefault="002E3FA5" w:rsidP="002E3FA5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Measure of driver concern with speeding as a problem</w:t>
            </w:r>
          </w:p>
        </w:tc>
        <w:tc>
          <w:tcPr>
            <w:tcW w:w="2520" w:type="dxa"/>
            <w:tcBorders>
              <w:bottom w:val="double" w:sz="4" w:space="0" w:color="auto"/>
            </w:tcBorders>
            <w:vAlign w:val="center"/>
          </w:tcPr>
          <w:p w:rsidR="00264932" w:rsidRPr="00F25CA7" w:rsidRDefault="002E3FA5" w:rsidP="004121C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Compare driving behavior, attitudes, and driver type with level of concern about speeding as a problem</w:t>
            </w:r>
            <w:r w:rsidR="004121CE">
              <w:rPr>
                <w:rFonts w:ascii="Garamond" w:hAnsi="Garamond"/>
                <w:sz w:val="20"/>
                <w:szCs w:val="20"/>
              </w:rPr>
              <w:t>; relate to receptivity to speeding countermeasures</w:t>
            </w:r>
          </w:p>
        </w:tc>
      </w:tr>
      <w:tr w:rsidR="007B7DB8" w:rsidTr="00F65F82">
        <w:tc>
          <w:tcPr>
            <w:tcW w:w="9648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D6E3BC" w:themeFill="accent3" w:themeFillTint="66"/>
            <w:vAlign w:val="center"/>
          </w:tcPr>
          <w:p w:rsidR="00FB7F86" w:rsidRPr="00244A4F" w:rsidRDefault="00FB7F86" w:rsidP="00F25CA7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  <w:p w:rsidR="007B7DB8" w:rsidRDefault="007B7DB8" w:rsidP="00F25CA7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 xml:space="preserve">Section C: Driver Characteristics </w:t>
            </w:r>
            <w:r w:rsidR="00FC3D41">
              <w:rPr>
                <w:rFonts w:ascii="Garamond" w:hAnsi="Garamond"/>
                <w:b/>
                <w:sz w:val="20"/>
                <w:szCs w:val="20"/>
              </w:rPr>
              <w:t>(Demographics &amp; Open Feedback Questions)</w:t>
            </w:r>
          </w:p>
          <w:p w:rsidR="00FB7F86" w:rsidRPr="00244A4F" w:rsidRDefault="00FB7F86" w:rsidP="00F25CA7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7B7DB8" w:rsidTr="00F65F82">
        <w:tc>
          <w:tcPr>
            <w:tcW w:w="1548" w:type="dxa"/>
            <w:tcBorders>
              <w:top w:val="double" w:sz="4" w:space="0" w:color="auto"/>
            </w:tcBorders>
            <w:vAlign w:val="center"/>
          </w:tcPr>
          <w:p w:rsidR="007B7DB8" w:rsidRPr="00F25CA7" w:rsidRDefault="007B7DB8" w:rsidP="00F25CA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C1</w:t>
            </w:r>
          </w:p>
        </w:tc>
        <w:tc>
          <w:tcPr>
            <w:tcW w:w="2970" w:type="dxa"/>
            <w:tcBorders>
              <w:top w:val="double" w:sz="4" w:space="0" w:color="auto"/>
            </w:tcBorders>
            <w:vAlign w:val="center"/>
          </w:tcPr>
          <w:p w:rsidR="007B7DB8" w:rsidRPr="00F25CA7" w:rsidRDefault="0018469C" w:rsidP="00510171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Age</w:t>
            </w:r>
          </w:p>
        </w:tc>
        <w:tc>
          <w:tcPr>
            <w:tcW w:w="2610" w:type="dxa"/>
            <w:tcBorders>
              <w:top w:val="double" w:sz="4" w:space="0" w:color="auto"/>
            </w:tcBorders>
            <w:vAlign w:val="center"/>
          </w:tcPr>
          <w:p w:rsidR="007B7DB8" w:rsidRPr="00F25CA7" w:rsidRDefault="00B13397" w:rsidP="00B13397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Driving attitudes &amp; behavior &amp; countermeasures receptivity often varies by demographics</w:t>
            </w:r>
          </w:p>
        </w:tc>
        <w:tc>
          <w:tcPr>
            <w:tcW w:w="2520" w:type="dxa"/>
            <w:tcBorders>
              <w:top w:val="double" w:sz="4" w:space="0" w:color="auto"/>
            </w:tcBorders>
            <w:vAlign w:val="center"/>
          </w:tcPr>
          <w:p w:rsidR="007B7DB8" w:rsidRPr="00F25CA7" w:rsidRDefault="00B13397" w:rsidP="00510171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Important information for developing appropriate countermeasures &amp; education campaigns </w:t>
            </w:r>
          </w:p>
        </w:tc>
      </w:tr>
      <w:tr w:rsidR="00B13397" w:rsidTr="00640FF1">
        <w:tc>
          <w:tcPr>
            <w:tcW w:w="1548" w:type="dxa"/>
            <w:vAlign w:val="center"/>
          </w:tcPr>
          <w:p w:rsidR="00B13397" w:rsidRPr="00F25CA7" w:rsidRDefault="00B13397" w:rsidP="00F25CA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C2</w:t>
            </w:r>
          </w:p>
        </w:tc>
        <w:tc>
          <w:tcPr>
            <w:tcW w:w="2970" w:type="dxa"/>
            <w:vAlign w:val="center"/>
          </w:tcPr>
          <w:p w:rsidR="00B13397" w:rsidRPr="00F25CA7" w:rsidRDefault="00B13397" w:rsidP="00510171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Employment</w:t>
            </w:r>
          </w:p>
        </w:tc>
        <w:tc>
          <w:tcPr>
            <w:tcW w:w="2610" w:type="dxa"/>
          </w:tcPr>
          <w:p w:rsidR="00B13397" w:rsidRDefault="00B13397">
            <w:r w:rsidRPr="00CC5F16">
              <w:rPr>
                <w:rFonts w:ascii="Garamond" w:hAnsi="Garamond"/>
                <w:sz w:val="20"/>
                <w:szCs w:val="20"/>
              </w:rPr>
              <w:t>Driving attitudes &amp; behavior &amp; countermeasures receptivity often varies by demographics</w:t>
            </w:r>
          </w:p>
        </w:tc>
        <w:tc>
          <w:tcPr>
            <w:tcW w:w="2520" w:type="dxa"/>
          </w:tcPr>
          <w:p w:rsidR="00B13397" w:rsidRDefault="00B13397">
            <w:r w:rsidRPr="00402A04">
              <w:rPr>
                <w:rFonts w:ascii="Garamond" w:hAnsi="Garamond"/>
                <w:sz w:val="20"/>
                <w:szCs w:val="20"/>
              </w:rPr>
              <w:t xml:space="preserve">Important information for developing appropriate countermeasures &amp; education campaigns </w:t>
            </w:r>
          </w:p>
        </w:tc>
      </w:tr>
      <w:tr w:rsidR="00B13397" w:rsidTr="00640FF1">
        <w:tc>
          <w:tcPr>
            <w:tcW w:w="1548" w:type="dxa"/>
            <w:vAlign w:val="center"/>
          </w:tcPr>
          <w:p w:rsidR="00B13397" w:rsidRPr="00F25CA7" w:rsidRDefault="00B13397" w:rsidP="00F25CA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C3</w:t>
            </w:r>
          </w:p>
        </w:tc>
        <w:tc>
          <w:tcPr>
            <w:tcW w:w="2970" w:type="dxa"/>
            <w:vAlign w:val="center"/>
          </w:tcPr>
          <w:p w:rsidR="00B13397" w:rsidRPr="00F25CA7" w:rsidRDefault="00B13397" w:rsidP="00510171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Education</w:t>
            </w:r>
          </w:p>
        </w:tc>
        <w:tc>
          <w:tcPr>
            <w:tcW w:w="2610" w:type="dxa"/>
          </w:tcPr>
          <w:p w:rsidR="00B13397" w:rsidRDefault="00B13397">
            <w:r w:rsidRPr="00CC5F16">
              <w:rPr>
                <w:rFonts w:ascii="Garamond" w:hAnsi="Garamond"/>
                <w:sz w:val="20"/>
                <w:szCs w:val="20"/>
              </w:rPr>
              <w:t>Driving attitudes &amp; behavior &amp; countermeasures receptivity often varies by demographics</w:t>
            </w:r>
          </w:p>
        </w:tc>
        <w:tc>
          <w:tcPr>
            <w:tcW w:w="2520" w:type="dxa"/>
          </w:tcPr>
          <w:p w:rsidR="00B13397" w:rsidRDefault="00B13397">
            <w:r w:rsidRPr="00402A04">
              <w:rPr>
                <w:rFonts w:ascii="Garamond" w:hAnsi="Garamond"/>
                <w:sz w:val="20"/>
                <w:szCs w:val="20"/>
              </w:rPr>
              <w:t xml:space="preserve">Important information for developing appropriate countermeasures &amp; education campaigns </w:t>
            </w:r>
          </w:p>
        </w:tc>
      </w:tr>
      <w:tr w:rsidR="00B13397" w:rsidTr="00640FF1">
        <w:tc>
          <w:tcPr>
            <w:tcW w:w="1548" w:type="dxa"/>
            <w:vAlign w:val="center"/>
          </w:tcPr>
          <w:p w:rsidR="00B13397" w:rsidRPr="00F25CA7" w:rsidRDefault="00B13397" w:rsidP="00F25CA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C4</w:t>
            </w:r>
          </w:p>
        </w:tc>
        <w:tc>
          <w:tcPr>
            <w:tcW w:w="2970" w:type="dxa"/>
            <w:vAlign w:val="center"/>
          </w:tcPr>
          <w:p w:rsidR="00B13397" w:rsidRPr="00F25CA7" w:rsidRDefault="00B13397" w:rsidP="00510171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Marital Status</w:t>
            </w:r>
          </w:p>
        </w:tc>
        <w:tc>
          <w:tcPr>
            <w:tcW w:w="2610" w:type="dxa"/>
          </w:tcPr>
          <w:p w:rsidR="00B13397" w:rsidRDefault="00B13397">
            <w:r w:rsidRPr="00CC5F16">
              <w:rPr>
                <w:rFonts w:ascii="Garamond" w:hAnsi="Garamond"/>
                <w:sz w:val="20"/>
                <w:szCs w:val="20"/>
              </w:rPr>
              <w:t>Driving attitudes &amp; behavior &amp; countermeasures receptivity often varies by demographics</w:t>
            </w:r>
          </w:p>
        </w:tc>
        <w:tc>
          <w:tcPr>
            <w:tcW w:w="2520" w:type="dxa"/>
          </w:tcPr>
          <w:p w:rsidR="00B13397" w:rsidRDefault="00B13397">
            <w:r w:rsidRPr="00402A04">
              <w:rPr>
                <w:rFonts w:ascii="Garamond" w:hAnsi="Garamond"/>
                <w:sz w:val="20"/>
                <w:szCs w:val="20"/>
              </w:rPr>
              <w:t xml:space="preserve">Important information for developing appropriate countermeasures &amp; education campaigns </w:t>
            </w:r>
          </w:p>
        </w:tc>
      </w:tr>
      <w:tr w:rsidR="00B13397" w:rsidTr="00640FF1">
        <w:tc>
          <w:tcPr>
            <w:tcW w:w="1548" w:type="dxa"/>
            <w:vAlign w:val="center"/>
          </w:tcPr>
          <w:p w:rsidR="00B13397" w:rsidRPr="00F25CA7" w:rsidRDefault="00B13397" w:rsidP="00F25CA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C5</w:t>
            </w:r>
          </w:p>
        </w:tc>
        <w:tc>
          <w:tcPr>
            <w:tcW w:w="2970" w:type="dxa"/>
            <w:vAlign w:val="center"/>
          </w:tcPr>
          <w:p w:rsidR="00B13397" w:rsidRPr="00F25CA7" w:rsidRDefault="00B13397" w:rsidP="00510171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Hispanic or Latino</w:t>
            </w:r>
          </w:p>
        </w:tc>
        <w:tc>
          <w:tcPr>
            <w:tcW w:w="2610" w:type="dxa"/>
          </w:tcPr>
          <w:p w:rsidR="00B13397" w:rsidRDefault="00B13397">
            <w:r w:rsidRPr="00CC5F16">
              <w:rPr>
                <w:rFonts w:ascii="Garamond" w:hAnsi="Garamond"/>
                <w:sz w:val="20"/>
                <w:szCs w:val="20"/>
              </w:rPr>
              <w:t>Driving attitudes &amp; behavior &amp; countermeasures receptivity often varies by demographics</w:t>
            </w:r>
          </w:p>
        </w:tc>
        <w:tc>
          <w:tcPr>
            <w:tcW w:w="2520" w:type="dxa"/>
          </w:tcPr>
          <w:p w:rsidR="00B13397" w:rsidRDefault="00B13397">
            <w:pPr>
              <w:rPr>
                <w:rFonts w:ascii="Garamond" w:hAnsi="Garamond"/>
                <w:sz w:val="20"/>
                <w:szCs w:val="20"/>
              </w:rPr>
            </w:pPr>
            <w:r w:rsidRPr="00402A04">
              <w:rPr>
                <w:rFonts w:ascii="Garamond" w:hAnsi="Garamond"/>
                <w:sz w:val="20"/>
                <w:szCs w:val="20"/>
              </w:rPr>
              <w:t xml:space="preserve">Important information for developing appropriate countermeasures &amp; education campaigns </w:t>
            </w:r>
          </w:p>
          <w:p w:rsidR="00906AC6" w:rsidRDefault="00906AC6"/>
        </w:tc>
      </w:tr>
      <w:tr w:rsidR="00B13397" w:rsidTr="00640FF1">
        <w:tc>
          <w:tcPr>
            <w:tcW w:w="1548" w:type="dxa"/>
            <w:vAlign w:val="center"/>
          </w:tcPr>
          <w:p w:rsidR="00B13397" w:rsidRPr="00F25CA7" w:rsidRDefault="00B13397" w:rsidP="00F25CA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lastRenderedPageBreak/>
              <w:t>C6</w:t>
            </w:r>
          </w:p>
        </w:tc>
        <w:tc>
          <w:tcPr>
            <w:tcW w:w="2970" w:type="dxa"/>
            <w:vAlign w:val="center"/>
          </w:tcPr>
          <w:p w:rsidR="00B13397" w:rsidRPr="00F25CA7" w:rsidRDefault="00B13397" w:rsidP="00510171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Race</w:t>
            </w:r>
          </w:p>
        </w:tc>
        <w:tc>
          <w:tcPr>
            <w:tcW w:w="2610" w:type="dxa"/>
          </w:tcPr>
          <w:p w:rsidR="00B13397" w:rsidRDefault="00B13397">
            <w:r w:rsidRPr="00CC5F16">
              <w:rPr>
                <w:rFonts w:ascii="Garamond" w:hAnsi="Garamond"/>
                <w:sz w:val="20"/>
                <w:szCs w:val="20"/>
              </w:rPr>
              <w:t>Driving attitudes &amp; behavior &amp; countermeasures receptivity often varies by demographics</w:t>
            </w:r>
          </w:p>
        </w:tc>
        <w:tc>
          <w:tcPr>
            <w:tcW w:w="2520" w:type="dxa"/>
          </w:tcPr>
          <w:p w:rsidR="00B13397" w:rsidRDefault="00B13397">
            <w:r w:rsidRPr="00402A04">
              <w:rPr>
                <w:rFonts w:ascii="Garamond" w:hAnsi="Garamond"/>
                <w:sz w:val="20"/>
                <w:szCs w:val="20"/>
              </w:rPr>
              <w:t xml:space="preserve">Important information for developing appropriate countermeasures &amp; education campaigns </w:t>
            </w:r>
          </w:p>
        </w:tc>
      </w:tr>
      <w:tr w:rsidR="00B13397" w:rsidTr="00640FF1">
        <w:tc>
          <w:tcPr>
            <w:tcW w:w="1548" w:type="dxa"/>
            <w:vAlign w:val="center"/>
          </w:tcPr>
          <w:p w:rsidR="00B13397" w:rsidRPr="00F25CA7" w:rsidRDefault="00B13397" w:rsidP="00F25CA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C7</w:t>
            </w:r>
          </w:p>
        </w:tc>
        <w:tc>
          <w:tcPr>
            <w:tcW w:w="2970" w:type="dxa"/>
            <w:vAlign w:val="center"/>
          </w:tcPr>
          <w:p w:rsidR="00B13397" w:rsidRPr="00F25CA7" w:rsidRDefault="00B13397" w:rsidP="00510171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Gender</w:t>
            </w:r>
          </w:p>
        </w:tc>
        <w:tc>
          <w:tcPr>
            <w:tcW w:w="2610" w:type="dxa"/>
          </w:tcPr>
          <w:p w:rsidR="00B13397" w:rsidRDefault="00B13397">
            <w:r w:rsidRPr="00CC5F16">
              <w:rPr>
                <w:rFonts w:ascii="Garamond" w:hAnsi="Garamond"/>
                <w:sz w:val="20"/>
                <w:szCs w:val="20"/>
              </w:rPr>
              <w:t>Driving attitudes &amp; behavior &amp; countermeasures receptivity often varies by demographics</w:t>
            </w:r>
          </w:p>
        </w:tc>
        <w:tc>
          <w:tcPr>
            <w:tcW w:w="2520" w:type="dxa"/>
          </w:tcPr>
          <w:p w:rsidR="00B13397" w:rsidRDefault="00B13397">
            <w:r w:rsidRPr="00402A04">
              <w:rPr>
                <w:rFonts w:ascii="Garamond" w:hAnsi="Garamond"/>
                <w:sz w:val="20"/>
                <w:szCs w:val="20"/>
              </w:rPr>
              <w:t xml:space="preserve">Important information for developing appropriate countermeasures &amp; education campaigns </w:t>
            </w:r>
          </w:p>
        </w:tc>
      </w:tr>
      <w:tr w:rsidR="00B13397" w:rsidTr="00640FF1">
        <w:tc>
          <w:tcPr>
            <w:tcW w:w="1548" w:type="dxa"/>
            <w:vAlign w:val="center"/>
          </w:tcPr>
          <w:p w:rsidR="00B13397" w:rsidRPr="00F25CA7" w:rsidRDefault="00B13397" w:rsidP="00F25CA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C8</w:t>
            </w:r>
          </w:p>
        </w:tc>
        <w:tc>
          <w:tcPr>
            <w:tcW w:w="2970" w:type="dxa"/>
            <w:vAlign w:val="center"/>
          </w:tcPr>
          <w:p w:rsidR="00B13397" w:rsidRPr="00F25CA7" w:rsidRDefault="00B13397" w:rsidP="00510171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Number of people living in household</w:t>
            </w:r>
          </w:p>
        </w:tc>
        <w:tc>
          <w:tcPr>
            <w:tcW w:w="2610" w:type="dxa"/>
          </w:tcPr>
          <w:p w:rsidR="00B13397" w:rsidRDefault="00B13397">
            <w:r w:rsidRPr="00CF469E">
              <w:rPr>
                <w:rFonts w:ascii="Garamond" w:hAnsi="Garamond"/>
                <w:sz w:val="20"/>
                <w:szCs w:val="20"/>
              </w:rPr>
              <w:t>Driving attitudes &amp; behavior &amp; countermeasures receptivity often varies by demographics</w:t>
            </w:r>
          </w:p>
        </w:tc>
        <w:tc>
          <w:tcPr>
            <w:tcW w:w="2520" w:type="dxa"/>
          </w:tcPr>
          <w:p w:rsidR="00B13397" w:rsidRDefault="00B13397">
            <w:r w:rsidRPr="00402A04">
              <w:rPr>
                <w:rFonts w:ascii="Garamond" w:hAnsi="Garamond"/>
                <w:sz w:val="20"/>
                <w:szCs w:val="20"/>
              </w:rPr>
              <w:t xml:space="preserve">Important information for developing appropriate countermeasures &amp; education campaigns </w:t>
            </w:r>
          </w:p>
        </w:tc>
      </w:tr>
      <w:tr w:rsidR="00B13397" w:rsidTr="00640FF1">
        <w:tc>
          <w:tcPr>
            <w:tcW w:w="1548" w:type="dxa"/>
            <w:vAlign w:val="center"/>
          </w:tcPr>
          <w:p w:rsidR="00B13397" w:rsidRPr="00F25CA7" w:rsidRDefault="00B13397" w:rsidP="00F25CA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C9</w:t>
            </w:r>
          </w:p>
        </w:tc>
        <w:tc>
          <w:tcPr>
            <w:tcW w:w="2970" w:type="dxa"/>
            <w:vAlign w:val="center"/>
          </w:tcPr>
          <w:p w:rsidR="00B13397" w:rsidRPr="00F25CA7" w:rsidRDefault="00B13397" w:rsidP="00510171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Number of people living in household under age 16</w:t>
            </w:r>
          </w:p>
        </w:tc>
        <w:tc>
          <w:tcPr>
            <w:tcW w:w="2610" w:type="dxa"/>
          </w:tcPr>
          <w:p w:rsidR="00B13397" w:rsidRDefault="00B13397">
            <w:r w:rsidRPr="00CF469E">
              <w:rPr>
                <w:rFonts w:ascii="Garamond" w:hAnsi="Garamond"/>
                <w:sz w:val="20"/>
                <w:szCs w:val="20"/>
              </w:rPr>
              <w:t>Driving attitudes &amp; behavior &amp; countermeasures receptivity often varies by demographics</w:t>
            </w:r>
          </w:p>
        </w:tc>
        <w:tc>
          <w:tcPr>
            <w:tcW w:w="2520" w:type="dxa"/>
          </w:tcPr>
          <w:p w:rsidR="00B13397" w:rsidRDefault="00B13397">
            <w:r w:rsidRPr="00402A04">
              <w:rPr>
                <w:rFonts w:ascii="Garamond" w:hAnsi="Garamond"/>
                <w:sz w:val="20"/>
                <w:szCs w:val="20"/>
              </w:rPr>
              <w:t xml:space="preserve">Important information for developing appropriate countermeasures &amp; education campaigns </w:t>
            </w:r>
          </w:p>
        </w:tc>
      </w:tr>
      <w:tr w:rsidR="00B13397" w:rsidTr="00640FF1">
        <w:tc>
          <w:tcPr>
            <w:tcW w:w="1548" w:type="dxa"/>
            <w:vAlign w:val="center"/>
          </w:tcPr>
          <w:p w:rsidR="00B13397" w:rsidRPr="00F25CA7" w:rsidRDefault="00B13397" w:rsidP="00F25CA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C10</w:t>
            </w:r>
          </w:p>
        </w:tc>
        <w:tc>
          <w:tcPr>
            <w:tcW w:w="2970" w:type="dxa"/>
            <w:vAlign w:val="center"/>
          </w:tcPr>
          <w:p w:rsidR="00B13397" w:rsidRPr="00F25CA7" w:rsidRDefault="00B13397" w:rsidP="00510171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Rent or own home</w:t>
            </w:r>
          </w:p>
        </w:tc>
        <w:tc>
          <w:tcPr>
            <w:tcW w:w="2610" w:type="dxa"/>
          </w:tcPr>
          <w:p w:rsidR="00B13397" w:rsidRDefault="00B13397">
            <w:r w:rsidRPr="00CF469E">
              <w:rPr>
                <w:rFonts w:ascii="Garamond" w:hAnsi="Garamond"/>
                <w:sz w:val="20"/>
                <w:szCs w:val="20"/>
              </w:rPr>
              <w:t>Driving attitudes &amp; behavior &amp; countermeasures receptivity often varies by demographics</w:t>
            </w:r>
          </w:p>
        </w:tc>
        <w:tc>
          <w:tcPr>
            <w:tcW w:w="2520" w:type="dxa"/>
          </w:tcPr>
          <w:p w:rsidR="00B13397" w:rsidRDefault="00B13397">
            <w:r w:rsidRPr="00402A04">
              <w:rPr>
                <w:rFonts w:ascii="Garamond" w:hAnsi="Garamond"/>
                <w:sz w:val="20"/>
                <w:szCs w:val="20"/>
              </w:rPr>
              <w:t xml:space="preserve">Important information for developing appropriate countermeasures &amp; education campaigns </w:t>
            </w:r>
          </w:p>
        </w:tc>
      </w:tr>
      <w:tr w:rsidR="00B13397" w:rsidTr="00640FF1">
        <w:tc>
          <w:tcPr>
            <w:tcW w:w="1548" w:type="dxa"/>
            <w:vAlign w:val="center"/>
          </w:tcPr>
          <w:p w:rsidR="00B13397" w:rsidRPr="00F25CA7" w:rsidRDefault="00B13397" w:rsidP="00F25CA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C11</w:t>
            </w:r>
          </w:p>
        </w:tc>
        <w:tc>
          <w:tcPr>
            <w:tcW w:w="2970" w:type="dxa"/>
            <w:vAlign w:val="center"/>
          </w:tcPr>
          <w:p w:rsidR="00B13397" w:rsidRPr="00F25CA7" w:rsidRDefault="00B13397" w:rsidP="00510171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Household income</w:t>
            </w:r>
          </w:p>
        </w:tc>
        <w:tc>
          <w:tcPr>
            <w:tcW w:w="2610" w:type="dxa"/>
          </w:tcPr>
          <w:p w:rsidR="00B13397" w:rsidRDefault="00B13397">
            <w:r w:rsidRPr="00CF469E">
              <w:rPr>
                <w:rFonts w:ascii="Garamond" w:hAnsi="Garamond"/>
                <w:sz w:val="20"/>
                <w:szCs w:val="20"/>
              </w:rPr>
              <w:t>Driving attitudes &amp; behavior &amp; countermeasures receptivity often varies by demographics</w:t>
            </w:r>
          </w:p>
        </w:tc>
        <w:tc>
          <w:tcPr>
            <w:tcW w:w="2520" w:type="dxa"/>
          </w:tcPr>
          <w:p w:rsidR="00B13397" w:rsidRDefault="00B13397">
            <w:r w:rsidRPr="00402A04">
              <w:rPr>
                <w:rFonts w:ascii="Garamond" w:hAnsi="Garamond"/>
                <w:sz w:val="20"/>
                <w:szCs w:val="20"/>
              </w:rPr>
              <w:t xml:space="preserve">Important information for developing appropriate countermeasures &amp; education campaigns </w:t>
            </w:r>
          </w:p>
        </w:tc>
      </w:tr>
      <w:tr w:rsidR="007B7DB8" w:rsidTr="00F65F82">
        <w:tc>
          <w:tcPr>
            <w:tcW w:w="1548" w:type="dxa"/>
            <w:vAlign w:val="center"/>
          </w:tcPr>
          <w:p w:rsidR="007B7DB8" w:rsidRPr="00F25CA7" w:rsidRDefault="00FC3D41" w:rsidP="00F25CA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C12</w:t>
            </w:r>
          </w:p>
        </w:tc>
        <w:tc>
          <w:tcPr>
            <w:tcW w:w="2970" w:type="dxa"/>
            <w:vAlign w:val="center"/>
          </w:tcPr>
          <w:p w:rsidR="007B7DB8" w:rsidRPr="00F25CA7" w:rsidRDefault="0018469C" w:rsidP="00510171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Zip code</w:t>
            </w:r>
          </w:p>
        </w:tc>
        <w:tc>
          <w:tcPr>
            <w:tcW w:w="2610" w:type="dxa"/>
            <w:vAlign w:val="center"/>
          </w:tcPr>
          <w:p w:rsidR="007B7DB8" w:rsidRPr="00F25CA7" w:rsidRDefault="00B13397" w:rsidP="00B13397">
            <w:pPr>
              <w:rPr>
                <w:rFonts w:ascii="Garamond" w:hAnsi="Garamond"/>
                <w:sz w:val="20"/>
                <w:szCs w:val="20"/>
              </w:rPr>
            </w:pPr>
            <w:r w:rsidRPr="00CF469E">
              <w:rPr>
                <w:rFonts w:ascii="Garamond" w:hAnsi="Garamond"/>
                <w:sz w:val="20"/>
                <w:szCs w:val="20"/>
              </w:rPr>
              <w:t xml:space="preserve">Driving attitudes &amp; behavior &amp; countermeasures receptivity often varies by </w:t>
            </w:r>
            <w:r>
              <w:rPr>
                <w:rFonts w:ascii="Garamond" w:hAnsi="Garamond"/>
                <w:sz w:val="20"/>
                <w:szCs w:val="20"/>
              </w:rPr>
              <w:t>location; can compare across geography (mountains, flat, etc.)</w:t>
            </w:r>
          </w:p>
        </w:tc>
        <w:tc>
          <w:tcPr>
            <w:tcW w:w="2520" w:type="dxa"/>
            <w:vAlign w:val="center"/>
          </w:tcPr>
          <w:p w:rsidR="007B7DB8" w:rsidRPr="00F25CA7" w:rsidRDefault="00B13397" w:rsidP="00510171">
            <w:pPr>
              <w:rPr>
                <w:rFonts w:ascii="Garamond" w:hAnsi="Garamond"/>
                <w:sz w:val="20"/>
                <w:szCs w:val="20"/>
              </w:rPr>
            </w:pPr>
            <w:r w:rsidRPr="00402A04">
              <w:rPr>
                <w:rFonts w:ascii="Garamond" w:hAnsi="Garamond"/>
                <w:sz w:val="20"/>
                <w:szCs w:val="20"/>
              </w:rPr>
              <w:t>Important information for developing appropriate countermeasures</w:t>
            </w:r>
            <w:r>
              <w:rPr>
                <w:rFonts w:ascii="Garamond" w:hAnsi="Garamond"/>
                <w:sz w:val="20"/>
                <w:szCs w:val="20"/>
              </w:rPr>
              <w:t>; Examine geographical differences; match with driver records to confirm respondent location</w:t>
            </w:r>
          </w:p>
        </w:tc>
      </w:tr>
      <w:tr w:rsidR="00FC3D41" w:rsidTr="00F65F82">
        <w:tc>
          <w:tcPr>
            <w:tcW w:w="1548" w:type="dxa"/>
            <w:vAlign w:val="center"/>
          </w:tcPr>
          <w:p w:rsidR="00FC3D41" w:rsidRPr="00F25CA7" w:rsidRDefault="00FC3D41" w:rsidP="00F25CA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C13</w:t>
            </w:r>
          </w:p>
        </w:tc>
        <w:tc>
          <w:tcPr>
            <w:tcW w:w="2970" w:type="dxa"/>
            <w:vAlign w:val="center"/>
          </w:tcPr>
          <w:p w:rsidR="00FC3D41" w:rsidRPr="00F25CA7" w:rsidRDefault="0018469C" w:rsidP="00510171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Rural, urban, suburban</w:t>
            </w:r>
          </w:p>
        </w:tc>
        <w:tc>
          <w:tcPr>
            <w:tcW w:w="2610" w:type="dxa"/>
            <w:vAlign w:val="center"/>
          </w:tcPr>
          <w:p w:rsidR="00FC3D41" w:rsidRPr="00F25CA7" w:rsidRDefault="00B13397" w:rsidP="00510171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Driving attitudes &amp; behavior &amp; countermeasures receptivity often varies by demographics</w:t>
            </w:r>
          </w:p>
        </w:tc>
        <w:tc>
          <w:tcPr>
            <w:tcW w:w="2520" w:type="dxa"/>
            <w:vAlign w:val="center"/>
          </w:tcPr>
          <w:p w:rsidR="00FC3D41" w:rsidRPr="00F25CA7" w:rsidRDefault="00B13397" w:rsidP="00510171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Important information for developing appropriate countermeasures &amp; education campaigns</w:t>
            </w:r>
          </w:p>
        </w:tc>
      </w:tr>
      <w:tr w:rsidR="00FC3D41" w:rsidTr="00F65F82">
        <w:tc>
          <w:tcPr>
            <w:tcW w:w="1548" w:type="dxa"/>
            <w:vAlign w:val="center"/>
          </w:tcPr>
          <w:p w:rsidR="00FC3D41" w:rsidRPr="00F25CA7" w:rsidRDefault="00FC3D41" w:rsidP="00F25CA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C14</w:t>
            </w:r>
          </w:p>
        </w:tc>
        <w:tc>
          <w:tcPr>
            <w:tcW w:w="2970" w:type="dxa"/>
            <w:vAlign w:val="center"/>
          </w:tcPr>
          <w:p w:rsidR="00FC3D41" w:rsidRPr="0018469C" w:rsidRDefault="0018469C" w:rsidP="00510171">
            <w:pPr>
              <w:rPr>
                <w:rFonts w:ascii="Garamond" w:hAnsi="Garamond"/>
                <w:sz w:val="20"/>
                <w:szCs w:val="20"/>
              </w:rPr>
            </w:pPr>
            <w:r w:rsidRPr="0018469C">
              <w:rPr>
                <w:rFonts w:ascii="Garamond" w:hAnsi="Garamond" w:cs="Arial"/>
                <w:sz w:val="20"/>
                <w:szCs w:val="20"/>
              </w:rPr>
              <w:t>What do you think is the best way to reduce speeding on Idaho roads?</w:t>
            </w:r>
          </w:p>
        </w:tc>
        <w:tc>
          <w:tcPr>
            <w:tcW w:w="2610" w:type="dxa"/>
            <w:vAlign w:val="center"/>
          </w:tcPr>
          <w:p w:rsidR="00FC3D41" w:rsidRPr="00F25CA7" w:rsidRDefault="0010651F" w:rsidP="0010651F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Open question to invite public input and cover anything on speeding otherwise missed in survey</w:t>
            </w:r>
          </w:p>
        </w:tc>
        <w:tc>
          <w:tcPr>
            <w:tcW w:w="2520" w:type="dxa"/>
            <w:vAlign w:val="center"/>
          </w:tcPr>
          <w:p w:rsidR="00FC3D41" w:rsidRPr="00F25CA7" w:rsidRDefault="0010651F" w:rsidP="00510171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Cover anything on speeding otherwise missed in survey</w:t>
            </w:r>
          </w:p>
        </w:tc>
      </w:tr>
      <w:tr w:rsidR="00FC3D41" w:rsidTr="00F65F82">
        <w:tc>
          <w:tcPr>
            <w:tcW w:w="1548" w:type="dxa"/>
            <w:vAlign w:val="center"/>
          </w:tcPr>
          <w:p w:rsidR="00FC3D41" w:rsidRPr="00F25CA7" w:rsidRDefault="00FC3D41" w:rsidP="00F25CA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C15</w:t>
            </w:r>
          </w:p>
        </w:tc>
        <w:tc>
          <w:tcPr>
            <w:tcW w:w="2970" w:type="dxa"/>
            <w:vAlign w:val="center"/>
          </w:tcPr>
          <w:p w:rsidR="00FC3D41" w:rsidRPr="0018469C" w:rsidRDefault="0018469C" w:rsidP="00510171">
            <w:pPr>
              <w:rPr>
                <w:rFonts w:ascii="Garamond" w:hAnsi="Garamond"/>
                <w:sz w:val="20"/>
                <w:szCs w:val="20"/>
              </w:rPr>
            </w:pPr>
            <w:r w:rsidRPr="0018469C">
              <w:rPr>
                <w:rFonts w:ascii="Garamond" w:hAnsi="Garamond" w:cs="Arial"/>
                <w:sz w:val="20"/>
                <w:szCs w:val="20"/>
              </w:rPr>
              <w:t>Do you have any other comments you’d like to make about driving safety or this survey?</w:t>
            </w:r>
          </w:p>
        </w:tc>
        <w:tc>
          <w:tcPr>
            <w:tcW w:w="2610" w:type="dxa"/>
            <w:vAlign w:val="center"/>
          </w:tcPr>
          <w:p w:rsidR="00FC3D41" w:rsidRPr="00F25CA7" w:rsidRDefault="0010651F" w:rsidP="0010651F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Open question to invite public input and cover anything on driving safety as a whole otherwise missed in survey, as well as feedback on the survey</w:t>
            </w:r>
          </w:p>
        </w:tc>
        <w:tc>
          <w:tcPr>
            <w:tcW w:w="2520" w:type="dxa"/>
            <w:vAlign w:val="center"/>
          </w:tcPr>
          <w:p w:rsidR="00FC3D41" w:rsidRPr="00F25CA7" w:rsidRDefault="0010651F" w:rsidP="00510171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Cover anything on driving safety as a whole otherwise missed in survey;  Provide feedback on the survey</w:t>
            </w:r>
          </w:p>
        </w:tc>
      </w:tr>
      <w:tr w:rsidR="00FC3D41" w:rsidTr="00F65F82">
        <w:tc>
          <w:tcPr>
            <w:tcW w:w="9648" w:type="dxa"/>
            <w:gridSpan w:val="4"/>
            <w:vAlign w:val="center"/>
          </w:tcPr>
          <w:p w:rsidR="00FB7F86" w:rsidRDefault="00FB7F86" w:rsidP="00F25CA7">
            <w:pPr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</w:p>
          <w:p w:rsidR="00FC3D41" w:rsidRDefault="00FC3D41" w:rsidP="00F25CA7">
            <w:pPr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FC3D41">
              <w:rPr>
                <w:rFonts w:ascii="Garamond" w:hAnsi="Garamond" w:cs="Arial"/>
                <w:b/>
                <w:sz w:val="20"/>
                <w:szCs w:val="20"/>
              </w:rPr>
              <w:t>Thank you for your participation in this survey</w:t>
            </w:r>
          </w:p>
          <w:p w:rsidR="00FB7F86" w:rsidRPr="00FC3D41" w:rsidRDefault="00FB7F86" w:rsidP="00F25CA7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</w:tbl>
    <w:p w:rsidR="001A4DD1" w:rsidRDefault="001A4DD1"/>
    <w:p w:rsidR="001A4DD1" w:rsidRDefault="001A4DD1"/>
    <w:p w:rsidR="001A4DD1" w:rsidRDefault="001A4DD1"/>
    <w:sectPr w:rsidR="001A4DD1" w:rsidSect="004F742D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1A7" w:rsidRDefault="00C451A7" w:rsidP="00F24E85">
      <w:pPr>
        <w:spacing w:after="0" w:line="240" w:lineRule="auto"/>
      </w:pPr>
      <w:r>
        <w:separator/>
      </w:r>
    </w:p>
  </w:endnote>
  <w:endnote w:type="continuationSeparator" w:id="0">
    <w:p w:rsidR="00C451A7" w:rsidRDefault="00C451A7" w:rsidP="00F24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3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0732126"/>
      <w:docPartObj>
        <w:docPartGallery w:val="Page Numbers (Bottom of Page)"/>
        <w:docPartUnique/>
      </w:docPartObj>
    </w:sdtPr>
    <w:sdtEndPr/>
    <w:sdtContent>
      <w:p w:rsidR="0018469C" w:rsidRDefault="00A93EC4">
        <w:pPr>
          <w:pStyle w:val="Footer"/>
          <w:jc w:val="center"/>
        </w:pPr>
        <w:r>
          <w:t>E</w:t>
        </w:r>
        <w:r w:rsidR="0018469C">
          <w:t>-</w:t>
        </w:r>
        <w:r w:rsidR="0018469C">
          <w:fldChar w:fldCharType="begin"/>
        </w:r>
        <w:r w:rsidR="0018469C">
          <w:instrText xml:space="preserve"> PAGE   \* MERGEFORMAT </w:instrText>
        </w:r>
        <w:r w:rsidR="0018469C">
          <w:fldChar w:fldCharType="separate"/>
        </w:r>
        <w:r>
          <w:rPr>
            <w:noProof/>
          </w:rPr>
          <w:t>1</w:t>
        </w:r>
        <w:r w:rsidR="0018469C">
          <w:rPr>
            <w:noProof/>
          </w:rPr>
          <w:fldChar w:fldCharType="end"/>
        </w:r>
      </w:p>
    </w:sdtContent>
  </w:sdt>
  <w:p w:rsidR="0018469C" w:rsidRDefault="001846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1A7" w:rsidRDefault="00C451A7" w:rsidP="00F24E85">
      <w:pPr>
        <w:spacing w:after="0" w:line="240" w:lineRule="auto"/>
      </w:pPr>
      <w:r>
        <w:separator/>
      </w:r>
    </w:p>
  </w:footnote>
  <w:footnote w:type="continuationSeparator" w:id="0">
    <w:p w:rsidR="00C451A7" w:rsidRDefault="00C451A7" w:rsidP="00F24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163EB53B75744A58B70D0233C857B2C8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18469C" w:rsidRDefault="0018469C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F24E85">
          <w:rPr>
            <w:rFonts w:asciiTheme="majorHAnsi" w:eastAsiaTheme="majorEastAsia" w:hAnsiTheme="majorHAnsi" w:cstheme="majorBidi"/>
            <w:sz w:val="32"/>
            <w:szCs w:val="32"/>
          </w:rPr>
          <w:t xml:space="preserve">Attachment </w:t>
        </w:r>
        <w:r w:rsidR="00A93EC4">
          <w:rPr>
            <w:rFonts w:asciiTheme="majorHAnsi" w:eastAsiaTheme="majorEastAsia" w:hAnsiTheme="majorHAnsi" w:cstheme="majorBidi"/>
            <w:sz w:val="32"/>
            <w:szCs w:val="32"/>
          </w:rPr>
          <w:t>E</w:t>
        </w:r>
        <w:r w:rsidRPr="00F24E85">
          <w:rPr>
            <w:rFonts w:asciiTheme="majorHAnsi" w:eastAsiaTheme="majorEastAsia" w:hAnsiTheme="majorHAnsi" w:cstheme="majorBidi"/>
            <w:sz w:val="32"/>
            <w:szCs w:val="32"/>
          </w:rPr>
          <w:t xml:space="preserve"> </w:t>
        </w:r>
        <w:r w:rsidR="003A7DDC">
          <w:rPr>
            <w:rFonts w:asciiTheme="majorHAnsi" w:eastAsiaTheme="majorEastAsia" w:hAnsiTheme="majorHAnsi" w:cstheme="majorBidi"/>
            <w:sz w:val="32"/>
            <w:szCs w:val="32"/>
          </w:rPr>
          <w:t>–</w:t>
        </w:r>
        <w:r w:rsidRPr="00F24E85">
          <w:rPr>
            <w:rFonts w:asciiTheme="majorHAnsi" w:eastAsiaTheme="majorEastAsia" w:hAnsiTheme="majorHAnsi" w:cstheme="majorBidi"/>
            <w:sz w:val="32"/>
            <w:szCs w:val="32"/>
          </w:rPr>
          <w:t xml:space="preserve"> Question</w:t>
        </w:r>
        <w:r w:rsidR="003A7DDC">
          <w:rPr>
            <w:rFonts w:asciiTheme="majorHAnsi" w:eastAsiaTheme="majorEastAsia" w:hAnsiTheme="majorHAnsi" w:cstheme="majorBidi"/>
            <w:sz w:val="32"/>
            <w:szCs w:val="32"/>
          </w:rPr>
          <w:t>-by-Question</w:t>
        </w:r>
        <w:r w:rsidRPr="00F24E85">
          <w:rPr>
            <w:rFonts w:asciiTheme="majorHAnsi" w:eastAsiaTheme="majorEastAsia" w:hAnsiTheme="majorHAnsi" w:cstheme="majorBidi"/>
            <w:sz w:val="32"/>
            <w:szCs w:val="32"/>
          </w:rPr>
          <w:t xml:space="preserve">naire </w:t>
        </w:r>
        <w:r w:rsidR="003A7DDC">
          <w:rPr>
            <w:rFonts w:asciiTheme="majorHAnsi" w:eastAsiaTheme="majorEastAsia" w:hAnsiTheme="majorHAnsi" w:cstheme="majorBidi"/>
            <w:sz w:val="32"/>
            <w:szCs w:val="32"/>
          </w:rPr>
          <w:t>Justification</w:t>
        </w:r>
      </w:p>
    </w:sdtContent>
  </w:sdt>
  <w:p w:rsidR="0018469C" w:rsidRDefault="0018469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714087"/>
    <w:multiLevelType w:val="hybridMultilevel"/>
    <w:tmpl w:val="9580E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DD1"/>
    <w:rsid w:val="0003536C"/>
    <w:rsid w:val="0005569E"/>
    <w:rsid w:val="00056D77"/>
    <w:rsid w:val="0006401A"/>
    <w:rsid w:val="00074148"/>
    <w:rsid w:val="00077140"/>
    <w:rsid w:val="0008215C"/>
    <w:rsid w:val="00085C49"/>
    <w:rsid w:val="0009038E"/>
    <w:rsid w:val="000A2AE2"/>
    <w:rsid w:val="000C4ABC"/>
    <w:rsid w:val="000D0A73"/>
    <w:rsid w:val="000D15BA"/>
    <w:rsid w:val="000D7FE3"/>
    <w:rsid w:val="000E1EA0"/>
    <w:rsid w:val="000E2AC2"/>
    <w:rsid w:val="000E3C6B"/>
    <w:rsid w:val="000F12BB"/>
    <w:rsid w:val="000F3DB0"/>
    <w:rsid w:val="000F618B"/>
    <w:rsid w:val="000F6AA4"/>
    <w:rsid w:val="001007A8"/>
    <w:rsid w:val="0010651F"/>
    <w:rsid w:val="00107BAE"/>
    <w:rsid w:val="001135AF"/>
    <w:rsid w:val="00124E9F"/>
    <w:rsid w:val="00133297"/>
    <w:rsid w:val="001353EB"/>
    <w:rsid w:val="00137344"/>
    <w:rsid w:val="0015182A"/>
    <w:rsid w:val="00152BC7"/>
    <w:rsid w:val="00162673"/>
    <w:rsid w:val="0018469C"/>
    <w:rsid w:val="0018548C"/>
    <w:rsid w:val="001A2898"/>
    <w:rsid w:val="001A4DD1"/>
    <w:rsid w:val="001B1C5E"/>
    <w:rsid w:val="001B7DF5"/>
    <w:rsid w:val="001D42F2"/>
    <w:rsid w:val="001D5303"/>
    <w:rsid w:val="00221BE8"/>
    <w:rsid w:val="002241E3"/>
    <w:rsid w:val="00230C68"/>
    <w:rsid w:val="00236A48"/>
    <w:rsid w:val="00240FCC"/>
    <w:rsid w:val="00243D7B"/>
    <w:rsid w:val="00244A4F"/>
    <w:rsid w:val="002625C6"/>
    <w:rsid w:val="00264932"/>
    <w:rsid w:val="00295C23"/>
    <w:rsid w:val="002A30BA"/>
    <w:rsid w:val="002A7E82"/>
    <w:rsid w:val="002B23CF"/>
    <w:rsid w:val="002B45C7"/>
    <w:rsid w:val="002D0C49"/>
    <w:rsid w:val="002E3FA5"/>
    <w:rsid w:val="002F1119"/>
    <w:rsid w:val="00314264"/>
    <w:rsid w:val="00325A83"/>
    <w:rsid w:val="00347780"/>
    <w:rsid w:val="0037765C"/>
    <w:rsid w:val="003A7DDC"/>
    <w:rsid w:val="003D111B"/>
    <w:rsid w:val="003D2995"/>
    <w:rsid w:val="003D3E7F"/>
    <w:rsid w:val="003E3662"/>
    <w:rsid w:val="004121CE"/>
    <w:rsid w:val="004304E9"/>
    <w:rsid w:val="004446EC"/>
    <w:rsid w:val="00444EC8"/>
    <w:rsid w:val="004500B5"/>
    <w:rsid w:val="00461EA8"/>
    <w:rsid w:val="004631EE"/>
    <w:rsid w:val="00466A30"/>
    <w:rsid w:val="00474D3D"/>
    <w:rsid w:val="004834CC"/>
    <w:rsid w:val="004918A3"/>
    <w:rsid w:val="004A57FC"/>
    <w:rsid w:val="004B1DEF"/>
    <w:rsid w:val="004B354F"/>
    <w:rsid w:val="004C302D"/>
    <w:rsid w:val="004E5FF9"/>
    <w:rsid w:val="004F1190"/>
    <w:rsid w:val="004F6DE3"/>
    <w:rsid w:val="004F742D"/>
    <w:rsid w:val="00503D28"/>
    <w:rsid w:val="00510171"/>
    <w:rsid w:val="00516D2F"/>
    <w:rsid w:val="00521052"/>
    <w:rsid w:val="005217C5"/>
    <w:rsid w:val="00523289"/>
    <w:rsid w:val="00526AEF"/>
    <w:rsid w:val="005311C0"/>
    <w:rsid w:val="005618EA"/>
    <w:rsid w:val="0058112D"/>
    <w:rsid w:val="00583927"/>
    <w:rsid w:val="00591188"/>
    <w:rsid w:val="005952FF"/>
    <w:rsid w:val="00597A14"/>
    <w:rsid w:val="005A209E"/>
    <w:rsid w:val="005A3403"/>
    <w:rsid w:val="005B15F5"/>
    <w:rsid w:val="005B3E14"/>
    <w:rsid w:val="005C32B3"/>
    <w:rsid w:val="005D6CA0"/>
    <w:rsid w:val="005E009E"/>
    <w:rsid w:val="005E022E"/>
    <w:rsid w:val="005E42C8"/>
    <w:rsid w:val="00600841"/>
    <w:rsid w:val="00613B0A"/>
    <w:rsid w:val="00622124"/>
    <w:rsid w:val="00623FBB"/>
    <w:rsid w:val="006258FD"/>
    <w:rsid w:val="00627642"/>
    <w:rsid w:val="00646869"/>
    <w:rsid w:val="00660E32"/>
    <w:rsid w:val="006629C4"/>
    <w:rsid w:val="00672277"/>
    <w:rsid w:val="00672B3A"/>
    <w:rsid w:val="006A3F53"/>
    <w:rsid w:val="006F2770"/>
    <w:rsid w:val="006F2BC2"/>
    <w:rsid w:val="00730315"/>
    <w:rsid w:val="00736B52"/>
    <w:rsid w:val="007403BE"/>
    <w:rsid w:val="00751DCB"/>
    <w:rsid w:val="0075664E"/>
    <w:rsid w:val="00774382"/>
    <w:rsid w:val="007922D0"/>
    <w:rsid w:val="007B7DB8"/>
    <w:rsid w:val="007B7FF2"/>
    <w:rsid w:val="007C402B"/>
    <w:rsid w:val="007C437E"/>
    <w:rsid w:val="007D092D"/>
    <w:rsid w:val="007D5D09"/>
    <w:rsid w:val="007E7BF4"/>
    <w:rsid w:val="007F595B"/>
    <w:rsid w:val="007F7CF9"/>
    <w:rsid w:val="00807F4C"/>
    <w:rsid w:val="00812F5B"/>
    <w:rsid w:val="00821B05"/>
    <w:rsid w:val="0084644C"/>
    <w:rsid w:val="00862717"/>
    <w:rsid w:val="00874C38"/>
    <w:rsid w:val="00884DB1"/>
    <w:rsid w:val="00890094"/>
    <w:rsid w:val="008A2016"/>
    <w:rsid w:val="008D1650"/>
    <w:rsid w:val="00903F1D"/>
    <w:rsid w:val="00906AC6"/>
    <w:rsid w:val="00925D03"/>
    <w:rsid w:val="009662A8"/>
    <w:rsid w:val="009674BA"/>
    <w:rsid w:val="0097113D"/>
    <w:rsid w:val="00976829"/>
    <w:rsid w:val="009776F8"/>
    <w:rsid w:val="009A01A5"/>
    <w:rsid w:val="009A45CF"/>
    <w:rsid w:val="009B1ABD"/>
    <w:rsid w:val="009C0050"/>
    <w:rsid w:val="009D4B88"/>
    <w:rsid w:val="009D7779"/>
    <w:rsid w:val="009F0167"/>
    <w:rsid w:val="009F208A"/>
    <w:rsid w:val="009F3721"/>
    <w:rsid w:val="009F557F"/>
    <w:rsid w:val="00A02912"/>
    <w:rsid w:val="00A1606E"/>
    <w:rsid w:val="00A22333"/>
    <w:rsid w:val="00A24C09"/>
    <w:rsid w:val="00A71ABA"/>
    <w:rsid w:val="00A71F02"/>
    <w:rsid w:val="00A762C4"/>
    <w:rsid w:val="00A82F0D"/>
    <w:rsid w:val="00A92732"/>
    <w:rsid w:val="00A93EC4"/>
    <w:rsid w:val="00AA1EF8"/>
    <w:rsid w:val="00AA6633"/>
    <w:rsid w:val="00AB363C"/>
    <w:rsid w:val="00AC207C"/>
    <w:rsid w:val="00AC49D9"/>
    <w:rsid w:val="00AD5510"/>
    <w:rsid w:val="00AF6F87"/>
    <w:rsid w:val="00B014F1"/>
    <w:rsid w:val="00B1272E"/>
    <w:rsid w:val="00B13397"/>
    <w:rsid w:val="00B13854"/>
    <w:rsid w:val="00B23777"/>
    <w:rsid w:val="00B2627D"/>
    <w:rsid w:val="00B37DA7"/>
    <w:rsid w:val="00B53072"/>
    <w:rsid w:val="00B549B8"/>
    <w:rsid w:val="00B60829"/>
    <w:rsid w:val="00B82511"/>
    <w:rsid w:val="00B8434B"/>
    <w:rsid w:val="00B84E00"/>
    <w:rsid w:val="00B8580C"/>
    <w:rsid w:val="00B90ACE"/>
    <w:rsid w:val="00B94527"/>
    <w:rsid w:val="00B964BF"/>
    <w:rsid w:val="00BC386D"/>
    <w:rsid w:val="00BE7F12"/>
    <w:rsid w:val="00BF1763"/>
    <w:rsid w:val="00C17E85"/>
    <w:rsid w:val="00C2267B"/>
    <w:rsid w:val="00C31C6F"/>
    <w:rsid w:val="00C33F97"/>
    <w:rsid w:val="00C3554C"/>
    <w:rsid w:val="00C451A7"/>
    <w:rsid w:val="00C57BC0"/>
    <w:rsid w:val="00C6326E"/>
    <w:rsid w:val="00C645F1"/>
    <w:rsid w:val="00C74D13"/>
    <w:rsid w:val="00C82D2B"/>
    <w:rsid w:val="00C8700F"/>
    <w:rsid w:val="00C90484"/>
    <w:rsid w:val="00CB1E30"/>
    <w:rsid w:val="00CB2AA2"/>
    <w:rsid w:val="00CC5FBC"/>
    <w:rsid w:val="00CC6C68"/>
    <w:rsid w:val="00CD718A"/>
    <w:rsid w:val="00CD78C4"/>
    <w:rsid w:val="00CE2707"/>
    <w:rsid w:val="00CF25DD"/>
    <w:rsid w:val="00CF6B08"/>
    <w:rsid w:val="00CF743D"/>
    <w:rsid w:val="00D065B0"/>
    <w:rsid w:val="00D12597"/>
    <w:rsid w:val="00D32900"/>
    <w:rsid w:val="00D477FB"/>
    <w:rsid w:val="00D53EF1"/>
    <w:rsid w:val="00D739F1"/>
    <w:rsid w:val="00D7412C"/>
    <w:rsid w:val="00D8047E"/>
    <w:rsid w:val="00D84105"/>
    <w:rsid w:val="00D85799"/>
    <w:rsid w:val="00DA0DBD"/>
    <w:rsid w:val="00DB5AF1"/>
    <w:rsid w:val="00E10F9E"/>
    <w:rsid w:val="00E2265E"/>
    <w:rsid w:val="00E308CD"/>
    <w:rsid w:val="00E36917"/>
    <w:rsid w:val="00E56F23"/>
    <w:rsid w:val="00E627F2"/>
    <w:rsid w:val="00E73D59"/>
    <w:rsid w:val="00E770BF"/>
    <w:rsid w:val="00E800E0"/>
    <w:rsid w:val="00E95E49"/>
    <w:rsid w:val="00EC5E9A"/>
    <w:rsid w:val="00ED038F"/>
    <w:rsid w:val="00ED34A6"/>
    <w:rsid w:val="00ED44A4"/>
    <w:rsid w:val="00EE1B31"/>
    <w:rsid w:val="00F0778E"/>
    <w:rsid w:val="00F24E85"/>
    <w:rsid w:val="00F25CA7"/>
    <w:rsid w:val="00F4133C"/>
    <w:rsid w:val="00F4741C"/>
    <w:rsid w:val="00F57387"/>
    <w:rsid w:val="00F65F82"/>
    <w:rsid w:val="00F67F52"/>
    <w:rsid w:val="00F84FF7"/>
    <w:rsid w:val="00F85571"/>
    <w:rsid w:val="00F94C66"/>
    <w:rsid w:val="00FA0082"/>
    <w:rsid w:val="00FB058A"/>
    <w:rsid w:val="00FB7F86"/>
    <w:rsid w:val="00FC3D41"/>
    <w:rsid w:val="00FC3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4D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24E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4E85"/>
  </w:style>
  <w:style w:type="paragraph" w:styleId="Footer">
    <w:name w:val="footer"/>
    <w:basedOn w:val="Normal"/>
    <w:link w:val="FooterChar"/>
    <w:uiPriority w:val="99"/>
    <w:unhideWhenUsed/>
    <w:rsid w:val="00F24E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4E85"/>
  </w:style>
  <w:style w:type="paragraph" w:styleId="BalloonText">
    <w:name w:val="Balloon Text"/>
    <w:basedOn w:val="Normal"/>
    <w:link w:val="BalloonTextChar"/>
    <w:uiPriority w:val="99"/>
    <w:semiHidden/>
    <w:unhideWhenUsed/>
    <w:rsid w:val="00F24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E8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B5A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4D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24E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4E85"/>
  </w:style>
  <w:style w:type="paragraph" w:styleId="Footer">
    <w:name w:val="footer"/>
    <w:basedOn w:val="Normal"/>
    <w:link w:val="FooterChar"/>
    <w:uiPriority w:val="99"/>
    <w:unhideWhenUsed/>
    <w:rsid w:val="00F24E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4E85"/>
  </w:style>
  <w:style w:type="paragraph" w:styleId="BalloonText">
    <w:name w:val="Balloon Text"/>
    <w:basedOn w:val="Normal"/>
    <w:link w:val="BalloonTextChar"/>
    <w:uiPriority w:val="99"/>
    <w:semiHidden/>
    <w:unhideWhenUsed/>
    <w:rsid w:val="00F24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E8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B5A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63EB53B75744A58B70D0233C857B2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DB7535-5858-479A-8FFE-EC521CB6BD49}"/>
      </w:docPartPr>
      <w:docPartBody>
        <w:p w:rsidR="00523E83" w:rsidRDefault="009562F7" w:rsidP="009562F7">
          <w:pPr>
            <w:pStyle w:val="163EB53B75744A58B70D0233C857B2C8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3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562F7"/>
    <w:rsid w:val="000A508D"/>
    <w:rsid w:val="00384A1A"/>
    <w:rsid w:val="004B4667"/>
    <w:rsid w:val="00523E83"/>
    <w:rsid w:val="009562F7"/>
    <w:rsid w:val="00BD3C35"/>
    <w:rsid w:val="00C84A09"/>
    <w:rsid w:val="00DD5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E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3EB53B75744A58B70D0233C857B2C8">
    <w:name w:val="163EB53B75744A58B70D0233C857B2C8"/>
    <w:rsid w:val="009562F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1673</Words>
  <Characters>9542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F – Question-by-Questionnaire Justification</vt:lpstr>
    </vt:vector>
  </TitlesOfParts>
  <Company>DOT-COE-20090818</Company>
  <LinksUpToDate>false</LinksUpToDate>
  <CharactersWithSpaces>11193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E – Question-by-Questionnaire Justification</dc:title>
  <dc:creator>randolph.atkins</dc:creator>
  <cp:lastModifiedBy>randolph.atkins</cp:lastModifiedBy>
  <cp:revision>2</cp:revision>
  <dcterms:created xsi:type="dcterms:W3CDTF">2013-08-21T13:15:00Z</dcterms:created>
  <dcterms:modified xsi:type="dcterms:W3CDTF">2013-08-21T13:15:00Z</dcterms:modified>
</cp:coreProperties>
</file>