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B23D8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39292F" w:rsidRDefault="0039292F" w:rsidP="0039292F">
      <w:r w:rsidRPr="0039292F">
        <w:rPr>
          <w:b/>
        </w:rPr>
        <w:t xml:space="preserve">NESHAP for Metal Can Manufacturing Surface Coating (40 CFR Part 63, Subpart KKKK) </w:t>
      </w:r>
      <w:r w:rsidR="002B29A5" w:rsidRPr="0039292F">
        <w:rPr>
          <w:b/>
        </w:rPr>
        <w:t>(Renewal)</w:t>
      </w:r>
    </w:p>
    <w:p w:rsidR="00CA4CD6" w:rsidRPr="0039292F" w:rsidRDefault="00CA4CD6"/>
    <w:p w:rsidR="00CA4CD6" w:rsidRPr="0039292F" w:rsidRDefault="00CA4CD6" w:rsidP="00504745">
      <w:pPr>
        <w:outlineLvl w:val="0"/>
        <w:rPr>
          <w:b/>
          <w:bCs/>
        </w:rPr>
      </w:pPr>
      <w:r w:rsidRPr="0039292F">
        <w:rPr>
          <w:b/>
          <w:bCs/>
        </w:rPr>
        <w:t>1.  Identification of the Information Collection</w:t>
      </w:r>
    </w:p>
    <w:p w:rsidR="00CA4CD6" w:rsidRPr="0039292F" w:rsidRDefault="00CA4CD6">
      <w:pPr>
        <w:rPr>
          <w:b/>
          <w:bCs/>
        </w:rPr>
      </w:pPr>
    </w:p>
    <w:p w:rsidR="00CA4CD6" w:rsidRPr="0039292F" w:rsidRDefault="00CA4CD6">
      <w:pPr>
        <w:ind w:firstLine="720"/>
        <w:rPr>
          <w:b/>
          <w:bCs/>
        </w:rPr>
      </w:pPr>
      <w:r w:rsidRPr="0039292F">
        <w:rPr>
          <w:b/>
          <w:bCs/>
        </w:rPr>
        <w:t>1(a)  Title of the Information Collection</w:t>
      </w:r>
    </w:p>
    <w:p w:rsidR="00CA4CD6" w:rsidRPr="0039292F" w:rsidRDefault="00CA4CD6">
      <w:pPr>
        <w:rPr>
          <w:b/>
          <w:bCs/>
        </w:rPr>
      </w:pPr>
    </w:p>
    <w:p w:rsidR="00CA4CD6" w:rsidRPr="0039292F" w:rsidRDefault="0039292F" w:rsidP="002B29A5">
      <w:pPr>
        <w:rPr>
          <w:bCs/>
        </w:rPr>
      </w:pPr>
      <w:r w:rsidRPr="0039292F">
        <w:rPr>
          <w:bCs/>
        </w:rPr>
        <w:t>NESHAP for Metal Can Manufacturing Surface Coating (40 CFR Part 63, Subpart KKKK)</w:t>
      </w:r>
      <w:r w:rsidR="002B29A5" w:rsidRPr="0039292F">
        <w:rPr>
          <w:bCs/>
        </w:rPr>
        <w:t xml:space="preserve"> (Renewal), EPA ICR Number</w:t>
      </w:r>
      <w:r w:rsidRPr="0039292F">
        <w:rPr>
          <w:bCs/>
        </w:rPr>
        <w:t xml:space="preserve"> 2079.05</w:t>
      </w:r>
      <w:r w:rsidR="002B29A5" w:rsidRPr="0039292F">
        <w:rPr>
          <w:bCs/>
        </w:rPr>
        <w:t xml:space="preserve">, OMB Control Number </w:t>
      </w:r>
      <w:r w:rsidRPr="0039292F">
        <w:rPr>
          <w:bCs/>
        </w:rPr>
        <w:t>2060-0541</w:t>
      </w:r>
      <w:r w:rsidR="002B29A5" w:rsidRPr="0039292F">
        <w:rPr>
          <w:bCs/>
        </w:rPr>
        <w:t>.</w:t>
      </w:r>
    </w:p>
    <w:p w:rsidR="00CA4CD6" w:rsidRPr="0039292F" w:rsidRDefault="00CA4CD6">
      <w:pPr>
        <w:rPr>
          <w:b/>
          <w:bCs/>
        </w:rPr>
      </w:pPr>
    </w:p>
    <w:p w:rsidR="00CA4CD6" w:rsidRPr="0039292F" w:rsidRDefault="00CA4CD6">
      <w:pPr>
        <w:ind w:firstLine="720"/>
      </w:pPr>
      <w:r w:rsidRPr="0039292F">
        <w:rPr>
          <w:b/>
          <w:bCs/>
        </w:rPr>
        <w:t>1(b)  Short Characterization/Abstract</w:t>
      </w:r>
    </w:p>
    <w:p w:rsidR="00CA4CD6" w:rsidRPr="0039292F" w:rsidRDefault="00CA4CD6"/>
    <w:p w:rsidR="00CA4CD6" w:rsidRPr="0039292F" w:rsidRDefault="00CA4CD6">
      <w:pPr>
        <w:ind w:firstLine="720"/>
      </w:pPr>
      <w:r w:rsidRPr="00D36776">
        <w:t>The National Emission Standards for Hazardous Air Pollutants (NESHAP)</w:t>
      </w:r>
      <w:r w:rsidR="0039292F" w:rsidRPr="00D36776">
        <w:t xml:space="preserve"> </w:t>
      </w:r>
      <w:r w:rsidRPr="00D36776">
        <w:t xml:space="preserve">for </w:t>
      </w:r>
      <w:r w:rsidR="00241120">
        <w:t>Metal Can Manufacturing Surface Coating</w:t>
      </w:r>
      <w:r w:rsidR="0039292F">
        <w:rPr>
          <w:color w:val="000000"/>
        </w:rPr>
        <w:t xml:space="preserve"> </w:t>
      </w:r>
      <w:r>
        <w:rPr>
          <w:color w:val="000000"/>
        </w:rPr>
        <w:t>were proposed on</w:t>
      </w:r>
      <w:r w:rsidR="008B674F">
        <w:rPr>
          <w:color w:val="000000"/>
        </w:rPr>
        <w:t xml:space="preserve"> </w:t>
      </w:r>
      <w:r w:rsidR="008B674F" w:rsidRPr="008B674F">
        <w:rPr>
          <w:color w:val="000000"/>
        </w:rPr>
        <w:t>January 15, 2003</w:t>
      </w:r>
      <w:r>
        <w:rPr>
          <w:color w:val="000000"/>
        </w:rPr>
        <w:t>, and promulgated on</w:t>
      </w:r>
      <w:r w:rsidR="008B674F">
        <w:rPr>
          <w:color w:val="000000"/>
        </w:rPr>
        <w:t xml:space="preserve"> </w:t>
      </w:r>
      <w:r w:rsidR="008B674F" w:rsidRPr="008B674F">
        <w:rPr>
          <w:color w:val="000000"/>
        </w:rPr>
        <w:t>November 13, 2003</w:t>
      </w:r>
      <w:r>
        <w:rPr>
          <w:color w:val="000000"/>
        </w:rPr>
        <w:t xml:space="preserve">.  These regulations apply </w:t>
      </w:r>
      <w:r w:rsidR="00724BC7">
        <w:rPr>
          <w:color w:val="000000"/>
        </w:rPr>
        <w:t xml:space="preserve">to </w:t>
      </w:r>
      <w:r w:rsidR="00241120">
        <w:rPr>
          <w:color w:val="000000"/>
        </w:rPr>
        <w:t>existing and new facilities in this source category that use 5,700 liters (1,500 gallons) per year or more of coatings and that is a major source of hazardous air pollutant (HAP)</w:t>
      </w:r>
      <w:r w:rsidR="008B674F">
        <w:rPr>
          <w:color w:val="000000"/>
        </w:rPr>
        <w:t xml:space="preserve">.  </w:t>
      </w:r>
      <w:r w:rsidR="00241120">
        <w:rPr>
          <w:color w:val="000000"/>
        </w:rPr>
        <w:t>The m</w:t>
      </w:r>
      <w:r w:rsidR="008B674F">
        <w:rPr>
          <w:color w:val="000000"/>
        </w:rPr>
        <w:t xml:space="preserve">etal can surface coating </w:t>
      </w:r>
      <w:r w:rsidR="00241120">
        <w:rPr>
          <w:color w:val="000000"/>
        </w:rPr>
        <w:t>source category</w:t>
      </w:r>
      <w:r w:rsidR="008B674F">
        <w:rPr>
          <w:color w:val="000000"/>
        </w:rPr>
        <w:t xml:space="preserve"> include</w:t>
      </w:r>
      <w:r w:rsidR="00241120">
        <w:rPr>
          <w:color w:val="000000"/>
        </w:rPr>
        <w:t>s</w:t>
      </w:r>
      <w:r w:rsidR="008B674F">
        <w:rPr>
          <w:color w:val="000000"/>
        </w:rPr>
        <w:t xml:space="preserve"> </w:t>
      </w:r>
      <w:r w:rsidR="008B674F" w:rsidRPr="008B674F">
        <w:rPr>
          <w:color w:val="000000"/>
        </w:rPr>
        <w:t>any facilities that coat or print metal cans or metal can parts (e.g., metal ends for composite cans).  The source category also includes the coating/printing of metal decorative tins, crowns, and closures, except for coil coating.  Regulated activities include the coating/printing of metal sheets for subsequent processing into cans or can parts, but not the coating of metal coils for cans or can parts.</w:t>
      </w:r>
      <w:r w:rsidR="008B674F">
        <w:rPr>
          <w:color w:val="000000"/>
        </w:rPr>
        <w:t xml:space="preserve">  </w:t>
      </w:r>
      <w:r w:rsidR="00241120">
        <w:rPr>
          <w:color w:val="000000"/>
        </w:rPr>
        <w:t xml:space="preserve">New facilities include those that commenced construction or reconstruction after the date of proposal.  </w:t>
      </w:r>
      <w:r w:rsidRPr="0039292F">
        <w:t xml:space="preserve">This information is being collected to assure compliance with 40 CFR part </w:t>
      </w:r>
      <w:r w:rsidR="008B674F">
        <w:t>63</w:t>
      </w:r>
      <w:r w:rsidRPr="0039292F">
        <w:t xml:space="preserve">, subpart </w:t>
      </w:r>
      <w:r w:rsidR="008B674F">
        <w:t>KKKK</w:t>
      </w:r>
      <w:r w:rsidRPr="0039292F">
        <w:t>.</w:t>
      </w:r>
    </w:p>
    <w:p w:rsidR="00CA4CD6" w:rsidRPr="0039292F" w:rsidRDefault="00CA4CD6"/>
    <w:p w:rsidR="00CA4CD6" w:rsidRPr="0039292F" w:rsidRDefault="00CA4CD6">
      <w:pPr>
        <w:ind w:firstLine="720"/>
      </w:pPr>
      <w:r w:rsidRPr="0039292F">
        <w:t>In general, all</w:t>
      </w:r>
      <w:r w:rsidR="0039292F" w:rsidRPr="0039292F">
        <w:t xml:space="preserve"> NESHAP </w:t>
      </w:r>
      <w:r w:rsidRPr="0039292F">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39292F" w:rsidRPr="0039292F">
        <w:t xml:space="preserve"> NESHAP</w:t>
      </w:r>
      <w:r w:rsidRPr="0039292F">
        <w:t>.</w:t>
      </w:r>
    </w:p>
    <w:p w:rsidR="00CA4CD6" w:rsidRPr="0039292F" w:rsidRDefault="00CA4CD6"/>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39292F">
        <w:rPr>
          <w:color w:val="000000"/>
        </w:rPr>
        <w:t xml:space="preserve"> five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36776">
        <w:rPr>
          <w:color w:val="000000"/>
        </w:rPr>
        <w:t>is</w:t>
      </w:r>
      <w:r>
        <w:rPr>
          <w:color w:val="000000"/>
        </w:rPr>
        <w:t xml:space="preserve"> an average of</w:t>
      </w:r>
      <w:r w:rsidR="00EE6EAE">
        <w:rPr>
          <w:color w:val="000000"/>
        </w:rPr>
        <w:t xml:space="preserve"> one </w:t>
      </w:r>
      <w:r>
        <w:rPr>
          <w:color w:val="000000"/>
        </w:rPr>
        <w:t>affected facilit</w:t>
      </w:r>
      <w:r w:rsidR="00D36776">
        <w:rPr>
          <w:color w:val="000000"/>
        </w:rPr>
        <w:t>y</w:t>
      </w:r>
      <w:r>
        <w:rPr>
          <w:color w:val="000000"/>
        </w:rPr>
        <w:t xml:space="preserve">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B3AFC" w:rsidRDefault="00E10DA7">
      <w:pPr>
        <w:pBdr>
          <w:top w:val="single" w:sz="6" w:space="0" w:color="FFFFFF"/>
          <w:left w:val="single" w:sz="6" w:space="0" w:color="FFFFFF"/>
          <w:bottom w:val="single" w:sz="6" w:space="0" w:color="FFFFFF"/>
          <w:right w:val="single" w:sz="6" w:space="0" w:color="FFFFFF"/>
        </w:pBdr>
        <w:ind w:firstLine="720"/>
      </w:pPr>
      <w:r>
        <w:rPr>
          <w:color w:val="000000"/>
        </w:rPr>
        <w:t>Over the next three years, an average of</w:t>
      </w:r>
      <w:r w:rsidR="00EE6EAE">
        <w:rPr>
          <w:color w:val="000000"/>
        </w:rPr>
        <w:t xml:space="preserve"> </w:t>
      </w:r>
      <w:r w:rsidR="00AA6230">
        <w:rPr>
          <w:color w:val="000000"/>
        </w:rPr>
        <w:t xml:space="preserve">five </w:t>
      </w:r>
      <w:r w:rsidR="00CA4CD6">
        <w:rPr>
          <w:color w:val="000000"/>
        </w:rPr>
        <w:t xml:space="preserve">respondents </w:t>
      </w:r>
      <w:r>
        <w:rPr>
          <w:color w:val="000000"/>
        </w:rPr>
        <w:t>per year will be subject to the standard</w:t>
      </w:r>
      <w:r w:rsidR="00CA4CD6">
        <w:rPr>
          <w:color w:val="000000"/>
        </w:rPr>
        <w:t>, and</w:t>
      </w:r>
      <w:r w:rsidR="00EE6EAE">
        <w:rPr>
          <w:color w:val="000000"/>
        </w:rPr>
        <w:t xml:space="preserve"> 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p>
    <w:p w:rsidR="00CA4CD6" w:rsidRPr="008B3AFC" w:rsidRDefault="00CA4CD6">
      <w:pPr>
        <w:pBdr>
          <w:top w:val="single" w:sz="6" w:space="0" w:color="FFFFFF"/>
          <w:left w:val="single" w:sz="6" w:space="0" w:color="FFFFFF"/>
          <w:bottom w:val="single" w:sz="6" w:space="0" w:color="FFFFFF"/>
          <w:right w:val="single" w:sz="6" w:space="0" w:color="FFFFFF"/>
        </w:pBdr>
      </w:pPr>
    </w:p>
    <w:p w:rsidR="00CA4CD6" w:rsidRPr="008B3AFC" w:rsidRDefault="008B674F" w:rsidP="00EE6EAE">
      <w:pPr>
        <w:keepNext/>
        <w:keepLines/>
        <w:widowControl/>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8B3AFC">
        <w:t>OMB</w:t>
      </w:r>
      <w:r>
        <w:t>)</w:t>
      </w:r>
      <w:r w:rsidR="00CA4CD6" w:rsidRPr="008B3AFC">
        <w:t xml:space="preserve"> approved the currently active </w:t>
      </w:r>
      <w:r>
        <w:t>Information Collection Request (</w:t>
      </w:r>
      <w:r w:rsidR="00CA4CD6" w:rsidRPr="008B3AFC">
        <w:t>ICR</w:t>
      </w:r>
      <w:r>
        <w:t>)</w:t>
      </w:r>
      <w:r w:rsidR="00CA4CD6" w:rsidRPr="008B3AFC">
        <w:t xml:space="preserve"> without any </w:t>
      </w:r>
      <w:r w:rsidR="0039292F" w:rsidRPr="008B3AFC">
        <w:t>“</w:t>
      </w:r>
      <w:r w:rsidR="00CA4CD6" w:rsidRPr="008B3AFC">
        <w:t>Terms of Clearance.</w:t>
      </w:r>
      <w:r w:rsidR="0039292F" w:rsidRPr="008B3AFC">
        <w:t>”</w:t>
      </w:r>
    </w:p>
    <w:p w:rsidR="009D6567" w:rsidRPr="008B3AFC" w:rsidRDefault="009D6567">
      <w:pPr>
        <w:pBdr>
          <w:top w:val="single" w:sz="6" w:space="0" w:color="FFFFFF"/>
          <w:left w:val="single" w:sz="6" w:space="0" w:color="FFFFFF"/>
          <w:bottom w:val="single" w:sz="6" w:space="0" w:color="FFFFFF"/>
          <w:right w:val="single" w:sz="6" w:space="0" w:color="FFFFFF"/>
        </w:pBdr>
        <w:ind w:firstLine="720"/>
      </w:pPr>
    </w:p>
    <w:p w:rsidR="00CA4CD6" w:rsidRDefault="009D6567" w:rsidP="002B29A5">
      <w:pPr>
        <w:rPr>
          <w:color w:val="FF0000"/>
        </w:rPr>
      </w:pPr>
      <w:r w:rsidRPr="008B3AFC">
        <w:tab/>
      </w:r>
      <w:r w:rsidR="0039292F" w:rsidRPr="008B3AFC">
        <w:t>T</w:t>
      </w:r>
      <w:r w:rsidRPr="008B3AFC">
        <w:t xml:space="preserve">he “Affected </w:t>
      </w:r>
      <w:r w:rsidRPr="008B674F">
        <w:t>Public”</w:t>
      </w:r>
      <w:r w:rsidR="0039292F" w:rsidRPr="008B674F">
        <w:t xml:space="preserve"> are</w:t>
      </w:r>
      <w:r w:rsidR="008B674F" w:rsidRPr="008B674F">
        <w:t xml:space="preserve"> owners or operators of metal can manufacturing </w:t>
      </w:r>
      <w:r w:rsidR="00241120">
        <w:t>facilities</w:t>
      </w:r>
      <w:r w:rsidR="0039292F" w:rsidRPr="008B674F">
        <w:t xml:space="preserve">.  </w:t>
      </w:r>
      <w:r w:rsidR="002B29A5" w:rsidRPr="008B674F">
        <w:t>The burden</w:t>
      </w:r>
      <w:r w:rsidR="004A4B25" w:rsidRPr="008B674F">
        <w:t xml:space="preserve"> to</w:t>
      </w:r>
      <w:r w:rsidR="004A4B25" w:rsidRPr="0039292F">
        <w:t xml:space="preserve"> the “Affected Public” may be found in Table 1</w:t>
      </w:r>
      <w:r w:rsidR="002B29A5" w:rsidRPr="0039292F">
        <w:t>: Annual Respondent Burden and Cost –</w:t>
      </w:r>
      <w:r w:rsidR="0039292F" w:rsidRPr="0039292F">
        <w:t xml:space="preserve"> NESHAP for Metal Can Manufacturing Surface Coating (40 CFR Part 63, Subpart KKKK) (</w:t>
      </w:r>
      <w:r w:rsidR="002B29A5" w:rsidRPr="0039292F">
        <w:t>Renewal)</w:t>
      </w:r>
      <w:r w:rsidR="004A4B25" w:rsidRPr="0039292F">
        <w:t xml:space="preserve">.  </w:t>
      </w:r>
      <w:r w:rsidR="0039292F">
        <w:t>T</w:t>
      </w:r>
      <w:r w:rsidRPr="0039292F">
        <w:t xml:space="preserve">he </w:t>
      </w:r>
      <w:r w:rsidR="004A4B25" w:rsidRPr="0039292F">
        <w:t xml:space="preserve">burden to the </w:t>
      </w:r>
      <w:r w:rsidRPr="0039292F">
        <w:t>“Federal Government” is attributed entirely to work performed by federal employees</w:t>
      </w:r>
      <w:r w:rsidR="004A4B25" w:rsidRPr="0039292F">
        <w:t xml:space="preserve"> or government contractor</w:t>
      </w:r>
      <w:r w:rsidR="00EF113F" w:rsidRPr="0039292F">
        <w:t>s</w:t>
      </w:r>
      <w:r w:rsidR="0039292F">
        <w:t xml:space="preserve">.  This burden may be found in </w:t>
      </w:r>
      <w:r w:rsidR="004A4B25" w:rsidRPr="0039292F">
        <w:t xml:space="preserve">Table 2: </w:t>
      </w:r>
      <w:r w:rsidR="002B29A5" w:rsidRPr="0039292F">
        <w:t>Average Annual EPA Burden and Cost –</w:t>
      </w:r>
      <w:r w:rsidR="0039292F" w:rsidRPr="0039292F">
        <w:t xml:space="preserve"> NESHAP for Metal Can Manufacturing Surface Coating (40 CFR Part 63, Subpart KKKK) (Renewal)</w:t>
      </w:r>
      <w:r w:rsidR="002B29A5" w:rsidRPr="0039292F">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D0095"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2(a)  Need/Authority for </w:t>
      </w:r>
      <w:r w:rsidRPr="001D0095">
        <w:rPr>
          <w:b/>
          <w:bCs/>
        </w:rPr>
        <w:t>the Collection</w:t>
      </w:r>
    </w:p>
    <w:p w:rsidR="00CA4CD6" w:rsidRPr="001D0095" w:rsidRDefault="00CA4CD6">
      <w:pPr>
        <w:pBdr>
          <w:top w:val="single" w:sz="6" w:space="0" w:color="FFFFFF"/>
          <w:left w:val="single" w:sz="6" w:space="0" w:color="FFFFFF"/>
          <w:bottom w:val="single" w:sz="6" w:space="0" w:color="FFFFFF"/>
          <w:right w:val="single" w:sz="6" w:space="0" w:color="FFFFFF"/>
        </w:pBdr>
      </w:pPr>
    </w:p>
    <w:p w:rsidR="00CA4CD6" w:rsidRPr="001D0095" w:rsidRDefault="00CA4CD6">
      <w:pPr>
        <w:pBdr>
          <w:top w:val="single" w:sz="6" w:space="0" w:color="FFFFFF"/>
          <w:left w:val="single" w:sz="6" w:space="0" w:color="FFFFFF"/>
          <w:bottom w:val="single" w:sz="6" w:space="0" w:color="FFFFFF"/>
          <w:right w:val="single" w:sz="6" w:space="0" w:color="FFFFFF"/>
        </w:pBdr>
        <w:ind w:firstLine="720"/>
      </w:pPr>
      <w:r w:rsidRPr="001D0095">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1D0095" w:rsidRPr="001D0095">
        <w:t xml:space="preserve">  </w:t>
      </w:r>
      <w:r w:rsidRPr="001D0095">
        <w:t xml:space="preserve">In addition, section 114(a) states that the Administrator may require any owner/operator subject to any requirement of this Act to: </w:t>
      </w:r>
    </w:p>
    <w:p w:rsidR="00CA4CD6" w:rsidRPr="001D0095" w:rsidRDefault="00CA4CD6">
      <w:pPr>
        <w:pBdr>
          <w:top w:val="single" w:sz="6" w:space="0" w:color="FFFFFF"/>
          <w:left w:val="single" w:sz="6" w:space="0" w:color="FFFFFF"/>
          <w:bottom w:val="single" w:sz="6" w:space="0" w:color="FFFFFF"/>
          <w:right w:val="single" w:sz="6" w:space="0" w:color="FFFFFF"/>
        </w:pBdr>
      </w:pPr>
    </w:p>
    <w:p w:rsidR="00CA4CD6" w:rsidRPr="001D0095" w:rsidRDefault="00CA4CD6">
      <w:pPr>
        <w:pBdr>
          <w:top w:val="single" w:sz="6" w:space="0" w:color="FFFFFF"/>
          <w:left w:val="single" w:sz="6" w:space="0" w:color="FFFFFF"/>
          <w:bottom w:val="single" w:sz="6" w:space="0" w:color="FFFFFF"/>
          <w:right w:val="single" w:sz="6" w:space="0" w:color="FFFFFF"/>
        </w:pBdr>
        <w:ind w:left="1440" w:right="1440"/>
      </w:pPr>
      <w:r w:rsidRPr="001D009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D0095" w:rsidRPr="001D0095">
        <w:t>strator may reasonably require.</w:t>
      </w:r>
    </w:p>
    <w:p w:rsidR="00CA4CD6" w:rsidRPr="001D0095" w:rsidRDefault="00CA4CD6">
      <w:pPr>
        <w:pBdr>
          <w:top w:val="single" w:sz="6" w:space="0" w:color="FFFFFF"/>
          <w:left w:val="single" w:sz="6" w:space="0" w:color="FFFFFF"/>
          <w:bottom w:val="single" w:sz="6" w:space="0" w:color="FFFFFF"/>
          <w:right w:val="single" w:sz="6" w:space="0" w:color="FFFFFF"/>
        </w:pBdr>
      </w:pPr>
    </w:p>
    <w:p w:rsidR="00CA4CD6" w:rsidRPr="001D0095" w:rsidRDefault="00CA4CD6">
      <w:pPr>
        <w:pBdr>
          <w:top w:val="single" w:sz="6" w:space="0" w:color="FFFFFF"/>
          <w:left w:val="single" w:sz="6" w:space="0" w:color="FFFFFF"/>
          <w:bottom w:val="single" w:sz="6" w:space="0" w:color="FFFFFF"/>
          <w:right w:val="single" w:sz="6" w:space="0" w:color="FFFFFF"/>
        </w:pBdr>
        <w:ind w:firstLine="720"/>
      </w:pPr>
      <w:r w:rsidRPr="001D0095">
        <w:t>In the Admin</w:t>
      </w:r>
      <w:r>
        <w:rPr>
          <w:color w:val="000000"/>
        </w:rPr>
        <w:t>istrator's judgment,</w:t>
      </w:r>
      <w:r w:rsidR="008B674F">
        <w:rPr>
          <w:color w:val="000000"/>
        </w:rPr>
        <w:t xml:space="preserve"> HAP </w:t>
      </w:r>
      <w:r>
        <w:rPr>
          <w:color w:val="000000"/>
        </w:rPr>
        <w:t>emissions from</w:t>
      </w:r>
      <w:r w:rsidR="008B674F">
        <w:rPr>
          <w:color w:val="000000"/>
        </w:rPr>
        <w:t xml:space="preserve"> metal can manufacturing operations</w:t>
      </w:r>
      <w:r>
        <w:rPr>
          <w:color w:val="000000"/>
        </w:rPr>
        <w:t xml:space="preserve"> cause or contribute </w:t>
      </w:r>
      <w:r w:rsidRPr="001D0095">
        <w:t>to air pollution that may reasonably be anticipated to endanger public health or welfare.  Therefore, the NESHAP</w:t>
      </w:r>
      <w:r w:rsidR="001D0095" w:rsidRPr="001D0095">
        <w:t xml:space="preserve"> </w:t>
      </w:r>
      <w:r w:rsidRPr="001D0095">
        <w:t>were promulgated for this source category at 40 CFR part 63,</w:t>
      </w:r>
      <w:r w:rsidRPr="001D0095">
        <w:rPr>
          <w:b/>
          <w:bCs/>
          <w:i/>
          <w:iCs/>
        </w:rPr>
        <w:t xml:space="preserve"> </w:t>
      </w:r>
      <w:r w:rsidRPr="001D0095">
        <w:t>subpart</w:t>
      </w:r>
      <w:r w:rsidR="001D0095" w:rsidRPr="001D0095">
        <w:t xml:space="preserve"> KKKK</w:t>
      </w:r>
      <w:r w:rsidRPr="001D0095">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w:t>
      </w:r>
      <w:r w:rsidR="001D0095">
        <w:rPr>
          <w:color w:val="000000"/>
        </w:rPr>
        <w:t>s</w:t>
      </w:r>
      <w:r>
        <w:rPr>
          <w:color w:val="000000"/>
        </w:rPr>
        <w:t xml:space="preserv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 Continuous emission monitors are used to ensure compliance with the standard at all times.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B674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the standard are used </w:t>
      </w:r>
      <w:r w:rsidRPr="008B674F">
        <w:t>to inform the Agency or delegated authority when a source becomes subject to the requirements of the regulations.  The reviewing authority may then inspect the source to check if the pollution control devices are properly installed and the standard</w:t>
      </w:r>
      <w:r w:rsidR="008B674F">
        <w:t>s are</w:t>
      </w:r>
      <w:r w:rsidRPr="008B674F">
        <w:t xml:space="preserve"> being met.  The performance test may also be observed.</w:t>
      </w:r>
    </w:p>
    <w:p w:rsidR="00CA4CD6" w:rsidRPr="008B674F"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B674F">
        <w:rPr>
          <w:color w:val="000000"/>
        </w:rPr>
        <w:t>semiannua</w:t>
      </w:r>
      <w:r w:rsidR="008B674F" w:rsidRPr="008B674F">
        <w:t xml:space="preserve">l </w:t>
      </w:r>
      <w:r w:rsidRPr="008B674F">
        <w:t>r</w:t>
      </w:r>
      <w:r>
        <w:rPr>
          <w:color w:val="000000"/>
        </w:rPr>
        <w:t>eports are used to determine periods of excess emissions, identify problems at the facility, verify operation/maintenance procedures and for compliance determinations.</w:t>
      </w:r>
    </w:p>
    <w:p w:rsidR="008B674F" w:rsidRDefault="008B674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1D0095">
        <w:rPr>
          <w:color w:val="000000"/>
        </w:rPr>
        <w:t xml:space="preserve">d reporting are required under 40 CFR part </w:t>
      </w:r>
      <w:r>
        <w:rPr>
          <w:color w:val="000000"/>
        </w:rPr>
        <w:t>63, subpart</w:t>
      </w:r>
      <w:r w:rsidR="001D0095">
        <w:rPr>
          <w:color w:val="000000"/>
        </w:rPr>
        <w:t xml:space="preserve"> KKKK.</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C237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w:t>
      </w:r>
      <w:r w:rsidRPr="00CC237C">
        <w:t xml:space="preserve">renewal of this ICR was published in the </w:t>
      </w:r>
      <w:r w:rsidRPr="00CC237C">
        <w:rPr>
          <w:u w:val="single"/>
        </w:rPr>
        <w:t>Federal Register</w:t>
      </w:r>
      <w:r w:rsidRPr="00CC237C">
        <w:t xml:space="preserve"> </w:t>
      </w:r>
      <w:r w:rsidR="00CC237C" w:rsidRPr="00CC237C">
        <w:t>(78 FR 33409</w:t>
      </w:r>
      <w:r w:rsidRPr="00CC237C">
        <w:t>) on</w:t>
      </w:r>
      <w:r w:rsidR="00CC237C" w:rsidRPr="00CC237C">
        <w:t xml:space="preserve"> June 4, 2013</w:t>
      </w:r>
      <w:r w:rsidRPr="00CC237C">
        <w:t xml:space="preserve">.  </w:t>
      </w:r>
      <w:r w:rsidR="00CC237C" w:rsidRPr="00CC237C">
        <w:t xml:space="preserve">No comments were received on the burden published in the </w:t>
      </w:r>
      <w:r w:rsidR="00CC237C" w:rsidRPr="00CC237C">
        <w:rPr>
          <w:u w:val="single"/>
        </w:rPr>
        <w:t>Federal Register</w:t>
      </w:r>
      <w:r w:rsidR="00CC237C" w:rsidRPr="00CC237C">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252286" w:rsidRDefault="00252286" w:rsidP="00CF2B37">
      <w:pPr>
        <w:ind w:firstLine="720"/>
      </w:pPr>
      <w: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industry is based on our consultations with the Agency’s internal industry experts.  </w:t>
      </w:r>
    </w:p>
    <w:p w:rsidR="00252286" w:rsidRDefault="00252286" w:rsidP="00CF2B37">
      <w:pPr>
        <w:ind w:firstLine="720"/>
      </w:pPr>
    </w:p>
    <w:p w:rsidR="00CF2B37" w:rsidRDefault="00252286" w:rsidP="001F3051">
      <w:pPr>
        <w:widowControl/>
        <w:ind w:firstLine="720"/>
      </w:pPr>
      <w:r>
        <w:lastRenderedPageBreak/>
        <w:t>Industry trade associations and other intere</w:t>
      </w:r>
      <w:r w:rsidR="00AA6230">
        <w:t>sted parties were provided an o</w:t>
      </w:r>
      <w:r>
        <w:t xml:space="preserve">pportunity to comment on the burden associated with the standard as it was being developed and the standard has been previously reviewed to determine the minimum information needed for compliance purposes.  </w:t>
      </w:r>
      <w:r w:rsidR="00CF2B37">
        <w:t>In developing this ICR, we contacted</w:t>
      </w:r>
      <w:r w:rsidR="00314382">
        <w:t>: 1)</w:t>
      </w:r>
      <w:r w:rsidR="00CF2B37">
        <w:t xml:space="preserve"> the</w:t>
      </w:r>
      <w:r w:rsidR="00EE6EAE">
        <w:t xml:space="preserve"> Can Manufacturers Institute </w:t>
      </w:r>
      <w:r w:rsidR="00CF2B37">
        <w:t>at</w:t>
      </w:r>
      <w:r w:rsidR="00314382">
        <w:t>,</w:t>
      </w:r>
      <w:r w:rsidR="00EE6EAE">
        <w:t xml:space="preserve"> (202) 232-4677</w:t>
      </w:r>
      <w:r w:rsidR="00314382">
        <w:t xml:space="preserve">, </w:t>
      </w:r>
      <w:r w:rsidR="00CF2B37">
        <w:t xml:space="preserve">and </w:t>
      </w:r>
      <w:r w:rsidR="00314382">
        <w:t xml:space="preserve">2) </w:t>
      </w:r>
      <w:r w:rsidR="00CF2B37">
        <w:t>the</w:t>
      </w:r>
      <w:r w:rsidR="00EE6EAE">
        <w:t xml:space="preserve"> American Coatings Association</w:t>
      </w:r>
      <w:r w:rsidR="00314382">
        <w:t>,</w:t>
      </w:r>
      <w:r w:rsidR="00EE6EAE">
        <w:t xml:space="preserve"> </w:t>
      </w:r>
      <w:r w:rsidR="00724BC7">
        <w:t>at</w:t>
      </w:r>
      <w:r w:rsidR="00EE6EAE">
        <w:t xml:space="preserve"> (202) 462-6272.</w:t>
      </w:r>
    </w:p>
    <w:p w:rsidR="00252286" w:rsidRDefault="00252286" w:rsidP="00CF2B37">
      <w:pPr>
        <w:ind w:firstLine="720"/>
      </w:pPr>
    </w:p>
    <w:p w:rsidR="00252286" w:rsidRPr="00F26154" w:rsidRDefault="00252286" w:rsidP="00CF2B37">
      <w:pPr>
        <w:ind w:firstLine="720"/>
        <w:rPr>
          <w:color w:val="000000"/>
        </w:rPr>
      </w:pPr>
      <w:r>
        <w:t xml:space="preserve">It is our policy to respond after a </w:t>
      </w:r>
      <w:r w:rsidRPr="00F26154">
        <w:t xml:space="preserve">thorough review of comments received since the last ICR renewal as well as those submitted in response to the first </w:t>
      </w:r>
      <w:r w:rsidRPr="00F26154">
        <w:rPr>
          <w:u w:val="single"/>
        </w:rPr>
        <w:t>Federal Register</w:t>
      </w:r>
      <w:r w:rsidRPr="00F26154">
        <w:t xml:space="preserve"> notice.  In this case, </w:t>
      </w:r>
      <w:r w:rsidR="00CE6B76" w:rsidRPr="00F26154">
        <w:t xml:space="preserve">the Agency received </w:t>
      </w:r>
      <w:r w:rsidR="001F3051">
        <w:t xml:space="preserve">a </w:t>
      </w:r>
      <w:r w:rsidR="00CE6B76" w:rsidRPr="00F26154">
        <w:t>comment from the Can Manufacturers Institute</w:t>
      </w:r>
      <w:r w:rsidR="00F26154" w:rsidRPr="00F26154">
        <w:t>.  The institute estimates</w:t>
      </w:r>
      <w:r w:rsidR="001F3051">
        <w:t xml:space="preserve"> there to be five</w:t>
      </w:r>
      <w:r w:rsidR="00CE6B76" w:rsidRPr="00F26154">
        <w:t xml:space="preserve"> existing sources </w:t>
      </w:r>
      <w:r w:rsidR="001F3051">
        <w:t xml:space="preserve">that are </w:t>
      </w:r>
      <w:r w:rsidR="00F26154" w:rsidRPr="00F26154">
        <w:t xml:space="preserve">currently are </w:t>
      </w:r>
      <w:r w:rsidR="00CE6B76" w:rsidRPr="00F26154">
        <w:t>subject to the standard</w:t>
      </w:r>
      <w:r w:rsidRPr="00F26154">
        <w:t>.</w:t>
      </w:r>
    </w:p>
    <w:p w:rsidR="00123889" w:rsidRPr="00F26154"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26154">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36776">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8B674F" w:rsidRDefault="00CA4CD6">
      <w:pPr>
        <w:pBdr>
          <w:top w:val="single" w:sz="6" w:space="0" w:color="FFFFFF"/>
          <w:left w:val="single" w:sz="6" w:space="0" w:color="FFFFFF"/>
          <w:bottom w:val="single" w:sz="6" w:space="0" w:color="FFFFFF"/>
          <w:right w:val="single" w:sz="6" w:space="0" w:color="FFFFFF"/>
        </w:pBdr>
      </w:pPr>
    </w:p>
    <w:p w:rsidR="00CA4CD6" w:rsidRPr="008B674F" w:rsidRDefault="008B674F">
      <w:pPr>
        <w:pBdr>
          <w:top w:val="single" w:sz="6" w:space="0" w:color="FFFFFF"/>
          <w:left w:val="single" w:sz="6" w:space="0" w:color="FFFFFF"/>
          <w:bottom w:val="single" w:sz="6" w:space="0" w:color="FFFFFF"/>
          <w:right w:val="single" w:sz="6" w:space="0" w:color="FFFFFF"/>
        </w:pBdr>
      </w:pPr>
      <w:r w:rsidRPr="008B674F">
        <w:tab/>
      </w:r>
      <w:r w:rsidR="00CA4CD6" w:rsidRPr="008B674F">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w:t>
      </w:r>
      <w:r w:rsidR="005F42F8" w:rsidRPr="008B674F">
        <w:t>T</w:t>
      </w:r>
      <w:r w:rsidR="00CA4CD6" w:rsidRPr="008B674F">
        <w:t>he retention of records for five years allow</w:t>
      </w:r>
      <w:r w:rsidR="005F42F8" w:rsidRPr="008B674F">
        <w:t>s</w:t>
      </w:r>
      <w:r w:rsidR="00CA4CD6" w:rsidRPr="008B674F">
        <w:t xml:space="preserve"> EPA to establish the compliance history of a source</w:t>
      </w:r>
      <w:r w:rsidR="005F42F8" w:rsidRPr="008B674F">
        <w:t xml:space="preserve">, </w:t>
      </w:r>
      <w:r w:rsidR="00CA4CD6" w:rsidRPr="008B674F">
        <w:t xml:space="preserve">any pattern of </w:t>
      </w:r>
      <w:r w:rsidR="005F42F8" w:rsidRPr="008B674F">
        <w:t>non-</w:t>
      </w:r>
      <w:r w:rsidR="00CA4CD6" w:rsidRPr="008B674F">
        <w:t>compliance</w:t>
      </w:r>
      <w:r w:rsidR="005F42F8" w:rsidRPr="008B674F">
        <w:t xml:space="preserve"> and to determine the appropriate level of enforcement action.  </w:t>
      </w:r>
      <w:r w:rsidR="00CA4CD6" w:rsidRPr="008B674F">
        <w:t xml:space="preserve">EPA has found that the most flagrant violators have violations extending beyond five years.  </w:t>
      </w:r>
      <w:r w:rsidR="005F42F8" w:rsidRPr="008B674F">
        <w:t xml:space="preserve">In addition, </w:t>
      </w:r>
      <w:r w:rsidR="00CA4CD6" w:rsidRPr="008B674F">
        <w:t xml:space="preserve">EPA would be prevented from pursuing the violators due to the destruction or nonexistence of </w:t>
      </w:r>
      <w:r w:rsidR="005F42F8" w:rsidRPr="008B674F">
        <w:t xml:space="preserve">essential </w:t>
      </w:r>
      <w:r w:rsidR="00CA4CD6" w:rsidRPr="008B674F">
        <w:t>records</w:t>
      </w:r>
      <w:r>
        <w:t>.</w:t>
      </w:r>
    </w:p>
    <w:p w:rsidR="00CA4CD6" w:rsidRPr="008B674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rsidR="00CA4CD6" w:rsidRDefault="00CA4CD6" w:rsidP="001F3051">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40391F"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8B674F">
        <w:rPr>
          <w:color w:val="000000"/>
        </w:rPr>
        <w:t xml:space="preserve"> owners or operators of metal can manufacturing </w:t>
      </w:r>
      <w:r w:rsidR="00252286">
        <w:rPr>
          <w:color w:val="000000"/>
        </w:rPr>
        <w:t>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D0991">
        <w:rPr>
          <w:color w:val="000000"/>
        </w:rPr>
        <w:t>s</w:t>
      </w:r>
      <w:r>
        <w:rPr>
          <w:color w:val="000000"/>
        </w:rPr>
        <w:t xml:space="preserve"> </w:t>
      </w:r>
      <w:r w:rsidR="00ED0991">
        <w:rPr>
          <w:color w:val="000000"/>
        </w:rPr>
        <w:t xml:space="preserve">and corresponding </w:t>
      </w:r>
      <w:r>
        <w:rPr>
          <w:color w:val="000000"/>
        </w:rPr>
        <w:t>North American Industry Classification System</w:t>
      </w:r>
      <w:r w:rsidR="00CF2B37">
        <w:rPr>
          <w:color w:val="000000"/>
        </w:rPr>
        <w:t xml:space="preserve"> (NAICS</w:t>
      </w:r>
      <w:r>
        <w:rPr>
          <w:color w:val="000000"/>
        </w:rPr>
        <w:t xml:space="preserve">) </w:t>
      </w:r>
      <w:r w:rsidR="00ED0991">
        <w:rPr>
          <w:color w:val="000000"/>
        </w:rPr>
        <w:t>codes are presented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670"/>
        <w:gridCol w:w="1800"/>
        <w:gridCol w:w="1890"/>
      </w:tblGrid>
      <w:tr w:rsidR="00CA4CD6" w:rsidTr="00252286">
        <w:tc>
          <w:tcPr>
            <w:tcW w:w="567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jc w:val="center"/>
            </w:pPr>
          </w:p>
          <w:p w:rsidR="00CA4CD6" w:rsidRPr="00ED0991" w:rsidRDefault="00CA4CD6" w:rsidP="00252286">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ED0991">
              <w:rPr>
                <w:b/>
                <w:bCs/>
              </w:rPr>
              <w:t>Standard</w:t>
            </w:r>
            <w:r w:rsidR="004C701D" w:rsidRPr="00ED0991">
              <w:rPr>
                <w:b/>
                <w:bCs/>
              </w:rPr>
              <w:t xml:space="preserve"> </w:t>
            </w:r>
            <w:r w:rsidR="004C701D" w:rsidRPr="00ED0991">
              <w:rPr>
                <w:b/>
              </w:rPr>
              <w:t>(</w:t>
            </w:r>
            <w:r w:rsidR="00ED0991" w:rsidRPr="00ED0991">
              <w:rPr>
                <w:b/>
              </w:rPr>
              <w:t>40 CFR Part 63, Subpart KKKK</w:t>
            </w:r>
            <w:r w:rsidR="004C701D" w:rsidRPr="00ED0991">
              <w:rPr>
                <w:b/>
              </w:rPr>
              <w:t>)</w:t>
            </w:r>
          </w:p>
        </w:tc>
        <w:tc>
          <w:tcPr>
            <w:tcW w:w="180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jc w:val="center"/>
              <w:rPr>
                <w:b/>
                <w:bCs/>
              </w:rPr>
            </w:pPr>
          </w:p>
          <w:p w:rsidR="00CA4CD6" w:rsidRPr="00ED0991" w:rsidRDefault="00CA4CD6" w:rsidP="00D36776">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ED0991">
              <w:rPr>
                <w:b/>
                <w:bCs/>
              </w:rPr>
              <w:t>SIC Codes</w:t>
            </w:r>
          </w:p>
        </w:tc>
        <w:tc>
          <w:tcPr>
            <w:tcW w:w="1890" w:type="dxa"/>
            <w:tcBorders>
              <w:top w:val="single" w:sz="7" w:space="0" w:color="000000"/>
              <w:left w:val="single" w:sz="7" w:space="0" w:color="000000"/>
              <w:bottom w:val="single" w:sz="6" w:space="0" w:color="FFFFFF"/>
              <w:right w:val="single" w:sz="7" w:space="0" w:color="000000"/>
            </w:tcBorders>
          </w:tcPr>
          <w:p w:rsidR="00CA4CD6" w:rsidRPr="00ED0991" w:rsidRDefault="00CA4CD6" w:rsidP="00D36776">
            <w:pPr>
              <w:keepNext/>
              <w:keepLines/>
              <w:spacing w:line="120" w:lineRule="exact"/>
              <w:jc w:val="center"/>
              <w:rPr>
                <w:b/>
                <w:bCs/>
              </w:rPr>
            </w:pPr>
          </w:p>
          <w:p w:rsidR="00CA4CD6" w:rsidRPr="00ED0991" w:rsidRDefault="00CA4CD6" w:rsidP="00D36776">
            <w:pPr>
              <w:keepNext/>
              <w:keepLines/>
              <w:pBdr>
                <w:top w:val="single" w:sz="6" w:space="0" w:color="FFFFFF"/>
                <w:left w:val="single" w:sz="6" w:space="0" w:color="FFFFFF"/>
                <w:bottom w:val="single" w:sz="6" w:space="0" w:color="FFFFFF"/>
                <w:right w:val="single" w:sz="6" w:space="0" w:color="FFFFFF"/>
              </w:pBdr>
              <w:spacing w:after="54"/>
              <w:jc w:val="center"/>
              <w:rPr>
                <w:b/>
                <w:bCs/>
              </w:rPr>
            </w:pPr>
            <w:r w:rsidRPr="00ED0991">
              <w:rPr>
                <w:b/>
                <w:bCs/>
              </w:rPr>
              <w:t>NAICS Codes</w:t>
            </w:r>
          </w:p>
        </w:tc>
      </w:tr>
      <w:tr w:rsidR="00CA4CD6" w:rsidTr="00252286">
        <w:tc>
          <w:tcPr>
            <w:tcW w:w="567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rPr>
                <w:b/>
                <w:bCs/>
              </w:rPr>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pPr>
            <w:r w:rsidRPr="00ED0991">
              <w:t>Metal Can Manufacturing</w:t>
            </w:r>
          </w:p>
        </w:tc>
        <w:tc>
          <w:tcPr>
            <w:tcW w:w="180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jc w:val="center"/>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jc w:val="center"/>
            </w:pPr>
            <w:r>
              <w:t>3411</w:t>
            </w:r>
          </w:p>
        </w:tc>
        <w:tc>
          <w:tcPr>
            <w:tcW w:w="1890" w:type="dxa"/>
            <w:tcBorders>
              <w:top w:val="single" w:sz="7" w:space="0" w:color="000000"/>
              <w:left w:val="single" w:sz="7" w:space="0" w:color="000000"/>
              <w:bottom w:val="single" w:sz="6" w:space="0" w:color="FFFFFF"/>
              <w:right w:val="single" w:sz="7" w:space="0" w:color="000000"/>
            </w:tcBorders>
          </w:tcPr>
          <w:p w:rsidR="00CA4CD6" w:rsidRPr="00ED0991" w:rsidRDefault="00CA4CD6" w:rsidP="00D36776">
            <w:pPr>
              <w:keepNext/>
              <w:keepLines/>
              <w:spacing w:line="120" w:lineRule="exact"/>
              <w:jc w:val="center"/>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jc w:val="center"/>
            </w:pPr>
            <w:r w:rsidRPr="00ED0991">
              <w:t>332431</w:t>
            </w:r>
          </w:p>
        </w:tc>
      </w:tr>
      <w:tr w:rsidR="00CA4CD6" w:rsidTr="00252286">
        <w:tc>
          <w:tcPr>
            <w:tcW w:w="567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pPr>
            <w:r>
              <w:t>Metal Crown, Closure, and Other Metal Stamping (except Automotive)</w:t>
            </w:r>
          </w:p>
        </w:tc>
        <w:tc>
          <w:tcPr>
            <w:tcW w:w="180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keepNext/>
              <w:keepLines/>
              <w:spacing w:line="120" w:lineRule="exact"/>
              <w:jc w:val="center"/>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jc w:val="center"/>
            </w:pPr>
            <w:r>
              <w:t>3466</w:t>
            </w:r>
          </w:p>
        </w:tc>
        <w:tc>
          <w:tcPr>
            <w:tcW w:w="1890" w:type="dxa"/>
            <w:tcBorders>
              <w:top w:val="single" w:sz="7" w:space="0" w:color="000000"/>
              <w:left w:val="single" w:sz="7" w:space="0" w:color="000000"/>
              <w:bottom w:val="single" w:sz="6" w:space="0" w:color="FFFFFF"/>
              <w:right w:val="single" w:sz="7" w:space="0" w:color="000000"/>
            </w:tcBorders>
          </w:tcPr>
          <w:p w:rsidR="00CA4CD6" w:rsidRPr="00ED0991" w:rsidRDefault="00CA4CD6" w:rsidP="00D36776">
            <w:pPr>
              <w:keepNext/>
              <w:keepLines/>
              <w:spacing w:line="120" w:lineRule="exact"/>
              <w:jc w:val="center"/>
            </w:pPr>
          </w:p>
          <w:p w:rsidR="00CA4CD6" w:rsidRPr="00ED0991" w:rsidRDefault="00ED0991" w:rsidP="00D36776">
            <w:pPr>
              <w:keepNext/>
              <w:keepLines/>
              <w:pBdr>
                <w:top w:val="single" w:sz="6" w:space="0" w:color="FFFFFF"/>
                <w:left w:val="single" w:sz="6" w:space="0" w:color="FFFFFF"/>
                <w:bottom w:val="single" w:sz="6" w:space="0" w:color="FFFFFF"/>
                <w:right w:val="single" w:sz="6" w:space="0" w:color="FFFFFF"/>
              </w:pBdr>
              <w:spacing w:after="54"/>
              <w:jc w:val="center"/>
            </w:pPr>
            <w:r w:rsidRPr="00ED0991">
              <w:t>33211</w:t>
            </w:r>
            <w:r>
              <w:t>9</w:t>
            </w:r>
          </w:p>
        </w:tc>
      </w:tr>
      <w:tr w:rsidR="00CA4CD6" w:rsidTr="00252286">
        <w:tc>
          <w:tcPr>
            <w:tcW w:w="5670" w:type="dxa"/>
            <w:tcBorders>
              <w:top w:val="single" w:sz="7" w:space="0" w:color="000000"/>
              <w:left w:val="single" w:sz="7" w:space="0" w:color="000000"/>
              <w:bottom w:val="single" w:sz="6" w:space="0" w:color="FFFFFF"/>
              <w:right w:val="single" w:sz="6" w:space="0" w:color="FFFFFF"/>
            </w:tcBorders>
          </w:tcPr>
          <w:p w:rsidR="00CA4CD6" w:rsidRPr="00ED0991" w:rsidRDefault="00CA4CD6">
            <w:pPr>
              <w:spacing w:line="120" w:lineRule="exact"/>
            </w:pPr>
          </w:p>
          <w:p w:rsidR="00CA4CD6" w:rsidRPr="00ED0991" w:rsidRDefault="00ED0991">
            <w:pPr>
              <w:pBdr>
                <w:top w:val="single" w:sz="6" w:space="0" w:color="FFFFFF"/>
                <w:left w:val="single" w:sz="6" w:space="0" w:color="FFFFFF"/>
                <w:bottom w:val="single" w:sz="6" w:space="0" w:color="FFFFFF"/>
                <w:right w:val="single" w:sz="6" w:space="0" w:color="FFFFFF"/>
              </w:pBdr>
              <w:spacing w:after="54"/>
            </w:pPr>
            <w:r w:rsidRPr="00ED0991">
              <w:t>Metal Coating, Engraving (except Jewelry and Silverware), and Allied Services to Manufacturers</w:t>
            </w:r>
          </w:p>
        </w:tc>
        <w:tc>
          <w:tcPr>
            <w:tcW w:w="1800" w:type="dxa"/>
            <w:tcBorders>
              <w:top w:val="single" w:sz="7" w:space="0" w:color="000000"/>
              <w:left w:val="single" w:sz="7" w:space="0" w:color="000000"/>
              <w:bottom w:val="single" w:sz="6" w:space="0" w:color="FFFFFF"/>
              <w:right w:val="single" w:sz="6" w:space="0" w:color="FFFFFF"/>
            </w:tcBorders>
          </w:tcPr>
          <w:p w:rsidR="00CA4CD6" w:rsidRPr="00ED0991" w:rsidRDefault="00CA4CD6" w:rsidP="00D36776">
            <w:pPr>
              <w:spacing w:line="120" w:lineRule="exact"/>
              <w:jc w:val="center"/>
            </w:pPr>
          </w:p>
          <w:p w:rsidR="00CA4CD6" w:rsidRPr="00ED0991" w:rsidRDefault="00ED0991" w:rsidP="00D36776">
            <w:pPr>
              <w:pBdr>
                <w:top w:val="single" w:sz="6" w:space="0" w:color="FFFFFF"/>
                <w:left w:val="single" w:sz="6" w:space="0" w:color="FFFFFF"/>
                <w:bottom w:val="single" w:sz="6" w:space="0" w:color="FFFFFF"/>
                <w:right w:val="single" w:sz="6" w:space="0" w:color="FFFFFF"/>
              </w:pBdr>
              <w:spacing w:after="54"/>
              <w:jc w:val="center"/>
            </w:pPr>
            <w:r>
              <w:t>3999</w:t>
            </w:r>
          </w:p>
        </w:tc>
        <w:tc>
          <w:tcPr>
            <w:tcW w:w="1890" w:type="dxa"/>
            <w:tcBorders>
              <w:top w:val="single" w:sz="7" w:space="0" w:color="000000"/>
              <w:left w:val="single" w:sz="7" w:space="0" w:color="000000"/>
              <w:bottom w:val="single" w:sz="6" w:space="0" w:color="FFFFFF"/>
              <w:right w:val="single" w:sz="7" w:space="0" w:color="000000"/>
            </w:tcBorders>
          </w:tcPr>
          <w:p w:rsidR="00CA4CD6" w:rsidRPr="00ED0991" w:rsidRDefault="00CA4CD6" w:rsidP="00D36776">
            <w:pPr>
              <w:spacing w:line="120" w:lineRule="exact"/>
              <w:jc w:val="center"/>
            </w:pPr>
          </w:p>
          <w:p w:rsidR="00CA4CD6" w:rsidRPr="00ED0991" w:rsidRDefault="00ED0991" w:rsidP="00D36776">
            <w:pPr>
              <w:pBdr>
                <w:top w:val="single" w:sz="6" w:space="0" w:color="FFFFFF"/>
                <w:left w:val="single" w:sz="6" w:space="0" w:color="FFFFFF"/>
                <w:bottom w:val="single" w:sz="6" w:space="0" w:color="FFFFFF"/>
                <w:right w:val="single" w:sz="6" w:space="0" w:color="FFFFFF"/>
              </w:pBdr>
              <w:spacing w:after="54"/>
              <w:jc w:val="center"/>
            </w:pPr>
            <w:r w:rsidRPr="00ED0991">
              <w:t>332812</w:t>
            </w:r>
          </w:p>
        </w:tc>
      </w:tr>
      <w:tr w:rsidR="00CA4CD6" w:rsidTr="00252286">
        <w:tc>
          <w:tcPr>
            <w:tcW w:w="5670" w:type="dxa"/>
            <w:tcBorders>
              <w:top w:val="single" w:sz="7" w:space="0" w:color="000000"/>
              <w:left w:val="single" w:sz="7" w:space="0" w:color="000000"/>
              <w:bottom w:val="single" w:sz="7" w:space="0" w:color="000000"/>
              <w:right w:val="single" w:sz="6" w:space="0" w:color="FFFFFF"/>
            </w:tcBorders>
          </w:tcPr>
          <w:p w:rsidR="00CA4CD6" w:rsidRPr="00ED0991" w:rsidRDefault="00CA4CD6">
            <w:pPr>
              <w:spacing w:line="120" w:lineRule="exact"/>
            </w:pPr>
          </w:p>
          <w:p w:rsidR="00CA4CD6" w:rsidRPr="00ED0991" w:rsidRDefault="00ED0991">
            <w:pPr>
              <w:pBdr>
                <w:top w:val="single" w:sz="6" w:space="0" w:color="FFFFFF"/>
                <w:left w:val="single" w:sz="6" w:space="0" w:color="FFFFFF"/>
                <w:bottom w:val="single" w:sz="6" w:space="0" w:color="FFFFFF"/>
                <w:right w:val="single" w:sz="6" w:space="0" w:color="FFFFFF"/>
              </w:pBdr>
              <w:spacing w:after="73"/>
            </w:pPr>
            <w:r w:rsidRPr="00ED0991">
              <w:t>All Other Miscellaneous Fabricated Metal Product Manufacturing</w:t>
            </w:r>
          </w:p>
        </w:tc>
        <w:tc>
          <w:tcPr>
            <w:tcW w:w="1800" w:type="dxa"/>
            <w:tcBorders>
              <w:top w:val="single" w:sz="7" w:space="0" w:color="000000"/>
              <w:left w:val="single" w:sz="7" w:space="0" w:color="000000"/>
              <w:bottom w:val="single" w:sz="7" w:space="0" w:color="000000"/>
              <w:right w:val="single" w:sz="6" w:space="0" w:color="FFFFFF"/>
            </w:tcBorders>
          </w:tcPr>
          <w:p w:rsidR="00CA4CD6" w:rsidRPr="00ED0991" w:rsidRDefault="00CA4CD6" w:rsidP="00D36776">
            <w:pPr>
              <w:spacing w:line="120" w:lineRule="exact"/>
              <w:jc w:val="center"/>
            </w:pPr>
          </w:p>
          <w:p w:rsidR="00CA4CD6" w:rsidRPr="00ED0991" w:rsidRDefault="00ED0991" w:rsidP="00D36776">
            <w:pPr>
              <w:pBdr>
                <w:top w:val="single" w:sz="6" w:space="0" w:color="FFFFFF"/>
                <w:left w:val="single" w:sz="6" w:space="0" w:color="FFFFFF"/>
                <w:bottom w:val="single" w:sz="6" w:space="0" w:color="FFFFFF"/>
                <w:right w:val="single" w:sz="6" w:space="0" w:color="FFFFFF"/>
              </w:pBdr>
              <w:spacing w:after="73"/>
              <w:jc w:val="center"/>
            </w:pPr>
            <w:r>
              <w:t>3497</w:t>
            </w:r>
          </w:p>
        </w:tc>
        <w:tc>
          <w:tcPr>
            <w:tcW w:w="1890" w:type="dxa"/>
            <w:tcBorders>
              <w:top w:val="single" w:sz="7" w:space="0" w:color="000000"/>
              <w:left w:val="single" w:sz="7" w:space="0" w:color="000000"/>
              <w:bottom w:val="single" w:sz="7" w:space="0" w:color="000000"/>
              <w:right w:val="single" w:sz="7" w:space="0" w:color="000000"/>
            </w:tcBorders>
          </w:tcPr>
          <w:p w:rsidR="00CA4CD6" w:rsidRPr="00ED0991" w:rsidRDefault="00CA4CD6" w:rsidP="00D36776">
            <w:pPr>
              <w:spacing w:line="120" w:lineRule="exact"/>
              <w:jc w:val="center"/>
            </w:pPr>
          </w:p>
          <w:p w:rsidR="00CA4CD6" w:rsidRPr="00ED0991" w:rsidRDefault="00ED0991" w:rsidP="00D36776">
            <w:pPr>
              <w:pBdr>
                <w:top w:val="single" w:sz="6" w:space="0" w:color="FFFFFF"/>
                <w:left w:val="single" w:sz="6" w:space="0" w:color="FFFFFF"/>
                <w:bottom w:val="single" w:sz="6" w:space="0" w:color="FFFFFF"/>
                <w:right w:val="single" w:sz="6" w:space="0" w:color="FFFFFF"/>
              </w:pBdr>
              <w:spacing w:after="73"/>
              <w:jc w:val="center"/>
            </w:pPr>
            <w:r w:rsidRPr="00ED0991">
              <w:t>332999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75841"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4(b)  Information </w:t>
      </w:r>
      <w:r w:rsidRPr="00475841">
        <w:rPr>
          <w:b/>
          <w:bCs/>
        </w:rPr>
        <w:t>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75841" w:rsidRDefault="00817E8B" w:rsidP="0047584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475841" w:rsidRPr="00475841">
        <w:rPr>
          <w:color w:val="000000"/>
        </w:rPr>
        <w:t xml:space="preserve"> </w:t>
      </w:r>
      <w:r w:rsidR="00252286">
        <w:rPr>
          <w:color w:val="000000"/>
        </w:rPr>
        <w:t xml:space="preserve">the </w:t>
      </w:r>
      <w:r w:rsidR="00475841" w:rsidRPr="00475841">
        <w:rPr>
          <w:color w:val="000000"/>
        </w:rPr>
        <w:t>NESHAP for Metal Can Manufacturing Surface Coating</w:t>
      </w:r>
      <w:r w:rsidR="00475841">
        <w:rPr>
          <w:color w:val="000000"/>
        </w:rPr>
        <w:t xml:space="preserve"> (40 CFR </w:t>
      </w:r>
      <w:r w:rsidR="00252286">
        <w:rPr>
          <w:color w:val="000000"/>
        </w:rPr>
        <w:t>P</w:t>
      </w:r>
      <w:r w:rsidR="00475841" w:rsidRPr="00475841">
        <w:rPr>
          <w:color w:val="000000"/>
        </w:rPr>
        <w:t xml:space="preserve">art 63, </w:t>
      </w:r>
      <w:r w:rsidR="00252286">
        <w:rPr>
          <w:color w:val="000000"/>
        </w:rPr>
        <w:t>S</w:t>
      </w:r>
      <w:r w:rsidR="00475841">
        <w:rPr>
          <w:color w:val="000000"/>
        </w:rPr>
        <w:t>ubpart KKKK).</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86" w:type="dxa"/>
        <w:jc w:val="center"/>
        <w:tblLayout w:type="fixed"/>
        <w:tblCellMar>
          <w:left w:w="120" w:type="dxa"/>
          <w:right w:w="120" w:type="dxa"/>
        </w:tblCellMar>
        <w:tblLook w:val="0000"/>
      </w:tblPr>
      <w:tblGrid>
        <w:gridCol w:w="5638"/>
        <w:gridCol w:w="3748"/>
      </w:tblGrid>
      <w:tr w:rsidR="00A73600" w:rsidRPr="00CF2B37" w:rsidTr="00D36776">
        <w:trPr>
          <w:tblHeader/>
          <w:jc w:val="center"/>
        </w:trPr>
        <w:tc>
          <w:tcPr>
            <w:tcW w:w="9386"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D0991" w:rsidRPr="00CF2B37" w:rsidTr="00D36776">
        <w:trPr>
          <w:jc w:val="center"/>
        </w:trPr>
        <w:tc>
          <w:tcPr>
            <w:tcW w:w="563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Initial notification</w:t>
            </w:r>
          </w:p>
        </w:tc>
        <w:tc>
          <w:tcPr>
            <w:tcW w:w="374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63.3510(b), 63.5(d), 63.9(b)</w:t>
            </w:r>
          </w:p>
        </w:tc>
      </w:tr>
      <w:tr w:rsidR="00ED0991" w:rsidRPr="00CF2B37" w:rsidTr="00D36776">
        <w:trPr>
          <w:jc w:val="center"/>
        </w:trPr>
        <w:tc>
          <w:tcPr>
            <w:tcW w:w="563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Notification of compliance status</w:t>
            </w:r>
          </w:p>
        </w:tc>
        <w:tc>
          <w:tcPr>
            <w:tcW w:w="374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63.3510(c), 63.9(h)</w:t>
            </w:r>
          </w:p>
        </w:tc>
      </w:tr>
      <w:tr w:rsidR="00ED0991" w:rsidRPr="00CF2B37" w:rsidTr="00D36776">
        <w:trPr>
          <w:jc w:val="center"/>
        </w:trPr>
        <w:tc>
          <w:tcPr>
            <w:tcW w:w="563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Notification of construction or reconstruction</w:t>
            </w:r>
          </w:p>
        </w:tc>
        <w:tc>
          <w:tcPr>
            <w:tcW w:w="374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63.3510(a), 63.5</w:t>
            </w:r>
          </w:p>
        </w:tc>
      </w:tr>
      <w:tr w:rsidR="00ED0991" w:rsidRPr="00CF2B37" w:rsidTr="00D36776">
        <w:trPr>
          <w:jc w:val="center"/>
        </w:trPr>
        <w:tc>
          <w:tcPr>
            <w:tcW w:w="563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Notification of actual startup</w:t>
            </w:r>
          </w:p>
        </w:tc>
        <w:tc>
          <w:tcPr>
            <w:tcW w:w="374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63.3510(a), 63.9(b)</w:t>
            </w:r>
          </w:p>
        </w:tc>
      </w:tr>
      <w:tr w:rsidR="00ED0991" w:rsidRPr="00CF2B37" w:rsidTr="00D36776">
        <w:trPr>
          <w:jc w:val="center"/>
        </w:trPr>
        <w:tc>
          <w:tcPr>
            <w:tcW w:w="563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Notification of performance test</w:t>
            </w:r>
          </w:p>
        </w:tc>
        <w:tc>
          <w:tcPr>
            <w:tcW w:w="3748"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FC5E72">
              <w:t>63.3510(a), 63.7(b), 63.8(e), 63.9(e)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5670"/>
        <w:gridCol w:w="3735"/>
      </w:tblGrid>
      <w:tr w:rsidR="00A73600" w:rsidRPr="00CF2B37" w:rsidTr="00D36776">
        <w:trPr>
          <w:tblHeader/>
          <w:jc w:val="center"/>
        </w:trPr>
        <w:tc>
          <w:tcPr>
            <w:tcW w:w="9405"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D0991" w:rsidRPr="00CF2B37" w:rsidTr="00D36776">
        <w:trPr>
          <w:jc w:val="center"/>
        </w:trPr>
        <w:tc>
          <w:tcPr>
            <w:tcW w:w="567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Semiannual report</w:t>
            </w:r>
          </w:p>
        </w:tc>
        <w:tc>
          <w:tcPr>
            <w:tcW w:w="3735"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63.3511(a)</w:t>
            </w:r>
          </w:p>
        </w:tc>
      </w:tr>
      <w:tr w:rsidR="00ED0991" w:rsidRPr="00CF2B37" w:rsidTr="00D36776">
        <w:trPr>
          <w:jc w:val="center"/>
        </w:trPr>
        <w:tc>
          <w:tcPr>
            <w:tcW w:w="567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Excess emissions report</w:t>
            </w:r>
          </w:p>
        </w:tc>
        <w:tc>
          <w:tcPr>
            <w:tcW w:w="3735"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63.3511(a)(4-8)</w:t>
            </w:r>
          </w:p>
        </w:tc>
      </w:tr>
      <w:tr w:rsidR="00ED0991" w:rsidRPr="00CF2B37" w:rsidTr="00D36776">
        <w:trPr>
          <w:jc w:val="center"/>
        </w:trPr>
        <w:tc>
          <w:tcPr>
            <w:tcW w:w="567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Report of performance test</w:t>
            </w:r>
          </w:p>
        </w:tc>
        <w:tc>
          <w:tcPr>
            <w:tcW w:w="3735"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63.3511(b)</w:t>
            </w:r>
          </w:p>
        </w:tc>
      </w:tr>
      <w:tr w:rsidR="00ED0991" w:rsidRPr="00CF2B37" w:rsidTr="00D36776">
        <w:trPr>
          <w:jc w:val="center"/>
        </w:trPr>
        <w:tc>
          <w:tcPr>
            <w:tcW w:w="567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Startup, shutdown, malfunction report</w:t>
            </w:r>
          </w:p>
        </w:tc>
        <w:tc>
          <w:tcPr>
            <w:tcW w:w="3735"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C46AD7">
              <w:t>63.3511(c)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rsidP="00D36776">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ED099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rsidP="00D36776">
            <w:pPr>
              <w:keepNext/>
              <w:keepLines/>
              <w:spacing w:line="120" w:lineRule="exact"/>
            </w:pPr>
          </w:p>
          <w:p w:rsidR="00CA4CD6" w:rsidRPr="00CF2B37" w:rsidRDefault="00CA4CD6" w:rsidP="00D36776">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D36776">
            <w:pPr>
              <w:keepNext/>
              <w:keepLines/>
              <w:pBdr>
                <w:top w:val="single" w:sz="6" w:space="0" w:color="FFFFFF"/>
                <w:left w:val="single" w:sz="6" w:space="0" w:color="FFFFFF"/>
                <w:bottom w:val="single" w:sz="6" w:space="0" w:color="FFFFFF"/>
                <w:right w:val="single" w:sz="6" w:space="0" w:color="FFFFFF"/>
              </w:pBdr>
              <w:spacing w:after="58"/>
            </w:pPr>
            <w:r w:rsidRPr="001160BB">
              <w:t>Five 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D36776">
            <w:pPr>
              <w:keepNext/>
              <w:keepLines/>
              <w:pBdr>
                <w:top w:val="single" w:sz="6" w:space="0" w:color="FFFFFF"/>
                <w:left w:val="single" w:sz="6" w:space="0" w:color="FFFFFF"/>
                <w:bottom w:val="single" w:sz="6" w:space="0" w:color="FFFFFF"/>
                <w:right w:val="single" w:sz="6" w:space="0" w:color="FFFFFF"/>
              </w:pBdr>
              <w:spacing w:after="58"/>
            </w:pPr>
            <w:r w:rsidRPr="001160BB">
              <w:t>63.3513(b), 63.10(b)</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Material formulation data</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63.3512(b)</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Records of HAP content calculations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63.3512(c)</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Copies of 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63.3512(a)</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Records of names of materials used</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63.3512(d)</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HAP fractions in each material used</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63.3512(e)</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Coating solids fraction in each material used</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63.3512(f)</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Density of materials used</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63.3512(g)</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63.3512(h)</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Documentation of deviations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63.3512(i)</w:t>
            </w:r>
          </w:p>
        </w:tc>
      </w:tr>
      <w:tr w:rsidR="00ED0991" w:rsidRPr="00CF2B37" w:rsidTr="00FE29CA">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Start 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rsidP="00FE29CA">
            <w:pPr>
              <w:pBdr>
                <w:top w:val="single" w:sz="6" w:space="0" w:color="FFFFFF"/>
                <w:left w:val="single" w:sz="6" w:space="0" w:color="FFFFFF"/>
                <w:bottom w:val="single" w:sz="6" w:space="0" w:color="FFFFFF"/>
                <w:right w:val="single" w:sz="6" w:space="0" w:color="FFFFFF"/>
              </w:pBdr>
              <w:spacing w:after="58"/>
            </w:pPr>
            <w:r w:rsidRPr="001160BB">
              <w:t>63.3512(j), 63.6(e)</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Records of continuous compliance with operating limits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63.3512(j)</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Documentation of capture system efficiency determination</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63.3512(j)</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Documentation of add-on control device destruction or removal efficiency determination</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63.3512(j)</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63.3512(j), 63.10(b)</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Determination of capture system and add-on control operating limits</w:t>
            </w:r>
          </w:p>
        </w:tc>
        <w:tc>
          <w:tcPr>
            <w:tcW w:w="2250" w:type="dxa"/>
            <w:tcBorders>
              <w:top w:val="single" w:sz="7" w:space="0" w:color="000000"/>
              <w:left w:val="single" w:sz="7" w:space="0" w:color="000000"/>
              <w:bottom w:val="single" w:sz="7" w:space="0" w:color="000000"/>
              <w:right w:val="single" w:sz="7" w:space="0" w:color="000000"/>
            </w:tcBorders>
          </w:tcPr>
          <w:p w:rsidR="00ED0991" w:rsidRPr="00CF2B37" w:rsidRDefault="00ED0991">
            <w:pPr>
              <w:pBdr>
                <w:top w:val="single" w:sz="6" w:space="0" w:color="FFFFFF"/>
                <w:left w:val="single" w:sz="6" w:space="0" w:color="FFFFFF"/>
                <w:bottom w:val="single" w:sz="6" w:space="0" w:color="FFFFFF"/>
                <w:right w:val="single" w:sz="6" w:space="0" w:color="FFFFFF"/>
              </w:pBdr>
              <w:spacing w:after="58"/>
            </w:pPr>
            <w:r w:rsidRPr="001160BB">
              <w:t>63.3512(j)</w:t>
            </w:r>
          </w:p>
        </w:tc>
      </w:tr>
      <w:tr w:rsidR="00ED0991"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ED0991" w:rsidRPr="001160BB" w:rsidRDefault="00ED0991">
            <w:pPr>
              <w:pBdr>
                <w:top w:val="single" w:sz="6" w:space="0" w:color="FFFFFF"/>
                <w:left w:val="single" w:sz="6" w:space="0" w:color="FFFFFF"/>
                <w:bottom w:val="single" w:sz="6" w:space="0" w:color="FFFFFF"/>
                <w:right w:val="single" w:sz="6" w:space="0" w:color="FFFFFF"/>
              </w:pBdr>
              <w:spacing w:after="58"/>
            </w:pPr>
            <w:r w:rsidRPr="0081405D">
              <w:t>Work practice plan/records</w:t>
            </w:r>
          </w:p>
        </w:tc>
        <w:tc>
          <w:tcPr>
            <w:tcW w:w="2250" w:type="dxa"/>
            <w:tcBorders>
              <w:top w:val="single" w:sz="7" w:space="0" w:color="000000"/>
              <w:left w:val="single" w:sz="7" w:space="0" w:color="000000"/>
              <w:bottom w:val="single" w:sz="7" w:space="0" w:color="000000"/>
              <w:right w:val="single" w:sz="7" w:space="0" w:color="000000"/>
            </w:tcBorders>
          </w:tcPr>
          <w:p w:rsidR="00ED0991" w:rsidRPr="001160BB" w:rsidRDefault="00ED0991">
            <w:pPr>
              <w:pBdr>
                <w:top w:val="single" w:sz="6" w:space="0" w:color="FFFFFF"/>
                <w:left w:val="single" w:sz="6" w:space="0" w:color="FFFFFF"/>
                <w:bottom w:val="single" w:sz="6" w:space="0" w:color="FFFFFF"/>
                <w:right w:val="single" w:sz="6" w:space="0" w:color="FFFFFF"/>
              </w:pBdr>
              <w:spacing w:after="58"/>
            </w:pPr>
            <w:r w:rsidRPr="0081405D">
              <w:t>63.3512(j)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rsidP="00861AFB">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Also, regulatory agencies in cooperation with th</w:t>
      </w:r>
      <w:r w:rsidR="00724BC7">
        <w:rPr>
          <w:color w:val="000000"/>
        </w:rPr>
        <w:t>e respondents</w:t>
      </w:r>
      <w:r>
        <w:rPr>
          <w:color w:val="000000"/>
        </w:rPr>
        <w:t xml:space="preserve"> continue </w:t>
      </w:r>
      <w:r w:rsidRPr="00ED0991">
        <w:t>to create reporting systems to transmit data electronically.  However, electronic reporting systems are still not widely used.  At this time, it is estimated that approximately 10 percent of the respon</w:t>
      </w:r>
      <w:r w:rsidR="00475841" w:rsidRPr="00ED0991">
        <w:t>dents</w:t>
      </w:r>
      <w:r w:rsidR="00475841">
        <w:rPr>
          <w:color w:val="000000"/>
        </w:rPr>
        <w:t xml:space="preserve">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rsidP="00D36776">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D36776">
            <w:pPr>
              <w:keepNext/>
              <w:keepLines/>
              <w:spacing w:line="120" w:lineRule="exact"/>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ED0991" w:rsidP="00ED0991">
            <w:pPr>
              <w:pBdr>
                <w:top w:val="single" w:sz="6" w:space="0" w:color="FFFFFF"/>
                <w:left w:val="single" w:sz="6" w:space="0" w:color="FFFFFF"/>
                <w:bottom w:val="single" w:sz="6" w:space="0" w:color="FFFFFF"/>
                <w:right w:val="single" w:sz="6" w:space="0" w:color="FFFFFF"/>
              </w:pBdr>
              <w:spacing w:after="55"/>
              <w:rPr>
                <w:color w:val="000000"/>
              </w:rPr>
            </w:pPr>
            <w:r w:rsidRPr="00ED0991">
              <w:rPr>
                <w:color w:val="000000"/>
              </w:rPr>
              <w:t>Install, calibrate, maintain, and operate CMS for temperature, for gas flow, or for pressure drop for oxidizer, carbon adsorber, condenser, concentrator, or capture system.</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ED0991" w:rsidP="00ED0991">
            <w:pPr>
              <w:pBdr>
                <w:top w:val="single" w:sz="6" w:space="0" w:color="FFFFFF"/>
                <w:left w:val="single" w:sz="6" w:space="0" w:color="FFFFFF"/>
                <w:bottom w:val="single" w:sz="6" w:space="0" w:color="FFFFFF"/>
                <w:right w:val="single" w:sz="6" w:space="0" w:color="FFFFFF"/>
              </w:pBdr>
              <w:spacing w:after="55"/>
              <w:rPr>
                <w:color w:val="000000"/>
              </w:rPr>
            </w:pPr>
            <w:r w:rsidRPr="00ED0991">
              <w:rPr>
                <w:color w:val="000000"/>
              </w:rPr>
              <w:t>Perform initial performance test, Reference Method 1, 1A, 2, 2A, 2C, 2D, 2F, 2G, 3, 3A, 3B, 4, 24, 25, 25A, 204, 204A, 204B, 204C, 204D, 204E, 204F, 311, or ASTM Method D1475-98, D2697-86, D6093-97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475841" w:rsidRDefault="00CA4CD6">
      <w:pPr>
        <w:pBdr>
          <w:top w:val="single" w:sz="6" w:space="0" w:color="FFFFFF"/>
          <w:left w:val="single" w:sz="6" w:space="0" w:color="FFFFFF"/>
          <w:bottom w:val="single" w:sz="6" w:space="0" w:color="FFFFFF"/>
          <w:right w:val="single" w:sz="6" w:space="0" w:color="FFFFFF"/>
        </w:pBdr>
      </w:pPr>
    </w:p>
    <w:p w:rsidR="00606DEF" w:rsidRPr="00475841" w:rsidRDefault="00CF2B37" w:rsidP="00CF2B37">
      <w:pPr>
        <w:pBdr>
          <w:top w:val="single" w:sz="6" w:space="0" w:color="FFFFFF"/>
          <w:left w:val="single" w:sz="6" w:space="0" w:color="FFFFFF"/>
          <w:bottom w:val="single" w:sz="6" w:space="0" w:color="FFFFFF"/>
          <w:right w:val="single" w:sz="6" w:space="0" w:color="FFFFFF"/>
        </w:pBdr>
        <w:ind w:firstLine="720"/>
      </w:pPr>
      <w:r w:rsidRPr="00475841">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Pr="00475841"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rsidR="00CA4CD6" w:rsidRDefault="00CA4CD6" w:rsidP="001F3051">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rsidP="001F3051">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D36776">
            <w:pPr>
              <w:keepNext/>
              <w:keepLines/>
              <w:spacing w:line="120" w:lineRule="exact"/>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D0991" w:rsidTr="00FE29CA">
        <w:tc>
          <w:tcPr>
            <w:tcW w:w="9360" w:type="dxa"/>
            <w:tcBorders>
              <w:top w:val="single" w:sz="7" w:space="0" w:color="000000"/>
              <w:left w:val="single" w:sz="7" w:space="0" w:color="000000"/>
              <w:bottom w:val="single" w:sz="6" w:space="0" w:color="FFFFFF"/>
              <w:right w:val="single" w:sz="7" w:space="0" w:color="000000"/>
            </w:tcBorders>
          </w:tcPr>
          <w:p w:rsidR="00ED0991" w:rsidRDefault="00ED0991" w:rsidP="00D36776">
            <w:pPr>
              <w:keepNext/>
              <w:keepLines/>
              <w:spacing w:line="120" w:lineRule="exact"/>
              <w:rPr>
                <w:color w:val="000000"/>
              </w:rPr>
            </w:pPr>
          </w:p>
          <w:p w:rsidR="00ED0991" w:rsidRDefault="00ED0991" w:rsidP="00D36776">
            <w:pPr>
              <w:keepNext/>
              <w:keepLines/>
              <w:pBdr>
                <w:top w:val="single" w:sz="6" w:space="0" w:color="FFFFFF"/>
                <w:left w:val="single" w:sz="6" w:space="0" w:color="FFFFFF"/>
                <w:bottom w:val="single" w:sz="6" w:space="0" w:color="FFFFFF"/>
                <w:right w:val="single" w:sz="6" w:space="0" w:color="FFFFFF"/>
              </w:pBdr>
              <w:spacing w:after="52"/>
              <w:rPr>
                <w:color w:val="000000"/>
              </w:rPr>
            </w:pPr>
            <w:r w:rsidRPr="00ED0991">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D36776">
            <w:pPr>
              <w:keepNext/>
              <w:keepLines/>
              <w:spacing w:line="120" w:lineRule="exact"/>
              <w:rPr>
                <w:color w:val="000000"/>
              </w:rPr>
            </w:pPr>
          </w:p>
          <w:p w:rsidR="00CA4CD6" w:rsidRDefault="00ED0991" w:rsidP="00D36776">
            <w:pPr>
              <w:keepNext/>
              <w:keepLines/>
              <w:pBdr>
                <w:top w:val="single" w:sz="6" w:space="0" w:color="FFFFFF"/>
                <w:left w:val="single" w:sz="6" w:space="0" w:color="FFFFFF"/>
                <w:bottom w:val="single" w:sz="6" w:space="0" w:color="FFFFFF"/>
                <w:right w:val="single" w:sz="6" w:space="0" w:color="FFFFFF"/>
              </w:pBdr>
              <w:spacing w:after="52"/>
              <w:rPr>
                <w:color w:val="000000"/>
              </w:rPr>
            </w:pPr>
            <w:r w:rsidRPr="00ED0991">
              <w:rPr>
                <w:color w:val="000000"/>
              </w:rPr>
              <w:t>Review notifications and reports including: performance test reports; excess emissions reports; startup, shutdown, malfunction plan; and the CMS quality control plan.</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AD3C1B">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AD3C1B">
              <w:rPr>
                <w:color w:val="000000"/>
              </w:rPr>
              <w:t>Online Tracking Information System (</w:t>
            </w:r>
            <w:r w:rsidR="004C701D">
              <w:rPr>
                <w:color w:val="000000"/>
              </w:rPr>
              <w:t>OTIS</w:t>
            </w:r>
            <w:r w:rsidR="00AD3C1B">
              <w:rPr>
                <w:color w:val="000000"/>
              </w:rPr>
              <w:t>)</w:t>
            </w:r>
            <w:r w:rsidR="004C701D">
              <w:rPr>
                <w:color w:val="00000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w:t>
      </w:r>
      <w:r w:rsidRPr="00607162">
        <w:rPr>
          <w:b/>
          <w:bCs/>
        </w:rPr>
        <w:t>Methodology and Management</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sidRPr="00607162">
        <w:t xml:space="preserve">Following notification of startup, the reviewing authority </w:t>
      </w:r>
      <w:r w:rsidR="002B29A7" w:rsidRPr="00607162">
        <w:t xml:space="preserve">could </w:t>
      </w:r>
      <w:r w:rsidRPr="00607162">
        <w:t>inspect the source to determine whether the pollution control devices are properly installed and operated.</w:t>
      </w:r>
      <w:r w:rsidR="00607162" w:rsidRPr="00607162">
        <w:t xml:space="preserve">  </w:t>
      </w:r>
      <w:r w:rsidRPr="00607162">
        <w:t>Performance test reports are used by the Agency to discern a source</w:t>
      </w:r>
      <w:r w:rsidR="004C701D" w:rsidRPr="00607162">
        <w:t>’</w:t>
      </w:r>
      <w:r w:rsidRPr="00607162">
        <w:t>s initial capability to comply with the emission standard.</w:t>
      </w:r>
      <w:r w:rsidR="00607162" w:rsidRPr="00607162">
        <w:t xml:space="preserve">  </w:t>
      </w:r>
      <w:r w:rsidRPr="00607162">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sidRPr="00607162">
        <w:t xml:space="preserve">Information contained in </w:t>
      </w:r>
      <w:r w:rsidR="004C701D" w:rsidRPr="00607162">
        <w:t xml:space="preserve">the reports is entered into OTIS </w:t>
      </w:r>
      <w:r w:rsidRPr="00607162">
        <w:t xml:space="preserve">which is operated and maintained by EPA's Office of Compliance.  </w:t>
      </w:r>
      <w:r w:rsidR="004C701D" w:rsidRPr="00607162">
        <w:t xml:space="preserve">OTIS </w:t>
      </w:r>
      <w:r w:rsidRPr="00607162">
        <w:t>is EPA</w:t>
      </w:r>
      <w:r w:rsidR="004C701D" w:rsidRPr="00607162">
        <w:t>’</w:t>
      </w:r>
      <w:r w:rsidRPr="00607162">
        <w:t xml:space="preserve">s database for the collection, maintenance, and retrieval of compliance data for approximately 125,000 industrial and government-owned facilities.  EPA uses the </w:t>
      </w:r>
      <w:r w:rsidR="004C701D" w:rsidRPr="00607162">
        <w:t>OTIS</w:t>
      </w:r>
      <w:r w:rsidRPr="00607162">
        <w:t xml:space="preserve"> for tracking air pollution compliance and enforcement by local and state regulatory agencies, EPA regional offices and EPA headquarters.  EPA and its delegated Authorities can edit, store, retrieve and analyze the data.</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sidRPr="00607162">
        <w:t xml:space="preserve"> The records required by this regulation must be retained by the owner/operator for </w:t>
      </w:r>
      <w:r w:rsidR="00607162" w:rsidRPr="00607162">
        <w:t xml:space="preserve">five </w:t>
      </w:r>
      <w:r w:rsidRPr="00607162">
        <w:t>years.</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sidRPr="00607162">
        <w:rPr>
          <w:b/>
          <w:bCs/>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B800BA" w:rsidRDefault="00607162" w:rsidP="00607162">
      <w:pPr>
        <w:pBdr>
          <w:top w:val="single" w:sz="6" w:space="0" w:color="FFFFFF"/>
          <w:left w:val="single" w:sz="6" w:space="0" w:color="FFFFFF"/>
          <w:bottom w:val="single" w:sz="6" w:space="0" w:color="FFFFFF"/>
          <w:right w:val="single" w:sz="6" w:space="0" w:color="FFFFFF"/>
        </w:pBdr>
        <w:ind w:firstLine="720"/>
        <w:rPr>
          <w:color w:val="000000"/>
        </w:rPr>
      </w:pPr>
      <w:r>
        <w:rPr>
          <w:color w:val="000000"/>
        </w:rPr>
        <w:t>A</w:t>
      </w:r>
      <w:r w:rsidR="00CA4CD6">
        <w:rPr>
          <w:color w:val="000000"/>
        </w:rPr>
        <w:t xml:space="preserve"> majority of the respondents are large entities (i.e., large businesses).  However, the impact on small entities (i.e., small businesses) was taken into consideration during the development of the regulation.</w:t>
      </w:r>
      <w:r>
        <w:rPr>
          <w:color w:val="000000"/>
        </w:rPr>
        <w:t xml:space="preserve">  </w:t>
      </w:r>
      <w:r w:rsidRPr="00607162">
        <w:rPr>
          <w:color w:val="000000"/>
        </w:rPr>
        <w:t xml:space="preserve">Small entities were afforded extensive flexibility in demonstrating compliance through compliance options that give small entities flexibility in </w:t>
      </w:r>
      <w:r w:rsidRPr="00607162">
        <w:rPr>
          <w:color w:val="000000"/>
        </w:rPr>
        <w:lastRenderedPageBreak/>
        <w:t>choosing the most cost effective and least burdensome alternative for their operation.</w:t>
      </w:r>
      <w:r>
        <w:rPr>
          <w:color w:val="000000"/>
        </w:rPr>
        <w:t xml:space="preserve">  </w:t>
      </w:r>
      <w:r w:rsidR="00B800BA" w:rsidRPr="00607162">
        <w:rPr>
          <w:color w:val="000000"/>
        </w:rPr>
        <w:t xml:space="preserve">During rulemaking for subpart KKKK, EPA identified 13 small businesses </w:t>
      </w:r>
      <w:r w:rsidR="00B800BA">
        <w:rPr>
          <w:color w:val="000000"/>
        </w:rPr>
        <w:t xml:space="preserve">were </w:t>
      </w:r>
      <w:r w:rsidR="00B800BA" w:rsidRPr="00607162">
        <w:rPr>
          <w:color w:val="000000"/>
        </w:rPr>
        <w:t>subject to the rule</w:t>
      </w:r>
      <w:r w:rsidR="003B01A3">
        <w:rPr>
          <w:color w:val="000000"/>
        </w:rPr>
        <w:t xml:space="preserve"> at the time, which represents 18 percent of the respondent universe</w:t>
      </w:r>
      <w:r w:rsidR="00B800BA" w:rsidRPr="00607162">
        <w:rPr>
          <w:color w:val="000000"/>
        </w:rPr>
        <w:t xml:space="preserve">.  </w:t>
      </w:r>
      <w:r w:rsidR="003B01A3">
        <w:rPr>
          <w:color w:val="000000"/>
        </w:rPr>
        <w:t xml:space="preserve">We assume 18 percent of the current respondent universe (5 total), or one small business is now subject to the rule. </w:t>
      </w:r>
    </w:p>
    <w:p w:rsidR="00B800BA" w:rsidRDefault="00B800BA" w:rsidP="0060716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60716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607162">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475841">
        <w:t xml:space="preserve"> </w:t>
      </w:r>
      <w:r w:rsidR="00475841" w:rsidRPr="00475841">
        <w:t>NESHAP for Metal Can Manufacturing Surface Coating (40 CFR Part 63, Subpart KKKK)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47248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475841"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s is estimated to be</w:t>
      </w:r>
      <w:r w:rsidR="00EE6EAE">
        <w:rPr>
          <w:color w:val="000000"/>
        </w:rPr>
        <w:t xml:space="preserve"> </w:t>
      </w:r>
      <w:r w:rsidR="001F3051" w:rsidRPr="001F3051">
        <w:rPr>
          <w:color w:val="000000"/>
        </w:rPr>
        <w:t>1,938</w:t>
      </w:r>
      <w:r w:rsidR="004702FD">
        <w:rPr>
          <w:color w:val="000000"/>
        </w:rPr>
        <w:t xml:space="preserve"> hours</w:t>
      </w:r>
      <w:r w:rsidR="00EE6EAE">
        <w:rPr>
          <w:color w:val="000000"/>
        </w:rPr>
        <w:t xml:space="preserve"> </w:t>
      </w:r>
      <w:r w:rsidR="004C701D">
        <w:rPr>
          <w:color w:val="000000"/>
        </w:rPr>
        <w:t>(</w:t>
      </w:r>
      <w:r>
        <w:rPr>
          <w:color w:val="000000"/>
        </w:rPr>
        <w:t xml:space="preserve">Total Labor </w:t>
      </w:r>
      <w:r w:rsidRPr="00475841">
        <w:t>Hours from Table 1</w:t>
      </w:r>
      <w:r w:rsidR="00807D33">
        <w:t xml:space="preserve"> below</w:t>
      </w:r>
      <w:r w:rsidRPr="00475841">
        <w:t xml:space="preserve">). </w:t>
      </w:r>
      <w:r w:rsidR="001C5991" w:rsidRPr="00475841">
        <w:t xml:space="preserve">  T</w:t>
      </w:r>
      <w:r w:rsidRPr="00475841">
        <w:t>hese hours are based on Agency studies and background documen</w:t>
      </w:r>
      <w:r w:rsidR="004C701D" w:rsidRPr="00475841">
        <w:t xml:space="preserve">ts from the development of the </w:t>
      </w:r>
      <w:r w:rsidRPr="00475841">
        <w:t>regulation, Agency knowledge and experience with the NESHAP</w:t>
      </w:r>
      <w:r w:rsidR="00475841" w:rsidRPr="00475841">
        <w:t xml:space="preserve"> </w:t>
      </w:r>
      <w:r w:rsidRPr="00475841">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AA6230" w:rsidRDefault="00AA6230" w:rsidP="00AA623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$123.04 ($58.59+ 110%)   </w:t>
      </w:r>
    </w:p>
    <w:p w:rsidR="00AA6230" w:rsidRDefault="00AA6230" w:rsidP="00AA623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$101.22 ($48.20 + 110%)</w:t>
      </w:r>
    </w:p>
    <w:p w:rsidR="00AA6230" w:rsidRDefault="00AA6230" w:rsidP="00AA623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$51.18 ($24.37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AA6230" w:rsidRDefault="00AA6230" w:rsidP="00AA6230">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607162" w:rsidRDefault="00607162" w:rsidP="00D36776">
      <w:pPr>
        <w:keepNext/>
        <w:keepLines/>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D36776">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This section covers the costs associated with all types of continuous monitoring equipment (e.g., CEMS and continuous parameter monitors).  The type of industry costs associated with the information collection activities in the subject standard are both labor costs</w:t>
      </w:r>
      <w:r w:rsidR="00607162">
        <w:rPr>
          <w:color w:val="000000"/>
        </w:rPr>
        <w:t>,</w:t>
      </w:r>
      <w:r>
        <w:rPr>
          <w:color w:val="000000"/>
        </w:rPr>
        <w:t xml:space="preserve"> which are addressed elsewhere in this ICR</w:t>
      </w:r>
      <w:r w:rsidR="00607162">
        <w:rPr>
          <w:color w:val="000000"/>
        </w:rPr>
        <w:t>,</w:t>
      </w:r>
      <w:r>
        <w:rPr>
          <w:color w:val="000000"/>
        </w:rPr>
        <w:t xml:space="preserve">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607162">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tc>
          <w:tcPr>
            <w:tcW w:w="117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607162">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CEM</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607162" w:rsidP="0060716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$16,000</w:t>
            </w:r>
          </w:p>
        </w:tc>
        <w:tc>
          <w:tcPr>
            <w:tcW w:w="1350" w:type="dxa"/>
            <w:tcBorders>
              <w:top w:val="single" w:sz="7" w:space="0" w:color="000000"/>
              <w:left w:val="single" w:sz="7" w:space="0" w:color="000000"/>
              <w:bottom w:val="single" w:sz="7" w:space="0" w:color="000000"/>
              <w:right w:val="single" w:sz="6" w:space="0" w:color="FFFFFF"/>
            </w:tcBorders>
          </w:tcPr>
          <w:p w:rsidR="00CA4CD6" w:rsidRPr="00607162" w:rsidRDefault="00CA4CD6" w:rsidP="00607162">
            <w:pPr>
              <w:spacing w:line="120" w:lineRule="exact"/>
              <w:jc w:val="center"/>
              <w:rPr>
                <w:color w:val="000000"/>
                <w:sz w:val="20"/>
                <w:szCs w:val="20"/>
              </w:rPr>
            </w:pPr>
          </w:p>
          <w:p w:rsidR="00CA4CD6" w:rsidRPr="00607162" w:rsidRDefault="00607162" w:rsidP="0060716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07162">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CA4CD6" w:rsidRPr="00607162" w:rsidRDefault="00CA4CD6" w:rsidP="00607162">
            <w:pPr>
              <w:spacing w:line="120" w:lineRule="exact"/>
              <w:jc w:val="center"/>
              <w:rPr>
                <w:color w:val="000000"/>
                <w:sz w:val="20"/>
                <w:szCs w:val="20"/>
              </w:rPr>
            </w:pPr>
          </w:p>
          <w:p w:rsidR="00CA4CD6" w:rsidRPr="00607162" w:rsidRDefault="00607162" w:rsidP="0060716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07162">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Pr="00607162" w:rsidRDefault="00CA4CD6" w:rsidP="00607162">
            <w:pPr>
              <w:spacing w:line="120" w:lineRule="exact"/>
              <w:jc w:val="center"/>
              <w:rPr>
                <w:color w:val="000000"/>
                <w:sz w:val="20"/>
                <w:szCs w:val="20"/>
              </w:rPr>
            </w:pPr>
          </w:p>
          <w:p w:rsidR="00CA4CD6" w:rsidRPr="00607162" w:rsidRDefault="00607162" w:rsidP="00607162">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607162">
              <w:rPr>
                <w:color w:val="000000"/>
                <w:sz w:val="20"/>
                <w:szCs w:val="20"/>
              </w:rPr>
              <w:t>$1,200</w:t>
            </w:r>
          </w:p>
        </w:tc>
        <w:tc>
          <w:tcPr>
            <w:tcW w:w="1260" w:type="dxa"/>
            <w:tcBorders>
              <w:top w:val="single" w:sz="7" w:space="0" w:color="000000"/>
              <w:left w:val="single" w:sz="7" w:space="0" w:color="000000"/>
              <w:bottom w:val="single" w:sz="7" w:space="0" w:color="000000"/>
              <w:right w:val="single" w:sz="6" w:space="0" w:color="FFFFFF"/>
            </w:tcBorders>
          </w:tcPr>
          <w:p w:rsidR="00CA4CD6" w:rsidRPr="00607162" w:rsidRDefault="00CA4CD6" w:rsidP="00607162">
            <w:pPr>
              <w:spacing w:line="120" w:lineRule="exact"/>
              <w:jc w:val="center"/>
              <w:rPr>
                <w:color w:val="000000"/>
                <w:sz w:val="20"/>
                <w:szCs w:val="20"/>
              </w:rPr>
            </w:pPr>
          </w:p>
          <w:p w:rsidR="00CA4CD6" w:rsidRPr="00607162" w:rsidRDefault="008B0518" w:rsidP="008B051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tcPr>
          <w:p w:rsidR="00CA4CD6" w:rsidRPr="00607162" w:rsidRDefault="00CA4CD6" w:rsidP="00607162">
            <w:pPr>
              <w:spacing w:line="120" w:lineRule="exact"/>
              <w:jc w:val="center"/>
              <w:rPr>
                <w:color w:val="000000"/>
                <w:sz w:val="20"/>
                <w:szCs w:val="20"/>
              </w:rPr>
            </w:pPr>
          </w:p>
          <w:p w:rsidR="00CA4CD6" w:rsidRPr="00607162" w:rsidRDefault="008B0518" w:rsidP="008B0518">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$6,000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E6EAE">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2760FD">
        <w:rPr>
          <w:color w:val="000000"/>
        </w:rPr>
        <w:t>$6,000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1F3051">
        <w:rPr>
          <w:color w:val="000000"/>
        </w:rPr>
        <w:t>$6,000</w:t>
      </w:r>
      <w:r>
        <w:rPr>
          <w:color w:val="000000"/>
        </w:rPr>
        <w:t>.</w:t>
      </w:r>
      <w:r w:rsidR="001C5991">
        <w:rPr>
          <w:color w:val="000000"/>
        </w:rPr>
        <w:t xml:space="preserve">  </w:t>
      </w:r>
      <w:r>
        <w:rPr>
          <w:color w:val="000000"/>
        </w:rPr>
        <w:t xml:space="preserve">The continuous monitoring costs that are included in this section consist only of those capital/start-up and O&amp;M costs that a source incurs as a result of the standard.  Some continuous monitoring costs may not </w:t>
      </w:r>
      <w:r w:rsidR="00607162">
        <w:rPr>
          <w:color w:val="000000"/>
        </w:rPr>
        <w:t>be included</w:t>
      </w:r>
      <w:r>
        <w:rPr>
          <w:color w:val="000000"/>
        </w:rPr>
        <w:t xml:space="preserve"> in this section.  For instance, if a particular industry typically utilizes a control device that must have a continuous monitor (e.g., temperature, pressure drop, etc.) to function properly, and the recordation of additional measurements beyond the minimum are required by the standard, then there is no capital/startup or O &amp; M cost, but there is a labor cost to record the additional readings.  Such a cost would not appear in this section, but in the indus</w:t>
      </w:r>
      <w:r w:rsidR="00607162">
        <w:rPr>
          <w:color w:val="000000"/>
        </w:rPr>
        <w:t>try burden Section 6 (d)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rsidR="00CA4CD6" w:rsidRDefault="00CA4CD6" w:rsidP="001F3051">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1F305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1F3051">
        <w:rPr>
          <w:color w:val="000000"/>
        </w:rPr>
        <w:t>$</w:t>
      </w:r>
      <w:r w:rsidR="001F3051" w:rsidRPr="001F3051">
        <w:rPr>
          <w:color w:val="000000"/>
        </w:rPr>
        <w:t>8,810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60FD">
      <w:pPr>
        <w:pBdr>
          <w:top w:val="single" w:sz="6" w:space="0" w:color="FFFFFF"/>
          <w:left w:val="single" w:sz="6" w:space="0" w:color="FFFFFF"/>
          <w:bottom w:val="single" w:sz="6" w:space="0" w:color="FFFFFF"/>
          <w:right w:val="single" w:sz="6" w:space="0" w:color="FFFFFF"/>
        </w:pBdr>
      </w:pPr>
      <w:r w:rsidRPr="002760FD">
        <w:rPr>
          <w:color w:val="000000"/>
        </w:rPr>
        <w:t xml:space="preserve">These rates are from the Office of Personnel Management (OPM), 2013 General Schedule, which excludes locality rates of pay.  The rates have been increased by 60 percent to account for the benefit packages available to government employees.  Details upon which this estimate is based appear below in Table </w:t>
      </w:r>
      <w:r w:rsidR="00CA4CD6">
        <w:rPr>
          <w:color w:val="000000"/>
        </w:rPr>
        <w:t xml:space="preserve">2: </w:t>
      </w:r>
      <w:r w:rsidR="00CF2B37" w:rsidRPr="00CF2B37">
        <w:t>Average Annual EPA Burden and Cost –</w:t>
      </w:r>
      <w:r w:rsidR="00607162">
        <w:t xml:space="preserve"> </w:t>
      </w:r>
      <w:r w:rsidR="00607162" w:rsidRPr="00607162">
        <w:t>NESHAP for Metal Can Manufacturing Surface Coating (40 CFR Part 63, Subpart KKKK)</w:t>
      </w:r>
      <w:r w:rsidR="00607162">
        <w:t>.</w:t>
      </w:r>
    </w:p>
    <w:p w:rsidR="00607162" w:rsidRDefault="0060716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FE29CA">
        <w:rPr>
          <w:color w:val="000000"/>
        </w:rPr>
        <w:t xml:space="preserve"> </w:t>
      </w:r>
      <w:r w:rsidR="002760FD">
        <w:rPr>
          <w:color w:val="000000"/>
        </w:rPr>
        <w:t>five</w:t>
      </w:r>
      <w:r w:rsidR="00FE29CA">
        <w:rPr>
          <w:color w:val="000000"/>
        </w:rPr>
        <w:t xml:space="preserve"> </w:t>
      </w:r>
      <w:r>
        <w:rPr>
          <w:color w:val="000000"/>
        </w:rPr>
        <w:t xml:space="preserve">existing respondents will be subject to the standard.  It is estimated that </w:t>
      </w:r>
      <w:r w:rsidR="00FE29CA">
        <w:rPr>
          <w:color w:val="000000"/>
        </w:rPr>
        <w:t xml:space="preserve">no </w:t>
      </w:r>
      <w:r>
        <w:rPr>
          <w:color w:val="000000"/>
        </w:rPr>
        <w:t>additional</w:t>
      </w:r>
      <w:r w:rsidR="00FE29CA">
        <w:rPr>
          <w:color w:val="000000"/>
        </w:rPr>
        <w:t xml:space="preserve"> </w:t>
      </w:r>
      <w:r>
        <w:rPr>
          <w:color w:val="000000"/>
        </w:rPr>
        <w:t>respondents per year will become subject.  The overall average number of responden</w:t>
      </w:r>
      <w:r w:rsidR="0035325B">
        <w:rPr>
          <w:color w:val="000000"/>
        </w:rPr>
        <w:t>ts, as shown in the table below,</w:t>
      </w:r>
      <w:r>
        <w:rPr>
          <w:color w:val="000000"/>
        </w:rPr>
        <w:t xml:space="preserve"> is</w:t>
      </w:r>
      <w:r w:rsidR="00FE29CA">
        <w:rPr>
          <w:color w:val="000000"/>
        </w:rPr>
        <w:t xml:space="preserve"> </w:t>
      </w:r>
      <w:r w:rsidR="002760FD">
        <w:rPr>
          <w:color w:val="000000"/>
        </w:rPr>
        <w:t>five</w:t>
      </w:r>
      <w:r w:rsidR="00FE29CA">
        <w:rPr>
          <w:color w:val="00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2760FD">
        <w:trPr>
          <w:tblHeader/>
        </w:trPr>
        <w:tc>
          <w:tcPr>
            <w:tcW w:w="900"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2760FD">
        <w:tc>
          <w:tcPr>
            <w:tcW w:w="900" w:type="dxa"/>
            <w:tcBorders>
              <w:top w:val="single" w:sz="4" w:space="0" w:color="auto"/>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4" w:space="0" w:color="auto"/>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7" w:space="0" w:color="000000"/>
              <w:bottom w:val="single" w:sz="6" w:space="0" w:color="FFFFFF"/>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2760FD">
        <w:tc>
          <w:tcPr>
            <w:tcW w:w="900" w:type="dxa"/>
            <w:tcBorders>
              <w:top w:val="single" w:sz="7" w:space="0" w:color="000000"/>
              <w:left w:val="single" w:sz="7" w:space="0" w:color="000000"/>
              <w:bottom w:val="single" w:sz="8" w:space="0" w:color="000000"/>
              <w:right w:val="single" w:sz="6" w:space="0" w:color="FFFFFF"/>
            </w:tcBorders>
          </w:tcPr>
          <w:p w:rsidR="00CA4CD6" w:rsidRPr="00FE29CA" w:rsidRDefault="00CA4CD6">
            <w:pPr>
              <w:spacing w:line="120" w:lineRule="exact"/>
              <w:rPr>
                <w:sz w:val="18"/>
                <w:szCs w:val="18"/>
              </w:rPr>
            </w:pPr>
          </w:p>
          <w:p w:rsidR="00CA4CD6" w:rsidRPr="00FE29CA"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E29C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E29CA">
              <w:rPr>
                <w:sz w:val="20"/>
                <w:szCs w:val="20"/>
              </w:rPr>
              <w:t>(A)</w:t>
            </w:r>
          </w:p>
          <w:p w:rsidR="00CA4CD6" w:rsidRPr="00FE29C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E29CA">
              <w:rPr>
                <w:sz w:val="20"/>
                <w:szCs w:val="20"/>
              </w:rPr>
              <w:t xml:space="preserve">Number of New Respondents </w:t>
            </w:r>
            <w:r w:rsidRPr="00FE29C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E29CA">
              <w:rPr>
                <w:sz w:val="20"/>
                <w:szCs w:val="20"/>
              </w:rPr>
              <w:t>(B)</w:t>
            </w:r>
          </w:p>
          <w:p w:rsidR="00CA4CD6" w:rsidRPr="00FE29C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E29CA">
              <w:rPr>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E29CA">
              <w:rPr>
                <w:sz w:val="20"/>
                <w:szCs w:val="20"/>
              </w:rPr>
              <w:t>(C)</w:t>
            </w:r>
          </w:p>
          <w:p w:rsidR="00CA4CD6" w:rsidRPr="00FE29C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E29CA">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E29CA">
              <w:rPr>
                <w:sz w:val="20"/>
                <w:szCs w:val="20"/>
              </w:rPr>
              <w:t>(D)</w:t>
            </w:r>
          </w:p>
          <w:p w:rsidR="00CA4CD6" w:rsidRPr="00FE29C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E29CA">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E29CA">
              <w:rPr>
                <w:sz w:val="20"/>
                <w:szCs w:val="20"/>
              </w:rPr>
              <w:t>(E)</w:t>
            </w:r>
          </w:p>
          <w:p w:rsidR="00CA4CD6" w:rsidRPr="00FE29CA" w:rsidRDefault="00CA4CD6">
            <w:pPr>
              <w:pBdr>
                <w:top w:val="single" w:sz="6" w:space="0" w:color="FFFFFF"/>
                <w:left w:val="single" w:sz="6" w:space="0" w:color="FFFFFF"/>
                <w:bottom w:val="single" w:sz="6" w:space="0" w:color="FFFFFF"/>
                <w:right w:val="single" w:sz="6" w:space="0" w:color="FFFFFF"/>
              </w:pBdr>
              <w:rPr>
                <w:sz w:val="20"/>
                <w:szCs w:val="20"/>
              </w:rPr>
            </w:pPr>
            <w:r w:rsidRPr="00FE29CA">
              <w:rPr>
                <w:sz w:val="20"/>
                <w:szCs w:val="20"/>
              </w:rPr>
              <w:t>Number of Respondents</w:t>
            </w:r>
          </w:p>
          <w:p w:rsidR="00CA4CD6" w:rsidRPr="00FE29C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E29CA">
              <w:rPr>
                <w:sz w:val="20"/>
                <w:szCs w:val="20"/>
              </w:rPr>
              <w:t>(E=A+B+C-D)</w:t>
            </w:r>
          </w:p>
        </w:tc>
      </w:tr>
      <w:tr w:rsidR="00CA4CD6" w:rsidTr="002760FD">
        <w:tc>
          <w:tcPr>
            <w:tcW w:w="900" w:type="dxa"/>
            <w:tcBorders>
              <w:top w:val="single" w:sz="8" w:space="0" w:color="000000"/>
              <w:left w:val="single" w:sz="8" w:space="0" w:color="000000"/>
              <w:bottom w:val="single" w:sz="6" w:space="0" w:color="000000"/>
              <w:right w:val="single" w:sz="6" w:space="0" w:color="000000"/>
            </w:tcBorders>
          </w:tcPr>
          <w:p w:rsidR="00CA4CD6" w:rsidRPr="00FE29CA" w:rsidRDefault="00CA4CD6">
            <w:pPr>
              <w:spacing w:line="120" w:lineRule="exact"/>
              <w:rPr>
                <w:sz w:val="20"/>
                <w:szCs w:val="20"/>
              </w:rPr>
            </w:pPr>
          </w:p>
          <w:p w:rsidR="00CA4CD6" w:rsidRPr="00FE29C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c>
          <w:tcPr>
            <w:tcW w:w="2070" w:type="dxa"/>
            <w:tcBorders>
              <w:top w:val="single" w:sz="8"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c>
          <w:tcPr>
            <w:tcW w:w="2070"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w:t>
            </w:r>
          </w:p>
        </w:tc>
        <w:tc>
          <w:tcPr>
            <w:tcW w:w="2070"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Pr="00FE29CA" w:rsidRDefault="00CA4CD6">
            <w:pPr>
              <w:spacing w:line="120" w:lineRule="exact"/>
              <w:rPr>
                <w:sz w:val="18"/>
                <w:szCs w:val="18"/>
              </w:rPr>
            </w:pPr>
          </w:p>
          <w:p w:rsidR="00CA4CD6" w:rsidRPr="00FE29C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w:t>
            </w:r>
          </w:p>
        </w:tc>
        <w:tc>
          <w:tcPr>
            <w:tcW w:w="2070" w:type="dxa"/>
            <w:tcBorders>
              <w:top w:val="single" w:sz="6" w:space="0" w:color="000000"/>
              <w:left w:val="single" w:sz="6" w:space="0" w:color="000000"/>
              <w:bottom w:val="single" w:sz="8"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FE29CA" w:rsidRDefault="00CA4CD6">
            <w:pPr>
              <w:spacing w:line="120" w:lineRule="exact"/>
              <w:rPr>
                <w:sz w:val="18"/>
                <w:szCs w:val="18"/>
              </w:rPr>
            </w:pPr>
          </w:p>
          <w:p w:rsidR="00CA4CD6" w:rsidRPr="00FE29CA" w:rsidRDefault="00FE29CA">
            <w:pPr>
              <w:pBdr>
                <w:top w:val="single" w:sz="6" w:space="0" w:color="FFFFFF"/>
                <w:left w:val="single" w:sz="6" w:space="0" w:color="FFFFFF"/>
                <w:bottom w:val="single" w:sz="6" w:space="0" w:color="FFFFFF"/>
                <w:right w:val="single" w:sz="6" w:space="0" w:color="FFFFFF"/>
              </w:pBdr>
              <w:spacing w:after="72"/>
              <w:jc w:val="center"/>
              <w:rPr>
                <w:sz w:val="18"/>
                <w:szCs w:val="18"/>
              </w:rPr>
            </w:pPr>
            <w:r w:rsidRPr="00FE29C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FE29CA" w:rsidRDefault="00CA4CD6">
            <w:pPr>
              <w:spacing w:line="120" w:lineRule="exact"/>
              <w:rPr>
                <w:sz w:val="18"/>
                <w:szCs w:val="18"/>
              </w:rPr>
            </w:pPr>
          </w:p>
          <w:p w:rsidR="00CA4CD6" w:rsidRPr="00FE29CA" w:rsidRDefault="002760FD" w:rsidP="002760FD">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w:t>
            </w:r>
          </w:p>
        </w:tc>
      </w:tr>
    </w:tbl>
    <w:p w:rsidR="00CA4CD6" w:rsidRPr="00FE29CA" w:rsidRDefault="00CA4CD6" w:rsidP="00FE29CA">
      <w:pPr>
        <w:pBdr>
          <w:top w:val="single" w:sz="6" w:space="0" w:color="FFFFFF"/>
          <w:left w:val="single" w:sz="6" w:space="0" w:color="FFFFFF"/>
          <w:bottom w:val="single" w:sz="6" w:space="0" w:color="FFFFFF"/>
          <w:right w:val="single" w:sz="6" w:space="0" w:color="FFFFFF"/>
        </w:pBd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FE29CA">
        <w:rPr>
          <w:color w:val="000000"/>
        </w:rPr>
        <w:t xml:space="preserve"> </w:t>
      </w:r>
      <w:r w:rsidR="00CC4992">
        <w:rPr>
          <w:color w:val="000000"/>
        </w:rPr>
        <w:t>five</w:t>
      </w:r>
      <w:r w:rsidR="00FE29CA">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E29CA">
        <w:trPr>
          <w:tblHeader/>
        </w:trPr>
        <w:tc>
          <w:tcPr>
            <w:tcW w:w="9180" w:type="dxa"/>
            <w:gridSpan w:val="5"/>
          </w:tcPr>
          <w:p w:rsidR="00CA4CD6" w:rsidRDefault="00CA4CD6" w:rsidP="00FE29CA">
            <w:pPr>
              <w:keepNext/>
              <w:keepLines/>
              <w:widowControl/>
              <w:spacing w:line="120" w:lineRule="exact"/>
              <w:rPr>
                <w:color w:val="000000"/>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FE29CA">
            <w:pPr>
              <w:keepNext/>
              <w:keepLines/>
              <w:widowControl/>
              <w:spacing w:line="120" w:lineRule="exact"/>
              <w:jc w:val="center"/>
              <w:rPr>
                <w:b/>
                <w:bCs/>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FE29CA">
            <w:pPr>
              <w:keepNext/>
              <w:keepLines/>
              <w:widowControl/>
              <w:spacing w:line="120" w:lineRule="exact"/>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FE29CA">
            <w:pPr>
              <w:keepNext/>
              <w:keepLines/>
              <w:widowControl/>
              <w:spacing w:line="120" w:lineRule="exact"/>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FE29CA">
            <w:pPr>
              <w:keepNext/>
              <w:keepLines/>
              <w:widowControl/>
              <w:spacing w:line="120" w:lineRule="exact"/>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FE29CA">
            <w:pPr>
              <w:keepNext/>
              <w:keepLines/>
              <w:widowControl/>
              <w:spacing w:line="120" w:lineRule="exact"/>
              <w:jc w:val="center"/>
              <w:rPr>
                <w:color w:val="000000"/>
                <w:sz w:val="18"/>
                <w:szCs w:val="18"/>
              </w:rPr>
            </w:pP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FE29C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E29CA" w:rsidTr="00FE29CA">
        <w:tc>
          <w:tcPr>
            <w:tcW w:w="2700" w:type="dxa"/>
            <w:vAlign w:val="bottom"/>
          </w:tcPr>
          <w:p w:rsidR="00FE29CA" w:rsidRPr="00FE29CA" w:rsidRDefault="00FE29CA">
            <w:pPr>
              <w:rPr>
                <w:sz w:val="18"/>
                <w:szCs w:val="18"/>
              </w:rPr>
            </w:pPr>
            <w:r w:rsidRPr="00FE29CA">
              <w:rPr>
                <w:sz w:val="18"/>
                <w:szCs w:val="18"/>
              </w:rPr>
              <w:t>Initial notification</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Notification of compliance status</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Notification of construction/reconstruction</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 xml:space="preserve">Notification of actual startup </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 xml:space="preserve">Notification of performance test </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1.2</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Report of performance test</w:t>
            </w:r>
          </w:p>
        </w:tc>
        <w:tc>
          <w:tcPr>
            <w:tcW w:w="1260" w:type="dxa"/>
            <w:vAlign w:val="bottom"/>
          </w:tcPr>
          <w:p w:rsidR="00FE29CA" w:rsidRPr="00FE29CA" w:rsidRDefault="00FE29CA">
            <w:pPr>
              <w:jc w:val="center"/>
              <w:rPr>
                <w:sz w:val="20"/>
                <w:szCs w:val="20"/>
              </w:rPr>
            </w:pPr>
            <w:r w:rsidRPr="00FE29CA">
              <w:rPr>
                <w:sz w:val="20"/>
                <w:szCs w:val="20"/>
              </w:rPr>
              <w:t>0</w:t>
            </w:r>
          </w:p>
        </w:tc>
        <w:tc>
          <w:tcPr>
            <w:tcW w:w="1260" w:type="dxa"/>
            <w:vAlign w:val="bottom"/>
          </w:tcPr>
          <w:p w:rsidR="00FE29CA" w:rsidRPr="00FE29CA" w:rsidRDefault="00FE29CA">
            <w:pPr>
              <w:jc w:val="center"/>
              <w:rPr>
                <w:sz w:val="20"/>
                <w:szCs w:val="20"/>
              </w:rPr>
            </w:pPr>
            <w:r w:rsidRPr="00FE29CA">
              <w:rPr>
                <w:sz w:val="20"/>
                <w:szCs w:val="20"/>
              </w:rPr>
              <w:t>1.2</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FE29CA">
            <w:pPr>
              <w:jc w:val="center"/>
              <w:rPr>
                <w:sz w:val="20"/>
                <w:szCs w:val="20"/>
              </w:rPr>
            </w:pPr>
            <w:r w:rsidRPr="00FE29CA">
              <w:rPr>
                <w:sz w:val="20"/>
                <w:szCs w:val="20"/>
              </w:rPr>
              <w:t>0</w:t>
            </w:r>
          </w:p>
        </w:tc>
      </w:tr>
      <w:tr w:rsidR="00FE29CA" w:rsidTr="00FE29CA">
        <w:tc>
          <w:tcPr>
            <w:tcW w:w="2700" w:type="dxa"/>
            <w:vAlign w:val="bottom"/>
          </w:tcPr>
          <w:p w:rsidR="00FE29CA" w:rsidRPr="00FE29CA" w:rsidRDefault="00FE29CA">
            <w:pPr>
              <w:rPr>
                <w:sz w:val="18"/>
                <w:szCs w:val="18"/>
              </w:rPr>
            </w:pPr>
            <w:r w:rsidRPr="00FE29CA">
              <w:rPr>
                <w:sz w:val="18"/>
                <w:szCs w:val="18"/>
              </w:rPr>
              <w:t xml:space="preserve">Semiannual report </w:t>
            </w:r>
          </w:p>
        </w:tc>
        <w:tc>
          <w:tcPr>
            <w:tcW w:w="1260" w:type="dxa"/>
            <w:vAlign w:val="bottom"/>
          </w:tcPr>
          <w:p w:rsidR="00FE29CA" w:rsidRPr="00FE29CA" w:rsidRDefault="000D4602">
            <w:pPr>
              <w:jc w:val="center"/>
              <w:rPr>
                <w:sz w:val="20"/>
                <w:szCs w:val="20"/>
              </w:rPr>
            </w:pPr>
            <w:r>
              <w:rPr>
                <w:sz w:val="20"/>
                <w:szCs w:val="20"/>
              </w:rPr>
              <w:t>5</w:t>
            </w:r>
          </w:p>
        </w:tc>
        <w:tc>
          <w:tcPr>
            <w:tcW w:w="1260" w:type="dxa"/>
            <w:vAlign w:val="bottom"/>
          </w:tcPr>
          <w:p w:rsidR="00FE29CA" w:rsidRPr="00FE29CA" w:rsidRDefault="00FE29CA">
            <w:pPr>
              <w:jc w:val="center"/>
              <w:rPr>
                <w:sz w:val="20"/>
                <w:szCs w:val="20"/>
              </w:rPr>
            </w:pPr>
            <w:r w:rsidRPr="00FE29CA">
              <w:rPr>
                <w:sz w:val="20"/>
                <w:szCs w:val="20"/>
              </w:rPr>
              <w:t>2</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0D4602" w:rsidP="000D4602">
            <w:pPr>
              <w:jc w:val="center"/>
              <w:rPr>
                <w:sz w:val="20"/>
                <w:szCs w:val="20"/>
              </w:rPr>
            </w:pPr>
            <w:r>
              <w:rPr>
                <w:sz w:val="20"/>
                <w:szCs w:val="20"/>
              </w:rPr>
              <w:t>10</w:t>
            </w:r>
          </w:p>
        </w:tc>
      </w:tr>
      <w:tr w:rsidR="00FE29CA" w:rsidTr="00FE29CA">
        <w:tc>
          <w:tcPr>
            <w:tcW w:w="2700" w:type="dxa"/>
            <w:vAlign w:val="bottom"/>
          </w:tcPr>
          <w:p w:rsidR="00FE29CA" w:rsidRPr="00FE29CA" w:rsidRDefault="00FE29CA">
            <w:pPr>
              <w:rPr>
                <w:sz w:val="18"/>
                <w:szCs w:val="18"/>
              </w:rPr>
            </w:pPr>
            <w:r w:rsidRPr="00FE29CA">
              <w:rPr>
                <w:sz w:val="18"/>
                <w:szCs w:val="18"/>
              </w:rPr>
              <w:t>Excess emissions report</w:t>
            </w:r>
          </w:p>
        </w:tc>
        <w:tc>
          <w:tcPr>
            <w:tcW w:w="1260" w:type="dxa"/>
            <w:vAlign w:val="bottom"/>
          </w:tcPr>
          <w:p w:rsidR="00FE29CA" w:rsidRPr="00FE29CA" w:rsidRDefault="000D4602">
            <w:pPr>
              <w:jc w:val="center"/>
              <w:rPr>
                <w:sz w:val="20"/>
                <w:szCs w:val="20"/>
              </w:rPr>
            </w:pPr>
            <w:r>
              <w:rPr>
                <w:sz w:val="20"/>
                <w:szCs w:val="20"/>
              </w:rPr>
              <w:t>5</w:t>
            </w:r>
          </w:p>
        </w:tc>
        <w:tc>
          <w:tcPr>
            <w:tcW w:w="1260" w:type="dxa"/>
            <w:vAlign w:val="bottom"/>
          </w:tcPr>
          <w:p w:rsidR="00FE29CA" w:rsidRPr="00FE29CA" w:rsidRDefault="00FE29CA">
            <w:pPr>
              <w:jc w:val="center"/>
              <w:rPr>
                <w:sz w:val="20"/>
                <w:szCs w:val="20"/>
              </w:rPr>
            </w:pPr>
            <w:r w:rsidRPr="00FE29CA">
              <w:rPr>
                <w:sz w:val="20"/>
                <w:szCs w:val="20"/>
              </w:rPr>
              <w:t>2</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0D4602" w:rsidP="000D4602">
            <w:pPr>
              <w:jc w:val="center"/>
              <w:rPr>
                <w:sz w:val="20"/>
                <w:szCs w:val="20"/>
              </w:rPr>
            </w:pPr>
            <w:r>
              <w:rPr>
                <w:sz w:val="20"/>
                <w:szCs w:val="20"/>
              </w:rPr>
              <w:t>10</w:t>
            </w:r>
          </w:p>
        </w:tc>
      </w:tr>
      <w:tr w:rsidR="00FE29CA" w:rsidTr="00FE29CA">
        <w:tc>
          <w:tcPr>
            <w:tcW w:w="2700" w:type="dxa"/>
            <w:vAlign w:val="bottom"/>
          </w:tcPr>
          <w:p w:rsidR="00FE29CA" w:rsidRPr="00FE29CA" w:rsidRDefault="00FE29CA">
            <w:pPr>
              <w:rPr>
                <w:sz w:val="18"/>
                <w:szCs w:val="18"/>
              </w:rPr>
            </w:pPr>
            <w:r w:rsidRPr="00FE29CA">
              <w:rPr>
                <w:sz w:val="18"/>
                <w:szCs w:val="18"/>
              </w:rPr>
              <w:t>Startup, shutdown, malfunction report</w:t>
            </w:r>
          </w:p>
        </w:tc>
        <w:tc>
          <w:tcPr>
            <w:tcW w:w="1260" w:type="dxa"/>
            <w:vAlign w:val="bottom"/>
          </w:tcPr>
          <w:p w:rsidR="00FE29CA" w:rsidRPr="00FE29CA" w:rsidRDefault="000D4602" w:rsidP="000D4602">
            <w:pPr>
              <w:jc w:val="center"/>
              <w:rPr>
                <w:sz w:val="20"/>
                <w:szCs w:val="20"/>
              </w:rPr>
            </w:pPr>
            <w:r>
              <w:rPr>
                <w:sz w:val="20"/>
                <w:szCs w:val="20"/>
              </w:rPr>
              <w:t>1.25</w:t>
            </w:r>
          </w:p>
        </w:tc>
        <w:tc>
          <w:tcPr>
            <w:tcW w:w="1260" w:type="dxa"/>
            <w:vAlign w:val="bottom"/>
          </w:tcPr>
          <w:p w:rsidR="00FE29CA" w:rsidRPr="00FE29CA" w:rsidRDefault="00FE29CA">
            <w:pPr>
              <w:jc w:val="center"/>
              <w:rPr>
                <w:sz w:val="20"/>
                <w:szCs w:val="20"/>
              </w:rPr>
            </w:pPr>
            <w:r w:rsidRPr="00FE29CA">
              <w:rPr>
                <w:sz w:val="20"/>
                <w:szCs w:val="20"/>
              </w:rPr>
              <w:t>1</w:t>
            </w:r>
          </w:p>
        </w:tc>
        <w:tc>
          <w:tcPr>
            <w:tcW w:w="1890" w:type="dxa"/>
            <w:vAlign w:val="bottom"/>
          </w:tcPr>
          <w:p w:rsidR="00FE29CA" w:rsidRPr="00FE29CA" w:rsidRDefault="00FE29CA">
            <w:pPr>
              <w:jc w:val="center"/>
              <w:rPr>
                <w:sz w:val="20"/>
                <w:szCs w:val="20"/>
              </w:rPr>
            </w:pPr>
            <w:r w:rsidRPr="00FE29CA">
              <w:rPr>
                <w:sz w:val="20"/>
                <w:szCs w:val="20"/>
              </w:rPr>
              <w:t>0</w:t>
            </w:r>
          </w:p>
        </w:tc>
        <w:tc>
          <w:tcPr>
            <w:tcW w:w="2070" w:type="dxa"/>
            <w:vAlign w:val="bottom"/>
          </w:tcPr>
          <w:p w:rsidR="00FE29CA" w:rsidRPr="00FE29CA" w:rsidRDefault="000D4602" w:rsidP="000D4602">
            <w:pPr>
              <w:jc w:val="center"/>
              <w:rPr>
                <w:sz w:val="20"/>
                <w:szCs w:val="20"/>
              </w:rPr>
            </w:pPr>
            <w:r>
              <w:rPr>
                <w:sz w:val="20"/>
                <w:szCs w:val="20"/>
              </w:rPr>
              <w:t>1.25</w:t>
            </w:r>
          </w:p>
        </w:tc>
      </w:tr>
      <w:tr w:rsidR="00FE29CA">
        <w:tc>
          <w:tcPr>
            <w:tcW w:w="2700" w:type="dxa"/>
          </w:tcPr>
          <w:p w:rsidR="00FE29CA" w:rsidRPr="00FE29CA" w:rsidRDefault="00FE29CA">
            <w:pPr>
              <w:spacing w:line="120" w:lineRule="exact"/>
              <w:rPr>
                <w:sz w:val="18"/>
                <w:szCs w:val="18"/>
              </w:rPr>
            </w:pPr>
          </w:p>
          <w:p w:rsidR="00FE29CA"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FE29CA" w:rsidRPr="00FE29CA" w:rsidRDefault="00FE29CA">
            <w:pPr>
              <w:spacing w:line="120" w:lineRule="exact"/>
              <w:rPr>
                <w:sz w:val="18"/>
                <w:szCs w:val="18"/>
              </w:rPr>
            </w:pPr>
          </w:p>
          <w:p w:rsidR="00FE29CA"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FE29CA" w:rsidRPr="00FE29CA" w:rsidRDefault="00FE29CA">
            <w:pPr>
              <w:spacing w:line="120" w:lineRule="exact"/>
              <w:rPr>
                <w:sz w:val="18"/>
                <w:szCs w:val="18"/>
              </w:rPr>
            </w:pPr>
          </w:p>
          <w:p w:rsidR="00FE29CA" w:rsidRPr="00FE29CA" w:rsidRDefault="00FE29CA">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FE29CA" w:rsidRPr="00FE29CA" w:rsidRDefault="00FE29CA">
            <w:pPr>
              <w:spacing w:line="120" w:lineRule="exact"/>
              <w:rPr>
                <w:sz w:val="18"/>
                <w:szCs w:val="18"/>
              </w:rPr>
            </w:pPr>
          </w:p>
          <w:p w:rsidR="00FE29CA" w:rsidRPr="00FE29CA" w:rsidRDefault="00FE29CA" w:rsidP="00974529">
            <w:pPr>
              <w:pBdr>
                <w:top w:val="single" w:sz="6" w:space="0" w:color="FFFFFF"/>
                <w:left w:val="single" w:sz="6" w:space="0" w:color="FFFFFF"/>
                <w:bottom w:val="single" w:sz="6" w:space="0" w:color="FFFFFF"/>
                <w:right w:val="single" w:sz="6" w:space="0" w:color="FFFFFF"/>
              </w:pBdr>
              <w:spacing w:after="52"/>
              <w:jc w:val="center"/>
              <w:rPr>
                <w:sz w:val="18"/>
                <w:szCs w:val="18"/>
              </w:rPr>
            </w:pPr>
            <w:r w:rsidRPr="00FE29CA">
              <w:rPr>
                <w:sz w:val="18"/>
                <w:szCs w:val="18"/>
              </w:rPr>
              <w:t>Total</w:t>
            </w:r>
            <w:r w:rsidR="00F622C7">
              <w:rPr>
                <w:sz w:val="18"/>
                <w:szCs w:val="18"/>
              </w:rPr>
              <w:t xml:space="preserve"> </w:t>
            </w:r>
          </w:p>
        </w:tc>
        <w:tc>
          <w:tcPr>
            <w:tcW w:w="2070" w:type="dxa"/>
          </w:tcPr>
          <w:p w:rsidR="00FE29CA" w:rsidRPr="00FE29CA" w:rsidRDefault="00FE29CA">
            <w:pPr>
              <w:spacing w:line="120" w:lineRule="exact"/>
              <w:rPr>
                <w:sz w:val="18"/>
                <w:szCs w:val="18"/>
              </w:rPr>
            </w:pPr>
          </w:p>
          <w:p w:rsidR="00FE29CA" w:rsidRPr="00FE29CA" w:rsidRDefault="00F622C7" w:rsidP="000D460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21</w:t>
            </w:r>
            <w:r w:rsidR="00974529">
              <w:rPr>
                <w:sz w:val="18"/>
                <w:szCs w:val="18"/>
              </w:rPr>
              <w:t>.25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E29CA">
        <w:rPr>
          <w:color w:val="000000"/>
        </w:rPr>
        <w:t xml:space="preserve"> </w:t>
      </w:r>
      <w:r w:rsidR="000D4602">
        <w:rPr>
          <w:color w:val="000000"/>
        </w:rPr>
        <w:t>21</w:t>
      </w:r>
      <w:r w:rsidR="00F622C7">
        <w:rPr>
          <w:color w:val="000000"/>
        </w:rPr>
        <w:t xml:space="preserve"> </w:t>
      </w:r>
      <w:r w:rsidR="00974529">
        <w:rPr>
          <w:color w:val="000000"/>
        </w:rPr>
        <w:t>(</w:t>
      </w:r>
      <w:r w:rsidR="00F622C7">
        <w:rPr>
          <w:color w:val="000000"/>
        </w:rPr>
        <w:t>round</w:t>
      </w:r>
      <w:r w:rsidR="00974529">
        <w:rPr>
          <w:color w:val="000000"/>
        </w:rPr>
        <w:t>ed</w:t>
      </w:r>
      <w:r w:rsidR="00F622C7">
        <w:rPr>
          <w:color w:val="000000"/>
        </w:rPr>
        <w:t>)</w:t>
      </w:r>
      <w:r w:rsidR="00FE29CA">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475841" w:rsidRDefault="00CA4CD6" w:rsidP="00475841">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EE6EAE">
        <w:rPr>
          <w:color w:val="000000"/>
        </w:rPr>
        <w:t xml:space="preserve"> </w:t>
      </w:r>
      <w:r w:rsidR="00F622C7">
        <w:rPr>
          <w:color w:val="000000"/>
        </w:rPr>
        <w:t>$</w:t>
      </w:r>
      <w:r w:rsidR="00F622C7" w:rsidRPr="00F622C7">
        <w:rPr>
          <w:color w:val="000000"/>
        </w:rPr>
        <w:t>189,546</w:t>
      </w:r>
      <w:r w:rsidRPr="00475841">
        <w:t>.</w:t>
      </w:r>
      <w:r w:rsidR="00507EC5" w:rsidRPr="00475841">
        <w:t xml:space="preserve">  </w:t>
      </w:r>
      <w:r w:rsidRPr="00475841">
        <w:t xml:space="preserve">Details regarding these estimates may be found </w:t>
      </w:r>
      <w:r w:rsidR="007A458D" w:rsidRPr="00475841">
        <w:t xml:space="preserve">below </w:t>
      </w:r>
      <w:r w:rsidR="0035325B" w:rsidRPr="00475841">
        <w:t>in Table 1:</w:t>
      </w:r>
      <w:r w:rsidRPr="00475841">
        <w:t xml:space="preserve"> Annual Respondent Burden and Cost</w:t>
      </w:r>
      <w:r w:rsidR="00CF2B37" w:rsidRPr="00475841">
        <w:t xml:space="preserve"> –</w:t>
      </w:r>
      <w:r w:rsidR="00475841" w:rsidRPr="00475841">
        <w:t xml:space="preserve"> NESHAP for Metal Can Manufacturing Surface Coating (40 CFR Part 63, Subpart KKKK) (Renewal).</w:t>
      </w:r>
    </w:p>
    <w:p w:rsidR="00CA4CD6" w:rsidRPr="00475841" w:rsidRDefault="00CA4CD6">
      <w:pPr>
        <w:pBdr>
          <w:top w:val="single" w:sz="6" w:space="0" w:color="FFFFFF"/>
          <w:left w:val="single" w:sz="6" w:space="0" w:color="FFFFFF"/>
          <w:bottom w:val="single" w:sz="6" w:space="0" w:color="FFFFFF"/>
          <w:right w:val="single" w:sz="6" w:space="0" w:color="FFFFFF"/>
        </w:pBdr>
      </w:pPr>
    </w:p>
    <w:p w:rsidR="00CA4CD6" w:rsidRPr="00475841" w:rsidRDefault="00CA4CD6">
      <w:pPr>
        <w:pBdr>
          <w:top w:val="single" w:sz="6" w:space="0" w:color="FFFFFF"/>
          <w:left w:val="single" w:sz="6" w:space="0" w:color="FFFFFF"/>
          <w:bottom w:val="single" w:sz="6" w:space="0" w:color="FFFFFF"/>
          <w:right w:val="single" w:sz="6" w:space="0" w:color="FFFFFF"/>
        </w:pBdr>
        <w:ind w:firstLine="720"/>
      </w:pPr>
      <w:r w:rsidRPr="00475841">
        <w:rPr>
          <w:b/>
          <w:bCs/>
        </w:rPr>
        <w:t>6(e)  Bottom Line Burden Hours and Cost Tables</w:t>
      </w:r>
    </w:p>
    <w:p w:rsidR="00CA4CD6" w:rsidRPr="00475841" w:rsidRDefault="00CA4CD6">
      <w:pPr>
        <w:pBdr>
          <w:top w:val="single" w:sz="6" w:space="0" w:color="FFFFFF"/>
          <w:left w:val="single" w:sz="6" w:space="0" w:color="FFFFFF"/>
          <w:bottom w:val="single" w:sz="6" w:space="0" w:color="FFFFFF"/>
          <w:right w:val="single" w:sz="6" w:space="0" w:color="FFFFFF"/>
        </w:pBdr>
      </w:pPr>
    </w:p>
    <w:p w:rsidR="00CA4CD6" w:rsidRPr="0047584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the respondents and the Agency are shown in Tables </w:t>
      </w:r>
      <w:r w:rsidRPr="00475841">
        <w:t>1 and 2</w:t>
      </w:r>
      <w:r w:rsidR="00FE2099" w:rsidRPr="00475841">
        <w:t xml:space="preserve"> below</w:t>
      </w:r>
      <w:r w:rsidRPr="00475841">
        <w:t xml:space="preserve">, respectively, and summarized below.  </w:t>
      </w:r>
    </w:p>
    <w:p w:rsidR="00CA4CD6" w:rsidRPr="00475841"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Pr="00475841"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sidR="00EE6EAE">
        <w:rPr>
          <w:color w:val="000000"/>
        </w:rPr>
        <w:t xml:space="preserve"> </w:t>
      </w:r>
      <w:r w:rsidR="00F622C7" w:rsidRPr="00F622C7">
        <w:rPr>
          <w:color w:val="000000"/>
        </w:rPr>
        <w:t>1,938</w:t>
      </w:r>
      <w:r w:rsidR="00B167F8">
        <w:rPr>
          <w:color w:val="000000"/>
        </w:rPr>
        <w:t xml:space="preserve"> at a cost of $189,546</w:t>
      </w:r>
      <w:r>
        <w:rPr>
          <w:color w:val="000000"/>
        </w:rPr>
        <w:t>.</w:t>
      </w:r>
      <w:r w:rsidR="00507EC5">
        <w:rPr>
          <w:color w:val="000000"/>
        </w:rPr>
        <w:t xml:space="preserve">  </w:t>
      </w:r>
      <w:r>
        <w:rPr>
          <w:color w:val="000000"/>
        </w:rPr>
        <w:t xml:space="preserve">Details regarding these estimates may be found </w:t>
      </w:r>
      <w:r w:rsidR="001C34D2">
        <w:rPr>
          <w:color w:val="000000"/>
        </w:rPr>
        <w:t xml:space="preserve">below </w:t>
      </w:r>
      <w:r>
        <w:rPr>
          <w:color w:val="000000"/>
        </w:rPr>
        <w:t>in Table 1</w:t>
      </w:r>
      <w:r w:rsidR="00F622C7">
        <w:rPr>
          <w:color w:val="000000"/>
        </w:rPr>
        <w:t>:</w:t>
      </w:r>
      <w:r>
        <w:rPr>
          <w:color w:val="000000"/>
        </w:rPr>
        <w:t xml:space="preserve"> Annual </w:t>
      </w:r>
      <w:r w:rsidRPr="00475841">
        <w:t>Respondent Burden and Cost</w:t>
      </w:r>
      <w:r w:rsidR="00CF2B37" w:rsidRPr="00475841">
        <w:t xml:space="preserve"> –</w:t>
      </w:r>
      <w:r w:rsidR="00475841" w:rsidRPr="00475841">
        <w:t xml:space="preserve"> NESHAP for </w:t>
      </w:r>
      <w:r w:rsidR="00475841" w:rsidRPr="00475841">
        <w:lastRenderedPageBreak/>
        <w:t>Metal Can Manufacturing Surface Coating (40 CFR Part 63, Subpart KKKK) (Renewal).</w:t>
      </w:r>
    </w:p>
    <w:p w:rsidR="00144F35" w:rsidRPr="00475841"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475841" w:rsidRDefault="00CA4CD6" w:rsidP="0021722B">
      <w:pPr>
        <w:pBdr>
          <w:top w:val="single" w:sz="6" w:space="0" w:color="FFFFFF"/>
          <w:left w:val="single" w:sz="6" w:space="0" w:color="FFFFFF"/>
          <w:bottom w:val="single" w:sz="6" w:space="0" w:color="FFFFFF"/>
          <w:right w:val="single" w:sz="6" w:space="0" w:color="FFFFFF"/>
        </w:pBdr>
        <w:ind w:firstLine="720"/>
      </w:pPr>
      <w:r w:rsidRPr="00475841">
        <w:t xml:space="preserve">Furthermore, the annual public reporting and recordkeeping burden for this collection of information is estimated to average </w:t>
      </w:r>
      <w:r w:rsidR="007B042E">
        <w:t>9</w:t>
      </w:r>
      <w:r w:rsidR="00481BB4">
        <w:t>2</w:t>
      </w:r>
      <w:r w:rsidR="00EE6EAE" w:rsidRPr="00475841">
        <w:t xml:space="preserve"> </w:t>
      </w:r>
      <w:r w:rsidRPr="00475841">
        <w:t>hours per response</w:t>
      </w:r>
      <w:r w:rsidR="0021722B" w:rsidRPr="00475841">
        <w:t>.</w:t>
      </w:r>
    </w:p>
    <w:p w:rsidR="0021722B" w:rsidRPr="00475841"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EE6EAE">
        <w:rPr>
          <w:color w:val="000000"/>
        </w:rPr>
        <w:t xml:space="preserve"> </w:t>
      </w:r>
      <w:r w:rsidR="00F622C7">
        <w:rPr>
          <w:color w:val="000000"/>
        </w:rPr>
        <w:t>$6,000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607162"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(ii) The Agency </w:t>
      </w:r>
      <w:r w:rsidRPr="00607162">
        <w:rPr>
          <w:b/>
          <w:bCs/>
        </w:rPr>
        <w:t>Tally</w:t>
      </w:r>
    </w:p>
    <w:p w:rsidR="00CA4CD6" w:rsidRDefault="00CA4CD6">
      <w:pPr>
        <w:pBdr>
          <w:top w:val="single" w:sz="6" w:space="0" w:color="FFFFFF"/>
          <w:left w:val="single" w:sz="6" w:space="0" w:color="FFFFFF"/>
          <w:bottom w:val="single" w:sz="6" w:space="0" w:color="FFFFFF"/>
          <w:right w:val="single" w:sz="6" w:space="0" w:color="FFFFFF"/>
        </w:pBdr>
      </w:pPr>
    </w:p>
    <w:p w:rsidR="00C77607" w:rsidRDefault="00C77607">
      <w:pPr>
        <w:pBdr>
          <w:top w:val="single" w:sz="6" w:space="0" w:color="FFFFFF"/>
          <w:left w:val="single" w:sz="6" w:space="0" w:color="FFFFFF"/>
          <w:bottom w:val="single" w:sz="6" w:space="0" w:color="FFFFFF"/>
          <w:right w:val="single" w:sz="6" w:space="0" w:color="FFFFFF"/>
        </w:pBdr>
      </w:pPr>
      <w:r>
        <w:tab/>
        <w:t xml:space="preserve">The average annual Agency burden and cost over the next three years is estimated to be </w:t>
      </w:r>
      <w:r w:rsidR="00F622C7">
        <w:t>196</w:t>
      </w:r>
      <w:r>
        <w:t xml:space="preserve"> labor hours at a cost of </w:t>
      </w:r>
      <w:r w:rsidR="00F622C7">
        <w:t>$</w:t>
      </w:r>
      <w:r w:rsidR="00F622C7" w:rsidRPr="00F622C7">
        <w:t>8,810</w:t>
      </w:r>
      <w:r>
        <w:t xml:space="preserve">.  See </w:t>
      </w:r>
      <w:r w:rsidR="00AC0409">
        <w:t xml:space="preserve">below </w:t>
      </w:r>
      <w:r>
        <w:t xml:space="preserve">Table 2: Average Annual EPA Burden and Cost </w:t>
      </w:r>
      <w:r w:rsidRPr="00475841">
        <w:t>– NESHAP for Metal Can Manufacturing Surface Coating (40 CFR Part 63, Subpart KKKK) (Renewal).</w:t>
      </w:r>
      <w:r>
        <w:t xml:space="preserve"> </w:t>
      </w:r>
    </w:p>
    <w:p w:rsidR="00C77607" w:rsidRDefault="00C77607">
      <w:pPr>
        <w:pBdr>
          <w:top w:val="single" w:sz="6" w:space="0" w:color="FFFFFF"/>
          <w:left w:val="single" w:sz="6" w:space="0" w:color="FFFFFF"/>
          <w:bottom w:val="single" w:sz="6" w:space="0" w:color="FFFFFF"/>
          <w:right w:val="single" w:sz="6" w:space="0" w:color="FFFFFF"/>
        </w:pBdr>
      </w:pPr>
    </w:p>
    <w:p w:rsidR="00C77607" w:rsidRPr="00607162" w:rsidRDefault="00C77607" w:rsidP="00C77607">
      <w:pPr>
        <w:pBdr>
          <w:top w:val="single" w:sz="6" w:space="0" w:color="FFFFFF"/>
          <w:left w:val="single" w:sz="6" w:space="0" w:color="FFFFFF"/>
          <w:bottom w:val="single" w:sz="6" w:space="0" w:color="FFFFFF"/>
          <w:right w:val="single" w:sz="6" w:space="0" w:color="FFFFFF"/>
        </w:pBdr>
        <w:ind w:firstLine="720"/>
      </w:pPr>
      <w:r w:rsidRPr="00607162">
        <w:rPr>
          <w:b/>
          <w:bCs/>
        </w:rPr>
        <w:t>6(</w:t>
      </w:r>
      <w:r>
        <w:rPr>
          <w:b/>
          <w:bCs/>
        </w:rPr>
        <w:t>f</w:t>
      </w:r>
      <w:r w:rsidRPr="00607162">
        <w:rPr>
          <w:b/>
          <w:bCs/>
        </w:rPr>
        <w:t xml:space="preserve">)  </w:t>
      </w:r>
      <w:r>
        <w:rPr>
          <w:b/>
          <w:bCs/>
        </w:rPr>
        <w:t>Reasons for Change in Burden</w:t>
      </w:r>
    </w:p>
    <w:p w:rsidR="00C77607" w:rsidRPr="00607162" w:rsidRDefault="00C77607">
      <w:pPr>
        <w:pBdr>
          <w:top w:val="single" w:sz="6" w:space="0" w:color="FFFFFF"/>
          <w:left w:val="single" w:sz="6" w:space="0" w:color="FFFFFF"/>
          <w:bottom w:val="single" w:sz="6" w:space="0" w:color="FFFFFF"/>
          <w:right w:val="single" w:sz="6" w:space="0" w:color="FFFFFF"/>
        </w:pBdr>
      </w:pPr>
    </w:p>
    <w:p w:rsidR="00CD2069" w:rsidRPr="00607162" w:rsidRDefault="007B042E" w:rsidP="00B800BA">
      <w:pPr>
        <w:pBdr>
          <w:top w:val="single" w:sz="6" w:space="0" w:color="FFFFFF"/>
          <w:left w:val="single" w:sz="6" w:space="0" w:color="FFFFFF"/>
          <w:bottom w:val="single" w:sz="6" w:space="0" w:color="FFFFFF"/>
          <w:right w:val="single" w:sz="6" w:space="0" w:color="FFFFFF"/>
        </w:pBdr>
        <w:ind w:firstLine="720"/>
      </w:pPr>
      <w:r>
        <w:t xml:space="preserve">There is a decrease </w:t>
      </w:r>
      <w:r w:rsidRPr="007B042E">
        <w:t xml:space="preserve">in the total estimated respondent burden </w:t>
      </w:r>
      <w:r>
        <w:t xml:space="preserve">and cost, </w:t>
      </w:r>
      <w:r w:rsidRPr="007B042E">
        <w:t>as currently identified in the OMB Inventory of Approved Burdens.  Th</w:t>
      </w:r>
      <w:r>
        <w:t xml:space="preserve">ese decreases are due to fewer </w:t>
      </w:r>
      <w:r w:rsidRPr="007B042E">
        <w:t xml:space="preserve">sources </w:t>
      </w:r>
      <w:r>
        <w:t xml:space="preserve">being </w:t>
      </w:r>
      <w:r w:rsidRPr="007B042E">
        <w:t xml:space="preserve">subject to the standard, and </w:t>
      </w:r>
      <w:r>
        <w:t xml:space="preserve">are </w:t>
      </w:r>
      <w:r w:rsidRPr="007B042E">
        <w:t xml:space="preserve">not due to any program changes.  </w:t>
      </w:r>
      <w:r>
        <w:t xml:space="preserve">Based on information from the Can Manufacturers Institute, five existing sources currently </w:t>
      </w:r>
      <w:r w:rsidR="00807539">
        <w:t xml:space="preserve">are </w:t>
      </w:r>
      <w:r>
        <w:t xml:space="preserve">subject to the standard.  </w:t>
      </w:r>
      <w:r w:rsidR="00807539">
        <w:t xml:space="preserve">To account for industry consolidation </w:t>
      </w:r>
      <w:r w:rsidR="00807539" w:rsidRPr="007B042E">
        <w:t>that has occurred since the most recent ICR was approved</w:t>
      </w:r>
      <w:r w:rsidR="00807539">
        <w:t>, we have adjusted</w:t>
      </w:r>
      <w:r>
        <w:t xml:space="preserve"> the number of subject sources</w:t>
      </w:r>
      <w:r w:rsidR="00807539">
        <w:t xml:space="preserve"> to reflect the Institute’s estimate</w:t>
      </w:r>
      <w:r w:rsidRPr="007B042E">
        <w:t>.</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Pr="00607162" w:rsidRDefault="00CA4CD6">
      <w:pPr>
        <w:pBdr>
          <w:top w:val="single" w:sz="6" w:space="0" w:color="FFFFFF"/>
          <w:left w:val="single" w:sz="6" w:space="0" w:color="FFFFFF"/>
          <w:bottom w:val="single" w:sz="6" w:space="0" w:color="FFFFFF"/>
          <w:right w:val="single" w:sz="6" w:space="0" w:color="FFFFFF"/>
        </w:pBdr>
        <w:ind w:firstLine="720"/>
      </w:pPr>
      <w:r w:rsidRPr="00607162">
        <w:rPr>
          <w:b/>
          <w:bCs/>
        </w:rPr>
        <w:t>6(g)  Burden Statement</w:t>
      </w:r>
    </w:p>
    <w:p w:rsidR="00CA4CD6" w:rsidRPr="0060716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E29CA">
        <w:rPr>
          <w:color w:val="000000"/>
        </w:rPr>
        <w:t xml:space="preserve"> </w:t>
      </w:r>
      <w:r w:rsidR="00C576AB">
        <w:rPr>
          <w:color w:val="000000"/>
        </w:rPr>
        <w:t>9</w:t>
      </w:r>
      <w:r w:rsidR="00911A19">
        <w:rPr>
          <w:color w:val="000000"/>
        </w:rPr>
        <w:t>2</w:t>
      </w:r>
      <w:r w:rsidR="00FE29CA">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 xml:space="preserve">Docket ID Number </w:t>
      </w:r>
      <w:r w:rsidR="00475841" w:rsidRPr="00475841">
        <w:t>EPA-HQ-OECA-2013-0345</w:t>
      </w:r>
      <w:r w:rsidR="00475841">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A27F81">
        <w:t>7</w:t>
      </w:r>
      <w:r w:rsidR="007565A0">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475841" w:rsidRPr="00475841">
        <w:t>EPA-HQ-OECA-2013-0345</w:t>
      </w:r>
      <w:r w:rsidR="00475841">
        <w:t xml:space="preserve"> </w:t>
      </w:r>
      <w:r w:rsidR="00CA4CD6">
        <w:t>and OMB Control Number</w:t>
      </w:r>
      <w:r w:rsidR="00475841">
        <w:t xml:space="preserve"> </w:t>
      </w:r>
      <w:r w:rsidR="00475841" w:rsidRPr="00475841">
        <w:t>2060-0541</w:t>
      </w:r>
      <w:r w:rsidR="00475841">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904814" w:rsidRDefault="00144F35" w:rsidP="00B800BA">
      <w:pPr>
        <w:jc w:val="center"/>
        <w:outlineLvl w:val="0"/>
        <w:rPr>
          <w:b/>
          <w:bCs/>
        </w:rPr>
      </w:pPr>
      <w:r w:rsidRPr="00C4183F">
        <w:rPr>
          <w:b/>
          <w:bCs/>
          <w:color w:val="000000"/>
        </w:rPr>
        <w:lastRenderedPageBreak/>
        <w:t xml:space="preserve">Table 1: Annual </w:t>
      </w:r>
      <w:r w:rsidRPr="00475841">
        <w:rPr>
          <w:b/>
          <w:bCs/>
        </w:rPr>
        <w:t>Respondent Burden and Cost –</w:t>
      </w:r>
      <w:r w:rsidR="00475841" w:rsidRPr="00475841">
        <w:rPr>
          <w:b/>
          <w:bCs/>
        </w:rPr>
        <w:t xml:space="preserve"> NESHAP for Metal Can Manufacturing Surface Coating (40 CFR Part 63,</w:t>
      </w:r>
    </w:p>
    <w:p w:rsidR="00144F35" w:rsidRPr="00475841" w:rsidRDefault="00904814" w:rsidP="00904814">
      <w:pPr>
        <w:outlineLvl w:val="0"/>
        <w:rPr>
          <w:b/>
          <w:bCs/>
        </w:rPr>
      </w:pPr>
      <w:r>
        <w:rPr>
          <w:b/>
          <w:bCs/>
        </w:rPr>
        <w:t xml:space="preserve">   </w:t>
      </w:r>
      <w:r w:rsidR="00475841" w:rsidRPr="00475841">
        <w:rPr>
          <w:b/>
          <w:bCs/>
        </w:rPr>
        <w:t xml:space="preserve"> Subpart KKKK) </w:t>
      </w:r>
      <w:r w:rsidR="00144F35" w:rsidRPr="00475841">
        <w:rPr>
          <w:b/>
          <w:bCs/>
        </w:rPr>
        <w:t>(Renewal)</w:t>
      </w:r>
    </w:p>
    <w:p w:rsidR="00144F35" w:rsidRPr="00475841" w:rsidRDefault="00144F35" w:rsidP="00F340DF">
      <w:pPr>
        <w:rPr>
          <w:b/>
          <w:bCs/>
        </w:rPr>
      </w:pPr>
    </w:p>
    <w:tbl>
      <w:tblPr>
        <w:tblW w:w="13630" w:type="dxa"/>
        <w:jc w:val="center"/>
        <w:tblCellMar>
          <w:left w:w="58" w:type="dxa"/>
          <w:right w:w="58" w:type="dxa"/>
        </w:tblCellMar>
        <w:tblLook w:val="04A0"/>
      </w:tblPr>
      <w:tblGrid>
        <w:gridCol w:w="3800"/>
        <w:gridCol w:w="1080"/>
        <w:gridCol w:w="1350"/>
        <w:gridCol w:w="1530"/>
        <w:gridCol w:w="1261"/>
        <w:gridCol w:w="1079"/>
        <w:gridCol w:w="1336"/>
        <w:gridCol w:w="1094"/>
        <w:gridCol w:w="1100"/>
      </w:tblGrid>
      <w:tr w:rsidR="00FE29CA" w:rsidRPr="00FE29CA" w:rsidTr="008A1E64">
        <w:trPr>
          <w:trHeight w:val="285"/>
          <w:tblHeader/>
          <w:jc w:val="center"/>
        </w:trPr>
        <w:tc>
          <w:tcPr>
            <w:tcW w:w="38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b/>
                <w:bCs/>
                <w:color w:val="000000"/>
                <w:sz w:val="20"/>
                <w:szCs w:val="20"/>
                <w:lang w:val="en-GB" w:eastAsia="en-GB"/>
              </w:rPr>
            </w:pPr>
            <w:r w:rsidRPr="00FE29CA">
              <w:rPr>
                <w:b/>
                <w:bCs/>
                <w:color w:val="000000"/>
                <w:sz w:val="20"/>
                <w:szCs w:val="20"/>
                <w:lang w:val="en-GB" w:eastAsia="en-GB"/>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C</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D</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E</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F</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G</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H</w:t>
            </w:r>
          </w:p>
        </w:tc>
      </w:tr>
      <w:tr w:rsidR="00FE29CA" w:rsidRPr="00FE29CA" w:rsidTr="008A1E64">
        <w:trPr>
          <w:trHeight w:val="825"/>
          <w:tblHeade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FE29CA" w:rsidRPr="00FE29CA" w:rsidRDefault="00FE29CA" w:rsidP="00FE29CA">
            <w:pPr>
              <w:widowControl/>
              <w:autoSpaceDE/>
              <w:autoSpaceDN/>
              <w:adjustRightInd/>
              <w:rPr>
                <w:b/>
                <w:bCs/>
                <w:color w:val="000000"/>
                <w:sz w:val="20"/>
                <w:szCs w:val="20"/>
                <w:lang w:val="en-GB" w:eastAsia="en-GB"/>
              </w:rPr>
            </w:pPr>
          </w:p>
        </w:tc>
        <w:tc>
          <w:tcPr>
            <w:tcW w:w="1080" w:type="dxa"/>
            <w:tcBorders>
              <w:top w:val="nil"/>
              <w:left w:val="nil"/>
              <w:bottom w:val="single" w:sz="4" w:space="0" w:color="auto"/>
              <w:right w:val="single" w:sz="4" w:space="0" w:color="auto"/>
            </w:tcBorders>
            <w:shd w:val="clear" w:color="auto" w:fill="auto"/>
            <w:vAlign w:val="bottom"/>
            <w:hideMark/>
          </w:tcPr>
          <w:p w:rsidR="00786BB8" w:rsidRDefault="00786BB8" w:rsidP="00786BB8">
            <w:pPr>
              <w:widowControl/>
              <w:autoSpaceDE/>
              <w:autoSpaceDN/>
              <w:adjustRightInd/>
              <w:jc w:val="center"/>
              <w:rPr>
                <w:b/>
                <w:bCs/>
                <w:sz w:val="20"/>
                <w:szCs w:val="20"/>
                <w:lang w:val="en-GB" w:eastAsia="en-GB"/>
              </w:rPr>
            </w:pPr>
            <w:r>
              <w:rPr>
                <w:b/>
                <w:bCs/>
                <w:sz w:val="20"/>
                <w:szCs w:val="20"/>
                <w:lang w:val="en-GB" w:eastAsia="en-GB"/>
              </w:rPr>
              <w:t>P</w:t>
            </w:r>
            <w:r w:rsidR="00FE29CA" w:rsidRPr="00FE29CA">
              <w:rPr>
                <w:b/>
                <w:bCs/>
                <w:sz w:val="20"/>
                <w:szCs w:val="20"/>
                <w:lang w:val="en-GB" w:eastAsia="en-GB"/>
              </w:rPr>
              <w:t>erson</w:t>
            </w:r>
          </w:p>
          <w:p w:rsidR="00786BB8" w:rsidRDefault="00786BB8" w:rsidP="00786BB8">
            <w:pPr>
              <w:widowControl/>
              <w:autoSpaceDE/>
              <w:autoSpaceDN/>
              <w:adjustRightInd/>
              <w:jc w:val="center"/>
              <w:rPr>
                <w:b/>
                <w:bCs/>
                <w:sz w:val="20"/>
                <w:szCs w:val="20"/>
                <w:lang w:val="en-GB" w:eastAsia="en-GB"/>
              </w:rPr>
            </w:pPr>
            <w:r>
              <w:rPr>
                <w:b/>
                <w:bCs/>
                <w:sz w:val="20"/>
                <w:szCs w:val="20"/>
                <w:lang w:val="en-GB" w:eastAsia="en-GB"/>
              </w:rPr>
              <w:t>hours per</w:t>
            </w:r>
          </w:p>
          <w:p w:rsidR="00FE29CA" w:rsidRDefault="00786BB8" w:rsidP="00786BB8">
            <w:pPr>
              <w:widowControl/>
              <w:autoSpaceDE/>
              <w:autoSpaceDN/>
              <w:adjustRightInd/>
              <w:jc w:val="center"/>
              <w:rPr>
                <w:b/>
                <w:bCs/>
                <w:sz w:val="20"/>
                <w:szCs w:val="20"/>
                <w:lang w:val="en-GB" w:eastAsia="en-GB"/>
              </w:rPr>
            </w:pPr>
            <w:r>
              <w:rPr>
                <w:b/>
                <w:bCs/>
                <w:sz w:val="20"/>
                <w:szCs w:val="20"/>
                <w:lang w:val="en-GB" w:eastAsia="en-GB"/>
              </w:rPr>
              <w:t>occurrence</w:t>
            </w:r>
          </w:p>
          <w:p w:rsidR="008A1E64" w:rsidRDefault="008A1E64" w:rsidP="00786BB8">
            <w:pPr>
              <w:widowControl/>
              <w:autoSpaceDE/>
              <w:autoSpaceDN/>
              <w:adjustRightInd/>
              <w:jc w:val="center"/>
              <w:rPr>
                <w:b/>
                <w:bCs/>
                <w:sz w:val="20"/>
                <w:szCs w:val="20"/>
                <w:lang w:val="en-GB" w:eastAsia="en-GB"/>
              </w:rPr>
            </w:pPr>
          </w:p>
          <w:p w:rsidR="00786BB8" w:rsidRDefault="00786BB8" w:rsidP="00786BB8">
            <w:pPr>
              <w:widowControl/>
              <w:autoSpaceDE/>
              <w:autoSpaceDN/>
              <w:adjustRightInd/>
              <w:jc w:val="center"/>
              <w:rPr>
                <w:b/>
                <w:bCs/>
                <w:sz w:val="20"/>
                <w:szCs w:val="20"/>
                <w:lang w:val="en-GB" w:eastAsia="en-GB"/>
              </w:rPr>
            </w:pPr>
          </w:p>
          <w:p w:rsidR="00786BB8" w:rsidRPr="00FE29CA" w:rsidRDefault="00786BB8" w:rsidP="00786BB8">
            <w:pPr>
              <w:widowControl/>
              <w:autoSpaceDE/>
              <w:autoSpaceDN/>
              <w:adjustRightInd/>
              <w:rPr>
                <w:b/>
                <w:bCs/>
                <w:sz w:val="20"/>
                <w:szCs w:val="20"/>
                <w:lang w:val="en-GB" w:eastAsia="en-GB"/>
              </w:rPr>
            </w:pPr>
          </w:p>
        </w:tc>
        <w:tc>
          <w:tcPr>
            <w:tcW w:w="1350" w:type="dxa"/>
            <w:tcBorders>
              <w:top w:val="nil"/>
              <w:left w:val="nil"/>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No. of occurrences </w:t>
            </w:r>
          </w:p>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per respondent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per year</w:t>
            </w:r>
          </w:p>
          <w:p w:rsidR="00786BB8" w:rsidRPr="00FE29CA" w:rsidRDefault="00786BB8" w:rsidP="00FE29CA">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vAlign w:val="bottom"/>
            <w:hideMark/>
          </w:tcPr>
          <w:p w:rsidR="00B800B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Technical person-hours per respondent per year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(AxB)</w:t>
            </w:r>
          </w:p>
          <w:p w:rsidR="008A1E64" w:rsidRPr="00FE29CA" w:rsidRDefault="008A1E64" w:rsidP="00FE29CA">
            <w:pPr>
              <w:widowControl/>
              <w:autoSpaceDE/>
              <w:autoSpaceDN/>
              <w:adjustRightInd/>
              <w:jc w:val="center"/>
              <w:rPr>
                <w:b/>
                <w:bCs/>
                <w:sz w:val="20"/>
                <w:szCs w:val="20"/>
                <w:lang w:val="en-GB" w:eastAsia="en-GB"/>
              </w:rPr>
            </w:pPr>
          </w:p>
        </w:tc>
        <w:tc>
          <w:tcPr>
            <w:tcW w:w="1261" w:type="dxa"/>
            <w:tcBorders>
              <w:top w:val="nil"/>
              <w:left w:val="nil"/>
              <w:bottom w:val="single" w:sz="4" w:space="0" w:color="auto"/>
              <w:right w:val="single" w:sz="4" w:space="0" w:color="auto"/>
            </w:tcBorders>
            <w:shd w:val="clear" w:color="auto" w:fill="auto"/>
            <w:vAlign w:val="bottom"/>
            <w:hideMark/>
          </w:tcPr>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Respondents per year</w:t>
            </w:r>
            <w:r w:rsidR="000F6455">
              <w:rPr>
                <w:b/>
                <w:bCs/>
                <w:sz w:val="20"/>
                <w:szCs w:val="20"/>
                <w:lang w:val="en-GB" w:eastAsia="en-GB"/>
              </w:rPr>
              <w:t xml:space="preserve"> </w:t>
            </w:r>
            <w:r w:rsidR="000F6455" w:rsidRPr="000F6455">
              <w:rPr>
                <w:b/>
                <w:bCs/>
                <w:sz w:val="20"/>
                <w:szCs w:val="20"/>
                <w:vertAlign w:val="superscript"/>
                <w:lang w:val="en-GB" w:eastAsia="en-GB"/>
              </w:rPr>
              <w:t>b</w:t>
            </w:r>
          </w:p>
          <w:p w:rsidR="008A1E64" w:rsidRDefault="008A1E64" w:rsidP="00FE29CA">
            <w:pPr>
              <w:widowControl/>
              <w:autoSpaceDE/>
              <w:autoSpaceDN/>
              <w:adjustRightInd/>
              <w:jc w:val="center"/>
              <w:rPr>
                <w:b/>
                <w:bCs/>
                <w:sz w:val="20"/>
                <w:szCs w:val="20"/>
                <w:lang w:val="en-GB" w:eastAsia="en-GB"/>
              </w:rPr>
            </w:pPr>
          </w:p>
          <w:p w:rsidR="00786BB8" w:rsidRDefault="00786BB8" w:rsidP="00FE29CA">
            <w:pPr>
              <w:widowControl/>
              <w:autoSpaceDE/>
              <w:autoSpaceDN/>
              <w:adjustRightInd/>
              <w:jc w:val="center"/>
              <w:rPr>
                <w:b/>
                <w:bCs/>
                <w:sz w:val="20"/>
                <w:szCs w:val="20"/>
                <w:lang w:val="en-GB" w:eastAsia="en-GB"/>
              </w:rPr>
            </w:pPr>
          </w:p>
          <w:p w:rsidR="00786BB8" w:rsidRDefault="00786BB8" w:rsidP="00FE29CA">
            <w:pPr>
              <w:widowControl/>
              <w:autoSpaceDE/>
              <w:autoSpaceDN/>
              <w:adjustRightInd/>
              <w:jc w:val="center"/>
              <w:rPr>
                <w:b/>
                <w:bCs/>
                <w:sz w:val="20"/>
                <w:szCs w:val="20"/>
                <w:lang w:val="en-GB" w:eastAsia="en-GB"/>
              </w:rPr>
            </w:pPr>
          </w:p>
          <w:p w:rsidR="00786BB8" w:rsidRPr="00FE29CA" w:rsidRDefault="00786BB8" w:rsidP="00FE29CA">
            <w:pPr>
              <w:widowControl/>
              <w:autoSpaceDE/>
              <w:autoSpaceDN/>
              <w:adjustRightInd/>
              <w:jc w:val="center"/>
              <w:rPr>
                <w:b/>
                <w:bCs/>
                <w:sz w:val="20"/>
                <w:szCs w:val="20"/>
                <w:lang w:val="en-GB" w:eastAsia="en-GB"/>
              </w:rPr>
            </w:pPr>
          </w:p>
        </w:tc>
        <w:tc>
          <w:tcPr>
            <w:tcW w:w="1079" w:type="dxa"/>
            <w:tcBorders>
              <w:top w:val="nil"/>
              <w:left w:val="nil"/>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Technical hours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per year (CxD)</w:t>
            </w:r>
          </w:p>
          <w:p w:rsidR="008A1E64" w:rsidRDefault="008A1E64" w:rsidP="00FE29CA">
            <w:pPr>
              <w:widowControl/>
              <w:autoSpaceDE/>
              <w:autoSpaceDN/>
              <w:adjustRightInd/>
              <w:jc w:val="center"/>
              <w:rPr>
                <w:b/>
                <w:bCs/>
                <w:sz w:val="20"/>
                <w:szCs w:val="20"/>
                <w:lang w:val="en-GB" w:eastAsia="en-GB"/>
              </w:rPr>
            </w:pPr>
          </w:p>
          <w:p w:rsidR="00786BB8" w:rsidRPr="00FE29CA" w:rsidRDefault="00786BB8" w:rsidP="00FE29CA">
            <w:pPr>
              <w:widowControl/>
              <w:autoSpaceDE/>
              <w:autoSpaceDN/>
              <w:adjustRightInd/>
              <w:jc w:val="center"/>
              <w:rPr>
                <w:b/>
                <w:bCs/>
                <w:sz w:val="20"/>
                <w:szCs w:val="20"/>
                <w:lang w:val="en-GB" w:eastAsia="en-GB"/>
              </w:rPr>
            </w:pPr>
          </w:p>
        </w:tc>
        <w:tc>
          <w:tcPr>
            <w:tcW w:w="1336" w:type="dxa"/>
            <w:tcBorders>
              <w:top w:val="nil"/>
              <w:left w:val="nil"/>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Management hours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per year  (Ex0.05)</w:t>
            </w:r>
          </w:p>
          <w:p w:rsidR="008A1E64" w:rsidRDefault="008A1E64" w:rsidP="00FE29CA">
            <w:pPr>
              <w:widowControl/>
              <w:autoSpaceDE/>
              <w:autoSpaceDN/>
              <w:adjustRightInd/>
              <w:jc w:val="center"/>
              <w:rPr>
                <w:b/>
                <w:bCs/>
                <w:sz w:val="20"/>
                <w:szCs w:val="20"/>
                <w:lang w:val="en-GB" w:eastAsia="en-GB"/>
              </w:rPr>
            </w:pPr>
          </w:p>
          <w:p w:rsidR="00786BB8" w:rsidRPr="00FE29CA" w:rsidRDefault="00786BB8" w:rsidP="00FE29CA">
            <w:pPr>
              <w:widowControl/>
              <w:autoSpaceDE/>
              <w:autoSpaceDN/>
              <w:adjustRightInd/>
              <w:jc w:val="center"/>
              <w:rPr>
                <w:b/>
                <w:bCs/>
                <w:sz w:val="20"/>
                <w:szCs w:val="20"/>
                <w:lang w:val="en-GB" w:eastAsia="en-GB"/>
              </w:rPr>
            </w:pPr>
          </w:p>
        </w:tc>
        <w:tc>
          <w:tcPr>
            <w:tcW w:w="1094" w:type="dxa"/>
            <w:tcBorders>
              <w:top w:val="nil"/>
              <w:left w:val="nil"/>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Clerical hours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per year (Ex0.10)</w:t>
            </w:r>
          </w:p>
          <w:p w:rsidR="008A1E64" w:rsidRDefault="008A1E64" w:rsidP="00FE29CA">
            <w:pPr>
              <w:widowControl/>
              <w:autoSpaceDE/>
              <w:autoSpaceDN/>
              <w:adjustRightInd/>
              <w:jc w:val="center"/>
              <w:rPr>
                <w:b/>
                <w:bCs/>
                <w:sz w:val="20"/>
                <w:szCs w:val="20"/>
                <w:lang w:val="en-GB" w:eastAsia="en-GB"/>
              </w:rPr>
            </w:pPr>
          </w:p>
          <w:p w:rsidR="00786BB8" w:rsidRPr="00FE29CA" w:rsidRDefault="00786BB8" w:rsidP="00FE29CA">
            <w:pPr>
              <w:widowControl/>
              <w:autoSpaceDE/>
              <w:autoSpaceDN/>
              <w:adjustRightInd/>
              <w:jc w:val="center"/>
              <w:rPr>
                <w:b/>
                <w:bCs/>
                <w:sz w:val="20"/>
                <w:szCs w:val="20"/>
                <w:lang w:val="en-GB" w:eastAsia="en-GB"/>
              </w:rPr>
            </w:pPr>
          </w:p>
        </w:tc>
        <w:tc>
          <w:tcPr>
            <w:tcW w:w="1100" w:type="dxa"/>
            <w:tcBorders>
              <w:top w:val="nil"/>
              <w:left w:val="nil"/>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 xml:space="preserve">Total cost per year </w:t>
            </w:r>
            <w:r w:rsidRPr="00FE29CA">
              <w:rPr>
                <w:b/>
                <w:bCs/>
                <w:sz w:val="20"/>
                <w:szCs w:val="20"/>
                <w:vertAlign w:val="superscript"/>
                <w:lang w:val="en-GB" w:eastAsia="en-GB"/>
              </w:rPr>
              <w:t>a</w:t>
            </w:r>
            <w:r w:rsidRPr="00FE29CA">
              <w:rPr>
                <w:b/>
                <w:bCs/>
                <w:sz w:val="20"/>
                <w:szCs w:val="20"/>
                <w:lang w:val="en-GB" w:eastAsia="en-GB"/>
              </w:rPr>
              <w:t xml:space="preserve"> </w:t>
            </w:r>
          </w:p>
          <w:p w:rsidR="00FE29CA" w:rsidRDefault="00FE29CA" w:rsidP="00FE29CA">
            <w:pPr>
              <w:widowControl/>
              <w:autoSpaceDE/>
              <w:autoSpaceDN/>
              <w:adjustRightInd/>
              <w:jc w:val="center"/>
              <w:rPr>
                <w:b/>
                <w:bCs/>
                <w:sz w:val="20"/>
                <w:szCs w:val="20"/>
                <w:lang w:val="en-GB" w:eastAsia="en-GB"/>
              </w:rPr>
            </w:pPr>
            <w:r w:rsidRPr="00FE29CA">
              <w:rPr>
                <w:b/>
                <w:bCs/>
                <w:sz w:val="20"/>
                <w:szCs w:val="20"/>
                <w:lang w:val="en-GB" w:eastAsia="en-GB"/>
              </w:rPr>
              <w:t>($)</w:t>
            </w:r>
          </w:p>
          <w:p w:rsidR="008A1E64" w:rsidRDefault="008A1E64" w:rsidP="00FE29CA">
            <w:pPr>
              <w:widowControl/>
              <w:autoSpaceDE/>
              <w:autoSpaceDN/>
              <w:adjustRightInd/>
              <w:jc w:val="center"/>
              <w:rPr>
                <w:b/>
                <w:bCs/>
                <w:sz w:val="20"/>
                <w:szCs w:val="20"/>
                <w:lang w:val="en-GB" w:eastAsia="en-GB"/>
              </w:rPr>
            </w:pPr>
          </w:p>
          <w:p w:rsidR="00786BB8" w:rsidRDefault="00786BB8" w:rsidP="00FE29CA">
            <w:pPr>
              <w:widowControl/>
              <w:autoSpaceDE/>
              <w:autoSpaceDN/>
              <w:adjustRightInd/>
              <w:jc w:val="center"/>
              <w:rPr>
                <w:b/>
                <w:bCs/>
                <w:sz w:val="20"/>
                <w:szCs w:val="20"/>
                <w:lang w:val="en-GB" w:eastAsia="en-GB"/>
              </w:rPr>
            </w:pPr>
          </w:p>
          <w:p w:rsidR="00786BB8" w:rsidRPr="00FE29CA" w:rsidRDefault="00786BB8" w:rsidP="00FE29CA">
            <w:pPr>
              <w:widowControl/>
              <w:autoSpaceDE/>
              <w:autoSpaceDN/>
              <w:adjustRightInd/>
              <w:jc w:val="center"/>
              <w:rPr>
                <w:b/>
                <w:bCs/>
                <w:sz w:val="20"/>
                <w:szCs w:val="20"/>
                <w:lang w:val="en-GB" w:eastAsia="en-GB"/>
              </w:rPr>
            </w:pPr>
          </w:p>
        </w:tc>
      </w:tr>
      <w:tr w:rsidR="00FE29CA" w:rsidRPr="00FE29CA" w:rsidTr="008A1E64">
        <w:trPr>
          <w:trHeight w:val="255"/>
          <w:jc w:val="center"/>
        </w:trPr>
        <w:tc>
          <w:tcPr>
            <w:tcW w:w="3800" w:type="dxa"/>
            <w:tcBorders>
              <w:top w:val="nil"/>
              <w:left w:val="single" w:sz="4" w:space="0" w:color="auto"/>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r w:rsidRPr="00FE29CA">
              <w:rPr>
                <w:color w:val="000000"/>
                <w:sz w:val="20"/>
                <w:szCs w:val="20"/>
                <w:lang w:val="en-GB" w:eastAsia="en-GB"/>
              </w:rPr>
              <w:t>1. Reporting Requirements</w:t>
            </w:r>
          </w:p>
        </w:tc>
        <w:tc>
          <w:tcPr>
            <w:tcW w:w="1080"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jc w:val="center"/>
              <w:rPr>
                <w:color w:val="000000"/>
                <w:sz w:val="20"/>
                <w:szCs w:val="20"/>
                <w:lang w:val="en-GB" w:eastAsia="en-GB"/>
              </w:rPr>
            </w:pPr>
          </w:p>
        </w:tc>
        <w:tc>
          <w:tcPr>
            <w:tcW w:w="1350"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530"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261"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079"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336"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094" w:type="dxa"/>
            <w:tcBorders>
              <w:top w:val="nil"/>
              <w:left w:val="nil"/>
              <w:bottom w:val="nil"/>
              <w:right w:val="nil"/>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p>
        </w:tc>
        <w:tc>
          <w:tcPr>
            <w:tcW w:w="1100" w:type="dxa"/>
            <w:tcBorders>
              <w:top w:val="nil"/>
              <w:left w:val="nil"/>
              <w:bottom w:val="nil"/>
              <w:right w:val="single" w:sz="4" w:space="0" w:color="auto"/>
            </w:tcBorders>
            <w:shd w:val="clear" w:color="auto" w:fill="auto"/>
            <w:noWrap/>
            <w:vAlign w:val="bottom"/>
            <w:hideMark/>
          </w:tcPr>
          <w:p w:rsidR="00FE29CA" w:rsidRPr="00FE29CA" w:rsidRDefault="00FE29CA" w:rsidP="00FE29CA">
            <w:pPr>
              <w:widowControl/>
              <w:autoSpaceDE/>
              <w:autoSpaceDN/>
              <w:adjustRightInd/>
              <w:rPr>
                <w:color w:val="000000"/>
                <w:sz w:val="20"/>
                <w:szCs w:val="20"/>
                <w:lang w:val="en-GB" w:eastAsia="en-GB"/>
              </w:rPr>
            </w:pPr>
            <w:r w:rsidRPr="00FE29CA">
              <w:rPr>
                <w:color w:val="000000"/>
                <w:sz w:val="20"/>
                <w:szCs w:val="20"/>
                <w:lang w:val="en-GB" w:eastAsia="en-GB"/>
              </w:rPr>
              <w:t> </w:t>
            </w:r>
          </w:p>
        </w:tc>
      </w:tr>
      <w:tr w:rsidR="00F304FE" w:rsidRPr="00FE29CA" w:rsidTr="008A1E64">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a. Read rule and instructions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Pr>
                <w:color w:val="000000"/>
                <w:sz w:val="20"/>
                <w:szCs w:val="20"/>
              </w:rPr>
              <w:t>5</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20</w:t>
            </w:r>
          </w:p>
        </w:tc>
        <w:tc>
          <w:tcPr>
            <w:tcW w:w="1336"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1</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2,249.8</w:t>
            </w:r>
          </w:p>
        </w:tc>
      </w:tr>
      <w:tr w:rsidR="00F304FE"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b. Compile and process data</w:t>
            </w:r>
          </w:p>
        </w:tc>
        <w:tc>
          <w:tcPr>
            <w:tcW w:w="108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35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53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16</w:t>
            </w:r>
          </w:p>
        </w:tc>
        <w:tc>
          <w:tcPr>
            <w:tcW w:w="1261"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Pr>
                <w:color w:val="000000"/>
                <w:sz w:val="20"/>
                <w:szCs w:val="20"/>
              </w:rPr>
              <w:t>5</w:t>
            </w:r>
          </w:p>
        </w:tc>
        <w:tc>
          <w:tcPr>
            <w:tcW w:w="1079"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80</w:t>
            </w:r>
          </w:p>
        </w:tc>
        <w:tc>
          <w:tcPr>
            <w:tcW w:w="1336"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8</w:t>
            </w:r>
          </w:p>
        </w:tc>
        <w:tc>
          <w:tcPr>
            <w:tcW w:w="110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8,999.2</w:t>
            </w:r>
          </w:p>
        </w:tc>
      </w:tr>
      <w:tr w:rsidR="00FE29CA" w:rsidRPr="00FE29CA" w:rsidTr="008A1E64">
        <w:trPr>
          <w:trHeight w:val="300"/>
          <w:jc w:val="center"/>
        </w:trPr>
        <w:tc>
          <w:tcPr>
            <w:tcW w:w="3800" w:type="dxa"/>
            <w:tcBorders>
              <w:top w:val="nil"/>
              <w:left w:val="single" w:sz="4" w:space="0" w:color="auto"/>
              <w:bottom w:val="nil"/>
              <w:right w:val="nil"/>
            </w:tcBorders>
            <w:shd w:val="clear" w:color="auto" w:fill="auto"/>
            <w:vAlign w:val="bottom"/>
            <w:hideMark/>
          </w:tcPr>
          <w:p w:rsidR="00FE29CA" w:rsidRPr="00FE29CA" w:rsidRDefault="00847B34" w:rsidP="00FE29CA">
            <w:pPr>
              <w:widowControl/>
              <w:autoSpaceDE/>
              <w:autoSpaceDN/>
              <w:adjustRightInd/>
              <w:rPr>
                <w:color w:val="000000"/>
                <w:sz w:val="20"/>
                <w:szCs w:val="20"/>
                <w:lang w:val="en-GB" w:eastAsia="en-GB"/>
              </w:rPr>
            </w:pPr>
            <w:r>
              <w:rPr>
                <w:color w:val="000000"/>
                <w:sz w:val="20"/>
                <w:szCs w:val="20"/>
                <w:lang w:eastAsia="en-GB"/>
              </w:rPr>
              <w:t xml:space="preserve">  </w:t>
            </w:r>
            <w:r w:rsidR="00FE29CA" w:rsidRPr="00FE29CA">
              <w:rPr>
                <w:color w:val="000000"/>
                <w:sz w:val="20"/>
                <w:szCs w:val="20"/>
                <w:lang w:eastAsia="en-GB"/>
              </w:rPr>
              <w:t>c. Write reports</w:t>
            </w:r>
          </w:p>
        </w:tc>
        <w:tc>
          <w:tcPr>
            <w:tcW w:w="9830" w:type="dxa"/>
            <w:gridSpan w:val="8"/>
            <w:tcBorders>
              <w:top w:val="nil"/>
              <w:left w:val="nil"/>
              <w:bottom w:val="nil"/>
              <w:right w:val="single" w:sz="4" w:space="0" w:color="000000"/>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p>
        </w:tc>
      </w:tr>
      <w:tr w:rsidR="00FE29CA" w:rsidRPr="00FE29CA" w:rsidTr="008A1E64">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i. Initial notification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0</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r>
      <w:tr w:rsidR="00FE29CA"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E29CA" w:rsidRPr="00FE29CA" w:rsidRDefault="00FE29CA" w:rsidP="00847B34">
            <w:pPr>
              <w:widowControl/>
              <w:autoSpaceDE/>
              <w:autoSpaceDN/>
              <w:adjustRightInd/>
              <w:ind w:leftChars="82" w:left="409" w:hangingChars="106" w:hanging="212"/>
              <w:rPr>
                <w:color w:val="000000"/>
                <w:sz w:val="20"/>
                <w:szCs w:val="20"/>
                <w:lang w:val="en-GB" w:eastAsia="en-GB"/>
              </w:rPr>
            </w:pPr>
            <w:r w:rsidRPr="00FE29CA">
              <w:rPr>
                <w:color w:val="000000"/>
                <w:sz w:val="20"/>
                <w:szCs w:val="20"/>
                <w:lang w:eastAsia="en-GB"/>
              </w:rPr>
              <w:t>ii. Notification of compliance status</w:t>
            </w:r>
          </w:p>
        </w:tc>
        <w:tc>
          <w:tcPr>
            <w:tcW w:w="108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261"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val="en-GB" w:eastAsia="en-GB"/>
              </w:rPr>
              <w:t>0</w:t>
            </w:r>
          </w:p>
        </w:tc>
        <w:tc>
          <w:tcPr>
            <w:tcW w:w="1079"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094"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10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r>
      <w:tr w:rsidR="00FE29CA"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E29CA" w:rsidRPr="00FE29CA" w:rsidRDefault="00FE29CA" w:rsidP="00847B34">
            <w:pPr>
              <w:widowControl/>
              <w:autoSpaceDE/>
              <w:autoSpaceDN/>
              <w:adjustRightInd/>
              <w:ind w:leftChars="82" w:left="409" w:hangingChars="106" w:hanging="212"/>
              <w:rPr>
                <w:color w:val="000000"/>
                <w:sz w:val="20"/>
                <w:szCs w:val="20"/>
                <w:lang w:val="en-GB" w:eastAsia="en-GB"/>
              </w:rPr>
            </w:pPr>
            <w:r w:rsidRPr="00FE29CA">
              <w:rPr>
                <w:color w:val="000000"/>
                <w:sz w:val="20"/>
                <w:szCs w:val="20"/>
                <w:lang w:eastAsia="en-GB"/>
              </w:rPr>
              <w:t>iii. Notification of construction/reconstruction</w:t>
            </w:r>
          </w:p>
        </w:tc>
        <w:tc>
          <w:tcPr>
            <w:tcW w:w="108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261"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val="en-GB" w:eastAsia="en-GB"/>
              </w:rPr>
              <w:t>0</w:t>
            </w:r>
          </w:p>
        </w:tc>
        <w:tc>
          <w:tcPr>
            <w:tcW w:w="1079"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094"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10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r>
      <w:tr w:rsidR="00FE29CA"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iv. Notification of actual startup</w:t>
            </w:r>
          </w:p>
        </w:tc>
        <w:tc>
          <w:tcPr>
            <w:tcW w:w="108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261"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val="en-GB" w:eastAsia="en-GB"/>
              </w:rPr>
              <w:t>0</w:t>
            </w:r>
          </w:p>
        </w:tc>
        <w:tc>
          <w:tcPr>
            <w:tcW w:w="1079"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094"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10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r>
      <w:tr w:rsidR="00FE29CA" w:rsidRPr="00FE29CA" w:rsidTr="008A1E64">
        <w:trPr>
          <w:trHeight w:val="33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847B34" w:rsidRDefault="00FE29CA" w:rsidP="00FE29CA">
            <w:pPr>
              <w:widowControl/>
              <w:autoSpaceDE/>
              <w:autoSpaceDN/>
              <w:adjustRightInd/>
              <w:ind w:firstLineChars="100" w:firstLine="200"/>
              <w:rPr>
                <w:color w:val="000000"/>
                <w:sz w:val="20"/>
                <w:szCs w:val="20"/>
                <w:lang w:eastAsia="en-GB"/>
              </w:rPr>
            </w:pPr>
            <w:r w:rsidRPr="00FE29CA">
              <w:rPr>
                <w:color w:val="000000"/>
                <w:sz w:val="20"/>
                <w:szCs w:val="20"/>
                <w:lang w:eastAsia="en-GB"/>
              </w:rPr>
              <w:t xml:space="preserve">v. Notification of performance </w:t>
            </w:r>
          </w:p>
          <w:p w:rsidR="00FE29CA" w:rsidRPr="00FE29CA" w:rsidRDefault="00FE29CA" w:rsidP="00847B34">
            <w:pPr>
              <w:widowControl/>
              <w:autoSpaceDE/>
              <w:autoSpaceDN/>
              <w:adjustRightInd/>
              <w:ind w:leftChars="158" w:left="591" w:hangingChars="106" w:hanging="212"/>
              <w:rPr>
                <w:color w:val="000000"/>
                <w:sz w:val="20"/>
                <w:szCs w:val="20"/>
                <w:lang w:val="en-GB" w:eastAsia="en-GB"/>
              </w:rPr>
            </w:pPr>
            <w:r w:rsidRPr="00FE29CA">
              <w:rPr>
                <w:color w:val="000000"/>
                <w:sz w:val="20"/>
                <w:szCs w:val="20"/>
                <w:lang w:eastAsia="en-GB"/>
              </w:rPr>
              <w:t xml:space="preserve">test </w:t>
            </w:r>
            <w:r w:rsidRPr="00FE29CA">
              <w:rPr>
                <w:color w:val="000000"/>
                <w:sz w:val="20"/>
                <w:szCs w:val="20"/>
                <w:vertAlign w:val="superscript"/>
                <w:lang w:eastAsia="en-GB"/>
              </w:rPr>
              <w:t>b</w:t>
            </w:r>
          </w:p>
        </w:tc>
        <w:tc>
          <w:tcPr>
            <w:tcW w:w="108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noWrap/>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53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2.4</w:t>
            </w:r>
          </w:p>
        </w:tc>
        <w:tc>
          <w:tcPr>
            <w:tcW w:w="1261"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val="en-GB" w:eastAsia="en-GB"/>
              </w:rPr>
              <w:t>0</w:t>
            </w:r>
          </w:p>
        </w:tc>
        <w:tc>
          <w:tcPr>
            <w:tcW w:w="1079"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094"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10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r>
      <w:tr w:rsidR="00FE29CA" w:rsidRPr="00FE29CA" w:rsidTr="008A1E64">
        <w:trPr>
          <w:trHeight w:val="33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E29CA" w:rsidRPr="00FE29CA" w:rsidRDefault="00FE29CA" w:rsidP="000F6455">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 xml:space="preserve">vi. Report of performance test </w:t>
            </w:r>
            <w:r w:rsidR="000F6455">
              <w:rPr>
                <w:color w:val="000000"/>
                <w:sz w:val="20"/>
                <w:szCs w:val="20"/>
                <w:vertAlign w:val="superscript"/>
                <w:lang w:eastAsia="en-GB"/>
              </w:rPr>
              <w:t>c</w:t>
            </w:r>
          </w:p>
        </w:tc>
        <w:tc>
          <w:tcPr>
            <w:tcW w:w="108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10</w:t>
            </w:r>
          </w:p>
        </w:tc>
        <w:tc>
          <w:tcPr>
            <w:tcW w:w="135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53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261"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val="en-GB" w:eastAsia="en-GB"/>
              </w:rPr>
              <w:t>0</w:t>
            </w:r>
          </w:p>
        </w:tc>
        <w:tc>
          <w:tcPr>
            <w:tcW w:w="1079"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eastAsia="en-GB"/>
              </w:rPr>
              <w:t>0</w:t>
            </w:r>
          </w:p>
        </w:tc>
        <w:tc>
          <w:tcPr>
            <w:tcW w:w="1336"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094"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c>
          <w:tcPr>
            <w:tcW w:w="1100" w:type="dxa"/>
            <w:tcBorders>
              <w:top w:val="nil"/>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right"/>
              <w:rPr>
                <w:color w:val="000000"/>
                <w:sz w:val="20"/>
                <w:szCs w:val="20"/>
                <w:lang w:val="en-GB" w:eastAsia="en-GB"/>
              </w:rPr>
            </w:pPr>
            <w:r w:rsidRPr="00FE29CA">
              <w:rPr>
                <w:color w:val="000000"/>
                <w:sz w:val="20"/>
                <w:szCs w:val="20"/>
                <w:lang w:val="en-GB" w:eastAsia="en-GB"/>
              </w:rPr>
              <w:t>0</w:t>
            </w:r>
          </w:p>
        </w:tc>
      </w:tr>
      <w:tr w:rsidR="00F304FE"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vii. Semiannual report</w:t>
            </w:r>
          </w:p>
        </w:tc>
        <w:tc>
          <w:tcPr>
            <w:tcW w:w="108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6</w:t>
            </w:r>
          </w:p>
        </w:tc>
        <w:tc>
          <w:tcPr>
            <w:tcW w:w="135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53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261"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304FE">
            <w:pPr>
              <w:widowControl/>
              <w:autoSpaceDE/>
              <w:autoSpaceDN/>
              <w:adjustRightInd/>
              <w:jc w:val="center"/>
              <w:rPr>
                <w:color w:val="000000"/>
                <w:sz w:val="20"/>
                <w:szCs w:val="20"/>
                <w:lang w:val="en-GB" w:eastAsia="en-GB"/>
              </w:rPr>
            </w:pPr>
            <w:r>
              <w:rPr>
                <w:color w:val="000000"/>
                <w:sz w:val="20"/>
                <w:szCs w:val="20"/>
                <w:lang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60</w:t>
            </w:r>
          </w:p>
        </w:tc>
        <w:tc>
          <w:tcPr>
            <w:tcW w:w="1336"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3</w:t>
            </w:r>
          </w:p>
        </w:tc>
        <w:tc>
          <w:tcPr>
            <w:tcW w:w="1094"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6</w:t>
            </w:r>
          </w:p>
        </w:tc>
        <w:tc>
          <w:tcPr>
            <w:tcW w:w="110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6,749.4</w:t>
            </w:r>
          </w:p>
        </w:tc>
      </w:tr>
      <w:tr w:rsidR="00F304FE"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304FE" w:rsidRPr="00FE29CA" w:rsidRDefault="00F304FE" w:rsidP="00847B34">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viii. Excess emissions report</w:t>
            </w:r>
          </w:p>
        </w:tc>
        <w:tc>
          <w:tcPr>
            <w:tcW w:w="108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53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261"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Pr>
                <w:color w:val="000000"/>
                <w:sz w:val="20"/>
                <w:szCs w:val="20"/>
                <w:lang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20</w:t>
            </w:r>
          </w:p>
        </w:tc>
        <w:tc>
          <w:tcPr>
            <w:tcW w:w="1336"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w:t>
            </w:r>
          </w:p>
        </w:tc>
        <w:tc>
          <w:tcPr>
            <w:tcW w:w="110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2,249.8</w:t>
            </w:r>
          </w:p>
        </w:tc>
      </w:tr>
      <w:tr w:rsidR="00F304FE" w:rsidRPr="00FE29CA" w:rsidTr="008A1E64">
        <w:trPr>
          <w:trHeight w:val="33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F304FE" w:rsidRPr="00FE29CA" w:rsidRDefault="00F304FE" w:rsidP="000F6455">
            <w:pPr>
              <w:widowControl/>
              <w:autoSpaceDE/>
              <w:autoSpaceDN/>
              <w:adjustRightInd/>
              <w:ind w:leftChars="83" w:left="411" w:hangingChars="106" w:hanging="212"/>
              <w:rPr>
                <w:color w:val="000000"/>
                <w:sz w:val="20"/>
                <w:szCs w:val="20"/>
                <w:lang w:val="en-GB" w:eastAsia="en-GB"/>
              </w:rPr>
            </w:pPr>
            <w:r w:rsidRPr="00FE29CA">
              <w:rPr>
                <w:color w:val="000000"/>
                <w:sz w:val="20"/>
                <w:szCs w:val="20"/>
                <w:lang w:eastAsia="en-GB"/>
              </w:rPr>
              <w:t xml:space="preserve">ix. Startup, shutdown, malfunction report </w:t>
            </w:r>
            <w:r w:rsidR="000F6455">
              <w:rPr>
                <w:color w:val="000000"/>
                <w:sz w:val="20"/>
                <w:szCs w:val="20"/>
                <w:vertAlign w:val="superscript"/>
                <w:lang w:eastAsia="en-GB"/>
              </w:rPr>
              <w:t>d</w:t>
            </w:r>
          </w:p>
        </w:tc>
        <w:tc>
          <w:tcPr>
            <w:tcW w:w="108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noWrap/>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261"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304FE">
            <w:pPr>
              <w:widowControl/>
              <w:autoSpaceDE/>
              <w:autoSpaceDN/>
              <w:adjustRightInd/>
              <w:jc w:val="center"/>
              <w:rPr>
                <w:color w:val="000000"/>
                <w:sz w:val="20"/>
                <w:szCs w:val="20"/>
                <w:lang w:val="en-GB" w:eastAsia="en-GB"/>
              </w:rPr>
            </w:pPr>
            <w:r>
              <w:rPr>
                <w:color w:val="000000"/>
                <w:sz w:val="20"/>
                <w:szCs w:val="20"/>
                <w:lang w:eastAsia="en-GB"/>
              </w:rPr>
              <w:t>1.25</w:t>
            </w:r>
          </w:p>
        </w:tc>
        <w:tc>
          <w:tcPr>
            <w:tcW w:w="1079"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2.5</w:t>
            </w:r>
          </w:p>
        </w:tc>
        <w:tc>
          <w:tcPr>
            <w:tcW w:w="1336"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0.13</w:t>
            </w:r>
          </w:p>
        </w:tc>
        <w:tc>
          <w:tcPr>
            <w:tcW w:w="1094"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0.25</w:t>
            </w:r>
          </w:p>
        </w:tc>
        <w:tc>
          <w:tcPr>
            <w:tcW w:w="1100" w:type="dxa"/>
            <w:tcBorders>
              <w:top w:val="nil"/>
              <w:left w:val="nil"/>
              <w:bottom w:val="single" w:sz="4" w:space="0" w:color="auto"/>
              <w:right w:val="single" w:sz="4" w:space="0" w:color="auto"/>
            </w:tcBorders>
            <w:shd w:val="clear" w:color="auto" w:fill="auto"/>
            <w:vAlign w:val="bottom"/>
            <w:hideMark/>
          </w:tcPr>
          <w:p w:rsidR="00F304FE" w:rsidRPr="00FE29CA" w:rsidRDefault="00F304FE" w:rsidP="00FE29CA">
            <w:pPr>
              <w:widowControl/>
              <w:autoSpaceDE/>
              <w:autoSpaceDN/>
              <w:adjustRightInd/>
              <w:jc w:val="right"/>
              <w:rPr>
                <w:color w:val="000000"/>
                <w:sz w:val="20"/>
                <w:szCs w:val="20"/>
                <w:lang w:val="en-GB" w:eastAsia="en-GB"/>
              </w:rPr>
            </w:pPr>
            <w:r>
              <w:rPr>
                <w:color w:val="000000"/>
                <w:sz w:val="20"/>
                <w:szCs w:val="20"/>
              </w:rPr>
              <w:t>281.23</w:t>
            </w:r>
          </w:p>
        </w:tc>
      </w:tr>
      <w:tr w:rsidR="00FE29CA" w:rsidRPr="00FE29CA" w:rsidTr="008A1E64">
        <w:trPr>
          <w:trHeight w:val="255"/>
          <w:jc w:val="center"/>
        </w:trPr>
        <w:tc>
          <w:tcPr>
            <w:tcW w:w="3800" w:type="dxa"/>
            <w:tcBorders>
              <w:top w:val="nil"/>
              <w:left w:val="single" w:sz="4" w:space="0" w:color="auto"/>
              <w:bottom w:val="nil"/>
              <w:right w:val="nil"/>
            </w:tcBorders>
            <w:shd w:val="clear" w:color="auto" w:fill="auto"/>
            <w:hideMark/>
          </w:tcPr>
          <w:p w:rsidR="00FE29CA" w:rsidRPr="008A1E64" w:rsidRDefault="009A3F9D" w:rsidP="00FE29CA">
            <w:pPr>
              <w:widowControl/>
              <w:autoSpaceDE/>
              <w:autoSpaceDN/>
              <w:adjustRightInd/>
              <w:rPr>
                <w:b/>
                <w:i/>
                <w:iCs/>
                <w:color w:val="000000"/>
                <w:sz w:val="20"/>
                <w:szCs w:val="20"/>
                <w:lang w:val="en-GB" w:eastAsia="en-GB"/>
              </w:rPr>
            </w:pPr>
            <w:r w:rsidRPr="008A1E64">
              <w:rPr>
                <w:b/>
                <w:i/>
                <w:iCs/>
                <w:color w:val="000000"/>
                <w:sz w:val="20"/>
                <w:szCs w:val="20"/>
                <w:lang w:val="en-GB" w:eastAsia="en-GB"/>
              </w:rPr>
              <w:t>Subtotal for Reporting Requirements</w:t>
            </w:r>
          </w:p>
        </w:tc>
        <w:tc>
          <w:tcPr>
            <w:tcW w:w="1080" w:type="dxa"/>
            <w:tcBorders>
              <w:top w:val="nil"/>
              <w:left w:val="nil"/>
              <w:bottom w:val="nil"/>
              <w:right w:val="nil"/>
            </w:tcBorders>
            <w:shd w:val="clear" w:color="auto" w:fill="auto"/>
            <w:hideMark/>
          </w:tcPr>
          <w:p w:rsidR="00FE29CA" w:rsidRPr="008A1E64" w:rsidRDefault="00FE29CA" w:rsidP="00FE29CA">
            <w:pPr>
              <w:widowControl/>
              <w:autoSpaceDE/>
              <w:autoSpaceDN/>
              <w:adjustRightInd/>
              <w:jc w:val="center"/>
              <w:rPr>
                <w:b/>
                <w:color w:val="000000"/>
                <w:sz w:val="20"/>
                <w:szCs w:val="20"/>
                <w:lang w:val="en-GB" w:eastAsia="en-GB"/>
              </w:rPr>
            </w:pPr>
          </w:p>
        </w:tc>
        <w:tc>
          <w:tcPr>
            <w:tcW w:w="1350" w:type="dxa"/>
            <w:tcBorders>
              <w:top w:val="nil"/>
              <w:left w:val="nil"/>
              <w:bottom w:val="nil"/>
              <w:right w:val="nil"/>
            </w:tcBorders>
            <w:shd w:val="clear" w:color="auto" w:fill="auto"/>
            <w:hideMark/>
          </w:tcPr>
          <w:p w:rsidR="00FE29CA" w:rsidRPr="008A1E64" w:rsidRDefault="00FE29CA" w:rsidP="00FE29CA">
            <w:pPr>
              <w:widowControl/>
              <w:autoSpaceDE/>
              <w:autoSpaceDN/>
              <w:adjustRightInd/>
              <w:jc w:val="center"/>
              <w:rPr>
                <w:b/>
                <w:color w:val="000000"/>
                <w:sz w:val="20"/>
                <w:szCs w:val="20"/>
                <w:lang w:val="en-GB" w:eastAsia="en-GB"/>
              </w:rPr>
            </w:pPr>
          </w:p>
        </w:tc>
        <w:tc>
          <w:tcPr>
            <w:tcW w:w="1530" w:type="dxa"/>
            <w:tcBorders>
              <w:top w:val="nil"/>
              <w:left w:val="nil"/>
              <w:bottom w:val="nil"/>
              <w:right w:val="nil"/>
            </w:tcBorders>
            <w:shd w:val="clear" w:color="auto" w:fill="auto"/>
            <w:hideMark/>
          </w:tcPr>
          <w:p w:rsidR="00FE29CA" w:rsidRPr="008A1E64" w:rsidRDefault="00FE29CA" w:rsidP="00FE29CA">
            <w:pPr>
              <w:widowControl/>
              <w:autoSpaceDE/>
              <w:autoSpaceDN/>
              <w:adjustRightInd/>
              <w:jc w:val="center"/>
              <w:rPr>
                <w:b/>
                <w:color w:val="000000"/>
                <w:sz w:val="20"/>
                <w:szCs w:val="20"/>
                <w:lang w:val="en-GB" w:eastAsia="en-GB"/>
              </w:rPr>
            </w:pPr>
          </w:p>
        </w:tc>
        <w:tc>
          <w:tcPr>
            <w:tcW w:w="1261" w:type="dxa"/>
            <w:tcBorders>
              <w:top w:val="nil"/>
              <w:left w:val="nil"/>
              <w:bottom w:val="nil"/>
              <w:right w:val="nil"/>
            </w:tcBorders>
            <w:shd w:val="clear" w:color="auto" w:fill="auto"/>
            <w:hideMark/>
          </w:tcPr>
          <w:p w:rsidR="00FE29CA" w:rsidRPr="008A1E64" w:rsidRDefault="00FE29CA" w:rsidP="00FE29CA">
            <w:pPr>
              <w:widowControl/>
              <w:autoSpaceDE/>
              <w:autoSpaceDN/>
              <w:adjustRightInd/>
              <w:jc w:val="center"/>
              <w:rPr>
                <w:b/>
                <w:color w:val="000000"/>
                <w:sz w:val="20"/>
                <w:szCs w:val="20"/>
                <w:lang w:val="en-GB" w:eastAsia="en-GB"/>
              </w:rPr>
            </w:pPr>
          </w:p>
        </w:tc>
        <w:tc>
          <w:tcPr>
            <w:tcW w:w="350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E29CA" w:rsidRPr="008A1E64" w:rsidRDefault="00C576AB" w:rsidP="009A3F9D">
            <w:pPr>
              <w:widowControl/>
              <w:autoSpaceDE/>
              <w:autoSpaceDN/>
              <w:adjustRightInd/>
              <w:jc w:val="center"/>
              <w:rPr>
                <w:b/>
                <w:color w:val="000000"/>
                <w:sz w:val="20"/>
                <w:szCs w:val="20"/>
                <w:lang w:val="en-GB" w:eastAsia="en-GB"/>
              </w:rPr>
            </w:pPr>
            <w:r w:rsidRPr="008A1E64">
              <w:rPr>
                <w:b/>
                <w:color w:val="000000"/>
                <w:sz w:val="20"/>
                <w:szCs w:val="20"/>
                <w:lang w:eastAsia="en-GB"/>
              </w:rPr>
              <w:t>2</w:t>
            </w:r>
            <w:r w:rsidR="009A3F9D" w:rsidRPr="008A1E64">
              <w:rPr>
                <w:b/>
                <w:color w:val="000000"/>
                <w:sz w:val="20"/>
                <w:szCs w:val="20"/>
                <w:lang w:eastAsia="en-GB"/>
              </w:rPr>
              <w:t>09.88</w:t>
            </w:r>
          </w:p>
        </w:tc>
        <w:tc>
          <w:tcPr>
            <w:tcW w:w="1100" w:type="dxa"/>
            <w:tcBorders>
              <w:top w:val="nil"/>
              <w:left w:val="nil"/>
              <w:bottom w:val="single" w:sz="4" w:space="0" w:color="auto"/>
              <w:right w:val="single" w:sz="4" w:space="0" w:color="auto"/>
            </w:tcBorders>
            <w:shd w:val="clear" w:color="auto" w:fill="auto"/>
            <w:vAlign w:val="bottom"/>
            <w:hideMark/>
          </w:tcPr>
          <w:p w:rsidR="00FE29CA" w:rsidRPr="008A1E64" w:rsidRDefault="00F304FE" w:rsidP="00F304FE">
            <w:pPr>
              <w:widowControl/>
              <w:autoSpaceDE/>
              <w:autoSpaceDN/>
              <w:adjustRightInd/>
              <w:jc w:val="right"/>
              <w:rPr>
                <w:b/>
                <w:color w:val="000000"/>
                <w:sz w:val="20"/>
                <w:szCs w:val="20"/>
                <w:lang w:val="en-GB" w:eastAsia="en-GB"/>
              </w:rPr>
            </w:pPr>
            <w:r w:rsidRPr="008A1E64">
              <w:rPr>
                <w:b/>
                <w:color w:val="000000"/>
                <w:sz w:val="20"/>
                <w:szCs w:val="20"/>
                <w:lang w:eastAsia="en-GB"/>
              </w:rPr>
              <w:t>20,529</w:t>
            </w:r>
          </w:p>
        </w:tc>
      </w:tr>
      <w:tr w:rsidR="00FE29CA" w:rsidRPr="00FE29CA" w:rsidTr="008A1E64">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rPr>
                <w:color w:val="000000"/>
                <w:sz w:val="20"/>
                <w:szCs w:val="20"/>
                <w:lang w:val="en-GB" w:eastAsia="en-GB"/>
              </w:rPr>
            </w:pPr>
            <w:r w:rsidRPr="00FE29CA">
              <w:rPr>
                <w:color w:val="000000"/>
                <w:sz w:val="20"/>
                <w:szCs w:val="20"/>
                <w:lang w:eastAsia="en-GB"/>
              </w:rPr>
              <w:t>2. Recordkeeping requirements</w:t>
            </w:r>
          </w:p>
        </w:tc>
        <w:tc>
          <w:tcPr>
            <w:tcW w:w="9830" w:type="dxa"/>
            <w:gridSpan w:val="8"/>
            <w:tcBorders>
              <w:top w:val="single" w:sz="4" w:space="0" w:color="auto"/>
              <w:left w:val="nil"/>
              <w:bottom w:val="single" w:sz="4" w:space="0" w:color="auto"/>
              <w:right w:val="single" w:sz="4" w:space="0" w:color="auto"/>
            </w:tcBorders>
            <w:shd w:val="clear" w:color="auto" w:fill="auto"/>
            <w:vAlign w:val="bottom"/>
            <w:hideMark/>
          </w:tcPr>
          <w:p w:rsidR="00FE29CA" w:rsidRPr="00FE29CA" w:rsidRDefault="00FE29CA" w:rsidP="00FE29CA">
            <w:pPr>
              <w:widowControl/>
              <w:autoSpaceDE/>
              <w:autoSpaceDN/>
              <w:adjustRightInd/>
              <w:jc w:val="center"/>
              <w:rPr>
                <w:color w:val="000000"/>
                <w:sz w:val="20"/>
                <w:szCs w:val="20"/>
                <w:lang w:val="en-GB" w:eastAsia="en-GB"/>
              </w:rPr>
            </w:pPr>
            <w:r w:rsidRPr="00FE29CA">
              <w:rPr>
                <w:color w:val="000000"/>
                <w:sz w:val="20"/>
                <w:szCs w:val="20"/>
                <w:lang w:eastAsia="en-GB"/>
              </w:rPr>
              <w:t> </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a. Read rule and instructions</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4</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20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2</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2,249.8</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b. Plan activities</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3</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6,749.4</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c. Implement activities</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3</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6,749.4</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847B34">
            <w:pPr>
              <w:widowControl/>
              <w:autoSpaceDE/>
              <w:autoSpaceDN/>
              <w:adjustRightInd/>
              <w:ind w:left="322" w:hanging="322"/>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d. Maintain record system for material used</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20</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20</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100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5</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10</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11,249</w:t>
            </w:r>
          </w:p>
        </w:tc>
      </w:tr>
      <w:tr w:rsidR="00C576AB" w:rsidRPr="00FE29CA" w:rsidTr="008A1E64">
        <w:trPr>
          <w:trHeight w:val="300"/>
          <w:jc w:val="center"/>
        </w:trPr>
        <w:tc>
          <w:tcPr>
            <w:tcW w:w="3800" w:type="dxa"/>
            <w:tcBorders>
              <w:top w:val="nil"/>
              <w:left w:val="single" w:sz="4" w:space="0" w:color="auto"/>
              <w:bottom w:val="nil"/>
              <w:right w:val="nil"/>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lastRenderedPageBreak/>
              <w:t xml:space="preserve">  </w:t>
            </w:r>
            <w:r w:rsidRPr="00FE29CA">
              <w:rPr>
                <w:color w:val="000000"/>
                <w:sz w:val="20"/>
                <w:szCs w:val="20"/>
                <w:lang w:eastAsia="en-GB"/>
              </w:rPr>
              <w:t>e. Time to enter information</w:t>
            </w:r>
          </w:p>
        </w:tc>
        <w:tc>
          <w:tcPr>
            <w:tcW w:w="9830" w:type="dxa"/>
            <w:gridSpan w:val="8"/>
            <w:tcBorders>
              <w:top w:val="nil"/>
              <w:left w:val="nil"/>
              <w:bottom w:val="nil"/>
              <w:right w:val="single" w:sz="4" w:space="0" w:color="000000"/>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p>
        </w:tc>
      </w:tr>
      <w:tr w:rsidR="00C576AB" w:rsidRPr="00FE29CA" w:rsidTr="008A1E64">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i. Material usage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0.5</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365</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182.5</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912.5</w:t>
            </w:r>
          </w:p>
        </w:tc>
        <w:tc>
          <w:tcPr>
            <w:tcW w:w="1336" w:type="dxa"/>
            <w:tcBorders>
              <w:top w:val="single" w:sz="4" w:space="0" w:color="auto"/>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45.63</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91.25</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102,647.13</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ind w:firstLineChars="100" w:firstLine="200"/>
              <w:rPr>
                <w:color w:val="000000"/>
                <w:sz w:val="20"/>
                <w:szCs w:val="20"/>
                <w:lang w:val="en-GB" w:eastAsia="en-GB"/>
              </w:rPr>
            </w:pPr>
            <w:r w:rsidRPr="00FE29CA">
              <w:rPr>
                <w:color w:val="000000"/>
                <w:sz w:val="20"/>
                <w:szCs w:val="20"/>
                <w:lang w:eastAsia="en-GB"/>
              </w:rPr>
              <w:t>ii. Compliance calculation</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24</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120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12</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13,498.8</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f. Time to train personnel</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10</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10</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50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3</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5</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5,624.5</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g. Store, file, and maintain records</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24</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120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12</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13,498.8</w:t>
            </w:r>
          </w:p>
        </w:tc>
      </w:tr>
      <w:tr w:rsidR="00C576AB" w:rsidRPr="00FE29CA" w:rsidTr="008A1E64">
        <w:trPr>
          <w:trHeight w:val="300"/>
          <w:jc w:val="center"/>
        </w:trPr>
        <w:tc>
          <w:tcPr>
            <w:tcW w:w="3800" w:type="dxa"/>
            <w:tcBorders>
              <w:top w:val="nil"/>
              <w:left w:val="single" w:sz="4" w:space="0" w:color="auto"/>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rPr>
                <w:color w:val="000000"/>
                <w:sz w:val="20"/>
                <w:szCs w:val="20"/>
                <w:lang w:val="en-GB" w:eastAsia="en-GB"/>
              </w:rPr>
            </w:pPr>
            <w:r>
              <w:rPr>
                <w:color w:val="000000"/>
                <w:sz w:val="20"/>
                <w:szCs w:val="20"/>
                <w:lang w:eastAsia="en-GB"/>
              </w:rPr>
              <w:t xml:space="preserve">  </w:t>
            </w:r>
            <w:r w:rsidRPr="00FE29CA">
              <w:rPr>
                <w:color w:val="000000"/>
                <w:sz w:val="20"/>
                <w:szCs w:val="20"/>
                <w:lang w:eastAsia="en-GB"/>
              </w:rPr>
              <w:t>h. Retrieve records/reports</w:t>
            </w:r>
          </w:p>
        </w:tc>
        <w:tc>
          <w:tcPr>
            <w:tcW w:w="108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w:t>
            </w:r>
          </w:p>
        </w:tc>
        <w:tc>
          <w:tcPr>
            <w:tcW w:w="135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530"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FE29CA">
            <w:pPr>
              <w:widowControl/>
              <w:autoSpaceDE/>
              <w:autoSpaceDN/>
              <w:adjustRightInd/>
              <w:jc w:val="center"/>
              <w:rPr>
                <w:color w:val="000000"/>
                <w:sz w:val="20"/>
                <w:szCs w:val="20"/>
                <w:lang w:val="en-GB" w:eastAsia="en-GB"/>
              </w:rPr>
            </w:pPr>
            <w:r w:rsidRPr="00FE29CA">
              <w:rPr>
                <w:color w:val="000000"/>
                <w:sz w:val="20"/>
                <w:szCs w:val="20"/>
                <w:lang w:eastAsia="en-GB"/>
              </w:rPr>
              <w:t>12</w:t>
            </w:r>
          </w:p>
        </w:tc>
        <w:tc>
          <w:tcPr>
            <w:tcW w:w="1261" w:type="dxa"/>
            <w:tcBorders>
              <w:top w:val="nil"/>
              <w:left w:val="nil"/>
              <w:bottom w:val="single" w:sz="4" w:space="0" w:color="auto"/>
              <w:right w:val="single" w:sz="4" w:space="0" w:color="auto"/>
            </w:tcBorders>
            <w:shd w:val="clear" w:color="auto" w:fill="auto"/>
            <w:vAlign w:val="bottom"/>
            <w:hideMark/>
          </w:tcPr>
          <w:p w:rsidR="00C576AB" w:rsidRPr="00FE29CA" w:rsidRDefault="00C576AB" w:rsidP="00C576AB">
            <w:pPr>
              <w:widowControl/>
              <w:autoSpaceDE/>
              <w:autoSpaceDN/>
              <w:adjustRightInd/>
              <w:jc w:val="center"/>
              <w:rPr>
                <w:color w:val="000000"/>
                <w:sz w:val="20"/>
                <w:szCs w:val="20"/>
                <w:lang w:val="en-GB" w:eastAsia="en-GB"/>
              </w:rPr>
            </w:pPr>
            <w:r>
              <w:rPr>
                <w:color w:val="000000"/>
                <w:sz w:val="20"/>
                <w:szCs w:val="20"/>
                <w:lang w:val="en-GB" w:eastAsia="en-GB"/>
              </w:rPr>
              <w:t>5</w:t>
            </w:r>
          </w:p>
        </w:tc>
        <w:tc>
          <w:tcPr>
            <w:tcW w:w="1079"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60</w:t>
            </w:r>
          </w:p>
        </w:tc>
        <w:tc>
          <w:tcPr>
            <w:tcW w:w="1336"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3</w:t>
            </w:r>
          </w:p>
        </w:tc>
        <w:tc>
          <w:tcPr>
            <w:tcW w:w="1094"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center"/>
              <w:rPr>
                <w:color w:val="000000"/>
                <w:sz w:val="20"/>
                <w:szCs w:val="20"/>
                <w:lang w:eastAsia="en-GB"/>
              </w:rPr>
            </w:pPr>
            <w:r w:rsidRPr="00C576AB">
              <w:rPr>
                <w:color w:val="000000"/>
                <w:sz w:val="20"/>
                <w:szCs w:val="20"/>
                <w:lang w:eastAsia="en-GB"/>
              </w:rPr>
              <w:t>6</w:t>
            </w:r>
          </w:p>
        </w:tc>
        <w:tc>
          <w:tcPr>
            <w:tcW w:w="1100" w:type="dxa"/>
            <w:tcBorders>
              <w:top w:val="nil"/>
              <w:left w:val="nil"/>
              <w:bottom w:val="single" w:sz="4" w:space="0" w:color="auto"/>
              <w:right w:val="single" w:sz="4" w:space="0" w:color="auto"/>
            </w:tcBorders>
            <w:shd w:val="clear" w:color="auto" w:fill="auto"/>
            <w:vAlign w:val="bottom"/>
            <w:hideMark/>
          </w:tcPr>
          <w:p w:rsidR="00C576AB" w:rsidRPr="00C576AB" w:rsidRDefault="00C576AB" w:rsidP="00C576AB">
            <w:pPr>
              <w:widowControl/>
              <w:autoSpaceDE/>
              <w:autoSpaceDN/>
              <w:adjustRightInd/>
              <w:jc w:val="right"/>
              <w:rPr>
                <w:color w:val="000000"/>
                <w:sz w:val="20"/>
                <w:szCs w:val="20"/>
                <w:lang w:eastAsia="en-GB"/>
              </w:rPr>
            </w:pPr>
            <w:r w:rsidRPr="00C576AB">
              <w:rPr>
                <w:color w:val="000000"/>
                <w:sz w:val="20"/>
                <w:szCs w:val="20"/>
                <w:lang w:eastAsia="en-GB"/>
              </w:rPr>
              <w:t>6,749.4</w:t>
            </w:r>
          </w:p>
        </w:tc>
      </w:tr>
      <w:tr w:rsidR="00C576AB" w:rsidRPr="00FE29CA" w:rsidTr="008A1E64">
        <w:trPr>
          <w:trHeight w:val="255"/>
          <w:jc w:val="center"/>
        </w:trPr>
        <w:tc>
          <w:tcPr>
            <w:tcW w:w="3800" w:type="dxa"/>
            <w:tcBorders>
              <w:top w:val="nil"/>
              <w:left w:val="single" w:sz="4" w:space="0" w:color="auto"/>
              <w:bottom w:val="single" w:sz="4" w:space="0" w:color="auto"/>
              <w:right w:val="nil"/>
            </w:tcBorders>
            <w:shd w:val="clear" w:color="auto" w:fill="auto"/>
            <w:hideMark/>
          </w:tcPr>
          <w:p w:rsidR="00C576AB" w:rsidRPr="000422FC" w:rsidRDefault="008A1E64" w:rsidP="00FE29CA">
            <w:pPr>
              <w:widowControl/>
              <w:autoSpaceDE/>
              <w:autoSpaceDN/>
              <w:adjustRightInd/>
              <w:rPr>
                <w:b/>
                <w:i/>
                <w:iCs/>
                <w:color w:val="000000"/>
                <w:sz w:val="20"/>
                <w:szCs w:val="20"/>
                <w:lang w:val="en-GB" w:eastAsia="en-GB"/>
              </w:rPr>
            </w:pPr>
            <w:r w:rsidRPr="000422FC">
              <w:rPr>
                <w:b/>
                <w:i/>
                <w:iCs/>
                <w:color w:val="000000"/>
                <w:sz w:val="20"/>
                <w:szCs w:val="20"/>
                <w:lang w:val="en-GB" w:eastAsia="en-GB"/>
              </w:rPr>
              <w:t>Subtotal for Recordkeeping Requirements</w:t>
            </w:r>
          </w:p>
        </w:tc>
        <w:tc>
          <w:tcPr>
            <w:tcW w:w="1080" w:type="dxa"/>
            <w:tcBorders>
              <w:top w:val="nil"/>
              <w:left w:val="nil"/>
              <w:bottom w:val="single" w:sz="4" w:space="0" w:color="auto"/>
              <w:right w:val="nil"/>
            </w:tcBorders>
            <w:shd w:val="clear" w:color="auto" w:fill="auto"/>
            <w:hideMark/>
          </w:tcPr>
          <w:p w:rsidR="00C576AB" w:rsidRPr="000422FC" w:rsidRDefault="00C576AB" w:rsidP="00FE29CA">
            <w:pPr>
              <w:widowControl/>
              <w:autoSpaceDE/>
              <w:autoSpaceDN/>
              <w:adjustRightInd/>
              <w:jc w:val="center"/>
              <w:rPr>
                <w:b/>
                <w:color w:val="000000"/>
                <w:sz w:val="20"/>
                <w:szCs w:val="20"/>
                <w:lang w:val="en-GB" w:eastAsia="en-GB"/>
              </w:rPr>
            </w:pPr>
            <w:r w:rsidRPr="000422FC">
              <w:rPr>
                <w:b/>
                <w:color w:val="000000"/>
                <w:sz w:val="20"/>
                <w:szCs w:val="20"/>
                <w:lang w:val="en-GB" w:eastAsia="en-GB"/>
              </w:rPr>
              <w:t> </w:t>
            </w:r>
          </w:p>
        </w:tc>
        <w:tc>
          <w:tcPr>
            <w:tcW w:w="1350" w:type="dxa"/>
            <w:tcBorders>
              <w:top w:val="nil"/>
              <w:left w:val="nil"/>
              <w:bottom w:val="single" w:sz="4" w:space="0" w:color="auto"/>
              <w:right w:val="nil"/>
            </w:tcBorders>
            <w:shd w:val="clear" w:color="auto" w:fill="auto"/>
            <w:hideMark/>
          </w:tcPr>
          <w:p w:rsidR="00C576AB" w:rsidRPr="000422FC" w:rsidRDefault="00C576AB" w:rsidP="00FE29CA">
            <w:pPr>
              <w:widowControl/>
              <w:autoSpaceDE/>
              <w:autoSpaceDN/>
              <w:adjustRightInd/>
              <w:jc w:val="center"/>
              <w:rPr>
                <w:b/>
                <w:color w:val="000000"/>
                <w:sz w:val="20"/>
                <w:szCs w:val="20"/>
                <w:lang w:val="en-GB" w:eastAsia="en-GB"/>
              </w:rPr>
            </w:pPr>
            <w:r w:rsidRPr="000422FC">
              <w:rPr>
                <w:b/>
                <w:color w:val="000000"/>
                <w:sz w:val="20"/>
                <w:szCs w:val="20"/>
                <w:lang w:val="en-GB" w:eastAsia="en-GB"/>
              </w:rPr>
              <w:t> </w:t>
            </w:r>
          </w:p>
        </w:tc>
        <w:tc>
          <w:tcPr>
            <w:tcW w:w="1530" w:type="dxa"/>
            <w:tcBorders>
              <w:top w:val="nil"/>
              <w:left w:val="nil"/>
              <w:bottom w:val="single" w:sz="4" w:space="0" w:color="auto"/>
              <w:right w:val="nil"/>
            </w:tcBorders>
            <w:shd w:val="clear" w:color="auto" w:fill="auto"/>
            <w:hideMark/>
          </w:tcPr>
          <w:p w:rsidR="00C576AB" w:rsidRPr="000422FC" w:rsidRDefault="00C576AB" w:rsidP="00FE29CA">
            <w:pPr>
              <w:widowControl/>
              <w:autoSpaceDE/>
              <w:autoSpaceDN/>
              <w:adjustRightInd/>
              <w:jc w:val="center"/>
              <w:rPr>
                <w:b/>
                <w:color w:val="000000"/>
                <w:sz w:val="20"/>
                <w:szCs w:val="20"/>
                <w:lang w:val="en-GB" w:eastAsia="en-GB"/>
              </w:rPr>
            </w:pPr>
            <w:r w:rsidRPr="000422FC">
              <w:rPr>
                <w:b/>
                <w:color w:val="000000"/>
                <w:sz w:val="20"/>
                <w:szCs w:val="20"/>
                <w:lang w:val="en-GB" w:eastAsia="en-GB"/>
              </w:rPr>
              <w:t> </w:t>
            </w:r>
          </w:p>
        </w:tc>
        <w:tc>
          <w:tcPr>
            <w:tcW w:w="1261" w:type="dxa"/>
            <w:tcBorders>
              <w:top w:val="nil"/>
              <w:left w:val="nil"/>
              <w:bottom w:val="single" w:sz="4" w:space="0" w:color="auto"/>
              <w:right w:val="single" w:sz="4" w:space="0" w:color="auto"/>
            </w:tcBorders>
            <w:shd w:val="clear" w:color="auto" w:fill="auto"/>
            <w:hideMark/>
          </w:tcPr>
          <w:p w:rsidR="00C576AB" w:rsidRPr="000422FC" w:rsidRDefault="00C576AB" w:rsidP="00FE29CA">
            <w:pPr>
              <w:widowControl/>
              <w:autoSpaceDE/>
              <w:autoSpaceDN/>
              <w:adjustRightInd/>
              <w:jc w:val="center"/>
              <w:rPr>
                <w:b/>
                <w:color w:val="000000"/>
                <w:sz w:val="20"/>
                <w:szCs w:val="20"/>
                <w:lang w:val="en-GB" w:eastAsia="en-GB"/>
              </w:rPr>
            </w:pPr>
            <w:r w:rsidRPr="000422FC">
              <w:rPr>
                <w:b/>
                <w:color w:val="000000"/>
                <w:sz w:val="20"/>
                <w:szCs w:val="20"/>
                <w:lang w:val="en-GB" w:eastAsia="en-GB"/>
              </w:rPr>
              <w:t> </w:t>
            </w:r>
          </w:p>
        </w:tc>
        <w:tc>
          <w:tcPr>
            <w:tcW w:w="3509" w:type="dxa"/>
            <w:gridSpan w:val="3"/>
            <w:tcBorders>
              <w:top w:val="single" w:sz="4" w:space="0" w:color="auto"/>
              <w:left w:val="nil"/>
              <w:bottom w:val="single" w:sz="4" w:space="0" w:color="auto"/>
              <w:right w:val="single" w:sz="4" w:space="0" w:color="auto"/>
            </w:tcBorders>
            <w:shd w:val="clear" w:color="auto" w:fill="auto"/>
            <w:hideMark/>
          </w:tcPr>
          <w:p w:rsidR="00C576AB" w:rsidRPr="000422FC" w:rsidRDefault="00C576AB" w:rsidP="00C576AB">
            <w:pPr>
              <w:widowControl/>
              <w:autoSpaceDE/>
              <w:autoSpaceDN/>
              <w:adjustRightInd/>
              <w:jc w:val="center"/>
              <w:rPr>
                <w:b/>
                <w:color w:val="000000"/>
                <w:sz w:val="20"/>
                <w:szCs w:val="20"/>
                <w:lang w:val="en-GB" w:eastAsia="en-GB"/>
              </w:rPr>
            </w:pPr>
            <w:r w:rsidRPr="000422FC">
              <w:rPr>
                <w:b/>
                <w:color w:val="000000"/>
                <w:sz w:val="20"/>
                <w:szCs w:val="20"/>
                <w:lang w:val="en-GB" w:eastAsia="en-GB"/>
              </w:rPr>
              <w:t>1,728</w:t>
            </w:r>
            <w:r w:rsidR="000422FC">
              <w:rPr>
                <w:b/>
                <w:color w:val="000000"/>
                <w:sz w:val="20"/>
                <w:szCs w:val="20"/>
                <w:lang w:val="en-GB" w:eastAsia="en-GB"/>
              </w:rPr>
              <w:t>.38</w:t>
            </w:r>
          </w:p>
        </w:tc>
        <w:tc>
          <w:tcPr>
            <w:tcW w:w="1100" w:type="dxa"/>
            <w:tcBorders>
              <w:top w:val="nil"/>
              <w:left w:val="nil"/>
              <w:bottom w:val="single" w:sz="4" w:space="0" w:color="auto"/>
              <w:right w:val="single" w:sz="4" w:space="0" w:color="auto"/>
            </w:tcBorders>
            <w:shd w:val="clear" w:color="auto" w:fill="auto"/>
            <w:hideMark/>
          </w:tcPr>
          <w:p w:rsidR="00C576AB" w:rsidRPr="000422FC" w:rsidRDefault="00C576AB" w:rsidP="00C576AB">
            <w:pPr>
              <w:widowControl/>
              <w:autoSpaceDE/>
              <w:autoSpaceDN/>
              <w:adjustRightInd/>
              <w:jc w:val="right"/>
              <w:rPr>
                <w:b/>
                <w:color w:val="000000"/>
                <w:sz w:val="20"/>
                <w:szCs w:val="20"/>
                <w:lang w:val="en-GB" w:eastAsia="en-GB"/>
              </w:rPr>
            </w:pPr>
            <w:r w:rsidRPr="000422FC">
              <w:rPr>
                <w:b/>
                <w:color w:val="000000"/>
                <w:sz w:val="20"/>
                <w:szCs w:val="20"/>
                <w:lang w:val="en-GB" w:eastAsia="en-GB"/>
              </w:rPr>
              <w:t>169,016</w:t>
            </w:r>
          </w:p>
        </w:tc>
      </w:tr>
      <w:tr w:rsidR="00C576AB" w:rsidRPr="00FE29CA" w:rsidTr="008A1E64">
        <w:trPr>
          <w:trHeight w:val="255"/>
          <w:jc w:val="center"/>
        </w:trPr>
        <w:tc>
          <w:tcPr>
            <w:tcW w:w="9021" w:type="dxa"/>
            <w:gridSpan w:val="5"/>
            <w:tcBorders>
              <w:top w:val="nil"/>
              <w:left w:val="single" w:sz="4" w:space="0" w:color="auto"/>
              <w:bottom w:val="single" w:sz="4" w:space="0" w:color="auto"/>
              <w:right w:val="nil"/>
            </w:tcBorders>
            <w:shd w:val="clear" w:color="auto" w:fill="auto"/>
            <w:vAlign w:val="center"/>
            <w:hideMark/>
          </w:tcPr>
          <w:p w:rsidR="00C576AB" w:rsidRPr="00FE29CA" w:rsidRDefault="00C576AB" w:rsidP="00F90C32">
            <w:pPr>
              <w:widowControl/>
              <w:autoSpaceDE/>
              <w:autoSpaceDN/>
              <w:adjustRightInd/>
              <w:rPr>
                <w:color w:val="000000"/>
                <w:sz w:val="20"/>
                <w:szCs w:val="20"/>
                <w:lang w:val="en-GB" w:eastAsia="en-GB"/>
              </w:rPr>
            </w:pPr>
            <w:r w:rsidRPr="00FE29CA">
              <w:rPr>
                <w:b/>
                <w:bCs/>
                <w:color w:val="000000"/>
                <w:sz w:val="20"/>
                <w:szCs w:val="20"/>
                <w:lang w:val="en-GB" w:eastAsia="en-GB"/>
              </w:rPr>
              <w:t>TOTAL ANNUAL BURDEN AND COST (ROUNDED)</w:t>
            </w:r>
          </w:p>
        </w:tc>
        <w:tc>
          <w:tcPr>
            <w:tcW w:w="35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76AB" w:rsidRPr="00B800BA" w:rsidRDefault="00C576AB" w:rsidP="00F90C32">
            <w:pPr>
              <w:widowControl/>
              <w:autoSpaceDE/>
              <w:autoSpaceDN/>
              <w:adjustRightInd/>
              <w:jc w:val="center"/>
              <w:rPr>
                <w:b/>
                <w:color w:val="000000"/>
                <w:sz w:val="20"/>
                <w:szCs w:val="20"/>
                <w:lang w:val="en-GB" w:eastAsia="en-GB"/>
              </w:rPr>
            </w:pPr>
            <w:r w:rsidRPr="00C576AB">
              <w:rPr>
                <w:b/>
                <w:color w:val="000000"/>
                <w:sz w:val="20"/>
                <w:szCs w:val="20"/>
                <w:lang w:val="en-GB" w:eastAsia="en-GB"/>
              </w:rPr>
              <w:t>1,938</w:t>
            </w:r>
          </w:p>
        </w:tc>
        <w:tc>
          <w:tcPr>
            <w:tcW w:w="1100" w:type="dxa"/>
            <w:tcBorders>
              <w:top w:val="nil"/>
              <w:left w:val="nil"/>
              <w:bottom w:val="single" w:sz="4" w:space="0" w:color="auto"/>
              <w:right w:val="single" w:sz="4" w:space="0" w:color="auto"/>
            </w:tcBorders>
            <w:shd w:val="clear" w:color="auto" w:fill="auto"/>
            <w:vAlign w:val="center"/>
            <w:hideMark/>
          </w:tcPr>
          <w:p w:rsidR="00C576AB" w:rsidRPr="00B800BA" w:rsidRDefault="00170D19" w:rsidP="00C576AB">
            <w:pPr>
              <w:widowControl/>
              <w:autoSpaceDE/>
              <w:autoSpaceDN/>
              <w:adjustRightInd/>
              <w:jc w:val="right"/>
              <w:rPr>
                <w:b/>
                <w:color w:val="000000"/>
                <w:sz w:val="20"/>
                <w:szCs w:val="20"/>
                <w:lang w:val="en-GB" w:eastAsia="en-GB"/>
              </w:rPr>
            </w:pPr>
            <w:r>
              <w:rPr>
                <w:b/>
                <w:color w:val="000000"/>
                <w:sz w:val="20"/>
                <w:szCs w:val="20"/>
                <w:lang w:val="en-GB" w:eastAsia="en-GB"/>
              </w:rPr>
              <w:t>$</w:t>
            </w:r>
            <w:r w:rsidR="00C576AB" w:rsidRPr="00C576AB">
              <w:rPr>
                <w:b/>
                <w:color w:val="000000"/>
                <w:sz w:val="20"/>
                <w:szCs w:val="20"/>
                <w:lang w:val="en-GB" w:eastAsia="en-GB"/>
              </w:rPr>
              <w:t>189,546</w:t>
            </w:r>
          </w:p>
        </w:tc>
      </w:tr>
    </w:tbl>
    <w:p w:rsidR="00A7661C" w:rsidRPr="00FE29CA" w:rsidRDefault="00A7661C" w:rsidP="00A7661C"/>
    <w:p w:rsidR="00F90C32" w:rsidRPr="00761F09" w:rsidRDefault="00F90C32" w:rsidP="00847B34">
      <w:pPr>
        <w:ind w:left="-180"/>
        <w:outlineLvl w:val="0"/>
        <w:rPr>
          <w:bCs/>
          <w:sz w:val="20"/>
          <w:szCs w:val="20"/>
        </w:rPr>
      </w:pPr>
      <w:r w:rsidRPr="00761F09">
        <w:rPr>
          <w:bCs/>
          <w:sz w:val="20"/>
          <w:szCs w:val="20"/>
        </w:rPr>
        <w:t>Assumptions:</w:t>
      </w:r>
    </w:p>
    <w:p w:rsidR="00F90C32" w:rsidRPr="000F6455" w:rsidRDefault="00F90C32" w:rsidP="000F6455">
      <w:pPr>
        <w:pStyle w:val="ListParagraph"/>
        <w:numPr>
          <w:ilvl w:val="0"/>
          <w:numId w:val="4"/>
        </w:numPr>
        <w:ind w:right="90"/>
        <w:outlineLvl w:val="0"/>
        <w:rPr>
          <w:bCs/>
          <w:sz w:val="20"/>
          <w:szCs w:val="20"/>
        </w:rPr>
      </w:pPr>
      <w:r w:rsidRPr="000F6455">
        <w:rPr>
          <w:bCs/>
          <w:sz w:val="20"/>
          <w:szCs w:val="20"/>
        </w:rPr>
        <w:t>This ICR uses the following labor rates: $101.28 for technical, $122.49 for managerial, and $50.80 for clerical labor.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0F6455" w:rsidRPr="000F6455" w:rsidRDefault="000F6455" w:rsidP="000F6455">
      <w:pPr>
        <w:pStyle w:val="ListParagraph"/>
        <w:numPr>
          <w:ilvl w:val="0"/>
          <w:numId w:val="4"/>
        </w:numPr>
        <w:ind w:right="90"/>
        <w:outlineLvl w:val="0"/>
        <w:rPr>
          <w:bCs/>
          <w:sz w:val="20"/>
          <w:szCs w:val="20"/>
        </w:rPr>
      </w:pPr>
      <w:r>
        <w:rPr>
          <w:bCs/>
          <w:sz w:val="20"/>
          <w:szCs w:val="20"/>
        </w:rPr>
        <w:t>We have assumed that the average number of respondents that will be subject to the rule will be 5 existing sources.  There will be no additional sources over the three-year period of this ICR.</w:t>
      </w:r>
    </w:p>
    <w:p w:rsidR="00F90C32" w:rsidRPr="00847B34" w:rsidRDefault="000F6455" w:rsidP="00847B34">
      <w:pPr>
        <w:ind w:left="90" w:hanging="270"/>
        <w:outlineLvl w:val="0"/>
        <w:rPr>
          <w:bCs/>
          <w:sz w:val="20"/>
          <w:szCs w:val="20"/>
        </w:rPr>
      </w:pPr>
      <w:r>
        <w:rPr>
          <w:bCs/>
          <w:sz w:val="20"/>
          <w:szCs w:val="20"/>
          <w:vertAlign w:val="superscript"/>
        </w:rPr>
        <w:t>c</w:t>
      </w:r>
      <w:r w:rsidR="00F90C32" w:rsidRPr="00761F09">
        <w:rPr>
          <w:bCs/>
          <w:sz w:val="20"/>
          <w:szCs w:val="20"/>
          <w:vertAlign w:val="superscript"/>
        </w:rPr>
        <w:t>.</w:t>
      </w:r>
      <w:r w:rsidR="00F90C32" w:rsidRPr="00847B34">
        <w:rPr>
          <w:bCs/>
          <w:sz w:val="20"/>
          <w:szCs w:val="20"/>
        </w:rPr>
        <w:t xml:space="preserve"> </w:t>
      </w:r>
      <w:r>
        <w:rPr>
          <w:bCs/>
          <w:sz w:val="20"/>
          <w:szCs w:val="20"/>
        </w:rPr>
        <w:t xml:space="preserve">    </w:t>
      </w:r>
      <w:r w:rsidR="00F90C32" w:rsidRPr="00847B34">
        <w:rPr>
          <w:bCs/>
          <w:sz w:val="20"/>
          <w:szCs w:val="20"/>
        </w:rPr>
        <w:t>This ICR assumes a re-test rate of 20 percent.</w:t>
      </w:r>
    </w:p>
    <w:p w:rsidR="00F90C32" w:rsidRPr="00847B34" w:rsidRDefault="000F6455" w:rsidP="00847B34">
      <w:pPr>
        <w:ind w:left="90" w:hanging="270"/>
        <w:outlineLvl w:val="0"/>
        <w:rPr>
          <w:bCs/>
          <w:sz w:val="20"/>
          <w:szCs w:val="20"/>
        </w:rPr>
      </w:pPr>
      <w:r>
        <w:rPr>
          <w:bCs/>
          <w:sz w:val="20"/>
          <w:szCs w:val="20"/>
          <w:vertAlign w:val="superscript"/>
        </w:rPr>
        <w:t>d</w:t>
      </w:r>
      <w:r w:rsidR="00F90C32" w:rsidRPr="00761F09">
        <w:rPr>
          <w:bCs/>
          <w:sz w:val="20"/>
          <w:szCs w:val="20"/>
          <w:vertAlign w:val="superscript"/>
        </w:rPr>
        <w:t>.</w:t>
      </w:r>
      <w:r w:rsidR="00F90C32" w:rsidRPr="00847B34">
        <w:rPr>
          <w:bCs/>
          <w:sz w:val="20"/>
          <w:szCs w:val="20"/>
        </w:rPr>
        <w:t xml:space="preserve"> </w:t>
      </w:r>
      <w:r>
        <w:rPr>
          <w:bCs/>
          <w:sz w:val="20"/>
          <w:szCs w:val="20"/>
        </w:rPr>
        <w:t xml:space="preserve">    </w:t>
      </w:r>
      <w:r w:rsidR="00F90C32" w:rsidRPr="00847B34">
        <w:rPr>
          <w:bCs/>
          <w:sz w:val="20"/>
          <w:szCs w:val="20"/>
        </w:rPr>
        <w:t xml:space="preserve">This ICR assumes </w:t>
      </w:r>
      <w:r w:rsidR="006239BF">
        <w:rPr>
          <w:bCs/>
          <w:sz w:val="20"/>
          <w:szCs w:val="20"/>
        </w:rPr>
        <w:t>25</w:t>
      </w:r>
      <w:r w:rsidR="00F90C32" w:rsidRPr="00847B34">
        <w:rPr>
          <w:bCs/>
          <w:sz w:val="20"/>
          <w:szCs w:val="20"/>
        </w:rPr>
        <w:t xml:space="preserve"> percent of facilities use add-on controls and submit startup, shutdown, malfunction report</w:t>
      </w:r>
      <w:r w:rsidR="00761F09">
        <w:rPr>
          <w:bCs/>
          <w:sz w:val="20"/>
          <w:szCs w:val="20"/>
        </w:rPr>
        <w:t>s</w:t>
      </w:r>
      <w:r w:rsidR="00F90C32" w:rsidRPr="00847B34">
        <w:rPr>
          <w:bCs/>
          <w:sz w:val="20"/>
          <w:szCs w:val="20"/>
        </w:rPr>
        <w:t xml:space="preserve"> once per year.</w:t>
      </w:r>
    </w:p>
    <w:p w:rsidR="00C47974" w:rsidRDefault="00144F35" w:rsidP="00B800BA">
      <w:pPr>
        <w:jc w:val="center"/>
        <w:outlineLvl w:val="0"/>
        <w:rPr>
          <w:b/>
          <w:bCs/>
        </w:rPr>
      </w:pPr>
      <w:r w:rsidRPr="00475841">
        <w:rPr>
          <w:b/>
          <w:bCs/>
        </w:rPr>
        <w:br w:type="page"/>
      </w:r>
      <w:r w:rsidRPr="00475841">
        <w:rPr>
          <w:b/>
          <w:bCs/>
        </w:rPr>
        <w:lastRenderedPageBreak/>
        <w:t>Table 2: Average Annual EPA Burden and Cost –</w:t>
      </w:r>
      <w:r w:rsidR="00475841" w:rsidRPr="00475841">
        <w:rPr>
          <w:b/>
          <w:bCs/>
        </w:rPr>
        <w:t xml:space="preserve"> NESHAP for Metal Can Manufacturing Surface Coating (40 CFR Part 63,</w:t>
      </w:r>
    </w:p>
    <w:p w:rsidR="00144F35" w:rsidRPr="00475841" w:rsidRDefault="00C47974" w:rsidP="00C47974">
      <w:pPr>
        <w:outlineLvl w:val="0"/>
        <w:rPr>
          <w:b/>
          <w:bCs/>
        </w:rPr>
      </w:pPr>
      <w:r>
        <w:rPr>
          <w:b/>
          <w:bCs/>
        </w:rPr>
        <w:t xml:space="preserve">  </w:t>
      </w:r>
      <w:r w:rsidR="00475841" w:rsidRPr="00475841">
        <w:rPr>
          <w:b/>
          <w:bCs/>
        </w:rPr>
        <w:t xml:space="preserve"> Subpart KKKK)</w:t>
      </w:r>
      <w:r w:rsidR="00144F35" w:rsidRPr="00475841">
        <w:rPr>
          <w:b/>
          <w:bCs/>
        </w:rPr>
        <w:t xml:space="preserve"> (Renewal)</w:t>
      </w:r>
    </w:p>
    <w:p w:rsidR="00144F35" w:rsidRPr="00475841" w:rsidRDefault="00144F35" w:rsidP="00F340DF">
      <w:pPr>
        <w:rPr>
          <w:b/>
          <w:bCs/>
        </w:rPr>
      </w:pPr>
    </w:p>
    <w:tbl>
      <w:tblPr>
        <w:tblW w:w="12870" w:type="dxa"/>
        <w:jc w:val="center"/>
        <w:tblInd w:w="93" w:type="dxa"/>
        <w:tblLayout w:type="fixed"/>
        <w:tblCellMar>
          <w:left w:w="58" w:type="dxa"/>
          <w:right w:w="58" w:type="dxa"/>
        </w:tblCellMar>
        <w:tblLook w:val="04A0"/>
      </w:tblPr>
      <w:tblGrid>
        <w:gridCol w:w="2795"/>
        <w:gridCol w:w="1408"/>
        <w:gridCol w:w="1446"/>
        <w:gridCol w:w="1470"/>
        <w:gridCol w:w="1251"/>
        <w:gridCol w:w="1080"/>
        <w:gridCol w:w="1260"/>
        <w:gridCol w:w="1080"/>
        <w:gridCol w:w="1080"/>
      </w:tblGrid>
      <w:tr w:rsidR="00847B34" w:rsidRPr="00847B34" w:rsidTr="00847B34">
        <w:trPr>
          <w:trHeight w:val="255"/>
          <w:jc w:val="center"/>
        </w:trPr>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Burden Item</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B</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C</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H</w:t>
            </w:r>
          </w:p>
        </w:tc>
      </w:tr>
      <w:tr w:rsidR="00847B34" w:rsidRPr="00847B34" w:rsidTr="00847B34">
        <w:trPr>
          <w:trHeight w:val="765"/>
          <w:jc w:val="center"/>
        </w:trPr>
        <w:tc>
          <w:tcPr>
            <w:tcW w:w="2795" w:type="dxa"/>
            <w:vMerge/>
            <w:tcBorders>
              <w:top w:val="single" w:sz="4" w:space="0" w:color="auto"/>
              <w:left w:val="single" w:sz="4" w:space="0" w:color="auto"/>
              <w:bottom w:val="single" w:sz="4" w:space="0" w:color="auto"/>
              <w:right w:val="single" w:sz="4" w:space="0" w:color="auto"/>
            </w:tcBorders>
            <w:vAlign w:val="center"/>
            <w:hideMark/>
          </w:tcPr>
          <w:p w:rsidR="00847B34" w:rsidRPr="00847B34" w:rsidRDefault="00847B34" w:rsidP="00847B34">
            <w:pPr>
              <w:widowControl/>
              <w:autoSpaceDE/>
              <w:autoSpaceDN/>
              <w:adjustRightInd/>
              <w:rPr>
                <w:b/>
                <w:bCs/>
                <w:sz w:val="20"/>
                <w:szCs w:val="20"/>
                <w:lang w:val="en-GB" w:eastAsia="en-GB"/>
              </w:rPr>
            </w:pPr>
          </w:p>
        </w:tc>
        <w:tc>
          <w:tcPr>
            <w:tcW w:w="1408" w:type="dxa"/>
            <w:tcBorders>
              <w:top w:val="nil"/>
              <w:left w:val="nil"/>
              <w:bottom w:val="single" w:sz="4" w:space="0" w:color="auto"/>
              <w:right w:val="single" w:sz="4" w:space="0" w:color="auto"/>
            </w:tcBorders>
            <w:shd w:val="clear" w:color="auto" w:fill="auto"/>
            <w:vAlign w:val="bottom"/>
            <w:hideMark/>
          </w:tcPr>
          <w:p w:rsidR="007056EC" w:rsidRDefault="007056EC" w:rsidP="007056EC">
            <w:pPr>
              <w:widowControl/>
              <w:autoSpaceDE/>
              <w:autoSpaceDN/>
              <w:adjustRightInd/>
              <w:jc w:val="center"/>
              <w:rPr>
                <w:b/>
                <w:bCs/>
                <w:sz w:val="20"/>
                <w:szCs w:val="20"/>
                <w:lang w:val="en-GB" w:eastAsia="en-GB"/>
              </w:rPr>
            </w:pPr>
            <w:r>
              <w:rPr>
                <w:b/>
                <w:bCs/>
                <w:sz w:val="20"/>
                <w:szCs w:val="20"/>
                <w:lang w:val="en-GB" w:eastAsia="en-GB"/>
              </w:rPr>
              <w:t>EPA</w:t>
            </w:r>
          </w:p>
          <w:p w:rsidR="00847B34" w:rsidRDefault="00847B34" w:rsidP="007056EC">
            <w:pPr>
              <w:widowControl/>
              <w:autoSpaceDE/>
              <w:autoSpaceDN/>
              <w:adjustRightInd/>
              <w:jc w:val="center"/>
              <w:rPr>
                <w:b/>
                <w:bCs/>
                <w:sz w:val="20"/>
                <w:szCs w:val="20"/>
                <w:lang w:val="en-GB" w:eastAsia="en-GB"/>
              </w:rPr>
            </w:pPr>
            <w:r w:rsidRPr="00847B34">
              <w:rPr>
                <w:b/>
                <w:bCs/>
                <w:sz w:val="20"/>
                <w:szCs w:val="20"/>
                <w:lang w:val="en-GB" w:eastAsia="en-GB"/>
              </w:rPr>
              <w:t>hours per occurrence</w:t>
            </w:r>
          </w:p>
          <w:p w:rsidR="007056EC" w:rsidRDefault="007056EC" w:rsidP="007056EC">
            <w:pPr>
              <w:widowControl/>
              <w:autoSpaceDE/>
              <w:autoSpaceDN/>
              <w:adjustRightInd/>
              <w:jc w:val="center"/>
              <w:rPr>
                <w:b/>
                <w:bCs/>
                <w:sz w:val="20"/>
                <w:szCs w:val="20"/>
                <w:lang w:val="en-GB" w:eastAsia="en-GB"/>
              </w:rPr>
            </w:pPr>
          </w:p>
          <w:p w:rsidR="007056EC" w:rsidRPr="00847B34" w:rsidRDefault="007056EC" w:rsidP="007056EC">
            <w:pPr>
              <w:widowControl/>
              <w:autoSpaceDE/>
              <w:autoSpaceDN/>
              <w:adjustRightInd/>
              <w:jc w:val="center"/>
              <w:rPr>
                <w:b/>
                <w:bCs/>
                <w:sz w:val="20"/>
                <w:szCs w:val="20"/>
                <w:lang w:val="en-GB" w:eastAsia="en-GB"/>
              </w:rPr>
            </w:pPr>
          </w:p>
        </w:tc>
        <w:tc>
          <w:tcPr>
            <w:tcW w:w="1446" w:type="dxa"/>
            <w:tcBorders>
              <w:top w:val="nil"/>
              <w:left w:val="nil"/>
              <w:bottom w:val="single" w:sz="4" w:space="0" w:color="auto"/>
              <w:right w:val="single" w:sz="4" w:space="0" w:color="auto"/>
            </w:tcBorders>
            <w:shd w:val="clear" w:color="auto" w:fill="auto"/>
            <w:vAlign w:val="bottom"/>
            <w:hideMark/>
          </w:tcPr>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No. of occurrences per respondent </w:t>
            </w:r>
          </w:p>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per year</w:t>
            </w:r>
          </w:p>
          <w:p w:rsidR="007056EC" w:rsidRPr="00847B34" w:rsidRDefault="007056EC" w:rsidP="00847B34">
            <w:pPr>
              <w:widowControl/>
              <w:autoSpaceDE/>
              <w:autoSpaceDN/>
              <w:adjustRightInd/>
              <w:jc w:val="center"/>
              <w:rPr>
                <w:b/>
                <w:bCs/>
                <w:sz w:val="20"/>
                <w:szCs w:val="20"/>
                <w:lang w:val="en-GB" w:eastAsia="en-GB"/>
              </w:rPr>
            </w:pPr>
          </w:p>
        </w:tc>
        <w:tc>
          <w:tcPr>
            <w:tcW w:w="1470" w:type="dxa"/>
            <w:tcBorders>
              <w:top w:val="nil"/>
              <w:left w:val="nil"/>
              <w:bottom w:val="single" w:sz="4" w:space="0" w:color="auto"/>
              <w:right w:val="single" w:sz="4" w:space="0" w:color="auto"/>
            </w:tcBorders>
            <w:shd w:val="clear" w:color="auto" w:fill="auto"/>
            <w:vAlign w:val="bottom"/>
            <w:hideMark/>
          </w:tcPr>
          <w:p w:rsidR="00847B34" w:rsidRDefault="007056EC" w:rsidP="00847B34">
            <w:pPr>
              <w:widowControl/>
              <w:autoSpaceDE/>
              <w:autoSpaceDN/>
              <w:adjustRightInd/>
              <w:jc w:val="center"/>
              <w:rPr>
                <w:b/>
                <w:bCs/>
                <w:sz w:val="20"/>
                <w:szCs w:val="20"/>
                <w:lang w:val="en-GB" w:eastAsia="en-GB"/>
              </w:rPr>
            </w:pPr>
            <w:r>
              <w:rPr>
                <w:b/>
                <w:bCs/>
                <w:sz w:val="20"/>
                <w:szCs w:val="20"/>
                <w:lang w:val="en-GB" w:eastAsia="en-GB"/>
              </w:rPr>
              <w:t>EPA</w:t>
            </w:r>
            <w:r w:rsidR="00847B34" w:rsidRPr="00847B34">
              <w:rPr>
                <w:b/>
                <w:bCs/>
                <w:sz w:val="20"/>
                <w:szCs w:val="20"/>
                <w:lang w:val="en-GB" w:eastAsia="en-GB"/>
              </w:rPr>
              <w:t xml:space="preserve"> person-hours per respondent </w:t>
            </w:r>
          </w:p>
          <w:p w:rsidR="00B800BA"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per year </w:t>
            </w:r>
          </w:p>
          <w:p w:rsidR="00847B34" w:rsidRP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(AxB)</w:t>
            </w:r>
          </w:p>
        </w:tc>
        <w:tc>
          <w:tcPr>
            <w:tcW w:w="1251" w:type="dxa"/>
            <w:tcBorders>
              <w:top w:val="nil"/>
              <w:left w:val="nil"/>
              <w:bottom w:val="single" w:sz="4" w:space="0" w:color="auto"/>
              <w:right w:val="single" w:sz="4" w:space="0" w:color="auto"/>
            </w:tcBorders>
            <w:shd w:val="clear" w:color="auto" w:fill="auto"/>
            <w:vAlign w:val="bottom"/>
            <w:hideMark/>
          </w:tcPr>
          <w:p w:rsidR="00847B34" w:rsidRDefault="00B24056" w:rsidP="00847B34">
            <w:pPr>
              <w:widowControl/>
              <w:autoSpaceDE/>
              <w:autoSpaceDN/>
              <w:adjustRightInd/>
              <w:jc w:val="center"/>
              <w:rPr>
                <w:b/>
                <w:bCs/>
                <w:sz w:val="20"/>
                <w:szCs w:val="20"/>
                <w:lang w:val="en-GB" w:eastAsia="en-GB"/>
              </w:rPr>
            </w:pPr>
            <w:r>
              <w:rPr>
                <w:b/>
                <w:bCs/>
                <w:sz w:val="20"/>
                <w:szCs w:val="20"/>
                <w:lang w:val="en-GB" w:eastAsia="en-GB"/>
              </w:rPr>
              <w:t xml:space="preserve">Plants </w:t>
            </w:r>
            <w:r w:rsidR="00847B34" w:rsidRPr="00847B34">
              <w:rPr>
                <w:b/>
                <w:bCs/>
                <w:sz w:val="20"/>
                <w:szCs w:val="20"/>
                <w:lang w:val="en-GB" w:eastAsia="en-GB"/>
              </w:rPr>
              <w:t>per year</w:t>
            </w:r>
            <w:r w:rsidR="00210F43">
              <w:rPr>
                <w:b/>
                <w:bCs/>
                <w:sz w:val="20"/>
                <w:szCs w:val="20"/>
                <w:lang w:val="en-GB" w:eastAsia="en-GB"/>
              </w:rPr>
              <w:t xml:space="preserve"> </w:t>
            </w:r>
            <w:r w:rsidR="00210F43" w:rsidRPr="00210F43">
              <w:rPr>
                <w:b/>
                <w:bCs/>
                <w:sz w:val="20"/>
                <w:szCs w:val="20"/>
                <w:vertAlign w:val="superscript"/>
                <w:lang w:val="en-GB" w:eastAsia="en-GB"/>
              </w:rPr>
              <w:t>b</w:t>
            </w:r>
          </w:p>
          <w:p w:rsidR="007056EC" w:rsidRDefault="007056EC" w:rsidP="00847B34">
            <w:pPr>
              <w:widowControl/>
              <w:autoSpaceDE/>
              <w:autoSpaceDN/>
              <w:adjustRightInd/>
              <w:jc w:val="center"/>
              <w:rPr>
                <w:b/>
                <w:bCs/>
                <w:sz w:val="20"/>
                <w:szCs w:val="20"/>
                <w:lang w:val="en-GB" w:eastAsia="en-GB"/>
              </w:rPr>
            </w:pPr>
          </w:p>
          <w:p w:rsidR="007056EC" w:rsidRDefault="007056EC" w:rsidP="00847B34">
            <w:pPr>
              <w:widowControl/>
              <w:autoSpaceDE/>
              <w:autoSpaceDN/>
              <w:adjustRightInd/>
              <w:jc w:val="center"/>
              <w:rPr>
                <w:b/>
                <w:bCs/>
                <w:sz w:val="20"/>
                <w:szCs w:val="20"/>
                <w:lang w:val="en-GB" w:eastAsia="en-GB"/>
              </w:rPr>
            </w:pPr>
          </w:p>
          <w:p w:rsidR="007056EC" w:rsidRPr="00847B34" w:rsidRDefault="007056EC" w:rsidP="00847B34">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vAlign w:val="bottom"/>
            <w:hideMark/>
          </w:tcPr>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Technical hours </w:t>
            </w:r>
          </w:p>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per year (CxD)</w:t>
            </w:r>
          </w:p>
          <w:p w:rsidR="007056EC" w:rsidRPr="00847B34" w:rsidRDefault="007056EC" w:rsidP="00847B34">
            <w:pPr>
              <w:widowControl/>
              <w:autoSpaceDE/>
              <w:autoSpaceDN/>
              <w:adjustRightInd/>
              <w:jc w:val="center"/>
              <w:rPr>
                <w:b/>
                <w:bCs/>
                <w:sz w:val="20"/>
                <w:szCs w:val="20"/>
                <w:lang w:val="en-GB" w:eastAsia="en-GB"/>
              </w:rPr>
            </w:pPr>
          </w:p>
        </w:tc>
        <w:tc>
          <w:tcPr>
            <w:tcW w:w="1260" w:type="dxa"/>
            <w:tcBorders>
              <w:top w:val="nil"/>
              <w:left w:val="nil"/>
              <w:bottom w:val="single" w:sz="4" w:space="0" w:color="auto"/>
              <w:right w:val="single" w:sz="4" w:space="0" w:color="auto"/>
            </w:tcBorders>
            <w:shd w:val="clear" w:color="auto" w:fill="auto"/>
            <w:vAlign w:val="bottom"/>
            <w:hideMark/>
          </w:tcPr>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Management hours </w:t>
            </w:r>
          </w:p>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per year  (Ex0.05)</w:t>
            </w:r>
          </w:p>
          <w:p w:rsidR="007056EC" w:rsidRPr="00847B34" w:rsidRDefault="007056EC" w:rsidP="00847B34">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vAlign w:val="bottom"/>
            <w:hideMark/>
          </w:tcPr>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Clerical hours </w:t>
            </w:r>
          </w:p>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per year (Ex0.10)</w:t>
            </w:r>
          </w:p>
          <w:p w:rsidR="007056EC" w:rsidRPr="00847B34" w:rsidRDefault="007056EC" w:rsidP="00847B34">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vAlign w:val="bottom"/>
            <w:hideMark/>
          </w:tcPr>
          <w:p w:rsidR="00847B34" w:rsidRDefault="00847B34" w:rsidP="00847B34">
            <w:pPr>
              <w:widowControl/>
              <w:autoSpaceDE/>
              <w:autoSpaceDN/>
              <w:adjustRightInd/>
              <w:jc w:val="center"/>
              <w:rPr>
                <w:b/>
                <w:bCs/>
                <w:sz w:val="20"/>
                <w:szCs w:val="20"/>
                <w:lang w:val="en-GB" w:eastAsia="en-GB"/>
              </w:rPr>
            </w:pPr>
            <w:r w:rsidRPr="00847B34">
              <w:rPr>
                <w:b/>
                <w:bCs/>
                <w:sz w:val="20"/>
                <w:szCs w:val="20"/>
                <w:lang w:val="en-GB" w:eastAsia="en-GB"/>
              </w:rPr>
              <w:t xml:space="preserve">Total cost per year </w:t>
            </w:r>
            <w:r w:rsidRPr="00847B34">
              <w:rPr>
                <w:b/>
                <w:bCs/>
                <w:sz w:val="20"/>
                <w:szCs w:val="20"/>
                <w:vertAlign w:val="superscript"/>
                <w:lang w:val="en-GB" w:eastAsia="en-GB"/>
              </w:rPr>
              <w:t>a</w:t>
            </w:r>
            <w:r w:rsidRPr="00847B34">
              <w:rPr>
                <w:b/>
                <w:bCs/>
                <w:sz w:val="20"/>
                <w:szCs w:val="20"/>
                <w:lang w:val="en-GB" w:eastAsia="en-GB"/>
              </w:rPr>
              <w:t xml:space="preserve"> ($)</w:t>
            </w:r>
          </w:p>
          <w:p w:rsidR="007056EC" w:rsidRDefault="007056EC" w:rsidP="00847B34">
            <w:pPr>
              <w:widowControl/>
              <w:autoSpaceDE/>
              <w:autoSpaceDN/>
              <w:adjustRightInd/>
              <w:jc w:val="center"/>
              <w:rPr>
                <w:b/>
                <w:bCs/>
                <w:sz w:val="20"/>
                <w:szCs w:val="20"/>
                <w:lang w:val="en-GB" w:eastAsia="en-GB"/>
              </w:rPr>
            </w:pPr>
          </w:p>
          <w:p w:rsidR="007056EC" w:rsidRPr="00847B34" w:rsidRDefault="007056EC" w:rsidP="00847B34">
            <w:pPr>
              <w:widowControl/>
              <w:autoSpaceDE/>
              <w:autoSpaceDN/>
              <w:adjustRightInd/>
              <w:jc w:val="center"/>
              <w:rPr>
                <w:b/>
                <w:bCs/>
                <w:sz w:val="20"/>
                <w:szCs w:val="20"/>
                <w:lang w:val="en-GB" w:eastAsia="en-GB"/>
              </w:rPr>
            </w:pP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rPr>
                <w:color w:val="000000"/>
                <w:sz w:val="20"/>
                <w:szCs w:val="20"/>
                <w:lang w:val="en-GB" w:eastAsia="en-GB"/>
              </w:rPr>
            </w:pPr>
            <w:r w:rsidRPr="00847B34">
              <w:rPr>
                <w:color w:val="000000"/>
                <w:sz w:val="20"/>
                <w:szCs w:val="20"/>
                <w:lang w:eastAsia="en-GB"/>
              </w:rPr>
              <w:t>1. Initial performance test</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24</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24</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rPr>
                <w:color w:val="000000"/>
                <w:sz w:val="20"/>
                <w:szCs w:val="20"/>
                <w:lang w:val="en-GB" w:eastAsia="en-GB"/>
              </w:rPr>
            </w:pPr>
            <w:r w:rsidRPr="00847B34">
              <w:rPr>
                <w:color w:val="000000"/>
                <w:sz w:val="20"/>
                <w:szCs w:val="20"/>
                <w:lang w:eastAsia="en-GB"/>
              </w:rPr>
              <w:t>2. Repeat performance test</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24</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0.2</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5</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nil"/>
              <w:right w:val="nil"/>
            </w:tcBorders>
            <w:shd w:val="clear" w:color="auto" w:fill="auto"/>
            <w:vAlign w:val="bottom"/>
            <w:hideMark/>
          </w:tcPr>
          <w:p w:rsidR="00847B34" w:rsidRPr="00847B34" w:rsidRDefault="00847B34" w:rsidP="00847B34">
            <w:pPr>
              <w:widowControl/>
              <w:autoSpaceDE/>
              <w:autoSpaceDN/>
              <w:adjustRightInd/>
              <w:rPr>
                <w:color w:val="000000"/>
                <w:sz w:val="20"/>
                <w:szCs w:val="20"/>
                <w:lang w:val="en-GB" w:eastAsia="en-GB"/>
              </w:rPr>
            </w:pPr>
            <w:r w:rsidRPr="00847B34">
              <w:rPr>
                <w:color w:val="000000"/>
                <w:sz w:val="20"/>
                <w:szCs w:val="20"/>
                <w:lang w:eastAsia="en-GB"/>
              </w:rPr>
              <w:t xml:space="preserve">3. Report review </w:t>
            </w:r>
          </w:p>
        </w:tc>
        <w:tc>
          <w:tcPr>
            <w:tcW w:w="1408"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p>
        </w:tc>
        <w:tc>
          <w:tcPr>
            <w:tcW w:w="1446"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p>
        </w:tc>
        <w:tc>
          <w:tcPr>
            <w:tcW w:w="1470" w:type="dxa"/>
            <w:tcBorders>
              <w:top w:val="nil"/>
              <w:left w:val="nil"/>
              <w:bottom w:val="nil"/>
              <w:right w:val="nil"/>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p>
        </w:tc>
        <w:tc>
          <w:tcPr>
            <w:tcW w:w="1251"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p>
        </w:tc>
        <w:tc>
          <w:tcPr>
            <w:tcW w:w="1080"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p>
        </w:tc>
        <w:tc>
          <w:tcPr>
            <w:tcW w:w="1260"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p>
        </w:tc>
        <w:tc>
          <w:tcPr>
            <w:tcW w:w="1080" w:type="dxa"/>
            <w:tcBorders>
              <w:top w:val="nil"/>
              <w:left w:val="nil"/>
              <w:bottom w:val="nil"/>
              <w:right w:val="nil"/>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p>
        </w:tc>
        <w:tc>
          <w:tcPr>
            <w:tcW w:w="1080" w:type="dxa"/>
            <w:tcBorders>
              <w:top w:val="nil"/>
              <w:left w:val="nil"/>
              <w:bottom w:val="nil"/>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 </w:t>
            </w:r>
          </w:p>
        </w:tc>
      </w:tr>
      <w:tr w:rsidR="00847B34" w:rsidRPr="00847B34" w:rsidTr="00847B34">
        <w:trPr>
          <w:trHeight w:val="255"/>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rPr>
                <w:color w:val="000000"/>
                <w:sz w:val="20"/>
                <w:szCs w:val="20"/>
                <w:lang w:val="en-GB" w:eastAsia="en-GB"/>
              </w:rPr>
            </w:pPr>
            <w:r w:rsidRPr="00847B34">
              <w:rPr>
                <w:color w:val="000000"/>
                <w:sz w:val="20"/>
                <w:szCs w:val="20"/>
                <w:lang w:eastAsia="en-GB"/>
              </w:rPr>
              <w:t xml:space="preserve">  a</w:t>
            </w:r>
            <w:r>
              <w:rPr>
                <w:color w:val="000000"/>
                <w:sz w:val="20"/>
                <w:szCs w:val="20"/>
                <w:lang w:eastAsia="en-GB"/>
              </w:rPr>
              <w:t>.</w:t>
            </w:r>
            <w:r w:rsidRPr="00847B34">
              <w:rPr>
                <w:color w:val="000000"/>
                <w:sz w:val="20"/>
                <w:szCs w:val="20"/>
                <w:lang w:eastAsia="en-GB"/>
              </w:rPr>
              <w:t xml:space="preserve"> Initial notification</w:t>
            </w:r>
          </w:p>
        </w:tc>
        <w:tc>
          <w:tcPr>
            <w:tcW w:w="1408"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ind w:left="302" w:hanging="302"/>
              <w:rPr>
                <w:color w:val="000000"/>
                <w:sz w:val="20"/>
                <w:szCs w:val="20"/>
                <w:lang w:val="en-GB" w:eastAsia="en-GB"/>
              </w:rPr>
            </w:pPr>
            <w:r w:rsidRPr="00847B34">
              <w:rPr>
                <w:color w:val="000000"/>
                <w:sz w:val="20"/>
                <w:szCs w:val="20"/>
                <w:lang w:eastAsia="en-GB"/>
              </w:rPr>
              <w:t xml:space="preserve">  b</w:t>
            </w:r>
            <w:r>
              <w:rPr>
                <w:color w:val="000000"/>
                <w:sz w:val="20"/>
                <w:szCs w:val="20"/>
                <w:lang w:eastAsia="en-GB"/>
              </w:rPr>
              <w:t>.</w:t>
            </w:r>
            <w:r w:rsidRPr="00847B34">
              <w:rPr>
                <w:color w:val="000000"/>
                <w:sz w:val="20"/>
                <w:szCs w:val="20"/>
                <w:lang w:eastAsia="en-GB"/>
              </w:rPr>
              <w:t xml:space="preserve"> Notification of performance test</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1.2</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10</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c</w:t>
            </w:r>
            <w:r>
              <w:rPr>
                <w:color w:val="000000"/>
                <w:sz w:val="20"/>
                <w:szCs w:val="20"/>
                <w:lang w:eastAsia="en-GB"/>
              </w:rPr>
              <w:t>.</w:t>
            </w:r>
            <w:r w:rsidRPr="00847B34">
              <w:rPr>
                <w:color w:val="000000"/>
                <w:sz w:val="20"/>
                <w:szCs w:val="20"/>
                <w:lang w:eastAsia="en-GB"/>
              </w:rPr>
              <w:t xml:space="preserve"> Notification of compliance status</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d</w:t>
            </w:r>
            <w:r>
              <w:rPr>
                <w:color w:val="000000"/>
                <w:sz w:val="20"/>
                <w:szCs w:val="20"/>
                <w:lang w:eastAsia="en-GB"/>
              </w:rPr>
              <w:t>.</w:t>
            </w:r>
            <w:r w:rsidRPr="00847B34">
              <w:rPr>
                <w:color w:val="000000"/>
                <w:sz w:val="20"/>
                <w:szCs w:val="20"/>
                <w:lang w:eastAsia="en-GB"/>
              </w:rPr>
              <w:t xml:space="preserve"> Notification of construction/reconstruction</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e</w:t>
            </w:r>
            <w:r>
              <w:rPr>
                <w:color w:val="000000"/>
                <w:sz w:val="20"/>
                <w:szCs w:val="20"/>
                <w:lang w:eastAsia="en-GB"/>
              </w:rPr>
              <w:t>.</w:t>
            </w:r>
            <w:r w:rsidRPr="00847B34">
              <w:rPr>
                <w:color w:val="000000"/>
                <w:sz w:val="20"/>
                <w:szCs w:val="20"/>
                <w:lang w:eastAsia="en-GB"/>
              </w:rPr>
              <w:t xml:space="preserve"> Notification of actual startup</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847B34"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f</w:t>
            </w:r>
            <w:r>
              <w:rPr>
                <w:color w:val="000000"/>
                <w:sz w:val="20"/>
                <w:szCs w:val="20"/>
                <w:lang w:eastAsia="en-GB"/>
              </w:rPr>
              <w:t>.</w:t>
            </w:r>
            <w:r w:rsidRPr="00847B34">
              <w:rPr>
                <w:color w:val="000000"/>
                <w:sz w:val="20"/>
                <w:szCs w:val="20"/>
                <w:lang w:eastAsia="en-GB"/>
              </w:rPr>
              <w:t xml:space="preserve"> Report of performance test</w:t>
            </w:r>
          </w:p>
        </w:tc>
        <w:tc>
          <w:tcPr>
            <w:tcW w:w="1408"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1.2</w:t>
            </w:r>
          </w:p>
        </w:tc>
        <w:tc>
          <w:tcPr>
            <w:tcW w:w="1470" w:type="dxa"/>
            <w:tcBorders>
              <w:top w:val="nil"/>
              <w:left w:val="nil"/>
              <w:bottom w:val="single" w:sz="4" w:space="0" w:color="auto"/>
              <w:right w:val="single" w:sz="4" w:space="0" w:color="auto"/>
            </w:tcBorders>
            <w:shd w:val="clear" w:color="auto" w:fill="auto"/>
            <w:noWrap/>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10</w:t>
            </w:r>
          </w:p>
        </w:tc>
        <w:tc>
          <w:tcPr>
            <w:tcW w:w="1251"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center"/>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26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c>
          <w:tcPr>
            <w:tcW w:w="1080" w:type="dxa"/>
            <w:tcBorders>
              <w:top w:val="nil"/>
              <w:left w:val="nil"/>
              <w:bottom w:val="single" w:sz="4" w:space="0" w:color="auto"/>
              <w:right w:val="single" w:sz="4" w:space="0" w:color="auto"/>
            </w:tcBorders>
            <w:shd w:val="clear" w:color="auto" w:fill="auto"/>
            <w:vAlign w:val="bottom"/>
            <w:hideMark/>
          </w:tcPr>
          <w:p w:rsidR="00847B34" w:rsidRPr="00847B34" w:rsidRDefault="00847B34" w:rsidP="00847B34">
            <w:pPr>
              <w:widowControl/>
              <w:autoSpaceDE/>
              <w:autoSpaceDN/>
              <w:adjustRightInd/>
              <w:jc w:val="right"/>
              <w:rPr>
                <w:color w:val="000000"/>
                <w:sz w:val="20"/>
                <w:szCs w:val="20"/>
                <w:lang w:val="en-GB" w:eastAsia="en-GB"/>
              </w:rPr>
            </w:pPr>
            <w:r w:rsidRPr="00847B34">
              <w:rPr>
                <w:color w:val="000000"/>
                <w:sz w:val="20"/>
                <w:szCs w:val="20"/>
                <w:lang w:eastAsia="en-GB"/>
              </w:rPr>
              <w:t>0</w:t>
            </w:r>
          </w:p>
        </w:tc>
      </w:tr>
      <w:tr w:rsidR="005E4F9A"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g</w:t>
            </w:r>
            <w:r>
              <w:rPr>
                <w:color w:val="000000"/>
                <w:sz w:val="20"/>
                <w:szCs w:val="20"/>
                <w:lang w:eastAsia="en-GB"/>
              </w:rPr>
              <w:t>.</w:t>
            </w:r>
            <w:r w:rsidRPr="00847B34">
              <w:rPr>
                <w:color w:val="000000"/>
                <w:sz w:val="20"/>
                <w:szCs w:val="20"/>
                <w:lang w:eastAsia="en-GB"/>
              </w:rPr>
              <w:t xml:space="preserve"> Semiannual report</w:t>
            </w:r>
          </w:p>
        </w:tc>
        <w:tc>
          <w:tcPr>
            <w:tcW w:w="1408"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12</w:t>
            </w:r>
          </w:p>
        </w:tc>
        <w:tc>
          <w:tcPr>
            <w:tcW w:w="1446"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2</w:t>
            </w:r>
          </w:p>
        </w:tc>
        <w:tc>
          <w:tcPr>
            <w:tcW w:w="1470" w:type="dxa"/>
            <w:tcBorders>
              <w:top w:val="nil"/>
              <w:left w:val="nil"/>
              <w:bottom w:val="single" w:sz="4" w:space="0" w:color="auto"/>
              <w:right w:val="single" w:sz="4" w:space="0" w:color="auto"/>
            </w:tcBorders>
            <w:shd w:val="clear" w:color="auto" w:fill="auto"/>
            <w:noWrap/>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24</w:t>
            </w:r>
          </w:p>
        </w:tc>
        <w:tc>
          <w:tcPr>
            <w:tcW w:w="1251" w:type="dxa"/>
            <w:tcBorders>
              <w:top w:val="nil"/>
              <w:left w:val="nil"/>
              <w:bottom w:val="single" w:sz="4" w:space="0" w:color="auto"/>
              <w:right w:val="single" w:sz="4" w:space="0" w:color="auto"/>
            </w:tcBorders>
            <w:shd w:val="clear" w:color="auto" w:fill="auto"/>
            <w:vAlign w:val="bottom"/>
            <w:hideMark/>
          </w:tcPr>
          <w:p w:rsidR="005E4F9A" w:rsidRPr="00847B34" w:rsidRDefault="00E233F5" w:rsidP="00847B34">
            <w:pPr>
              <w:widowControl/>
              <w:autoSpaceDE/>
              <w:autoSpaceDN/>
              <w:adjustRightInd/>
              <w:jc w:val="center"/>
              <w:rPr>
                <w:color w:val="000000"/>
                <w:sz w:val="20"/>
                <w:szCs w:val="20"/>
                <w:lang w:val="en-GB" w:eastAsia="en-GB"/>
              </w:rPr>
            </w:pPr>
            <w:r>
              <w:rPr>
                <w:color w:val="000000"/>
                <w:sz w:val="20"/>
                <w:szCs w:val="20"/>
                <w:lang w:eastAsia="en-GB"/>
              </w:rPr>
              <w:t>5</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120</w:t>
            </w:r>
          </w:p>
        </w:tc>
        <w:tc>
          <w:tcPr>
            <w:tcW w:w="126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6,218.94</w:t>
            </w:r>
          </w:p>
        </w:tc>
      </w:tr>
      <w:tr w:rsidR="005E4F9A"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h</w:t>
            </w:r>
            <w:r>
              <w:rPr>
                <w:color w:val="000000"/>
                <w:sz w:val="20"/>
                <w:szCs w:val="20"/>
                <w:lang w:eastAsia="en-GB"/>
              </w:rPr>
              <w:t>.</w:t>
            </w:r>
            <w:r w:rsidRPr="00847B34">
              <w:rPr>
                <w:color w:val="000000"/>
                <w:sz w:val="20"/>
                <w:szCs w:val="20"/>
                <w:lang w:eastAsia="en-GB"/>
              </w:rPr>
              <w:t xml:space="preserve"> Excess emissions report</w:t>
            </w:r>
          </w:p>
        </w:tc>
        <w:tc>
          <w:tcPr>
            <w:tcW w:w="1408"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4</w:t>
            </w:r>
          </w:p>
        </w:tc>
        <w:tc>
          <w:tcPr>
            <w:tcW w:w="1446"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2</w:t>
            </w:r>
          </w:p>
        </w:tc>
        <w:tc>
          <w:tcPr>
            <w:tcW w:w="1470" w:type="dxa"/>
            <w:tcBorders>
              <w:top w:val="nil"/>
              <w:left w:val="nil"/>
              <w:bottom w:val="single" w:sz="4" w:space="0" w:color="auto"/>
              <w:right w:val="single" w:sz="4" w:space="0" w:color="auto"/>
            </w:tcBorders>
            <w:shd w:val="clear" w:color="auto" w:fill="auto"/>
            <w:noWrap/>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nil"/>
              <w:left w:val="nil"/>
              <w:bottom w:val="single" w:sz="4" w:space="0" w:color="auto"/>
              <w:right w:val="single" w:sz="4" w:space="0" w:color="auto"/>
            </w:tcBorders>
            <w:shd w:val="clear" w:color="auto" w:fill="auto"/>
            <w:vAlign w:val="bottom"/>
            <w:hideMark/>
          </w:tcPr>
          <w:p w:rsidR="005E4F9A" w:rsidRPr="00847B34" w:rsidRDefault="00E233F5" w:rsidP="00847B34">
            <w:pPr>
              <w:widowControl/>
              <w:autoSpaceDE/>
              <w:autoSpaceDN/>
              <w:adjustRightInd/>
              <w:jc w:val="center"/>
              <w:rPr>
                <w:color w:val="000000"/>
                <w:sz w:val="20"/>
                <w:szCs w:val="20"/>
                <w:lang w:val="en-GB" w:eastAsia="en-GB"/>
              </w:rPr>
            </w:pPr>
            <w:r>
              <w:rPr>
                <w:color w:val="000000"/>
                <w:sz w:val="20"/>
                <w:szCs w:val="20"/>
                <w:lang w:eastAsia="en-GB"/>
              </w:rPr>
              <w:t>5</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2,072.98</w:t>
            </w:r>
          </w:p>
        </w:tc>
      </w:tr>
      <w:tr w:rsidR="005E4F9A" w:rsidRPr="00847B34" w:rsidTr="00847B34">
        <w:trPr>
          <w:trHeight w:val="255"/>
          <w:jc w:val="center"/>
        </w:trPr>
        <w:tc>
          <w:tcPr>
            <w:tcW w:w="2795" w:type="dxa"/>
            <w:tcBorders>
              <w:top w:val="nil"/>
              <w:left w:val="single" w:sz="4" w:space="0" w:color="auto"/>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ind w:left="302" w:hanging="302"/>
              <w:rPr>
                <w:color w:val="000000"/>
                <w:sz w:val="20"/>
                <w:szCs w:val="20"/>
                <w:lang w:eastAsia="en-GB"/>
              </w:rPr>
            </w:pPr>
            <w:r w:rsidRPr="00847B34">
              <w:rPr>
                <w:color w:val="000000"/>
                <w:sz w:val="20"/>
                <w:szCs w:val="20"/>
                <w:lang w:eastAsia="en-GB"/>
              </w:rPr>
              <w:t xml:space="preserve">  i</w:t>
            </w:r>
            <w:r>
              <w:rPr>
                <w:color w:val="000000"/>
                <w:sz w:val="20"/>
                <w:szCs w:val="20"/>
                <w:lang w:eastAsia="en-GB"/>
              </w:rPr>
              <w:t>.</w:t>
            </w:r>
            <w:r w:rsidRPr="00847B34">
              <w:rPr>
                <w:color w:val="000000"/>
                <w:sz w:val="20"/>
                <w:szCs w:val="20"/>
                <w:lang w:eastAsia="en-GB"/>
              </w:rPr>
              <w:t xml:space="preserve"> Startup, shutdown, report</w:t>
            </w:r>
          </w:p>
        </w:tc>
        <w:tc>
          <w:tcPr>
            <w:tcW w:w="1408"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8</w:t>
            </w:r>
          </w:p>
        </w:tc>
        <w:tc>
          <w:tcPr>
            <w:tcW w:w="1446"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eastAsia="en-GB"/>
              </w:rPr>
              <w:t>1</w:t>
            </w:r>
          </w:p>
        </w:tc>
        <w:tc>
          <w:tcPr>
            <w:tcW w:w="1470" w:type="dxa"/>
            <w:tcBorders>
              <w:top w:val="nil"/>
              <w:left w:val="nil"/>
              <w:bottom w:val="single" w:sz="4" w:space="0" w:color="auto"/>
              <w:right w:val="single" w:sz="4" w:space="0" w:color="auto"/>
            </w:tcBorders>
            <w:shd w:val="clear" w:color="auto" w:fill="auto"/>
            <w:noWrap/>
            <w:vAlign w:val="bottom"/>
            <w:hideMark/>
          </w:tcPr>
          <w:p w:rsidR="005E4F9A" w:rsidRPr="00847B34" w:rsidRDefault="005E4F9A" w:rsidP="00847B34">
            <w:pPr>
              <w:widowControl/>
              <w:autoSpaceDE/>
              <w:autoSpaceDN/>
              <w:adjustRightInd/>
              <w:jc w:val="center"/>
              <w:rPr>
                <w:color w:val="000000"/>
                <w:sz w:val="20"/>
                <w:szCs w:val="20"/>
                <w:lang w:val="en-GB" w:eastAsia="en-GB"/>
              </w:rPr>
            </w:pPr>
            <w:r w:rsidRPr="00847B34">
              <w:rPr>
                <w:color w:val="000000"/>
                <w:sz w:val="20"/>
                <w:szCs w:val="20"/>
                <w:lang w:val="en-GB" w:eastAsia="en-GB"/>
              </w:rPr>
              <w:t>8</w:t>
            </w:r>
          </w:p>
        </w:tc>
        <w:tc>
          <w:tcPr>
            <w:tcW w:w="1251" w:type="dxa"/>
            <w:tcBorders>
              <w:top w:val="nil"/>
              <w:left w:val="nil"/>
              <w:bottom w:val="single" w:sz="4" w:space="0" w:color="auto"/>
              <w:right w:val="single" w:sz="4" w:space="0" w:color="auto"/>
            </w:tcBorders>
            <w:shd w:val="clear" w:color="auto" w:fill="auto"/>
            <w:vAlign w:val="bottom"/>
            <w:hideMark/>
          </w:tcPr>
          <w:p w:rsidR="005E4F9A" w:rsidRPr="00847B34" w:rsidRDefault="00210F43" w:rsidP="00847B34">
            <w:pPr>
              <w:widowControl/>
              <w:autoSpaceDE/>
              <w:autoSpaceDN/>
              <w:adjustRightInd/>
              <w:jc w:val="center"/>
              <w:rPr>
                <w:color w:val="000000"/>
                <w:sz w:val="20"/>
                <w:szCs w:val="20"/>
                <w:lang w:val="en-GB" w:eastAsia="en-GB"/>
              </w:rPr>
            </w:pPr>
            <w:r>
              <w:rPr>
                <w:color w:val="000000"/>
                <w:sz w:val="20"/>
                <w:szCs w:val="20"/>
                <w:lang w:eastAsia="en-GB"/>
              </w:rPr>
              <w:t>1.25</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0.5</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bottom"/>
            <w:hideMark/>
          </w:tcPr>
          <w:p w:rsidR="005E4F9A" w:rsidRPr="00847B34" w:rsidRDefault="005E4F9A" w:rsidP="00847B34">
            <w:pPr>
              <w:widowControl/>
              <w:autoSpaceDE/>
              <w:autoSpaceDN/>
              <w:adjustRightInd/>
              <w:jc w:val="right"/>
              <w:rPr>
                <w:color w:val="000000"/>
                <w:sz w:val="20"/>
                <w:szCs w:val="20"/>
                <w:lang w:val="en-GB" w:eastAsia="en-GB"/>
              </w:rPr>
            </w:pPr>
            <w:r>
              <w:rPr>
                <w:color w:val="000000"/>
                <w:sz w:val="20"/>
                <w:szCs w:val="20"/>
              </w:rPr>
              <w:t>518.25</w:t>
            </w:r>
          </w:p>
        </w:tc>
      </w:tr>
      <w:tr w:rsidR="00847B34" w:rsidRPr="00847B34" w:rsidTr="00847B34">
        <w:trPr>
          <w:trHeight w:val="255"/>
          <w:jc w:val="center"/>
        </w:trPr>
        <w:tc>
          <w:tcPr>
            <w:tcW w:w="8370" w:type="dxa"/>
            <w:gridSpan w:val="5"/>
            <w:tcBorders>
              <w:top w:val="nil"/>
              <w:left w:val="single" w:sz="4" w:space="0" w:color="auto"/>
              <w:bottom w:val="single" w:sz="4" w:space="0" w:color="auto"/>
              <w:right w:val="single" w:sz="4" w:space="0" w:color="auto"/>
            </w:tcBorders>
            <w:shd w:val="clear" w:color="auto" w:fill="auto"/>
            <w:vAlign w:val="center"/>
            <w:hideMark/>
          </w:tcPr>
          <w:p w:rsidR="00847B34" w:rsidRPr="00847B34" w:rsidRDefault="00847B34" w:rsidP="00847B34">
            <w:pPr>
              <w:widowControl/>
              <w:autoSpaceDE/>
              <w:autoSpaceDN/>
              <w:adjustRightInd/>
              <w:rPr>
                <w:color w:val="000000"/>
                <w:sz w:val="20"/>
                <w:szCs w:val="20"/>
                <w:lang w:val="en-GB" w:eastAsia="en-GB"/>
              </w:rPr>
            </w:pPr>
            <w:r w:rsidRPr="00847B34">
              <w:rPr>
                <w:b/>
                <w:bCs/>
                <w:color w:val="000000"/>
                <w:sz w:val="20"/>
                <w:szCs w:val="20"/>
                <w:lang w:val="en-GB" w:eastAsia="en-GB"/>
              </w:rPr>
              <w:t>TOTAL ANNUAL BURDEN AND COST (ROUNDED)</w:t>
            </w:r>
            <w:r w:rsidRPr="00847B34">
              <w:rPr>
                <w:color w:val="000000"/>
                <w:sz w:val="20"/>
                <w:szCs w:val="20"/>
                <w:lang w:val="en-GB" w:eastAsia="en-GB"/>
              </w:rPr>
              <w:t> </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E4F9A" w:rsidRPr="00B800BA" w:rsidRDefault="005E4F9A" w:rsidP="005E4F9A">
            <w:pPr>
              <w:widowControl/>
              <w:autoSpaceDE/>
              <w:autoSpaceDN/>
              <w:adjustRightInd/>
              <w:jc w:val="center"/>
              <w:rPr>
                <w:b/>
                <w:color w:val="000000"/>
                <w:sz w:val="20"/>
                <w:szCs w:val="20"/>
                <w:lang w:val="en-GB" w:eastAsia="en-GB"/>
              </w:rPr>
            </w:pPr>
            <w:r>
              <w:rPr>
                <w:b/>
                <w:color w:val="000000"/>
                <w:sz w:val="20"/>
                <w:szCs w:val="20"/>
                <w:lang w:val="en-GB" w:eastAsia="en-GB"/>
              </w:rPr>
              <w:t>196</w:t>
            </w:r>
          </w:p>
        </w:tc>
        <w:tc>
          <w:tcPr>
            <w:tcW w:w="1080" w:type="dxa"/>
            <w:tcBorders>
              <w:top w:val="nil"/>
              <w:left w:val="nil"/>
              <w:bottom w:val="single" w:sz="4" w:space="0" w:color="auto"/>
              <w:right w:val="single" w:sz="4" w:space="0" w:color="auto"/>
            </w:tcBorders>
            <w:shd w:val="clear" w:color="auto" w:fill="auto"/>
            <w:vAlign w:val="center"/>
            <w:hideMark/>
          </w:tcPr>
          <w:p w:rsidR="00847B34" w:rsidRPr="00B800BA" w:rsidRDefault="00FE5D20" w:rsidP="005E4F9A">
            <w:pPr>
              <w:widowControl/>
              <w:autoSpaceDE/>
              <w:autoSpaceDN/>
              <w:adjustRightInd/>
              <w:jc w:val="right"/>
              <w:rPr>
                <w:b/>
                <w:color w:val="000000"/>
                <w:sz w:val="20"/>
                <w:szCs w:val="20"/>
                <w:lang w:val="en-GB" w:eastAsia="en-GB"/>
              </w:rPr>
            </w:pPr>
            <w:r>
              <w:rPr>
                <w:b/>
                <w:color w:val="000000"/>
                <w:sz w:val="20"/>
                <w:szCs w:val="20"/>
                <w:lang w:val="en-GB" w:eastAsia="en-GB"/>
              </w:rPr>
              <w:t>$</w:t>
            </w:r>
            <w:r w:rsidR="005E4F9A" w:rsidRPr="005E4F9A">
              <w:rPr>
                <w:b/>
                <w:color w:val="000000"/>
                <w:sz w:val="20"/>
                <w:szCs w:val="20"/>
                <w:lang w:val="en-GB" w:eastAsia="en-GB"/>
              </w:rPr>
              <w:t>8,810</w:t>
            </w:r>
          </w:p>
        </w:tc>
      </w:tr>
    </w:tbl>
    <w:p w:rsidR="00144F35" w:rsidRDefault="00144F35" w:rsidP="00F340DF">
      <w:pPr>
        <w:rPr>
          <w:bCs/>
        </w:rPr>
      </w:pPr>
    </w:p>
    <w:p w:rsidR="009C1B44" w:rsidRPr="00237AA7" w:rsidRDefault="009C1B44" w:rsidP="009C1B44">
      <w:pPr>
        <w:rPr>
          <w:bCs/>
          <w:sz w:val="20"/>
          <w:szCs w:val="20"/>
        </w:rPr>
      </w:pPr>
      <w:r w:rsidRPr="00237AA7">
        <w:rPr>
          <w:bCs/>
          <w:sz w:val="20"/>
          <w:szCs w:val="20"/>
        </w:rPr>
        <w:t xml:space="preserve"> Assumptions:</w:t>
      </w:r>
    </w:p>
    <w:p w:rsidR="00847B34" w:rsidRPr="00210F43" w:rsidRDefault="009C1B44" w:rsidP="00210F43">
      <w:pPr>
        <w:pStyle w:val="ListParagraph"/>
        <w:numPr>
          <w:ilvl w:val="0"/>
          <w:numId w:val="3"/>
        </w:numPr>
        <w:rPr>
          <w:bCs/>
          <w:sz w:val="20"/>
          <w:szCs w:val="20"/>
        </w:rPr>
      </w:pPr>
      <w:r w:rsidRPr="00210F43">
        <w:rPr>
          <w:bCs/>
          <w:sz w:val="20"/>
          <w:szCs w:val="20"/>
        </w:rPr>
        <w:t>This ICR uses the following labor rates: $46.21 for technical, $62.27 for managerial, and $25.01 for clerical labor.  These rates are from the Office of Personnel Management (OPM), 2011 General Schedule, which excludes locality rates of pay.  The rates have been increased by 60 percent to account for the benefit packages available to government employees.</w:t>
      </w:r>
    </w:p>
    <w:p w:rsidR="00210F43" w:rsidRDefault="00210F43" w:rsidP="00210F43">
      <w:pPr>
        <w:pStyle w:val="ListParagraph"/>
        <w:numPr>
          <w:ilvl w:val="0"/>
          <w:numId w:val="3"/>
        </w:numPr>
        <w:rPr>
          <w:bCs/>
          <w:sz w:val="20"/>
          <w:szCs w:val="20"/>
        </w:rPr>
      </w:pPr>
      <w:r>
        <w:rPr>
          <w:bCs/>
          <w:sz w:val="20"/>
          <w:szCs w:val="20"/>
        </w:rPr>
        <w:t>We have assumed that the average number of respondents that will be subject to the rule will be 5 existing sources.  There will be no additional sources over the three-year period of this ICR.</w:t>
      </w:r>
    </w:p>
    <w:p w:rsidR="00137D9B" w:rsidRPr="00210F43" w:rsidRDefault="00137D9B" w:rsidP="00210F43">
      <w:pPr>
        <w:pStyle w:val="ListParagraph"/>
        <w:numPr>
          <w:ilvl w:val="0"/>
          <w:numId w:val="3"/>
        </w:numPr>
        <w:rPr>
          <w:bCs/>
          <w:sz w:val="20"/>
          <w:szCs w:val="20"/>
        </w:rPr>
      </w:pPr>
      <w:r>
        <w:rPr>
          <w:bCs/>
          <w:sz w:val="20"/>
          <w:szCs w:val="20"/>
        </w:rPr>
        <w:t>We have assumed that 25 percent of respondents will each take 8 hours once per year to review the startup, shutdown, malfunction report.</w:t>
      </w:r>
    </w:p>
    <w:sectPr w:rsidR="00137D9B" w:rsidRPr="00210F43"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6AD" w:rsidRDefault="001166AD">
      <w:r>
        <w:separator/>
      </w:r>
    </w:p>
  </w:endnote>
  <w:endnote w:type="continuationSeparator" w:id="0">
    <w:p w:rsidR="001166AD" w:rsidRDefault="00116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6AD" w:rsidRDefault="001166AD">
      <w:r>
        <w:separator/>
      </w:r>
    </w:p>
  </w:footnote>
  <w:footnote w:type="continuationSeparator" w:id="0">
    <w:p w:rsidR="001166AD" w:rsidRDefault="00116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B23D84">
    <w:pPr>
      <w:framePr w:w="9361" w:wrap="notBeside" w:vAnchor="text" w:hAnchor="text" w:x="1" w:y="1"/>
      <w:jc w:val="center"/>
    </w:pPr>
    <w:fldSimple w:instr="PAGE ">
      <w:r w:rsidR="0044720A">
        <w:rPr>
          <w:noProof/>
        </w:rPr>
        <w:t>14</w:t>
      </w:r>
    </w:fldSimple>
  </w:p>
  <w:p w:rsidR="00AA6230" w:rsidRDefault="00AA6230"/>
  <w:p w:rsidR="00AA6230" w:rsidRDefault="00AA6230">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B23D84" w:rsidP="00475841">
    <w:pPr>
      <w:framePr w:w="9361" w:wrap="notBeside" w:vAnchor="text" w:hAnchor="text" w:x="1" w:y="1"/>
      <w:ind w:right="-3600"/>
      <w:jc w:val="center"/>
    </w:pPr>
    <w:fldSimple w:instr="PAGE ">
      <w:r w:rsidR="0044720A">
        <w:rPr>
          <w:noProof/>
        </w:rPr>
        <w:t>17</w:t>
      </w:r>
    </w:fldSimple>
  </w:p>
  <w:p w:rsidR="00AA6230" w:rsidRDefault="00AA6230"/>
  <w:p w:rsidR="00AA6230" w:rsidRDefault="00AA623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2461937"/>
    <w:multiLevelType w:val="hybridMultilevel"/>
    <w:tmpl w:val="65307614"/>
    <w:lvl w:ilvl="0" w:tplc="41641172">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25E74"/>
    <w:multiLevelType w:val="hybridMultilevel"/>
    <w:tmpl w:val="D23CFBB6"/>
    <w:lvl w:ilvl="0" w:tplc="17AC9A4A">
      <w:start w:val="1"/>
      <w:numFmt w:val="lowerLetter"/>
      <w:lvlText w:val="%1."/>
      <w:lvlJc w:val="left"/>
      <w:pPr>
        <w:ind w:left="180" w:hanging="360"/>
      </w:pPr>
      <w:rPr>
        <w:rFonts w:hint="default"/>
        <w:vertAlign w:val="superscrip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22FC"/>
    <w:rsid w:val="00055BDF"/>
    <w:rsid w:val="00055DC5"/>
    <w:rsid w:val="000A1FBB"/>
    <w:rsid w:val="000A687C"/>
    <w:rsid w:val="000C1078"/>
    <w:rsid w:val="000D2272"/>
    <w:rsid w:val="000D4602"/>
    <w:rsid w:val="000F6455"/>
    <w:rsid w:val="000F6911"/>
    <w:rsid w:val="000F772C"/>
    <w:rsid w:val="00101B40"/>
    <w:rsid w:val="00102B52"/>
    <w:rsid w:val="0010697C"/>
    <w:rsid w:val="001166AD"/>
    <w:rsid w:val="00123889"/>
    <w:rsid w:val="00126A7C"/>
    <w:rsid w:val="001356D4"/>
    <w:rsid w:val="00137D9B"/>
    <w:rsid w:val="0014079D"/>
    <w:rsid w:val="00144978"/>
    <w:rsid w:val="00144A82"/>
    <w:rsid w:val="00144F35"/>
    <w:rsid w:val="0015433E"/>
    <w:rsid w:val="00170D19"/>
    <w:rsid w:val="00186DA3"/>
    <w:rsid w:val="00195753"/>
    <w:rsid w:val="001A0B41"/>
    <w:rsid w:val="001B0B9A"/>
    <w:rsid w:val="001B35F2"/>
    <w:rsid w:val="001C34D2"/>
    <w:rsid w:val="001C5991"/>
    <w:rsid w:val="001D0095"/>
    <w:rsid w:val="001D762C"/>
    <w:rsid w:val="001F19FF"/>
    <w:rsid w:val="001F3051"/>
    <w:rsid w:val="002041C5"/>
    <w:rsid w:val="002063FE"/>
    <w:rsid w:val="00206932"/>
    <w:rsid w:val="00210F43"/>
    <w:rsid w:val="0021722B"/>
    <w:rsid w:val="00223397"/>
    <w:rsid w:val="0022738C"/>
    <w:rsid w:val="00234A28"/>
    <w:rsid w:val="00236DB3"/>
    <w:rsid w:val="00237AA7"/>
    <w:rsid w:val="00241120"/>
    <w:rsid w:val="002431D9"/>
    <w:rsid w:val="00252286"/>
    <w:rsid w:val="002638A0"/>
    <w:rsid w:val="002712EB"/>
    <w:rsid w:val="0027222A"/>
    <w:rsid w:val="002743D2"/>
    <w:rsid w:val="002760FD"/>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14382"/>
    <w:rsid w:val="00341540"/>
    <w:rsid w:val="003511C6"/>
    <w:rsid w:val="0035325B"/>
    <w:rsid w:val="00354C15"/>
    <w:rsid w:val="00374A72"/>
    <w:rsid w:val="0039292F"/>
    <w:rsid w:val="003B01A3"/>
    <w:rsid w:val="003C4B46"/>
    <w:rsid w:val="003C5023"/>
    <w:rsid w:val="003D54F3"/>
    <w:rsid w:val="003E30B5"/>
    <w:rsid w:val="003E4C18"/>
    <w:rsid w:val="0040391F"/>
    <w:rsid w:val="0044133C"/>
    <w:rsid w:val="0044720A"/>
    <w:rsid w:val="00455557"/>
    <w:rsid w:val="004702FD"/>
    <w:rsid w:val="0047248D"/>
    <w:rsid w:val="00475841"/>
    <w:rsid w:val="00481BB4"/>
    <w:rsid w:val="00484A45"/>
    <w:rsid w:val="004A4B25"/>
    <w:rsid w:val="004C5E95"/>
    <w:rsid w:val="004C701D"/>
    <w:rsid w:val="004E2124"/>
    <w:rsid w:val="004F1469"/>
    <w:rsid w:val="004F6FCD"/>
    <w:rsid w:val="00504745"/>
    <w:rsid w:val="00507EC5"/>
    <w:rsid w:val="00516952"/>
    <w:rsid w:val="005253D4"/>
    <w:rsid w:val="00551815"/>
    <w:rsid w:val="00560AD2"/>
    <w:rsid w:val="00565A51"/>
    <w:rsid w:val="00570441"/>
    <w:rsid w:val="00571260"/>
    <w:rsid w:val="00583626"/>
    <w:rsid w:val="005A1986"/>
    <w:rsid w:val="005B5DE8"/>
    <w:rsid w:val="005C3665"/>
    <w:rsid w:val="005C42AC"/>
    <w:rsid w:val="005C51B1"/>
    <w:rsid w:val="005D385C"/>
    <w:rsid w:val="005D6412"/>
    <w:rsid w:val="005E194B"/>
    <w:rsid w:val="005E4F9A"/>
    <w:rsid w:val="005F42F8"/>
    <w:rsid w:val="00601205"/>
    <w:rsid w:val="00606DEF"/>
    <w:rsid w:val="00607162"/>
    <w:rsid w:val="006239BF"/>
    <w:rsid w:val="00631517"/>
    <w:rsid w:val="00635DBD"/>
    <w:rsid w:val="00636739"/>
    <w:rsid w:val="006741F7"/>
    <w:rsid w:val="00694B55"/>
    <w:rsid w:val="006D1B12"/>
    <w:rsid w:val="006E4A6E"/>
    <w:rsid w:val="006E642B"/>
    <w:rsid w:val="006F1505"/>
    <w:rsid w:val="007056EC"/>
    <w:rsid w:val="00724BC7"/>
    <w:rsid w:val="007565A0"/>
    <w:rsid w:val="00761F09"/>
    <w:rsid w:val="00763160"/>
    <w:rsid w:val="00780612"/>
    <w:rsid w:val="00786A20"/>
    <w:rsid w:val="00786BB8"/>
    <w:rsid w:val="007A0634"/>
    <w:rsid w:val="007A16F4"/>
    <w:rsid w:val="007A458D"/>
    <w:rsid w:val="007B042E"/>
    <w:rsid w:val="007C0C46"/>
    <w:rsid w:val="007C0FAA"/>
    <w:rsid w:val="007C6202"/>
    <w:rsid w:val="007D21A2"/>
    <w:rsid w:val="007E6FF4"/>
    <w:rsid w:val="007F07FB"/>
    <w:rsid w:val="00807539"/>
    <w:rsid w:val="00807D33"/>
    <w:rsid w:val="00810507"/>
    <w:rsid w:val="00813E69"/>
    <w:rsid w:val="00817E8B"/>
    <w:rsid w:val="008338D4"/>
    <w:rsid w:val="0084255D"/>
    <w:rsid w:val="00847B34"/>
    <w:rsid w:val="00850ACF"/>
    <w:rsid w:val="00852038"/>
    <w:rsid w:val="00861489"/>
    <w:rsid w:val="00861AFB"/>
    <w:rsid w:val="0088639E"/>
    <w:rsid w:val="008A1E64"/>
    <w:rsid w:val="008A46EB"/>
    <w:rsid w:val="008B0518"/>
    <w:rsid w:val="008B3AFC"/>
    <w:rsid w:val="008B407C"/>
    <w:rsid w:val="008B674F"/>
    <w:rsid w:val="008E65E6"/>
    <w:rsid w:val="008F285B"/>
    <w:rsid w:val="008F4564"/>
    <w:rsid w:val="009018EC"/>
    <w:rsid w:val="00904814"/>
    <w:rsid w:val="00906EDB"/>
    <w:rsid w:val="00911A19"/>
    <w:rsid w:val="00912E00"/>
    <w:rsid w:val="00923C46"/>
    <w:rsid w:val="009711DB"/>
    <w:rsid w:val="00974529"/>
    <w:rsid w:val="009A0F50"/>
    <w:rsid w:val="009A16CD"/>
    <w:rsid w:val="009A3F9D"/>
    <w:rsid w:val="009C06F5"/>
    <w:rsid w:val="009C1B44"/>
    <w:rsid w:val="009D6567"/>
    <w:rsid w:val="009E0F31"/>
    <w:rsid w:val="00A007F5"/>
    <w:rsid w:val="00A038EC"/>
    <w:rsid w:val="00A145B0"/>
    <w:rsid w:val="00A14E16"/>
    <w:rsid w:val="00A15172"/>
    <w:rsid w:val="00A26EF7"/>
    <w:rsid w:val="00A277D6"/>
    <w:rsid w:val="00A27F81"/>
    <w:rsid w:val="00A376F4"/>
    <w:rsid w:val="00A379F8"/>
    <w:rsid w:val="00A54EEA"/>
    <w:rsid w:val="00A56BFF"/>
    <w:rsid w:val="00A73600"/>
    <w:rsid w:val="00A74C1E"/>
    <w:rsid w:val="00A7661C"/>
    <w:rsid w:val="00A86C3E"/>
    <w:rsid w:val="00A95BC7"/>
    <w:rsid w:val="00A962DF"/>
    <w:rsid w:val="00AA6230"/>
    <w:rsid w:val="00AC0409"/>
    <w:rsid w:val="00AD3C1B"/>
    <w:rsid w:val="00AF70A1"/>
    <w:rsid w:val="00B07F79"/>
    <w:rsid w:val="00B167F8"/>
    <w:rsid w:val="00B16C07"/>
    <w:rsid w:val="00B17401"/>
    <w:rsid w:val="00B23D84"/>
    <w:rsid w:val="00B24056"/>
    <w:rsid w:val="00B46A57"/>
    <w:rsid w:val="00B65754"/>
    <w:rsid w:val="00B66231"/>
    <w:rsid w:val="00B769F1"/>
    <w:rsid w:val="00B800BA"/>
    <w:rsid w:val="00B82025"/>
    <w:rsid w:val="00BA0A91"/>
    <w:rsid w:val="00BA4887"/>
    <w:rsid w:val="00BB3390"/>
    <w:rsid w:val="00BB3C1A"/>
    <w:rsid w:val="00BB7305"/>
    <w:rsid w:val="00BC6DEF"/>
    <w:rsid w:val="00BD7CAE"/>
    <w:rsid w:val="00BE2989"/>
    <w:rsid w:val="00BE7A11"/>
    <w:rsid w:val="00BF722F"/>
    <w:rsid w:val="00C13FE8"/>
    <w:rsid w:val="00C30A60"/>
    <w:rsid w:val="00C33ABA"/>
    <w:rsid w:val="00C37BB6"/>
    <w:rsid w:val="00C41B71"/>
    <w:rsid w:val="00C47974"/>
    <w:rsid w:val="00C52EFD"/>
    <w:rsid w:val="00C576AB"/>
    <w:rsid w:val="00C64378"/>
    <w:rsid w:val="00C75CF0"/>
    <w:rsid w:val="00C77607"/>
    <w:rsid w:val="00C808B5"/>
    <w:rsid w:val="00C82DB6"/>
    <w:rsid w:val="00C87BD8"/>
    <w:rsid w:val="00CA4CD6"/>
    <w:rsid w:val="00CA7DA0"/>
    <w:rsid w:val="00CC237C"/>
    <w:rsid w:val="00CC48AB"/>
    <w:rsid w:val="00CC4992"/>
    <w:rsid w:val="00CC58F6"/>
    <w:rsid w:val="00CD2069"/>
    <w:rsid w:val="00CD280D"/>
    <w:rsid w:val="00CE6B76"/>
    <w:rsid w:val="00CF2B37"/>
    <w:rsid w:val="00D13D9A"/>
    <w:rsid w:val="00D14A8D"/>
    <w:rsid w:val="00D21198"/>
    <w:rsid w:val="00D2273E"/>
    <w:rsid w:val="00D33D9C"/>
    <w:rsid w:val="00D36776"/>
    <w:rsid w:val="00D42D52"/>
    <w:rsid w:val="00D46FA2"/>
    <w:rsid w:val="00D5080D"/>
    <w:rsid w:val="00D56F5F"/>
    <w:rsid w:val="00D61B37"/>
    <w:rsid w:val="00D63B96"/>
    <w:rsid w:val="00D92F66"/>
    <w:rsid w:val="00D95819"/>
    <w:rsid w:val="00DA7285"/>
    <w:rsid w:val="00DB59E1"/>
    <w:rsid w:val="00DD1AC1"/>
    <w:rsid w:val="00DD7D49"/>
    <w:rsid w:val="00DF3FBF"/>
    <w:rsid w:val="00DF5C4E"/>
    <w:rsid w:val="00E10DA7"/>
    <w:rsid w:val="00E1538C"/>
    <w:rsid w:val="00E233F5"/>
    <w:rsid w:val="00E23A39"/>
    <w:rsid w:val="00E25DB6"/>
    <w:rsid w:val="00E276CD"/>
    <w:rsid w:val="00E32EDA"/>
    <w:rsid w:val="00E53137"/>
    <w:rsid w:val="00E702F6"/>
    <w:rsid w:val="00E72D70"/>
    <w:rsid w:val="00E759A4"/>
    <w:rsid w:val="00E77D5E"/>
    <w:rsid w:val="00E868BB"/>
    <w:rsid w:val="00EA37A9"/>
    <w:rsid w:val="00EA7026"/>
    <w:rsid w:val="00EC4074"/>
    <w:rsid w:val="00ED0991"/>
    <w:rsid w:val="00ED741E"/>
    <w:rsid w:val="00EE6EAE"/>
    <w:rsid w:val="00EF113F"/>
    <w:rsid w:val="00F033F0"/>
    <w:rsid w:val="00F03803"/>
    <w:rsid w:val="00F066C9"/>
    <w:rsid w:val="00F20822"/>
    <w:rsid w:val="00F26154"/>
    <w:rsid w:val="00F304FE"/>
    <w:rsid w:val="00F340DF"/>
    <w:rsid w:val="00F538BC"/>
    <w:rsid w:val="00F622C7"/>
    <w:rsid w:val="00F9092B"/>
    <w:rsid w:val="00F90C32"/>
    <w:rsid w:val="00F92D22"/>
    <w:rsid w:val="00FB0650"/>
    <w:rsid w:val="00FB4D98"/>
    <w:rsid w:val="00FB6378"/>
    <w:rsid w:val="00FB7BCE"/>
    <w:rsid w:val="00FC4E09"/>
    <w:rsid w:val="00FD72B2"/>
    <w:rsid w:val="00FE2099"/>
    <w:rsid w:val="00FE29CA"/>
    <w:rsid w:val="00FE5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ED0991"/>
    <w:rPr>
      <w:sz w:val="24"/>
      <w:szCs w:val="24"/>
    </w:rPr>
  </w:style>
  <w:style w:type="paragraph" w:styleId="ListParagraph">
    <w:name w:val="List Paragraph"/>
    <w:basedOn w:val="Normal"/>
    <w:uiPriority w:val="34"/>
    <w:qFormat/>
    <w:rsid w:val="00847B34"/>
    <w:pPr>
      <w:ind w:left="720"/>
      <w:contextualSpacing/>
    </w:pPr>
  </w:style>
</w:styles>
</file>

<file path=word/webSettings.xml><?xml version="1.0" encoding="utf-8"?>
<w:webSettings xmlns:r="http://schemas.openxmlformats.org/officeDocument/2006/relationships" xmlns:w="http://schemas.openxmlformats.org/wordprocessingml/2006/main">
  <w:divs>
    <w:div w:id="41172130">
      <w:bodyDiv w:val="1"/>
      <w:marLeft w:val="0"/>
      <w:marRight w:val="0"/>
      <w:marTop w:val="0"/>
      <w:marBottom w:val="0"/>
      <w:divBdr>
        <w:top w:val="none" w:sz="0" w:space="0" w:color="auto"/>
        <w:left w:val="none" w:sz="0" w:space="0" w:color="auto"/>
        <w:bottom w:val="none" w:sz="0" w:space="0" w:color="auto"/>
        <w:right w:val="none" w:sz="0" w:space="0" w:color="auto"/>
      </w:divBdr>
    </w:div>
    <w:div w:id="31857983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2355081">
      <w:bodyDiv w:val="1"/>
      <w:marLeft w:val="0"/>
      <w:marRight w:val="0"/>
      <w:marTop w:val="0"/>
      <w:marBottom w:val="0"/>
      <w:divBdr>
        <w:top w:val="none" w:sz="0" w:space="0" w:color="auto"/>
        <w:left w:val="none" w:sz="0" w:space="0" w:color="auto"/>
        <w:bottom w:val="none" w:sz="0" w:space="0" w:color="auto"/>
        <w:right w:val="none" w:sz="0" w:space="0" w:color="auto"/>
      </w:divBdr>
    </w:div>
    <w:div w:id="1056002433">
      <w:bodyDiv w:val="1"/>
      <w:marLeft w:val="0"/>
      <w:marRight w:val="0"/>
      <w:marTop w:val="0"/>
      <w:marBottom w:val="0"/>
      <w:divBdr>
        <w:top w:val="none" w:sz="0" w:space="0" w:color="auto"/>
        <w:left w:val="none" w:sz="0" w:space="0" w:color="auto"/>
        <w:bottom w:val="none" w:sz="0" w:space="0" w:color="auto"/>
        <w:right w:val="none" w:sz="0" w:space="0" w:color="auto"/>
      </w:divBdr>
    </w:div>
    <w:div w:id="13020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052D-C241-41E1-8357-009BD299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Courtney Kerwin</cp:lastModifiedBy>
  <cp:revision>2</cp:revision>
  <dcterms:created xsi:type="dcterms:W3CDTF">2013-11-05T01:29:00Z</dcterms:created>
  <dcterms:modified xsi:type="dcterms:W3CDTF">2013-11-05T01:29:00Z</dcterms:modified>
</cp:coreProperties>
</file>