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904A4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296DD9">
      <w:pPr>
        <w:rPr>
          <w:color w:val="000000"/>
        </w:rPr>
      </w:pPr>
      <w:r>
        <w:rPr>
          <w:b/>
          <w:bCs/>
        </w:rPr>
        <w:t>NESHAP for Plywood and Composite Products (40 CFR Part 63, Subpart DDDD) (Renewal)</w:t>
      </w:r>
      <w:r>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51439C" w:rsidP="002B29A5">
      <w:pPr>
        <w:rPr>
          <w:bCs/>
          <w:color w:val="000000"/>
        </w:rPr>
      </w:pPr>
      <w:r>
        <w:t>NESHAP for Plywood and Composite Products (40 CFR Part 63, Subpart DDDD)</w:t>
      </w:r>
      <w:r w:rsidR="002B29A5">
        <w:rPr>
          <w:bCs/>
          <w:color w:val="FF0000"/>
        </w:rPr>
        <w:t xml:space="preserve"> </w:t>
      </w:r>
      <w:r w:rsidR="00B07037">
        <w:rPr>
          <w:bCs/>
          <w:color w:val="FF0000"/>
        </w:rPr>
        <w:t xml:space="preserve">      </w:t>
      </w:r>
      <w:r w:rsidR="002B29A5" w:rsidRPr="004C5E95">
        <w:rPr>
          <w:bCs/>
        </w:rPr>
        <w:t xml:space="preserve">(Renewal), EPA ICR Number </w:t>
      </w:r>
      <w:r>
        <w:rPr>
          <w:bCs/>
        </w:rPr>
        <w:t>1984.05</w:t>
      </w:r>
      <w:r w:rsidR="002B29A5" w:rsidRPr="0051439C">
        <w:rPr>
          <w:bCs/>
        </w:rPr>
        <w:t>,</w:t>
      </w:r>
      <w:r w:rsidR="002B29A5">
        <w:rPr>
          <w:bCs/>
          <w:color w:val="FF0000"/>
        </w:rPr>
        <w:t xml:space="preserve"> </w:t>
      </w:r>
      <w:r w:rsidR="005419BD">
        <w:rPr>
          <w:bCs/>
        </w:rPr>
        <w:t>OMB Control Number 2060-</w:t>
      </w:r>
      <w:r>
        <w:rPr>
          <w:bCs/>
        </w:rPr>
        <w:t>0552</w:t>
      </w:r>
      <w:r w:rsidR="002B29A5">
        <w:rPr>
          <w:bCs/>
          <w:color w:val="FF0000"/>
        </w:rPr>
        <w:t xml:space="preserve"> </w:t>
      </w:r>
    </w:p>
    <w:p w:rsidR="00CA4CD6" w:rsidRDefault="00CA4CD6">
      <w:pPr>
        <w:rPr>
          <w:b/>
          <w:bCs/>
          <w:color w:val="000000"/>
        </w:rPr>
      </w:pPr>
    </w:p>
    <w:p w:rsidR="00CA4CD6" w:rsidRDefault="00CA4CD6" w:rsidP="0051439C">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00810D4A" w:rsidRPr="00810D4A">
        <w:t>National Emission Standards for Hazardous Air Pollutants (NESHAP)</w:t>
      </w:r>
      <w:r>
        <w:rPr>
          <w:color w:val="FF0000"/>
        </w:rPr>
        <w:t xml:space="preserve"> </w:t>
      </w:r>
      <w:r>
        <w:rPr>
          <w:color w:val="000000"/>
        </w:rPr>
        <w:t xml:space="preserve">for </w:t>
      </w:r>
      <w:r w:rsidR="00E5478B">
        <w:t>Plywood and Composite Products</w:t>
      </w:r>
      <w:r>
        <w:rPr>
          <w:color w:val="000000"/>
        </w:rPr>
        <w:t xml:space="preserve"> were proposed on </w:t>
      </w:r>
      <w:r w:rsidR="000A24FD">
        <w:t>January 9, 2003</w:t>
      </w:r>
      <w:r>
        <w:rPr>
          <w:color w:val="000000"/>
        </w:rPr>
        <w:t xml:space="preserve">, promulgated on </w:t>
      </w:r>
      <w:r w:rsidR="00AA4C4B">
        <w:t>July 30, 2004</w:t>
      </w:r>
      <w:r w:rsidR="00AA4C4B">
        <w:rPr>
          <w:color w:val="000000"/>
        </w:rPr>
        <w:t xml:space="preserve">, and </w:t>
      </w:r>
      <w:r w:rsidR="005B031D">
        <w:rPr>
          <w:color w:val="000000"/>
        </w:rPr>
        <w:t>was last am</w:t>
      </w:r>
      <w:r w:rsidR="00AA4C4B">
        <w:t>ended on October 29, 2007</w:t>
      </w:r>
      <w:r>
        <w:rPr>
          <w:color w:val="000000"/>
        </w:rPr>
        <w:t xml:space="preserve">.  These regulations apply </w:t>
      </w:r>
      <w:r w:rsidR="00724BC7">
        <w:rPr>
          <w:color w:val="000000"/>
        </w:rPr>
        <w:t xml:space="preserve">to </w:t>
      </w:r>
      <w:r w:rsidR="007C5787">
        <w:rPr>
          <w:color w:val="000000"/>
        </w:rPr>
        <w:t xml:space="preserve">both </w:t>
      </w:r>
      <w:r w:rsidR="00E6670F">
        <w:rPr>
          <w:color w:val="000000"/>
        </w:rPr>
        <w:t xml:space="preserve">new and </w:t>
      </w:r>
      <w:r w:rsidR="00724BC7">
        <w:rPr>
          <w:color w:val="000000"/>
        </w:rPr>
        <w:t xml:space="preserve">existing </w:t>
      </w:r>
      <w:r w:rsidR="00E6670F">
        <w:t xml:space="preserve">plywood and </w:t>
      </w:r>
      <w:r w:rsidR="007C5787">
        <w:t xml:space="preserve">to </w:t>
      </w:r>
      <w:r w:rsidR="00E6670F">
        <w:t xml:space="preserve">composite wood products (PCWP) facilities.  Plywood and/or composite products are manufactured by bonding wood material (fibers, particles, strands, veneers, etc.) </w:t>
      </w:r>
      <w:r w:rsidR="007C5787">
        <w:t xml:space="preserve">   </w:t>
      </w:r>
      <w:r w:rsidR="00E6670F">
        <w:t>or agricultural fiber with resin, generally under head and pressure, to form a structural panel or engineered wood product.  Plywood and composite products include, but are not limited to: plywood; veneer; particleboard; oriented strand board; hardboard; fiberboard; medium density fiberboard; laminated strand lumber; laminated veneer lumber; wood I-joists; kiln-dried lumber; and glue-laminated beams.</w:t>
      </w:r>
      <w:r>
        <w:rPr>
          <w:color w:val="000000"/>
        </w:rPr>
        <w:t xml:space="preserve">  </w:t>
      </w:r>
      <w:r w:rsidR="00E5478B">
        <w:t xml:space="preserve">A PCWP manufacturing facility is a major source of hazardous air pollutant (HAP) emissions either in and of itself, or because it is located with other major sources of HAP.  </w:t>
      </w:r>
      <w:r>
        <w:rPr>
          <w:color w:val="000000"/>
        </w:rPr>
        <w:t xml:space="preserve">New facilities include those that commenced construction or reconstruction after the date of proposal.  This information is being collected to assure compliance with 40 CFR part 63, subpart </w:t>
      </w:r>
      <w:r w:rsidR="00E6670F">
        <w:rPr>
          <w:color w:val="000000"/>
        </w:rPr>
        <w:t>DDDD</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810D4A" w:rsidRPr="00810D4A">
        <w:t>NESHAP</w:t>
      </w:r>
      <w:r w:rsidR="00E6670F">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221507">
        <w:rPr>
          <w:color w:val="000000"/>
        </w:rPr>
        <w:t xml:space="preserve">    </w:t>
      </w:r>
      <w:r>
        <w:rPr>
          <w:color w:val="000000"/>
        </w:rPr>
        <w:t xml:space="preserve">the operation of an affected facility, or </w:t>
      </w:r>
      <w:r w:rsidR="007C5787">
        <w:rPr>
          <w:color w:val="000000"/>
        </w:rPr>
        <w:t xml:space="preserve">in </w:t>
      </w:r>
      <w:r>
        <w:rPr>
          <w:color w:val="000000"/>
        </w:rPr>
        <w:t xml:space="preserve">any period during which the monitoring system is inoperative.  These notifications, reports, and records are essential in determining compliance, and are required of all affected facilities subject to </w:t>
      </w:r>
      <w:r w:rsidR="00810D4A" w:rsidRPr="00810D4A">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810D4A" w:rsidRPr="00810D4A">
        <w:t>five</w:t>
      </w:r>
      <w:r w:rsidR="00C054EF">
        <w:rPr>
          <w:color w:val="FF0000"/>
        </w:rPr>
        <w:t xml:space="preserve"> </w:t>
      </w:r>
      <w:r>
        <w:rPr>
          <w:color w:val="000000"/>
        </w:rPr>
        <w:t xml:space="preserve">years following the date of such measurements, maintenance reports, and records.  All reports are sent to the delegated state or local authority.  </w:t>
      </w:r>
      <w:r w:rsidR="007C5787">
        <w:rPr>
          <w:color w:val="000000"/>
        </w:rPr>
        <w:t xml:space="preserve"> </w:t>
      </w:r>
      <w:r>
        <w:rPr>
          <w:color w:val="000000"/>
        </w:rPr>
        <w:t>In the event that there is no such delegated authority, the reports are sent directly to the U</w:t>
      </w:r>
      <w:r w:rsidR="007C5787">
        <w:rPr>
          <w:color w:val="000000"/>
        </w:rPr>
        <w:t>.</w:t>
      </w:r>
      <w:r>
        <w:rPr>
          <w:color w:val="000000"/>
        </w:rPr>
        <w:t xml:space="preserve"> S</w:t>
      </w:r>
      <w:r w:rsidR="007C5787">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C054EF">
        <w:rPr>
          <w:color w:val="000000"/>
        </w:rPr>
        <w:t>is</w:t>
      </w:r>
      <w:r>
        <w:rPr>
          <w:color w:val="000000"/>
        </w:rPr>
        <w:t xml:space="preserve"> an average of </w:t>
      </w:r>
      <w:r w:rsidR="00C054EF">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Over the next three years, an average of</w:t>
      </w:r>
      <w:r w:rsidR="00C054EF">
        <w:rPr>
          <w:color w:val="000000"/>
        </w:rPr>
        <w:t xml:space="preserve"> 228</w:t>
      </w:r>
      <w:r w:rsidR="00CA4CD6">
        <w:rPr>
          <w:color w:val="000000"/>
        </w:rPr>
        <w:t xml:space="preserve"> respondents </w:t>
      </w:r>
      <w:r>
        <w:rPr>
          <w:color w:val="000000"/>
        </w:rPr>
        <w:t>per year will be subject to the</w:t>
      </w:r>
      <w:r w:rsidR="004832AF">
        <w:rPr>
          <w:color w:val="000000"/>
        </w:rPr>
        <w:t>se</w:t>
      </w:r>
      <w:r>
        <w:rPr>
          <w:color w:val="000000"/>
        </w:rPr>
        <w:t xml:space="preserve"> standard</w:t>
      </w:r>
      <w:r w:rsidR="004832AF">
        <w:rPr>
          <w:color w:val="000000"/>
        </w:rPr>
        <w:t>s</w:t>
      </w:r>
      <w:r w:rsidR="00CA4CD6">
        <w:rPr>
          <w:color w:val="000000"/>
        </w:rPr>
        <w:t xml:space="preserve">, and </w:t>
      </w:r>
      <w:r w:rsidR="00C054EF">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4832AF">
        <w:rPr>
          <w:color w:val="000000"/>
        </w:rPr>
        <w:t>se</w:t>
      </w:r>
      <w:r w:rsidR="00CA4CD6">
        <w:rPr>
          <w:color w:val="000000"/>
        </w:rPr>
        <w:t xml:space="preserve"> </w:t>
      </w:r>
      <w:r>
        <w:rPr>
          <w:color w:val="000000"/>
        </w:rPr>
        <w:t>standard</w:t>
      </w:r>
      <w:r w:rsidR="004832AF">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054EF" w:rsidRDefault="007F5049">
      <w:pPr>
        <w:pBdr>
          <w:top w:val="single" w:sz="6" w:space="0" w:color="FFFFFF"/>
          <w:left w:val="single" w:sz="6" w:space="0" w:color="FFFFFF"/>
          <w:bottom w:val="single" w:sz="6" w:space="0" w:color="FFFFFF"/>
          <w:right w:val="single" w:sz="6" w:space="0" w:color="FFFFFF"/>
        </w:pBdr>
        <w:ind w:firstLine="720"/>
      </w:pPr>
      <w:r>
        <w:t>The Office of Management and Budget (</w:t>
      </w:r>
      <w:r w:rsidR="00810D4A" w:rsidRPr="00810D4A">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C054EF">
        <w:t>All of the plywood and composite products facilities in the United States are owned and operated by the plywood and composite industry (the “Affected Public”).  None of the facilities in the United States are owned by state, local, tribal or the Federal government.  They are all privately</w:t>
      </w:r>
      <w:r w:rsidR="004832AF">
        <w:t>-</w:t>
      </w:r>
      <w:r w:rsidR="00C054EF">
        <w:t>owned</w:t>
      </w:r>
      <w:r w:rsidR="004832AF">
        <w:t>,</w:t>
      </w:r>
      <w:r w:rsidR="00C054EF">
        <w:t xml:space="preserve"> for-profit businesses.  </w:t>
      </w:r>
      <w:r w:rsidR="00810D4A" w:rsidRPr="00810D4A">
        <w:t xml:space="preserve">The </w:t>
      </w:r>
      <w:r w:rsidR="004832AF">
        <w:t>“</w:t>
      </w:r>
      <w:r w:rsidR="00810D4A" w:rsidRPr="00810D4A">
        <w:t>burden</w:t>
      </w:r>
      <w:r w:rsidR="004832AF">
        <w:t>”</w:t>
      </w:r>
      <w:r w:rsidR="00810D4A" w:rsidRPr="00810D4A">
        <w:t xml:space="preserve"> to the “Affected Public” may be found </w:t>
      </w:r>
      <w:r w:rsidR="005419BD">
        <w:t xml:space="preserve">below </w:t>
      </w:r>
      <w:r w:rsidR="00810D4A" w:rsidRPr="00810D4A">
        <w:t>in Table 1: Annual Respondent Burden and Cost –</w:t>
      </w:r>
      <w:r w:rsidR="002B29A5">
        <w:rPr>
          <w:color w:val="FF0000"/>
        </w:rPr>
        <w:t xml:space="preserve"> </w:t>
      </w:r>
      <w:r w:rsidR="00C054EF">
        <w:t xml:space="preserve">NESHAP for Plywood and Composite Products </w:t>
      </w:r>
      <w:r w:rsidR="00C054EF">
        <w:rPr>
          <w:bCs/>
        </w:rPr>
        <w:t>(40 CFR Part 63, Subpart DDDD</w:t>
      </w:r>
      <w:r w:rsidR="00C054EF">
        <w:t>) (Renewal</w:t>
      </w:r>
      <w:r w:rsidR="00817060">
        <w:t>).</w:t>
      </w:r>
      <w:r w:rsidR="00810D4A" w:rsidRPr="00810D4A">
        <w:t xml:space="preserve">  The </w:t>
      </w:r>
      <w:r w:rsidR="004832AF">
        <w:t>“</w:t>
      </w:r>
      <w:r w:rsidR="00810D4A" w:rsidRPr="00810D4A">
        <w:t>burden</w:t>
      </w:r>
      <w:r w:rsidR="004832AF">
        <w:t>”</w:t>
      </w:r>
      <w:r w:rsidR="00810D4A" w:rsidRPr="00810D4A">
        <w:t xml:space="preserve"> to the Federal Government is attributed entirely to work performed by </w:t>
      </w:r>
      <w:r w:rsidR="004832AF">
        <w:t>either F</w:t>
      </w:r>
      <w:r w:rsidR="00810D4A" w:rsidRPr="00810D4A">
        <w:t>ederal employees or government contractors and may be found</w:t>
      </w:r>
      <w:r w:rsidR="005419BD">
        <w:t xml:space="preserve"> below </w:t>
      </w:r>
      <w:r w:rsidR="00810D4A" w:rsidRPr="00810D4A">
        <w:t>in Table 2: Average Annual EPA Burden and Cost –</w:t>
      </w:r>
      <w:r w:rsidR="002B29A5">
        <w:rPr>
          <w:color w:val="FF0000"/>
        </w:rPr>
        <w:t xml:space="preserve"> </w:t>
      </w:r>
      <w:r w:rsidR="00C054EF">
        <w:t xml:space="preserve">NESHAP for Plywood and Composite Products </w:t>
      </w:r>
      <w:r w:rsidR="00C054EF">
        <w:rPr>
          <w:bCs/>
        </w:rPr>
        <w:t>(40 CFR Part 63, Subpart DDDD</w:t>
      </w:r>
      <w:r w:rsidR="00C054EF">
        <w:t>) (Renewal).</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Pr="008B4FF0" w:rsidRDefault="00CA4CD6">
      <w:pPr>
        <w:pBdr>
          <w:top w:val="single" w:sz="6" w:space="0" w:color="FFFFFF"/>
          <w:left w:val="single" w:sz="6" w:space="0" w:color="FFFFFF"/>
          <w:bottom w:val="single" w:sz="6" w:space="0" w:color="FFFFFF"/>
          <w:right w:val="single" w:sz="6" w:space="0" w:color="FFFFFF"/>
        </w:pBdr>
      </w:pPr>
    </w:p>
    <w:p w:rsidR="00CA4CD6" w:rsidRPr="008B4FF0" w:rsidRDefault="00810D4A">
      <w:pPr>
        <w:pBdr>
          <w:top w:val="single" w:sz="6" w:space="0" w:color="FFFFFF"/>
          <w:left w:val="single" w:sz="6" w:space="0" w:color="FFFFFF"/>
          <w:bottom w:val="single" w:sz="6" w:space="0" w:color="FFFFFF"/>
          <w:right w:val="single" w:sz="6" w:space="0" w:color="FFFFFF"/>
        </w:pBdr>
        <w:ind w:firstLine="720"/>
      </w:pPr>
      <w:r w:rsidRPr="00810D4A">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8B4FF0" w:rsidRDefault="00CA4CD6">
      <w:pPr>
        <w:pBdr>
          <w:top w:val="single" w:sz="6" w:space="0" w:color="FFFFFF"/>
          <w:left w:val="single" w:sz="6" w:space="0" w:color="FFFFFF"/>
          <w:bottom w:val="single" w:sz="6" w:space="0" w:color="FFFFFF"/>
          <w:right w:val="single" w:sz="6" w:space="0" w:color="FFFFFF"/>
        </w:pBdr>
      </w:pPr>
    </w:p>
    <w:p w:rsidR="00CA4CD6" w:rsidRPr="008B4FF0" w:rsidRDefault="00810D4A">
      <w:pPr>
        <w:pBdr>
          <w:top w:val="single" w:sz="6" w:space="0" w:color="FFFFFF"/>
          <w:left w:val="single" w:sz="6" w:space="0" w:color="FFFFFF"/>
          <w:bottom w:val="single" w:sz="6" w:space="0" w:color="FFFFFF"/>
          <w:right w:val="single" w:sz="6" w:space="0" w:color="FFFFFF"/>
        </w:pBdr>
        <w:ind w:left="1440" w:right="1440"/>
      </w:pPr>
      <w:r w:rsidRPr="00810D4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7156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8B4FF0">
        <w:rPr>
          <w:color w:val="000000"/>
        </w:rPr>
        <w:t xml:space="preserve"> </w:t>
      </w:r>
      <w:r w:rsidR="00810D4A" w:rsidRPr="00810D4A">
        <w:t xml:space="preserve">HAP emissions from </w:t>
      </w:r>
      <w:r w:rsidR="00817060">
        <w:t>PCWP manufacturing facilities</w:t>
      </w:r>
      <w:r w:rsidR="00810D4A" w:rsidRPr="00810D4A">
        <w:t xml:space="preserve"> </w:t>
      </w:r>
      <w:r w:rsidR="00836022">
        <w:t xml:space="preserve">which include acetaldehyde, acrolein, formaldehyde, methanol, phenol, and propionaldehyde </w:t>
      </w:r>
      <w:r w:rsidR="004832AF">
        <w:t xml:space="preserve">either </w:t>
      </w:r>
      <w:r w:rsidR="00810D4A" w:rsidRPr="00810D4A">
        <w:t xml:space="preserve">cause or contribute to air pollution that may reasonably be anticipated to endanger public health </w:t>
      </w:r>
      <w:r w:rsidR="004832AF">
        <w:t>and/</w:t>
      </w:r>
      <w:r w:rsidR="00810D4A" w:rsidRPr="00810D4A">
        <w:t>or welfare.  Therefore, the NESHAP</w:t>
      </w:r>
      <w:r w:rsidR="008B4FF0">
        <w:rPr>
          <w:color w:val="FF0000"/>
        </w:rPr>
        <w:t xml:space="preserve"> </w:t>
      </w:r>
      <w:r>
        <w:rPr>
          <w:color w:val="000000"/>
        </w:rPr>
        <w:t>were promulgated for this source category at 40 CFR part 63,</w:t>
      </w:r>
      <w:r>
        <w:rPr>
          <w:b/>
          <w:bCs/>
          <w:i/>
          <w:iCs/>
          <w:color w:val="000000"/>
        </w:rPr>
        <w:t xml:space="preserve"> </w:t>
      </w:r>
      <w:r>
        <w:rPr>
          <w:color w:val="000000"/>
        </w:rPr>
        <w:t>subpart</w:t>
      </w:r>
      <w:r w:rsidR="008B4FF0">
        <w:rPr>
          <w:color w:val="000000"/>
        </w:rPr>
        <w:t xml:space="preserve"> DDDD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4832AF">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4832AF">
        <w:rPr>
          <w:color w:val="000000"/>
        </w:rPr>
        <w:t xml:space="preserve"> </w:t>
      </w:r>
      <w:r>
        <w:rPr>
          <w:color w:val="000000"/>
        </w:rPr>
        <w:t>Continuous e</w:t>
      </w:r>
      <w:r w:rsidRPr="00872221">
        <w:t xml:space="preserve">mission monitors are used to ensure compliance with the standard at all times. </w:t>
      </w:r>
      <w:r w:rsidR="004832AF">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w:t>
      </w:r>
      <w:r w:rsidR="005B031D">
        <w:rPr>
          <w:color w:val="000000"/>
        </w:rPr>
        <w:t>is</w:t>
      </w:r>
      <w:r>
        <w:rPr>
          <w:color w:val="000000"/>
        </w:rPr>
        <w:t xml:space="preserve"> being met.  </w:t>
      </w:r>
      <w:r w:rsidR="004832AF">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810D4A" w:rsidRPr="00810D4A">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7156C">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DA10D7">
        <w:rPr>
          <w:color w:val="000000"/>
        </w:rPr>
        <w:t xml:space="preserve"> DDDD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7156C">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4832AF">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810D4A" w:rsidRPr="00810D4A">
        <w:t xml:space="preserve">78 </w:t>
      </w:r>
      <w:r w:rsidR="00810D4A" w:rsidRPr="00810D4A">
        <w:rPr>
          <w:u w:val="single"/>
        </w:rPr>
        <w:t>FR</w:t>
      </w:r>
      <w:r w:rsidR="00810D4A" w:rsidRPr="00810D4A">
        <w:t xml:space="preserve"> 33409) on June 4, 2013.  No comments were received on the burden published in the </w:t>
      </w:r>
      <w:r w:rsidR="00810D4A" w:rsidRPr="00810D4A">
        <w:rPr>
          <w:u w:val="single"/>
        </w:rPr>
        <w:t>Federal Register</w:t>
      </w:r>
      <w:r w:rsidR="00810D4A" w:rsidRPr="00810D4A">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w:t>
      </w:r>
      <w:r w:rsidRPr="00895D0F">
        <w:lastRenderedPageBreak/>
        <w:t xml:space="preserve">sources and projections of industry growth over the next three years have been considered.  </w:t>
      </w:r>
      <w:r w:rsidR="0075131B">
        <w:t xml:space="preserve">   </w:t>
      </w:r>
      <w:r w:rsidRPr="00895D0F">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 standard</w:t>
      </w:r>
      <w:r w:rsidR="0075131B">
        <w:t>s</w:t>
      </w:r>
      <w:r w:rsidRPr="00895D0F">
        <w:t xml:space="preserve"> as </w:t>
      </w:r>
      <w:r w:rsidR="0075131B">
        <w:t>they were</w:t>
      </w:r>
      <w:r w:rsidRPr="00895D0F">
        <w:t xml:space="preserve"> being developed and the standard</w:t>
      </w:r>
      <w:r w:rsidR="0075131B">
        <w:t>s</w:t>
      </w:r>
      <w:r w:rsidRPr="00895D0F">
        <w:t xml:space="preserve"> ha</w:t>
      </w:r>
      <w:r w:rsidR="0075131B">
        <w:t>ve</w:t>
      </w:r>
      <w:r w:rsidRPr="00895D0F">
        <w:t xml:space="preserve"> been reviewed </w:t>
      </w:r>
      <w:r w:rsidR="0075131B" w:rsidRPr="00895D0F">
        <w:t xml:space="preserve">previously </w:t>
      </w:r>
      <w:r w:rsidRPr="00895D0F">
        <w:t xml:space="preserve">to determine the minimum information needed for compliance purposes.  </w:t>
      </w:r>
      <w:r>
        <w:t>In developing this ICR, we contacted</w:t>
      </w:r>
      <w:r w:rsidR="00337E79">
        <w:t>:</w:t>
      </w:r>
      <w:r w:rsidR="005B031D">
        <w:t xml:space="preserve"> 1) </w:t>
      </w:r>
      <w:r>
        <w:t xml:space="preserve">the </w:t>
      </w:r>
      <w:r w:rsidR="00A309B8">
        <w:t>American Wood Preservers Association (AWP</w:t>
      </w:r>
      <w:r w:rsidR="002F02F4">
        <w:t>A</w:t>
      </w:r>
      <w:r w:rsidR="005B031D">
        <w:t xml:space="preserve">), </w:t>
      </w:r>
      <w:r w:rsidR="00A309B8">
        <w:t>at (205) 733-4077</w:t>
      </w:r>
      <w:r w:rsidR="0075131B">
        <w:t>;</w:t>
      </w:r>
      <w:r w:rsidR="00A309B8">
        <w:t xml:space="preserve"> and</w:t>
      </w:r>
      <w:r w:rsidR="00337E79">
        <w:t xml:space="preserve"> 2)</w:t>
      </w:r>
      <w:r w:rsidR="005B031D">
        <w:t xml:space="preserve"> </w:t>
      </w:r>
      <w:r w:rsidR="00E5478B">
        <w:t xml:space="preserve">the </w:t>
      </w:r>
      <w:r w:rsidR="00A309B8">
        <w:t>Hardwood Plywood and Veneer Association (HPVA)</w:t>
      </w:r>
      <w:r w:rsidR="005B031D">
        <w:t>,</w:t>
      </w:r>
      <w:r w:rsidR="00A309B8">
        <w:t xml:space="preserve"> at (703) 435-2900</w:t>
      </w:r>
      <w:r w:rsidR="00810D4A" w:rsidRPr="00810D4A">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4E3C19" w:rsidRDefault="004E3C19">
      <w:pPr>
        <w:pBdr>
          <w:top w:val="single" w:sz="6" w:space="0" w:color="FFFFFF"/>
          <w:left w:val="single" w:sz="6" w:space="0" w:color="FFFFFF"/>
          <w:bottom w:val="single" w:sz="6" w:space="0" w:color="FFFFFF"/>
          <w:right w:val="single" w:sz="6" w:space="0" w:color="FFFFFF"/>
        </w:pBdr>
        <w:rPr>
          <w:color w:val="000000"/>
        </w:rPr>
      </w:pPr>
    </w:p>
    <w:p w:rsidR="00CA4CD6" w:rsidRPr="004E3C19" w:rsidRDefault="00810D4A" w:rsidP="00630300">
      <w:pPr>
        <w:pBdr>
          <w:top w:val="single" w:sz="6" w:space="0" w:color="FFFFFF"/>
          <w:left w:val="single" w:sz="6" w:space="0" w:color="FFFFFF"/>
          <w:bottom w:val="single" w:sz="6" w:space="0" w:color="FFFFFF"/>
          <w:right w:val="single" w:sz="6" w:space="0" w:color="FFFFFF"/>
        </w:pBdr>
        <w:ind w:firstLine="720"/>
      </w:pPr>
      <w:r w:rsidRPr="00810D4A">
        <w:t>These standards require the respondents to maintain all records, including reports and notifications for at least five years.  This is consistent with the General Provisions as applied to the standards.  EPA believes that the five</w:t>
      </w:r>
      <w:r w:rsidR="0075131B">
        <w:t>-</w:t>
      </w:r>
      <w:r w:rsidRPr="00810D4A">
        <w:t xml:space="preserve">year records retention requirement is consistent </w:t>
      </w:r>
      <w:r w:rsidR="00F85C0A">
        <w:t>with</w:t>
      </w:r>
      <w:r w:rsidRPr="00810D4A">
        <w:t xml:space="preserve"> Part 70 permit program and the five</w:t>
      </w:r>
      <w:r w:rsidR="00036E84">
        <w:t>-</w:t>
      </w:r>
      <w:r w:rsidRPr="00810D4A">
        <w:t>year statute of limitations on which the permit program is based.  The retention of records for five</w:t>
      </w:r>
      <w:r w:rsidR="0075131B">
        <w:t xml:space="preserve"> </w:t>
      </w:r>
      <w:r w:rsidRPr="00810D4A">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t>
      </w:r>
      <w:r>
        <w:rPr>
          <w:color w:val="000000"/>
        </w:rPr>
        <w:lastRenderedPageBreak/>
        <w:t xml:space="preserve">will be safeguarded according to the Agency policies set forth in Title 40, chapter 1, part 2, subpart B - Confidentiality of Business Information </w:t>
      </w:r>
      <w:r w:rsidR="004629F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E5478B">
        <w:t xml:space="preserve">PCWP </w:t>
      </w:r>
      <w:r w:rsidR="00474756">
        <w:t>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6C7681">
        <w:rPr>
          <w:color w:val="000000"/>
        </w:rPr>
        <w:t xml:space="preserve">and </w:t>
      </w:r>
      <w:r w:rsidR="00E5478B">
        <w:rPr>
          <w:color w:val="000000"/>
        </w:rPr>
        <w:t xml:space="preserve">the </w:t>
      </w:r>
      <w:r w:rsidR="006C7681">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E5478B">
        <w:rPr>
          <w:color w:val="000000"/>
        </w:rPr>
        <w:t xml:space="preserve">codes </w:t>
      </w:r>
      <w:r w:rsidR="006C7681">
        <w:rPr>
          <w:color w:val="000000"/>
        </w:rPr>
        <w:t>are listed in the table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040"/>
        <w:gridCol w:w="2430"/>
        <w:gridCol w:w="1890"/>
      </w:tblGrid>
      <w:tr w:rsidR="00CA4CD6" w:rsidTr="00BB6AA4">
        <w:tc>
          <w:tcPr>
            <w:tcW w:w="504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08443B" w:rsidRDefault="00E5478B">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4E3C19">
              <w:rPr>
                <w:b/>
                <w:bCs/>
                <w:color w:val="000000"/>
              </w:rPr>
              <w:t>40 CFR Part 63, Subpart DDDD</w:t>
            </w:r>
            <w:r>
              <w:rPr>
                <w:b/>
                <w:bCs/>
                <w:color w:val="000000"/>
              </w:rPr>
              <w:t>)</w:t>
            </w:r>
          </w:p>
        </w:tc>
        <w:tc>
          <w:tcPr>
            <w:tcW w:w="243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Borders>
              <w:top w:val="single" w:sz="7" w:space="0" w:color="000000"/>
              <w:left w:val="single" w:sz="7" w:space="0" w:color="000000"/>
              <w:bottom w:val="single" w:sz="6" w:space="0" w:color="FFFFFF"/>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4E3C19" w:rsidTr="00BB6AA4">
        <w:tc>
          <w:tcPr>
            <w:tcW w:w="5040" w:type="dxa"/>
            <w:tcBorders>
              <w:top w:val="single" w:sz="7" w:space="0" w:color="000000"/>
              <w:left w:val="single" w:sz="7" w:space="0" w:color="000000"/>
              <w:bottom w:val="single" w:sz="6" w:space="0" w:color="FFFFFF"/>
              <w:right w:val="single" w:sz="6" w:space="0" w:color="FFFFFF"/>
            </w:tcBorders>
          </w:tcPr>
          <w:p w:rsidR="004E3C19" w:rsidRDefault="00181CE8" w:rsidP="00BB6AA4">
            <w:pPr>
              <w:pBdr>
                <w:top w:val="single" w:sz="6" w:space="0" w:color="FFFFFF"/>
                <w:left w:val="single" w:sz="6" w:space="0" w:color="FFFFFF"/>
                <w:bottom w:val="single" w:sz="6" w:space="0" w:color="FFFFFF"/>
                <w:right w:val="single" w:sz="6" w:space="0" w:color="FFFFFF"/>
              </w:pBdr>
              <w:rPr>
                <w:color w:val="000000"/>
              </w:rPr>
            </w:pPr>
            <w:r>
              <w:rPr>
                <w:color w:val="000000"/>
              </w:rPr>
              <w:t>All Other Miscellaneous Wood Product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rPr>
                <w:color w:val="000000"/>
              </w:rPr>
              <w:t>2421, 2429, 2499, 3131, 3999</w:t>
            </w:r>
          </w:p>
        </w:tc>
        <w:tc>
          <w:tcPr>
            <w:tcW w:w="1890" w:type="dxa"/>
            <w:tcBorders>
              <w:top w:val="single" w:sz="7" w:space="0" w:color="000000"/>
              <w:left w:val="single" w:sz="7" w:space="0" w:color="000000"/>
              <w:bottom w:val="single" w:sz="6" w:space="0" w:color="FFFFFF"/>
              <w:right w:val="single" w:sz="7" w:space="0" w:color="000000"/>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t>321999</w:t>
            </w:r>
          </w:p>
        </w:tc>
      </w:tr>
      <w:tr w:rsidR="004E3C19" w:rsidTr="00BB6AA4">
        <w:tc>
          <w:tcPr>
            <w:tcW w:w="5040" w:type="dxa"/>
            <w:tcBorders>
              <w:top w:val="single" w:sz="7" w:space="0" w:color="000000"/>
              <w:left w:val="single" w:sz="7" w:space="0" w:color="000000"/>
              <w:bottom w:val="single" w:sz="6" w:space="0" w:color="FFFFFF"/>
              <w:right w:val="single" w:sz="6" w:space="0" w:color="FFFFFF"/>
            </w:tcBorders>
          </w:tcPr>
          <w:p w:rsidR="004E3C19" w:rsidRDefault="004E3C19" w:rsidP="00BB6AA4">
            <w:pPr>
              <w:pBdr>
                <w:top w:val="single" w:sz="6" w:space="0" w:color="FFFFFF"/>
                <w:left w:val="single" w:sz="6" w:space="0" w:color="FFFFFF"/>
                <w:bottom w:val="single" w:sz="6" w:space="0" w:color="FFFFFF"/>
                <w:right w:val="single" w:sz="6" w:space="0" w:color="FFFFFF"/>
              </w:pBdr>
              <w:rPr>
                <w:color w:val="000000"/>
              </w:rPr>
            </w:pPr>
            <w:r>
              <w:rPr>
                <w:color w:val="000000"/>
              </w:rPr>
              <w:t>Hardwood Veneer and Plywood</w:t>
            </w:r>
            <w:r w:rsidR="00181CE8">
              <w:rPr>
                <w:color w:val="000000"/>
              </w:rPr>
              <w:t xml:space="preserve">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rPr>
                <w:color w:val="000000"/>
              </w:rPr>
              <w:t>2435</w:t>
            </w:r>
          </w:p>
        </w:tc>
        <w:tc>
          <w:tcPr>
            <w:tcW w:w="1890" w:type="dxa"/>
            <w:tcBorders>
              <w:top w:val="single" w:sz="7" w:space="0" w:color="000000"/>
              <w:left w:val="single" w:sz="7" w:space="0" w:color="000000"/>
              <w:bottom w:val="single" w:sz="6" w:space="0" w:color="FFFFFF"/>
              <w:right w:val="single" w:sz="7" w:space="0" w:color="000000"/>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t>321211</w:t>
            </w:r>
          </w:p>
        </w:tc>
      </w:tr>
      <w:tr w:rsidR="004E3C19" w:rsidTr="00BB6AA4">
        <w:tc>
          <w:tcPr>
            <w:tcW w:w="5040" w:type="dxa"/>
            <w:tcBorders>
              <w:top w:val="single" w:sz="7" w:space="0" w:color="000000"/>
              <w:left w:val="single" w:sz="7" w:space="0" w:color="000000"/>
              <w:bottom w:val="single" w:sz="6" w:space="0" w:color="FFFFFF"/>
              <w:right w:val="single" w:sz="6" w:space="0" w:color="FFFFFF"/>
            </w:tcBorders>
          </w:tcPr>
          <w:p w:rsidR="004E3C19" w:rsidRDefault="004E3C19" w:rsidP="00BB6AA4">
            <w:pPr>
              <w:pBdr>
                <w:top w:val="single" w:sz="6" w:space="0" w:color="FFFFFF"/>
                <w:left w:val="single" w:sz="6" w:space="0" w:color="FFFFFF"/>
                <w:bottom w:val="single" w:sz="6" w:space="0" w:color="FFFFFF"/>
                <w:right w:val="single" w:sz="6" w:space="0" w:color="FFFFFF"/>
              </w:pBdr>
              <w:rPr>
                <w:color w:val="000000"/>
              </w:rPr>
            </w:pPr>
            <w:r>
              <w:rPr>
                <w:color w:val="000000"/>
              </w:rPr>
              <w:t>Softwood Veneer and Plywood</w:t>
            </w:r>
            <w:r w:rsidR="00181CE8">
              <w:rPr>
                <w:color w:val="000000"/>
              </w:rPr>
              <w:t xml:space="preserve">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rPr>
                <w:color w:val="000000"/>
              </w:rPr>
              <w:t>2436</w:t>
            </w:r>
          </w:p>
        </w:tc>
        <w:tc>
          <w:tcPr>
            <w:tcW w:w="1890" w:type="dxa"/>
            <w:tcBorders>
              <w:top w:val="single" w:sz="7" w:space="0" w:color="000000"/>
              <w:left w:val="single" w:sz="7" w:space="0" w:color="000000"/>
              <w:bottom w:val="single" w:sz="6" w:space="0" w:color="FFFFFF"/>
              <w:right w:val="single" w:sz="7" w:space="0" w:color="000000"/>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t>321212</w:t>
            </w:r>
          </w:p>
        </w:tc>
      </w:tr>
      <w:tr w:rsidR="004E3C19" w:rsidTr="00BB6AA4">
        <w:tc>
          <w:tcPr>
            <w:tcW w:w="5040" w:type="dxa"/>
            <w:tcBorders>
              <w:top w:val="single" w:sz="7" w:space="0" w:color="000000"/>
              <w:left w:val="single" w:sz="7" w:space="0" w:color="000000"/>
              <w:bottom w:val="single" w:sz="6" w:space="0" w:color="FFFFFF"/>
              <w:right w:val="single" w:sz="6" w:space="0" w:color="FFFFFF"/>
            </w:tcBorders>
          </w:tcPr>
          <w:p w:rsidR="004E3C19" w:rsidRDefault="004E3C19" w:rsidP="00BB6AA4">
            <w:pPr>
              <w:pBdr>
                <w:top w:val="single" w:sz="6" w:space="0" w:color="FFFFFF"/>
                <w:left w:val="single" w:sz="6" w:space="0" w:color="FFFFFF"/>
                <w:bottom w:val="single" w:sz="6" w:space="0" w:color="FFFFFF"/>
                <w:right w:val="single" w:sz="6" w:space="0" w:color="FFFFFF"/>
              </w:pBdr>
              <w:rPr>
                <w:color w:val="000000"/>
              </w:rPr>
            </w:pPr>
            <w:r>
              <w:rPr>
                <w:color w:val="000000"/>
              </w:rPr>
              <w:t>Reconstituted Wood Product</w:t>
            </w:r>
            <w:r w:rsidR="00181CE8">
              <w:rPr>
                <w:color w:val="000000"/>
              </w:rPr>
              <w:t xml:space="preserve">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rPr>
                <w:color w:val="000000"/>
              </w:rPr>
              <w:t>2493</w:t>
            </w:r>
          </w:p>
        </w:tc>
        <w:tc>
          <w:tcPr>
            <w:tcW w:w="1890" w:type="dxa"/>
            <w:tcBorders>
              <w:top w:val="single" w:sz="7" w:space="0" w:color="000000"/>
              <w:left w:val="single" w:sz="7" w:space="0" w:color="000000"/>
              <w:bottom w:val="single" w:sz="6" w:space="0" w:color="FFFFFF"/>
              <w:right w:val="single" w:sz="7" w:space="0" w:color="000000"/>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t>321219</w:t>
            </w:r>
          </w:p>
        </w:tc>
      </w:tr>
      <w:tr w:rsidR="004E3C19" w:rsidTr="00BB6AA4">
        <w:tc>
          <w:tcPr>
            <w:tcW w:w="5040" w:type="dxa"/>
            <w:tcBorders>
              <w:top w:val="single" w:sz="7" w:space="0" w:color="000000"/>
              <w:left w:val="single" w:sz="7" w:space="0" w:color="000000"/>
              <w:bottom w:val="single" w:sz="7" w:space="0" w:color="000000"/>
              <w:right w:val="single" w:sz="6" w:space="0" w:color="FFFFFF"/>
            </w:tcBorders>
          </w:tcPr>
          <w:p w:rsidR="004E3C19" w:rsidRDefault="00181CE8" w:rsidP="00BB6AA4">
            <w:pPr>
              <w:pBdr>
                <w:top w:val="single" w:sz="6" w:space="0" w:color="FFFFFF"/>
                <w:left w:val="single" w:sz="6" w:space="0" w:color="FFFFFF"/>
                <w:bottom w:val="single" w:sz="6" w:space="0" w:color="FFFFFF"/>
                <w:right w:val="single" w:sz="6" w:space="0" w:color="FFFFFF"/>
              </w:pBdr>
              <w:rPr>
                <w:color w:val="000000"/>
              </w:rPr>
            </w:pPr>
            <w:r>
              <w:rPr>
                <w:color w:val="000000"/>
              </w:rPr>
              <w:t>Engineered Wood Member (except truss) Manufacturing</w:t>
            </w:r>
          </w:p>
        </w:tc>
        <w:tc>
          <w:tcPr>
            <w:tcW w:w="2430" w:type="dxa"/>
            <w:tcBorders>
              <w:top w:val="single" w:sz="7" w:space="0" w:color="000000"/>
              <w:left w:val="single" w:sz="7" w:space="0" w:color="000000"/>
              <w:bottom w:val="single" w:sz="7" w:space="0" w:color="000000"/>
              <w:right w:val="single" w:sz="6" w:space="0" w:color="FFFFFF"/>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rPr>
                <w:color w:val="000000"/>
              </w:rPr>
              <w:t>2439</w:t>
            </w:r>
          </w:p>
        </w:tc>
        <w:tc>
          <w:tcPr>
            <w:tcW w:w="1890" w:type="dxa"/>
            <w:tcBorders>
              <w:top w:val="single" w:sz="7" w:space="0" w:color="000000"/>
              <w:left w:val="single" w:sz="7" w:space="0" w:color="000000"/>
              <w:bottom w:val="single" w:sz="7" w:space="0" w:color="000000"/>
              <w:right w:val="single" w:sz="7" w:space="0" w:color="000000"/>
            </w:tcBorders>
            <w:vAlign w:val="center"/>
          </w:tcPr>
          <w:p w:rsidR="004E3C19" w:rsidRDefault="004E3C19" w:rsidP="00BB6AA4">
            <w:pPr>
              <w:pBdr>
                <w:top w:val="single" w:sz="6" w:space="0" w:color="FFFFFF"/>
                <w:left w:val="single" w:sz="6" w:space="0" w:color="FFFFFF"/>
                <w:bottom w:val="single" w:sz="6" w:space="0" w:color="FFFFFF"/>
                <w:right w:val="single" w:sz="6" w:space="0" w:color="FFFFFF"/>
              </w:pBdr>
              <w:jc w:val="center"/>
              <w:rPr>
                <w:color w:val="000000"/>
              </w:rPr>
            </w:pPr>
            <w:r>
              <w:t>321213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Pr="006C76C6" w:rsidRDefault="00CA4CD6">
      <w:pPr>
        <w:pBdr>
          <w:top w:val="single" w:sz="6" w:space="0" w:color="FFFFFF"/>
          <w:left w:val="single" w:sz="6" w:space="0" w:color="FFFFFF"/>
          <w:bottom w:val="single" w:sz="6" w:space="0" w:color="FFFFFF"/>
          <w:right w:val="single" w:sz="6" w:space="0" w:color="FFFFFF"/>
        </w:pBdr>
      </w:pPr>
    </w:p>
    <w:p w:rsidR="00CA4CD6" w:rsidRPr="006C76C6" w:rsidRDefault="00817E8B">
      <w:pPr>
        <w:pBdr>
          <w:top w:val="single" w:sz="6" w:space="0" w:color="FFFFFF"/>
          <w:left w:val="single" w:sz="6" w:space="0" w:color="FFFFFF"/>
          <w:bottom w:val="single" w:sz="6" w:space="0" w:color="FFFFFF"/>
          <w:right w:val="single" w:sz="6" w:space="0" w:color="FFFFFF"/>
        </w:pBdr>
        <w:ind w:firstLine="720"/>
      </w:pPr>
      <w:r w:rsidRPr="006C76C6">
        <w:t>I</w:t>
      </w:r>
      <w:r w:rsidR="00CA4CD6" w:rsidRPr="006C76C6">
        <w:t>n this ICR</w:t>
      </w:r>
      <w:r w:rsidRPr="006C76C6">
        <w:t>, all the data</w:t>
      </w:r>
      <w:r w:rsidR="00CA4CD6" w:rsidRPr="006C76C6">
        <w:t xml:space="preserve"> </w:t>
      </w:r>
      <w:r w:rsidRPr="006C76C6">
        <w:t xml:space="preserve">that is </w:t>
      </w:r>
      <w:r w:rsidR="00CA4CD6" w:rsidRPr="006C76C6">
        <w:t xml:space="preserve">recorded or reported </w:t>
      </w:r>
      <w:r w:rsidRPr="006C76C6">
        <w:t>is</w:t>
      </w:r>
      <w:r w:rsidR="00CA4CD6" w:rsidRPr="006C76C6">
        <w:t xml:space="preserve"> required by </w:t>
      </w:r>
      <w:r w:rsidR="00BB6AA4" w:rsidRPr="006C76C6">
        <w:t xml:space="preserve">the </w:t>
      </w:r>
      <w:r w:rsidR="00255740" w:rsidRPr="006C76C6">
        <w:t>NESHAP for Plywood and Composite Products</w:t>
      </w:r>
      <w:r w:rsidR="00CA4CD6" w:rsidRPr="006C76C6">
        <w:t xml:space="preserve"> </w:t>
      </w:r>
      <w:r w:rsidR="00810D4A" w:rsidRPr="006C76C6">
        <w:t xml:space="preserve">(40 CFR </w:t>
      </w:r>
      <w:r w:rsidR="00BB6AA4" w:rsidRPr="006C76C6">
        <w:t>P</w:t>
      </w:r>
      <w:r w:rsidR="00810D4A" w:rsidRPr="006C76C6">
        <w:t xml:space="preserve">art 63, </w:t>
      </w:r>
      <w:r w:rsidR="00BB6AA4" w:rsidRPr="006C76C6">
        <w:t>S</w:t>
      </w:r>
      <w:r w:rsidR="00810D4A" w:rsidRPr="006C76C6">
        <w:t>ubpart DDDD).</w:t>
      </w:r>
      <w:r w:rsidR="00CA4CD6" w:rsidRPr="006C76C6">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75131B" w:rsidRDefault="0075131B">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2557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55740" w:rsidRPr="00CF2B37" w:rsidTr="0008443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63.9(b)(2), 63.2280(b)</w:t>
            </w:r>
          </w:p>
        </w:tc>
      </w:tr>
      <w:tr w:rsidR="00255740" w:rsidRPr="00CF2B37" w:rsidTr="0008443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 xml:space="preserve">63.7(b)(1), </w:t>
            </w:r>
            <w:r>
              <w:lastRenderedPageBreak/>
              <w:t>63.2280(c)</w:t>
            </w:r>
          </w:p>
        </w:tc>
      </w:tr>
      <w:tr w:rsidR="00255740" w:rsidRPr="00CF2B37" w:rsidTr="0008443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lastRenderedPageBreak/>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63.9(h)(2)(ii), 63.2280(d)</w:t>
            </w:r>
          </w:p>
        </w:tc>
      </w:tr>
      <w:tr w:rsidR="00255740" w:rsidRPr="00CF2B37" w:rsidTr="0008443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Request for routine control device maintenance exemption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63.2280(e)</w:t>
            </w:r>
          </w:p>
        </w:tc>
      </w:tr>
      <w:tr w:rsidR="00255740" w:rsidRPr="00CF2B37" w:rsidTr="0008443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Emissions averaging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63.2280(f)</w:t>
            </w:r>
          </w:p>
        </w:tc>
      </w:tr>
      <w:tr w:rsidR="00255740" w:rsidRPr="00CF2B37" w:rsidTr="0008443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Notification of change of control system, processing unit in your emissions averaging plan, monitoring parameter, or value of a monitoring parameter</w:t>
            </w:r>
          </w:p>
        </w:tc>
        <w:tc>
          <w:tcPr>
            <w:tcW w:w="234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63.2280(g)</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2557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55740" w:rsidRPr="00CF2B37" w:rsidTr="0008443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Semiannual compliance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63.2281(b)</w:t>
            </w:r>
          </w:p>
        </w:tc>
      </w:tr>
      <w:tr w:rsidR="00255740" w:rsidRPr="00CF2B37" w:rsidTr="0008443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vAlign w:val="center"/>
          </w:tcPr>
          <w:p w:rsidR="00255740" w:rsidRPr="00CF2B37" w:rsidRDefault="00255740">
            <w:pPr>
              <w:pBdr>
                <w:top w:val="single" w:sz="6" w:space="0" w:color="FFFFFF"/>
                <w:left w:val="single" w:sz="6" w:space="0" w:color="FFFFFF"/>
                <w:bottom w:val="single" w:sz="6" w:space="0" w:color="FFFFFF"/>
                <w:right w:val="single" w:sz="6" w:space="0" w:color="FFFFFF"/>
              </w:pBdr>
              <w:spacing w:after="58"/>
            </w:pPr>
            <w:r>
              <w:t>63.10(d)(5)(2)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B256A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256A2" w:rsidRPr="00CF2B37" w:rsidTr="0008443B">
        <w:trPr>
          <w:jc w:val="center"/>
        </w:trPr>
        <w:tc>
          <w:tcPr>
            <w:tcW w:w="7110" w:type="dxa"/>
            <w:tcBorders>
              <w:top w:val="single" w:sz="7" w:space="0" w:color="000000"/>
              <w:left w:val="single" w:sz="7" w:space="0" w:color="000000"/>
              <w:bottom w:val="single" w:sz="7" w:space="0" w:color="000000"/>
              <w:right w:val="single" w:sz="7" w:space="0" w:color="000000"/>
            </w:tcBorders>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Documentation supporting any 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63.10(b)(2)(xiv), 63.2282(a)(1)</w:t>
            </w:r>
          </w:p>
        </w:tc>
      </w:tr>
      <w:tr w:rsidR="00B256A2" w:rsidRPr="00CF2B37" w:rsidTr="0008443B">
        <w:trPr>
          <w:jc w:val="center"/>
        </w:trPr>
        <w:tc>
          <w:tcPr>
            <w:tcW w:w="7110" w:type="dxa"/>
            <w:tcBorders>
              <w:top w:val="single" w:sz="7" w:space="0" w:color="000000"/>
              <w:left w:val="single" w:sz="7" w:space="0" w:color="000000"/>
              <w:bottom w:val="single" w:sz="7" w:space="0" w:color="000000"/>
              <w:right w:val="single" w:sz="7" w:space="0" w:color="000000"/>
            </w:tcBorders>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Startup, shutdown,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 xml:space="preserve">63.6(e)(3)(iii)-(v), 63.2282(a)(2)  </w:t>
            </w:r>
          </w:p>
        </w:tc>
      </w:tr>
      <w:tr w:rsidR="00B256A2" w:rsidRPr="00CF2B37" w:rsidTr="0008443B">
        <w:trPr>
          <w:jc w:val="center"/>
        </w:trPr>
        <w:tc>
          <w:tcPr>
            <w:tcW w:w="7110" w:type="dxa"/>
            <w:tcBorders>
              <w:top w:val="single" w:sz="7" w:space="0" w:color="000000"/>
              <w:left w:val="single" w:sz="7" w:space="0" w:color="000000"/>
              <w:bottom w:val="single" w:sz="7" w:space="0" w:color="000000"/>
              <w:right w:val="single" w:sz="7" w:space="0" w:color="000000"/>
            </w:tcBorders>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Records relating to control device maintenance and documentation of routine control device maintenance exemption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63.2282(a)(3)</w:t>
            </w:r>
          </w:p>
        </w:tc>
      </w:tr>
      <w:tr w:rsidR="00B256A2" w:rsidRPr="00CF2B37" w:rsidTr="0008443B">
        <w:trPr>
          <w:jc w:val="center"/>
        </w:trPr>
        <w:tc>
          <w:tcPr>
            <w:tcW w:w="7110" w:type="dxa"/>
            <w:tcBorders>
              <w:top w:val="single" w:sz="7" w:space="0" w:color="000000"/>
              <w:left w:val="single" w:sz="7" w:space="0" w:color="000000"/>
              <w:bottom w:val="single" w:sz="7" w:space="0" w:color="000000"/>
              <w:right w:val="single" w:sz="7" w:space="0" w:color="000000"/>
            </w:tcBorders>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Records of performance test and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63.10(b)(2)(viii), 63.2282(a)(4)</w:t>
            </w:r>
          </w:p>
        </w:tc>
      </w:tr>
      <w:tr w:rsidR="00B256A2" w:rsidRPr="00CF2B37" w:rsidTr="0008443B">
        <w:trPr>
          <w:jc w:val="center"/>
        </w:trPr>
        <w:tc>
          <w:tcPr>
            <w:tcW w:w="7110" w:type="dxa"/>
            <w:tcBorders>
              <w:top w:val="single" w:sz="7" w:space="0" w:color="000000"/>
              <w:left w:val="single" w:sz="7" w:space="0" w:color="000000"/>
              <w:bottom w:val="single" w:sz="7" w:space="0" w:color="000000"/>
              <w:right w:val="single" w:sz="7" w:space="0" w:color="000000"/>
            </w:tcBorders>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Records for each CEMS for emission limitations and records related to the work practice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B256A2" w:rsidRDefault="00B256A2" w:rsidP="00084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63.10(b)(2)(vi)-(xi),</w:t>
            </w:r>
          </w:p>
          <w:p w:rsidR="00B256A2" w:rsidRDefault="00B256A2" w:rsidP="00084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63.8(d)(3), 63.8(f)(6)(i),</w:t>
            </w:r>
          </w:p>
          <w:p w:rsidR="00B256A2" w:rsidRPr="00CF2B37" w:rsidRDefault="00B256A2">
            <w:pPr>
              <w:pBdr>
                <w:top w:val="single" w:sz="6" w:space="0" w:color="FFFFFF"/>
                <w:left w:val="single" w:sz="6" w:space="0" w:color="FFFFFF"/>
                <w:bottom w:val="single" w:sz="6" w:space="0" w:color="FFFFFF"/>
                <w:right w:val="single" w:sz="6" w:space="0" w:color="FFFFFF"/>
              </w:pBdr>
              <w:spacing w:after="58"/>
            </w:pPr>
            <w:r>
              <w:t>63.2282(b)-(c)</w:t>
            </w:r>
          </w:p>
        </w:tc>
      </w:tr>
      <w:tr w:rsidR="00B256A2" w:rsidRPr="00CF2B37" w:rsidTr="0008443B">
        <w:trPr>
          <w:jc w:val="center"/>
        </w:trPr>
        <w:tc>
          <w:tcPr>
            <w:tcW w:w="7110" w:type="dxa"/>
            <w:tcBorders>
              <w:top w:val="single" w:sz="7" w:space="0" w:color="000000"/>
              <w:left w:val="single" w:sz="7" w:space="0" w:color="000000"/>
              <w:bottom w:val="single" w:sz="7" w:space="0" w:color="000000"/>
              <w:right w:val="single" w:sz="7" w:space="0" w:color="000000"/>
            </w:tcBorders>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Records of all information required to calculate emission debits and credits</w:t>
            </w:r>
          </w:p>
        </w:tc>
        <w:tc>
          <w:tcPr>
            <w:tcW w:w="2250" w:type="dxa"/>
            <w:tcBorders>
              <w:top w:val="single" w:sz="7" w:space="0" w:color="000000"/>
              <w:left w:val="single" w:sz="7" w:space="0" w:color="000000"/>
              <w:bottom w:val="single" w:sz="7" w:space="0" w:color="000000"/>
              <w:right w:val="single" w:sz="7" w:space="0" w:color="000000"/>
            </w:tcBorders>
            <w:vAlign w:val="center"/>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63.2282(d)</w:t>
            </w:r>
          </w:p>
        </w:tc>
      </w:tr>
      <w:tr w:rsidR="00B256A2" w:rsidRPr="00CF2B37" w:rsidTr="0008443B">
        <w:trPr>
          <w:jc w:val="center"/>
        </w:trPr>
        <w:tc>
          <w:tcPr>
            <w:tcW w:w="7110" w:type="dxa"/>
            <w:tcBorders>
              <w:top w:val="single" w:sz="7" w:space="0" w:color="000000"/>
              <w:left w:val="single" w:sz="7" w:space="0" w:color="000000"/>
              <w:bottom w:val="single" w:sz="7" w:space="0" w:color="000000"/>
              <w:right w:val="single" w:sz="7" w:space="0" w:color="000000"/>
            </w:tcBorders>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Maintain records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B256A2" w:rsidRPr="00CF2B37" w:rsidRDefault="00B256A2">
            <w:pPr>
              <w:pBdr>
                <w:top w:val="single" w:sz="6" w:space="0" w:color="FFFFFF"/>
                <w:left w:val="single" w:sz="6" w:space="0" w:color="FFFFFF"/>
                <w:bottom w:val="single" w:sz="6" w:space="0" w:color="FFFFFF"/>
                <w:right w:val="single" w:sz="6" w:space="0" w:color="FFFFFF"/>
              </w:pBdr>
              <w:spacing w:after="58"/>
            </w:pPr>
            <w:r>
              <w:t>63.10(b)(1), 63.2283(d)</w:t>
            </w:r>
          </w:p>
        </w:tc>
      </w:tr>
    </w:tbl>
    <w:p w:rsidR="00091066" w:rsidRDefault="00091066" w:rsidP="00504745">
      <w:pPr>
        <w:pBdr>
          <w:top w:val="single" w:sz="6" w:space="0" w:color="FFFFFF"/>
          <w:left w:val="single" w:sz="6" w:space="0" w:color="FFFFFF"/>
          <w:bottom w:val="single" w:sz="6" w:space="0" w:color="FFFFFF"/>
          <w:right w:val="single" w:sz="6" w:space="0" w:color="FFFFFF"/>
        </w:pBdr>
        <w:outlineLvl w:val="0"/>
        <w:rPr>
          <w:color w:val="000000"/>
          <w:u w:val="single"/>
        </w:rPr>
      </w:pPr>
    </w:p>
    <w:p w:rsidR="00091066" w:rsidRDefault="00091066" w:rsidP="00504745">
      <w:pPr>
        <w:pBdr>
          <w:top w:val="single" w:sz="6" w:space="0" w:color="FFFFFF"/>
          <w:left w:val="single" w:sz="6" w:space="0" w:color="FFFFFF"/>
          <w:bottom w:val="single" w:sz="6" w:space="0" w:color="FFFFFF"/>
          <w:right w:val="single" w:sz="6" w:space="0" w:color="FFFFFF"/>
        </w:pBdr>
        <w:outlineLvl w:val="0"/>
        <w:rPr>
          <w:color w:val="000000"/>
          <w:u w:val="single"/>
        </w:rPr>
      </w:pPr>
    </w:p>
    <w:p w:rsidR="00091066" w:rsidRDefault="00091066" w:rsidP="00504745">
      <w:pPr>
        <w:pBdr>
          <w:top w:val="single" w:sz="6" w:space="0" w:color="FFFFFF"/>
          <w:left w:val="single" w:sz="6" w:space="0" w:color="FFFFFF"/>
          <w:bottom w:val="single" w:sz="6" w:space="0" w:color="FFFFFF"/>
          <w:right w:val="single" w:sz="6" w:space="0" w:color="FFFFFF"/>
        </w:pBdr>
        <w:outlineLvl w:val="0"/>
        <w:rPr>
          <w:color w:val="000000"/>
          <w:u w:val="single"/>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810D4A" w:rsidRPr="00810D4A">
        <w:t>20</w:t>
      </w:r>
      <w:r w:rsidRPr="00CF2B37">
        <w:rPr>
          <w:color w:val="FF0000"/>
        </w:rPr>
        <w:t xml:space="preserve">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08443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w:t>
            </w:r>
            <w:r w:rsidR="00810D4A" w:rsidRPr="00810D4A">
              <w:t xml:space="preserve">ate CMS for opacity, or for pressure drop and liquid supply pressure for control device.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B256A2">
              <w:t>Reference Methods 308, 316, 320 test</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521820">
        <w:t>(</w:t>
      </w:r>
      <w:r w:rsidRPr="00D54037">
        <w:t>e.g., continuous parameter monitoring system</w:t>
      </w:r>
      <w:r w:rsidR="00521820">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89515E">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10D4A" w:rsidRDefault="00CA4CD6" w:rsidP="00810D4A">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08443B">
        <w:rPr>
          <w:color w:val="000000"/>
        </w:rPr>
        <w:t xml:space="preserve">  </w:t>
      </w:r>
      <w:r>
        <w:rPr>
          <w:color w:val="000000"/>
        </w:rPr>
        <w:t xml:space="preserve">Due to technical considerations involving the process operations and the types of control equipment employed, the recordkeeping and reporting requirements are </w:t>
      </w:r>
      <w:r>
        <w:rPr>
          <w:color w:val="000000"/>
        </w:rPr>
        <w:lastRenderedPageBreak/>
        <w:t xml:space="preserve">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75131B">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8443B">
        <w:t xml:space="preserve">NESHAP for </w:t>
      </w:r>
      <w:r w:rsidR="0008443B">
        <w:rPr>
          <w:bCs/>
        </w:rPr>
        <w:t>Plywood and Composite Products (40 CFR Part 63, Subpart DDDDD)</w:t>
      </w:r>
      <w:r w:rsidR="0008443B">
        <w:t xml:space="preserve">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9E515F">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86D9C">
        <w:rPr>
          <w:color w:val="000000"/>
        </w:rPr>
        <w:t>11,687</w:t>
      </w:r>
      <w:r w:rsidR="005B031D">
        <w:rPr>
          <w:color w:val="000000"/>
        </w:rPr>
        <w:t xml:space="preserve"> hours </w:t>
      </w:r>
      <w:r w:rsidR="004C701D">
        <w:rPr>
          <w:color w:val="000000"/>
        </w:rPr>
        <w:t>(</w:t>
      </w:r>
      <w:r>
        <w:rPr>
          <w:color w:val="000000"/>
        </w:rPr>
        <w:t>Total Labor Hours from Table 1</w:t>
      </w:r>
      <w:r w:rsidR="004E5B42">
        <w:rPr>
          <w:color w:val="000000"/>
        </w:rPr>
        <w:t xml:space="preserve"> </w:t>
      </w:r>
      <w:r w:rsidR="0075131B">
        <w:rPr>
          <w:color w:val="000000"/>
        </w:rPr>
        <w:t xml:space="preserve">shown </w:t>
      </w:r>
      <w:r w:rsidR="004E5B42">
        <w:rPr>
          <w:color w:val="000000"/>
        </w:rPr>
        <w:t>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810D4A" w:rsidRPr="00810D4A">
        <w:t>NESHAP p</w:t>
      </w:r>
      <w:r>
        <w:rPr>
          <w:color w:val="000000"/>
        </w:rPr>
        <w:t>rogram, the previously</w:t>
      </w:r>
      <w:r w:rsidR="0075131B">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E72D70">
        <w:rPr>
          <w:color w:val="000000"/>
        </w:rPr>
        <w:t>2</w:t>
      </w:r>
      <w:r w:rsidR="004F6FCD">
        <w:rPr>
          <w:color w:val="000000"/>
        </w:rPr>
        <w:t>.</w:t>
      </w:r>
      <w:r w:rsidR="00861489">
        <w:rPr>
          <w:color w:val="000000"/>
        </w:rPr>
        <w:t>4</w:t>
      </w:r>
      <w:r w:rsidR="00E72D70">
        <w:rPr>
          <w:color w:val="000000"/>
        </w:rPr>
        <w:t>9</w:t>
      </w:r>
      <w:r>
        <w:rPr>
          <w:color w:val="000000"/>
        </w:rPr>
        <w:t xml:space="preserve"> ($5</w:t>
      </w:r>
      <w:r w:rsidR="00E72D70">
        <w:rPr>
          <w:color w:val="000000"/>
        </w:rPr>
        <w:t>8</w:t>
      </w:r>
      <w:r w:rsidR="004F6FCD">
        <w:rPr>
          <w:color w:val="000000"/>
        </w:rPr>
        <w:t>.</w:t>
      </w:r>
      <w:r w:rsidR="00E72D70">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E72D70">
        <w:rPr>
          <w:color w:val="000000"/>
        </w:rPr>
        <w:t>8</w:t>
      </w:r>
      <w:r>
        <w:rPr>
          <w:color w:val="000000"/>
        </w:rPr>
        <w:t xml:space="preserve"> ($4</w:t>
      </w:r>
      <w:r w:rsidR="00E72D70">
        <w:rPr>
          <w:color w:val="000000"/>
        </w:rPr>
        <w:t>8</w:t>
      </w:r>
      <w:r>
        <w:rPr>
          <w:color w:val="000000"/>
        </w:rPr>
        <w:t>.</w:t>
      </w:r>
      <w:r w:rsidR="00E72D70">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E72D70">
        <w:rPr>
          <w:color w:val="000000"/>
        </w:rPr>
        <w:t>80</w:t>
      </w:r>
      <w:r>
        <w:rPr>
          <w:color w:val="000000"/>
        </w:rPr>
        <w:t xml:space="preserve"> ($2</w:t>
      </w:r>
      <w:r w:rsidR="00102B52">
        <w:rPr>
          <w:color w:val="000000"/>
        </w:rPr>
        <w:t>4</w:t>
      </w:r>
      <w:r>
        <w:rPr>
          <w:color w:val="000000"/>
        </w:rPr>
        <w:t>.</w:t>
      </w:r>
      <w:r w:rsidR="00E72D70">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72D70">
        <w:rPr>
          <w:color w:val="000000"/>
        </w:rPr>
        <w:t>September</w:t>
      </w:r>
      <w:r w:rsidR="00102B52">
        <w:rPr>
          <w:color w:val="000000"/>
        </w:rPr>
        <w:t xml:space="preserve">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Estimating Capital/Startup and Operation and Maintenance Costs</w:t>
      </w:r>
    </w:p>
    <w:p w:rsidR="0075131B" w:rsidRDefault="0075131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B92A97">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AA19DF">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AA19DF">
        <w:tc>
          <w:tcPr>
            <w:tcW w:w="11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AA19DF" w:rsidTr="00AA19DF">
        <w:tc>
          <w:tcPr>
            <w:tcW w:w="1170" w:type="dxa"/>
            <w:tcBorders>
              <w:top w:val="single" w:sz="8" w:space="0" w:color="000000"/>
              <w:left w:val="single" w:sz="8" w:space="0" w:color="000000"/>
              <w:bottom w:val="single" w:sz="8" w:space="0" w:color="000000"/>
              <w:right w:val="single" w:sz="8" w:space="0" w:color="000000"/>
            </w:tcBorders>
          </w:tcPr>
          <w:p w:rsidR="00AA19DF" w:rsidRDefault="00AA19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Continuous monitoring system</w:t>
            </w:r>
          </w:p>
        </w:tc>
        <w:tc>
          <w:tcPr>
            <w:tcW w:w="1440" w:type="dxa"/>
            <w:tcBorders>
              <w:top w:val="single" w:sz="8" w:space="0" w:color="000000"/>
              <w:left w:val="single" w:sz="8" w:space="0" w:color="000000"/>
              <w:bottom w:val="single" w:sz="8" w:space="0" w:color="000000"/>
              <w:right w:val="single" w:sz="8" w:space="0" w:color="000000"/>
            </w:tcBorders>
            <w:vAlign w:val="center"/>
          </w:tcPr>
          <w:p w:rsidR="00AA19DF" w:rsidRDefault="00AA19DF"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$1,880</w:t>
            </w:r>
          </w:p>
        </w:tc>
        <w:tc>
          <w:tcPr>
            <w:tcW w:w="1350" w:type="dxa"/>
            <w:tcBorders>
              <w:top w:val="single" w:sz="8" w:space="0" w:color="000000"/>
              <w:left w:val="single" w:sz="8" w:space="0" w:color="000000"/>
              <w:bottom w:val="single" w:sz="8" w:space="0" w:color="000000"/>
              <w:right w:val="single" w:sz="8" w:space="0" w:color="000000"/>
            </w:tcBorders>
            <w:vAlign w:val="center"/>
          </w:tcPr>
          <w:p w:rsidR="00AA19DF" w:rsidRDefault="00AA19DF"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AA19DF" w:rsidRDefault="00AA19DF"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AA19DF" w:rsidRDefault="00AA19DF"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$70</w:t>
            </w:r>
          </w:p>
        </w:tc>
        <w:tc>
          <w:tcPr>
            <w:tcW w:w="1260" w:type="dxa"/>
            <w:tcBorders>
              <w:top w:val="single" w:sz="8" w:space="0" w:color="000000"/>
              <w:left w:val="single" w:sz="8" w:space="0" w:color="000000"/>
              <w:bottom w:val="single" w:sz="8" w:space="0" w:color="000000"/>
              <w:right w:val="single" w:sz="8" w:space="0" w:color="000000"/>
            </w:tcBorders>
            <w:vAlign w:val="center"/>
          </w:tcPr>
          <w:p w:rsidR="00AA19DF" w:rsidRDefault="00AA19DF"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228</w:t>
            </w:r>
          </w:p>
        </w:tc>
        <w:tc>
          <w:tcPr>
            <w:tcW w:w="1350" w:type="dxa"/>
            <w:tcBorders>
              <w:top w:val="single" w:sz="8" w:space="0" w:color="000000"/>
              <w:left w:val="single" w:sz="8" w:space="0" w:color="000000"/>
              <w:bottom w:val="single" w:sz="8" w:space="0" w:color="000000"/>
              <w:right w:val="single" w:sz="8" w:space="0" w:color="000000"/>
            </w:tcBorders>
            <w:vAlign w:val="center"/>
          </w:tcPr>
          <w:p w:rsidR="00AA19DF" w:rsidRDefault="00AA19DF"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$15,960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86D9C">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886D9C">
        <w:rPr>
          <w:color w:val="000000"/>
        </w:rPr>
        <w:t xml:space="preserve">$15,960.  </w:t>
      </w:r>
      <w:r w:rsidR="00507EC5">
        <w:rPr>
          <w:color w:val="000000"/>
        </w:rPr>
        <w:t xml:space="preserve">This is </w:t>
      </w:r>
      <w:r w:rsidR="004E7C27">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810D4A" w:rsidRDefault="00CA4CD6" w:rsidP="00810D4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4E7C27">
        <w:rPr>
          <w:color w:val="000000"/>
        </w:rPr>
        <w:t xml:space="preserve">            </w:t>
      </w:r>
      <w:r>
        <w:rPr>
          <w:color w:val="000000"/>
        </w:rPr>
        <w:t>to industry over the next three years of the ICR is estimated to be $</w:t>
      </w:r>
      <w:r w:rsidR="00886D9C">
        <w:rPr>
          <w:color w:val="000000"/>
        </w:rPr>
        <w:t>15,960</w:t>
      </w:r>
      <w:r>
        <w:rPr>
          <w:color w:val="000000"/>
        </w:rPr>
        <w:t>.</w:t>
      </w:r>
      <w:r w:rsidR="001C5991">
        <w:rPr>
          <w:color w:val="000000"/>
        </w:rPr>
        <w:t xml:space="preserve">  These are recordkeeping costs</w:t>
      </w:r>
      <w:r w:rsidR="00AA19D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309B8">
        <w:rPr>
          <w:color w:val="000000"/>
        </w:rPr>
        <w:t>35,552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36394B">
        <w:t xml:space="preserve">NESHAP for </w:t>
      </w:r>
      <w:r w:rsidR="0036394B">
        <w:rPr>
          <w:bCs/>
        </w:rPr>
        <w:t>Plywood and Composite Products (40 CFR Part 63, Subpart DDDD)</w:t>
      </w:r>
      <w:r w:rsidR="0036394B">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6394B">
        <w:rPr>
          <w:color w:val="000000"/>
        </w:rPr>
        <w:t xml:space="preserve">228 </w:t>
      </w:r>
      <w:r>
        <w:rPr>
          <w:color w:val="000000"/>
        </w:rPr>
        <w:t xml:space="preserve">existing respondents will be subject to the standard.  It is estimated that </w:t>
      </w:r>
      <w:r w:rsidR="0036394B">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A53FFD">
        <w:rPr>
          <w:color w:val="000000"/>
        </w:rPr>
        <w:t xml:space="preserve">228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A53FFD">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A309B8">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A309B8">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1202D5">
            <w:pPr>
              <w:spacing w:line="120" w:lineRule="exact"/>
              <w:jc w:val="center"/>
              <w:rPr>
                <w:color w:val="000000"/>
                <w:sz w:val="20"/>
                <w:szCs w:val="20"/>
              </w:rPr>
            </w:pPr>
          </w:p>
          <w:p w:rsidR="00CA4CD6" w:rsidRDefault="00CA4CD6" w:rsidP="00120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1202D5">
            <w:pPr>
              <w:spacing w:line="120" w:lineRule="exact"/>
              <w:jc w:val="center"/>
              <w:rPr>
                <w:color w:val="000000"/>
                <w:sz w:val="20"/>
                <w:szCs w:val="20"/>
              </w:rPr>
            </w:pPr>
          </w:p>
          <w:p w:rsidR="00CA4CD6" w:rsidRDefault="00CA4CD6" w:rsidP="00120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1202D5">
            <w:pPr>
              <w:spacing w:line="120" w:lineRule="exact"/>
              <w:jc w:val="center"/>
              <w:rPr>
                <w:color w:val="000000"/>
                <w:sz w:val="20"/>
                <w:szCs w:val="20"/>
              </w:rPr>
            </w:pPr>
          </w:p>
          <w:p w:rsidR="00CA4CD6" w:rsidRDefault="00CA4CD6" w:rsidP="00120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Default="00CA4CD6" w:rsidP="001202D5">
            <w:pPr>
              <w:spacing w:line="120" w:lineRule="exact"/>
              <w:jc w:val="center"/>
              <w:rPr>
                <w:color w:val="000000"/>
                <w:sz w:val="20"/>
                <w:szCs w:val="20"/>
              </w:rPr>
            </w:pPr>
          </w:p>
          <w:p w:rsidR="00CA4CD6" w:rsidRDefault="00CA4CD6" w:rsidP="00120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rsidP="001202D5">
            <w:pPr>
              <w:spacing w:line="120" w:lineRule="exact"/>
              <w:jc w:val="center"/>
              <w:rPr>
                <w:color w:val="000000"/>
                <w:sz w:val="20"/>
                <w:szCs w:val="20"/>
              </w:rPr>
            </w:pPr>
          </w:p>
          <w:p w:rsidR="00CA4CD6" w:rsidRDefault="00CA4CD6" w:rsidP="00120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120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1202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A53FFD" w:rsidTr="00A309B8">
        <w:tc>
          <w:tcPr>
            <w:tcW w:w="900" w:type="dxa"/>
            <w:tcBorders>
              <w:top w:val="single" w:sz="8" w:space="0" w:color="000000"/>
              <w:left w:val="single" w:sz="8" w:space="0" w:color="000000"/>
              <w:bottom w:val="single" w:sz="6" w:space="0" w:color="000000"/>
              <w:right w:val="single" w:sz="6" w:space="0" w:color="000000"/>
            </w:tcBorders>
          </w:tcPr>
          <w:p w:rsidR="00A53FFD" w:rsidRDefault="00A53FFD">
            <w:pPr>
              <w:spacing w:line="120" w:lineRule="exact"/>
              <w:rPr>
                <w:color w:val="000000"/>
                <w:sz w:val="20"/>
                <w:szCs w:val="20"/>
              </w:rPr>
            </w:pPr>
          </w:p>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228</w:t>
            </w:r>
          </w:p>
        </w:tc>
        <w:tc>
          <w:tcPr>
            <w:tcW w:w="2070" w:type="dxa"/>
            <w:tcBorders>
              <w:top w:val="single" w:sz="8"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228</w:t>
            </w:r>
          </w:p>
        </w:tc>
      </w:tr>
      <w:tr w:rsidR="00A53FFD" w:rsidTr="00A309B8">
        <w:tc>
          <w:tcPr>
            <w:tcW w:w="900" w:type="dxa"/>
            <w:tcBorders>
              <w:top w:val="single" w:sz="6" w:space="0" w:color="000000"/>
              <w:left w:val="single" w:sz="8" w:space="0" w:color="000000"/>
              <w:bottom w:val="single" w:sz="6" w:space="0" w:color="000000"/>
              <w:right w:val="single" w:sz="6" w:space="0" w:color="000000"/>
            </w:tcBorders>
          </w:tcPr>
          <w:p w:rsidR="00A53FFD" w:rsidRDefault="00A53FFD">
            <w:pPr>
              <w:spacing w:line="120" w:lineRule="exact"/>
              <w:rPr>
                <w:color w:val="000000"/>
                <w:sz w:val="18"/>
                <w:szCs w:val="18"/>
              </w:rPr>
            </w:pPr>
          </w:p>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228</w:t>
            </w:r>
          </w:p>
        </w:tc>
        <w:tc>
          <w:tcPr>
            <w:tcW w:w="2070"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228</w:t>
            </w:r>
          </w:p>
        </w:tc>
      </w:tr>
      <w:tr w:rsidR="00A53FFD" w:rsidTr="00A309B8">
        <w:tc>
          <w:tcPr>
            <w:tcW w:w="900" w:type="dxa"/>
            <w:tcBorders>
              <w:top w:val="single" w:sz="6" w:space="0" w:color="000000"/>
              <w:left w:val="single" w:sz="8" w:space="0" w:color="000000"/>
              <w:bottom w:val="single" w:sz="6" w:space="0" w:color="000000"/>
              <w:right w:val="single" w:sz="6" w:space="0" w:color="000000"/>
            </w:tcBorders>
          </w:tcPr>
          <w:p w:rsidR="00A53FFD" w:rsidRDefault="00A53FFD">
            <w:pPr>
              <w:spacing w:line="120" w:lineRule="exact"/>
              <w:rPr>
                <w:color w:val="000000"/>
                <w:sz w:val="18"/>
                <w:szCs w:val="18"/>
              </w:rPr>
            </w:pPr>
          </w:p>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228</w:t>
            </w:r>
          </w:p>
        </w:tc>
        <w:tc>
          <w:tcPr>
            <w:tcW w:w="2070"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228</w:t>
            </w:r>
          </w:p>
        </w:tc>
      </w:tr>
      <w:tr w:rsidR="00A53FFD" w:rsidTr="00A309B8">
        <w:tc>
          <w:tcPr>
            <w:tcW w:w="900" w:type="dxa"/>
            <w:tcBorders>
              <w:top w:val="single" w:sz="6" w:space="0" w:color="000000"/>
              <w:left w:val="single" w:sz="8" w:space="0" w:color="000000"/>
              <w:bottom w:val="single" w:sz="8" w:space="0" w:color="000000"/>
              <w:right w:val="single" w:sz="6" w:space="0" w:color="000000"/>
            </w:tcBorders>
          </w:tcPr>
          <w:p w:rsidR="00A53FFD" w:rsidRDefault="00A53FFD">
            <w:pPr>
              <w:spacing w:line="120" w:lineRule="exact"/>
              <w:rPr>
                <w:color w:val="000000"/>
                <w:sz w:val="18"/>
                <w:szCs w:val="18"/>
              </w:rPr>
            </w:pPr>
          </w:p>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228</w:t>
            </w:r>
          </w:p>
        </w:tc>
        <w:tc>
          <w:tcPr>
            <w:tcW w:w="2070" w:type="dxa"/>
            <w:tcBorders>
              <w:top w:val="single" w:sz="6" w:space="0" w:color="000000"/>
              <w:left w:val="single" w:sz="6" w:space="0" w:color="000000"/>
              <w:bottom w:val="single" w:sz="8"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A53FFD" w:rsidRDefault="00A53F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228</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A53FFD">
        <w:rPr>
          <w:color w:val="000000"/>
        </w:rPr>
        <w:t xml:space="preserve"> 228</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A53FFD">
        <w:trPr>
          <w:tblHeader/>
        </w:trPr>
        <w:tc>
          <w:tcPr>
            <w:tcW w:w="9180" w:type="dxa"/>
            <w:gridSpan w:val="5"/>
          </w:tcPr>
          <w:p w:rsidR="00CA4CD6" w:rsidRDefault="00CA4CD6" w:rsidP="001202D5">
            <w:pPr>
              <w:keepNext/>
              <w:keepLines/>
              <w:spacing w:line="120" w:lineRule="exact"/>
              <w:rPr>
                <w:color w:val="000000"/>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1202D5">
            <w:pPr>
              <w:keepNext/>
              <w:keepLines/>
              <w:spacing w:line="120" w:lineRule="exact"/>
              <w:jc w:val="center"/>
              <w:rPr>
                <w:b/>
                <w:bCs/>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1202D5">
            <w:pPr>
              <w:keepNext/>
              <w:keepLines/>
              <w:spacing w:line="120" w:lineRule="exact"/>
              <w:jc w:val="center"/>
              <w:rPr>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1202D5">
            <w:pPr>
              <w:keepNext/>
              <w:keepLines/>
              <w:spacing w:line="120" w:lineRule="exact"/>
              <w:jc w:val="center"/>
              <w:rPr>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1202D5">
            <w:pPr>
              <w:keepNext/>
              <w:keepLines/>
              <w:spacing w:line="120" w:lineRule="exact"/>
              <w:jc w:val="center"/>
              <w:rPr>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1202D5">
            <w:pPr>
              <w:keepNext/>
              <w:keepLines/>
              <w:spacing w:line="120" w:lineRule="exact"/>
              <w:jc w:val="center"/>
              <w:rPr>
                <w:color w:val="000000"/>
                <w:sz w:val="18"/>
                <w:szCs w:val="18"/>
              </w:rPr>
            </w:pP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1202D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construction/reconstruction</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anticipated startup</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applicability of standard</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Emissions averaging plan</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Request for routing control system maintenance exemption</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initial performance test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compliance status with performance test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compliance status without performance test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compliance report with no deviations</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compliance report with deviations</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compliance startup, shutdown, malfunction report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compliance emissions averaging report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 with no deviations</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205</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410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 with deviations</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23</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46</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startup, shutdown, malfunction report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23</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46</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control system maintenance report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23</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46</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emissions averaging report</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A53FFD" w:rsidTr="00A53FFD">
        <w:tc>
          <w:tcPr>
            <w:tcW w:w="270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Total Number of Annual Responses</w:t>
            </w:r>
          </w:p>
        </w:tc>
        <w:tc>
          <w:tcPr>
            <w:tcW w:w="1260" w:type="dxa"/>
            <w:vAlign w:val="center"/>
          </w:tcPr>
          <w:p w:rsidR="00810D4A" w:rsidRDefault="00810D4A"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810D4A" w:rsidRDefault="00810D4A"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2070" w:type="dxa"/>
            <w:vAlign w:val="center"/>
          </w:tcPr>
          <w:p w:rsidR="00810D4A" w:rsidRDefault="00A53FFD" w:rsidP="001202D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548</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number of Total Annual Responses is </w:t>
      </w:r>
      <w:r w:rsidR="00A53FFD">
        <w:rPr>
          <w:color w:val="000000"/>
        </w:rPr>
        <w:t>548</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A309B8">
        <w:rPr>
          <w:color w:val="000000"/>
        </w:rPr>
        <w:t>$1,143,152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53FFD">
        <w:t xml:space="preserve">NESHAP for </w:t>
      </w:r>
      <w:r w:rsidR="00A53FFD">
        <w:rPr>
          <w:bCs/>
        </w:rPr>
        <w:t>Plywood and Composite Products (40 CFR Part 63, Subpart DDDD)</w:t>
      </w:r>
      <w:r w:rsidR="00A53FFD">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309B8">
        <w:rPr>
          <w:color w:val="000000"/>
        </w:rPr>
        <w:t>11,687</w:t>
      </w:r>
      <w:r w:rsidR="005B031D">
        <w:rPr>
          <w:color w:val="000000"/>
        </w:rPr>
        <w:t xml:space="preserve"> </w:t>
      </w:r>
      <w:r w:rsidR="00E6200A">
        <w:rPr>
          <w:color w:val="000000"/>
        </w:rPr>
        <w:t xml:space="preserve">hours </w:t>
      </w:r>
      <w:r w:rsidR="005B031D">
        <w:rPr>
          <w:color w:val="000000"/>
        </w:rPr>
        <w:t>at a cost of</w:t>
      </w:r>
      <w:r w:rsidR="009C05DC">
        <w:rPr>
          <w:color w:val="000000"/>
        </w:rPr>
        <w:t xml:space="preserve"> $1,143,152</w:t>
      </w:r>
      <w:r w:rsidR="00BA5F23">
        <w:rPr>
          <w:color w:val="000000"/>
        </w:rPr>
        <w:t xml:space="preserve">.  </w:t>
      </w:r>
      <w:r>
        <w:rPr>
          <w:color w:val="000000"/>
        </w:rPr>
        <w:t>Details regarding these estimates may be found</w:t>
      </w:r>
      <w:r w:rsidR="009C05DC">
        <w:rPr>
          <w:color w:val="000000"/>
        </w:rPr>
        <w:t xml:space="preserve"> below</w:t>
      </w:r>
      <w:r>
        <w:rPr>
          <w:color w:val="000000"/>
        </w:rPr>
        <w:t xml:space="preserve"> in Table 1</w:t>
      </w:r>
      <w:r w:rsidR="00E6200A">
        <w:rPr>
          <w:color w:val="000000"/>
        </w:rPr>
        <w:t>:</w:t>
      </w:r>
      <w:r>
        <w:rPr>
          <w:color w:val="000000"/>
        </w:rPr>
        <w:t xml:space="preserve">  Annual Respondent Burden and Cost</w:t>
      </w:r>
      <w:r w:rsidR="00CF2B37">
        <w:rPr>
          <w:color w:val="000000"/>
        </w:rPr>
        <w:t xml:space="preserve"> – </w:t>
      </w:r>
      <w:r w:rsidR="00A53FFD">
        <w:t xml:space="preserve">NESHAP for </w:t>
      </w:r>
      <w:r w:rsidR="00A53FFD">
        <w:rPr>
          <w:bCs/>
        </w:rPr>
        <w:t xml:space="preserve">Plywood and Composite </w:t>
      </w:r>
      <w:r w:rsidR="000E46A1">
        <w:rPr>
          <w:bCs/>
        </w:rPr>
        <w:t xml:space="preserve"> </w:t>
      </w:r>
      <w:r w:rsidR="00A53FFD">
        <w:rPr>
          <w:bCs/>
        </w:rPr>
        <w:t>Products (40 CFR Part 63, Subpart DDDD)</w:t>
      </w:r>
      <w:r w:rsidR="00A53FFD">
        <w:t xml:space="preserve"> (Renewal)</w:t>
      </w:r>
      <w:r w:rsidR="00A53FFD">
        <w:rPr>
          <w:color w:val="000000"/>
        </w:rPr>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A03ADD">
        <w:rPr>
          <w:color w:val="000000"/>
        </w:rPr>
        <w:t>21</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E16154">
        <w:rPr>
          <w:color w:val="000000"/>
        </w:rPr>
        <w:t xml:space="preserve"> $0.  The</w:t>
      </w:r>
      <w:r w:rsidR="00507EC5">
        <w:rPr>
          <w:color w:val="000000"/>
        </w:rPr>
        <w:t xml:space="preserve"> </w:t>
      </w:r>
      <w:r w:rsidR="00E16154">
        <w:rPr>
          <w:color w:val="000000"/>
        </w:rPr>
        <w:t>total Operation and Maintenance (O&amp;M) costs to the regulated entity</w:t>
      </w:r>
      <w:r w:rsidR="000E46A1">
        <w:rPr>
          <w:color w:val="000000"/>
        </w:rPr>
        <w:t xml:space="preserve"> </w:t>
      </w:r>
      <w:r w:rsidR="00E16154">
        <w:rPr>
          <w:color w:val="000000"/>
        </w:rPr>
        <w:t xml:space="preserve">are $15,960.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E16154">
        <w:rPr>
          <w:color w:val="000000"/>
        </w:rPr>
        <w:t xml:space="preserve">capital/startup costs for this </w:t>
      </w:r>
      <w:r>
        <w:rPr>
          <w:color w:val="000000"/>
        </w:rPr>
        <w:t xml:space="preserve">Agency burden and cost over next three years is estimated to be </w:t>
      </w:r>
      <w:r w:rsidR="00A309B8">
        <w:rPr>
          <w:color w:val="000000"/>
        </w:rPr>
        <w:t>789</w:t>
      </w:r>
      <w:r>
        <w:rPr>
          <w:color w:val="000000"/>
        </w:rPr>
        <w:t xml:space="preserve"> labor hours at a cost of </w:t>
      </w:r>
      <w:r w:rsidR="00A309B8">
        <w:rPr>
          <w:color w:val="000000"/>
        </w:rPr>
        <w:t>$35,552</w:t>
      </w:r>
      <w:r w:rsidR="00144F35">
        <w:rPr>
          <w:color w:val="000000"/>
        </w:rPr>
        <w:t xml:space="preserve">.  See </w:t>
      </w:r>
      <w:r w:rsidR="009C05DC">
        <w:rPr>
          <w:color w:val="000000"/>
        </w:rPr>
        <w:t xml:space="preserve">below </w:t>
      </w:r>
      <w:r w:rsidR="00144F35">
        <w:rPr>
          <w:color w:val="000000"/>
        </w:rPr>
        <w:t>Table 2:</w:t>
      </w:r>
      <w:r w:rsidR="009C05DC">
        <w:rPr>
          <w:color w:val="000000"/>
        </w:rPr>
        <w:t xml:space="preserve"> </w:t>
      </w:r>
      <w:r w:rsidR="00144F35">
        <w:rPr>
          <w:color w:val="000000"/>
        </w:rPr>
        <w:t xml:space="preserve"> </w:t>
      </w:r>
      <w:r w:rsidR="00CF2B37" w:rsidRPr="00CF2B37">
        <w:t>Average Annual EPA Burden and Cost –</w:t>
      </w:r>
      <w:r w:rsidR="00144F35">
        <w:rPr>
          <w:color w:val="000000"/>
        </w:rPr>
        <w:t xml:space="preserve"> </w:t>
      </w:r>
      <w:r w:rsidR="00A53FFD">
        <w:t xml:space="preserve">NESHAP for </w:t>
      </w:r>
      <w:r w:rsidR="00A53FFD">
        <w:rPr>
          <w:bCs/>
        </w:rPr>
        <w:t>Plywood and Composite Products (40 CFR Part 63, Subpart DDDD)</w:t>
      </w:r>
      <w:r w:rsidR="00A53FFD">
        <w:t xml:space="preserve"> (Renewal)</w:t>
      </w:r>
      <w:r w:rsidR="00A53FFD">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9D6E13" w:rsidRDefault="001202D5" w:rsidP="009D6E13">
      <w:pPr>
        <w:pBdr>
          <w:top w:val="single" w:sz="6" w:space="0" w:color="FFFFFF"/>
          <w:left w:val="single" w:sz="6" w:space="0" w:color="FFFFFF"/>
          <w:bottom w:val="single" w:sz="6" w:space="0" w:color="FFFFFF"/>
          <w:right w:val="single" w:sz="6" w:space="0" w:color="FFFFFF"/>
        </w:pBdr>
        <w:ind w:firstLine="720"/>
      </w:pPr>
      <w:r>
        <w:t xml:space="preserve">There is an adjustment increase in the respondent burden </w:t>
      </w:r>
      <w:r w:rsidR="009D6E13" w:rsidRPr="00192EE4">
        <w:t>from the most recently approved ICR</w:t>
      </w:r>
      <w:r>
        <w:t>.  This is not due to any program changes.  The adjustment increase</w:t>
      </w:r>
      <w:r w:rsidR="009D6E13" w:rsidRPr="00192EE4">
        <w:t xml:space="preserve"> is </w:t>
      </w:r>
      <w:r w:rsidR="002B0EFC">
        <w:t>the</w:t>
      </w:r>
      <w:r>
        <w:t xml:space="preserve"> result of </w:t>
      </w:r>
      <w:r w:rsidR="009D6E13" w:rsidRPr="00192EE4">
        <w:t xml:space="preserve">a labor </w:t>
      </w:r>
      <w:r>
        <w:t>rate</w:t>
      </w:r>
      <w:r w:rsidR="002B0EFC">
        <w:t xml:space="preserve"> increa</w:t>
      </w:r>
      <w:r>
        <w:t>s</w:t>
      </w:r>
      <w:r w:rsidR="002B0EFC">
        <w:t>e</w:t>
      </w:r>
      <w:r w:rsidR="009D6E13">
        <w:t xml:space="preserve"> and a </w:t>
      </w:r>
      <w:r w:rsidR="002B0EFC">
        <w:t xml:space="preserve">rounding </w:t>
      </w:r>
      <w:r w:rsidR="009D6E13">
        <w:t>correction</w:t>
      </w:r>
      <w:r w:rsidR="009D6E13" w:rsidRPr="00192EE4">
        <w:t xml:space="preserve">.  </w:t>
      </w:r>
      <w:r w:rsidR="002B0EFC">
        <w:t xml:space="preserve">The previous ICR rounded the number of hours required to record continuous parameter information.  This ICR uses a more accurate estimate in calculating this burden.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A03ADD">
        <w:rPr>
          <w:color w:val="000000"/>
        </w:rPr>
        <w:t>21</w:t>
      </w:r>
      <w:r>
        <w:rPr>
          <w:color w:val="000000"/>
        </w:rPr>
        <w:t xml:space="preserve"> hours per response.  Burden means the total time, effort, or financial resources expended by persons to generate, maintain, retain, or disclose or provide information </w:t>
      </w:r>
      <w:r>
        <w:rPr>
          <w:color w:val="000000"/>
        </w:rPr>
        <w:lastRenderedPageBreak/>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962756">
        <w:t>-0341</w:t>
      </w:r>
      <w:r w:rsidR="00810D4A" w:rsidRPr="00810D4A">
        <w:t>.</w:t>
      </w:r>
      <w:r w:rsidR="00354C15">
        <w:rPr>
          <w:color w:val="FF0000"/>
        </w:rPr>
        <w:t xml:space="preserve">  </w:t>
      </w:r>
      <w:r w:rsidR="00354C15" w:rsidRPr="00354C15">
        <w:t xml:space="preserve">An electronic version of the public docket is available </w:t>
      </w:r>
      <w:r w:rsidR="00354C15" w:rsidRPr="008B54E3">
        <w:rPr>
          <w:u w:val="single"/>
        </w:rPr>
        <w:t>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8B54E3">
        <w:t>7</w:t>
      </w:r>
      <w:r w:rsidR="00252E01">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962756">
        <w:t>-0341</w:t>
      </w:r>
      <w:r w:rsidR="00CA4CD6">
        <w:t xml:space="preserve"> and OMB Control Number </w:t>
      </w:r>
      <w:r w:rsidR="00962756">
        <w:t>2060-0552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C619B4" w:rsidRDefault="00144F35" w:rsidP="00B4096A">
      <w:pPr>
        <w:jc w:val="center"/>
        <w:outlineLvl w:val="0"/>
        <w:rPr>
          <w:b/>
          <w:bCs/>
        </w:rPr>
      </w:pPr>
      <w:r w:rsidRPr="00C4183F">
        <w:rPr>
          <w:b/>
          <w:bCs/>
          <w:color w:val="000000"/>
        </w:rPr>
        <w:lastRenderedPageBreak/>
        <w:t>Table 1: Annual Respondent Burden and Cost</w:t>
      </w:r>
      <w:r>
        <w:rPr>
          <w:b/>
          <w:bCs/>
          <w:color w:val="000000"/>
        </w:rPr>
        <w:t xml:space="preserve"> – </w:t>
      </w:r>
      <w:r w:rsidR="0009090A">
        <w:rPr>
          <w:b/>
          <w:bCs/>
        </w:rPr>
        <w:t xml:space="preserve">NESHAP for </w:t>
      </w:r>
      <w:r w:rsidR="0009090A">
        <w:rPr>
          <w:b/>
        </w:rPr>
        <w:t>Plywood and Composite Products</w:t>
      </w:r>
      <w:r w:rsidR="0009090A">
        <w:rPr>
          <w:b/>
          <w:bCs/>
        </w:rPr>
        <w:t xml:space="preserve"> (40 CFR Part 63, Subpart</w:t>
      </w:r>
    </w:p>
    <w:p w:rsidR="00144F35" w:rsidRDefault="00C619B4" w:rsidP="00C619B4">
      <w:pPr>
        <w:outlineLvl w:val="0"/>
        <w:rPr>
          <w:b/>
          <w:bCs/>
          <w:color w:val="000000"/>
        </w:rPr>
      </w:pPr>
      <w:r>
        <w:rPr>
          <w:b/>
          <w:bCs/>
        </w:rPr>
        <w:t xml:space="preserve">    </w:t>
      </w:r>
      <w:r w:rsidR="0009090A">
        <w:rPr>
          <w:b/>
          <w:bCs/>
        </w:rPr>
        <w:t xml:space="preserve"> DDDD</w:t>
      </w:r>
      <w:r w:rsidR="0009090A">
        <w:rPr>
          <w:b/>
        </w:rPr>
        <w:t>) (Renewal)</w:t>
      </w:r>
    </w:p>
    <w:p w:rsidR="00144F35" w:rsidRDefault="00144F35" w:rsidP="00F340DF">
      <w:pPr>
        <w:rPr>
          <w:b/>
          <w:bCs/>
          <w:color w:val="000000"/>
        </w:rPr>
      </w:pPr>
    </w:p>
    <w:tbl>
      <w:tblPr>
        <w:tblW w:w="5273" w:type="pct"/>
        <w:jc w:val="center"/>
        <w:tblLayout w:type="fixed"/>
        <w:tblCellMar>
          <w:left w:w="0" w:type="dxa"/>
          <w:right w:w="0" w:type="dxa"/>
        </w:tblCellMar>
        <w:tblLook w:val="04A0"/>
      </w:tblPr>
      <w:tblGrid>
        <w:gridCol w:w="4601"/>
        <w:gridCol w:w="1260"/>
        <w:gridCol w:w="1169"/>
        <w:gridCol w:w="1083"/>
        <w:gridCol w:w="1168"/>
        <w:gridCol w:w="848"/>
        <w:gridCol w:w="1220"/>
        <w:gridCol w:w="1168"/>
        <w:gridCol w:w="1256"/>
      </w:tblGrid>
      <w:tr w:rsidR="00DD1699" w:rsidTr="00DD1699">
        <w:trPr>
          <w:trHeight w:val="1530"/>
          <w:tblHeader/>
          <w:jc w:val="center"/>
        </w:trPr>
        <w:tc>
          <w:tcPr>
            <w:tcW w:w="1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1699" w:rsidRDefault="00DD1699">
            <w:pPr>
              <w:jc w:val="center"/>
              <w:rPr>
                <w:b/>
                <w:bCs/>
                <w:color w:val="000000"/>
                <w:sz w:val="20"/>
                <w:szCs w:val="20"/>
              </w:rPr>
            </w:pPr>
            <w:r>
              <w:rPr>
                <w:b/>
                <w:bCs/>
                <w:color w:val="000000"/>
                <w:sz w:val="20"/>
                <w:szCs w:val="20"/>
              </w:rPr>
              <w:t>Burden Item</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C619B4" w:rsidRDefault="00DD1699">
            <w:pPr>
              <w:jc w:val="center"/>
              <w:rPr>
                <w:b/>
                <w:bCs/>
                <w:color w:val="000000"/>
                <w:sz w:val="20"/>
                <w:szCs w:val="20"/>
              </w:rPr>
            </w:pPr>
            <w:r>
              <w:rPr>
                <w:b/>
                <w:bCs/>
                <w:color w:val="000000"/>
                <w:sz w:val="20"/>
                <w:szCs w:val="20"/>
              </w:rPr>
              <w:t xml:space="preserve">(A) </w:t>
            </w:r>
          </w:p>
          <w:p w:rsidR="00DD1699" w:rsidRDefault="00DD1699">
            <w:pPr>
              <w:jc w:val="center"/>
              <w:rPr>
                <w:b/>
                <w:bCs/>
                <w:color w:val="000000"/>
                <w:sz w:val="20"/>
                <w:szCs w:val="20"/>
              </w:rPr>
            </w:pPr>
            <w:r>
              <w:rPr>
                <w:b/>
                <w:bCs/>
                <w:color w:val="000000"/>
                <w:sz w:val="20"/>
                <w:szCs w:val="20"/>
              </w:rPr>
              <w:t>Person hours per occurrence</w:t>
            </w:r>
          </w:p>
          <w:p w:rsidR="00C619B4" w:rsidRDefault="00C619B4">
            <w:pPr>
              <w:jc w:val="center"/>
              <w:rPr>
                <w:b/>
                <w:bCs/>
                <w:color w:val="000000"/>
                <w:sz w:val="20"/>
                <w:szCs w:val="20"/>
              </w:rPr>
            </w:pPr>
          </w:p>
          <w:p w:rsidR="00C619B4" w:rsidRDefault="00C619B4">
            <w:pPr>
              <w:jc w:val="center"/>
              <w:rPr>
                <w:b/>
                <w:bCs/>
                <w:color w:val="000000"/>
                <w:sz w:val="20"/>
                <w:szCs w:val="20"/>
              </w:rPr>
            </w:pPr>
          </w:p>
          <w:p w:rsidR="00C619B4" w:rsidRDefault="00C619B4">
            <w:pPr>
              <w:jc w:val="center"/>
              <w:rPr>
                <w:b/>
                <w:bCs/>
                <w:color w:val="000000"/>
                <w:sz w:val="20"/>
                <w:szCs w:val="20"/>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B4096A" w:rsidRDefault="00DD1699">
            <w:pPr>
              <w:jc w:val="center"/>
              <w:rPr>
                <w:b/>
                <w:bCs/>
                <w:color w:val="000000"/>
                <w:sz w:val="20"/>
                <w:szCs w:val="20"/>
              </w:rPr>
            </w:pPr>
            <w:r>
              <w:rPr>
                <w:b/>
                <w:bCs/>
                <w:color w:val="000000"/>
                <w:sz w:val="20"/>
                <w:szCs w:val="20"/>
              </w:rPr>
              <w:t xml:space="preserve">(B) </w:t>
            </w:r>
          </w:p>
          <w:p w:rsidR="00DD1699" w:rsidRDefault="00DD1699">
            <w:pPr>
              <w:jc w:val="center"/>
              <w:rPr>
                <w:b/>
                <w:bCs/>
                <w:color w:val="000000"/>
                <w:sz w:val="20"/>
                <w:szCs w:val="20"/>
              </w:rPr>
            </w:pPr>
            <w:r>
              <w:rPr>
                <w:b/>
                <w:bCs/>
                <w:color w:val="000000"/>
                <w:sz w:val="20"/>
                <w:szCs w:val="20"/>
              </w:rPr>
              <w:t>No. of occurrences per respondent per year</w:t>
            </w:r>
          </w:p>
          <w:p w:rsidR="00C619B4" w:rsidRDefault="00C619B4">
            <w:pPr>
              <w:jc w:val="center"/>
              <w:rPr>
                <w:b/>
                <w:bCs/>
                <w:color w:val="000000"/>
                <w:sz w:val="20"/>
                <w:szCs w:val="20"/>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C619B4" w:rsidRDefault="00DD1699">
            <w:pPr>
              <w:jc w:val="center"/>
              <w:rPr>
                <w:b/>
                <w:bCs/>
                <w:color w:val="000000"/>
                <w:sz w:val="20"/>
                <w:szCs w:val="20"/>
              </w:rPr>
            </w:pPr>
            <w:r>
              <w:rPr>
                <w:b/>
                <w:bCs/>
                <w:color w:val="000000"/>
                <w:sz w:val="20"/>
                <w:szCs w:val="20"/>
              </w:rPr>
              <w:t xml:space="preserve">(C) </w:t>
            </w:r>
          </w:p>
          <w:p w:rsidR="00DD1699" w:rsidRDefault="00DD1699">
            <w:pPr>
              <w:jc w:val="center"/>
              <w:rPr>
                <w:b/>
                <w:bCs/>
                <w:color w:val="000000"/>
                <w:sz w:val="20"/>
                <w:szCs w:val="20"/>
              </w:rPr>
            </w:pPr>
            <w:r>
              <w:rPr>
                <w:b/>
                <w:bCs/>
                <w:color w:val="000000"/>
                <w:sz w:val="20"/>
                <w:szCs w:val="20"/>
              </w:rPr>
              <w:t>Person hours per respondent per year (AxB)</w:t>
            </w:r>
          </w:p>
          <w:p w:rsidR="00C619B4" w:rsidRDefault="00C619B4">
            <w:pPr>
              <w:jc w:val="center"/>
              <w:rPr>
                <w:b/>
                <w:bCs/>
                <w:color w:val="000000"/>
                <w:sz w:val="20"/>
                <w:szCs w:val="20"/>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DD1699" w:rsidRDefault="00DD1699">
            <w:pPr>
              <w:jc w:val="center"/>
              <w:rPr>
                <w:b/>
                <w:bCs/>
                <w:color w:val="000000"/>
                <w:vertAlign w:val="superscript"/>
              </w:rPr>
            </w:pPr>
            <w:r>
              <w:rPr>
                <w:b/>
                <w:bCs/>
                <w:color w:val="000000"/>
                <w:sz w:val="20"/>
                <w:szCs w:val="20"/>
              </w:rPr>
              <w:t xml:space="preserve">(D) Respondents per year  </w:t>
            </w:r>
            <w:r>
              <w:rPr>
                <w:b/>
                <w:bCs/>
                <w:color w:val="000000"/>
                <w:vertAlign w:val="superscript"/>
              </w:rPr>
              <w:t>a</w:t>
            </w:r>
          </w:p>
          <w:p w:rsidR="00C619B4" w:rsidRDefault="00C619B4">
            <w:pPr>
              <w:jc w:val="center"/>
              <w:rPr>
                <w:b/>
                <w:bCs/>
                <w:color w:val="000000"/>
                <w:vertAlign w:val="superscript"/>
              </w:rPr>
            </w:pPr>
          </w:p>
          <w:p w:rsidR="00C619B4" w:rsidRDefault="00C619B4">
            <w:pPr>
              <w:jc w:val="center"/>
              <w:rPr>
                <w:b/>
                <w:bCs/>
                <w:color w:val="000000"/>
                <w:vertAlign w:val="superscript"/>
              </w:rPr>
            </w:pPr>
          </w:p>
          <w:p w:rsidR="00C619B4" w:rsidRDefault="00C619B4">
            <w:pPr>
              <w:jc w:val="center"/>
              <w:rPr>
                <w:b/>
                <w:bCs/>
                <w:color w:val="000000"/>
                <w:sz w:val="20"/>
                <w:szCs w:val="20"/>
              </w:rPr>
            </w:pP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DD1699" w:rsidRDefault="00DD1699">
            <w:pPr>
              <w:jc w:val="center"/>
              <w:rPr>
                <w:b/>
                <w:bCs/>
                <w:color w:val="000000"/>
                <w:sz w:val="20"/>
                <w:szCs w:val="20"/>
              </w:rPr>
            </w:pPr>
            <w:r>
              <w:rPr>
                <w:b/>
                <w:bCs/>
                <w:color w:val="000000"/>
                <w:sz w:val="20"/>
                <w:szCs w:val="20"/>
              </w:rPr>
              <w:t>(E) Technical person- hours per year (CxD)</w:t>
            </w:r>
          </w:p>
          <w:p w:rsidR="00C619B4" w:rsidRDefault="00C619B4">
            <w:pPr>
              <w:jc w:val="center"/>
              <w:rPr>
                <w:b/>
                <w:bCs/>
                <w:color w:val="000000"/>
                <w:sz w:val="20"/>
                <w:szCs w:val="20"/>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DD1699" w:rsidRDefault="00DD1699">
            <w:pPr>
              <w:jc w:val="center"/>
              <w:rPr>
                <w:b/>
                <w:bCs/>
                <w:color w:val="000000"/>
                <w:sz w:val="20"/>
                <w:szCs w:val="20"/>
              </w:rPr>
            </w:pPr>
            <w:r>
              <w:rPr>
                <w:b/>
                <w:bCs/>
                <w:color w:val="000000"/>
                <w:sz w:val="20"/>
                <w:szCs w:val="20"/>
              </w:rPr>
              <w:t>(F) Management person hours per year (Ex0.05)</w:t>
            </w:r>
          </w:p>
          <w:p w:rsidR="00C619B4" w:rsidRDefault="00C619B4">
            <w:pPr>
              <w:jc w:val="center"/>
              <w:rPr>
                <w:b/>
                <w:bCs/>
                <w:color w:val="000000"/>
                <w:sz w:val="20"/>
                <w:szCs w:val="20"/>
              </w:rPr>
            </w:pPr>
          </w:p>
          <w:p w:rsidR="00C619B4" w:rsidRDefault="00C619B4">
            <w:pPr>
              <w:jc w:val="center"/>
              <w:rPr>
                <w:b/>
                <w:bCs/>
                <w:color w:val="000000"/>
                <w:sz w:val="20"/>
                <w:szCs w:val="20"/>
              </w:rPr>
            </w:pP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B4096A" w:rsidRDefault="00DD1699">
            <w:pPr>
              <w:jc w:val="center"/>
              <w:rPr>
                <w:b/>
                <w:bCs/>
                <w:color w:val="000000"/>
                <w:sz w:val="20"/>
                <w:szCs w:val="20"/>
              </w:rPr>
            </w:pPr>
            <w:r>
              <w:rPr>
                <w:b/>
                <w:bCs/>
                <w:color w:val="000000"/>
                <w:sz w:val="20"/>
                <w:szCs w:val="20"/>
              </w:rPr>
              <w:t xml:space="preserve">(G) </w:t>
            </w:r>
          </w:p>
          <w:p w:rsidR="00DD1699" w:rsidRDefault="00DD1699">
            <w:pPr>
              <w:jc w:val="center"/>
              <w:rPr>
                <w:b/>
                <w:bCs/>
                <w:color w:val="000000"/>
                <w:sz w:val="20"/>
                <w:szCs w:val="20"/>
              </w:rPr>
            </w:pPr>
            <w:r>
              <w:rPr>
                <w:b/>
                <w:bCs/>
                <w:color w:val="000000"/>
                <w:sz w:val="20"/>
                <w:szCs w:val="20"/>
              </w:rPr>
              <w:t>Clerical person hours per year (Ex0.1)</w:t>
            </w:r>
          </w:p>
          <w:p w:rsidR="00C619B4" w:rsidRDefault="00C619B4">
            <w:pPr>
              <w:jc w:val="center"/>
              <w:rPr>
                <w:b/>
                <w:bCs/>
                <w:color w:val="000000"/>
                <w:sz w:val="20"/>
                <w:szCs w:val="20"/>
              </w:rPr>
            </w:pPr>
          </w:p>
          <w:p w:rsidR="00C619B4" w:rsidRDefault="00C619B4">
            <w:pPr>
              <w:jc w:val="center"/>
              <w:rPr>
                <w:b/>
                <w:bCs/>
                <w:color w:val="000000"/>
                <w:sz w:val="20"/>
                <w:szCs w:val="20"/>
              </w:rPr>
            </w:pP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B4096A" w:rsidRDefault="00DD1699">
            <w:pPr>
              <w:jc w:val="center"/>
              <w:rPr>
                <w:b/>
                <w:bCs/>
                <w:color w:val="000000"/>
                <w:sz w:val="20"/>
                <w:szCs w:val="20"/>
              </w:rPr>
            </w:pPr>
            <w:r>
              <w:rPr>
                <w:b/>
                <w:bCs/>
                <w:color w:val="000000"/>
                <w:sz w:val="20"/>
                <w:szCs w:val="20"/>
              </w:rPr>
              <w:t xml:space="preserve">(H) </w:t>
            </w:r>
          </w:p>
          <w:p w:rsidR="00DD1699" w:rsidRDefault="00DD1699">
            <w:pPr>
              <w:jc w:val="center"/>
              <w:rPr>
                <w:b/>
                <w:bCs/>
                <w:color w:val="000000"/>
                <w:sz w:val="20"/>
                <w:szCs w:val="20"/>
                <w:vertAlign w:val="superscript"/>
              </w:rPr>
            </w:pPr>
            <w:r>
              <w:rPr>
                <w:b/>
                <w:bCs/>
                <w:color w:val="000000"/>
                <w:sz w:val="20"/>
                <w:szCs w:val="20"/>
              </w:rPr>
              <w:t xml:space="preserve">Total Cost per year </w:t>
            </w:r>
            <w:r>
              <w:rPr>
                <w:b/>
                <w:bCs/>
                <w:color w:val="000000"/>
                <w:sz w:val="20"/>
                <w:szCs w:val="20"/>
                <w:vertAlign w:val="superscript"/>
              </w:rPr>
              <w:t>b</w:t>
            </w:r>
          </w:p>
          <w:p w:rsidR="00C619B4" w:rsidRDefault="00C619B4">
            <w:pPr>
              <w:jc w:val="center"/>
              <w:rPr>
                <w:b/>
                <w:bCs/>
                <w:color w:val="000000"/>
                <w:sz w:val="20"/>
                <w:szCs w:val="20"/>
                <w:vertAlign w:val="superscript"/>
              </w:rPr>
            </w:pPr>
          </w:p>
          <w:p w:rsidR="00C619B4" w:rsidRDefault="00C619B4">
            <w:pPr>
              <w:jc w:val="center"/>
              <w:rPr>
                <w:b/>
                <w:bCs/>
                <w:color w:val="000000"/>
                <w:sz w:val="20"/>
                <w:szCs w:val="20"/>
                <w:vertAlign w:val="superscript"/>
              </w:rPr>
            </w:pPr>
          </w:p>
          <w:p w:rsidR="00C619B4" w:rsidRDefault="00C619B4">
            <w:pPr>
              <w:jc w:val="center"/>
              <w:rPr>
                <w:b/>
                <w:bCs/>
                <w:color w:val="000000"/>
                <w:sz w:val="20"/>
                <w:szCs w:val="20"/>
                <w:vertAlign w:val="superscript"/>
              </w:rPr>
            </w:pPr>
          </w:p>
          <w:p w:rsidR="00C619B4" w:rsidRDefault="00C619B4">
            <w:pPr>
              <w:jc w:val="center"/>
              <w:rPr>
                <w:b/>
                <w:bCs/>
                <w:color w:val="000000"/>
                <w:sz w:val="20"/>
                <w:szCs w:val="20"/>
              </w:rPr>
            </w:pPr>
          </w:p>
        </w:tc>
      </w:tr>
      <w:tr w:rsidR="00DD1699" w:rsidTr="00C27497">
        <w:trPr>
          <w:cantSplit/>
          <w:trHeight w:val="1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1.  Applications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N/A</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27497">
        <w:trPr>
          <w:cantSplit/>
          <w:trHeight w:val="19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2.  Surveys and studies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N/A</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27497">
        <w:trPr>
          <w:cantSplit/>
          <w:trHeight w:val="143"/>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3.  Reporting requirements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27497">
        <w:trPr>
          <w:cantSplit/>
          <w:trHeight w:val="1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A.  Read instructions </w:t>
            </w:r>
            <w:r>
              <w:rPr>
                <w:color w:val="000000"/>
                <w:sz w:val="20"/>
                <w:szCs w:val="20"/>
                <w:vertAlign w:val="superscript"/>
              </w:rPr>
              <w:t>c</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27497">
        <w:trPr>
          <w:cantSplit/>
          <w:trHeight w:val="10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B.  Required activities </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N/A</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27497">
        <w:trPr>
          <w:cantSplit/>
          <w:trHeight w:val="143"/>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C.  Create information</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See 3E</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27497">
        <w:trPr>
          <w:cantSplit/>
          <w:trHeight w:val="1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D.  Gather existing information</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See 3E</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27497">
        <w:trPr>
          <w:cantSplit/>
          <w:trHeight w:val="19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E.  Write report</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27497">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Notification of construction/reconstruction</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27497">
        <w:trPr>
          <w:cantSplit/>
          <w:trHeight w:val="1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Notification of anticipated startup</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27497">
        <w:trPr>
          <w:cantSplit/>
          <w:trHeight w:val="10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Notification of actual startup</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27497">
        <w:trPr>
          <w:cantSplit/>
          <w:trHeight w:val="143"/>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Notification of applicability of standard</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27497">
        <w:trPr>
          <w:cantSplit/>
          <w:trHeight w:val="8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Emissions averaging plan </w:t>
            </w:r>
            <w:r>
              <w:rPr>
                <w:color w:val="000000"/>
                <w:sz w:val="20"/>
                <w:szCs w:val="20"/>
                <w:vertAlign w:val="superscript"/>
              </w:rPr>
              <w:t>d</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120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120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27497">
        <w:trPr>
          <w:cantSplit/>
          <w:trHeight w:val="28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rsidP="00C27497">
            <w:pPr>
              <w:rPr>
                <w:color w:val="000000"/>
                <w:sz w:val="20"/>
                <w:szCs w:val="20"/>
              </w:rPr>
            </w:pPr>
            <w:r>
              <w:rPr>
                <w:color w:val="000000"/>
                <w:sz w:val="20"/>
              </w:rPr>
              <w:t xml:space="preserve">          Request for routine control system maintenance </w:t>
            </w:r>
            <w:r w:rsidR="00C27497">
              <w:rPr>
                <w:color w:val="000000"/>
                <w:sz w:val="20"/>
              </w:rPr>
              <w:t>e</w:t>
            </w:r>
            <w:r>
              <w:rPr>
                <w:color w:val="000000"/>
                <w:sz w:val="20"/>
              </w:rPr>
              <w:t xml:space="preserve">xemption </w:t>
            </w:r>
            <w:r>
              <w:rPr>
                <w:color w:val="000000"/>
                <w:sz w:val="20"/>
                <w:szCs w:val="20"/>
                <w:vertAlign w:val="superscript"/>
              </w:rPr>
              <w:t>e</w:t>
            </w:r>
          </w:p>
        </w:tc>
        <w:tc>
          <w:tcPr>
            <w:tcW w:w="457" w:type="pct"/>
            <w:tcBorders>
              <w:top w:val="nil"/>
              <w:left w:val="nil"/>
              <w:bottom w:val="single" w:sz="4" w:space="0" w:color="auto"/>
              <w:right w:val="single" w:sz="4" w:space="0" w:color="auto"/>
            </w:tcBorders>
            <w:shd w:val="clear" w:color="auto" w:fill="auto"/>
            <w:noWrap/>
            <w:vAlign w:val="center"/>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vAlign w:val="center"/>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vAlign w:val="center"/>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vAlign w:val="center"/>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18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Notification of initial performance test </w:t>
            </w:r>
            <w:r>
              <w:rPr>
                <w:color w:val="000000"/>
                <w:sz w:val="20"/>
                <w:szCs w:val="20"/>
                <w:vertAlign w:val="superscript"/>
              </w:rPr>
              <w:t>f</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Notification of compliance status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With performance test </w:t>
            </w:r>
            <w:r>
              <w:rPr>
                <w:color w:val="000000"/>
                <w:sz w:val="20"/>
                <w:szCs w:val="20"/>
                <w:vertAlign w:val="superscript"/>
              </w:rPr>
              <w:t>f</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tcMar>
              <w:top w:w="0" w:type="dxa"/>
              <w:left w:w="135" w:type="dxa"/>
              <w:bottom w:w="0" w:type="dxa"/>
              <w:right w:w="0" w:type="dxa"/>
            </w:tcMar>
            <w:hideMark/>
          </w:tcPr>
          <w:p w:rsidR="00DD1699" w:rsidRDefault="00C27497">
            <w:pPr>
              <w:ind w:firstLineChars="100" w:firstLine="200"/>
              <w:rPr>
                <w:color w:val="000000"/>
                <w:sz w:val="20"/>
                <w:szCs w:val="20"/>
              </w:rPr>
            </w:pPr>
            <w:r>
              <w:rPr>
                <w:color w:val="000000"/>
                <w:sz w:val="20"/>
              </w:rPr>
              <w:t xml:space="preserve">      </w:t>
            </w:r>
            <w:r w:rsidR="00DD1699">
              <w:rPr>
                <w:color w:val="000000"/>
                <w:sz w:val="20"/>
              </w:rPr>
              <w:t xml:space="preserve">Without performance test </w:t>
            </w:r>
            <w:r w:rsidR="00DD1699">
              <w:rPr>
                <w:color w:val="000000"/>
                <w:sz w:val="20"/>
                <w:szCs w:val="20"/>
                <w:vertAlign w:val="superscript"/>
              </w:rPr>
              <w:t>g</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120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120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Initial compliance report </w:t>
            </w:r>
            <w:r>
              <w:rPr>
                <w:color w:val="000000"/>
                <w:sz w:val="20"/>
                <w:szCs w:val="20"/>
                <w:vertAlign w:val="superscript"/>
              </w:rPr>
              <w:t>h</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 deviations </w:t>
            </w:r>
            <w:r>
              <w:rPr>
                <w:color w:val="000000"/>
                <w:sz w:val="20"/>
                <w:szCs w:val="20"/>
                <w:vertAlign w:val="superscript"/>
              </w:rPr>
              <w:t>i</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Deviations </w:t>
            </w:r>
            <w:r>
              <w:rPr>
                <w:color w:val="000000"/>
                <w:sz w:val="20"/>
                <w:szCs w:val="20"/>
                <w:vertAlign w:val="superscript"/>
              </w:rPr>
              <w:t>i</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125"/>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Startup, shutdown, malfunction report </w:t>
            </w:r>
            <w:r>
              <w:rPr>
                <w:color w:val="000000"/>
                <w:sz w:val="20"/>
                <w:szCs w:val="20"/>
                <w:vertAlign w:val="superscript"/>
              </w:rPr>
              <w:t>j</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Control system maintenance report k</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Emissions averaging report </w:t>
            </w:r>
            <w:r>
              <w:rPr>
                <w:color w:val="000000"/>
                <w:sz w:val="20"/>
                <w:szCs w:val="20"/>
                <w:vertAlign w:val="superscript"/>
              </w:rPr>
              <w:t>l</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125"/>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Semiannual compliance report </w:t>
            </w:r>
            <w:r>
              <w:rPr>
                <w:color w:val="000000"/>
                <w:sz w:val="20"/>
                <w:szCs w:val="20"/>
                <w:vertAlign w:val="superscript"/>
              </w:rPr>
              <w:t>h</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19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No deviations </w:t>
            </w:r>
            <w:r>
              <w:rPr>
                <w:color w:val="000000"/>
                <w:sz w:val="20"/>
                <w:szCs w:val="20"/>
                <w:vertAlign w:val="superscript"/>
              </w:rPr>
              <w:t>i</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205</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3,280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328</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$368,949.16 </w:t>
            </w:r>
          </w:p>
        </w:tc>
      </w:tr>
      <w:tr w:rsidR="00DD1699" w:rsidTr="00C845E0">
        <w:trPr>
          <w:cantSplit/>
          <w:trHeight w:val="19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lastRenderedPageBreak/>
              <w:t xml:space="preserve">              Deviation </w:t>
            </w:r>
            <w:r>
              <w:rPr>
                <w:color w:val="000000"/>
                <w:sz w:val="20"/>
                <w:szCs w:val="20"/>
                <w:vertAlign w:val="superscript"/>
              </w:rPr>
              <w:t>i</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48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23</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1,104</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55.2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110.4</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$124,182.89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Startup, shutdown, malfunction report </w:t>
            </w:r>
            <w:r>
              <w:rPr>
                <w:color w:val="000000"/>
                <w:sz w:val="20"/>
                <w:szCs w:val="20"/>
                <w:vertAlign w:val="superscript"/>
              </w:rPr>
              <w:t>i, j</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23</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18.4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$41,394.30 </w:t>
            </w:r>
          </w:p>
        </w:tc>
      </w:tr>
      <w:tr w:rsidR="00DD1699" w:rsidTr="00C845E0">
        <w:trPr>
          <w:cantSplit/>
          <w:trHeight w:val="8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Control system maintenance report </w:t>
            </w:r>
            <w:r>
              <w:rPr>
                <w:color w:val="000000"/>
                <w:sz w:val="20"/>
                <w:szCs w:val="20"/>
                <w:vertAlign w:val="superscript"/>
              </w:rPr>
              <w:t>k</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23</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18.4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$41,394.30 </w:t>
            </w:r>
          </w:p>
        </w:tc>
      </w:tr>
      <w:tr w:rsidR="00DD1699" w:rsidTr="00C845E0">
        <w:trPr>
          <w:cantSplit/>
          <w:trHeight w:val="107"/>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Emissions averaging report </w:t>
            </w:r>
            <w:r>
              <w:rPr>
                <w:color w:val="000000"/>
                <w:sz w:val="20"/>
                <w:szCs w:val="20"/>
                <w:vertAlign w:val="superscript"/>
              </w:rPr>
              <w:t>l</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233"/>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Pr="00C845E0" w:rsidRDefault="00DD1699">
            <w:pPr>
              <w:rPr>
                <w:b/>
                <w:color w:val="000000"/>
                <w:sz w:val="20"/>
                <w:szCs w:val="20"/>
              </w:rPr>
            </w:pPr>
            <w:r w:rsidRPr="00C845E0">
              <w:rPr>
                <w:b/>
                <w:color w:val="000000"/>
                <w:sz w:val="20"/>
              </w:rPr>
              <w:t>Subtotal  for Reporting  Requirements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1175" w:type="pct"/>
            <w:gridSpan w:val="3"/>
            <w:tcBorders>
              <w:top w:val="single" w:sz="4" w:space="0" w:color="auto"/>
              <w:left w:val="nil"/>
              <w:bottom w:val="single" w:sz="4" w:space="0" w:color="auto"/>
              <w:right w:val="single" w:sz="4" w:space="0" w:color="auto"/>
            </w:tcBorders>
            <w:shd w:val="clear" w:color="auto" w:fill="auto"/>
            <w:noWrap/>
            <w:hideMark/>
          </w:tcPr>
          <w:p w:rsidR="00DD1699" w:rsidRPr="00C845E0" w:rsidRDefault="00DD1699">
            <w:pPr>
              <w:jc w:val="center"/>
              <w:rPr>
                <w:b/>
                <w:color w:val="000000"/>
                <w:sz w:val="20"/>
                <w:szCs w:val="20"/>
              </w:rPr>
            </w:pPr>
            <w:r w:rsidRPr="00C845E0">
              <w:rPr>
                <w:b/>
                <w:color w:val="000000"/>
                <w:sz w:val="20"/>
              </w:rPr>
              <w:t>5,888</w:t>
            </w:r>
          </w:p>
        </w:tc>
        <w:tc>
          <w:tcPr>
            <w:tcW w:w="456" w:type="pct"/>
            <w:tcBorders>
              <w:top w:val="nil"/>
              <w:left w:val="nil"/>
              <w:bottom w:val="single" w:sz="4" w:space="0" w:color="auto"/>
              <w:right w:val="single" w:sz="4" w:space="0" w:color="auto"/>
            </w:tcBorders>
            <w:shd w:val="clear" w:color="auto" w:fill="auto"/>
            <w:noWrap/>
            <w:hideMark/>
          </w:tcPr>
          <w:p w:rsidR="00DD1699" w:rsidRPr="00C845E0" w:rsidRDefault="00DD1699" w:rsidP="00E6200A">
            <w:pPr>
              <w:jc w:val="right"/>
              <w:rPr>
                <w:b/>
                <w:color w:val="000000"/>
                <w:sz w:val="20"/>
                <w:szCs w:val="20"/>
              </w:rPr>
            </w:pPr>
            <w:r w:rsidRPr="00C845E0">
              <w:rPr>
                <w:b/>
                <w:color w:val="000000"/>
                <w:sz w:val="20"/>
              </w:rPr>
              <w:t>$575,920.6</w:t>
            </w:r>
            <w:r w:rsidR="00E6200A">
              <w:rPr>
                <w:b/>
                <w:color w:val="000000"/>
                <w:sz w:val="20"/>
              </w:rPr>
              <w:t>5</w:t>
            </w:r>
            <w:r w:rsidRPr="00C845E0">
              <w:rPr>
                <w:b/>
                <w:color w:val="000000"/>
                <w:sz w:val="20"/>
              </w:rPr>
              <w:t xml:space="preserve">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4.  Recordkeeping requirements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A.  Read instructions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See 3A</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B.  Plan activities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N/A</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152"/>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C.  Implement activities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N/A</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D.  Develop record system </w:t>
            </w:r>
            <w:r>
              <w:rPr>
                <w:color w:val="000000"/>
                <w:sz w:val="20"/>
                <w:szCs w:val="20"/>
                <w:vertAlign w:val="superscript"/>
              </w:rPr>
              <w:t>m</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40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40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125"/>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E.  Develop startup, shutdown, malfunction plan </w:t>
            </w:r>
            <w:r>
              <w:rPr>
                <w:color w:val="000000"/>
                <w:sz w:val="20"/>
                <w:szCs w:val="20"/>
                <w:vertAlign w:val="superscript"/>
              </w:rPr>
              <w:t>n</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100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100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F.  Time to enter information</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Records of startup, shutdown, and malfunction</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1.5</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52</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78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Records of continuous compliance </w:t>
            </w:r>
            <w:r>
              <w:rPr>
                <w:color w:val="000000"/>
                <w:sz w:val="20"/>
                <w:szCs w:val="20"/>
                <w:vertAlign w:val="superscript"/>
              </w:rPr>
              <w:t>o</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Record parameters/information</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0.25</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365</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91.25</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23</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2,098.75</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104.94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209.88</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$236,076.84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Compile data</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48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23</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1,104</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55.2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110.4</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$124,182.89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Enter/verify information for semiannual reports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32</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23</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736</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73.6</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$82,788.59 </w:t>
            </w:r>
          </w:p>
        </w:tc>
      </w:tr>
      <w:tr w:rsidR="00DD1699" w:rsidTr="00C845E0">
        <w:trPr>
          <w:cantSplit/>
          <w:trHeight w:val="152"/>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Records of control system maintenance</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See 3E</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Records of emissions averaging credit/debts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See 3E</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125"/>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G.  Calibration of CMS </w:t>
            </w:r>
            <w:r>
              <w:rPr>
                <w:color w:val="000000"/>
                <w:sz w:val="20"/>
                <w:szCs w:val="20"/>
                <w:vertAlign w:val="superscript"/>
              </w:rPr>
              <w:t>p</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23</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18.4</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$41,394.30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H.  Time to train personnel </w:t>
            </w:r>
            <w:r>
              <w:rPr>
                <w:color w:val="000000"/>
                <w:sz w:val="20"/>
                <w:szCs w:val="20"/>
                <w:vertAlign w:val="superscript"/>
              </w:rPr>
              <w:t>q</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40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40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0</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$0 </w:t>
            </w:r>
          </w:p>
        </w:tc>
      </w:tr>
      <w:tr w:rsidR="00DD1699" w:rsidTr="00C845E0">
        <w:trPr>
          <w:cantSplit/>
          <w:trHeight w:val="98"/>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I.  Time to refresher training for personnel </w:t>
            </w:r>
            <w:r>
              <w:rPr>
                <w:color w:val="000000"/>
                <w:sz w:val="20"/>
                <w:szCs w:val="20"/>
                <w:vertAlign w:val="superscript"/>
              </w:rPr>
              <w:t>r</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16</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46</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736</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36.8</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73.6</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xml:space="preserve">$82,788.59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Default="00DD1699">
            <w:pPr>
              <w:rPr>
                <w:color w:val="000000"/>
                <w:sz w:val="20"/>
                <w:szCs w:val="20"/>
              </w:rPr>
            </w:pPr>
            <w:r>
              <w:rPr>
                <w:color w:val="000000"/>
                <w:sz w:val="20"/>
              </w:rPr>
              <w:t xml:space="preserve">    J.  Time for audits</w:t>
            </w:r>
          </w:p>
        </w:tc>
        <w:tc>
          <w:tcPr>
            <w:tcW w:w="457"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N/A</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308"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43"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Default="00DD1699">
            <w:pPr>
              <w:jc w:val="center"/>
              <w:rPr>
                <w:color w:val="000000"/>
                <w:sz w:val="20"/>
                <w:szCs w:val="20"/>
              </w:rPr>
            </w:pPr>
            <w:r>
              <w:rPr>
                <w:color w:val="000000"/>
                <w:sz w:val="20"/>
              </w:rPr>
              <w:t> </w:t>
            </w:r>
          </w:p>
        </w:tc>
        <w:tc>
          <w:tcPr>
            <w:tcW w:w="456" w:type="pct"/>
            <w:tcBorders>
              <w:top w:val="nil"/>
              <w:left w:val="nil"/>
              <w:bottom w:val="single" w:sz="4" w:space="0" w:color="auto"/>
              <w:right w:val="single" w:sz="4" w:space="0" w:color="auto"/>
            </w:tcBorders>
            <w:shd w:val="clear" w:color="auto" w:fill="auto"/>
            <w:noWrap/>
            <w:hideMark/>
          </w:tcPr>
          <w:p w:rsidR="00DD1699" w:rsidRDefault="00DD1699">
            <w:pPr>
              <w:jc w:val="right"/>
              <w:rPr>
                <w:color w:val="000000"/>
                <w:sz w:val="20"/>
                <w:szCs w:val="20"/>
              </w:rPr>
            </w:pPr>
            <w:r>
              <w:rPr>
                <w:color w:val="000000"/>
                <w:sz w:val="20"/>
              </w:rPr>
              <w:t> </w:t>
            </w:r>
          </w:p>
        </w:tc>
      </w:tr>
      <w:tr w:rsidR="00DD1699" w:rsidTr="00C845E0">
        <w:trPr>
          <w:cantSplit/>
          <w:trHeight w:val="70"/>
          <w:jc w:val="center"/>
        </w:trPr>
        <w:tc>
          <w:tcPr>
            <w:tcW w:w="1670" w:type="pct"/>
            <w:tcBorders>
              <w:top w:val="nil"/>
              <w:left w:val="single" w:sz="4" w:space="0" w:color="auto"/>
              <w:bottom w:val="single" w:sz="4" w:space="0" w:color="auto"/>
              <w:right w:val="single" w:sz="4" w:space="0" w:color="auto"/>
            </w:tcBorders>
            <w:shd w:val="clear" w:color="auto" w:fill="auto"/>
            <w:noWrap/>
            <w:hideMark/>
          </w:tcPr>
          <w:p w:rsidR="00DD1699" w:rsidRPr="00C845E0" w:rsidRDefault="00DD1699">
            <w:pPr>
              <w:rPr>
                <w:b/>
                <w:color w:val="000000"/>
                <w:sz w:val="20"/>
                <w:szCs w:val="20"/>
              </w:rPr>
            </w:pPr>
            <w:r w:rsidRPr="00C845E0">
              <w:rPr>
                <w:b/>
                <w:color w:val="000000"/>
                <w:sz w:val="20"/>
              </w:rPr>
              <w:t xml:space="preserve">Subtotal  for Recordkeeping Requirements  </w:t>
            </w:r>
          </w:p>
        </w:tc>
        <w:tc>
          <w:tcPr>
            <w:tcW w:w="457" w:type="pct"/>
            <w:tcBorders>
              <w:top w:val="nil"/>
              <w:left w:val="nil"/>
              <w:bottom w:val="single" w:sz="4" w:space="0" w:color="auto"/>
              <w:right w:val="single" w:sz="4" w:space="0" w:color="auto"/>
            </w:tcBorders>
            <w:shd w:val="clear" w:color="auto" w:fill="auto"/>
            <w:noWrap/>
            <w:hideMark/>
          </w:tcPr>
          <w:p w:rsidR="00DD1699" w:rsidRPr="00C845E0" w:rsidRDefault="00DD1699">
            <w:pPr>
              <w:jc w:val="center"/>
              <w:rPr>
                <w:b/>
                <w:color w:val="000000"/>
                <w:sz w:val="20"/>
                <w:szCs w:val="20"/>
              </w:rPr>
            </w:pPr>
            <w:r w:rsidRPr="00C845E0">
              <w:rPr>
                <w:b/>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Pr="00C845E0" w:rsidRDefault="00DD1699">
            <w:pPr>
              <w:jc w:val="center"/>
              <w:rPr>
                <w:b/>
                <w:color w:val="000000"/>
                <w:sz w:val="20"/>
                <w:szCs w:val="20"/>
              </w:rPr>
            </w:pPr>
            <w:r w:rsidRPr="00C845E0">
              <w:rPr>
                <w:b/>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Pr="00C845E0" w:rsidRDefault="00DD1699">
            <w:pPr>
              <w:jc w:val="center"/>
              <w:rPr>
                <w:b/>
                <w:color w:val="000000"/>
                <w:sz w:val="20"/>
                <w:szCs w:val="20"/>
              </w:rPr>
            </w:pPr>
            <w:r w:rsidRPr="00C845E0">
              <w:rPr>
                <w:b/>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Pr="00C845E0" w:rsidRDefault="00DD1699">
            <w:pPr>
              <w:jc w:val="center"/>
              <w:rPr>
                <w:b/>
                <w:color w:val="000000"/>
                <w:sz w:val="20"/>
                <w:szCs w:val="20"/>
              </w:rPr>
            </w:pPr>
            <w:r w:rsidRPr="00C845E0">
              <w:rPr>
                <w:b/>
                <w:color w:val="000000"/>
                <w:sz w:val="20"/>
              </w:rPr>
              <w:t> </w:t>
            </w:r>
          </w:p>
        </w:tc>
        <w:tc>
          <w:tcPr>
            <w:tcW w:w="1175" w:type="pct"/>
            <w:gridSpan w:val="3"/>
            <w:tcBorders>
              <w:top w:val="single" w:sz="4" w:space="0" w:color="auto"/>
              <w:left w:val="nil"/>
              <w:bottom w:val="single" w:sz="4" w:space="0" w:color="auto"/>
              <w:right w:val="single" w:sz="4" w:space="0" w:color="auto"/>
            </w:tcBorders>
            <w:shd w:val="clear" w:color="auto" w:fill="auto"/>
            <w:noWrap/>
            <w:hideMark/>
          </w:tcPr>
          <w:p w:rsidR="00DD1699" w:rsidRPr="00C845E0" w:rsidRDefault="00DD1699">
            <w:pPr>
              <w:jc w:val="center"/>
              <w:rPr>
                <w:b/>
                <w:color w:val="000000"/>
                <w:sz w:val="20"/>
                <w:szCs w:val="20"/>
              </w:rPr>
            </w:pPr>
            <w:r w:rsidRPr="00C845E0">
              <w:rPr>
                <w:b/>
                <w:color w:val="000000"/>
                <w:sz w:val="20"/>
              </w:rPr>
              <w:t>5,799</w:t>
            </w:r>
          </w:p>
        </w:tc>
        <w:tc>
          <w:tcPr>
            <w:tcW w:w="456" w:type="pct"/>
            <w:tcBorders>
              <w:top w:val="nil"/>
              <w:left w:val="nil"/>
              <w:bottom w:val="single" w:sz="4" w:space="0" w:color="auto"/>
              <w:right w:val="single" w:sz="4" w:space="0" w:color="auto"/>
            </w:tcBorders>
            <w:shd w:val="clear" w:color="auto" w:fill="auto"/>
            <w:noWrap/>
            <w:hideMark/>
          </w:tcPr>
          <w:p w:rsidR="00DD1699" w:rsidRPr="00C845E0" w:rsidRDefault="00DD1699">
            <w:pPr>
              <w:jc w:val="right"/>
              <w:rPr>
                <w:b/>
                <w:color w:val="000000"/>
                <w:sz w:val="20"/>
                <w:szCs w:val="20"/>
              </w:rPr>
            </w:pPr>
            <w:r w:rsidRPr="00C845E0">
              <w:rPr>
                <w:b/>
                <w:color w:val="000000"/>
                <w:sz w:val="20"/>
              </w:rPr>
              <w:t xml:space="preserve">$567,231.21 </w:t>
            </w:r>
          </w:p>
        </w:tc>
      </w:tr>
      <w:tr w:rsidR="00DD1699" w:rsidRPr="00B4096A" w:rsidTr="005C0533">
        <w:trPr>
          <w:cantSplit/>
          <w:trHeight w:val="278"/>
          <w:jc w:val="center"/>
        </w:trPr>
        <w:tc>
          <w:tcPr>
            <w:tcW w:w="1670" w:type="pct"/>
            <w:tcBorders>
              <w:top w:val="nil"/>
              <w:left w:val="single" w:sz="4" w:space="0" w:color="auto"/>
              <w:bottom w:val="single" w:sz="4" w:space="0" w:color="auto"/>
              <w:right w:val="single" w:sz="4" w:space="0" w:color="auto"/>
            </w:tcBorders>
            <w:shd w:val="clear" w:color="auto" w:fill="auto"/>
            <w:noWrap/>
            <w:vAlign w:val="bottom"/>
            <w:hideMark/>
          </w:tcPr>
          <w:p w:rsidR="00DD1699" w:rsidRPr="00B4096A" w:rsidRDefault="00DD1699" w:rsidP="00FA0511">
            <w:pPr>
              <w:spacing w:before="240"/>
              <w:rPr>
                <w:b/>
                <w:bCs/>
                <w:color w:val="000000"/>
                <w:sz w:val="20"/>
                <w:szCs w:val="20"/>
              </w:rPr>
            </w:pPr>
            <w:r w:rsidRPr="00B4096A">
              <w:rPr>
                <w:b/>
                <w:bCs/>
                <w:color w:val="000000"/>
                <w:sz w:val="20"/>
              </w:rPr>
              <w:t xml:space="preserve">TOTAL LABOR BURDEN AND COST </w:t>
            </w:r>
            <w:r w:rsidR="00FA0511">
              <w:rPr>
                <w:b/>
                <w:bCs/>
                <w:color w:val="000000"/>
                <w:sz w:val="20"/>
              </w:rPr>
              <w:t>(rounded</w:t>
            </w:r>
            <w:r w:rsidR="005C0533">
              <w:rPr>
                <w:b/>
                <w:bCs/>
                <w:color w:val="000000"/>
                <w:sz w:val="20"/>
              </w:rPr>
              <w:t>)</w:t>
            </w:r>
          </w:p>
        </w:tc>
        <w:tc>
          <w:tcPr>
            <w:tcW w:w="457" w:type="pct"/>
            <w:tcBorders>
              <w:top w:val="nil"/>
              <w:left w:val="nil"/>
              <w:bottom w:val="single" w:sz="4" w:space="0" w:color="auto"/>
              <w:right w:val="single" w:sz="4" w:space="0" w:color="auto"/>
            </w:tcBorders>
            <w:shd w:val="clear" w:color="auto" w:fill="auto"/>
            <w:noWrap/>
            <w:hideMark/>
          </w:tcPr>
          <w:p w:rsidR="00DD1699" w:rsidRPr="00B4096A" w:rsidRDefault="00DD1699">
            <w:pPr>
              <w:rPr>
                <w:b/>
                <w:color w:val="000000"/>
                <w:sz w:val="20"/>
                <w:szCs w:val="20"/>
              </w:rPr>
            </w:pPr>
            <w:r w:rsidRPr="00B4096A">
              <w:rPr>
                <w:b/>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Pr="00B4096A" w:rsidRDefault="00DD1699">
            <w:pPr>
              <w:rPr>
                <w:b/>
                <w:color w:val="000000"/>
                <w:sz w:val="20"/>
                <w:szCs w:val="20"/>
              </w:rPr>
            </w:pPr>
            <w:r w:rsidRPr="00B4096A">
              <w:rPr>
                <w:b/>
                <w:color w:val="000000"/>
                <w:sz w:val="20"/>
              </w:rPr>
              <w:t> </w:t>
            </w:r>
          </w:p>
        </w:tc>
        <w:tc>
          <w:tcPr>
            <w:tcW w:w="393" w:type="pct"/>
            <w:tcBorders>
              <w:top w:val="nil"/>
              <w:left w:val="nil"/>
              <w:bottom w:val="single" w:sz="4" w:space="0" w:color="auto"/>
              <w:right w:val="single" w:sz="4" w:space="0" w:color="auto"/>
            </w:tcBorders>
            <w:shd w:val="clear" w:color="auto" w:fill="auto"/>
            <w:noWrap/>
            <w:hideMark/>
          </w:tcPr>
          <w:p w:rsidR="00DD1699" w:rsidRPr="00B4096A" w:rsidRDefault="00DD1699">
            <w:pPr>
              <w:rPr>
                <w:b/>
                <w:color w:val="000000"/>
                <w:sz w:val="20"/>
                <w:szCs w:val="20"/>
              </w:rPr>
            </w:pPr>
            <w:r w:rsidRPr="00B4096A">
              <w:rPr>
                <w:b/>
                <w:color w:val="000000"/>
                <w:sz w:val="20"/>
              </w:rPr>
              <w:t> </w:t>
            </w:r>
          </w:p>
        </w:tc>
        <w:tc>
          <w:tcPr>
            <w:tcW w:w="424" w:type="pct"/>
            <w:tcBorders>
              <w:top w:val="nil"/>
              <w:left w:val="nil"/>
              <w:bottom w:val="single" w:sz="4" w:space="0" w:color="auto"/>
              <w:right w:val="single" w:sz="4" w:space="0" w:color="auto"/>
            </w:tcBorders>
            <w:shd w:val="clear" w:color="auto" w:fill="auto"/>
            <w:noWrap/>
            <w:hideMark/>
          </w:tcPr>
          <w:p w:rsidR="00DD1699" w:rsidRPr="00B4096A" w:rsidRDefault="00DD1699">
            <w:pPr>
              <w:rPr>
                <w:b/>
                <w:color w:val="000000"/>
                <w:sz w:val="20"/>
                <w:szCs w:val="20"/>
              </w:rPr>
            </w:pPr>
            <w:r w:rsidRPr="00B4096A">
              <w:rPr>
                <w:b/>
                <w:color w:val="000000"/>
                <w:sz w:val="20"/>
              </w:rPr>
              <w:t> </w:t>
            </w:r>
          </w:p>
        </w:tc>
        <w:tc>
          <w:tcPr>
            <w:tcW w:w="1175" w:type="pct"/>
            <w:gridSpan w:val="3"/>
            <w:tcBorders>
              <w:top w:val="single" w:sz="4" w:space="0" w:color="auto"/>
              <w:left w:val="nil"/>
              <w:bottom w:val="single" w:sz="4" w:space="0" w:color="auto"/>
              <w:right w:val="single" w:sz="4" w:space="0" w:color="auto"/>
            </w:tcBorders>
            <w:shd w:val="clear" w:color="auto" w:fill="auto"/>
            <w:noWrap/>
            <w:hideMark/>
          </w:tcPr>
          <w:p w:rsidR="005C0533" w:rsidRDefault="005C0533">
            <w:pPr>
              <w:jc w:val="center"/>
              <w:rPr>
                <w:b/>
                <w:color w:val="000000"/>
                <w:sz w:val="20"/>
              </w:rPr>
            </w:pPr>
          </w:p>
          <w:p w:rsidR="00DD1699" w:rsidRPr="00B4096A" w:rsidRDefault="00DD1699">
            <w:pPr>
              <w:jc w:val="center"/>
              <w:rPr>
                <w:b/>
                <w:color w:val="000000"/>
                <w:sz w:val="20"/>
                <w:szCs w:val="20"/>
              </w:rPr>
            </w:pPr>
            <w:r w:rsidRPr="00B4096A">
              <w:rPr>
                <w:b/>
                <w:color w:val="000000"/>
                <w:sz w:val="20"/>
              </w:rPr>
              <w:t>11,687</w:t>
            </w:r>
          </w:p>
        </w:tc>
        <w:tc>
          <w:tcPr>
            <w:tcW w:w="456" w:type="pct"/>
            <w:tcBorders>
              <w:top w:val="nil"/>
              <w:left w:val="nil"/>
              <w:bottom w:val="single" w:sz="4" w:space="0" w:color="auto"/>
              <w:right w:val="single" w:sz="4" w:space="0" w:color="auto"/>
            </w:tcBorders>
            <w:shd w:val="clear" w:color="auto" w:fill="auto"/>
            <w:noWrap/>
            <w:hideMark/>
          </w:tcPr>
          <w:p w:rsidR="005C0533" w:rsidRDefault="005C0533" w:rsidP="00FA0511">
            <w:pPr>
              <w:jc w:val="right"/>
              <w:rPr>
                <w:b/>
                <w:color w:val="000000"/>
                <w:sz w:val="20"/>
              </w:rPr>
            </w:pPr>
          </w:p>
          <w:p w:rsidR="00DD1699" w:rsidRPr="00B4096A" w:rsidRDefault="00DD1699" w:rsidP="00FA0511">
            <w:pPr>
              <w:jc w:val="right"/>
              <w:rPr>
                <w:b/>
                <w:color w:val="000000"/>
                <w:sz w:val="20"/>
                <w:szCs w:val="20"/>
              </w:rPr>
            </w:pPr>
            <w:r w:rsidRPr="00B4096A">
              <w:rPr>
                <w:b/>
                <w:color w:val="000000"/>
                <w:sz w:val="20"/>
              </w:rPr>
              <w:t>$1,143,15</w:t>
            </w:r>
            <w:r w:rsidR="00FA0511">
              <w:rPr>
                <w:b/>
                <w:color w:val="000000"/>
                <w:sz w:val="20"/>
              </w:rPr>
              <w:t>2</w:t>
            </w:r>
            <w:r w:rsidRPr="00B4096A">
              <w:rPr>
                <w:b/>
                <w:color w:val="000000"/>
                <w:sz w:val="20"/>
              </w:rPr>
              <w:t xml:space="preserve"> </w:t>
            </w:r>
          </w:p>
        </w:tc>
      </w:tr>
    </w:tbl>
    <w:p w:rsidR="00DD1699" w:rsidRDefault="00DD1699" w:rsidP="00504745">
      <w:pPr>
        <w:outlineLvl w:val="0"/>
        <w:rPr>
          <w:bCs/>
          <w:color w:val="FF0000"/>
        </w:rPr>
      </w:pPr>
      <w:r w:rsidRPr="00144F35" w:rsidDel="00DD1699">
        <w:rPr>
          <w:bCs/>
          <w:color w:val="FF0000"/>
        </w:rPr>
        <w:t xml:space="preserve"> </w:t>
      </w:r>
    </w:p>
    <w:tbl>
      <w:tblPr>
        <w:tblpPr w:leftFromText="180" w:rightFromText="180" w:vertAnchor="text" w:tblpY="1"/>
        <w:tblOverlap w:val="never"/>
        <w:tblW w:w="13230" w:type="dxa"/>
        <w:tblInd w:w="108" w:type="dxa"/>
        <w:tblLook w:val="04A0"/>
      </w:tblPr>
      <w:tblGrid>
        <w:gridCol w:w="13230"/>
      </w:tblGrid>
      <w:tr w:rsidR="00DD1699" w:rsidRPr="00DD1699" w:rsidTr="00B4096A">
        <w:trPr>
          <w:trHeight w:val="30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b/>
                <w:bCs/>
                <w:color w:val="000000"/>
                <w:sz w:val="20"/>
                <w:szCs w:val="20"/>
              </w:rPr>
            </w:pPr>
            <w:r w:rsidRPr="00DD1699">
              <w:rPr>
                <w:b/>
                <w:bCs/>
                <w:color w:val="000000"/>
                <w:sz w:val="20"/>
                <w:szCs w:val="20"/>
              </w:rPr>
              <w:t>Assumptions:</w:t>
            </w:r>
          </w:p>
        </w:tc>
      </w:tr>
      <w:tr w:rsidR="00DD1699" w:rsidRPr="00DD1699" w:rsidTr="00B4096A">
        <w:trPr>
          <w:trHeight w:val="375"/>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rPr>
            </w:pPr>
            <w:r w:rsidRPr="00DD1699">
              <w:rPr>
                <w:color w:val="000000"/>
                <w:vertAlign w:val="superscript"/>
              </w:rPr>
              <w:t>a</w:t>
            </w:r>
            <w:r w:rsidRPr="00DD1699">
              <w:rPr>
                <w:color w:val="000000"/>
                <w:sz w:val="20"/>
                <w:szCs w:val="20"/>
              </w:rPr>
              <w:t xml:space="preserve">  We have assumed that the average number of respondents that will be subject to this rule will be 228.  There will be no new additional sources during the next </w:t>
            </w:r>
            <w:r w:rsidRPr="00DD1699">
              <w:rPr>
                <w:color w:val="000000"/>
                <w:sz w:val="20"/>
                <w:szCs w:val="20"/>
              </w:rPr>
              <w:lastRenderedPageBreak/>
              <w:t>three years of this ICR.</w:t>
            </w:r>
          </w:p>
        </w:tc>
      </w:tr>
      <w:tr w:rsidR="00DD1699" w:rsidRPr="00DD1699" w:rsidTr="00B4096A">
        <w:trPr>
          <w:trHeight w:val="375"/>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rPr>
            </w:pPr>
            <w:r w:rsidRPr="00DD1699">
              <w:rPr>
                <w:color w:val="000000"/>
                <w:vertAlign w:val="superscript"/>
              </w:rPr>
              <w:lastRenderedPageBreak/>
              <w:t>b</w:t>
            </w:r>
            <w:r w:rsidRPr="00DD1699">
              <w:rPr>
                <w:color w:val="000000"/>
                <w:sz w:val="20"/>
                <w:szCs w:val="20"/>
              </w:rPr>
              <w:t xml:space="preserve">  This ICR uses the following labor rates:  $122.49 per hour for Executive, Administrative, and Managerial labor; $101.28 per hour for Technical labor, and $50.80 per hour for Clerical labor.  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c</w:t>
            </w:r>
            <w:r w:rsidRPr="00DD1699">
              <w:rPr>
                <w:color w:val="000000"/>
                <w:sz w:val="20"/>
                <w:szCs w:val="20"/>
              </w:rPr>
              <w:t xml:space="preserve">  We have assumed that there will be no new or reconstructed facilities during the next three years of this ICR.</w:t>
            </w:r>
          </w:p>
        </w:tc>
      </w:tr>
      <w:tr w:rsidR="00DD1699" w:rsidRPr="00DD1699" w:rsidTr="00B4096A">
        <w:trPr>
          <w:trHeight w:val="375"/>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rPr>
            </w:pPr>
            <w:r w:rsidRPr="00DD1699">
              <w:rPr>
                <w:color w:val="000000"/>
                <w:vertAlign w:val="superscript"/>
              </w:rPr>
              <w:t>d</w:t>
            </w:r>
            <w:r w:rsidRPr="00DD1699">
              <w:rPr>
                <w:color w:val="000000"/>
                <w:sz w:val="20"/>
                <w:szCs w:val="20"/>
              </w:rPr>
              <w:t xml:space="preserve">  We have assumed that no existing facilities will choose to use the emission averaging plan because all facilities we assume will install control systems and new facilities are not allowed to use emissions averaging.</w:t>
            </w:r>
          </w:p>
        </w:tc>
      </w:tr>
      <w:tr w:rsidR="00DD1699" w:rsidRPr="00DD1699" w:rsidTr="00B4096A">
        <w:trPr>
          <w:trHeight w:val="375"/>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rPr>
            </w:pPr>
            <w:r w:rsidRPr="00DD1699">
              <w:rPr>
                <w:color w:val="000000"/>
                <w:vertAlign w:val="superscript"/>
              </w:rPr>
              <w:t>e</w:t>
            </w:r>
            <w:r w:rsidRPr="00DD1699">
              <w:rPr>
                <w:color w:val="000000"/>
                <w:sz w:val="20"/>
                <w:szCs w:val="20"/>
              </w:rPr>
              <w:t xml:space="preserve">  We have assumed that each respondent will submit a request for routine control device maintenance exemption..</w:t>
            </w:r>
          </w:p>
        </w:tc>
      </w:tr>
      <w:tr w:rsidR="00DD1699" w:rsidRPr="00DD1699" w:rsidTr="00B4096A">
        <w:trPr>
          <w:trHeight w:val="375"/>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rPr>
            </w:pPr>
            <w:r w:rsidRPr="00DD1699">
              <w:rPr>
                <w:color w:val="000000"/>
                <w:vertAlign w:val="superscript"/>
              </w:rPr>
              <w:t>f</w:t>
            </w:r>
            <w:r w:rsidRPr="00DD1699">
              <w:rPr>
                <w:color w:val="000000"/>
                <w:sz w:val="20"/>
                <w:szCs w:val="20"/>
              </w:rPr>
              <w:t xml:space="preserve">  We have assumed that each new facility will comply by conducting performance test(s).  The notification of compliance status includes the report of the performance test(s).</w:t>
            </w:r>
          </w:p>
        </w:tc>
      </w:tr>
      <w:tr w:rsidR="00DD1699" w:rsidRPr="00DD1699" w:rsidTr="00B4096A">
        <w:trPr>
          <w:trHeight w:val="375"/>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rPr>
            </w:pPr>
            <w:r w:rsidRPr="00DD1699">
              <w:rPr>
                <w:color w:val="000000"/>
                <w:vertAlign w:val="superscript"/>
              </w:rPr>
              <w:t>g</w:t>
            </w:r>
            <w:r w:rsidRPr="00DD1699">
              <w:rPr>
                <w:color w:val="000000"/>
                <w:sz w:val="20"/>
                <w:szCs w:val="20"/>
              </w:rPr>
              <w:t xml:space="preserve">  We have assumed that only one new facility with softwood veneer dryers will take 120 hours to submit a notification of compliance status without performance test(s).</w:t>
            </w:r>
          </w:p>
        </w:tc>
      </w:tr>
      <w:tr w:rsidR="00DD1699" w:rsidRPr="00DD1699" w:rsidTr="00B4096A">
        <w:trPr>
          <w:trHeight w:val="375"/>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rPr>
            </w:pPr>
            <w:r w:rsidRPr="00DD1699">
              <w:rPr>
                <w:color w:val="000000"/>
                <w:vertAlign w:val="superscript"/>
              </w:rPr>
              <w:t>h</w:t>
            </w:r>
            <w:r w:rsidRPr="00DD1699">
              <w:rPr>
                <w:color w:val="000000"/>
                <w:sz w:val="20"/>
                <w:szCs w:val="20"/>
              </w:rPr>
              <w:t xml:space="preserve">  We have assumed that the respondents’ compliance date is in the first half of the year, so respondents will submit one compliance report the first year that they start complying with the rule and two compliance reports the following year.</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i</w:t>
            </w:r>
            <w:r w:rsidRPr="00DD1699">
              <w:rPr>
                <w:color w:val="000000"/>
                <w:sz w:val="20"/>
                <w:szCs w:val="20"/>
              </w:rPr>
              <w:t xml:space="preserve">  We have assumed that 90 percent of facilities will have no deviation, and 10 percent will have deviation.</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j</w:t>
            </w:r>
            <w:r w:rsidRPr="00DD1699">
              <w:rPr>
                <w:color w:val="000000"/>
                <w:sz w:val="20"/>
                <w:szCs w:val="20"/>
              </w:rPr>
              <w:t xml:space="preserve">  We have assumed that 10 percent of respondents will report an action taken during startup, shutdown, malfunction that are not consistent with the SSMP.</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k</w:t>
            </w:r>
            <w:r w:rsidRPr="00DD1699">
              <w:rPr>
                <w:color w:val="000000"/>
                <w:sz w:val="20"/>
                <w:szCs w:val="20"/>
              </w:rPr>
              <w:t xml:space="preserve">  We have assumed that 10 percent of the facilities will submit control device maintenance report.</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l</w:t>
            </w:r>
            <w:r w:rsidRPr="00DD1699">
              <w:rPr>
                <w:color w:val="000000"/>
                <w:sz w:val="20"/>
                <w:szCs w:val="20"/>
              </w:rPr>
              <w:t xml:space="preserve">  We have assumed that no existing facilities will choose to use the emissions averaging option, and since new facilities are not allowed to use emissions averaging, there will be no need to obtain emissions averaging report.</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m</w:t>
            </w:r>
            <w:r w:rsidRPr="00DD1699">
              <w:rPr>
                <w:color w:val="000000"/>
                <w:sz w:val="20"/>
                <w:szCs w:val="20"/>
              </w:rPr>
              <w:t xml:space="preserve">  We have assumed that it will take each new respondent 40 hours to develop a record system for recording parameter monitoring information.</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n</w:t>
            </w:r>
            <w:r w:rsidRPr="00DD1699">
              <w:rPr>
                <w:color w:val="000000"/>
                <w:sz w:val="20"/>
                <w:szCs w:val="20"/>
              </w:rPr>
              <w:t xml:space="preserve">  We have assumed that it will take 80 hours to draft the startup, shutdown, malfunction plan, and another 20 hours to review/revisions, for a total of 100 hours.</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o</w:t>
            </w:r>
            <w:r w:rsidRPr="00DD1699">
              <w:rPr>
                <w:color w:val="000000"/>
                <w:sz w:val="20"/>
                <w:szCs w:val="20"/>
              </w:rPr>
              <w:t xml:space="preserve">  Records of continuous compliance includes, records of CMS data for emission limitations and various records for work practice standards.</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p</w:t>
            </w:r>
            <w:r w:rsidRPr="00DD1699">
              <w:rPr>
                <w:color w:val="000000"/>
                <w:sz w:val="20"/>
                <w:szCs w:val="20"/>
              </w:rPr>
              <w:t xml:space="preserve">  We have assumed that calibration of the CMS will require eight hours per year for each monitor, assuming two CMS per facility for a total of 16 hours per year.</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q</w:t>
            </w:r>
            <w:r w:rsidRPr="00DD1699">
              <w:rPr>
                <w:color w:val="000000"/>
                <w:sz w:val="20"/>
                <w:szCs w:val="20"/>
              </w:rPr>
              <w:t xml:space="preserve">  We have assumed that it will take 40 hours for each new personnel to be trained.</w:t>
            </w:r>
          </w:p>
        </w:tc>
      </w:tr>
      <w:tr w:rsidR="00DD1699" w:rsidRPr="00DD1699" w:rsidTr="00B4096A">
        <w:trPr>
          <w:trHeight w:val="330"/>
        </w:trPr>
        <w:tc>
          <w:tcPr>
            <w:tcW w:w="13230" w:type="dxa"/>
            <w:tcBorders>
              <w:top w:val="nil"/>
              <w:left w:val="nil"/>
              <w:bottom w:val="nil"/>
              <w:right w:val="nil"/>
            </w:tcBorders>
            <w:shd w:val="clear" w:color="auto" w:fill="auto"/>
            <w:noWrap/>
            <w:vAlign w:val="bottom"/>
            <w:hideMark/>
          </w:tcPr>
          <w:p w:rsidR="00DD1699" w:rsidRPr="00DD1699" w:rsidRDefault="00DD1699" w:rsidP="00B4096A">
            <w:pPr>
              <w:widowControl/>
              <w:autoSpaceDE/>
              <w:autoSpaceDN/>
              <w:adjustRightInd/>
              <w:rPr>
                <w:color w:val="000000"/>
                <w:sz w:val="20"/>
                <w:szCs w:val="20"/>
              </w:rPr>
            </w:pPr>
            <w:r w:rsidRPr="00DD1699">
              <w:rPr>
                <w:color w:val="000000"/>
                <w:sz w:val="20"/>
                <w:szCs w:val="20"/>
                <w:vertAlign w:val="superscript"/>
              </w:rPr>
              <w:t>r</w:t>
            </w:r>
            <w:r w:rsidRPr="00DD1699">
              <w:rPr>
                <w:color w:val="000000"/>
                <w:sz w:val="20"/>
                <w:szCs w:val="20"/>
              </w:rPr>
              <w:t xml:space="preserve">  We have assumed that it will take 16 hours for personnel to complete refresher training and that 20 percent of the personnel will participate (20%x226=46).</w:t>
            </w:r>
          </w:p>
        </w:tc>
      </w:tr>
    </w:tbl>
    <w:p w:rsidR="00042D1E" w:rsidRDefault="00B4096A" w:rsidP="00B4096A">
      <w:pPr>
        <w:jc w:val="center"/>
        <w:outlineLvl w:val="0"/>
        <w:rPr>
          <w:b/>
          <w:bCs/>
        </w:rPr>
      </w:pPr>
      <w:r>
        <w:rPr>
          <w:b/>
          <w:bCs/>
          <w:color w:val="000000"/>
        </w:rPr>
        <w:br w:type="textWrapping" w:clear="all"/>
      </w:r>
      <w:r w:rsidR="00144F35">
        <w:rPr>
          <w:b/>
          <w:bCs/>
          <w:color w:val="000000"/>
        </w:rPr>
        <w:br w:type="page"/>
      </w:r>
      <w:r w:rsidR="00144F35" w:rsidRPr="00C4183F">
        <w:rPr>
          <w:b/>
          <w:bCs/>
          <w:color w:val="000000"/>
        </w:rPr>
        <w:lastRenderedPageBreak/>
        <w:t>Table 2:</w:t>
      </w:r>
      <w:r w:rsidR="00144F35">
        <w:rPr>
          <w:b/>
          <w:bCs/>
          <w:color w:val="000000"/>
        </w:rPr>
        <w:t xml:space="preserve"> Average Annual EPA Burden and Cost – </w:t>
      </w:r>
      <w:r w:rsidR="0009090A">
        <w:rPr>
          <w:b/>
          <w:bCs/>
        </w:rPr>
        <w:t xml:space="preserve">NESHAP for </w:t>
      </w:r>
      <w:r w:rsidR="0009090A">
        <w:rPr>
          <w:b/>
        </w:rPr>
        <w:t>Plywood and Composite Products</w:t>
      </w:r>
      <w:r w:rsidR="0009090A">
        <w:rPr>
          <w:b/>
          <w:bCs/>
        </w:rPr>
        <w:t xml:space="preserve"> (40 CFR Part 63, Subpart</w:t>
      </w:r>
    </w:p>
    <w:p w:rsidR="00144F35" w:rsidRDefault="00042D1E" w:rsidP="00042D1E">
      <w:pPr>
        <w:outlineLvl w:val="0"/>
        <w:rPr>
          <w:b/>
          <w:bCs/>
          <w:color w:val="000000"/>
        </w:rPr>
      </w:pPr>
      <w:r>
        <w:rPr>
          <w:b/>
          <w:bCs/>
        </w:rPr>
        <w:t xml:space="preserve"> </w:t>
      </w:r>
      <w:r w:rsidR="0009090A">
        <w:rPr>
          <w:b/>
          <w:bCs/>
        </w:rPr>
        <w:t xml:space="preserve"> DDDD</w:t>
      </w:r>
      <w:r w:rsidR="0009090A">
        <w:rPr>
          <w:b/>
        </w:rPr>
        <w:t>) (Renewal)</w:t>
      </w:r>
    </w:p>
    <w:p w:rsidR="00144F35" w:rsidRDefault="00144F35" w:rsidP="00F340DF">
      <w:pPr>
        <w:rPr>
          <w:b/>
          <w:bCs/>
          <w:color w:val="000000"/>
        </w:rPr>
      </w:pPr>
    </w:p>
    <w:tbl>
      <w:tblPr>
        <w:tblW w:w="5000" w:type="pct"/>
        <w:tblCellMar>
          <w:left w:w="0" w:type="dxa"/>
          <w:right w:w="0" w:type="dxa"/>
        </w:tblCellMar>
        <w:tblLook w:val="04A0"/>
      </w:tblPr>
      <w:tblGrid>
        <w:gridCol w:w="4492"/>
        <w:gridCol w:w="1081"/>
        <w:gridCol w:w="1094"/>
        <w:gridCol w:w="1032"/>
        <w:gridCol w:w="1013"/>
        <w:gridCol w:w="1064"/>
        <w:gridCol w:w="1132"/>
        <w:gridCol w:w="1020"/>
        <w:gridCol w:w="1132"/>
      </w:tblGrid>
      <w:tr w:rsidR="0009090A" w:rsidTr="0009090A">
        <w:trPr>
          <w:trHeight w:val="765"/>
          <w:tblHeader/>
        </w:trPr>
        <w:tc>
          <w:tcPr>
            <w:tcW w:w="1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D4A" w:rsidRDefault="0009090A" w:rsidP="00810D4A">
            <w:pPr>
              <w:jc w:val="center"/>
              <w:rPr>
                <w:b/>
                <w:bCs/>
                <w:color w:val="000000"/>
                <w:sz w:val="20"/>
                <w:szCs w:val="20"/>
              </w:rPr>
            </w:pPr>
            <w:r>
              <w:rPr>
                <w:b/>
                <w:bCs/>
                <w:color w:val="000000"/>
                <w:sz w:val="20"/>
                <w:szCs w:val="20"/>
              </w:rPr>
              <w:t>Activity</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B4096A" w:rsidRDefault="0009090A">
            <w:pPr>
              <w:jc w:val="center"/>
              <w:rPr>
                <w:b/>
                <w:bCs/>
                <w:color w:val="000000"/>
                <w:sz w:val="20"/>
                <w:szCs w:val="20"/>
              </w:rPr>
            </w:pPr>
            <w:r>
              <w:rPr>
                <w:b/>
                <w:bCs/>
                <w:color w:val="000000"/>
                <w:sz w:val="20"/>
                <w:szCs w:val="20"/>
              </w:rPr>
              <w:t xml:space="preserve">(A) </w:t>
            </w:r>
          </w:p>
          <w:p w:rsidR="00810D4A" w:rsidRDefault="0009090A">
            <w:pPr>
              <w:jc w:val="center"/>
              <w:rPr>
                <w:b/>
                <w:bCs/>
                <w:color w:val="000000"/>
                <w:sz w:val="20"/>
                <w:szCs w:val="20"/>
              </w:rPr>
            </w:pPr>
            <w:r>
              <w:rPr>
                <w:b/>
                <w:bCs/>
                <w:color w:val="000000"/>
                <w:sz w:val="20"/>
                <w:szCs w:val="20"/>
              </w:rPr>
              <w:t>EPA person- hours per occurrence</w:t>
            </w:r>
          </w:p>
          <w:p w:rsidR="00DF2E6C" w:rsidRDefault="00DF2E6C">
            <w:pPr>
              <w:jc w:val="center"/>
              <w:rPr>
                <w:b/>
                <w:bCs/>
                <w:color w:val="000000"/>
                <w:sz w:val="20"/>
                <w:szCs w:val="20"/>
              </w:rPr>
            </w:pPr>
          </w:p>
          <w:p w:rsidR="00DF2E6C" w:rsidRDefault="00DF2E6C">
            <w:pPr>
              <w:jc w:val="center"/>
              <w:rPr>
                <w:b/>
                <w:bCs/>
                <w:color w:val="000000"/>
                <w:sz w:val="20"/>
                <w:szCs w:val="20"/>
              </w:rPr>
            </w:pP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B4096A" w:rsidRDefault="0009090A">
            <w:pPr>
              <w:jc w:val="center"/>
              <w:rPr>
                <w:b/>
                <w:bCs/>
                <w:color w:val="000000"/>
                <w:sz w:val="20"/>
                <w:szCs w:val="20"/>
              </w:rPr>
            </w:pPr>
            <w:r>
              <w:rPr>
                <w:b/>
                <w:bCs/>
                <w:color w:val="000000"/>
                <w:sz w:val="20"/>
                <w:szCs w:val="20"/>
              </w:rPr>
              <w:t xml:space="preserve">(B) </w:t>
            </w:r>
          </w:p>
          <w:p w:rsidR="00810D4A" w:rsidRDefault="0009090A">
            <w:pPr>
              <w:jc w:val="center"/>
              <w:rPr>
                <w:b/>
                <w:bCs/>
                <w:color w:val="000000"/>
                <w:sz w:val="20"/>
                <w:szCs w:val="20"/>
              </w:rPr>
            </w:pPr>
            <w:r>
              <w:rPr>
                <w:b/>
                <w:bCs/>
                <w:color w:val="000000"/>
                <w:sz w:val="20"/>
                <w:szCs w:val="20"/>
              </w:rPr>
              <w:t>No. of occurrences per plant per year</w:t>
            </w:r>
          </w:p>
          <w:p w:rsidR="00DF2E6C" w:rsidRDefault="00DF2E6C">
            <w:pPr>
              <w:jc w:val="center"/>
              <w:rPr>
                <w:b/>
                <w:bCs/>
                <w:color w:val="000000"/>
                <w:sz w:val="20"/>
                <w:szCs w:val="20"/>
              </w:rPr>
            </w:pPr>
          </w:p>
          <w:p w:rsidR="00DF2E6C" w:rsidRDefault="00DF2E6C">
            <w:pPr>
              <w:jc w:val="center"/>
              <w:rPr>
                <w:b/>
                <w:bCs/>
                <w:color w:val="000000"/>
                <w:sz w:val="20"/>
                <w:szCs w:val="20"/>
              </w:rPr>
            </w:pP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B4096A" w:rsidRDefault="0009090A">
            <w:pPr>
              <w:jc w:val="center"/>
              <w:rPr>
                <w:b/>
                <w:bCs/>
                <w:color w:val="000000"/>
                <w:sz w:val="20"/>
                <w:szCs w:val="20"/>
              </w:rPr>
            </w:pPr>
            <w:r>
              <w:rPr>
                <w:b/>
                <w:bCs/>
                <w:color w:val="000000"/>
                <w:sz w:val="20"/>
                <w:szCs w:val="20"/>
              </w:rPr>
              <w:t xml:space="preserve">(C) </w:t>
            </w:r>
          </w:p>
          <w:p w:rsidR="006C76C6" w:rsidRDefault="0009090A">
            <w:pPr>
              <w:jc w:val="center"/>
              <w:rPr>
                <w:b/>
                <w:bCs/>
                <w:color w:val="000000"/>
                <w:sz w:val="20"/>
                <w:szCs w:val="20"/>
              </w:rPr>
            </w:pPr>
            <w:r>
              <w:rPr>
                <w:b/>
                <w:bCs/>
                <w:color w:val="000000"/>
                <w:sz w:val="20"/>
                <w:szCs w:val="20"/>
              </w:rPr>
              <w:t xml:space="preserve">EPA person- hours per plant per year </w:t>
            </w:r>
          </w:p>
          <w:p w:rsidR="00810D4A" w:rsidRDefault="0009090A">
            <w:pPr>
              <w:jc w:val="center"/>
              <w:rPr>
                <w:b/>
                <w:bCs/>
                <w:color w:val="000000"/>
                <w:sz w:val="20"/>
                <w:szCs w:val="20"/>
              </w:rPr>
            </w:pPr>
            <w:r>
              <w:rPr>
                <w:b/>
                <w:bCs/>
                <w:color w:val="000000"/>
                <w:sz w:val="20"/>
                <w:szCs w:val="20"/>
              </w:rPr>
              <w:t>(AxB)</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B4096A" w:rsidRDefault="0009090A">
            <w:pPr>
              <w:jc w:val="center"/>
              <w:rPr>
                <w:b/>
                <w:bCs/>
                <w:color w:val="000000"/>
                <w:sz w:val="20"/>
                <w:szCs w:val="20"/>
              </w:rPr>
            </w:pPr>
            <w:r>
              <w:rPr>
                <w:b/>
                <w:bCs/>
                <w:color w:val="000000"/>
                <w:sz w:val="20"/>
                <w:szCs w:val="20"/>
              </w:rPr>
              <w:t xml:space="preserve">(D) </w:t>
            </w:r>
          </w:p>
          <w:p w:rsidR="00810D4A" w:rsidRDefault="0009090A">
            <w:pPr>
              <w:jc w:val="center"/>
              <w:rPr>
                <w:b/>
                <w:bCs/>
                <w:color w:val="000000"/>
                <w:vertAlign w:val="superscript"/>
              </w:rPr>
            </w:pPr>
            <w:r>
              <w:rPr>
                <w:b/>
                <w:bCs/>
                <w:color w:val="000000"/>
                <w:sz w:val="20"/>
                <w:szCs w:val="20"/>
              </w:rPr>
              <w:t xml:space="preserve">Plants per year  </w:t>
            </w:r>
            <w:r>
              <w:rPr>
                <w:b/>
                <w:bCs/>
                <w:color w:val="000000"/>
                <w:vertAlign w:val="superscript"/>
              </w:rPr>
              <w:t>a</w:t>
            </w:r>
          </w:p>
          <w:p w:rsidR="00DF2E6C" w:rsidRDefault="00DF2E6C">
            <w:pPr>
              <w:jc w:val="center"/>
              <w:rPr>
                <w:b/>
                <w:bCs/>
                <w:color w:val="000000"/>
                <w:vertAlign w:val="superscript"/>
              </w:rPr>
            </w:pPr>
          </w:p>
          <w:p w:rsidR="00DF2E6C" w:rsidRDefault="00DF2E6C">
            <w:pPr>
              <w:jc w:val="center"/>
              <w:rPr>
                <w:b/>
                <w:bCs/>
                <w:color w:val="000000"/>
                <w:vertAlign w:val="superscript"/>
              </w:rPr>
            </w:pPr>
          </w:p>
          <w:p w:rsidR="00DF2E6C" w:rsidRDefault="00DF2E6C">
            <w:pPr>
              <w:jc w:val="cente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6C76C6" w:rsidRDefault="0009090A">
            <w:pPr>
              <w:jc w:val="center"/>
              <w:rPr>
                <w:b/>
                <w:bCs/>
                <w:color w:val="000000"/>
                <w:sz w:val="20"/>
                <w:szCs w:val="20"/>
              </w:rPr>
            </w:pPr>
            <w:r>
              <w:rPr>
                <w:b/>
                <w:bCs/>
                <w:color w:val="000000"/>
                <w:sz w:val="20"/>
                <w:szCs w:val="20"/>
              </w:rPr>
              <w:t xml:space="preserve">(E) Technical person- hours per year </w:t>
            </w:r>
          </w:p>
          <w:p w:rsidR="00810D4A" w:rsidRDefault="0009090A">
            <w:pPr>
              <w:jc w:val="center"/>
              <w:rPr>
                <w:b/>
                <w:bCs/>
                <w:color w:val="000000"/>
                <w:sz w:val="20"/>
                <w:szCs w:val="20"/>
              </w:rPr>
            </w:pPr>
            <w:r>
              <w:rPr>
                <w:b/>
                <w:bCs/>
                <w:color w:val="000000"/>
                <w:sz w:val="20"/>
                <w:szCs w:val="20"/>
              </w:rPr>
              <w:t>(CxD)</w:t>
            </w:r>
          </w:p>
          <w:p w:rsidR="00DF2E6C" w:rsidRDefault="00DF2E6C">
            <w:pPr>
              <w:jc w:val="center"/>
              <w:rPr>
                <w:b/>
                <w:bCs/>
                <w:color w:val="000000"/>
                <w:sz w:val="20"/>
                <w:szCs w:val="20"/>
              </w:rPr>
            </w:pP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810D4A" w:rsidRDefault="0009090A">
            <w:pPr>
              <w:jc w:val="center"/>
              <w:rPr>
                <w:b/>
                <w:bCs/>
                <w:color w:val="000000"/>
                <w:sz w:val="20"/>
                <w:szCs w:val="20"/>
              </w:rPr>
            </w:pPr>
            <w:r>
              <w:rPr>
                <w:b/>
                <w:bCs/>
                <w:color w:val="000000"/>
                <w:sz w:val="20"/>
                <w:szCs w:val="20"/>
              </w:rPr>
              <w:t>(F) Management person-hours per year (Ex0.05)</w:t>
            </w:r>
          </w:p>
          <w:p w:rsidR="00DF2E6C" w:rsidRDefault="00DF2E6C">
            <w:pPr>
              <w:jc w:val="center"/>
              <w:rPr>
                <w:b/>
                <w:bCs/>
                <w:color w:val="000000"/>
                <w:sz w:val="20"/>
                <w:szCs w:val="20"/>
              </w:rPr>
            </w:pP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810D4A" w:rsidRDefault="0009090A">
            <w:pPr>
              <w:jc w:val="center"/>
              <w:rPr>
                <w:b/>
                <w:bCs/>
                <w:color w:val="000000"/>
                <w:sz w:val="20"/>
                <w:szCs w:val="20"/>
              </w:rPr>
            </w:pPr>
            <w:r>
              <w:rPr>
                <w:b/>
                <w:bCs/>
                <w:color w:val="000000"/>
                <w:sz w:val="20"/>
                <w:szCs w:val="20"/>
              </w:rPr>
              <w:t>(G) Clerical person-hours per year (Ex0.1)</w:t>
            </w:r>
          </w:p>
          <w:p w:rsidR="00DF2E6C" w:rsidRDefault="00DF2E6C">
            <w:pPr>
              <w:jc w:val="center"/>
              <w:rPr>
                <w:b/>
                <w:bCs/>
                <w:color w:val="000000"/>
                <w:sz w:val="20"/>
                <w:szCs w:val="20"/>
              </w:rPr>
            </w:pP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rsidR="00B4096A" w:rsidRDefault="0009090A">
            <w:pPr>
              <w:jc w:val="center"/>
              <w:rPr>
                <w:b/>
                <w:bCs/>
                <w:color w:val="000000"/>
                <w:sz w:val="20"/>
                <w:szCs w:val="20"/>
              </w:rPr>
            </w:pPr>
            <w:r>
              <w:rPr>
                <w:b/>
                <w:bCs/>
                <w:color w:val="000000"/>
                <w:sz w:val="20"/>
                <w:szCs w:val="20"/>
              </w:rPr>
              <w:t xml:space="preserve">(H) </w:t>
            </w:r>
          </w:p>
          <w:p w:rsidR="00810D4A" w:rsidRDefault="0009090A">
            <w:pPr>
              <w:jc w:val="center"/>
              <w:rPr>
                <w:b/>
                <w:bCs/>
                <w:color w:val="000000"/>
                <w:vertAlign w:val="superscript"/>
              </w:rPr>
            </w:pPr>
            <w:r>
              <w:rPr>
                <w:b/>
                <w:bCs/>
                <w:color w:val="000000"/>
                <w:sz w:val="20"/>
                <w:szCs w:val="20"/>
              </w:rPr>
              <w:t xml:space="preserve">Cost, $ </w:t>
            </w:r>
            <w:r>
              <w:rPr>
                <w:b/>
                <w:bCs/>
                <w:color w:val="000000"/>
                <w:vertAlign w:val="superscript"/>
              </w:rPr>
              <w:t>b</w:t>
            </w:r>
          </w:p>
          <w:p w:rsidR="00DF2E6C" w:rsidRDefault="00DF2E6C">
            <w:pPr>
              <w:jc w:val="center"/>
              <w:rPr>
                <w:b/>
                <w:bCs/>
                <w:color w:val="000000"/>
                <w:vertAlign w:val="superscript"/>
              </w:rPr>
            </w:pPr>
          </w:p>
          <w:p w:rsidR="00DF2E6C" w:rsidRDefault="00DF2E6C">
            <w:pPr>
              <w:jc w:val="center"/>
              <w:rPr>
                <w:b/>
                <w:bCs/>
                <w:color w:val="000000"/>
                <w:vertAlign w:val="superscript"/>
              </w:rPr>
            </w:pPr>
          </w:p>
          <w:p w:rsidR="00DF2E6C" w:rsidRDefault="00DF2E6C">
            <w:pPr>
              <w:jc w:val="center"/>
              <w:rPr>
                <w:b/>
                <w:bCs/>
                <w:color w:val="000000"/>
                <w:vertAlign w:val="superscript"/>
              </w:rPr>
            </w:pPr>
          </w:p>
          <w:p w:rsidR="00DF2E6C" w:rsidRDefault="00DF2E6C">
            <w:pPr>
              <w:jc w:val="center"/>
              <w:rPr>
                <w:b/>
                <w:bCs/>
                <w:color w:val="000000"/>
                <w:sz w:val="20"/>
                <w:szCs w:val="20"/>
              </w:rPr>
            </w:pPr>
          </w:p>
        </w:tc>
      </w:tr>
      <w:tr w:rsidR="0009090A" w:rsidTr="0009090A">
        <w:trPr>
          <w:trHeight w:val="300"/>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1.  Report review</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A.  Notification of construction/reconstruction </w:t>
            </w:r>
            <w:r>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B.  Notification of anticipated startup </w:t>
            </w:r>
            <w:r>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C.  Notification of actual startup </w:t>
            </w:r>
            <w:r>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D. Notification of applicability of standard </w:t>
            </w:r>
            <w:r>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E.  Review of emissions averaging plan </w:t>
            </w:r>
            <w:r>
              <w:rPr>
                <w:color w:val="000000"/>
                <w:sz w:val="20"/>
                <w:szCs w:val="20"/>
                <w:vertAlign w:val="superscript"/>
              </w:rPr>
              <w:t>d</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40</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40</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00"/>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F.  Review of request for routine control system</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maintenance exemption </w:t>
            </w:r>
            <w:r>
              <w:rPr>
                <w:color w:val="000000"/>
                <w:sz w:val="20"/>
                <w:szCs w:val="20"/>
                <w:vertAlign w:val="superscript"/>
              </w:rPr>
              <w:t>e</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szCs w:val="20"/>
              </w:rPr>
              <w:t>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G. Notification of initial performance test </w:t>
            </w:r>
            <w:r>
              <w:rPr>
                <w:color w:val="000000"/>
                <w:sz w:val="20"/>
                <w:szCs w:val="20"/>
                <w:vertAlign w:val="superscript"/>
              </w:rPr>
              <w:t>f</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$0 </w:t>
            </w:r>
          </w:p>
        </w:tc>
      </w:tr>
      <w:tr w:rsidR="0009090A" w:rsidTr="0009090A">
        <w:trPr>
          <w:trHeight w:val="300"/>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H. Notification of compliance status</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With performance test </w:t>
            </w:r>
            <w:r>
              <w:rPr>
                <w:color w:val="000000"/>
                <w:sz w:val="20"/>
                <w:szCs w:val="20"/>
                <w:vertAlign w:val="superscript"/>
              </w:rPr>
              <w:t>g</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40</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40</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Without performance test </w:t>
            </w:r>
            <w:r>
              <w:rPr>
                <w:color w:val="000000"/>
                <w:sz w:val="20"/>
                <w:szCs w:val="20"/>
                <w:vertAlign w:val="superscript"/>
              </w:rPr>
              <w:t>h</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40</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40</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I.  Review of initial compliance report </w:t>
            </w:r>
            <w:r>
              <w:rPr>
                <w:color w:val="000000"/>
                <w:sz w:val="20"/>
                <w:szCs w:val="20"/>
                <w:vertAlign w:val="superscript"/>
              </w:rPr>
              <w:t>i</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No deviations </w:t>
            </w:r>
            <w:r>
              <w:rPr>
                <w:color w:val="000000"/>
                <w:sz w:val="20"/>
                <w:szCs w:val="20"/>
                <w:vertAlign w:val="superscript"/>
              </w:rPr>
              <w:t>j</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Deviations </w:t>
            </w:r>
            <w:r>
              <w:rPr>
                <w:color w:val="000000"/>
                <w:sz w:val="20"/>
                <w:szCs w:val="20"/>
                <w:vertAlign w:val="superscript"/>
              </w:rPr>
              <w:t>j</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8</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8</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Startup, shutdown, malfunction report </w:t>
            </w:r>
            <w:r>
              <w:rPr>
                <w:color w:val="000000"/>
                <w:sz w:val="20"/>
                <w:szCs w:val="20"/>
                <w:vertAlign w:val="superscript"/>
              </w:rPr>
              <w:t>k</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4</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Control system maintenance report </w:t>
            </w:r>
            <w:r>
              <w:rPr>
                <w:color w:val="000000"/>
                <w:sz w:val="20"/>
                <w:szCs w:val="20"/>
                <w:vertAlign w:val="superscript"/>
              </w:rPr>
              <w:t>l</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Emissions averaging report </w:t>
            </w:r>
            <w:r>
              <w:rPr>
                <w:color w:val="000000"/>
                <w:sz w:val="20"/>
                <w:szCs w:val="20"/>
                <w:vertAlign w:val="superscript"/>
              </w:rPr>
              <w:t>d</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8</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8</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szCs w:val="20"/>
              </w:rPr>
              <w:t xml:space="preserve">$0 </w:t>
            </w:r>
          </w:p>
        </w:tc>
      </w:tr>
      <w:tr w:rsidR="0009090A" w:rsidTr="0009090A">
        <w:trPr>
          <w:trHeight w:val="300"/>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J.  Review of semiannual compliance report</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 </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No deviations </w:t>
            </w:r>
            <w:r>
              <w:rPr>
                <w:color w:val="000000"/>
                <w:sz w:val="20"/>
                <w:szCs w:val="20"/>
                <w:vertAlign w:val="superscript"/>
              </w:rPr>
              <w:t>j</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205</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410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20.5</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41</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$21,248.05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lastRenderedPageBreak/>
              <w:t xml:space="preserve">                  Deviations </w:t>
            </w:r>
            <w:r>
              <w:rPr>
                <w:color w:val="000000"/>
                <w:sz w:val="20"/>
                <w:szCs w:val="20"/>
                <w:vertAlign w:val="superscript"/>
              </w:rPr>
              <w:t>j</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8</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8</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23</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184</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9.2</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18.4</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$9,535.71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Startup, shutdown, and malfunction reports </w:t>
            </w:r>
            <w:r>
              <w:rPr>
                <w:color w:val="000000"/>
                <w:sz w:val="20"/>
                <w:szCs w:val="20"/>
                <w:vertAlign w:val="superscript"/>
              </w:rPr>
              <w:t>k</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23</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46</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2.3</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4.6</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$2,383.93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Control system maintenance report </w:t>
            </w:r>
            <w:r>
              <w:rPr>
                <w:color w:val="000000"/>
                <w:sz w:val="20"/>
                <w:szCs w:val="20"/>
                <w:vertAlign w:val="superscript"/>
              </w:rPr>
              <w:t>l</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23</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46</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2.3</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4.6</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$2,383.93 </w:t>
            </w:r>
          </w:p>
        </w:tc>
      </w:tr>
      <w:tr w:rsidR="0009090A" w:rsidTr="0009090A">
        <w:trPr>
          <w:trHeight w:val="315"/>
        </w:trPr>
        <w:tc>
          <w:tcPr>
            <w:tcW w:w="1617" w:type="pct"/>
            <w:tcBorders>
              <w:top w:val="nil"/>
              <w:left w:val="single" w:sz="4" w:space="0" w:color="auto"/>
              <w:bottom w:val="single" w:sz="4" w:space="0" w:color="auto"/>
              <w:right w:val="single" w:sz="4" w:space="0" w:color="auto"/>
            </w:tcBorders>
            <w:shd w:val="clear" w:color="auto" w:fill="auto"/>
            <w:noWrap/>
            <w:hideMark/>
          </w:tcPr>
          <w:p w:rsidR="0009090A" w:rsidRDefault="0009090A">
            <w:pPr>
              <w:rPr>
                <w:color w:val="000000"/>
                <w:sz w:val="20"/>
                <w:szCs w:val="20"/>
              </w:rPr>
            </w:pPr>
            <w:r>
              <w:rPr>
                <w:color w:val="000000"/>
                <w:sz w:val="20"/>
              </w:rPr>
              <w:t xml:space="preserve">                 Emissions averaging report </w:t>
            </w:r>
            <w:r>
              <w:rPr>
                <w:color w:val="000000"/>
                <w:sz w:val="20"/>
                <w:szCs w:val="20"/>
                <w:vertAlign w:val="superscript"/>
              </w:rPr>
              <w:t>d</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8</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1</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8</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rPr>
              <w:t>0</w:t>
            </w:r>
          </w:p>
        </w:tc>
        <w:tc>
          <w:tcPr>
            <w:tcW w:w="42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10" w:type="pct"/>
            <w:tcBorders>
              <w:top w:val="nil"/>
              <w:left w:val="nil"/>
              <w:bottom w:val="single" w:sz="4" w:space="0" w:color="auto"/>
              <w:right w:val="single" w:sz="4" w:space="0" w:color="auto"/>
            </w:tcBorders>
            <w:shd w:val="clear" w:color="auto" w:fill="auto"/>
            <w:noWrap/>
            <w:vAlign w:val="bottom"/>
            <w:hideMark/>
          </w:tcPr>
          <w:p w:rsidR="0009090A" w:rsidRDefault="0009090A">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hideMark/>
          </w:tcPr>
          <w:p w:rsidR="0009090A" w:rsidRDefault="0009090A">
            <w:pPr>
              <w:jc w:val="right"/>
              <w:rPr>
                <w:color w:val="000000"/>
                <w:sz w:val="20"/>
                <w:szCs w:val="20"/>
              </w:rPr>
            </w:pPr>
            <w:r>
              <w:rPr>
                <w:color w:val="000000"/>
                <w:sz w:val="20"/>
              </w:rPr>
              <w:t xml:space="preserve">$0 </w:t>
            </w:r>
          </w:p>
        </w:tc>
      </w:tr>
      <w:tr w:rsidR="0009090A" w:rsidRPr="00B4096A" w:rsidTr="0009090A">
        <w:trPr>
          <w:trHeight w:val="300"/>
        </w:trPr>
        <w:tc>
          <w:tcPr>
            <w:tcW w:w="1617" w:type="pct"/>
            <w:tcBorders>
              <w:top w:val="nil"/>
              <w:left w:val="single" w:sz="4" w:space="0" w:color="auto"/>
              <w:bottom w:val="single" w:sz="4" w:space="0" w:color="auto"/>
              <w:right w:val="single" w:sz="4" w:space="0" w:color="auto"/>
            </w:tcBorders>
            <w:shd w:val="clear" w:color="auto" w:fill="auto"/>
            <w:noWrap/>
            <w:vAlign w:val="bottom"/>
            <w:hideMark/>
          </w:tcPr>
          <w:p w:rsidR="00810D4A" w:rsidRPr="00B4096A" w:rsidRDefault="0009090A" w:rsidP="00252E01">
            <w:pPr>
              <w:rPr>
                <w:b/>
                <w:bCs/>
                <w:color w:val="000000"/>
                <w:sz w:val="20"/>
                <w:szCs w:val="20"/>
              </w:rPr>
            </w:pPr>
            <w:r w:rsidRPr="00B4096A">
              <w:rPr>
                <w:b/>
                <w:bCs/>
                <w:color w:val="000000"/>
                <w:sz w:val="20"/>
              </w:rPr>
              <w:t>TOTAL ANNUAL BURDEN AND COST</w:t>
            </w:r>
            <w:r w:rsidR="00252E01">
              <w:rPr>
                <w:b/>
                <w:bCs/>
                <w:color w:val="000000"/>
                <w:sz w:val="20"/>
              </w:rPr>
              <w:t>(rounded)</w:t>
            </w:r>
          </w:p>
        </w:tc>
        <w:tc>
          <w:tcPr>
            <w:tcW w:w="427" w:type="pct"/>
            <w:tcBorders>
              <w:top w:val="nil"/>
              <w:left w:val="nil"/>
              <w:bottom w:val="single" w:sz="4" w:space="0" w:color="auto"/>
              <w:right w:val="single" w:sz="4" w:space="0" w:color="auto"/>
            </w:tcBorders>
            <w:shd w:val="clear" w:color="auto" w:fill="auto"/>
            <w:noWrap/>
            <w:vAlign w:val="bottom"/>
            <w:hideMark/>
          </w:tcPr>
          <w:p w:rsidR="0009090A" w:rsidRPr="00B4096A" w:rsidRDefault="0009090A">
            <w:pPr>
              <w:jc w:val="center"/>
              <w:rPr>
                <w:b/>
                <w:color w:val="000000"/>
                <w:sz w:val="20"/>
                <w:szCs w:val="20"/>
              </w:rPr>
            </w:pPr>
            <w:r w:rsidRPr="00B4096A">
              <w:rPr>
                <w:b/>
                <w:color w:val="000000"/>
                <w:sz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09090A" w:rsidRPr="00B4096A" w:rsidRDefault="0009090A">
            <w:pPr>
              <w:jc w:val="center"/>
              <w:rPr>
                <w:b/>
                <w:color w:val="000000"/>
                <w:sz w:val="20"/>
                <w:szCs w:val="20"/>
              </w:rPr>
            </w:pPr>
            <w:r w:rsidRPr="00B4096A">
              <w:rPr>
                <w:b/>
                <w:color w:val="000000"/>
                <w:sz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09090A" w:rsidRPr="00B4096A" w:rsidRDefault="0009090A">
            <w:pPr>
              <w:jc w:val="center"/>
              <w:rPr>
                <w:b/>
                <w:color w:val="000000"/>
                <w:sz w:val="20"/>
                <w:szCs w:val="20"/>
              </w:rPr>
            </w:pPr>
            <w:r w:rsidRPr="00B4096A">
              <w:rPr>
                <w:b/>
                <w:color w:val="000000"/>
                <w:sz w:val="20"/>
              </w:rPr>
              <w:t> </w:t>
            </w:r>
          </w:p>
        </w:tc>
        <w:tc>
          <w:tcPr>
            <w:tcW w:w="401" w:type="pct"/>
            <w:tcBorders>
              <w:top w:val="nil"/>
              <w:left w:val="nil"/>
              <w:bottom w:val="single" w:sz="4" w:space="0" w:color="auto"/>
              <w:right w:val="single" w:sz="4" w:space="0" w:color="auto"/>
            </w:tcBorders>
            <w:shd w:val="clear" w:color="auto" w:fill="auto"/>
            <w:noWrap/>
            <w:vAlign w:val="bottom"/>
            <w:hideMark/>
          </w:tcPr>
          <w:p w:rsidR="0009090A" w:rsidRPr="00B4096A" w:rsidRDefault="0009090A">
            <w:pPr>
              <w:jc w:val="center"/>
              <w:rPr>
                <w:b/>
                <w:color w:val="000000"/>
                <w:sz w:val="20"/>
                <w:szCs w:val="20"/>
              </w:rPr>
            </w:pPr>
            <w:r w:rsidRPr="00B4096A">
              <w:rPr>
                <w:b/>
                <w:color w:val="000000"/>
                <w:sz w:val="20"/>
              </w:rPr>
              <w:t> </w:t>
            </w:r>
          </w:p>
        </w:tc>
        <w:tc>
          <w:tcPr>
            <w:tcW w:w="126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09090A" w:rsidRPr="00B4096A" w:rsidRDefault="0009090A">
            <w:pPr>
              <w:jc w:val="center"/>
              <w:rPr>
                <w:b/>
                <w:color w:val="000000"/>
                <w:sz w:val="20"/>
                <w:szCs w:val="20"/>
              </w:rPr>
            </w:pPr>
            <w:r w:rsidRPr="00B4096A">
              <w:rPr>
                <w:b/>
                <w:color w:val="000000"/>
                <w:sz w:val="20"/>
              </w:rPr>
              <w:t>78</w:t>
            </w:r>
            <w:r w:rsidR="00B4096A" w:rsidRPr="00B4096A">
              <w:rPr>
                <w:b/>
                <w:color w:val="000000"/>
                <w:sz w:val="20"/>
              </w:rPr>
              <w:t>9</w:t>
            </w:r>
          </w:p>
        </w:tc>
        <w:tc>
          <w:tcPr>
            <w:tcW w:w="446" w:type="pct"/>
            <w:tcBorders>
              <w:top w:val="nil"/>
              <w:left w:val="nil"/>
              <w:bottom w:val="single" w:sz="4" w:space="0" w:color="auto"/>
              <w:right w:val="single" w:sz="4" w:space="0" w:color="auto"/>
            </w:tcBorders>
            <w:shd w:val="clear" w:color="auto" w:fill="auto"/>
            <w:noWrap/>
            <w:vAlign w:val="bottom"/>
            <w:hideMark/>
          </w:tcPr>
          <w:p w:rsidR="0009090A" w:rsidRPr="00B4096A" w:rsidRDefault="0009090A">
            <w:pPr>
              <w:jc w:val="right"/>
              <w:rPr>
                <w:b/>
                <w:color w:val="000000"/>
                <w:sz w:val="20"/>
                <w:szCs w:val="20"/>
              </w:rPr>
            </w:pPr>
            <w:r w:rsidRPr="00B4096A">
              <w:rPr>
                <w:b/>
                <w:color w:val="000000"/>
                <w:sz w:val="20"/>
              </w:rPr>
              <w:t xml:space="preserve">$35,552 </w:t>
            </w:r>
          </w:p>
        </w:tc>
      </w:tr>
    </w:tbl>
    <w:p w:rsidR="0009090A" w:rsidRDefault="0009090A" w:rsidP="00F340DF">
      <w:pPr>
        <w:rPr>
          <w:bCs/>
          <w:color w:val="FF0000"/>
        </w:rPr>
      </w:pPr>
      <w:r w:rsidRPr="00144F35" w:rsidDel="00DD1699">
        <w:rPr>
          <w:bCs/>
          <w:color w:val="FF0000"/>
        </w:rPr>
        <w:t xml:space="preserve"> </w:t>
      </w:r>
    </w:p>
    <w:tbl>
      <w:tblPr>
        <w:tblW w:w="3980" w:type="dxa"/>
        <w:tblCellMar>
          <w:left w:w="0" w:type="dxa"/>
          <w:right w:w="0" w:type="dxa"/>
        </w:tblCellMar>
        <w:tblLook w:val="04A0"/>
      </w:tblPr>
      <w:tblGrid>
        <w:gridCol w:w="13050"/>
      </w:tblGrid>
      <w:tr w:rsidR="0009090A" w:rsidTr="0009090A">
        <w:trPr>
          <w:trHeight w:val="300"/>
        </w:trPr>
        <w:tc>
          <w:tcPr>
            <w:tcW w:w="3980" w:type="dxa"/>
            <w:tcBorders>
              <w:top w:val="nil"/>
              <w:left w:val="nil"/>
              <w:bottom w:val="nil"/>
              <w:right w:val="nil"/>
            </w:tcBorders>
            <w:shd w:val="clear" w:color="auto" w:fill="auto"/>
            <w:noWrap/>
            <w:vAlign w:val="bottom"/>
            <w:hideMark/>
          </w:tcPr>
          <w:p w:rsidR="0009090A" w:rsidRDefault="0009090A">
            <w:pPr>
              <w:rPr>
                <w:b/>
                <w:bCs/>
                <w:color w:val="000000"/>
                <w:sz w:val="20"/>
                <w:szCs w:val="20"/>
              </w:rPr>
            </w:pPr>
            <w:r>
              <w:rPr>
                <w:b/>
                <w:bCs/>
                <w:color w:val="000000"/>
                <w:sz w:val="20"/>
                <w:szCs w:val="20"/>
              </w:rPr>
              <w:t>Assumptions:</w:t>
            </w:r>
          </w:p>
        </w:tc>
      </w:tr>
      <w:tr w:rsidR="0009090A" w:rsidTr="0009090A">
        <w:trPr>
          <w:trHeight w:val="375"/>
        </w:trPr>
        <w:tc>
          <w:tcPr>
            <w:tcW w:w="0" w:type="auto"/>
            <w:tcBorders>
              <w:top w:val="nil"/>
              <w:left w:val="nil"/>
              <w:bottom w:val="nil"/>
              <w:right w:val="nil"/>
            </w:tcBorders>
            <w:shd w:val="clear" w:color="auto" w:fill="auto"/>
            <w:noWrap/>
            <w:vAlign w:val="bottom"/>
            <w:hideMark/>
          </w:tcPr>
          <w:p w:rsidR="0009090A" w:rsidRDefault="0009090A">
            <w:pPr>
              <w:rPr>
                <w:color w:val="000000"/>
              </w:rPr>
            </w:pPr>
            <w:r>
              <w:rPr>
                <w:color w:val="000000"/>
                <w:vertAlign w:val="superscript"/>
              </w:rPr>
              <w:t>a</w:t>
            </w:r>
            <w:r>
              <w:rPr>
                <w:color w:val="000000"/>
                <w:sz w:val="20"/>
                <w:szCs w:val="20"/>
              </w:rPr>
              <w:t xml:space="preserve">  We have assumed that the average number of respondents that will be subject to this rule will be 228.  There will be no new additional sources during the next three years of this ICR.</w:t>
            </w:r>
          </w:p>
        </w:tc>
      </w:tr>
      <w:tr w:rsidR="0009090A" w:rsidTr="0009090A">
        <w:trPr>
          <w:trHeight w:val="375"/>
        </w:trPr>
        <w:tc>
          <w:tcPr>
            <w:tcW w:w="0" w:type="auto"/>
            <w:tcBorders>
              <w:top w:val="nil"/>
              <w:left w:val="nil"/>
              <w:bottom w:val="nil"/>
              <w:right w:val="nil"/>
            </w:tcBorders>
            <w:shd w:val="clear" w:color="auto" w:fill="auto"/>
            <w:noWrap/>
            <w:vAlign w:val="bottom"/>
            <w:hideMark/>
          </w:tcPr>
          <w:p w:rsidR="0009090A" w:rsidRDefault="0009090A">
            <w:pPr>
              <w:rPr>
                <w:color w:val="000000"/>
              </w:rPr>
            </w:pPr>
            <w:r>
              <w:rPr>
                <w:color w:val="000000"/>
                <w:vertAlign w:val="superscript"/>
              </w:rPr>
              <w:t>b</w:t>
            </w:r>
            <w:r>
              <w:rPr>
                <w:color w:val="000000"/>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2012 General Schedule which excludes locality rates of pay.</w:t>
            </w:r>
          </w:p>
        </w:tc>
      </w:tr>
      <w:tr w:rsidR="0009090A" w:rsidTr="0009090A">
        <w:trPr>
          <w:trHeight w:val="375"/>
        </w:trPr>
        <w:tc>
          <w:tcPr>
            <w:tcW w:w="0" w:type="auto"/>
            <w:tcBorders>
              <w:top w:val="nil"/>
              <w:left w:val="nil"/>
              <w:bottom w:val="nil"/>
              <w:right w:val="nil"/>
            </w:tcBorders>
            <w:shd w:val="clear" w:color="auto" w:fill="auto"/>
            <w:noWrap/>
            <w:vAlign w:val="bottom"/>
            <w:hideMark/>
          </w:tcPr>
          <w:p w:rsidR="0009090A" w:rsidRDefault="0009090A">
            <w:pPr>
              <w:rPr>
                <w:color w:val="000000"/>
              </w:rPr>
            </w:pPr>
            <w:r>
              <w:rPr>
                <w:color w:val="000000"/>
                <w:vertAlign w:val="superscript"/>
              </w:rPr>
              <w:t>c</w:t>
            </w:r>
            <w:r>
              <w:rPr>
                <w:color w:val="000000"/>
                <w:sz w:val="20"/>
                <w:szCs w:val="20"/>
              </w:rPr>
              <w:t xml:space="preserve">  We have assumed that there will be no new or reconstructed facilities during the next three years of this ICR.</w:t>
            </w:r>
          </w:p>
        </w:tc>
      </w:tr>
      <w:tr w:rsidR="0009090A" w:rsidTr="0009090A">
        <w:trPr>
          <w:trHeight w:val="375"/>
        </w:trPr>
        <w:tc>
          <w:tcPr>
            <w:tcW w:w="0" w:type="auto"/>
            <w:tcBorders>
              <w:top w:val="nil"/>
              <w:left w:val="nil"/>
              <w:bottom w:val="nil"/>
              <w:right w:val="nil"/>
            </w:tcBorders>
            <w:shd w:val="clear" w:color="auto" w:fill="auto"/>
            <w:noWrap/>
            <w:vAlign w:val="bottom"/>
            <w:hideMark/>
          </w:tcPr>
          <w:p w:rsidR="0009090A" w:rsidRDefault="0009090A">
            <w:pPr>
              <w:rPr>
                <w:color w:val="000000"/>
              </w:rPr>
            </w:pPr>
            <w:r>
              <w:rPr>
                <w:color w:val="000000"/>
                <w:vertAlign w:val="superscript"/>
              </w:rPr>
              <w:t>d</w:t>
            </w:r>
            <w:r>
              <w:rPr>
                <w:color w:val="000000"/>
                <w:sz w:val="20"/>
                <w:szCs w:val="20"/>
              </w:rPr>
              <w:t xml:space="preserve">  We have assumed that no existing facilities will choose to use the emission averaging plan because we assume that all facilities will install control systems, and new facilities are not allowed to use emissions averaging..</w:t>
            </w:r>
            <w:r>
              <w:rPr>
                <w:color w:val="000000"/>
                <w:sz w:val="20"/>
                <w:szCs w:val="20"/>
                <w:vertAlign w:val="superscript"/>
              </w:rPr>
              <w:t xml:space="preserve"> </w:t>
            </w:r>
          </w:p>
        </w:tc>
      </w:tr>
      <w:tr w:rsidR="0009090A" w:rsidTr="0009090A">
        <w:trPr>
          <w:trHeight w:val="330"/>
        </w:trPr>
        <w:tc>
          <w:tcPr>
            <w:tcW w:w="0" w:type="auto"/>
            <w:tcBorders>
              <w:top w:val="nil"/>
              <w:left w:val="nil"/>
              <w:bottom w:val="nil"/>
              <w:right w:val="nil"/>
            </w:tcBorders>
            <w:shd w:val="clear" w:color="auto" w:fill="auto"/>
            <w:noWrap/>
            <w:vAlign w:val="bottom"/>
            <w:hideMark/>
          </w:tcPr>
          <w:p w:rsidR="0009090A" w:rsidRDefault="0009090A">
            <w:pPr>
              <w:rPr>
                <w:color w:val="000000"/>
                <w:sz w:val="20"/>
                <w:szCs w:val="20"/>
              </w:rPr>
            </w:pPr>
            <w:r>
              <w:rPr>
                <w:color w:val="000000"/>
                <w:sz w:val="20"/>
                <w:szCs w:val="20"/>
                <w:vertAlign w:val="superscript"/>
              </w:rPr>
              <w:t>e</w:t>
            </w:r>
            <w:r>
              <w:rPr>
                <w:color w:val="000000"/>
                <w:sz w:val="20"/>
                <w:szCs w:val="20"/>
              </w:rPr>
              <w:t xml:space="preserve">  We have assumed that all new facilities will have submitted a request for routine control system maintenance exemption.</w:t>
            </w:r>
          </w:p>
        </w:tc>
      </w:tr>
      <w:tr w:rsidR="0009090A" w:rsidTr="0009090A">
        <w:trPr>
          <w:trHeight w:val="330"/>
        </w:trPr>
        <w:tc>
          <w:tcPr>
            <w:tcW w:w="0" w:type="auto"/>
            <w:tcBorders>
              <w:top w:val="nil"/>
              <w:left w:val="nil"/>
              <w:bottom w:val="nil"/>
              <w:right w:val="nil"/>
            </w:tcBorders>
            <w:shd w:val="clear" w:color="auto" w:fill="auto"/>
            <w:noWrap/>
            <w:vAlign w:val="bottom"/>
            <w:hideMark/>
          </w:tcPr>
          <w:p w:rsidR="0009090A" w:rsidRDefault="0009090A">
            <w:pPr>
              <w:rPr>
                <w:color w:val="000000"/>
                <w:sz w:val="20"/>
                <w:szCs w:val="20"/>
              </w:rPr>
            </w:pPr>
            <w:r>
              <w:rPr>
                <w:color w:val="000000"/>
                <w:sz w:val="20"/>
                <w:szCs w:val="20"/>
                <w:vertAlign w:val="superscript"/>
              </w:rPr>
              <w:t>f</w:t>
            </w:r>
            <w:r>
              <w:rPr>
                <w:color w:val="000000"/>
                <w:sz w:val="20"/>
                <w:szCs w:val="20"/>
              </w:rPr>
              <w:t xml:space="preserve">  We have assumed that it will take each new respondent two hours to review the notification of initial performance test.</w:t>
            </w:r>
          </w:p>
        </w:tc>
      </w:tr>
      <w:tr w:rsidR="0009090A" w:rsidTr="0009090A">
        <w:trPr>
          <w:trHeight w:val="330"/>
        </w:trPr>
        <w:tc>
          <w:tcPr>
            <w:tcW w:w="0" w:type="auto"/>
            <w:tcBorders>
              <w:top w:val="nil"/>
              <w:left w:val="nil"/>
              <w:bottom w:val="nil"/>
              <w:right w:val="nil"/>
            </w:tcBorders>
            <w:shd w:val="clear" w:color="auto" w:fill="auto"/>
            <w:noWrap/>
            <w:vAlign w:val="bottom"/>
            <w:hideMark/>
          </w:tcPr>
          <w:p w:rsidR="0009090A" w:rsidRDefault="0009090A">
            <w:pPr>
              <w:rPr>
                <w:color w:val="000000"/>
                <w:sz w:val="20"/>
                <w:szCs w:val="20"/>
              </w:rPr>
            </w:pPr>
            <w:r>
              <w:rPr>
                <w:color w:val="000000"/>
                <w:sz w:val="20"/>
                <w:szCs w:val="20"/>
                <w:vertAlign w:val="superscript"/>
              </w:rPr>
              <w:t>g</w:t>
            </w:r>
            <w:r>
              <w:rPr>
                <w:color w:val="000000"/>
                <w:sz w:val="20"/>
                <w:szCs w:val="20"/>
              </w:rPr>
              <w:t xml:space="preserve">  We have assumed that all new facilities will conduct an initial performance test(s) and submit a notification of compliance status that includes the report of the performance test(s).</w:t>
            </w:r>
          </w:p>
        </w:tc>
      </w:tr>
      <w:tr w:rsidR="0009090A" w:rsidTr="0009090A">
        <w:trPr>
          <w:trHeight w:val="330"/>
        </w:trPr>
        <w:tc>
          <w:tcPr>
            <w:tcW w:w="0" w:type="auto"/>
            <w:tcBorders>
              <w:top w:val="nil"/>
              <w:left w:val="nil"/>
              <w:bottom w:val="nil"/>
              <w:right w:val="nil"/>
            </w:tcBorders>
            <w:shd w:val="clear" w:color="auto" w:fill="auto"/>
            <w:noWrap/>
            <w:vAlign w:val="bottom"/>
            <w:hideMark/>
          </w:tcPr>
          <w:p w:rsidR="0009090A" w:rsidRDefault="0009090A">
            <w:pPr>
              <w:rPr>
                <w:color w:val="000000"/>
                <w:sz w:val="20"/>
                <w:szCs w:val="20"/>
              </w:rPr>
            </w:pPr>
            <w:r>
              <w:rPr>
                <w:color w:val="000000"/>
                <w:sz w:val="20"/>
                <w:szCs w:val="20"/>
                <w:vertAlign w:val="superscript"/>
              </w:rPr>
              <w:t>h</w:t>
            </w:r>
            <w:r>
              <w:rPr>
                <w:color w:val="000000"/>
                <w:sz w:val="20"/>
                <w:szCs w:val="20"/>
              </w:rPr>
              <w:t xml:space="preserve">  We have assumed that one new facility per year with softwood veneer dryers will submit a notification of compliance status without performance test.</w:t>
            </w:r>
          </w:p>
        </w:tc>
      </w:tr>
      <w:tr w:rsidR="0009090A" w:rsidTr="0009090A">
        <w:trPr>
          <w:trHeight w:val="330"/>
        </w:trPr>
        <w:tc>
          <w:tcPr>
            <w:tcW w:w="0" w:type="auto"/>
            <w:tcBorders>
              <w:top w:val="nil"/>
              <w:left w:val="nil"/>
              <w:bottom w:val="nil"/>
              <w:right w:val="nil"/>
            </w:tcBorders>
            <w:shd w:val="clear" w:color="auto" w:fill="auto"/>
            <w:noWrap/>
            <w:vAlign w:val="bottom"/>
            <w:hideMark/>
          </w:tcPr>
          <w:p w:rsidR="0009090A" w:rsidRDefault="0009090A">
            <w:pPr>
              <w:rPr>
                <w:color w:val="000000"/>
                <w:sz w:val="20"/>
                <w:szCs w:val="20"/>
              </w:rPr>
            </w:pPr>
            <w:r>
              <w:rPr>
                <w:color w:val="000000"/>
                <w:sz w:val="20"/>
                <w:szCs w:val="20"/>
                <w:vertAlign w:val="superscript"/>
              </w:rPr>
              <w:t>i</w:t>
            </w:r>
            <w:r>
              <w:rPr>
                <w:color w:val="000000"/>
                <w:sz w:val="20"/>
                <w:szCs w:val="20"/>
              </w:rPr>
              <w:t xml:space="preserve">  We have assumed that the facilities compliance date is in the first half of the year, so facilities will submit one compliance report the first year that they start complying with the rule and two compliance reports the years that follow.</w:t>
            </w:r>
          </w:p>
        </w:tc>
      </w:tr>
      <w:tr w:rsidR="0009090A" w:rsidTr="0009090A">
        <w:trPr>
          <w:trHeight w:val="330"/>
        </w:trPr>
        <w:tc>
          <w:tcPr>
            <w:tcW w:w="0" w:type="auto"/>
            <w:tcBorders>
              <w:top w:val="nil"/>
              <w:left w:val="nil"/>
              <w:bottom w:val="nil"/>
              <w:right w:val="nil"/>
            </w:tcBorders>
            <w:shd w:val="clear" w:color="auto" w:fill="auto"/>
            <w:noWrap/>
            <w:vAlign w:val="bottom"/>
            <w:hideMark/>
          </w:tcPr>
          <w:p w:rsidR="0009090A" w:rsidRDefault="0009090A">
            <w:pPr>
              <w:rPr>
                <w:color w:val="000000"/>
                <w:sz w:val="20"/>
                <w:szCs w:val="20"/>
              </w:rPr>
            </w:pPr>
            <w:r>
              <w:rPr>
                <w:color w:val="000000"/>
                <w:sz w:val="20"/>
                <w:szCs w:val="20"/>
                <w:vertAlign w:val="superscript"/>
              </w:rPr>
              <w:t>j</w:t>
            </w:r>
            <w:r>
              <w:rPr>
                <w:color w:val="000000"/>
                <w:sz w:val="20"/>
                <w:szCs w:val="20"/>
              </w:rPr>
              <w:t xml:space="preserve">  We have assumed that 90 percent of facilities will have no deviations, and 10 percent will have deviations</w:t>
            </w:r>
          </w:p>
        </w:tc>
      </w:tr>
      <w:tr w:rsidR="0009090A" w:rsidTr="0009090A">
        <w:trPr>
          <w:trHeight w:val="330"/>
        </w:trPr>
        <w:tc>
          <w:tcPr>
            <w:tcW w:w="0" w:type="auto"/>
            <w:tcBorders>
              <w:top w:val="nil"/>
              <w:left w:val="nil"/>
              <w:bottom w:val="nil"/>
              <w:right w:val="nil"/>
            </w:tcBorders>
            <w:shd w:val="clear" w:color="auto" w:fill="auto"/>
            <w:noWrap/>
            <w:vAlign w:val="bottom"/>
            <w:hideMark/>
          </w:tcPr>
          <w:p w:rsidR="0009090A" w:rsidRDefault="0009090A">
            <w:pPr>
              <w:rPr>
                <w:color w:val="000000"/>
                <w:sz w:val="20"/>
                <w:szCs w:val="20"/>
              </w:rPr>
            </w:pPr>
            <w:r>
              <w:rPr>
                <w:color w:val="000000"/>
                <w:sz w:val="20"/>
                <w:szCs w:val="20"/>
                <w:vertAlign w:val="superscript"/>
              </w:rPr>
              <w:t>k</w:t>
            </w:r>
            <w:r>
              <w:rPr>
                <w:color w:val="000000"/>
                <w:sz w:val="20"/>
                <w:szCs w:val="20"/>
              </w:rPr>
              <w:t xml:space="preserve">  We have assumed that each respondent will report any action taken during a startup, shutdown, or malfunction that are consistent with the SSMP.</w:t>
            </w:r>
          </w:p>
        </w:tc>
      </w:tr>
    </w:tbl>
    <w:p w:rsidR="00144F35" w:rsidRDefault="00144F35" w:rsidP="005C0533">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C27" w:rsidRDefault="004E7C27">
      <w:r>
        <w:separator/>
      </w:r>
    </w:p>
  </w:endnote>
  <w:endnote w:type="continuationSeparator" w:id="0">
    <w:p w:rsidR="004E7C27" w:rsidRDefault="004E7C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C27" w:rsidRDefault="004E7C27">
      <w:r>
        <w:separator/>
      </w:r>
    </w:p>
  </w:footnote>
  <w:footnote w:type="continuationSeparator" w:id="0">
    <w:p w:rsidR="004E7C27" w:rsidRDefault="004E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C27" w:rsidRDefault="004E7C27">
    <w:pPr>
      <w:framePr w:w="9361" w:wrap="notBeside" w:vAnchor="text" w:hAnchor="text" w:x="1" w:y="1"/>
      <w:jc w:val="center"/>
    </w:pPr>
    <w:fldSimple w:instr="PAGE ">
      <w:r w:rsidR="00091066">
        <w:rPr>
          <w:noProof/>
        </w:rPr>
        <w:t>15</w:t>
      </w:r>
    </w:fldSimple>
  </w:p>
  <w:p w:rsidR="004E7C27" w:rsidRDefault="004E7C27"/>
  <w:p w:rsidR="004E7C27" w:rsidRDefault="004E7C2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47F4"/>
    <w:rsid w:val="0003619B"/>
    <w:rsid w:val="00036E84"/>
    <w:rsid w:val="00042D1E"/>
    <w:rsid w:val="00055BDF"/>
    <w:rsid w:val="00055DC5"/>
    <w:rsid w:val="0008443B"/>
    <w:rsid w:val="0009090A"/>
    <w:rsid w:val="00091066"/>
    <w:rsid w:val="00093AE1"/>
    <w:rsid w:val="000978CB"/>
    <w:rsid w:val="000A1FBB"/>
    <w:rsid w:val="000A24FD"/>
    <w:rsid w:val="000A687C"/>
    <w:rsid w:val="000D2272"/>
    <w:rsid w:val="000E46A1"/>
    <w:rsid w:val="000F772C"/>
    <w:rsid w:val="00101B40"/>
    <w:rsid w:val="00102B52"/>
    <w:rsid w:val="0010697C"/>
    <w:rsid w:val="001202D5"/>
    <w:rsid w:val="00123889"/>
    <w:rsid w:val="00125672"/>
    <w:rsid w:val="00126A7C"/>
    <w:rsid w:val="001356D4"/>
    <w:rsid w:val="0014079D"/>
    <w:rsid w:val="00144978"/>
    <w:rsid w:val="00144A82"/>
    <w:rsid w:val="00144F35"/>
    <w:rsid w:val="0015433E"/>
    <w:rsid w:val="00181CE8"/>
    <w:rsid w:val="00186DA3"/>
    <w:rsid w:val="00195753"/>
    <w:rsid w:val="001A0B41"/>
    <w:rsid w:val="001A69A9"/>
    <w:rsid w:val="001B0B9A"/>
    <w:rsid w:val="001B35F2"/>
    <w:rsid w:val="001C5991"/>
    <w:rsid w:val="001D762C"/>
    <w:rsid w:val="001F19FF"/>
    <w:rsid w:val="002041C5"/>
    <w:rsid w:val="002063FE"/>
    <w:rsid w:val="00206932"/>
    <w:rsid w:val="0021722B"/>
    <w:rsid w:val="00221507"/>
    <w:rsid w:val="0022738C"/>
    <w:rsid w:val="00234A28"/>
    <w:rsid w:val="00236DB3"/>
    <w:rsid w:val="002431D9"/>
    <w:rsid w:val="00252E01"/>
    <w:rsid w:val="00255740"/>
    <w:rsid w:val="002638A0"/>
    <w:rsid w:val="002712EB"/>
    <w:rsid w:val="0027222A"/>
    <w:rsid w:val="002743D2"/>
    <w:rsid w:val="00277F42"/>
    <w:rsid w:val="00281CAE"/>
    <w:rsid w:val="0029006A"/>
    <w:rsid w:val="002904E7"/>
    <w:rsid w:val="00296DD9"/>
    <w:rsid w:val="002976E9"/>
    <w:rsid w:val="002B0EFC"/>
    <w:rsid w:val="002B29A5"/>
    <w:rsid w:val="002B29A7"/>
    <w:rsid w:val="002B517F"/>
    <w:rsid w:val="002B6993"/>
    <w:rsid w:val="002C1F95"/>
    <w:rsid w:val="002C416A"/>
    <w:rsid w:val="002C77DF"/>
    <w:rsid w:val="002D7683"/>
    <w:rsid w:val="002F02F4"/>
    <w:rsid w:val="002F674B"/>
    <w:rsid w:val="002F6DB3"/>
    <w:rsid w:val="003139FC"/>
    <w:rsid w:val="00337E79"/>
    <w:rsid w:val="00341540"/>
    <w:rsid w:val="00343C0C"/>
    <w:rsid w:val="003511C6"/>
    <w:rsid w:val="0035325B"/>
    <w:rsid w:val="00354C15"/>
    <w:rsid w:val="0036394B"/>
    <w:rsid w:val="00382621"/>
    <w:rsid w:val="00395BF7"/>
    <w:rsid w:val="003B42A1"/>
    <w:rsid w:val="003C40D7"/>
    <w:rsid w:val="003C4B46"/>
    <w:rsid w:val="003C5023"/>
    <w:rsid w:val="003E30B5"/>
    <w:rsid w:val="003E4C18"/>
    <w:rsid w:val="0040391F"/>
    <w:rsid w:val="0041329F"/>
    <w:rsid w:val="0044133C"/>
    <w:rsid w:val="00455557"/>
    <w:rsid w:val="004629F8"/>
    <w:rsid w:val="0047156C"/>
    <w:rsid w:val="00472391"/>
    <w:rsid w:val="00474756"/>
    <w:rsid w:val="004832AF"/>
    <w:rsid w:val="00484A45"/>
    <w:rsid w:val="004A4B25"/>
    <w:rsid w:val="004C5E95"/>
    <w:rsid w:val="004C701D"/>
    <w:rsid w:val="004E3C19"/>
    <w:rsid w:val="004E4F15"/>
    <w:rsid w:val="004E5B42"/>
    <w:rsid w:val="004E7C27"/>
    <w:rsid w:val="004F1469"/>
    <w:rsid w:val="004F3DD0"/>
    <w:rsid w:val="004F6FCD"/>
    <w:rsid w:val="00504745"/>
    <w:rsid w:val="00507EC5"/>
    <w:rsid w:val="0051439C"/>
    <w:rsid w:val="00516952"/>
    <w:rsid w:val="00521820"/>
    <w:rsid w:val="005253D4"/>
    <w:rsid w:val="005419BD"/>
    <w:rsid w:val="00551815"/>
    <w:rsid w:val="00560AD2"/>
    <w:rsid w:val="00565A51"/>
    <w:rsid w:val="0057125B"/>
    <w:rsid w:val="00571260"/>
    <w:rsid w:val="00583626"/>
    <w:rsid w:val="005A1986"/>
    <w:rsid w:val="005A7FDB"/>
    <w:rsid w:val="005B031D"/>
    <w:rsid w:val="005B5DE8"/>
    <w:rsid w:val="005C0533"/>
    <w:rsid w:val="005C3665"/>
    <w:rsid w:val="005C42AC"/>
    <w:rsid w:val="005D385C"/>
    <w:rsid w:val="005E194B"/>
    <w:rsid w:val="005F42F8"/>
    <w:rsid w:val="00601205"/>
    <w:rsid w:val="00606DEF"/>
    <w:rsid w:val="00610A6B"/>
    <w:rsid w:val="006131EE"/>
    <w:rsid w:val="00630300"/>
    <w:rsid w:val="00631517"/>
    <w:rsid w:val="00635DBD"/>
    <w:rsid w:val="00647436"/>
    <w:rsid w:val="00667FB6"/>
    <w:rsid w:val="00670D52"/>
    <w:rsid w:val="00673434"/>
    <w:rsid w:val="006741F7"/>
    <w:rsid w:val="00694B55"/>
    <w:rsid w:val="006A7541"/>
    <w:rsid w:val="006C7681"/>
    <w:rsid w:val="006C76C6"/>
    <w:rsid w:val="006D1B12"/>
    <w:rsid w:val="006E4A6E"/>
    <w:rsid w:val="006E642B"/>
    <w:rsid w:val="00724BC7"/>
    <w:rsid w:val="0075131B"/>
    <w:rsid w:val="00762CF3"/>
    <w:rsid w:val="00763160"/>
    <w:rsid w:val="00780612"/>
    <w:rsid w:val="00786A20"/>
    <w:rsid w:val="007A0634"/>
    <w:rsid w:val="007A16F4"/>
    <w:rsid w:val="007A458D"/>
    <w:rsid w:val="007C0FAA"/>
    <w:rsid w:val="007C5787"/>
    <w:rsid w:val="007E6FF4"/>
    <w:rsid w:val="007F07FB"/>
    <w:rsid w:val="007F5049"/>
    <w:rsid w:val="00810507"/>
    <w:rsid w:val="00810D4A"/>
    <w:rsid w:val="00813E69"/>
    <w:rsid w:val="00817060"/>
    <w:rsid w:val="00817E8B"/>
    <w:rsid w:val="008338D4"/>
    <w:rsid w:val="00836022"/>
    <w:rsid w:val="0084255D"/>
    <w:rsid w:val="00850ACF"/>
    <w:rsid w:val="00852038"/>
    <w:rsid w:val="00861489"/>
    <w:rsid w:val="00872221"/>
    <w:rsid w:val="0088639E"/>
    <w:rsid w:val="00886D9C"/>
    <w:rsid w:val="0089515E"/>
    <w:rsid w:val="008A46EB"/>
    <w:rsid w:val="008B407C"/>
    <w:rsid w:val="008B4FF0"/>
    <w:rsid w:val="008B54E3"/>
    <w:rsid w:val="008E65E6"/>
    <w:rsid w:val="008F285B"/>
    <w:rsid w:val="008F4564"/>
    <w:rsid w:val="009018EC"/>
    <w:rsid w:val="00904A44"/>
    <w:rsid w:val="00906EDB"/>
    <w:rsid w:val="00912E00"/>
    <w:rsid w:val="00923C46"/>
    <w:rsid w:val="00931DDF"/>
    <w:rsid w:val="00962756"/>
    <w:rsid w:val="009711DB"/>
    <w:rsid w:val="009A0F50"/>
    <w:rsid w:val="009A16CD"/>
    <w:rsid w:val="009A67F3"/>
    <w:rsid w:val="009C05DC"/>
    <w:rsid w:val="009C06F5"/>
    <w:rsid w:val="009D6567"/>
    <w:rsid w:val="009D6E13"/>
    <w:rsid w:val="009E0F31"/>
    <w:rsid w:val="009E515F"/>
    <w:rsid w:val="009F514D"/>
    <w:rsid w:val="00A007F5"/>
    <w:rsid w:val="00A038EC"/>
    <w:rsid w:val="00A03ADD"/>
    <w:rsid w:val="00A145B0"/>
    <w:rsid w:val="00A15172"/>
    <w:rsid w:val="00A21A16"/>
    <w:rsid w:val="00A26EF7"/>
    <w:rsid w:val="00A277D6"/>
    <w:rsid w:val="00A309B8"/>
    <w:rsid w:val="00A379F8"/>
    <w:rsid w:val="00A53FFD"/>
    <w:rsid w:val="00A54EEA"/>
    <w:rsid w:val="00A56BFF"/>
    <w:rsid w:val="00A73600"/>
    <w:rsid w:val="00A74C1E"/>
    <w:rsid w:val="00A7661C"/>
    <w:rsid w:val="00A95BC7"/>
    <w:rsid w:val="00A962DF"/>
    <w:rsid w:val="00AA19DF"/>
    <w:rsid w:val="00AA34AD"/>
    <w:rsid w:val="00AA4C4B"/>
    <w:rsid w:val="00AF70A1"/>
    <w:rsid w:val="00B07037"/>
    <w:rsid w:val="00B07F79"/>
    <w:rsid w:val="00B16C07"/>
    <w:rsid w:val="00B256A2"/>
    <w:rsid w:val="00B4096A"/>
    <w:rsid w:val="00B46A57"/>
    <w:rsid w:val="00B65754"/>
    <w:rsid w:val="00B66231"/>
    <w:rsid w:val="00B769F1"/>
    <w:rsid w:val="00B82025"/>
    <w:rsid w:val="00B92A97"/>
    <w:rsid w:val="00BA0A91"/>
    <w:rsid w:val="00BA4887"/>
    <w:rsid w:val="00BA5F23"/>
    <w:rsid w:val="00BB3390"/>
    <w:rsid w:val="00BB3C1A"/>
    <w:rsid w:val="00BB6AA4"/>
    <w:rsid w:val="00BC3A95"/>
    <w:rsid w:val="00BC6DEF"/>
    <w:rsid w:val="00BD7925"/>
    <w:rsid w:val="00BD7CAE"/>
    <w:rsid w:val="00BE2989"/>
    <w:rsid w:val="00BE6A2C"/>
    <w:rsid w:val="00BE7A11"/>
    <w:rsid w:val="00BF2746"/>
    <w:rsid w:val="00BF722F"/>
    <w:rsid w:val="00C054EF"/>
    <w:rsid w:val="00C13FE8"/>
    <w:rsid w:val="00C27497"/>
    <w:rsid w:val="00C30A60"/>
    <w:rsid w:val="00C33ABA"/>
    <w:rsid w:val="00C37BB6"/>
    <w:rsid w:val="00C52EFD"/>
    <w:rsid w:val="00C619B4"/>
    <w:rsid w:val="00C62974"/>
    <w:rsid w:val="00C64378"/>
    <w:rsid w:val="00C75CF0"/>
    <w:rsid w:val="00C808B5"/>
    <w:rsid w:val="00C827EB"/>
    <w:rsid w:val="00C82DB6"/>
    <w:rsid w:val="00C845E0"/>
    <w:rsid w:val="00CA4CD6"/>
    <w:rsid w:val="00CA57FF"/>
    <w:rsid w:val="00CA7DA0"/>
    <w:rsid w:val="00CC48AB"/>
    <w:rsid w:val="00CC58F6"/>
    <w:rsid w:val="00CD2069"/>
    <w:rsid w:val="00CD280D"/>
    <w:rsid w:val="00CF2B37"/>
    <w:rsid w:val="00D13D9A"/>
    <w:rsid w:val="00D14A8D"/>
    <w:rsid w:val="00D21198"/>
    <w:rsid w:val="00D2273E"/>
    <w:rsid w:val="00D42D52"/>
    <w:rsid w:val="00D46FA2"/>
    <w:rsid w:val="00D5080D"/>
    <w:rsid w:val="00D54037"/>
    <w:rsid w:val="00D56F5F"/>
    <w:rsid w:val="00D61B37"/>
    <w:rsid w:val="00D63B96"/>
    <w:rsid w:val="00D92F66"/>
    <w:rsid w:val="00D95819"/>
    <w:rsid w:val="00DA10D7"/>
    <w:rsid w:val="00DA7285"/>
    <w:rsid w:val="00DB59E1"/>
    <w:rsid w:val="00DD1699"/>
    <w:rsid w:val="00DD1AC1"/>
    <w:rsid w:val="00DD7D49"/>
    <w:rsid w:val="00DF2E6C"/>
    <w:rsid w:val="00DF5C4E"/>
    <w:rsid w:val="00E10DA7"/>
    <w:rsid w:val="00E11A2C"/>
    <w:rsid w:val="00E1538C"/>
    <w:rsid w:val="00E16154"/>
    <w:rsid w:val="00E25DB6"/>
    <w:rsid w:val="00E276CD"/>
    <w:rsid w:val="00E32EDA"/>
    <w:rsid w:val="00E53137"/>
    <w:rsid w:val="00E5478B"/>
    <w:rsid w:val="00E60E83"/>
    <w:rsid w:val="00E6200A"/>
    <w:rsid w:val="00E6670F"/>
    <w:rsid w:val="00E702F6"/>
    <w:rsid w:val="00E72D70"/>
    <w:rsid w:val="00E77D5E"/>
    <w:rsid w:val="00E868BB"/>
    <w:rsid w:val="00EA37A9"/>
    <w:rsid w:val="00EA495A"/>
    <w:rsid w:val="00EA7026"/>
    <w:rsid w:val="00EC4074"/>
    <w:rsid w:val="00ED741E"/>
    <w:rsid w:val="00EF113F"/>
    <w:rsid w:val="00F033F0"/>
    <w:rsid w:val="00F03803"/>
    <w:rsid w:val="00F066C9"/>
    <w:rsid w:val="00F20822"/>
    <w:rsid w:val="00F340DF"/>
    <w:rsid w:val="00F538BC"/>
    <w:rsid w:val="00F81B29"/>
    <w:rsid w:val="00F85C0A"/>
    <w:rsid w:val="00F9092B"/>
    <w:rsid w:val="00F92D22"/>
    <w:rsid w:val="00FA0511"/>
    <w:rsid w:val="00FA0CC5"/>
    <w:rsid w:val="00FB0650"/>
    <w:rsid w:val="00FB4D98"/>
    <w:rsid w:val="00FB6378"/>
    <w:rsid w:val="00FB7BCE"/>
    <w:rsid w:val="00FC4E09"/>
    <w:rsid w:val="00FD72B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styleId="Emphasis">
    <w:name w:val="Emphasis"/>
    <w:basedOn w:val="DefaultParagraphFont"/>
    <w:qFormat/>
    <w:rsid w:val="00E5478B"/>
    <w:rPr>
      <w:i/>
      <w:iCs/>
    </w:rPr>
  </w:style>
</w:styles>
</file>

<file path=word/webSettings.xml><?xml version="1.0" encoding="utf-8"?>
<w:webSettings xmlns:r="http://schemas.openxmlformats.org/officeDocument/2006/relationships" xmlns:w="http://schemas.openxmlformats.org/wordprocessingml/2006/main">
  <w:divs>
    <w:div w:id="868070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72496222">
      <w:bodyDiv w:val="1"/>
      <w:marLeft w:val="0"/>
      <w:marRight w:val="0"/>
      <w:marTop w:val="0"/>
      <w:marBottom w:val="0"/>
      <w:divBdr>
        <w:top w:val="none" w:sz="0" w:space="0" w:color="auto"/>
        <w:left w:val="none" w:sz="0" w:space="0" w:color="auto"/>
        <w:bottom w:val="none" w:sz="0" w:space="0" w:color="auto"/>
        <w:right w:val="none" w:sz="0" w:space="0" w:color="auto"/>
      </w:divBdr>
    </w:div>
    <w:div w:id="828980976">
      <w:bodyDiv w:val="1"/>
      <w:marLeft w:val="0"/>
      <w:marRight w:val="0"/>
      <w:marTop w:val="0"/>
      <w:marBottom w:val="0"/>
      <w:divBdr>
        <w:top w:val="none" w:sz="0" w:space="0" w:color="auto"/>
        <w:left w:val="none" w:sz="0" w:space="0" w:color="auto"/>
        <w:bottom w:val="none" w:sz="0" w:space="0" w:color="auto"/>
        <w:right w:val="none" w:sz="0" w:space="0" w:color="auto"/>
      </w:divBdr>
    </w:div>
    <w:div w:id="10694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3117-1C4B-4987-A2BA-C898B384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6188</Words>
  <Characters>34936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2013-08-06T20:12:00Z</cp:lastPrinted>
  <dcterms:created xsi:type="dcterms:W3CDTF">2013-08-30T17:46:00Z</dcterms:created>
  <dcterms:modified xsi:type="dcterms:W3CDTF">2013-08-30T17:46:00Z</dcterms:modified>
</cp:coreProperties>
</file>